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F12" w:rsidRPr="0085642D" w:rsidRDefault="00D25F12" w:rsidP="00D25F12">
      <w:pPr>
        <w:rPr>
          <w:sz w:val="24"/>
          <w:szCs w:val="24"/>
        </w:rPr>
      </w:pPr>
      <w:bookmarkStart w:id="0" w:name="_GoBack"/>
      <w:bookmarkEnd w:id="0"/>
      <w:r w:rsidRPr="0085642D">
        <w:rPr>
          <w:noProof/>
          <w:sz w:val="24"/>
          <w:szCs w:val="24"/>
          <w:lang w:eastAsia="da-DK"/>
        </w:rPr>
        <w:drawing>
          <wp:anchor distT="0" distB="0" distL="114300" distR="114300" simplePos="0" relativeHeight="251659264" behindDoc="0" locked="0" layoutInCell="1" allowOverlap="1" wp14:anchorId="2F8A6A69" wp14:editId="6C20FD8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85642D">
        <w:rPr>
          <w:sz w:val="24"/>
          <w:szCs w:val="24"/>
        </w:rPr>
        <w:br w:type="textWrapping" w:clear="all"/>
      </w:r>
    </w:p>
    <w:p w:rsidR="00D25F12" w:rsidRPr="003D74CB" w:rsidRDefault="00D25F12" w:rsidP="00D25F12">
      <w:pPr>
        <w:pStyle w:val="Titel"/>
        <w:tabs>
          <w:tab w:val="right" w:pos="9356"/>
        </w:tabs>
        <w:jc w:val="left"/>
        <w:rPr>
          <w:szCs w:val="24"/>
          <w:lang w:eastAsia="en-US"/>
        </w:rPr>
      </w:pPr>
      <w:r w:rsidRPr="0085642D">
        <w:rPr>
          <w:b w:val="0"/>
          <w:szCs w:val="24"/>
          <w:lang w:eastAsia="en-US"/>
        </w:rPr>
        <w:tab/>
      </w:r>
      <w:r w:rsidR="00FE0330">
        <w:rPr>
          <w:szCs w:val="24"/>
          <w:lang w:eastAsia="en-US"/>
        </w:rPr>
        <w:t xml:space="preserve">12. december </w:t>
      </w:r>
      <w:r w:rsidR="003854AE">
        <w:rPr>
          <w:szCs w:val="24"/>
          <w:lang w:eastAsia="en-US"/>
        </w:rPr>
        <w:t>202</w:t>
      </w:r>
      <w:r w:rsidR="00AD378F">
        <w:rPr>
          <w:szCs w:val="24"/>
          <w:lang w:eastAsia="en-US"/>
        </w:rPr>
        <w:t>2</w:t>
      </w:r>
    </w:p>
    <w:p w:rsidR="00D25F12" w:rsidRPr="0085642D" w:rsidRDefault="00D25F12" w:rsidP="00D25F12">
      <w:pPr>
        <w:pStyle w:val="Titel"/>
        <w:jc w:val="left"/>
        <w:rPr>
          <w:b w:val="0"/>
          <w:szCs w:val="24"/>
        </w:rPr>
      </w:pPr>
    </w:p>
    <w:p w:rsidR="00D25F12" w:rsidRPr="0085642D" w:rsidRDefault="00D25F12" w:rsidP="00D25F12">
      <w:pPr>
        <w:pStyle w:val="Titel"/>
        <w:jc w:val="left"/>
        <w:rPr>
          <w:b w:val="0"/>
          <w:szCs w:val="24"/>
        </w:rPr>
      </w:pPr>
    </w:p>
    <w:p w:rsidR="00D25F12" w:rsidRPr="0085642D" w:rsidRDefault="00D25F12" w:rsidP="00D25F12">
      <w:pPr>
        <w:jc w:val="center"/>
        <w:rPr>
          <w:b/>
          <w:sz w:val="24"/>
          <w:szCs w:val="24"/>
        </w:rPr>
      </w:pPr>
      <w:r w:rsidRPr="0085642D">
        <w:rPr>
          <w:b/>
          <w:sz w:val="24"/>
          <w:szCs w:val="24"/>
        </w:rPr>
        <w:t>PRODUKTRESUMÉ</w:t>
      </w:r>
    </w:p>
    <w:p w:rsidR="00D25F12" w:rsidRPr="0085642D" w:rsidRDefault="00D25F12" w:rsidP="00D25F12">
      <w:pPr>
        <w:jc w:val="center"/>
        <w:rPr>
          <w:b/>
          <w:sz w:val="24"/>
          <w:szCs w:val="24"/>
        </w:rPr>
      </w:pPr>
    </w:p>
    <w:p w:rsidR="00D25F12" w:rsidRPr="0085642D" w:rsidRDefault="00D25F12" w:rsidP="00D25F12">
      <w:pPr>
        <w:jc w:val="center"/>
        <w:rPr>
          <w:b/>
          <w:sz w:val="24"/>
          <w:szCs w:val="24"/>
        </w:rPr>
      </w:pPr>
      <w:r w:rsidRPr="0085642D">
        <w:rPr>
          <w:b/>
          <w:sz w:val="24"/>
          <w:szCs w:val="24"/>
        </w:rPr>
        <w:t>for</w:t>
      </w:r>
    </w:p>
    <w:p w:rsidR="00D25F12" w:rsidRPr="0085642D" w:rsidRDefault="00D25F12" w:rsidP="00D25F12">
      <w:pPr>
        <w:jc w:val="center"/>
        <w:rPr>
          <w:b/>
          <w:sz w:val="24"/>
          <w:szCs w:val="24"/>
        </w:rPr>
      </w:pPr>
    </w:p>
    <w:p w:rsidR="00D25F12" w:rsidRPr="0085642D" w:rsidRDefault="00D25F12" w:rsidP="00D25F12">
      <w:pPr>
        <w:jc w:val="center"/>
        <w:rPr>
          <w:b/>
          <w:sz w:val="24"/>
          <w:szCs w:val="24"/>
        </w:rPr>
      </w:pPr>
      <w:r w:rsidRPr="0085642D">
        <w:rPr>
          <w:b/>
          <w:sz w:val="24"/>
          <w:szCs w:val="24"/>
        </w:rPr>
        <w:t>Efavirenz/Emtricitabine/Tenofovir disoproxil "Glenmark", filmovertrukne tabletter</w:t>
      </w:r>
    </w:p>
    <w:p w:rsidR="00D25F12" w:rsidRPr="0085642D" w:rsidRDefault="00D25F12" w:rsidP="00D25F12">
      <w:pPr>
        <w:jc w:val="both"/>
        <w:rPr>
          <w:sz w:val="24"/>
          <w:szCs w:val="24"/>
        </w:rPr>
      </w:pPr>
    </w:p>
    <w:p w:rsidR="00D25F12" w:rsidRPr="0085642D" w:rsidRDefault="00D25F12" w:rsidP="00D25F12">
      <w:pPr>
        <w:jc w:val="both"/>
        <w:rPr>
          <w:sz w:val="24"/>
          <w:szCs w:val="24"/>
        </w:rPr>
      </w:pPr>
    </w:p>
    <w:p w:rsidR="00D25F12" w:rsidRPr="0085642D" w:rsidRDefault="00D25F12" w:rsidP="00D25F12">
      <w:pPr>
        <w:tabs>
          <w:tab w:val="left" w:pos="851"/>
        </w:tabs>
        <w:ind w:left="851" w:hanging="851"/>
        <w:rPr>
          <w:b/>
          <w:sz w:val="24"/>
          <w:szCs w:val="24"/>
        </w:rPr>
      </w:pPr>
      <w:r w:rsidRPr="0085642D">
        <w:rPr>
          <w:b/>
          <w:sz w:val="24"/>
          <w:szCs w:val="24"/>
        </w:rPr>
        <w:t>0.</w:t>
      </w:r>
      <w:r w:rsidRPr="0085642D">
        <w:rPr>
          <w:b/>
          <w:sz w:val="24"/>
          <w:szCs w:val="24"/>
        </w:rPr>
        <w:tab/>
        <w:t>D.SP.NR.</w:t>
      </w:r>
    </w:p>
    <w:p w:rsidR="00D25F12" w:rsidRPr="0085642D" w:rsidRDefault="00D25F12" w:rsidP="00D25F12">
      <w:pPr>
        <w:tabs>
          <w:tab w:val="left" w:pos="851"/>
        </w:tabs>
        <w:ind w:left="851"/>
        <w:rPr>
          <w:sz w:val="24"/>
          <w:szCs w:val="24"/>
        </w:rPr>
      </w:pPr>
      <w:r w:rsidRPr="0085642D">
        <w:rPr>
          <w:sz w:val="24"/>
          <w:szCs w:val="24"/>
        </w:rPr>
        <w:t>31143</w:t>
      </w:r>
    </w:p>
    <w:p w:rsidR="00D25F12" w:rsidRPr="0085642D" w:rsidRDefault="00D25F12" w:rsidP="00D25F12">
      <w:pPr>
        <w:tabs>
          <w:tab w:val="left" w:pos="851"/>
        </w:tabs>
        <w:ind w:left="851"/>
        <w:rPr>
          <w:sz w:val="24"/>
          <w:szCs w:val="24"/>
        </w:rPr>
      </w:pPr>
    </w:p>
    <w:p w:rsidR="00D25F12" w:rsidRPr="0085642D" w:rsidRDefault="00D25F12" w:rsidP="00D25F12">
      <w:pPr>
        <w:tabs>
          <w:tab w:val="left" w:pos="851"/>
        </w:tabs>
        <w:ind w:left="851" w:hanging="851"/>
        <w:rPr>
          <w:b/>
          <w:sz w:val="24"/>
          <w:szCs w:val="24"/>
        </w:rPr>
      </w:pPr>
      <w:r w:rsidRPr="0085642D">
        <w:rPr>
          <w:b/>
          <w:sz w:val="24"/>
          <w:szCs w:val="24"/>
        </w:rPr>
        <w:t>1.</w:t>
      </w:r>
      <w:r w:rsidRPr="0085642D">
        <w:rPr>
          <w:b/>
          <w:sz w:val="24"/>
          <w:szCs w:val="24"/>
        </w:rPr>
        <w:tab/>
        <w:t>LÆGEMIDLETS NAVN</w:t>
      </w:r>
    </w:p>
    <w:p w:rsidR="00D25F12" w:rsidRPr="0085642D" w:rsidRDefault="00D25F12" w:rsidP="00D25F12">
      <w:pPr>
        <w:tabs>
          <w:tab w:val="left" w:pos="851"/>
        </w:tabs>
        <w:ind w:left="851"/>
        <w:rPr>
          <w:sz w:val="24"/>
          <w:szCs w:val="24"/>
        </w:rPr>
      </w:pPr>
      <w:r w:rsidRPr="0085642D">
        <w:rPr>
          <w:sz w:val="24"/>
          <w:szCs w:val="24"/>
          <w:lang w:bidi="en-GB"/>
        </w:rPr>
        <w:t>Efavirenz/Emtricitabine/Tenofovir disoproxil "Glenmark"</w:t>
      </w:r>
    </w:p>
    <w:p w:rsidR="00D25F12" w:rsidRPr="0085642D" w:rsidRDefault="00D25F12" w:rsidP="00D25F12">
      <w:pPr>
        <w:tabs>
          <w:tab w:val="left" w:pos="851"/>
        </w:tabs>
        <w:ind w:left="851"/>
        <w:rPr>
          <w:sz w:val="24"/>
          <w:szCs w:val="24"/>
        </w:rPr>
      </w:pPr>
    </w:p>
    <w:p w:rsidR="00D25F12" w:rsidRPr="0085642D" w:rsidRDefault="00D25F12" w:rsidP="00D25F12">
      <w:pPr>
        <w:tabs>
          <w:tab w:val="left" w:pos="851"/>
        </w:tabs>
        <w:ind w:left="851" w:hanging="851"/>
        <w:rPr>
          <w:b/>
          <w:sz w:val="24"/>
          <w:szCs w:val="24"/>
        </w:rPr>
      </w:pPr>
      <w:r w:rsidRPr="0085642D">
        <w:rPr>
          <w:b/>
          <w:sz w:val="24"/>
          <w:szCs w:val="24"/>
        </w:rPr>
        <w:t>2.</w:t>
      </w:r>
      <w:r w:rsidRPr="0085642D">
        <w:rPr>
          <w:b/>
          <w:sz w:val="24"/>
          <w:szCs w:val="24"/>
        </w:rPr>
        <w:tab/>
        <w:t>KVALITATIV OG KVANTITATIV SAMMENSÆTNING</w:t>
      </w:r>
    </w:p>
    <w:p w:rsidR="00D25F12" w:rsidRPr="0085642D" w:rsidRDefault="00D25F12" w:rsidP="00D25F12">
      <w:pPr>
        <w:suppressAutoHyphens/>
        <w:ind w:left="851"/>
        <w:rPr>
          <w:sz w:val="24"/>
          <w:szCs w:val="24"/>
          <w:lang w:eastAsia="fr-LU"/>
        </w:rPr>
      </w:pPr>
      <w:r w:rsidRPr="0085642D">
        <w:rPr>
          <w:sz w:val="24"/>
          <w:szCs w:val="24"/>
        </w:rPr>
        <w:t>Hver filmovertrukket tablet indeholder 600 mg efavirenz, 200 mg emtricitabin og 245 mg tenofovirdisoproxil (som fumarat).</w:t>
      </w:r>
    </w:p>
    <w:p w:rsidR="00D25F12" w:rsidRPr="0085642D" w:rsidRDefault="00D25F12" w:rsidP="00D25F12">
      <w:pPr>
        <w:suppressAutoHyphens/>
        <w:ind w:left="851"/>
        <w:rPr>
          <w:sz w:val="24"/>
          <w:szCs w:val="24"/>
        </w:rPr>
      </w:pPr>
    </w:p>
    <w:p w:rsidR="00D25F12" w:rsidRPr="0085642D" w:rsidRDefault="00D25F12" w:rsidP="00D25F12">
      <w:pPr>
        <w:tabs>
          <w:tab w:val="left" w:pos="-720"/>
        </w:tabs>
        <w:suppressAutoHyphens/>
        <w:ind w:left="851"/>
        <w:rPr>
          <w:sz w:val="24"/>
          <w:szCs w:val="24"/>
        </w:rPr>
      </w:pPr>
      <w:r w:rsidRPr="0085642D">
        <w:rPr>
          <w:sz w:val="24"/>
          <w:szCs w:val="24"/>
        </w:rPr>
        <w:t>Alle hjælpestoffer er anført under pkt. 6.1.</w:t>
      </w:r>
    </w:p>
    <w:p w:rsidR="00D25F12" w:rsidRPr="0085642D" w:rsidRDefault="00D25F12" w:rsidP="00D25F12">
      <w:pPr>
        <w:tabs>
          <w:tab w:val="left" w:pos="851"/>
        </w:tabs>
        <w:ind w:left="851"/>
        <w:rPr>
          <w:sz w:val="24"/>
          <w:szCs w:val="24"/>
        </w:rPr>
      </w:pPr>
    </w:p>
    <w:p w:rsidR="00D25F12" w:rsidRPr="0085642D" w:rsidRDefault="00D25F12" w:rsidP="00D25F12">
      <w:pPr>
        <w:tabs>
          <w:tab w:val="left" w:pos="851"/>
        </w:tabs>
        <w:ind w:left="851" w:hanging="851"/>
        <w:rPr>
          <w:b/>
          <w:sz w:val="24"/>
          <w:szCs w:val="24"/>
        </w:rPr>
      </w:pPr>
      <w:r w:rsidRPr="0085642D">
        <w:rPr>
          <w:b/>
          <w:sz w:val="24"/>
          <w:szCs w:val="24"/>
        </w:rPr>
        <w:t>3.</w:t>
      </w:r>
      <w:r w:rsidRPr="0085642D">
        <w:rPr>
          <w:b/>
          <w:sz w:val="24"/>
          <w:szCs w:val="24"/>
        </w:rPr>
        <w:tab/>
        <w:t>LÆGEMIDDELFORM</w:t>
      </w:r>
    </w:p>
    <w:p w:rsidR="00D25F12" w:rsidRPr="0085642D" w:rsidRDefault="00D25F12" w:rsidP="00D25F12">
      <w:pPr>
        <w:suppressAutoHyphens/>
        <w:ind w:left="851"/>
        <w:rPr>
          <w:sz w:val="24"/>
          <w:szCs w:val="24"/>
          <w:lang w:eastAsia="fr-LU"/>
        </w:rPr>
      </w:pPr>
      <w:r w:rsidRPr="0085642D">
        <w:rPr>
          <w:sz w:val="24"/>
          <w:szCs w:val="24"/>
        </w:rPr>
        <w:t>Filmovertrukne tabletter</w:t>
      </w:r>
    </w:p>
    <w:p w:rsidR="00D25F12" w:rsidRPr="0085642D" w:rsidRDefault="00D25F12" w:rsidP="00D25F12">
      <w:pPr>
        <w:suppressAutoHyphens/>
        <w:ind w:left="851"/>
        <w:rPr>
          <w:sz w:val="24"/>
          <w:szCs w:val="24"/>
        </w:rPr>
      </w:pPr>
    </w:p>
    <w:p w:rsidR="00D25F12" w:rsidRPr="0085642D" w:rsidRDefault="00D25F12" w:rsidP="00D25F12">
      <w:pPr>
        <w:suppressAutoHyphens/>
        <w:ind w:left="851"/>
        <w:rPr>
          <w:sz w:val="24"/>
          <w:szCs w:val="24"/>
        </w:rPr>
      </w:pPr>
      <w:r w:rsidRPr="0085642D">
        <w:rPr>
          <w:sz w:val="24"/>
          <w:szCs w:val="24"/>
        </w:rPr>
        <w:t>Lyserøde, kapselformede, bikonvekse, filmovertrukne tabletter præget med "CL 81" på den ene side og glatte på den anden side (ca. 20,3 mm</w:t>
      </w:r>
      <w:r>
        <w:rPr>
          <w:sz w:val="24"/>
          <w:szCs w:val="24"/>
        </w:rPr>
        <w:t>×</w:t>
      </w:r>
      <w:r w:rsidRPr="0085642D">
        <w:rPr>
          <w:sz w:val="24"/>
          <w:szCs w:val="24"/>
        </w:rPr>
        <w:t>10,7 mm).</w:t>
      </w:r>
    </w:p>
    <w:p w:rsidR="00D25F12" w:rsidRPr="0085642D" w:rsidRDefault="00D25F12" w:rsidP="00D25F12">
      <w:pPr>
        <w:tabs>
          <w:tab w:val="left" w:pos="851"/>
        </w:tabs>
        <w:ind w:left="851"/>
        <w:rPr>
          <w:sz w:val="24"/>
          <w:szCs w:val="24"/>
        </w:rPr>
      </w:pPr>
    </w:p>
    <w:p w:rsidR="00D25F12" w:rsidRPr="0085642D" w:rsidRDefault="00D25F12" w:rsidP="00D25F12">
      <w:pPr>
        <w:tabs>
          <w:tab w:val="left" w:pos="851"/>
        </w:tabs>
        <w:ind w:left="851"/>
        <w:rPr>
          <w:sz w:val="24"/>
          <w:szCs w:val="24"/>
        </w:rPr>
      </w:pPr>
    </w:p>
    <w:p w:rsidR="00D25F12" w:rsidRPr="0085642D" w:rsidRDefault="00D25F12" w:rsidP="00D25F12">
      <w:pPr>
        <w:tabs>
          <w:tab w:val="left" w:pos="851"/>
        </w:tabs>
        <w:ind w:left="851" w:hanging="851"/>
        <w:rPr>
          <w:b/>
          <w:sz w:val="24"/>
          <w:szCs w:val="24"/>
        </w:rPr>
      </w:pPr>
      <w:r w:rsidRPr="0085642D">
        <w:rPr>
          <w:b/>
          <w:sz w:val="24"/>
          <w:szCs w:val="24"/>
        </w:rPr>
        <w:t>4.</w:t>
      </w:r>
      <w:r w:rsidRPr="0085642D">
        <w:rPr>
          <w:b/>
          <w:sz w:val="24"/>
          <w:szCs w:val="24"/>
        </w:rPr>
        <w:tab/>
        <w:t>KLINISKE OPLYSNINGER</w:t>
      </w:r>
    </w:p>
    <w:p w:rsidR="00D25F12" w:rsidRPr="0085642D" w:rsidRDefault="00D25F12" w:rsidP="00D25F12">
      <w:pPr>
        <w:tabs>
          <w:tab w:val="left" w:pos="851"/>
        </w:tabs>
        <w:ind w:left="851"/>
        <w:rPr>
          <w:b/>
          <w:sz w:val="24"/>
          <w:szCs w:val="24"/>
        </w:rPr>
      </w:pPr>
    </w:p>
    <w:p w:rsidR="00D25F12" w:rsidRPr="0085642D" w:rsidRDefault="00D25F12" w:rsidP="00D25F12">
      <w:pPr>
        <w:tabs>
          <w:tab w:val="left" w:pos="851"/>
        </w:tabs>
        <w:ind w:left="851" w:hanging="851"/>
        <w:rPr>
          <w:b/>
          <w:sz w:val="24"/>
          <w:szCs w:val="24"/>
          <w:u w:val="single"/>
        </w:rPr>
      </w:pPr>
      <w:r w:rsidRPr="0085642D">
        <w:rPr>
          <w:b/>
          <w:sz w:val="24"/>
          <w:szCs w:val="24"/>
        </w:rPr>
        <w:t>4.1</w:t>
      </w:r>
      <w:r w:rsidRPr="0085642D">
        <w:rPr>
          <w:b/>
          <w:sz w:val="24"/>
          <w:szCs w:val="24"/>
        </w:rPr>
        <w:tab/>
        <w:t>Terapeutiske indikationer</w:t>
      </w:r>
    </w:p>
    <w:p w:rsidR="00D25F12" w:rsidRPr="0085642D" w:rsidRDefault="00D25F12" w:rsidP="00D25F12">
      <w:pPr>
        <w:ind w:left="851"/>
        <w:rPr>
          <w:sz w:val="24"/>
          <w:szCs w:val="24"/>
          <w:lang w:eastAsia="fr-LU"/>
        </w:rPr>
      </w:pPr>
      <w:r w:rsidRPr="0085642D">
        <w:rPr>
          <w:sz w:val="24"/>
          <w:szCs w:val="24"/>
        </w:rPr>
        <w:t>Efavirenz/Emtricitabine/Tenofovir disoproxil "Glenmark" er en fastdosis-kombination af efavirenz, emtricitabin og tenofovirdisoproxilfumarat. Det er indiceret til behandling af human immundefekt virus</w:t>
      </w:r>
      <w:r w:rsidRPr="0085642D">
        <w:rPr>
          <w:sz w:val="24"/>
          <w:szCs w:val="24"/>
        </w:rPr>
        <w:noBreakHyphen/>
        <w:t>1 (hiv</w:t>
      </w:r>
      <w:r w:rsidRPr="0085642D">
        <w:rPr>
          <w:sz w:val="24"/>
          <w:szCs w:val="24"/>
        </w:rPr>
        <w:noBreakHyphen/>
      </w:r>
      <w:proofErr w:type="gramStart"/>
      <w:r w:rsidRPr="0085642D">
        <w:rPr>
          <w:sz w:val="24"/>
          <w:szCs w:val="24"/>
        </w:rPr>
        <w:t>1)</w:t>
      </w:r>
      <w:r w:rsidRPr="0085642D">
        <w:rPr>
          <w:sz w:val="24"/>
          <w:szCs w:val="24"/>
        </w:rPr>
        <w:noBreakHyphen/>
      </w:r>
      <w:proofErr w:type="gramEnd"/>
      <w:r w:rsidRPr="0085642D">
        <w:rPr>
          <w:sz w:val="24"/>
          <w:szCs w:val="24"/>
        </w:rPr>
        <w:t>infektion hos voksne i alderen 18 år og derover med virologisk suppression til hiv</w:t>
      </w:r>
      <w:r w:rsidRPr="0085642D">
        <w:rPr>
          <w:sz w:val="24"/>
          <w:szCs w:val="24"/>
        </w:rPr>
        <w:noBreakHyphen/>
        <w:t>1</w:t>
      </w:r>
      <w:r w:rsidRPr="0085642D">
        <w:rPr>
          <w:sz w:val="24"/>
          <w:szCs w:val="24"/>
        </w:rPr>
        <w:noBreakHyphen/>
        <w:t>rna</w:t>
      </w:r>
      <w:r w:rsidRPr="0085642D">
        <w:rPr>
          <w:sz w:val="24"/>
          <w:szCs w:val="24"/>
        </w:rPr>
        <w:noBreakHyphen/>
        <w:t>koncentrationer &lt; 50 kopier/ml, som er i antiretroviral kombinationsbehandling og har været det i mere end 3 måneder. Patienter må ikke tidligere have oplevet virologisk svigt under antiretroviral behandling, og før deres første antiretrovirale behandling må de ikke have haft virustammer med mutationer, der kan give signifikant resistens over for en eller flere af de tre komponenter, som Efavirenz/Emtricitabine/Tenofovir disoproxil "Glenmark" indeholder (se pkt. 4.4 og 5.1).</w:t>
      </w:r>
    </w:p>
    <w:p w:rsidR="00D25F12" w:rsidRPr="0085642D" w:rsidRDefault="00D25F12" w:rsidP="00D25F12">
      <w:pPr>
        <w:ind w:left="851"/>
        <w:rPr>
          <w:sz w:val="24"/>
          <w:szCs w:val="24"/>
        </w:rPr>
      </w:pPr>
    </w:p>
    <w:p w:rsidR="00D25F12" w:rsidRPr="0085642D" w:rsidRDefault="00D25F12" w:rsidP="00D25F12">
      <w:pPr>
        <w:ind w:left="851"/>
        <w:rPr>
          <w:sz w:val="24"/>
          <w:szCs w:val="24"/>
        </w:rPr>
      </w:pPr>
      <w:r w:rsidRPr="0085642D">
        <w:rPr>
          <w:sz w:val="24"/>
          <w:szCs w:val="24"/>
        </w:rPr>
        <w:t>Påvisning af efavirenz/emtricitabin/tenofovirdisoproxils gavnlige virkning er primært baseret på 48</w:t>
      </w:r>
      <w:r w:rsidRPr="0085642D">
        <w:rPr>
          <w:sz w:val="24"/>
          <w:szCs w:val="24"/>
        </w:rPr>
        <w:noBreakHyphen/>
        <w:t xml:space="preserve">ugers data fra et klinisk studie, hvor patienter med stabil virologisk suppression i antiretroviral kombinationsbehandling skiftede til efavirenz/emtricitabin/tenofovirdisoproxil (se pkt. 5.1). Der findes for tiden ingen data fra </w:t>
      </w:r>
      <w:r w:rsidRPr="0085642D">
        <w:rPr>
          <w:sz w:val="24"/>
          <w:szCs w:val="24"/>
        </w:rPr>
        <w:lastRenderedPageBreak/>
        <w:t>kliniske studier med efavirenz/emtricitabin/tenofovirdisoproxil til behandlingsnaive patienter eller patienter, som tidligere har fået massiv behandling.</w:t>
      </w:r>
    </w:p>
    <w:p w:rsidR="00D25F12" w:rsidRPr="0085642D" w:rsidRDefault="00D25F12" w:rsidP="00D25F12">
      <w:pPr>
        <w:ind w:left="851"/>
        <w:rPr>
          <w:sz w:val="24"/>
          <w:szCs w:val="24"/>
        </w:rPr>
      </w:pPr>
    </w:p>
    <w:p w:rsidR="00D25F12" w:rsidRPr="0085642D" w:rsidRDefault="00D25F12" w:rsidP="00D25F12">
      <w:pPr>
        <w:ind w:left="851"/>
        <w:rPr>
          <w:sz w:val="24"/>
          <w:szCs w:val="24"/>
        </w:rPr>
      </w:pPr>
      <w:r w:rsidRPr="0085642D">
        <w:rPr>
          <w:sz w:val="24"/>
          <w:szCs w:val="24"/>
        </w:rPr>
        <w:t>Der er ingen tilgængelige data til at understøtte kombinationen af Efavirenz/Emtricitabine/Tenofovir disoproxil "Glenmark" og andre antiretrovirale lægemidler.</w:t>
      </w:r>
    </w:p>
    <w:p w:rsidR="00D25F12" w:rsidRPr="0085642D" w:rsidRDefault="00D25F12" w:rsidP="00D25F12">
      <w:pPr>
        <w:tabs>
          <w:tab w:val="left" w:pos="851"/>
        </w:tabs>
        <w:ind w:left="851"/>
        <w:rPr>
          <w:sz w:val="24"/>
          <w:szCs w:val="24"/>
        </w:rPr>
      </w:pPr>
    </w:p>
    <w:p w:rsidR="00D25F12" w:rsidRPr="0085642D" w:rsidRDefault="00D25F12" w:rsidP="00D25F12">
      <w:pPr>
        <w:tabs>
          <w:tab w:val="left" w:pos="851"/>
        </w:tabs>
        <w:ind w:left="851" w:hanging="851"/>
        <w:rPr>
          <w:b/>
          <w:sz w:val="24"/>
          <w:szCs w:val="24"/>
        </w:rPr>
      </w:pPr>
      <w:r w:rsidRPr="0085642D">
        <w:rPr>
          <w:b/>
          <w:sz w:val="24"/>
          <w:szCs w:val="24"/>
        </w:rPr>
        <w:t>4.2</w:t>
      </w:r>
      <w:r w:rsidRPr="0085642D">
        <w:rPr>
          <w:b/>
          <w:sz w:val="24"/>
          <w:szCs w:val="24"/>
        </w:rPr>
        <w:tab/>
        <w:t xml:space="preserve">Dosering og </w:t>
      </w:r>
      <w:r w:rsidR="00FE0330">
        <w:rPr>
          <w:b/>
          <w:sz w:val="24"/>
          <w:szCs w:val="24"/>
        </w:rPr>
        <w:t>administration</w:t>
      </w:r>
    </w:p>
    <w:p w:rsidR="00D25F12" w:rsidRPr="0085642D" w:rsidRDefault="00D25F12" w:rsidP="00D25F12">
      <w:pPr>
        <w:ind w:left="851"/>
        <w:rPr>
          <w:sz w:val="24"/>
          <w:szCs w:val="24"/>
          <w:lang w:eastAsia="fr-LU"/>
        </w:rPr>
      </w:pPr>
      <w:r w:rsidRPr="0085642D">
        <w:rPr>
          <w:sz w:val="24"/>
          <w:szCs w:val="24"/>
        </w:rPr>
        <w:t>Behandlingen bør initieres af en læge, der har erfaring med behandling af hiv</w:t>
      </w:r>
      <w:r w:rsidRPr="0085642D">
        <w:rPr>
          <w:sz w:val="24"/>
          <w:szCs w:val="24"/>
        </w:rPr>
        <w:noBreakHyphen/>
        <w:t>infektion.</w:t>
      </w:r>
    </w:p>
    <w:p w:rsidR="00D25F12" w:rsidRPr="0085642D" w:rsidRDefault="00D25F12" w:rsidP="00D25F12">
      <w:pPr>
        <w:ind w:left="851"/>
        <w:rPr>
          <w:sz w:val="24"/>
          <w:szCs w:val="24"/>
        </w:rPr>
      </w:pPr>
    </w:p>
    <w:p w:rsidR="00D25F12" w:rsidRPr="0085642D" w:rsidRDefault="00D25F12" w:rsidP="00D25F12">
      <w:pPr>
        <w:ind w:left="851"/>
        <w:rPr>
          <w:sz w:val="24"/>
          <w:szCs w:val="24"/>
          <w:u w:val="single"/>
        </w:rPr>
      </w:pPr>
      <w:r w:rsidRPr="0085642D">
        <w:rPr>
          <w:sz w:val="24"/>
          <w:szCs w:val="24"/>
          <w:u w:val="single"/>
        </w:rPr>
        <w:t>Dosering</w:t>
      </w:r>
    </w:p>
    <w:p w:rsidR="00D25F12" w:rsidRPr="0085642D" w:rsidRDefault="00D25F12" w:rsidP="00D25F12">
      <w:pPr>
        <w:ind w:left="851"/>
        <w:rPr>
          <w:sz w:val="24"/>
          <w:szCs w:val="24"/>
        </w:rPr>
      </w:pPr>
      <w:r w:rsidRPr="0085642D">
        <w:rPr>
          <w:sz w:val="24"/>
          <w:szCs w:val="24"/>
        </w:rPr>
        <w:t>Voksne</w:t>
      </w:r>
    </w:p>
    <w:p w:rsidR="00D25F12" w:rsidRPr="0085642D" w:rsidRDefault="00D25F12" w:rsidP="00D25F12">
      <w:pPr>
        <w:ind w:left="851"/>
        <w:rPr>
          <w:sz w:val="24"/>
          <w:szCs w:val="24"/>
        </w:rPr>
      </w:pPr>
      <w:r w:rsidRPr="0085642D">
        <w:rPr>
          <w:sz w:val="24"/>
          <w:szCs w:val="24"/>
        </w:rPr>
        <w:t>Den anbefalede dosis af Efavirenz/Emtricitabine/Tenofovir disoproxil "Glenmark" er én tablet, taget oralt, én gang dagligt.</w:t>
      </w:r>
    </w:p>
    <w:p w:rsidR="00D25F12" w:rsidRPr="0085642D" w:rsidRDefault="00D25F12" w:rsidP="00D25F12">
      <w:pPr>
        <w:ind w:left="851"/>
        <w:rPr>
          <w:sz w:val="24"/>
          <w:szCs w:val="24"/>
        </w:rPr>
      </w:pPr>
    </w:p>
    <w:p w:rsidR="00D25F12" w:rsidRPr="0085642D" w:rsidRDefault="00D25F12" w:rsidP="00D25F12">
      <w:pPr>
        <w:ind w:left="851"/>
        <w:rPr>
          <w:sz w:val="24"/>
          <w:szCs w:val="24"/>
        </w:rPr>
      </w:pPr>
      <w:r w:rsidRPr="0085642D">
        <w:rPr>
          <w:sz w:val="24"/>
          <w:szCs w:val="24"/>
        </w:rPr>
        <w:t>Hvis en patient glemmer at tage en dosis Efavirenz/Emtricitabine/Tenofovir disoproxil "Glenmark" i mindre end 12 timer efter tidspunktet, hvor patienten normalt tager dosen, skal patienten tage Efavirenz/Emtricitabine/Tenofovir disoproxil "Glenmark" så snart som muligt og derefter fortsætte med den normale doseringsplan. Hvis en patient glemmer at tage en dosis Efavirenz/Emtricitabine/Tenofovir disoproxil "Glenmark" i mere end 12 timer og det næsten er tid til næste dosis, skal patienten ikke tage den manglende dosis, men blot fortsætte med den normale doseringsplan.</w:t>
      </w:r>
    </w:p>
    <w:p w:rsidR="00D25F12" w:rsidRPr="0085642D" w:rsidRDefault="00D25F12" w:rsidP="00D25F12">
      <w:pPr>
        <w:ind w:left="851"/>
        <w:rPr>
          <w:sz w:val="24"/>
          <w:szCs w:val="24"/>
        </w:rPr>
      </w:pPr>
    </w:p>
    <w:p w:rsidR="00D25F12" w:rsidRPr="0085642D" w:rsidRDefault="00D25F12" w:rsidP="00D25F12">
      <w:pPr>
        <w:ind w:left="851"/>
        <w:rPr>
          <w:sz w:val="24"/>
          <w:szCs w:val="24"/>
        </w:rPr>
      </w:pPr>
      <w:r w:rsidRPr="0085642D">
        <w:rPr>
          <w:sz w:val="24"/>
          <w:szCs w:val="24"/>
        </w:rPr>
        <w:t>Hvis patienten kaster op inden for 1 time efter at have taget Efavirenz/Emtricitabine/Teno</w:t>
      </w:r>
      <w:r w:rsidRPr="0085642D">
        <w:rPr>
          <w:sz w:val="24"/>
          <w:szCs w:val="24"/>
        </w:rPr>
        <w:softHyphen/>
        <w:t>fovir disoproxil "Glenmark", skal der tages en ny tablet. Hvis patienten kaster op mere end 1 time efter at have taget Efavirenz/Emtricitabine/Tenofovir disoproxil "Glenmark", skal patienten ikke tage en ny dosis.</w:t>
      </w:r>
    </w:p>
    <w:p w:rsidR="00D25F12" w:rsidRPr="0085642D" w:rsidRDefault="00D25F12" w:rsidP="00D25F12">
      <w:pPr>
        <w:ind w:left="851"/>
        <w:rPr>
          <w:sz w:val="24"/>
          <w:szCs w:val="24"/>
        </w:rPr>
      </w:pPr>
    </w:p>
    <w:p w:rsidR="00D25F12" w:rsidRPr="0085642D" w:rsidRDefault="00D25F12" w:rsidP="00D25F12">
      <w:pPr>
        <w:ind w:left="851"/>
        <w:rPr>
          <w:sz w:val="24"/>
          <w:szCs w:val="24"/>
        </w:rPr>
      </w:pPr>
      <w:r w:rsidRPr="0085642D">
        <w:rPr>
          <w:sz w:val="24"/>
          <w:szCs w:val="24"/>
        </w:rPr>
        <w:t>Det anbefales, at Efavirenz/Emtricitabine/Tenofovir disoproxil "Glenmark" tages på tom mave, da mad kan øge efavirenz-eksponeringen og kan føre til øget bivirkningsfrekvens (se pkt. 4.4 og 4.8). Dosering ved sengetid anbefales for at forbedre tolerabiliteten af efavirenz med hensyn til neurologiske bivirkninger (se pkt. 4.8).</w:t>
      </w:r>
    </w:p>
    <w:p w:rsidR="00D25F12" w:rsidRPr="0085642D" w:rsidRDefault="00D25F12" w:rsidP="00D25F12">
      <w:pPr>
        <w:ind w:left="851"/>
        <w:rPr>
          <w:sz w:val="24"/>
          <w:szCs w:val="24"/>
        </w:rPr>
      </w:pPr>
    </w:p>
    <w:p w:rsidR="00D25F12" w:rsidRPr="0085642D" w:rsidRDefault="00D25F12" w:rsidP="00D25F12">
      <w:pPr>
        <w:ind w:left="851"/>
        <w:rPr>
          <w:sz w:val="24"/>
          <w:szCs w:val="24"/>
        </w:rPr>
      </w:pPr>
      <w:r w:rsidRPr="0085642D">
        <w:rPr>
          <w:sz w:val="24"/>
          <w:szCs w:val="24"/>
        </w:rPr>
        <w:t>Det forudses, at tenofovir-eksponeringen (AUC) vil være ca. 30 % lavere efter administration af efavirenz/emtricitabin/tenofovirdisoproxil på tom mave sammenlignet med tenofovirdisoproxil, når denne tages som individuel komponent sammen med mad (se pkt. 5.2). Data vedrørende den kliniske fortolkning af den reducerede farmakokinetiske eksponering er ikke tilgængelige. Den kliniske betydning af denne reduktion må forventes at være begrænset hos virologisk supprimerede patienter (se pkt. 5.1).</w:t>
      </w:r>
    </w:p>
    <w:p w:rsidR="00D25F12" w:rsidRPr="0085642D" w:rsidRDefault="00D25F12" w:rsidP="00D25F12">
      <w:pPr>
        <w:ind w:left="851"/>
        <w:rPr>
          <w:sz w:val="24"/>
          <w:szCs w:val="24"/>
        </w:rPr>
      </w:pPr>
    </w:p>
    <w:p w:rsidR="00D25F12" w:rsidRPr="0085642D" w:rsidRDefault="00D25F12" w:rsidP="00D25F12">
      <w:pPr>
        <w:ind w:left="851"/>
        <w:rPr>
          <w:sz w:val="24"/>
          <w:szCs w:val="24"/>
        </w:rPr>
      </w:pPr>
      <w:r w:rsidRPr="0085642D">
        <w:rPr>
          <w:sz w:val="24"/>
          <w:szCs w:val="24"/>
        </w:rPr>
        <w:t>Hvis seponering af en af komponenterne i Efavirenz/Emtricitabine/Tenofovir disoproxil "Glenmark" er indiceret, eller hvis modifikation af dosis er nødvendig, er separate præparater med efavirenz, emtricitabin og tenofovirdisoproxil tilgængelige. Se produktresuméet for disse lægemidler.</w:t>
      </w:r>
    </w:p>
    <w:p w:rsidR="00D25F12" w:rsidRPr="0085642D" w:rsidRDefault="00D25F12" w:rsidP="00D25F12">
      <w:pPr>
        <w:ind w:left="851"/>
        <w:rPr>
          <w:sz w:val="24"/>
          <w:szCs w:val="24"/>
        </w:rPr>
      </w:pPr>
    </w:p>
    <w:p w:rsidR="00D25F12" w:rsidRPr="0085642D" w:rsidRDefault="00D25F12" w:rsidP="00D25F12">
      <w:pPr>
        <w:ind w:left="851"/>
        <w:rPr>
          <w:sz w:val="24"/>
          <w:szCs w:val="24"/>
        </w:rPr>
      </w:pPr>
      <w:r w:rsidRPr="0085642D">
        <w:rPr>
          <w:sz w:val="24"/>
          <w:szCs w:val="24"/>
        </w:rPr>
        <w:t>Hvis behandling med efavirenz/emtricitabin/tenofovirdisoproxil seponeres, bør efavirenz’ lange halveringstid (se pkt. 5.2) samt tenofovirs og emtricitabins lange intracellulære halveringstid tages i betragtning. På grund af den individuelle variabilitet i disse parametre, samt risikoen for resistensudvikling, bør anbefalingerne for hiv</w:t>
      </w:r>
      <w:r w:rsidRPr="0085642D">
        <w:rPr>
          <w:sz w:val="24"/>
          <w:szCs w:val="24"/>
        </w:rPr>
        <w:noBreakHyphen/>
        <w:t>behandling konsulteres, idet årsagen til seponering også tages med i overvejelserne.</w:t>
      </w:r>
    </w:p>
    <w:p w:rsidR="00D25F12" w:rsidRPr="0085642D" w:rsidRDefault="00D25F12" w:rsidP="00D25F12">
      <w:pPr>
        <w:ind w:left="851"/>
        <w:rPr>
          <w:sz w:val="24"/>
          <w:szCs w:val="24"/>
        </w:rPr>
      </w:pPr>
    </w:p>
    <w:p w:rsidR="00D25F12" w:rsidRPr="0085642D" w:rsidRDefault="00D25F12" w:rsidP="00D25F12">
      <w:pPr>
        <w:ind w:left="851"/>
        <w:rPr>
          <w:sz w:val="24"/>
          <w:szCs w:val="24"/>
        </w:rPr>
      </w:pPr>
      <w:r w:rsidRPr="0085642D">
        <w:rPr>
          <w:sz w:val="24"/>
          <w:szCs w:val="24"/>
        </w:rPr>
        <w:lastRenderedPageBreak/>
        <w:t>Dosisjustering: Hvis Efavirenz/Emtricitabine/Tenofovir disoproxil "Glenmark" gives samtidigt med rifampicin til patienter, der vejer 50 kg eller derover, kan det overvejes at give yderligere 200 mg efavirenz/dag (800 mg i alt) (se pkt. 4.5).</w:t>
      </w:r>
    </w:p>
    <w:p w:rsidR="00D25F12" w:rsidRPr="0085642D" w:rsidRDefault="00D25F12" w:rsidP="00D25F12">
      <w:pPr>
        <w:ind w:left="851"/>
        <w:rPr>
          <w:sz w:val="24"/>
          <w:szCs w:val="24"/>
        </w:rPr>
      </w:pPr>
    </w:p>
    <w:p w:rsidR="00D25F12" w:rsidRPr="0085642D" w:rsidRDefault="00D25F12" w:rsidP="00D25F12">
      <w:pPr>
        <w:ind w:left="851"/>
        <w:rPr>
          <w:sz w:val="24"/>
          <w:szCs w:val="24"/>
        </w:rPr>
      </w:pPr>
      <w:r w:rsidRPr="0085642D">
        <w:rPr>
          <w:sz w:val="24"/>
          <w:szCs w:val="24"/>
          <w:u w:val="single"/>
        </w:rPr>
        <w:t>Særlige populationer</w:t>
      </w:r>
    </w:p>
    <w:p w:rsidR="00D25F12" w:rsidRPr="0085642D" w:rsidRDefault="00D25F12" w:rsidP="00D25F12">
      <w:pPr>
        <w:ind w:left="851"/>
        <w:rPr>
          <w:sz w:val="24"/>
          <w:szCs w:val="24"/>
        </w:rPr>
      </w:pPr>
    </w:p>
    <w:p w:rsidR="00D25F12" w:rsidRPr="0085642D" w:rsidRDefault="00D25F12" w:rsidP="00D25F12">
      <w:pPr>
        <w:ind w:left="851"/>
        <w:rPr>
          <w:i/>
          <w:sz w:val="24"/>
          <w:szCs w:val="24"/>
        </w:rPr>
      </w:pPr>
      <w:r w:rsidRPr="0085642D">
        <w:rPr>
          <w:i/>
          <w:sz w:val="24"/>
          <w:szCs w:val="24"/>
        </w:rPr>
        <w:t>Ældre</w:t>
      </w:r>
    </w:p>
    <w:p w:rsidR="00D25F12" w:rsidRPr="0085642D" w:rsidRDefault="00D25F12" w:rsidP="00D25F12">
      <w:pPr>
        <w:ind w:left="851"/>
        <w:rPr>
          <w:sz w:val="24"/>
          <w:szCs w:val="24"/>
        </w:rPr>
      </w:pPr>
      <w:r w:rsidRPr="0085642D">
        <w:rPr>
          <w:sz w:val="24"/>
          <w:szCs w:val="24"/>
        </w:rPr>
        <w:t>Efavirenz/Emtricitabine/Tenofovir disoproxil "Glenmark" bør administreres med forsigtighed til ældre patienter (se pkt. 4.4).</w:t>
      </w:r>
    </w:p>
    <w:p w:rsidR="00D25F12" w:rsidRPr="0085642D" w:rsidRDefault="00D25F12" w:rsidP="00D25F12">
      <w:pPr>
        <w:ind w:left="851"/>
        <w:rPr>
          <w:sz w:val="24"/>
          <w:szCs w:val="24"/>
        </w:rPr>
      </w:pPr>
    </w:p>
    <w:p w:rsidR="00D25F12" w:rsidRPr="0085642D" w:rsidRDefault="00D25F12" w:rsidP="00D25F12">
      <w:pPr>
        <w:ind w:left="851"/>
        <w:rPr>
          <w:i/>
          <w:sz w:val="24"/>
          <w:szCs w:val="24"/>
        </w:rPr>
      </w:pPr>
      <w:r w:rsidRPr="0085642D">
        <w:rPr>
          <w:i/>
          <w:sz w:val="24"/>
          <w:szCs w:val="24"/>
        </w:rPr>
        <w:t>Nedsat nyrefunktion</w:t>
      </w:r>
    </w:p>
    <w:p w:rsidR="00D25F12" w:rsidRPr="0085642D" w:rsidRDefault="00D25F12" w:rsidP="00D25F12">
      <w:pPr>
        <w:ind w:left="851"/>
        <w:rPr>
          <w:sz w:val="24"/>
          <w:szCs w:val="24"/>
        </w:rPr>
      </w:pPr>
      <w:r w:rsidRPr="0085642D">
        <w:rPr>
          <w:sz w:val="24"/>
          <w:szCs w:val="24"/>
        </w:rPr>
        <w:t>Efavirenz/emtricitabin/tenofovirdisoproxil bør ikke gives til patienter med moderat eller svært nedsat nyrefunktion (kreatininclearance &lt; 50 ml/min). Hos patienter med moderat eller svær nedsat nyrefunktion er det nødvendigt med justering af dosisintervallet for emtricitabin og tenofovirdisoproxil, som ikke kan opnås med kombinationstabletten (se pkt. 4.4 og 5.2).</w:t>
      </w:r>
    </w:p>
    <w:p w:rsidR="00D25F12" w:rsidRPr="0085642D" w:rsidRDefault="00D25F12" w:rsidP="00D25F12">
      <w:pPr>
        <w:ind w:left="851"/>
        <w:rPr>
          <w:sz w:val="24"/>
          <w:szCs w:val="24"/>
        </w:rPr>
      </w:pPr>
    </w:p>
    <w:p w:rsidR="00D25F12" w:rsidRPr="0085642D" w:rsidRDefault="00D25F12" w:rsidP="00D25F12">
      <w:pPr>
        <w:ind w:left="851"/>
        <w:rPr>
          <w:i/>
          <w:sz w:val="24"/>
          <w:szCs w:val="24"/>
        </w:rPr>
      </w:pPr>
      <w:r w:rsidRPr="0085642D">
        <w:rPr>
          <w:i/>
          <w:sz w:val="24"/>
          <w:szCs w:val="24"/>
        </w:rPr>
        <w:t>Nedsat leverfunktion</w:t>
      </w:r>
    </w:p>
    <w:p w:rsidR="00D25F12" w:rsidRPr="0085642D" w:rsidRDefault="00D25F12" w:rsidP="00D25F12">
      <w:pPr>
        <w:ind w:left="851"/>
        <w:rPr>
          <w:sz w:val="24"/>
          <w:szCs w:val="24"/>
        </w:rPr>
      </w:pPr>
      <w:r w:rsidRPr="0085642D">
        <w:rPr>
          <w:sz w:val="24"/>
          <w:szCs w:val="24"/>
        </w:rPr>
        <w:t>Efavirenz/emtricitabin/tenofovirdisoproxils farmakokinetik er ikke undersøgt hos patienter med nedsat leverfunktion. Patienter med let leversygdom (Child</w:t>
      </w:r>
      <w:r w:rsidRPr="0085642D">
        <w:rPr>
          <w:sz w:val="24"/>
          <w:szCs w:val="24"/>
        </w:rPr>
        <w:noBreakHyphen/>
        <w:t>Pugh</w:t>
      </w:r>
      <w:r w:rsidRPr="0085642D">
        <w:rPr>
          <w:sz w:val="24"/>
          <w:szCs w:val="24"/>
        </w:rPr>
        <w:noBreakHyphen/>
        <w:t>Turcotte (CPT), klasse A) kan behandles med den dosis, der normalt anbefales for efavirenz/emtricitabin/tenofovirdisoproxil (se pkt. 4.3, 4.4 og 5.2). Patienterne bør monitoreres omhyggeligt for bivirkninger, især symptomer fra nervesystemet, der er relateret til efavirenz (se pkt. 4.3 og 4.4).</w:t>
      </w:r>
    </w:p>
    <w:p w:rsidR="00D25F12" w:rsidRPr="0085642D" w:rsidRDefault="00D25F12" w:rsidP="00D25F12">
      <w:pPr>
        <w:ind w:left="851"/>
        <w:rPr>
          <w:sz w:val="24"/>
          <w:szCs w:val="24"/>
        </w:rPr>
      </w:pPr>
    </w:p>
    <w:p w:rsidR="00D25F12" w:rsidRPr="0085642D" w:rsidRDefault="00D25F12" w:rsidP="00D25F12">
      <w:pPr>
        <w:ind w:left="851"/>
        <w:rPr>
          <w:sz w:val="24"/>
          <w:szCs w:val="24"/>
        </w:rPr>
      </w:pPr>
      <w:r w:rsidRPr="0085642D">
        <w:rPr>
          <w:sz w:val="24"/>
          <w:szCs w:val="24"/>
        </w:rPr>
        <w:t>Hvis behandling med Efavirenz/Emtricitabine/Tenofovir disoproxil "Glenmark" seponeres hos patienter, der har både hiv og HBV, bør disse patienter monitoreres tæt for tegn på forværring af hepatitis (se pkt. 4.4).</w:t>
      </w:r>
    </w:p>
    <w:p w:rsidR="00D25F12" w:rsidRPr="0085642D" w:rsidRDefault="00D25F12" w:rsidP="00D25F12">
      <w:pPr>
        <w:ind w:left="851"/>
        <w:rPr>
          <w:sz w:val="24"/>
          <w:szCs w:val="24"/>
        </w:rPr>
      </w:pPr>
    </w:p>
    <w:p w:rsidR="00D25F12" w:rsidRPr="0085642D" w:rsidRDefault="00D25F12" w:rsidP="00D25F12">
      <w:pPr>
        <w:ind w:left="851"/>
        <w:rPr>
          <w:i/>
          <w:sz w:val="24"/>
          <w:szCs w:val="24"/>
        </w:rPr>
      </w:pPr>
      <w:r w:rsidRPr="0085642D">
        <w:rPr>
          <w:i/>
          <w:sz w:val="24"/>
          <w:szCs w:val="24"/>
        </w:rPr>
        <w:t>Pædiatrisk population</w:t>
      </w:r>
    </w:p>
    <w:p w:rsidR="00D25F12" w:rsidRPr="0085642D" w:rsidRDefault="00D25F12" w:rsidP="00D25F12">
      <w:pPr>
        <w:ind w:left="851"/>
        <w:rPr>
          <w:sz w:val="24"/>
          <w:szCs w:val="24"/>
        </w:rPr>
      </w:pPr>
      <w:r w:rsidRPr="0085642D">
        <w:rPr>
          <w:sz w:val="24"/>
          <w:szCs w:val="24"/>
        </w:rPr>
        <w:t xml:space="preserve">Efavirenz/Emtricitabine/Tenofovir disoproxil "Glenmark" sikkerhed og virkning hos børn og unge under 18 år er ikke klarlagt (se pkt. 5.2). </w:t>
      </w:r>
    </w:p>
    <w:p w:rsidR="00D25F12" w:rsidRPr="0085642D" w:rsidRDefault="00D25F12" w:rsidP="00D25F12">
      <w:pPr>
        <w:ind w:left="851"/>
        <w:rPr>
          <w:sz w:val="24"/>
          <w:szCs w:val="24"/>
        </w:rPr>
      </w:pPr>
    </w:p>
    <w:p w:rsidR="00D25F12" w:rsidRPr="0085642D" w:rsidRDefault="00D25F12" w:rsidP="00D25F12">
      <w:pPr>
        <w:ind w:left="851"/>
        <w:rPr>
          <w:sz w:val="24"/>
          <w:szCs w:val="24"/>
        </w:rPr>
      </w:pPr>
      <w:r w:rsidRPr="0085642D">
        <w:rPr>
          <w:sz w:val="24"/>
          <w:szCs w:val="24"/>
          <w:u w:val="single"/>
        </w:rPr>
        <w:t>Administration</w:t>
      </w:r>
    </w:p>
    <w:p w:rsidR="00D25F12" w:rsidRPr="0085642D" w:rsidRDefault="00D25F12" w:rsidP="00D25F12">
      <w:pPr>
        <w:ind w:left="851"/>
        <w:rPr>
          <w:sz w:val="24"/>
          <w:szCs w:val="24"/>
        </w:rPr>
      </w:pPr>
      <w:r w:rsidRPr="0085642D">
        <w:rPr>
          <w:sz w:val="24"/>
          <w:szCs w:val="24"/>
        </w:rPr>
        <w:t>Efavirenz/Emtricitabine/Tenofovir disoproxil "Glenmark"-tabletter skal synkes hele sammen med vand, én gang dagligt.</w:t>
      </w:r>
    </w:p>
    <w:p w:rsidR="00D25F12" w:rsidRPr="0085642D" w:rsidRDefault="00D25F12" w:rsidP="00D25F12">
      <w:pPr>
        <w:tabs>
          <w:tab w:val="left" w:pos="851"/>
        </w:tabs>
        <w:ind w:left="851"/>
        <w:rPr>
          <w:sz w:val="24"/>
          <w:szCs w:val="24"/>
        </w:rPr>
      </w:pPr>
    </w:p>
    <w:p w:rsidR="00D25F12" w:rsidRPr="0085642D" w:rsidRDefault="00D25F12" w:rsidP="00D25F12">
      <w:pPr>
        <w:tabs>
          <w:tab w:val="left" w:pos="851"/>
        </w:tabs>
        <w:ind w:left="851" w:hanging="851"/>
        <w:rPr>
          <w:b/>
          <w:sz w:val="24"/>
          <w:szCs w:val="24"/>
        </w:rPr>
      </w:pPr>
      <w:r w:rsidRPr="0085642D">
        <w:rPr>
          <w:b/>
          <w:sz w:val="24"/>
          <w:szCs w:val="24"/>
        </w:rPr>
        <w:t>4.3</w:t>
      </w:r>
      <w:r w:rsidRPr="0085642D">
        <w:rPr>
          <w:b/>
          <w:sz w:val="24"/>
          <w:szCs w:val="24"/>
        </w:rPr>
        <w:tab/>
        <w:t>Kontraindikationer</w:t>
      </w:r>
    </w:p>
    <w:p w:rsidR="00D25F12" w:rsidRPr="0085642D" w:rsidRDefault="00D25F12" w:rsidP="00D25F12">
      <w:pPr>
        <w:ind w:left="851"/>
        <w:rPr>
          <w:sz w:val="24"/>
          <w:szCs w:val="24"/>
          <w:lang w:eastAsia="fr-LU"/>
        </w:rPr>
      </w:pPr>
      <w:r w:rsidRPr="0085642D">
        <w:rPr>
          <w:sz w:val="24"/>
          <w:szCs w:val="24"/>
        </w:rPr>
        <w:t>Overfølsomhed over for de aktive stoffer eller over for et eller flere af hjælpestofferne anført i pkt. 6.1.</w:t>
      </w:r>
    </w:p>
    <w:p w:rsidR="00D25F12" w:rsidRPr="0085642D" w:rsidRDefault="00D25F12" w:rsidP="00D25F12">
      <w:pPr>
        <w:ind w:left="851"/>
        <w:rPr>
          <w:sz w:val="24"/>
          <w:szCs w:val="24"/>
        </w:rPr>
      </w:pPr>
    </w:p>
    <w:p w:rsidR="00D25F12" w:rsidRPr="0085642D" w:rsidRDefault="00D25F12" w:rsidP="00D25F12">
      <w:pPr>
        <w:ind w:left="851"/>
        <w:rPr>
          <w:sz w:val="24"/>
          <w:szCs w:val="24"/>
        </w:rPr>
      </w:pPr>
      <w:r w:rsidRPr="0085642D">
        <w:rPr>
          <w:sz w:val="24"/>
          <w:szCs w:val="24"/>
        </w:rPr>
        <w:t>Svært nedsat leverfunktion (CPT, klasse C) (se pkt. 5.2).</w:t>
      </w:r>
    </w:p>
    <w:p w:rsidR="00D25F12" w:rsidRPr="0085642D" w:rsidRDefault="00D25F12" w:rsidP="00D25F12">
      <w:pPr>
        <w:ind w:left="851"/>
        <w:rPr>
          <w:sz w:val="24"/>
          <w:szCs w:val="24"/>
        </w:rPr>
      </w:pPr>
    </w:p>
    <w:p w:rsidR="00D25F12" w:rsidRPr="0085642D" w:rsidRDefault="00D25F12" w:rsidP="00D25F12">
      <w:pPr>
        <w:ind w:left="851"/>
        <w:rPr>
          <w:sz w:val="24"/>
          <w:szCs w:val="24"/>
        </w:rPr>
      </w:pPr>
      <w:r w:rsidRPr="0085642D">
        <w:rPr>
          <w:sz w:val="24"/>
          <w:szCs w:val="24"/>
        </w:rPr>
        <w:t>Samtidig administration med terfenadin, astemizol, cisaprid, midazolam, triazolam, primozid, bepridil eller ergotalkaloider (f.eks. ergotamin, dihydroergotamin, ergonovin og methylergonovin). Konkurrence om cytochrom P450 (CYP) 3A4 fra efavirenz kan resultere i hæmning af metaboliseringen. Dette kan medføre risiko for alvorlige og/eller livstruende bivirkninger (f.eks. hjertearytmier, forlænget sedation eller respirationsdepression) (se pkt. 4.5).</w:t>
      </w:r>
    </w:p>
    <w:p w:rsidR="00D25F12" w:rsidRPr="0085642D" w:rsidRDefault="00D25F12" w:rsidP="00D25F12">
      <w:pPr>
        <w:ind w:left="851"/>
        <w:rPr>
          <w:sz w:val="24"/>
          <w:szCs w:val="24"/>
        </w:rPr>
      </w:pPr>
    </w:p>
    <w:p w:rsidR="00D25F12" w:rsidRPr="0085642D" w:rsidRDefault="00D25F12" w:rsidP="00D25F12">
      <w:pPr>
        <w:ind w:left="851"/>
        <w:rPr>
          <w:sz w:val="24"/>
          <w:szCs w:val="24"/>
        </w:rPr>
      </w:pPr>
      <w:r w:rsidRPr="0085642D">
        <w:rPr>
          <w:sz w:val="24"/>
          <w:szCs w:val="24"/>
        </w:rPr>
        <w:lastRenderedPageBreak/>
        <w:t>Samtidig administration med elbasvir/grazoprevir på grund af de forventede signifikante fald i plasmakoncentrationer af elbasvir og grazoprevir. Denne virkning skyldes efavirenz’ induktion af CYP3A4 eller P</w:t>
      </w:r>
      <w:r w:rsidRPr="0085642D">
        <w:rPr>
          <w:sz w:val="24"/>
          <w:szCs w:val="24"/>
        </w:rPr>
        <w:noBreakHyphen/>
        <w:t>gp og kan medføre, at den terapeutiske virkning af elbasvir/grazoprevir forsvinder (se pkt. 4.5).</w:t>
      </w:r>
    </w:p>
    <w:p w:rsidR="00D25F12" w:rsidRPr="0085642D" w:rsidRDefault="00D25F12" w:rsidP="00D25F12">
      <w:pPr>
        <w:ind w:left="851"/>
        <w:rPr>
          <w:sz w:val="24"/>
          <w:szCs w:val="24"/>
        </w:rPr>
      </w:pPr>
    </w:p>
    <w:p w:rsidR="00D25F12" w:rsidRPr="0085642D" w:rsidRDefault="00D25F12" w:rsidP="00D25F12">
      <w:pPr>
        <w:ind w:left="851"/>
        <w:rPr>
          <w:sz w:val="24"/>
          <w:szCs w:val="24"/>
        </w:rPr>
      </w:pPr>
      <w:r w:rsidRPr="0085642D">
        <w:rPr>
          <w:sz w:val="24"/>
          <w:szCs w:val="24"/>
        </w:rPr>
        <w:t>Samtidig administration med voriconazol. Efavirenz reducerer plasmakoncentrationen af voriconazol signifikant, mens voriconazol også reducerer plasmakoncentrationen af efavirenz signifikant. Da Efavirenz/Emtricitabine/Tenofovir disoproxil "Glenmark" er et fastdosis kombinationsprodukt, kan efavirenzdosis ikke ændres (se pkt. 4.5).</w:t>
      </w:r>
    </w:p>
    <w:p w:rsidR="00D25F12" w:rsidRPr="0085642D" w:rsidRDefault="00D25F12" w:rsidP="00D25F12">
      <w:pPr>
        <w:ind w:left="851"/>
        <w:rPr>
          <w:sz w:val="24"/>
          <w:szCs w:val="24"/>
        </w:rPr>
      </w:pPr>
    </w:p>
    <w:p w:rsidR="00D25F12" w:rsidRPr="0085642D" w:rsidRDefault="00D25F12" w:rsidP="00D25F12">
      <w:pPr>
        <w:ind w:left="851"/>
        <w:rPr>
          <w:sz w:val="24"/>
          <w:szCs w:val="24"/>
        </w:rPr>
      </w:pPr>
      <w:r w:rsidRPr="0085642D">
        <w:rPr>
          <w:sz w:val="24"/>
          <w:szCs w:val="24"/>
        </w:rPr>
        <w:t xml:space="preserve">Samtidig administration med naturlægemidler, som indeholder perikon </w:t>
      </w:r>
      <w:r w:rsidRPr="0085642D">
        <w:rPr>
          <w:i/>
          <w:sz w:val="24"/>
          <w:szCs w:val="24"/>
        </w:rPr>
        <w:t xml:space="preserve">(Hypericum perforatum) </w:t>
      </w:r>
      <w:r w:rsidRPr="0085642D">
        <w:rPr>
          <w:sz w:val="24"/>
          <w:szCs w:val="24"/>
        </w:rPr>
        <w:t>på grund af risiko for reduktion i plasmakoncentrationerne samt reduceret klinisk virkning af efavirenz (se pkt. 4.5).</w:t>
      </w:r>
    </w:p>
    <w:p w:rsidR="00D25F12" w:rsidRPr="0085642D" w:rsidRDefault="00D25F12" w:rsidP="00D25F12">
      <w:pPr>
        <w:ind w:left="851"/>
        <w:rPr>
          <w:sz w:val="24"/>
          <w:szCs w:val="24"/>
        </w:rPr>
      </w:pPr>
    </w:p>
    <w:p w:rsidR="00D25F12" w:rsidRPr="0085642D" w:rsidRDefault="00D25F12" w:rsidP="00D25F12">
      <w:pPr>
        <w:ind w:left="851"/>
        <w:rPr>
          <w:sz w:val="24"/>
          <w:szCs w:val="24"/>
        </w:rPr>
      </w:pPr>
      <w:r w:rsidRPr="0085642D">
        <w:rPr>
          <w:sz w:val="24"/>
          <w:szCs w:val="24"/>
        </w:rPr>
        <w:t>Administration til patienter med:</w:t>
      </w:r>
    </w:p>
    <w:p w:rsidR="00D25F12" w:rsidRPr="0085642D" w:rsidRDefault="00D25F12" w:rsidP="00D25F12">
      <w:pPr>
        <w:numPr>
          <w:ilvl w:val="0"/>
          <w:numId w:val="9"/>
        </w:numPr>
        <w:autoSpaceDE w:val="0"/>
        <w:autoSpaceDN w:val="0"/>
        <w:adjustRightInd w:val="0"/>
        <w:ind w:left="1276" w:hanging="425"/>
        <w:rPr>
          <w:sz w:val="24"/>
          <w:szCs w:val="24"/>
        </w:rPr>
      </w:pPr>
      <w:r w:rsidRPr="0085642D">
        <w:rPr>
          <w:sz w:val="24"/>
          <w:szCs w:val="24"/>
        </w:rPr>
        <w:t>en familieanamnese med pludseligt dødsfald eller med kongenit forlængelse af QTc</w:t>
      </w:r>
      <w:r w:rsidRPr="0085642D">
        <w:rPr>
          <w:sz w:val="24"/>
          <w:szCs w:val="24"/>
        </w:rPr>
        <w:noBreakHyphen/>
        <w:t>intervallet på elektrokardiogrammer eller med andre kliniske tilstande, som vides at forlænge QTc</w:t>
      </w:r>
      <w:r w:rsidRPr="0085642D">
        <w:rPr>
          <w:sz w:val="24"/>
          <w:szCs w:val="24"/>
        </w:rPr>
        <w:noBreakHyphen/>
        <w:t>intervallet.</w:t>
      </w:r>
    </w:p>
    <w:p w:rsidR="00D25F12" w:rsidRPr="0085642D" w:rsidRDefault="00D25F12" w:rsidP="00D25F12">
      <w:pPr>
        <w:numPr>
          <w:ilvl w:val="0"/>
          <w:numId w:val="9"/>
        </w:numPr>
        <w:autoSpaceDE w:val="0"/>
        <w:autoSpaceDN w:val="0"/>
        <w:adjustRightInd w:val="0"/>
        <w:ind w:left="1276" w:hanging="425"/>
        <w:rPr>
          <w:sz w:val="24"/>
          <w:szCs w:val="24"/>
        </w:rPr>
      </w:pPr>
      <w:r w:rsidRPr="0085642D">
        <w:rPr>
          <w:sz w:val="24"/>
          <w:szCs w:val="24"/>
        </w:rPr>
        <w:t>en anamnese med symptomatiske hjertearytmier eller med klinisk relevant bradykardi eller med kongestiv hjerteinsufficiens ledsaget af nedsat venstre ventrikel uddrivningsfraktion.</w:t>
      </w:r>
    </w:p>
    <w:p w:rsidR="00D25F12" w:rsidRPr="0085642D" w:rsidRDefault="00D25F12" w:rsidP="00D25F12">
      <w:pPr>
        <w:numPr>
          <w:ilvl w:val="0"/>
          <w:numId w:val="9"/>
        </w:numPr>
        <w:autoSpaceDE w:val="0"/>
        <w:autoSpaceDN w:val="0"/>
        <w:adjustRightInd w:val="0"/>
        <w:ind w:left="1276" w:hanging="425"/>
        <w:rPr>
          <w:sz w:val="24"/>
          <w:szCs w:val="24"/>
        </w:rPr>
      </w:pPr>
      <w:r w:rsidRPr="0085642D">
        <w:rPr>
          <w:sz w:val="24"/>
          <w:szCs w:val="24"/>
        </w:rPr>
        <w:t>svær forstyrrelse i elektrolytbalancen, f.eks. hypokaliæmi eller hypomagnesiæmi.</w:t>
      </w:r>
    </w:p>
    <w:p w:rsidR="00D25F12" w:rsidRPr="0085642D" w:rsidRDefault="00D25F12" w:rsidP="00D25F12">
      <w:pPr>
        <w:rPr>
          <w:sz w:val="24"/>
          <w:szCs w:val="24"/>
          <w:lang w:eastAsia="fr-LU"/>
        </w:rPr>
      </w:pPr>
    </w:p>
    <w:p w:rsidR="00D25F12" w:rsidRPr="0085642D" w:rsidRDefault="00D25F12" w:rsidP="00D25F12">
      <w:pPr>
        <w:ind w:left="851"/>
        <w:rPr>
          <w:sz w:val="24"/>
          <w:szCs w:val="24"/>
        </w:rPr>
      </w:pPr>
      <w:r w:rsidRPr="0085642D">
        <w:rPr>
          <w:sz w:val="24"/>
          <w:szCs w:val="24"/>
        </w:rPr>
        <w:t>Samtidig administration med lægemidler, som vides at forlænge QTc</w:t>
      </w:r>
      <w:r w:rsidRPr="0085642D">
        <w:rPr>
          <w:sz w:val="24"/>
          <w:szCs w:val="24"/>
        </w:rPr>
        <w:noBreakHyphen/>
        <w:t>intervallet (proarytmika).</w:t>
      </w:r>
    </w:p>
    <w:p w:rsidR="00D25F12" w:rsidRPr="0085642D" w:rsidRDefault="00D25F12" w:rsidP="00D25F12">
      <w:pPr>
        <w:ind w:left="851"/>
        <w:rPr>
          <w:sz w:val="24"/>
          <w:szCs w:val="24"/>
        </w:rPr>
      </w:pPr>
      <w:r w:rsidRPr="0085642D">
        <w:rPr>
          <w:sz w:val="24"/>
          <w:szCs w:val="24"/>
        </w:rPr>
        <w:t>Disse lægemidler omfatter:</w:t>
      </w:r>
    </w:p>
    <w:p w:rsidR="00D25F12" w:rsidRPr="0085642D" w:rsidRDefault="00D25F12" w:rsidP="00D25F12">
      <w:pPr>
        <w:numPr>
          <w:ilvl w:val="0"/>
          <w:numId w:val="9"/>
        </w:numPr>
        <w:autoSpaceDE w:val="0"/>
        <w:autoSpaceDN w:val="0"/>
        <w:adjustRightInd w:val="0"/>
        <w:ind w:left="1276" w:hanging="425"/>
        <w:rPr>
          <w:sz w:val="24"/>
          <w:szCs w:val="24"/>
        </w:rPr>
      </w:pPr>
      <w:r w:rsidRPr="0085642D">
        <w:rPr>
          <w:sz w:val="24"/>
          <w:szCs w:val="24"/>
        </w:rPr>
        <w:t>antiarytmika af klasse IA og III,</w:t>
      </w:r>
    </w:p>
    <w:p w:rsidR="00D25F12" w:rsidRPr="0085642D" w:rsidRDefault="00D25F12" w:rsidP="00D25F12">
      <w:pPr>
        <w:numPr>
          <w:ilvl w:val="0"/>
          <w:numId w:val="9"/>
        </w:numPr>
        <w:autoSpaceDE w:val="0"/>
        <w:autoSpaceDN w:val="0"/>
        <w:adjustRightInd w:val="0"/>
        <w:ind w:left="1276" w:hanging="425"/>
        <w:rPr>
          <w:sz w:val="24"/>
          <w:szCs w:val="24"/>
        </w:rPr>
      </w:pPr>
      <w:r w:rsidRPr="0085642D">
        <w:rPr>
          <w:sz w:val="24"/>
          <w:szCs w:val="24"/>
        </w:rPr>
        <w:t>neuroleptika, antidepressiva,</w:t>
      </w:r>
    </w:p>
    <w:p w:rsidR="00D25F12" w:rsidRPr="0085642D" w:rsidRDefault="00D25F12" w:rsidP="00D25F12">
      <w:pPr>
        <w:numPr>
          <w:ilvl w:val="0"/>
          <w:numId w:val="9"/>
        </w:numPr>
        <w:autoSpaceDE w:val="0"/>
        <w:autoSpaceDN w:val="0"/>
        <w:adjustRightInd w:val="0"/>
        <w:ind w:left="1276" w:hanging="425"/>
        <w:rPr>
          <w:sz w:val="24"/>
          <w:szCs w:val="24"/>
        </w:rPr>
      </w:pPr>
      <w:r w:rsidRPr="0085642D">
        <w:rPr>
          <w:sz w:val="24"/>
          <w:szCs w:val="24"/>
        </w:rPr>
        <w:t>visse antibiotika, herunder stoffer fra følgende klasser: makrolider, fluorokinoloner, imidazol- og triazol-antimykotika,</w:t>
      </w:r>
    </w:p>
    <w:p w:rsidR="00D25F12" w:rsidRPr="0085642D" w:rsidRDefault="00D25F12" w:rsidP="00D25F12">
      <w:pPr>
        <w:numPr>
          <w:ilvl w:val="0"/>
          <w:numId w:val="9"/>
        </w:numPr>
        <w:autoSpaceDE w:val="0"/>
        <w:autoSpaceDN w:val="0"/>
        <w:adjustRightInd w:val="0"/>
        <w:ind w:left="1276" w:hanging="425"/>
        <w:rPr>
          <w:sz w:val="24"/>
          <w:szCs w:val="24"/>
        </w:rPr>
      </w:pPr>
      <w:r w:rsidRPr="0085642D">
        <w:rPr>
          <w:sz w:val="24"/>
          <w:szCs w:val="24"/>
        </w:rPr>
        <w:t>visse non-sederende antihistaminer (terfenadin, astemizol),</w:t>
      </w:r>
    </w:p>
    <w:p w:rsidR="00D25F12" w:rsidRPr="0085642D" w:rsidRDefault="00D25F12" w:rsidP="00D25F12">
      <w:pPr>
        <w:numPr>
          <w:ilvl w:val="0"/>
          <w:numId w:val="9"/>
        </w:numPr>
        <w:autoSpaceDE w:val="0"/>
        <w:autoSpaceDN w:val="0"/>
        <w:adjustRightInd w:val="0"/>
        <w:ind w:left="1276" w:hanging="425"/>
        <w:rPr>
          <w:sz w:val="24"/>
          <w:szCs w:val="24"/>
        </w:rPr>
      </w:pPr>
      <w:r w:rsidRPr="0085642D">
        <w:rPr>
          <w:sz w:val="24"/>
          <w:szCs w:val="24"/>
        </w:rPr>
        <w:t>cisaprid,</w:t>
      </w:r>
    </w:p>
    <w:p w:rsidR="00D25F12" w:rsidRPr="0085642D" w:rsidRDefault="00D25F12" w:rsidP="00D25F12">
      <w:pPr>
        <w:numPr>
          <w:ilvl w:val="0"/>
          <w:numId w:val="9"/>
        </w:numPr>
        <w:autoSpaceDE w:val="0"/>
        <w:autoSpaceDN w:val="0"/>
        <w:adjustRightInd w:val="0"/>
        <w:ind w:left="1276" w:hanging="425"/>
        <w:rPr>
          <w:sz w:val="24"/>
          <w:szCs w:val="24"/>
        </w:rPr>
      </w:pPr>
      <w:r w:rsidRPr="0085642D">
        <w:rPr>
          <w:sz w:val="24"/>
          <w:szCs w:val="24"/>
        </w:rPr>
        <w:t>flecainid,</w:t>
      </w:r>
    </w:p>
    <w:p w:rsidR="00D25F12" w:rsidRPr="0085642D" w:rsidRDefault="00D25F12" w:rsidP="00D25F12">
      <w:pPr>
        <w:numPr>
          <w:ilvl w:val="0"/>
          <w:numId w:val="9"/>
        </w:numPr>
        <w:autoSpaceDE w:val="0"/>
        <w:autoSpaceDN w:val="0"/>
        <w:adjustRightInd w:val="0"/>
        <w:ind w:left="1276" w:hanging="425"/>
        <w:rPr>
          <w:sz w:val="24"/>
          <w:szCs w:val="24"/>
        </w:rPr>
      </w:pPr>
      <w:r w:rsidRPr="0085642D">
        <w:rPr>
          <w:sz w:val="24"/>
          <w:szCs w:val="24"/>
        </w:rPr>
        <w:t>visse antimalariamidler,</w:t>
      </w:r>
    </w:p>
    <w:p w:rsidR="00D25F12" w:rsidRPr="0085642D" w:rsidRDefault="00D25F12" w:rsidP="00D25F12">
      <w:pPr>
        <w:numPr>
          <w:ilvl w:val="0"/>
          <w:numId w:val="9"/>
        </w:numPr>
        <w:autoSpaceDE w:val="0"/>
        <w:autoSpaceDN w:val="0"/>
        <w:adjustRightInd w:val="0"/>
        <w:ind w:left="1276" w:hanging="425"/>
        <w:rPr>
          <w:sz w:val="24"/>
          <w:szCs w:val="24"/>
        </w:rPr>
      </w:pPr>
      <w:r w:rsidRPr="0085642D">
        <w:rPr>
          <w:sz w:val="24"/>
          <w:szCs w:val="24"/>
        </w:rPr>
        <w:t>methadon (se pkt. 4.4, 4.5 og 5.1).</w:t>
      </w:r>
    </w:p>
    <w:p w:rsidR="00D25F12" w:rsidRPr="0085642D" w:rsidRDefault="00D25F12" w:rsidP="00D25F12">
      <w:pPr>
        <w:tabs>
          <w:tab w:val="left" w:pos="851"/>
        </w:tabs>
        <w:ind w:left="851"/>
        <w:rPr>
          <w:sz w:val="24"/>
          <w:szCs w:val="24"/>
        </w:rPr>
      </w:pPr>
    </w:p>
    <w:p w:rsidR="00D25F12" w:rsidRPr="0085642D" w:rsidRDefault="00D25F12" w:rsidP="00D25F12">
      <w:pPr>
        <w:tabs>
          <w:tab w:val="left" w:pos="851"/>
        </w:tabs>
        <w:ind w:left="851" w:hanging="851"/>
        <w:rPr>
          <w:b/>
          <w:sz w:val="24"/>
          <w:szCs w:val="24"/>
        </w:rPr>
      </w:pPr>
      <w:r w:rsidRPr="0085642D">
        <w:rPr>
          <w:b/>
          <w:sz w:val="24"/>
          <w:szCs w:val="24"/>
        </w:rPr>
        <w:t>4.4</w:t>
      </w:r>
      <w:r w:rsidRPr="0085642D">
        <w:rPr>
          <w:b/>
          <w:sz w:val="24"/>
          <w:szCs w:val="24"/>
        </w:rPr>
        <w:tab/>
        <w:t>Særlige advarsler og forsigtighedsregler vedrørende brugen</w:t>
      </w:r>
    </w:p>
    <w:p w:rsidR="00D25F12" w:rsidRPr="0085642D" w:rsidRDefault="00D25F12" w:rsidP="00D25F12">
      <w:pPr>
        <w:rPr>
          <w:sz w:val="24"/>
          <w:szCs w:val="24"/>
          <w:u w:val="single"/>
        </w:rPr>
      </w:pPr>
    </w:p>
    <w:p w:rsidR="00D25F12" w:rsidRPr="0085642D" w:rsidRDefault="00D25F12" w:rsidP="00D25F12">
      <w:pPr>
        <w:ind w:left="851"/>
        <w:rPr>
          <w:sz w:val="24"/>
          <w:szCs w:val="24"/>
          <w:lang w:eastAsia="fr-LU"/>
        </w:rPr>
      </w:pPr>
      <w:r w:rsidRPr="0085642D">
        <w:rPr>
          <w:sz w:val="24"/>
          <w:szCs w:val="24"/>
          <w:u w:val="single"/>
        </w:rPr>
        <w:t>Samtidig administration med andre lægemidler</w:t>
      </w:r>
    </w:p>
    <w:p w:rsidR="00D25F12" w:rsidRPr="0085642D" w:rsidRDefault="00D25F12" w:rsidP="00D25F12">
      <w:pPr>
        <w:ind w:left="851"/>
        <w:rPr>
          <w:sz w:val="24"/>
          <w:szCs w:val="24"/>
        </w:rPr>
      </w:pPr>
    </w:p>
    <w:p w:rsidR="00D25F12" w:rsidRPr="0085642D" w:rsidRDefault="00D25F12" w:rsidP="00D25F12">
      <w:pPr>
        <w:ind w:left="851"/>
        <w:rPr>
          <w:sz w:val="24"/>
          <w:szCs w:val="24"/>
        </w:rPr>
      </w:pPr>
      <w:r w:rsidRPr="0085642D">
        <w:rPr>
          <w:sz w:val="24"/>
          <w:szCs w:val="24"/>
        </w:rPr>
        <w:t xml:space="preserve">Som en fast kombination bør </w:t>
      </w:r>
      <w:r w:rsidRPr="0085642D">
        <w:rPr>
          <w:sz w:val="24"/>
          <w:szCs w:val="24"/>
          <w:lang w:bidi="en-GB"/>
        </w:rPr>
        <w:t>Efavirenz/Emtricitabine/Tenofovir disoproxil "Glenmark"</w:t>
      </w:r>
      <w:r w:rsidRPr="0085642D">
        <w:rPr>
          <w:sz w:val="24"/>
          <w:szCs w:val="24"/>
        </w:rPr>
        <w:t xml:space="preserve"> ikke gives samtidigt med andre lægemidler, der indeholder de samme aktive komponenter, emtricitabin eller tenofovirdisoproxil. </w:t>
      </w:r>
      <w:r w:rsidRPr="0085642D">
        <w:rPr>
          <w:sz w:val="24"/>
          <w:szCs w:val="24"/>
          <w:lang w:bidi="en-GB"/>
        </w:rPr>
        <w:t>Efavirenz/Emtricitabine/Tenofovir disoproxil "Glenmark"</w:t>
      </w:r>
      <w:r w:rsidRPr="0085642D">
        <w:rPr>
          <w:sz w:val="24"/>
          <w:szCs w:val="24"/>
        </w:rPr>
        <w:t xml:space="preserve"> bør ikke administreres samtidigt med lægemidler, der indeholder efavirenz, medmindre det er nødvendigt på grund af dosisjustering, f.eks. med rifampicin (se pkt. 4.2). På grund af ligheder med emtricibatin bør </w:t>
      </w:r>
      <w:r w:rsidRPr="0085642D">
        <w:rPr>
          <w:sz w:val="24"/>
          <w:szCs w:val="24"/>
          <w:lang w:bidi="en-GB"/>
        </w:rPr>
        <w:t>Efavirenz/Emtricitabine/Tenofovir disoproxil "Glenmark"</w:t>
      </w:r>
      <w:r w:rsidRPr="0085642D">
        <w:rPr>
          <w:sz w:val="24"/>
          <w:szCs w:val="24"/>
        </w:rPr>
        <w:t xml:space="preserve"> ikke gives samtidigt med andre cytidinanaloger som lamivudin (se pkt. 4.5). </w:t>
      </w:r>
      <w:r w:rsidRPr="0085642D">
        <w:rPr>
          <w:sz w:val="24"/>
          <w:szCs w:val="24"/>
          <w:lang w:bidi="en-GB"/>
        </w:rPr>
        <w:t>Efavirenz/Emtricitabine/Tenofovir disoproxil "Glenmark"</w:t>
      </w:r>
      <w:r w:rsidRPr="0085642D">
        <w:rPr>
          <w:sz w:val="24"/>
          <w:szCs w:val="24"/>
        </w:rPr>
        <w:t xml:space="preserve"> må ikke gives samtidigt med adefovirdipivoxil eller med lægemidler, som indeholder tenofoviralafenamid.</w:t>
      </w:r>
    </w:p>
    <w:p w:rsidR="00D25F12" w:rsidRPr="0085642D" w:rsidRDefault="00D25F12" w:rsidP="00D25F12">
      <w:pPr>
        <w:ind w:left="851"/>
        <w:rPr>
          <w:sz w:val="24"/>
          <w:szCs w:val="24"/>
        </w:rPr>
      </w:pPr>
    </w:p>
    <w:p w:rsidR="00243EA6" w:rsidRDefault="00243EA6" w:rsidP="00243EA6">
      <w:pPr>
        <w:ind w:left="851"/>
        <w:rPr>
          <w:sz w:val="24"/>
          <w:szCs w:val="24"/>
        </w:rPr>
      </w:pPr>
      <w:r>
        <w:rPr>
          <w:sz w:val="24"/>
          <w:szCs w:val="24"/>
        </w:rPr>
        <w:lastRenderedPageBreak/>
        <w:t xml:space="preserve">Samtidig administration af </w:t>
      </w:r>
      <w:r>
        <w:rPr>
          <w:sz w:val="24"/>
          <w:szCs w:val="24"/>
          <w:lang w:bidi="en-GB"/>
        </w:rPr>
        <w:t>Efavirenz/Emtricitabine/Tenofovir disoproxil "Glenmark"</w:t>
      </w:r>
      <w:r>
        <w:rPr>
          <w:sz w:val="24"/>
          <w:szCs w:val="24"/>
        </w:rPr>
        <w:t xml:space="preserve"> og didanosin anbefales ikke (se pkt. 4.5). </w:t>
      </w:r>
    </w:p>
    <w:p w:rsidR="00D25F12" w:rsidRPr="0085642D" w:rsidRDefault="00D25F12" w:rsidP="00D25F12">
      <w:pPr>
        <w:ind w:left="851"/>
        <w:rPr>
          <w:sz w:val="24"/>
          <w:szCs w:val="24"/>
        </w:rPr>
      </w:pPr>
    </w:p>
    <w:p w:rsidR="00D25F12" w:rsidRPr="0085642D" w:rsidRDefault="00D25F12" w:rsidP="00D25F12">
      <w:pPr>
        <w:ind w:left="851"/>
        <w:rPr>
          <w:sz w:val="24"/>
          <w:szCs w:val="24"/>
        </w:rPr>
      </w:pPr>
      <w:r w:rsidRPr="0085642D">
        <w:rPr>
          <w:sz w:val="24"/>
          <w:szCs w:val="24"/>
        </w:rPr>
        <w:t xml:space="preserve">Samtidig administration af </w:t>
      </w:r>
      <w:r w:rsidRPr="0085642D">
        <w:rPr>
          <w:sz w:val="24"/>
          <w:szCs w:val="24"/>
          <w:lang w:bidi="en-GB"/>
        </w:rPr>
        <w:t>Efavirenz/Emtricitabine/Tenofovir disoproxil "Glenmark"</w:t>
      </w:r>
      <w:r w:rsidRPr="0085642D">
        <w:rPr>
          <w:sz w:val="24"/>
          <w:szCs w:val="24"/>
        </w:rPr>
        <w:t xml:space="preserve"> og sofosbuvir/velpatasvir eller sofosbuvir/velpatasvir/voxilaprevir frarådes, da plasmakoncentrationen af velpatasvir og voxilaprevir forventes at blive reduceret efter samtidig administration af efavirenz, som kan resultere i manglende terapeutisk virkning af sofosbuvir/velpatasvir eller sofosbuvir/velpatasvir/voxilaprevir (se pkt. 4.5).</w:t>
      </w:r>
    </w:p>
    <w:p w:rsidR="00D25F12" w:rsidRPr="0085642D" w:rsidRDefault="00D25F12" w:rsidP="00D25F12">
      <w:pPr>
        <w:ind w:left="851"/>
        <w:rPr>
          <w:sz w:val="24"/>
          <w:szCs w:val="24"/>
        </w:rPr>
      </w:pPr>
    </w:p>
    <w:p w:rsidR="00D25F12" w:rsidRPr="0085642D" w:rsidRDefault="00D25F12" w:rsidP="00D25F12">
      <w:pPr>
        <w:ind w:left="851"/>
        <w:rPr>
          <w:sz w:val="24"/>
          <w:szCs w:val="24"/>
        </w:rPr>
      </w:pPr>
      <w:r w:rsidRPr="0085642D">
        <w:rPr>
          <w:sz w:val="24"/>
          <w:szCs w:val="24"/>
        </w:rPr>
        <w:t xml:space="preserve">Der foreligger ingen data om sikkerheden og virkningen af </w:t>
      </w:r>
      <w:r w:rsidRPr="0085642D">
        <w:rPr>
          <w:sz w:val="24"/>
          <w:szCs w:val="24"/>
          <w:lang w:bidi="en-GB"/>
        </w:rPr>
        <w:t>Efavirenz/Emtricitabine/Tenofovir disoproxil "Glenmark"</w:t>
      </w:r>
      <w:r w:rsidRPr="0085642D">
        <w:rPr>
          <w:sz w:val="24"/>
          <w:szCs w:val="24"/>
        </w:rPr>
        <w:t xml:space="preserve"> i kombination med andre antiretrovirale lægemidler.</w:t>
      </w:r>
    </w:p>
    <w:p w:rsidR="00D25F12" w:rsidRPr="0085642D" w:rsidRDefault="00D25F12" w:rsidP="00D25F12">
      <w:pPr>
        <w:ind w:left="851"/>
        <w:rPr>
          <w:sz w:val="24"/>
          <w:szCs w:val="24"/>
        </w:rPr>
      </w:pPr>
    </w:p>
    <w:p w:rsidR="00D25F12" w:rsidRPr="0085642D" w:rsidRDefault="00D25F12" w:rsidP="00D25F12">
      <w:pPr>
        <w:ind w:left="851"/>
        <w:rPr>
          <w:sz w:val="24"/>
          <w:szCs w:val="24"/>
        </w:rPr>
      </w:pPr>
      <w:r w:rsidRPr="0085642D">
        <w:rPr>
          <w:sz w:val="24"/>
          <w:szCs w:val="24"/>
        </w:rPr>
        <w:t>Samtidig brug af Ginkgo biloba-ekstrakt frarådes (se pkt. 4.5).</w:t>
      </w:r>
    </w:p>
    <w:p w:rsidR="00D25F12" w:rsidRPr="0085642D" w:rsidRDefault="00D25F12" w:rsidP="00D25F12">
      <w:pPr>
        <w:ind w:left="851"/>
        <w:rPr>
          <w:sz w:val="24"/>
          <w:szCs w:val="24"/>
        </w:rPr>
      </w:pPr>
    </w:p>
    <w:p w:rsidR="00D25F12" w:rsidRPr="0085642D" w:rsidRDefault="00D25F12" w:rsidP="00D25F12">
      <w:pPr>
        <w:ind w:left="851"/>
        <w:rPr>
          <w:sz w:val="24"/>
          <w:szCs w:val="24"/>
        </w:rPr>
      </w:pPr>
      <w:r w:rsidRPr="0085642D">
        <w:rPr>
          <w:sz w:val="24"/>
          <w:szCs w:val="24"/>
          <w:u w:val="single"/>
        </w:rPr>
        <w:t>Ved skift fra en antiretroviral behandling, der er baseret på proteasehæmmere</w:t>
      </w:r>
    </w:p>
    <w:p w:rsidR="00D25F12" w:rsidRPr="0085642D" w:rsidRDefault="00D25F12" w:rsidP="00D25F12">
      <w:pPr>
        <w:ind w:left="851"/>
        <w:rPr>
          <w:sz w:val="24"/>
          <w:szCs w:val="24"/>
        </w:rPr>
      </w:pPr>
      <w:r w:rsidRPr="0085642D">
        <w:rPr>
          <w:sz w:val="24"/>
          <w:szCs w:val="24"/>
        </w:rPr>
        <w:t>De eksisterende data, antyder, at det kan medføre en reduktion i behandlingsresponsen, når patienter skifter fra en antiretroviral behandling, der er baseret på proteasehæmmere, til efavirenz/emtricitabin/tenofovirdisoproxil, (se pkt. 5.1). Disse patienter skal monitoreres omhyggeligt for bivirkninger og stigning i viræmi, da sikkerhedsprofilen for efavirenz er forskellig fra proteasehæmmeres sikkerhedsprofil.</w:t>
      </w:r>
    </w:p>
    <w:p w:rsidR="00D25F12" w:rsidRPr="0085642D" w:rsidRDefault="00D25F12" w:rsidP="00D25F12">
      <w:pPr>
        <w:ind w:left="851"/>
        <w:rPr>
          <w:sz w:val="24"/>
          <w:szCs w:val="24"/>
        </w:rPr>
      </w:pPr>
    </w:p>
    <w:p w:rsidR="00D25F12" w:rsidRPr="0085642D" w:rsidRDefault="00D25F12" w:rsidP="00D25F12">
      <w:pPr>
        <w:ind w:left="851"/>
        <w:rPr>
          <w:sz w:val="24"/>
          <w:szCs w:val="24"/>
        </w:rPr>
      </w:pPr>
      <w:r w:rsidRPr="0085642D">
        <w:rPr>
          <w:sz w:val="24"/>
          <w:szCs w:val="24"/>
          <w:u w:val="single"/>
        </w:rPr>
        <w:t>Opportunistiske infektioner</w:t>
      </w:r>
    </w:p>
    <w:p w:rsidR="00D25F12" w:rsidRPr="0085642D" w:rsidRDefault="00D25F12" w:rsidP="00D25F12">
      <w:pPr>
        <w:ind w:left="851"/>
        <w:rPr>
          <w:sz w:val="24"/>
          <w:szCs w:val="24"/>
        </w:rPr>
      </w:pPr>
      <w:r w:rsidRPr="0085642D">
        <w:rPr>
          <w:sz w:val="24"/>
          <w:szCs w:val="24"/>
        </w:rPr>
        <w:t xml:space="preserve">Patienter, der får </w:t>
      </w:r>
      <w:r w:rsidRPr="0085642D">
        <w:rPr>
          <w:sz w:val="24"/>
          <w:szCs w:val="24"/>
          <w:lang w:bidi="en-GB"/>
        </w:rPr>
        <w:t>Efavirenz/Emtricitabine/Tenofovir disoproxil "Glenmark"</w:t>
      </w:r>
      <w:r w:rsidRPr="0085642D">
        <w:rPr>
          <w:sz w:val="24"/>
          <w:szCs w:val="24"/>
        </w:rPr>
        <w:t xml:space="preserve"> eller anden antiretroviral behandling, kan fortsat udvikle opportunistiske infektioner og andre hiv</w:t>
      </w:r>
      <w:r w:rsidRPr="0085642D">
        <w:rPr>
          <w:sz w:val="24"/>
          <w:szCs w:val="24"/>
        </w:rPr>
        <w:noBreakHyphen/>
        <w:t>relaterede komplikationer og bør derfor fortsætte under tæt klinisk observation af læger, der har erfaring med behandling af patienter med hiv</w:t>
      </w:r>
      <w:r w:rsidRPr="0085642D">
        <w:rPr>
          <w:sz w:val="24"/>
          <w:szCs w:val="24"/>
        </w:rPr>
        <w:noBreakHyphen/>
        <w:t>associerede sygdomme.</w:t>
      </w:r>
    </w:p>
    <w:p w:rsidR="00D25F12" w:rsidRPr="0085642D" w:rsidRDefault="00D25F12" w:rsidP="00D25F12">
      <w:pPr>
        <w:ind w:left="851"/>
        <w:rPr>
          <w:sz w:val="24"/>
          <w:szCs w:val="24"/>
        </w:rPr>
      </w:pPr>
    </w:p>
    <w:p w:rsidR="00D25F12" w:rsidRPr="0085642D" w:rsidRDefault="00D25F12" w:rsidP="00D25F12">
      <w:pPr>
        <w:ind w:left="851"/>
        <w:rPr>
          <w:sz w:val="24"/>
          <w:szCs w:val="24"/>
        </w:rPr>
      </w:pPr>
      <w:r w:rsidRPr="0085642D">
        <w:rPr>
          <w:sz w:val="24"/>
          <w:szCs w:val="24"/>
          <w:u w:val="single"/>
        </w:rPr>
        <w:t>Overførsel af hiv</w:t>
      </w:r>
    </w:p>
    <w:p w:rsidR="00D25F12" w:rsidRPr="0085642D" w:rsidRDefault="00D25F12" w:rsidP="00D25F12">
      <w:pPr>
        <w:ind w:left="851"/>
        <w:rPr>
          <w:sz w:val="24"/>
          <w:szCs w:val="24"/>
        </w:rPr>
      </w:pPr>
      <w:r w:rsidRPr="0085642D">
        <w:rPr>
          <w:sz w:val="24"/>
          <w:szCs w:val="24"/>
        </w:rPr>
        <w:t>Selvom effektiv viral suppression med antiretroviral behandling har vist sig at nedsætte risikoen væsentligt for seksuel overførsel, kan en residual risiko ikke udelukkes. Der bør træffes foranstaltninger med henblik på at forebygge overførsel i overensstemmelse med nationale retningslinjer.</w:t>
      </w:r>
    </w:p>
    <w:p w:rsidR="00D25F12" w:rsidRPr="0085642D" w:rsidRDefault="00D25F12" w:rsidP="00D25F12">
      <w:pPr>
        <w:ind w:left="851"/>
        <w:rPr>
          <w:sz w:val="24"/>
          <w:szCs w:val="24"/>
        </w:rPr>
      </w:pPr>
    </w:p>
    <w:p w:rsidR="00D25F12" w:rsidRPr="0085642D" w:rsidRDefault="00D25F12" w:rsidP="00D25F12">
      <w:pPr>
        <w:ind w:left="851"/>
        <w:rPr>
          <w:sz w:val="24"/>
          <w:szCs w:val="24"/>
        </w:rPr>
      </w:pPr>
      <w:r w:rsidRPr="0085642D">
        <w:rPr>
          <w:sz w:val="24"/>
          <w:szCs w:val="24"/>
          <w:u w:val="single"/>
        </w:rPr>
        <w:t>Virkning af mad</w:t>
      </w:r>
    </w:p>
    <w:p w:rsidR="00D25F12" w:rsidRPr="0085642D" w:rsidRDefault="00D25F12" w:rsidP="00D25F12">
      <w:pPr>
        <w:ind w:left="851"/>
        <w:rPr>
          <w:sz w:val="24"/>
          <w:szCs w:val="24"/>
        </w:rPr>
      </w:pPr>
      <w:r w:rsidRPr="0085642D">
        <w:rPr>
          <w:sz w:val="24"/>
          <w:szCs w:val="24"/>
        </w:rPr>
        <w:t>Administration af efavirenz/emtricitabin/tenofovirdisoproxil sammen med mad kan øge efavirenz</w:t>
      </w:r>
      <w:r w:rsidRPr="0085642D">
        <w:rPr>
          <w:sz w:val="24"/>
          <w:szCs w:val="24"/>
        </w:rPr>
        <w:noBreakHyphen/>
        <w:t>eksponeringen (se pkt. 5.2) og kan føre til øget bivirkningsfrekvens (se pkt. 4.8). Det anbefales, at efavirenz/emtricitabin/tenofovirdisoproxil tages på tom mave, helst ved sengetid.</w:t>
      </w:r>
    </w:p>
    <w:p w:rsidR="00D25F12" w:rsidRPr="0085642D" w:rsidRDefault="00D25F12" w:rsidP="00D25F12">
      <w:pPr>
        <w:ind w:left="851"/>
        <w:rPr>
          <w:sz w:val="24"/>
          <w:szCs w:val="24"/>
        </w:rPr>
      </w:pPr>
    </w:p>
    <w:p w:rsidR="00D25F12" w:rsidRPr="0085642D" w:rsidRDefault="00D25F12" w:rsidP="00D25F12">
      <w:pPr>
        <w:ind w:left="851"/>
        <w:rPr>
          <w:sz w:val="24"/>
          <w:szCs w:val="24"/>
        </w:rPr>
      </w:pPr>
      <w:r w:rsidRPr="0085642D">
        <w:rPr>
          <w:sz w:val="24"/>
          <w:szCs w:val="24"/>
          <w:u w:val="single"/>
        </w:rPr>
        <w:t>Leversygdom</w:t>
      </w:r>
    </w:p>
    <w:p w:rsidR="00D25F12" w:rsidRPr="0085642D" w:rsidRDefault="00D25F12" w:rsidP="00D25F12">
      <w:pPr>
        <w:ind w:left="851"/>
        <w:rPr>
          <w:sz w:val="24"/>
          <w:szCs w:val="24"/>
        </w:rPr>
      </w:pPr>
      <w:r w:rsidRPr="0085642D">
        <w:rPr>
          <w:sz w:val="24"/>
          <w:szCs w:val="24"/>
        </w:rPr>
        <w:t xml:space="preserve">Efavirenz/emtricitabin/tenofovirdisoproxils farmakokinetik, sikkerhed og virkning er ikke klarlagt hos patienter med signifikante, tilgrundliggende leversygdomme (se pkt. 5.2). </w:t>
      </w:r>
      <w:r w:rsidRPr="0085642D">
        <w:rPr>
          <w:sz w:val="24"/>
          <w:szCs w:val="24"/>
          <w:lang w:bidi="en-GB"/>
        </w:rPr>
        <w:t>Efavirenz/Emtricitabine/Tenofovir disoproxil "Glenmark"</w:t>
      </w:r>
      <w:r w:rsidRPr="0085642D">
        <w:rPr>
          <w:sz w:val="24"/>
          <w:szCs w:val="24"/>
        </w:rPr>
        <w:t xml:space="preserve"> er kontraindiceret hos patienter med svær nedsat leverfunktion (se pkt. 4.3) og bør ikke anvendes til patienter med moderat nedsat leverfunktion. Da efavirenz hovedsageligt metaboliseres ved hjælp af CYP</w:t>
      </w:r>
      <w:r w:rsidRPr="0085642D">
        <w:rPr>
          <w:sz w:val="24"/>
          <w:szCs w:val="24"/>
        </w:rPr>
        <w:noBreakHyphen/>
        <w:t xml:space="preserve">systemet, bør forsigtighed udvises ved administration af </w:t>
      </w:r>
      <w:r w:rsidRPr="0085642D">
        <w:rPr>
          <w:sz w:val="24"/>
          <w:szCs w:val="24"/>
          <w:lang w:bidi="en-GB"/>
        </w:rPr>
        <w:t>Efavirenz/Emtricita</w:t>
      </w:r>
      <w:r w:rsidRPr="0085642D">
        <w:rPr>
          <w:sz w:val="24"/>
          <w:szCs w:val="24"/>
          <w:lang w:bidi="en-GB"/>
        </w:rPr>
        <w:softHyphen/>
        <w:t>bine/Teno</w:t>
      </w:r>
      <w:r w:rsidRPr="0085642D">
        <w:rPr>
          <w:sz w:val="24"/>
          <w:szCs w:val="24"/>
          <w:lang w:bidi="en-GB"/>
        </w:rPr>
        <w:softHyphen/>
        <w:t>fovir disoproxil "Glenmark"</w:t>
      </w:r>
      <w:r w:rsidRPr="0085642D">
        <w:rPr>
          <w:sz w:val="24"/>
          <w:szCs w:val="24"/>
        </w:rPr>
        <w:t xml:space="preserve"> til patienter med let nedsat leverfunktion. Disse patienter bør monitoreres omhyggeligt med henblik på efavirenz</w:t>
      </w:r>
      <w:r w:rsidRPr="0085642D">
        <w:rPr>
          <w:sz w:val="24"/>
          <w:szCs w:val="24"/>
        </w:rPr>
        <w:noBreakHyphen/>
        <w:t>bivirkninger, især symptomer fra nervesystemet. Der bør regelmæssigt udføres laboratorietests til evaluering af deres leversygdom (se pkt. 4.2).</w:t>
      </w:r>
    </w:p>
    <w:p w:rsidR="00D25F12" w:rsidRPr="0085642D" w:rsidRDefault="00D25F12" w:rsidP="00D25F12">
      <w:pPr>
        <w:ind w:left="851"/>
        <w:rPr>
          <w:sz w:val="24"/>
          <w:szCs w:val="24"/>
        </w:rPr>
      </w:pPr>
    </w:p>
    <w:p w:rsidR="00D25F12" w:rsidRPr="0085642D" w:rsidRDefault="00D25F12" w:rsidP="00D25F12">
      <w:pPr>
        <w:ind w:left="851"/>
        <w:rPr>
          <w:sz w:val="24"/>
          <w:szCs w:val="24"/>
        </w:rPr>
      </w:pPr>
      <w:r w:rsidRPr="0085642D">
        <w:rPr>
          <w:sz w:val="24"/>
          <w:szCs w:val="24"/>
        </w:rPr>
        <w:t xml:space="preserve">Hos patienter med tidligere tilfælde af leverdysfunktion, herunder kronisk aktiv hepatitis, er der en øget forekomst af unormal leverfunktion under antiretroviral kombinationsbehandling (CART), og disse patienter bør monitoreres i henhold til standardprocedurer. Ved tegn på forværring af leversygdom eller vedvarende forhøjelse af serumaminotransferaser til mere end 5 gange den øvre normalgrænse, skal fordelen ved fortsat behandling med </w:t>
      </w:r>
      <w:r w:rsidRPr="0085642D">
        <w:rPr>
          <w:sz w:val="24"/>
          <w:szCs w:val="24"/>
          <w:lang w:bidi="en-GB"/>
        </w:rPr>
        <w:t>Efavirenz/Emtricitabine/Tenofovir disoproxil "Glenmark"</w:t>
      </w:r>
      <w:r w:rsidRPr="0085642D">
        <w:rPr>
          <w:sz w:val="24"/>
          <w:szCs w:val="24"/>
        </w:rPr>
        <w:t xml:space="preserve"> vurderes i forhold til de potentielle risici ved signifikant levertoksicitet. Hos sådanne patienter bør det overvejes at afbryde eller seponere behandlingen (se pkt. 4.8).</w:t>
      </w:r>
    </w:p>
    <w:p w:rsidR="00D25F12" w:rsidRPr="0085642D" w:rsidRDefault="00D25F12" w:rsidP="00D25F12">
      <w:pPr>
        <w:ind w:left="851"/>
        <w:rPr>
          <w:sz w:val="24"/>
          <w:szCs w:val="24"/>
        </w:rPr>
      </w:pPr>
    </w:p>
    <w:p w:rsidR="00D25F12" w:rsidRPr="0085642D" w:rsidRDefault="00D25F12" w:rsidP="00D25F12">
      <w:pPr>
        <w:ind w:left="851"/>
        <w:rPr>
          <w:sz w:val="24"/>
          <w:szCs w:val="24"/>
        </w:rPr>
      </w:pPr>
      <w:r w:rsidRPr="0085642D">
        <w:rPr>
          <w:sz w:val="24"/>
          <w:szCs w:val="24"/>
        </w:rPr>
        <w:t>Hos patienter, der er behandlet med andre lægemidler, der sættes i forbindelse med levertoksicitet, anbefales monitorering af leverenzymer.</w:t>
      </w:r>
    </w:p>
    <w:p w:rsidR="00D25F12" w:rsidRPr="0085642D" w:rsidRDefault="00D25F12" w:rsidP="00D25F12">
      <w:pPr>
        <w:ind w:left="851"/>
        <w:rPr>
          <w:sz w:val="24"/>
          <w:szCs w:val="24"/>
        </w:rPr>
      </w:pPr>
    </w:p>
    <w:p w:rsidR="00D25F12" w:rsidRPr="0085642D" w:rsidRDefault="00D25F12" w:rsidP="00D25F12">
      <w:pPr>
        <w:ind w:left="851"/>
        <w:rPr>
          <w:i/>
          <w:sz w:val="24"/>
          <w:szCs w:val="24"/>
        </w:rPr>
      </w:pPr>
      <w:r w:rsidRPr="0085642D">
        <w:rPr>
          <w:i/>
          <w:sz w:val="24"/>
          <w:szCs w:val="24"/>
        </w:rPr>
        <w:t>Leverproblemer</w:t>
      </w:r>
    </w:p>
    <w:p w:rsidR="00D25F12" w:rsidRPr="0085642D" w:rsidRDefault="00D25F12" w:rsidP="00D25F12">
      <w:pPr>
        <w:ind w:left="851"/>
        <w:rPr>
          <w:sz w:val="24"/>
          <w:szCs w:val="24"/>
        </w:rPr>
      </w:pPr>
      <w:r w:rsidRPr="0085642D">
        <w:rPr>
          <w:sz w:val="24"/>
          <w:szCs w:val="24"/>
        </w:rPr>
        <w:t>Efter markedsføring er der også indberettet om leversvigt hos patienter uden præeksisterende leversygdom eller andre identificerede risikofaktorer (se pkt. 4.8). Monitorering af leverenzymer bør overvejes hos alle patienter, uanset om der er leverdysfunktion eller andre risikofaktorer i anamnesen.</w:t>
      </w:r>
    </w:p>
    <w:p w:rsidR="00D25F12" w:rsidRPr="0085642D" w:rsidRDefault="00D25F12" w:rsidP="00D25F12">
      <w:pPr>
        <w:ind w:left="851"/>
        <w:rPr>
          <w:sz w:val="24"/>
          <w:szCs w:val="24"/>
        </w:rPr>
      </w:pPr>
    </w:p>
    <w:p w:rsidR="00D25F12" w:rsidRPr="0085642D" w:rsidRDefault="00D25F12" w:rsidP="00D25F12">
      <w:pPr>
        <w:ind w:left="851"/>
        <w:rPr>
          <w:i/>
          <w:sz w:val="24"/>
          <w:szCs w:val="24"/>
        </w:rPr>
      </w:pPr>
      <w:r w:rsidRPr="0085642D">
        <w:rPr>
          <w:i/>
          <w:sz w:val="24"/>
          <w:szCs w:val="24"/>
        </w:rPr>
        <w:t>Patienter med hiv, som samtidigt er inficerede med hepatitis B- (HBV) eller C</w:t>
      </w:r>
      <w:r w:rsidRPr="0085642D">
        <w:rPr>
          <w:i/>
          <w:sz w:val="24"/>
          <w:szCs w:val="24"/>
        </w:rPr>
        <w:noBreakHyphen/>
        <w:t>(HVC)virus</w:t>
      </w:r>
    </w:p>
    <w:p w:rsidR="00D25F12" w:rsidRPr="0085642D" w:rsidRDefault="00D25F12" w:rsidP="00D25F12">
      <w:pPr>
        <w:ind w:left="851"/>
        <w:rPr>
          <w:sz w:val="24"/>
          <w:szCs w:val="24"/>
        </w:rPr>
      </w:pPr>
      <w:r w:rsidRPr="0085642D">
        <w:rPr>
          <w:sz w:val="24"/>
          <w:szCs w:val="24"/>
        </w:rPr>
        <w:t>Hos patienter med kronisk hepatitis B eller C, som behandles med CART, er der en øget risiko for svære og potentielt fatale, hepatiske bivirkninger.</w:t>
      </w:r>
    </w:p>
    <w:p w:rsidR="00D25F12" w:rsidRPr="0085642D" w:rsidRDefault="00D25F12" w:rsidP="00D25F12">
      <w:pPr>
        <w:ind w:left="851"/>
        <w:rPr>
          <w:sz w:val="24"/>
          <w:szCs w:val="24"/>
        </w:rPr>
      </w:pPr>
    </w:p>
    <w:p w:rsidR="00D25F12" w:rsidRPr="0085642D" w:rsidRDefault="00D25F12" w:rsidP="00D25F12">
      <w:pPr>
        <w:ind w:left="851"/>
        <w:rPr>
          <w:sz w:val="24"/>
          <w:szCs w:val="24"/>
        </w:rPr>
      </w:pPr>
      <w:r w:rsidRPr="0085642D">
        <w:rPr>
          <w:sz w:val="24"/>
          <w:szCs w:val="24"/>
        </w:rPr>
        <w:t>Læger bør holde sig til de aktuelle hiv</w:t>
      </w:r>
      <w:r w:rsidRPr="0085642D">
        <w:rPr>
          <w:sz w:val="24"/>
          <w:szCs w:val="24"/>
        </w:rPr>
        <w:noBreakHyphen/>
        <w:t>behandlingsretningslinjer for optimal håndtering af hiv</w:t>
      </w:r>
      <w:r w:rsidRPr="0085642D">
        <w:rPr>
          <w:sz w:val="24"/>
          <w:szCs w:val="24"/>
        </w:rPr>
        <w:noBreakHyphen/>
        <w:t>infektion hos patienter med samtidig infektion med HBV.</w:t>
      </w:r>
    </w:p>
    <w:p w:rsidR="00D25F12" w:rsidRPr="0085642D" w:rsidRDefault="00D25F12" w:rsidP="00D25F12">
      <w:pPr>
        <w:ind w:left="851"/>
        <w:rPr>
          <w:sz w:val="24"/>
          <w:szCs w:val="24"/>
        </w:rPr>
      </w:pPr>
    </w:p>
    <w:p w:rsidR="00D25F12" w:rsidRPr="0085642D" w:rsidRDefault="00D25F12" w:rsidP="00D25F12">
      <w:pPr>
        <w:ind w:left="851"/>
        <w:rPr>
          <w:sz w:val="24"/>
          <w:szCs w:val="24"/>
        </w:rPr>
      </w:pPr>
      <w:r w:rsidRPr="0085642D">
        <w:rPr>
          <w:sz w:val="24"/>
          <w:szCs w:val="24"/>
        </w:rPr>
        <w:t>I tilfælde af samtidig antiviral behandling af hepatitis B eller C henvises der også til de relevante produktresuméer for disse lægemidler.</w:t>
      </w:r>
    </w:p>
    <w:p w:rsidR="00D25F12" w:rsidRPr="0085642D" w:rsidRDefault="00D25F12" w:rsidP="00D25F12">
      <w:pPr>
        <w:ind w:left="851"/>
        <w:rPr>
          <w:sz w:val="24"/>
          <w:szCs w:val="24"/>
        </w:rPr>
      </w:pPr>
    </w:p>
    <w:p w:rsidR="00D25F12" w:rsidRPr="0085642D" w:rsidRDefault="00D25F12" w:rsidP="00D25F12">
      <w:pPr>
        <w:ind w:left="851"/>
        <w:rPr>
          <w:sz w:val="24"/>
          <w:szCs w:val="24"/>
        </w:rPr>
      </w:pPr>
      <w:r w:rsidRPr="0085642D">
        <w:rPr>
          <w:sz w:val="24"/>
          <w:szCs w:val="24"/>
        </w:rPr>
        <w:t>Sikkerhed og virkning af efavirenz/emtricitabin/tenofovirdisoproxil er ikke undersøgt til behandling af kronisk HBV</w:t>
      </w:r>
      <w:r w:rsidRPr="0085642D">
        <w:rPr>
          <w:sz w:val="24"/>
          <w:szCs w:val="24"/>
        </w:rPr>
        <w:noBreakHyphen/>
        <w:t>infektion. Emtricitabin og tenofovir, individuelt og i kombinationsbehandling, har udvist aktivitet mod HBV i farmakodynamiske studier (se pkt. 5.1). Begrænset klinisk erfaring tyder på, at emtricitabin og tenofovirdisoproxil har anti</w:t>
      </w:r>
      <w:r w:rsidRPr="0085642D">
        <w:rPr>
          <w:sz w:val="24"/>
          <w:szCs w:val="24"/>
        </w:rPr>
        <w:noBreakHyphen/>
        <w:t>HBV-aktivitet, når de anvendes i antiretroviral kombinationsbehandling til at kontrollere hiv-infektion. Seponering af efavirenz/emtricitabin/tenofovirdisoproxil hos patienter, der har både hiv og HBV, kan være forbundet med svær, akut forværring af hepatitis. Patienter med hiv</w:t>
      </w:r>
      <w:r w:rsidRPr="0085642D">
        <w:rPr>
          <w:sz w:val="24"/>
          <w:szCs w:val="24"/>
        </w:rPr>
        <w:noBreakHyphen/>
        <w:t xml:space="preserve">infektion, som samtidigt er inficerede med HBV, og som seponerer behandlingen med </w:t>
      </w:r>
      <w:r w:rsidRPr="0085642D">
        <w:rPr>
          <w:sz w:val="24"/>
          <w:szCs w:val="24"/>
          <w:lang w:bidi="en-GB"/>
        </w:rPr>
        <w:t>Efavirenz/Emtricitabine/Tenofovir disoproxil "Glenmark"</w:t>
      </w:r>
      <w:r w:rsidRPr="0085642D">
        <w:rPr>
          <w:sz w:val="24"/>
          <w:szCs w:val="24"/>
        </w:rPr>
        <w:t>, bør overvåges nøje med både klinisk og laboratoriemæssig opfølgning i mindst 4 måneder efter, at behandling med efavirenz/emtricitabin/tenofovirdisoproxil er ophørt. Genoptagelse af hepatitis B</w:t>
      </w:r>
      <w:r w:rsidRPr="0085642D">
        <w:rPr>
          <w:sz w:val="24"/>
          <w:szCs w:val="24"/>
        </w:rPr>
        <w:noBreakHyphen/>
        <w:t>behandling kan være nødvendig. Behandlingen bør ikke seponeres hos patienter med fremskreden leversygdom eller levercirrose, da forværringen efter behandlingsophør kan føre til hepatisk dekompensation.</w:t>
      </w:r>
    </w:p>
    <w:p w:rsidR="00D25F12" w:rsidRPr="0085642D" w:rsidRDefault="00D25F12" w:rsidP="00D25F12">
      <w:pPr>
        <w:ind w:left="851"/>
        <w:rPr>
          <w:sz w:val="24"/>
          <w:szCs w:val="24"/>
        </w:rPr>
      </w:pPr>
    </w:p>
    <w:p w:rsidR="00D25F12" w:rsidRPr="0085642D" w:rsidRDefault="00D25F12" w:rsidP="00D25F12">
      <w:pPr>
        <w:ind w:left="851"/>
        <w:rPr>
          <w:sz w:val="24"/>
          <w:szCs w:val="24"/>
        </w:rPr>
      </w:pPr>
      <w:r w:rsidRPr="0085642D">
        <w:rPr>
          <w:sz w:val="24"/>
          <w:szCs w:val="24"/>
          <w:u w:val="single"/>
        </w:rPr>
        <w:t>QTc</w:t>
      </w:r>
      <w:r w:rsidRPr="0085642D">
        <w:rPr>
          <w:sz w:val="24"/>
          <w:szCs w:val="24"/>
          <w:u w:val="single"/>
        </w:rPr>
        <w:noBreakHyphen/>
        <w:t>forlængelse</w:t>
      </w:r>
    </w:p>
    <w:p w:rsidR="00D25F12" w:rsidRPr="0085642D" w:rsidRDefault="00D25F12" w:rsidP="00D25F12">
      <w:pPr>
        <w:ind w:left="851"/>
        <w:rPr>
          <w:sz w:val="24"/>
          <w:szCs w:val="24"/>
        </w:rPr>
      </w:pPr>
      <w:r w:rsidRPr="0085642D">
        <w:rPr>
          <w:sz w:val="24"/>
          <w:szCs w:val="24"/>
        </w:rPr>
        <w:t>Der er set QTc</w:t>
      </w:r>
      <w:r w:rsidRPr="0085642D">
        <w:rPr>
          <w:sz w:val="24"/>
          <w:szCs w:val="24"/>
        </w:rPr>
        <w:noBreakHyphen/>
        <w:t>forlængelse i forbindelse med brug af efavirenz (se pkt. 4.5 og 5.1). For patienter, som har øget risiko for Torsade de Pointes, eller som får lægemidler, der er forbundet med kendt risiko for Torsade de Pointes, bør alternativer til efavirenz/emtricitabin/tenofovirdisoproxil overvejes.</w:t>
      </w:r>
    </w:p>
    <w:p w:rsidR="00D25F12" w:rsidRPr="0085642D" w:rsidRDefault="00D25F12" w:rsidP="00D25F12">
      <w:pPr>
        <w:ind w:left="851"/>
        <w:rPr>
          <w:sz w:val="24"/>
          <w:szCs w:val="24"/>
        </w:rPr>
      </w:pPr>
    </w:p>
    <w:p w:rsidR="00D25F12" w:rsidRPr="0085642D" w:rsidRDefault="00D25F12" w:rsidP="003630D4">
      <w:pPr>
        <w:keepNext/>
        <w:ind w:left="851"/>
        <w:rPr>
          <w:sz w:val="24"/>
          <w:szCs w:val="24"/>
        </w:rPr>
      </w:pPr>
      <w:r w:rsidRPr="0085642D">
        <w:rPr>
          <w:sz w:val="24"/>
          <w:szCs w:val="24"/>
          <w:u w:val="single"/>
        </w:rPr>
        <w:lastRenderedPageBreak/>
        <w:t>Psykiatriske symptomer</w:t>
      </w:r>
    </w:p>
    <w:p w:rsidR="00D25F12" w:rsidRPr="0085642D" w:rsidRDefault="00D25F12" w:rsidP="00D25F12">
      <w:pPr>
        <w:ind w:left="851"/>
        <w:rPr>
          <w:sz w:val="24"/>
          <w:szCs w:val="24"/>
        </w:rPr>
      </w:pPr>
      <w:r w:rsidRPr="0085642D">
        <w:rPr>
          <w:sz w:val="24"/>
          <w:szCs w:val="24"/>
        </w:rPr>
        <w:t>Psykiatriske bivirkninger er indberettet hos patienter behandlet med efavirenz. Patienter med psykiatriske lidelser i anamnesen synes at have større risiko for alvorlige psykiatriske bivirkninger. Specielt har svær depression været mere hyppig hos patienter med depression i anamnesen. Efter markedsføring har der ligeledes været indberetninger vedrørende svær depression, selvmord, vrangforestillinger, psykoselignende adfærd og katatoni. Patienterne bør rådes til straks at kontakte deres læge, hvis de oplever symptomer som svær depression, psykose eller selvmordstanker, med henblik på vurdering af, om symptomerne er relateret til brugen af efavirenz, og hvis dette er tilfældet, for at beslutte hvorvidt risici ved fortsat behandling overstiger fordelene (se pkt. 4.8).</w:t>
      </w:r>
    </w:p>
    <w:p w:rsidR="00D25F12" w:rsidRPr="0085642D" w:rsidRDefault="00D25F12" w:rsidP="00D25F12">
      <w:pPr>
        <w:ind w:left="851"/>
        <w:rPr>
          <w:sz w:val="24"/>
          <w:szCs w:val="24"/>
        </w:rPr>
      </w:pPr>
    </w:p>
    <w:p w:rsidR="00D25F12" w:rsidRPr="0085642D" w:rsidRDefault="00D25F12" w:rsidP="00D25F12">
      <w:pPr>
        <w:ind w:left="851"/>
        <w:rPr>
          <w:sz w:val="24"/>
          <w:szCs w:val="24"/>
        </w:rPr>
      </w:pPr>
      <w:r w:rsidRPr="0085642D">
        <w:rPr>
          <w:sz w:val="24"/>
          <w:szCs w:val="24"/>
          <w:u w:val="single"/>
        </w:rPr>
        <w:t>Symptomer fra nervesystemet</w:t>
      </w:r>
    </w:p>
    <w:p w:rsidR="00D25F12" w:rsidRPr="0085642D" w:rsidRDefault="00D25F12" w:rsidP="00D25F12">
      <w:pPr>
        <w:ind w:left="851"/>
        <w:rPr>
          <w:sz w:val="24"/>
          <w:szCs w:val="24"/>
        </w:rPr>
      </w:pPr>
      <w:r w:rsidRPr="0085642D">
        <w:rPr>
          <w:sz w:val="24"/>
          <w:szCs w:val="24"/>
        </w:rPr>
        <w:t>Symptomer, der inkluderer, men ikke er begrænset til, svimmelhed, søvnløshed, døsighed, nedsat koncentrationsevne og abnorme drømme er hyppigt indberettede bivirkninger hos patienter i kliniske studier i behandling med efavirenz 600 mg dagligt. Svimmelhed er også set i kliniske studier med emtricitabin og tenofovirdisoproxil. Hovedpine er indberettet i kliniske studier med emtricitabin (se pkt. 4.8). Symptomer fra nervesystemet associeret med efavirenz starter sædvanligvis inden for de første 1</w:t>
      </w:r>
      <w:r w:rsidRPr="0085642D">
        <w:rPr>
          <w:sz w:val="24"/>
          <w:szCs w:val="24"/>
        </w:rPr>
        <w:noBreakHyphen/>
        <w:t>2 dage af behandlingen og forsvinder sædvanligvis efter de første 2</w:t>
      </w:r>
      <w:r w:rsidRPr="0085642D">
        <w:rPr>
          <w:sz w:val="24"/>
          <w:szCs w:val="24"/>
        </w:rPr>
        <w:noBreakHyphen/>
        <w:t>4 uger. Patienterne bør informeres om, at disse almindelige bivirkninger sandsynligvis bedres ved fortsat behandling, og at de ikke betyder, at der efterfølgende vil opstå nogle af de mindre hyppige psykiatriske symptomer.</w:t>
      </w:r>
    </w:p>
    <w:p w:rsidR="00D25F12" w:rsidRPr="0085642D" w:rsidRDefault="00D25F12" w:rsidP="00D25F12">
      <w:pPr>
        <w:ind w:left="851"/>
        <w:rPr>
          <w:sz w:val="24"/>
          <w:szCs w:val="24"/>
        </w:rPr>
      </w:pPr>
    </w:p>
    <w:p w:rsidR="00D25F12" w:rsidRPr="0085642D" w:rsidRDefault="00D25F12" w:rsidP="00D25F12">
      <w:pPr>
        <w:ind w:left="851"/>
        <w:rPr>
          <w:sz w:val="24"/>
          <w:szCs w:val="24"/>
        </w:rPr>
      </w:pPr>
      <w:r w:rsidRPr="0085642D">
        <w:rPr>
          <w:sz w:val="24"/>
          <w:szCs w:val="24"/>
          <w:u w:val="single"/>
        </w:rPr>
        <w:t>Kramper</w:t>
      </w:r>
    </w:p>
    <w:p w:rsidR="00D25F12" w:rsidRPr="0085642D" w:rsidRDefault="00D25F12" w:rsidP="00D25F12">
      <w:pPr>
        <w:ind w:left="851"/>
        <w:rPr>
          <w:sz w:val="24"/>
          <w:szCs w:val="24"/>
        </w:rPr>
      </w:pPr>
      <w:r w:rsidRPr="0085642D">
        <w:rPr>
          <w:sz w:val="24"/>
          <w:szCs w:val="24"/>
        </w:rPr>
        <w:t>Der er set krampeanfald hos patienter i efavirenzbehandling, sædvanligvis i forbindelse med kramper i anamnesen. Patienter, som samtidig får krampestillende medicin, der primært metaboliseres i leveren, som f.eks. phenytoin, carbamazepin og phenobarbital, kan have brug for periodisk monitorering af plasmakoncentrationerne. I et interaktionsstudie sås lavere carbamazepin plasmakoncentration, når carbamazepin blev administreret sammen med efavirenz (se pkt. 4.5). Der bør udvises forsigtighed hos patienter med kramper i anamnesen.</w:t>
      </w:r>
    </w:p>
    <w:p w:rsidR="00D25F12" w:rsidRPr="0085642D" w:rsidRDefault="00D25F12" w:rsidP="00D25F12">
      <w:pPr>
        <w:ind w:left="851"/>
        <w:rPr>
          <w:sz w:val="24"/>
          <w:szCs w:val="24"/>
        </w:rPr>
      </w:pPr>
    </w:p>
    <w:p w:rsidR="00D25F12" w:rsidRPr="0085642D" w:rsidRDefault="00D25F12" w:rsidP="00D25F12">
      <w:pPr>
        <w:ind w:left="851"/>
        <w:rPr>
          <w:sz w:val="24"/>
          <w:szCs w:val="24"/>
        </w:rPr>
      </w:pPr>
      <w:r w:rsidRPr="0085642D">
        <w:rPr>
          <w:sz w:val="24"/>
          <w:szCs w:val="24"/>
          <w:u w:val="single"/>
        </w:rPr>
        <w:t>Nedsat nyrefunktion</w:t>
      </w:r>
    </w:p>
    <w:p w:rsidR="00D25F12" w:rsidRPr="0085642D" w:rsidRDefault="00D25F12" w:rsidP="00D25F12">
      <w:pPr>
        <w:ind w:left="851"/>
        <w:rPr>
          <w:sz w:val="24"/>
          <w:szCs w:val="24"/>
        </w:rPr>
      </w:pPr>
      <w:r w:rsidRPr="0085642D">
        <w:rPr>
          <w:sz w:val="24"/>
          <w:szCs w:val="24"/>
        </w:rPr>
        <w:t xml:space="preserve">Efavirenz/emtricitabin/tenofovirdisoproxil bør ikke anvendes til patienter med moderat eller svært nedsat nyrefunktion (kreatininclearance &lt; 50 ml/min). Hos patienter med moderat eller svært nedsat nyrefunktion er det nødvendigt med justering af emtricitabin- og tenofovirdisoproxildosis, som ikke kan opnås med kombinationstabletten (se pkt. 4.2 og 5.2). Brug af </w:t>
      </w:r>
      <w:r w:rsidRPr="0085642D">
        <w:rPr>
          <w:sz w:val="24"/>
          <w:szCs w:val="24"/>
          <w:lang w:bidi="en-GB"/>
        </w:rPr>
        <w:t>Efavirenz/Emtricitabine/Tenofovir disoproxil "Glenmark"</w:t>
      </w:r>
      <w:r w:rsidRPr="0085642D">
        <w:rPr>
          <w:sz w:val="24"/>
          <w:szCs w:val="24"/>
        </w:rPr>
        <w:t xml:space="preserve"> bør undgås med samtidig eller nylig brug af et nefrotoksisk lægemiddel. Hvis samtidig brug af </w:t>
      </w:r>
      <w:r w:rsidRPr="0085642D">
        <w:rPr>
          <w:sz w:val="24"/>
          <w:szCs w:val="24"/>
          <w:lang w:bidi="en-GB"/>
        </w:rPr>
        <w:t>Efavirenz/Emtricitabine/Tenofovir disoproxil "Glenmark"</w:t>
      </w:r>
      <w:r w:rsidRPr="0085642D">
        <w:rPr>
          <w:sz w:val="24"/>
          <w:szCs w:val="24"/>
        </w:rPr>
        <w:t xml:space="preserve"> og nefrotoksiske lægemidler (f.eks. aminoglykosider, amphotericin B, foscarnet, ganciclovir, pentamidin, vancomycin, cidofovir, interleukin</w:t>
      </w:r>
      <w:r w:rsidRPr="0085642D">
        <w:rPr>
          <w:sz w:val="24"/>
          <w:szCs w:val="24"/>
        </w:rPr>
        <w:noBreakHyphen/>
        <w:t>2) er uundgåelig, skal nyrefunktionen monitoreres ugentligt (se pkt. 4.5).</w:t>
      </w:r>
    </w:p>
    <w:p w:rsidR="00D25F12" w:rsidRPr="0085642D" w:rsidRDefault="00D25F12" w:rsidP="00D25F12">
      <w:pPr>
        <w:ind w:left="851"/>
        <w:rPr>
          <w:sz w:val="24"/>
          <w:szCs w:val="24"/>
        </w:rPr>
      </w:pPr>
    </w:p>
    <w:p w:rsidR="00D25F12" w:rsidRPr="0085642D" w:rsidRDefault="00D25F12" w:rsidP="00D25F12">
      <w:pPr>
        <w:ind w:left="851"/>
        <w:rPr>
          <w:sz w:val="24"/>
          <w:szCs w:val="24"/>
        </w:rPr>
      </w:pPr>
      <w:r w:rsidRPr="0085642D">
        <w:rPr>
          <w:sz w:val="24"/>
          <w:szCs w:val="24"/>
        </w:rPr>
        <w:t>Hos patienter i behandling med tenofovirdisoproxil med risikofaktorer for renal dysfunktion er der blevet rapporteret tilfælde af akut nyresvigt efter påbegyndelse af højdosis behandling med non</w:t>
      </w:r>
      <w:r w:rsidRPr="0085642D">
        <w:rPr>
          <w:sz w:val="24"/>
          <w:szCs w:val="24"/>
        </w:rPr>
        <w:noBreakHyphen/>
        <w:t xml:space="preserve">steroide antiinflammatoriske midler (NSAID’er) og behandling med flere NSAID’er. Hvis </w:t>
      </w:r>
      <w:r w:rsidRPr="0085642D">
        <w:rPr>
          <w:sz w:val="24"/>
          <w:szCs w:val="24"/>
          <w:lang w:bidi="en-GB"/>
        </w:rPr>
        <w:t>Efavirenz/Emtricitabine/Tenofovir disoproxil "Glenmark"</w:t>
      </w:r>
      <w:r w:rsidRPr="0085642D">
        <w:rPr>
          <w:sz w:val="24"/>
          <w:szCs w:val="24"/>
        </w:rPr>
        <w:t xml:space="preserve"> administreres sammen med et NSAID, skal nyrefunktionen monitoreres på tilstrækkelig vis.</w:t>
      </w:r>
    </w:p>
    <w:p w:rsidR="00D25F12" w:rsidRPr="0085642D" w:rsidRDefault="00D25F12" w:rsidP="00D25F12">
      <w:pPr>
        <w:ind w:left="851"/>
        <w:rPr>
          <w:sz w:val="24"/>
          <w:szCs w:val="24"/>
        </w:rPr>
      </w:pPr>
    </w:p>
    <w:p w:rsidR="00D25F12" w:rsidRPr="0085642D" w:rsidRDefault="00D25F12" w:rsidP="00D25F12">
      <w:pPr>
        <w:ind w:left="851"/>
        <w:rPr>
          <w:sz w:val="24"/>
          <w:szCs w:val="24"/>
        </w:rPr>
      </w:pPr>
      <w:r w:rsidRPr="0085642D">
        <w:rPr>
          <w:sz w:val="24"/>
          <w:szCs w:val="24"/>
        </w:rPr>
        <w:lastRenderedPageBreak/>
        <w:t>Der er rapporteret nyresvigt, nedsat nyrefunktion, forhøjet kreatinin, hypofosfatæmi og proksimal tubulopati (herunder Fanconis syndrom) ved klinisk anvendelse af tenofovirdisoproxil (se pkt. 4.8).</w:t>
      </w:r>
    </w:p>
    <w:p w:rsidR="00D25F12" w:rsidRPr="0085642D" w:rsidRDefault="00D25F12" w:rsidP="00D25F12">
      <w:pPr>
        <w:ind w:left="851"/>
        <w:rPr>
          <w:sz w:val="24"/>
          <w:szCs w:val="24"/>
        </w:rPr>
      </w:pPr>
    </w:p>
    <w:p w:rsidR="00D25F12" w:rsidRPr="0085642D" w:rsidRDefault="00D25F12" w:rsidP="00D25F12">
      <w:pPr>
        <w:ind w:left="851"/>
        <w:rPr>
          <w:sz w:val="24"/>
          <w:szCs w:val="24"/>
        </w:rPr>
      </w:pPr>
      <w:r w:rsidRPr="0085642D">
        <w:rPr>
          <w:sz w:val="24"/>
          <w:szCs w:val="24"/>
        </w:rPr>
        <w:t xml:space="preserve">Det anbefales, at man beregner kreatininclearance hos alle patienter forud for initiering af behandling med </w:t>
      </w:r>
      <w:r w:rsidRPr="0085642D">
        <w:rPr>
          <w:sz w:val="24"/>
          <w:szCs w:val="24"/>
          <w:lang w:bidi="en-GB"/>
        </w:rPr>
        <w:t>Efavirenz/Emtricitabine/Tenofovir disoproxil "Glenmark"</w:t>
      </w:r>
      <w:r w:rsidRPr="0085642D">
        <w:rPr>
          <w:sz w:val="24"/>
          <w:szCs w:val="24"/>
        </w:rPr>
        <w:t>. Desuden skal nyrefunktionen (kreatininclearance og serumphosphat) monitoreres efter to til fire ugers behandling, efter tre måneders behandling og derefter hver tredje til sjette måned hos patienter uden renale risikofaktorer. Hos patienter med nedsat nyrefunktion i anamnesen eller patienter med risiko for nedsat nyrefunktion er hyppigere monitorering af nyrefunktionen nødvendig.</w:t>
      </w:r>
    </w:p>
    <w:p w:rsidR="00D25F12" w:rsidRPr="0085642D" w:rsidRDefault="00D25F12" w:rsidP="00D25F12">
      <w:pPr>
        <w:ind w:left="851"/>
        <w:rPr>
          <w:sz w:val="24"/>
          <w:szCs w:val="24"/>
        </w:rPr>
      </w:pPr>
    </w:p>
    <w:p w:rsidR="00D25F12" w:rsidRPr="0085642D" w:rsidRDefault="00D25F12" w:rsidP="00D25F12">
      <w:pPr>
        <w:ind w:left="851"/>
        <w:rPr>
          <w:sz w:val="24"/>
          <w:szCs w:val="24"/>
        </w:rPr>
      </w:pPr>
      <w:r w:rsidRPr="0085642D">
        <w:rPr>
          <w:sz w:val="24"/>
          <w:szCs w:val="24"/>
        </w:rPr>
        <w:t xml:space="preserve">Hvis serumphosphat er &lt; 1,5 mg/dl (0,48 mmol/l) eller kreatininclearance er reduceret til &lt; 50 ml/min hos patienter, der får </w:t>
      </w:r>
      <w:r w:rsidRPr="0085642D">
        <w:rPr>
          <w:sz w:val="24"/>
          <w:szCs w:val="24"/>
          <w:lang w:bidi="en-GB"/>
        </w:rPr>
        <w:t>Efavirenz/Emtricitabine/Tenofovir disoproxil "Glenmark"</w:t>
      </w:r>
      <w:r w:rsidRPr="0085642D">
        <w:rPr>
          <w:sz w:val="24"/>
          <w:szCs w:val="24"/>
        </w:rPr>
        <w:t xml:space="preserve">, skal nyrefunktionen revurderes inden for en uge, herunder måling af glucose- og kaliumkoncentrationen i blodet samt glucosekoncentrationen i urinen (se pkt. 4.8, proksimal tubulopati). Da </w:t>
      </w:r>
      <w:r w:rsidRPr="0085642D">
        <w:rPr>
          <w:sz w:val="24"/>
          <w:szCs w:val="24"/>
          <w:lang w:bidi="en-GB"/>
        </w:rPr>
        <w:t>Efavirenz/Emtricitabine/Tenofovir disoproxil "Glenmark"</w:t>
      </w:r>
      <w:r w:rsidRPr="0085642D">
        <w:rPr>
          <w:sz w:val="24"/>
          <w:szCs w:val="24"/>
        </w:rPr>
        <w:t xml:space="preserve"> er et kombinationsprodukt og dosisintervallet for de enkelte komponenter ikke kan justeres, bør behandling med </w:t>
      </w:r>
      <w:r w:rsidRPr="0085642D">
        <w:rPr>
          <w:sz w:val="24"/>
          <w:szCs w:val="24"/>
          <w:lang w:bidi="en-GB"/>
        </w:rPr>
        <w:t>Efavirenz/Emtricitabine/Tenofovir disoproxil "Glenmark"</w:t>
      </w:r>
      <w:r w:rsidRPr="0085642D">
        <w:rPr>
          <w:sz w:val="24"/>
          <w:szCs w:val="24"/>
        </w:rPr>
        <w:t xml:space="preserve"> seponeres hos patienter med bekræftet kreatininclearance &lt; 50 ml/min eller fald i serumphosphat til &lt; 1,0 mg/dl (0,32 mmol/l). Det bør også overvejes at afbryde behandlingen med </w:t>
      </w:r>
      <w:r w:rsidRPr="0085642D">
        <w:rPr>
          <w:sz w:val="24"/>
          <w:szCs w:val="24"/>
          <w:lang w:bidi="en-GB"/>
        </w:rPr>
        <w:t>Efavirenz/Emtricitabine/Tenofovir disoproxil "Glenmark"</w:t>
      </w:r>
      <w:r w:rsidRPr="0085642D">
        <w:rPr>
          <w:sz w:val="24"/>
          <w:szCs w:val="24"/>
        </w:rPr>
        <w:t xml:space="preserve"> i tilfælde af progressiv forværring af nyrefunktionen, når der ikke er identificeret andre årsager. Hvis seponering af behandling med en af komponenterne i </w:t>
      </w:r>
      <w:r w:rsidRPr="0085642D">
        <w:rPr>
          <w:sz w:val="24"/>
          <w:szCs w:val="24"/>
          <w:lang w:bidi="en-GB"/>
        </w:rPr>
        <w:t>Efavirenz/Emtricitabine/Tenofovir disoproxil "Glenmark"</w:t>
      </w:r>
      <w:r w:rsidRPr="0085642D">
        <w:rPr>
          <w:sz w:val="24"/>
          <w:szCs w:val="24"/>
        </w:rPr>
        <w:t xml:space="preserve"> er indiceret, eller hvis dosismodificering er påkrævet, er separate efavirenz-, emtricitabin- og tenofovirdisoproxil-præparater tilgængelige.</w:t>
      </w:r>
    </w:p>
    <w:p w:rsidR="00D25F12" w:rsidRPr="0085642D" w:rsidRDefault="00D25F12" w:rsidP="00D25F12">
      <w:pPr>
        <w:ind w:left="851"/>
        <w:rPr>
          <w:sz w:val="24"/>
          <w:szCs w:val="24"/>
        </w:rPr>
      </w:pPr>
    </w:p>
    <w:p w:rsidR="00D25F12" w:rsidRPr="0085642D" w:rsidRDefault="00D25F12" w:rsidP="00D25F12">
      <w:pPr>
        <w:ind w:left="851"/>
        <w:rPr>
          <w:sz w:val="24"/>
          <w:szCs w:val="24"/>
        </w:rPr>
      </w:pPr>
      <w:r w:rsidRPr="0085642D">
        <w:rPr>
          <w:sz w:val="24"/>
          <w:szCs w:val="24"/>
          <w:u w:val="single"/>
        </w:rPr>
        <w:t>Virkning på knogler</w:t>
      </w:r>
    </w:p>
    <w:p w:rsidR="003854AE" w:rsidRPr="000B0659" w:rsidRDefault="003854AE" w:rsidP="003854AE">
      <w:pPr>
        <w:ind w:left="851"/>
        <w:rPr>
          <w:sz w:val="24"/>
          <w:szCs w:val="24"/>
        </w:rPr>
      </w:pPr>
      <w:r w:rsidRPr="000B0659">
        <w:rPr>
          <w:sz w:val="24"/>
          <w:szCs w:val="24"/>
        </w:rPr>
        <w:t xml:space="preserve">Knogleabnormiteter såsom osteomalaci, der kan manifestere sig som vedvarende eller forværrede knoglesmerter, og som i sjældne tilfælde kan medvirke til frakturer, kan forekomme i forbindelse med proksimal renal tubulopati induceret af tenofovirdisoproxil (se pkt. 4.8). </w:t>
      </w:r>
    </w:p>
    <w:p w:rsidR="003854AE" w:rsidRDefault="003854AE" w:rsidP="003854AE">
      <w:pPr>
        <w:ind w:left="851"/>
        <w:rPr>
          <w:sz w:val="24"/>
          <w:szCs w:val="24"/>
        </w:rPr>
      </w:pPr>
    </w:p>
    <w:p w:rsidR="003854AE" w:rsidRPr="0085642D" w:rsidRDefault="003854AE" w:rsidP="003854AE">
      <w:pPr>
        <w:ind w:left="851"/>
        <w:rPr>
          <w:sz w:val="24"/>
          <w:szCs w:val="24"/>
        </w:rPr>
      </w:pPr>
      <w:r w:rsidRPr="000B0659">
        <w:rPr>
          <w:sz w:val="24"/>
          <w:szCs w:val="24"/>
        </w:rPr>
        <w:t xml:space="preserve">Tenofovirdisoproxil kan også forårsage en reduktion i knoglemineraltætheden (BMD). </w:t>
      </w:r>
      <w:r w:rsidRPr="0085642D">
        <w:rPr>
          <w:sz w:val="24"/>
          <w:szCs w:val="24"/>
        </w:rPr>
        <w:t>I et 144</w:t>
      </w:r>
      <w:r w:rsidRPr="0085642D">
        <w:rPr>
          <w:sz w:val="24"/>
          <w:szCs w:val="24"/>
        </w:rPr>
        <w:noBreakHyphen/>
        <w:t>ugers klinisk studie, som sammenlignede tenofovirdisoproxil med stavudin i kombination med lamivudin og efavirenz til antiretroviral</w:t>
      </w:r>
      <w:r w:rsidRPr="0085642D">
        <w:rPr>
          <w:sz w:val="24"/>
          <w:szCs w:val="24"/>
        </w:rPr>
        <w:noBreakHyphen/>
        <w:t xml:space="preserve">naive patienter, blev der observeret små fald i </w:t>
      </w:r>
      <w:r>
        <w:rPr>
          <w:sz w:val="24"/>
          <w:szCs w:val="24"/>
        </w:rPr>
        <w:t xml:space="preserve">BMD </w:t>
      </w:r>
      <w:r w:rsidRPr="0085642D">
        <w:rPr>
          <w:sz w:val="24"/>
          <w:szCs w:val="24"/>
        </w:rPr>
        <w:t xml:space="preserve">i hofte og rygsøjle i begge behandlingsgrupper. Fald i knoglemineraltætheden i rygsøjlen samt ændringer i knoglebiomarkørerne fra </w:t>
      </w:r>
      <w:r w:rsidRPr="0085642D">
        <w:rPr>
          <w:i/>
          <w:sz w:val="24"/>
          <w:szCs w:val="24"/>
        </w:rPr>
        <w:t xml:space="preserve">baseline </w:t>
      </w:r>
      <w:r w:rsidRPr="0085642D">
        <w:rPr>
          <w:sz w:val="24"/>
          <w:szCs w:val="24"/>
        </w:rPr>
        <w:t>var signifikant større i tenofovirdisoproxil-behandlingsgruppen ved 144 uger. Fald i knoglemineraltætheden i hoften var signifikant større i denne gruppe indtil uge 96. Der var imidlertid ingen øget risiko for frakturer eller tegn på klinisk relevante knogleabnormiteter i løbet af de 144 uger</w:t>
      </w:r>
      <w:r>
        <w:rPr>
          <w:sz w:val="24"/>
          <w:szCs w:val="24"/>
        </w:rPr>
        <w:t xml:space="preserve"> i dette studie</w:t>
      </w:r>
      <w:r w:rsidRPr="0085642D">
        <w:rPr>
          <w:sz w:val="24"/>
          <w:szCs w:val="24"/>
        </w:rPr>
        <w:t>.</w:t>
      </w:r>
    </w:p>
    <w:p w:rsidR="003854AE" w:rsidRPr="0085642D" w:rsidRDefault="003854AE" w:rsidP="003854AE">
      <w:pPr>
        <w:ind w:left="851"/>
        <w:rPr>
          <w:sz w:val="24"/>
          <w:szCs w:val="24"/>
        </w:rPr>
      </w:pPr>
    </w:p>
    <w:p w:rsidR="003854AE" w:rsidRPr="0085642D" w:rsidRDefault="003854AE" w:rsidP="003854AE">
      <w:pPr>
        <w:ind w:left="851"/>
        <w:rPr>
          <w:sz w:val="24"/>
          <w:szCs w:val="24"/>
        </w:rPr>
      </w:pPr>
      <w:r w:rsidRPr="0085642D">
        <w:rPr>
          <w:sz w:val="24"/>
          <w:szCs w:val="24"/>
        </w:rPr>
        <w:t xml:space="preserve">I andre studier (prospektive studier og tværsnitsstudier) sås de mest udtalte reduktioner i BMD hos patienter, der blev behandlet med tenofovirdisoproxil som del af et regime indeholdende en boostet proteasehæmmer. </w:t>
      </w:r>
      <w:r w:rsidRPr="000B0659">
        <w:rPr>
          <w:sz w:val="24"/>
          <w:szCs w:val="24"/>
        </w:rPr>
        <w:t xml:space="preserve">I betragtning af knogleabnormiteter forbundet med tenofovirdisoproxil og begrænsningerne af langtidsdata vedrørende tenofovirdisoproxils virkning på knoglesundhed og frakturrisiko, </w:t>
      </w:r>
      <w:r w:rsidRPr="0085642D">
        <w:rPr>
          <w:sz w:val="24"/>
          <w:szCs w:val="24"/>
        </w:rPr>
        <w:t xml:space="preserve">bør </w:t>
      </w:r>
      <w:r>
        <w:rPr>
          <w:sz w:val="24"/>
          <w:szCs w:val="24"/>
        </w:rPr>
        <w:t>a</w:t>
      </w:r>
      <w:r w:rsidRPr="0085642D">
        <w:rPr>
          <w:sz w:val="24"/>
          <w:szCs w:val="24"/>
        </w:rPr>
        <w:t xml:space="preserve">lternative behandlingsregimer </w:t>
      </w:r>
      <w:r>
        <w:rPr>
          <w:sz w:val="24"/>
          <w:szCs w:val="24"/>
        </w:rPr>
        <w:t xml:space="preserve">generelt </w:t>
      </w:r>
      <w:r w:rsidRPr="0085642D">
        <w:rPr>
          <w:sz w:val="24"/>
          <w:szCs w:val="24"/>
        </w:rPr>
        <w:t>overvejes til patienter med osteoporose med høj risiko for frakturer.</w:t>
      </w:r>
    </w:p>
    <w:p w:rsidR="003854AE" w:rsidRPr="0085642D" w:rsidRDefault="003854AE" w:rsidP="003854AE">
      <w:pPr>
        <w:ind w:left="851"/>
        <w:rPr>
          <w:sz w:val="24"/>
          <w:szCs w:val="24"/>
        </w:rPr>
      </w:pPr>
    </w:p>
    <w:p w:rsidR="003854AE" w:rsidRPr="000B0659" w:rsidRDefault="003854AE" w:rsidP="003854AE">
      <w:pPr>
        <w:ind w:left="851"/>
        <w:rPr>
          <w:sz w:val="24"/>
          <w:szCs w:val="24"/>
        </w:rPr>
      </w:pPr>
      <w:r w:rsidRPr="000B0659">
        <w:rPr>
          <w:sz w:val="24"/>
          <w:szCs w:val="24"/>
        </w:rPr>
        <w:lastRenderedPageBreak/>
        <w:t xml:space="preserve">Hvis der er formodning om knogleabnormiteter, eller disse påvises, skal relevant konsultation foretages. </w:t>
      </w:r>
    </w:p>
    <w:p w:rsidR="003854AE" w:rsidRDefault="003854AE" w:rsidP="003854AE">
      <w:pPr>
        <w:ind w:left="851"/>
        <w:rPr>
          <w:sz w:val="24"/>
          <w:szCs w:val="24"/>
        </w:rPr>
      </w:pPr>
      <w:r w:rsidRPr="000B0659">
        <w:rPr>
          <w:sz w:val="24"/>
          <w:szCs w:val="24"/>
        </w:rPr>
        <w:t xml:space="preserve"> </w:t>
      </w:r>
    </w:p>
    <w:p w:rsidR="003854AE" w:rsidRPr="0085642D" w:rsidRDefault="003854AE" w:rsidP="003854AE">
      <w:pPr>
        <w:ind w:left="851"/>
        <w:rPr>
          <w:sz w:val="24"/>
          <w:szCs w:val="24"/>
        </w:rPr>
      </w:pPr>
      <w:r w:rsidRPr="0085642D">
        <w:rPr>
          <w:sz w:val="24"/>
          <w:szCs w:val="24"/>
        </w:rPr>
        <w:t xml:space="preserve">Hvis der er mistanke om </w:t>
      </w:r>
      <w:r>
        <w:rPr>
          <w:sz w:val="24"/>
          <w:szCs w:val="24"/>
        </w:rPr>
        <w:t xml:space="preserve">eller der opdages </w:t>
      </w:r>
      <w:r w:rsidRPr="0085642D">
        <w:rPr>
          <w:sz w:val="24"/>
          <w:szCs w:val="24"/>
        </w:rPr>
        <w:t>knogleabnormiteter, bør relevant konsultation foretages.</w:t>
      </w:r>
    </w:p>
    <w:p w:rsidR="00D25F12" w:rsidRPr="0085642D" w:rsidRDefault="00D25F12" w:rsidP="00D25F12">
      <w:pPr>
        <w:ind w:left="851"/>
        <w:rPr>
          <w:sz w:val="24"/>
          <w:szCs w:val="24"/>
        </w:rPr>
      </w:pPr>
    </w:p>
    <w:p w:rsidR="00D25F12" w:rsidRPr="0085642D" w:rsidRDefault="00D25F12" w:rsidP="00D25F12">
      <w:pPr>
        <w:ind w:left="851"/>
        <w:rPr>
          <w:sz w:val="24"/>
          <w:szCs w:val="24"/>
        </w:rPr>
      </w:pPr>
      <w:r w:rsidRPr="0085642D">
        <w:rPr>
          <w:sz w:val="24"/>
          <w:szCs w:val="24"/>
          <w:u w:val="single"/>
        </w:rPr>
        <w:t>Hudreaktioner</w:t>
      </w:r>
    </w:p>
    <w:p w:rsidR="00D25F12" w:rsidRPr="0085642D" w:rsidRDefault="00D25F12" w:rsidP="00D25F12">
      <w:pPr>
        <w:ind w:left="851"/>
        <w:rPr>
          <w:sz w:val="24"/>
          <w:szCs w:val="24"/>
        </w:rPr>
      </w:pPr>
      <w:r w:rsidRPr="0085642D">
        <w:rPr>
          <w:sz w:val="24"/>
          <w:szCs w:val="24"/>
        </w:rPr>
        <w:t xml:space="preserve">Der er indberettet let til moderat udslæt som følge af de individuelle </w:t>
      </w:r>
      <w:r w:rsidRPr="0085642D">
        <w:rPr>
          <w:sz w:val="24"/>
          <w:szCs w:val="24"/>
          <w:lang w:bidi="en-GB"/>
        </w:rPr>
        <w:t>Efavirenz/Emtricitabine/Tenofovir disoproxil "Glenmark"</w:t>
      </w:r>
      <w:r w:rsidRPr="0085642D">
        <w:rPr>
          <w:sz w:val="24"/>
          <w:szCs w:val="24"/>
        </w:rPr>
        <w:noBreakHyphen/>
        <w:t>komponenter. Udslæt associeret med efavirenz forsvinder sædvanligvis ved fortsat behandling. Relevante antihistaminer og/eller kortikosteroider kan forbedre tolerabiliteten og fremskynde udslættets forsvinden. Der er rapporteret svært udslæt, ledsaget af blæredannelse, fugtig afskalning eller ulceration hos mindre end 1 % af de patienter, der er behandlet med efavirenz (se pkt. 4.8). Forekomsten af erythema multiforme eller Stevens</w:t>
      </w:r>
      <w:r w:rsidRPr="0085642D">
        <w:rPr>
          <w:sz w:val="24"/>
          <w:szCs w:val="24"/>
        </w:rPr>
        <w:noBreakHyphen/>
        <w:t xml:space="preserve">Johnsons syndrom var ca. 0,1 %. </w:t>
      </w:r>
      <w:r w:rsidRPr="0085642D">
        <w:rPr>
          <w:sz w:val="24"/>
          <w:szCs w:val="24"/>
          <w:lang w:bidi="en-GB"/>
        </w:rPr>
        <w:t>Efavirenz/Emtricitabine/Tenofovir disoproxil "Glenmark"</w:t>
      </w:r>
      <w:r w:rsidRPr="0085642D">
        <w:rPr>
          <w:sz w:val="24"/>
          <w:szCs w:val="24"/>
        </w:rPr>
        <w:t xml:space="preserve"> skal seponeres hos patienter, der udvikler svært udslæt ledsaget af blæredannelse, afskalning, mucosapåvirkning eller feber. Der er begrænset erfaring med efavirenz hos patienter, som er ophørt med andre antiretrovirale lægemidler af NNRTI</w:t>
      </w:r>
      <w:r w:rsidRPr="0085642D">
        <w:rPr>
          <w:sz w:val="24"/>
          <w:szCs w:val="24"/>
        </w:rPr>
        <w:noBreakHyphen/>
        <w:t xml:space="preserve">gruppen. </w:t>
      </w:r>
      <w:r w:rsidRPr="0085642D">
        <w:rPr>
          <w:sz w:val="24"/>
          <w:szCs w:val="24"/>
          <w:lang w:bidi="en-GB"/>
        </w:rPr>
        <w:t>Efavirenz/Emtricitabine/Tenofovir disoproxil "Glenmark"</w:t>
      </w:r>
      <w:r w:rsidRPr="0085642D">
        <w:rPr>
          <w:sz w:val="24"/>
          <w:szCs w:val="24"/>
        </w:rPr>
        <w:t xml:space="preserve"> bør ikke anvendes til patienter, som har haft en livstruende hudreaktion (f.eks. Stevens</w:t>
      </w:r>
      <w:r w:rsidRPr="0085642D">
        <w:rPr>
          <w:sz w:val="24"/>
          <w:szCs w:val="24"/>
        </w:rPr>
        <w:noBreakHyphen/>
        <w:t>Johnsons syndrom) under NNRTI</w:t>
      </w:r>
      <w:r w:rsidRPr="0085642D">
        <w:rPr>
          <w:sz w:val="24"/>
          <w:szCs w:val="24"/>
        </w:rPr>
        <w:noBreakHyphen/>
        <w:t>behandling.</w:t>
      </w:r>
    </w:p>
    <w:p w:rsidR="00D25F12" w:rsidRPr="0085642D" w:rsidRDefault="00D25F12" w:rsidP="00D25F12">
      <w:pPr>
        <w:ind w:left="851"/>
        <w:rPr>
          <w:sz w:val="24"/>
          <w:szCs w:val="24"/>
        </w:rPr>
      </w:pPr>
    </w:p>
    <w:p w:rsidR="00D25F12" w:rsidRPr="0085642D" w:rsidRDefault="00D25F12" w:rsidP="00D25F12">
      <w:pPr>
        <w:ind w:left="851"/>
        <w:rPr>
          <w:sz w:val="24"/>
          <w:szCs w:val="24"/>
        </w:rPr>
      </w:pPr>
      <w:r w:rsidRPr="0085642D">
        <w:rPr>
          <w:sz w:val="24"/>
          <w:szCs w:val="24"/>
          <w:u w:val="single"/>
        </w:rPr>
        <w:t>Vægt og metaboliske parametre</w:t>
      </w:r>
    </w:p>
    <w:p w:rsidR="00D25F12" w:rsidRPr="0085642D" w:rsidRDefault="00D25F12" w:rsidP="00D25F12">
      <w:pPr>
        <w:ind w:left="851"/>
        <w:rPr>
          <w:sz w:val="24"/>
          <w:szCs w:val="24"/>
        </w:rPr>
      </w:pPr>
      <w:r w:rsidRPr="0085642D">
        <w:rPr>
          <w:sz w:val="24"/>
          <w:szCs w:val="24"/>
        </w:rPr>
        <w:t>Vægtstigning og forhøjede lipider og glucose i blodet kan forekomme under antiretroviral behandling. Sådanne forandringer kan til dels være forbundet med sygdomskontrol og livsstil. For lipider er der i visse tilfælde fundet evidens for en behandlingsvirkning, mens der ikke er tydelig evidens for relation mellem vægtøgning og en specifik behandling. Med hensyn til monitorering af lipider og glucose i blodet refereres til eksisterende behandlingsguidelines for hiv. Tilstande med forhøjet lipid skal behandles som klinisk indiceret.</w:t>
      </w:r>
    </w:p>
    <w:p w:rsidR="00D25F12" w:rsidRPr="0085642D" w:rsidRDefault="00D25F12" w:rsidP="00D25F12">
      <w:pPr>
        <w:ind w:left="851"/>
        <w:rPr>
          <w:sz w:val="24"/>
          <w:szCs w:val="24"/>
        </w:rPr>
      </w:pPr>
    </w:p>
    <w:p w:rsidR="00D25F12" w:rsidRPr="0085642D" w:rsidRDefault="00D25F12" w:rsidP="00D25F12">
      <w:pPr>
        <w:ind w:left="851"/>
        <w:rPr>
          <w:i/>
          <w:sz w:val="24"/>
          <w:szCs w:val="24"/>
        </w:rPr>
      </w:pPr>
      <w:r w:rsidRPr="0085642D">
        <w:rPr>
          <w:sz w:val="24"/>
          <w:szCs w:val="24"/>
          <w:u w:val="single"/>
        </w:rPr>
        <w:t xml:space="preserve">Mitokondriel dysfunktion efter eksponering </w:t>
      </w:r>
      <w:r w:rsidRPr="0085642D">
        <w:rPr>
          <w:i/>
          <w:sz w:val="24"/>
          <w:szCs w:val="24"/>
          <w:u w:val="single"/>
        </w:rPr>
        <w:t>in utero</w:t>
      </w:r>
    </w:p>
    <w:p w:rsidR="00D25F12" w:rsidRPr="0085642D" w:rsidRDefault="00D25F12" w:rsidP="00D25F12">
      <w:pPr>
        <w:ind w:left="851"/>
        <w:rPr>
          <w:sz w:val="24"/>
          <w:szCs w:val="24"/>
        </w:rPr>
      </w:pPr>
      <w:r w:rsidRPr="0085642D">
        <w:rPr>
          <w:sz w:val="24"/>
          <w:szCs w:val="24"/>
        </w:rPr>
        <w:t>Nukleosid-/nukleotid</w:t>
      </w:r>
      <w:r w:rsidRPr="0085642D">
        <w:rPr>
          <w:sz w:val="24"/>
          <w:szCs w:val="24"/>
        </w:rPr>
        <w:noBreakHyphen/>
        <w:t>analoger kan påvirke mitokondriefunktionen i varierende grad, dette er mest udtalt for stavudin, didanosin og zidovudin. Der er rapporteret om mitokondriel dysfunktion hos hiv</w:t>
      </w:r>
      <w:r w:rsidRPr="0085642D">
        <w:rPr>
          <w:sz w:val="24"/>
          <w:szCs w:val="24"/>
        </w:rPr>
        <w:noBreakHyphen/>
        <w:t xml:space="preserve">negative spædbørn, som har været eksponeret for nukleosidanaloger </w:t>
      </w:r>
      <w:r w:rsidRPr="0085642D">
        <w:rPr>
          <w:i/>
          <w:sz w:val="24"/>
          <w:szCs w:val="24"/>
        </w:rPr>
        <w:t xml:space="preserve">in utero </w:t>
      </w:r>
      <w:r w:rsidRPr="0085642D">
        <w:rPr>
          <w:sz w:val="24"/>
          <w:szCs w:val="24"/>
        </w:rPr>
        <w:t xml:space="preserve">og/eller postnatalt. Det har hovedsageligt drejet sig om behandling med regimer indeholdende zidovudin. De hyppigst rapporterede bivirkninger er hæmatologiske forstyrrelser (anæmi, neutropeni) og metaboliske forstyrrelser (hyperlaktatæmi, hyperlipasæmi). Reaktionerne har ofte været forbigående. Sent forekommende neurologiske forstyrrelser er i sjældne tilfælde blevet rapporteret (hypertoni, kramper, unormal adfærd). Hvorvidt sådanne neurologiske forstyrrelser er forbigående eller permanente er på nuværende tidspunkt ikke kendt. Mitokondriel dysfunktion bør overvejes hos alle børn med svære kliniske symptomer af ukendt ætiologi, især neurologiske symptomer, der har været eksponeret for nukleosid-/nukleotid- analoger </w:t>
      </w:r>
      <w:r w:rsidRPr="0085642D">
        <w:rPr>
          <w:i/>
          <w:sz w:val="24"/>
          <w:szCs w:val="24"/>
        </w:rPr>
        <w:t>in utero</w:t>
      </w:r>
      <w:r w:rsidRPr="0085642D">
        <w:rPr>
          <w:sz w:val="24"/>
          <w:szCs w:val="24"/>
        </w:rPr>
        <w:t xml:space="preserve">. Disse fund påvirker ikke de aktuelle nationale anbefalinger vedrørende antiretroviral behandling hos gravide med henblik på at undgå </w:t>
      </w:r>
      <w:proofErr w:type="gramStart"/>
      <w:r w:rsidRPr="0085642D">
        <w:rPr>
          <w:sz w:val="24"/>
          <w:szCs w:val="24"/>
        </w:rPr>
        <w:t>vertikal</w:t>
      </w:r>
      <w:proofErr w:type="gramEnd"/>
      <w:r w:rsidRPr="0085642D">
        <w:rPr>
          <w:sz w:val="24"/>
          <w:szCs w:val="24"/>
        </w:rPr>
        <w:t xml:space="preserve"> hiv</w:t>
      </w:r>
      <w:r w:rsidRPr="0085642D">
        <w:rPr>
          <w:sz w:val="24"/>
          <w:szCs w:val="24"/>
        </w:rPr>
        <w:noBreakHyphen/>
        <w:t>overførsel.</w:t>
      </w:r>
    </w:p>
    <w:p w:rsidR="00D25F12" w:rsidRPr="0085642D" w:rsidRDefault="00D25F12" w:rsidP="00D25F12">
      <w:pPr>
        <w:ind w:left="851"/>
        <w:rPr>
          <w:sz w:val="24"/>
          <w:szCs w:val="24"/>
        </w:rPr>
      </w:pPr>
    </w:p>
    <w:p w:rsidR="00D25F12" w:rsidRPr="0085642D" w:rsidRDefault="00D25F12" w:rsidP="00D25F12">
      <w:pPr>
        <w:ind w:left="851"/>
        <w:rPr>
          <w:sz w:val="24"/>
          <w:szCs w:val="24"/>
        </w:rPr>
      </w:pPr>
      <w:r w:rsidRPr="0085642D">
        <w:rPr>
          <w:sz w:val="24"/>
          <w:szCs w:val="24"/>
          <w:u w:val="single"/>
        </w:rPr>
        <w:t>Immunreaktiveringssyndrom</w:t>
      </w:r>
    </w:p>
    <w:p w:rsidR="00D25F12" w:rsidRPr="0085642D" w:rsidRDefault="00D25F12" w:rsidP="00D25F12">
      <w:pPr>
        <w:ind w:left="851"/>
        <w:rPr>
          <w:sz w:val="24"/>
          <w:szCs w:val="24"/>
        </w:rPr>
      </w:pPr>
      <w:r w:rsidRPr="0085642D">
        <w:rPr>
          <w:sz w:val="24"/>
          <w:szCs w:val="24"/>
        </w:rPr>
        <w:t>Hos hiv</w:t>
      </w:r>
      <w:r w:rsidRPr="0085642D">
        <w:rPr>
          <w:sz w:val="24"/>
          <w:szCs w:val="24"/>
        </w:rPr>
        <w:noBreakHyphen/>
        <w:t xml:space="preserve">inficerede patienter med svær immuninsufficiens kan der ved initiering af CART opstå en inflammatorisk reaktion på asymptomatiske eller residuale opportunistiske patogener, som kan forårsage alvorlige kliniske tilstande eller forværring af symptomer. Typisk er sådanne reaktioner observeret inden for de første få uger eller måneder efter </w:t>
      </w:r>
      <w:r w:rsidRPr="0085642D">
        <w:rPr>
          <w:sz w:val="24"/>
          <w:szCs w:val="24"/>
        </w:rPr>
        <w:lastRenderedPageBreak/>
        <w:t xml:space="preserve">initiering af CART. Relevante eksempler er cytomegalovirus retinitis, generaliserede og/eller fokale mycobakterielle infektioner og </w:t>
      </w:r>
      <w:r w:rsidRPr="0085642D">
        <w:rPr>
          <w:i/>
          <w:sz w:val="24"/>
          <w:szCs w:val="24"/>
        </w:rPr>
        <w:t>Pneumocystis jiroveci</w:t>
      </w:r>
      <w:r w:rsidRPr="0085642D">
        <w:rPr>
          <w:sz w:val="24"/>
          <w:szCs w:val="24"/>
        </w:rPr>
        <w:noBreakHyphen/>
        <w:t>pneumoni</w:t>
      </w:r>
      <w:r w:rsidRPr="0085642D">
        <w:rPr>
          <w:i/>
          <w:sz w:val="24"/>
          <w:szCs w:val="24"/>
        </w:rPr>
        <w:t xml:space="preserve">. </w:t>
      </w:r>
      <w:r w:rsidRPr="0085642D">
        <w:rPr>
          <w:sz w:val="24"/>
          <w:szCs w:val="24"/>
        </w:rPr>
        <w:t>Alle inflammatoriske symptomer bør vurderes, og behandling påbegyndes efter behov.</w:t>
      </w:r>
    </w:p>
    <w:p w:rsidR="00D25F12" w:rsidRPr="0085642D" w:rsidRDefault="00D25F12" w:rsidP="00D25F12">
      <w:pPr>
        <w:ind w:left="851"/>
        <w:rPr>
          <w:sz w:val="24"/>
          <w:szCs w:val="24"/>
        </w:rPr>
      </w:pPr>
    </w:p>
    <w:p w:rsidR="00D25F12" w:rsidRPr="0085642D" w:rsidRDefault="00D25F12" w:rsidP="00D25F12">
      <w:pPr>
        <w:ind w:left="851"/>
        <w:rPr>
          <w:sz w:val="24"/>
          <w:szCs w:val="24"/>
        </w:rPr>
      </w:pPr>
      <w:r w:rsidRPr="0085642D">
        <w:rPr>
          <w:sz w:val="24"/>
          <w:szCs w:val="24"/>
        </w:rPr>
        <w:t>Autoimmune lidelser (såsom Graves sygdom</w:t>
      </w:r>
      <w:r w:rsidR="003854AE">
        <w:rPr>
          <w:sz w:val="24"/>
          <w:szCs w:val="24"/>
        </w:rPr>
        <w:t xml:space="preserve"> </w:t>
      </w:r>
      <w:r w:rsidR="003854AE" w:rsidRPr="008366F2">
        <w:rPr>
          <w:sz w:val="24"/>
          <w:szCs w:val="24"/>
        </w:rPr>
        <w:t>og autoimmun hepatitis</w:t>
      </w:r>
      <w:r w:rsidRPr="0085642D">
        <w:rPr>
          <w:sz w:val="24"/>
          <w:szCs w:val="24"/>
        </w:rPr>
        <w:t>) er også rapporteret at forekomme i forbindelse med immunreaktivering. Tiden til udbrud er mere variabel og kan være mange måneder efter initiering af behandling.</w:t>
      </w:r>
    </w:p>
    <w:p w:rsidR="00D25F12" w:rsidRPr="0085642D" w:rsidRDefault="00D25F12" w:rsidP="00D25F12">
      <w:pPr>
        <w:ind w:left="851"/>
        <w:rPr>
          <w:sz w:val="24"/>
          <w:szCs w:val="24"/>
        </w:rPr>
      </w:pPr>
    </w:p>
    <w:p w:rsidR="00D25F12" w:rsidRPr="0085642D" w:rsidRDefault="00D25F12" w:rsidP="00D25F12">
      <w:pPr>
        <w:ind w:left="851"/>
        <w:rPr>
          <w:sz w:val="24"/>
          <w:szCs w:val="24"/>
        </w:rPr>
      </w:pPr>
      <w:r w:rsidRPr="0085642D">
        <w:rPr>
          <w:sz w:val="24"/>
          <w:szCs w:val="24"/>
          <w:u w:val="single"/>
        </w:rPr>
        <w:t>Osteonekrose</w:t>
      </w:r>
    </w:p>
    <w:p w:rsidR="00D25F12" w:rsidRPr="0085642D" w:rsidRDefault="00D25F12" w:rsidP="00D25F12">
      <w:pPr>
        <w:ind w:left="851"/>
        <w:rPr>
          <w:sz w:val="24"/>
          <w:szCs w:val="24"/>
        </w:rPr>
      </w:pPr>
      <w:r w:rsidRPr="0085642D">
        <w:rPr>
          <w:sz w:val="24"/>
          <w:szCs w:val="24"/>
        </w:rPr>
        <w:t xml:space="preserve">Der er rapporteret om tilfælde af osteonekrose hos patienter med </w:t>
      </w:r>
      <w:proofErr w:type="gramStart"/>
      <w:r w:rsidRPr="0085642D">
        <w:rPr>
          <w:sz w:val="24"/>
          <w:szCs w:val="24"/>
        </w:rPr>
        <w:t>fremskreden</w:t>
      </w:r>
      <w:proofErr w:type="gramEnd"/>
      <w:r w:rsidRPr="0085642D">
        <w:rPr>
          <w:sz w:val="24"/>
          <w:szCs w:val="24"/>
        </w:rPr>
        <w:t xml:space="preserve"> hiv</w:t>
      </w:r>
      <w:r w:rsidRPr="0085642D">
        <w:rPr>
          <w:sz w:val="24"/>
          <w:szCs w:val="24"/>
        </w:rPr>
        <w:noBreakHyphen/>
        <w:t>sygdom og/eller hos patienter, som befinder sig i langvarig CART. Ætiologien anses dog for at være multifaktoriel (omfattende anvendelse af kortikosteroider, alkoholforbrug, svær immunosuppression, højere Body Mass Index (BMI)). Patienter, der oplever ømme og smertende led, ledstivhed eller bevægelsesbesvær, bør rådes til at søge læge.</w:t>
      </w:r>
    </w:p>
    <w:p w:rsidR="00D25F12" w:rsidRPr="0085642D" w:rsidRDefault="00D25F12" w:rsidP="00D25F12">
      <w:pPr>
        <w:ind w:left="851"/>
        <w:rPr>
          <w:sz w:val="24"/>
          <w:szCs w:val="24"/>
        </w:rPr>
      </w:pPr>
    </w:p>
    <w:p w:rsidR="00D25F12" w:rsidRPr="0085642D" w:rsidRDefault="00D25F12" w:rsidP="00D25F12">
      <w:pPr>
        <w:ind w:left="851"/>
        <w:rPr>
          <w:sz w:val="24"/>
          <w:szCs w:val="24"/>
        </w:rPr>
      </w:pPr>
      <w:r w:rsidRPr="0085642D">
        <w:rPr>
          <w:sz w:val="24"/>
          <w:szCs w:val="24"/>
          <w:u w:val="single"/>
        </w:rPr>
        <w:t>Patienter med hiv</w:t>
      </w:r>
      <w:r w:rsidRPr="0085642D">
        <w:rPr>
          <w:sz w:val="24"/>
          <w:szCs w:val="24"/>
          <w:u w:val="single"/>
        </w:rPr>
        <w:noBreakHyphen/>
        <w:t>1 med stammer som har mutationer</w:t>
      </w:r>
    </w:p>
    <w:p w:rsidR="00D25F12" w:rsidRPr="0085642D" w:rsidRDefault="00D25F12" w:rsidP="00D25F12">
      <w:pPr>
        <w:ind w:left="851"/>
        <w:rPr>
          <w:sz w:val="24"/>
          <w:szCs w:val="24"/>
        </w:rPr>
      </w:pPr>
      <w:r w:rsidRPr="0085642D">
        <w:rPr>
          <w:sz w:val="24"/>
          <w:szCs w:val="24"/>
          <w:lang w:bidi="en-GB"/>
        </w:rPr>
        <w:t>Efavirenz/Emtricitabine/Tenofovir disoproxil "Glenmark"</w:t>
      </w:r>
      <w:r w:rsidRPr="0085642D">
        <w:rPr>
          <w:sz w:val="24"/>
          <w:szCs w:val="24"/>
        </w:rPr>
        <w:t xml:space="preserve"> bør undgås til patienter inficeret med hiv</w:t>
      </w:r>
      <w:r w:rsidRPr="0085642D">
        <w:rPr>
          <w:sz w:val="24"/>
          <w:szCs w:val="24"/>
        </w:rPr>
        <w:noBreakHyphen/>
        <w:t>1, som har K65R-, M184V/I- eller K103N</w:t>
      </w:r>
      <w:r w:rsidRPr="0085642D">
        <w:rPr>
          <w:sz w:val="24"/>
          <w:szCs w:val="24"/>
        </w:rPr>
        <w:noBreakHyphen/>
        <w:t>mutationer (se pkt. 4.1 og 5.1).</w:t>
      </w:r>
    </w:p>
    <w:p w:rsidR="00D25F12" w:rsidRPr="0085642D" w:rsidRDefault="00D25F12" w:rsidP="00D25F12">
      <w:pPr>
        <w:ind w:left="851"/>
        <w:rPr>
          <w:sz w:val="24"/>
          <w:szCs w:val="24"/>
        </w:rPr>
      </w:pPr>
    </w:p>
    <w:p w:rsidR="00D25F12" w:rsidRPr="0085642D" w:rsidRDefault="00D25F12" w:rsidP="00D25F12">
      <w:pPr>
        <w:ind w:left="851"/>
        <w:rPr>
          <w:sz w:val="24"/>
          <w:szCs w:val="24"/>
        </w:rPr>
      </w:pPr>
      <w:r w:rsidRPr="0085642D">
        <w:rPr>
          <w:sz w:val="24"/>
          <w:szCs w:val="24"/>
          <w:u w:val="single"/>
        </w:rPr>
        <w:t>Ældre</w:t>
      </w:r>
    </w:p>
    <w:p w:rsidR="00D25F12" w:rsidRPr="0085642D" w:rsidRDefault="00D25F12" w:rsidP="00D25F12">
      <w:pPr>
        <w:ind w:left="851"/>
        <w:rPr>
          <w:sz w:val="24"/>
          <w:szCs w:val="24"/>
        </w:rPr>
      </w:pPr>
      <w:r w:rsidRPr="0085642D">
        <w:rPr>
          <w:sz w:val="24"/>
          <w:szCs w:val="24"/>
        </w:rPr>
        <w:t xml:space="preserve">Efavirenz/emtricitabin/tenofovirdisoproxil er ikke blevet undersøgt hos patienter over 65 år. Da det er mere sandsynligt, at ældre patienter har nedsat lever- eller nyrefunktion, skal der udvises forsigtighed ved behandling af ældre patienter med </w:t>
      </w:r>
      <w:r w:rsidRPr="0085642D">
        <w:rPr>
          <w:sz w:val="24"/>
          <w:szCs w:val="24"/>
          <w:lang w:bidi="en-GB"/>
        </w:rPr>
        <w:t>Efavirenz/Emtricitabine/Tenofovir disoproxil "Glenmark"</w:t>
      </w:r>
      <w:r w:rsidRPr="0085642D">
        <w:rPr>
          <w:sz w:val="24"/>
          <w:szCs w:val="24"/>
        </w:rPr>
        <w:t xml:space="preserve"> (se pkt. 4.2).</w:t>
      </w:r>
    </w:p>
    <w:p w:rsidR="00D25F12" w:rsidRPr="0085642D" w:rsidRDefault="00D25F12" w:rsidP="00D25F12">
      <w:pPr>
        <w:ind w:left="851"/>
        <w:rPr>
          <w:sz w:val="24"/>
          <w:szCs w:val="24"/>
        </w:rPr>
      </w:pPr>
    </w:p>
    <w:p w:rsidR="00D25F12" w:rsidRPr="0085642D" w:rsidRDefault="00D25F12" w:rsidP="00D25F12">
      <w:pPr>
        <w:ind w:left="851"/>
        <w:rPr>
          <w:sz w:val="24"/>
          <w:szCs w:val="24"/>
        </w:rPr>
      </w:pPr>
      <w:r w:rsidRPr="0085642D">
        <w:rPr>
          <w:sz w:val="24"/>
          <w:szCs w:val="24"/>
          <w:u w:val="single"/>
        </w:rPr>
        <w:t>Hjælpestoffer</w:t>
      </w:r>
    </w:p>
    <w:p w:rsidR="00D25F12" w:rsidRPr="0085642D" w:rsidRDefault="00D25F12" w:rsidP="00D25F12">
      <w:pPr>
        <w:ind w:left="851"/>
        <w:rPr>
          <w:sz w:val="24"/>
          <w:szCs w:val="24"/>
        </w:rPr>
      </w:pPr>
      <w:r w:rsidRPr="0085642D">
        <w:rPr>
          <w:sz w:val="24"/>
          <w:szCs w:val="24"/>
        </w:rPr>
        <w:t>Dette lægemiddel indeholder mindre end 1 mmol (23 mg) natrium pr. filmovertrukket tablet, dvs. det er i det væsentlige natriumfrit.</w:t>
      </w:r>
    </w:p>
    <w:p w:rsidR="00D25F12" w:rsidRPr="0085642D" w:rsidRDefault="00D25F12" w:rsidP="00D25F12">
      <w:pPr>
        <w:tabs>
          <w:tab w:val="left" w:pos="851"/>
        </w:tabs>
        <w:ind w:left="851"/>
        <w:rPr>
          <w:sz w:val="24"/>
          <w:szCs w:val="24"/>
        </w:rPr>
      </w:pPr>
    </w:p>
    <w:p w:rsidR="00D25F12" w:rsidRPr="0085642D" w:rsidRDefault="00D25F12" w:rsidP="00D25F12">
      <w:pPr>
        <w:tabs>
          <w:tab w:val="left" w:pos="851"/>
        </w:tabs>
        <w:ind w:left="851" w:hanging="851"/>
        <w:rPr>
          <w:b/>
          <w:sz w:val="24"/>
          <w:szCs w:val="24"/>
        </w:rPr>
      </w:pPr>
      <w:r w:rsidRPr="0085642D">
        <w:rPr>
          <w:b/>
          <w:sz w:val="24"/>
          <w:szCs w:val="24"/>
        </w:rPr>
        <w:t>4.5</w:t>
      </w:r>
      <w:r w:rsidRPr="0085642D">
        <w:rPr>
          <w:b/>
          <w:sz w:val="24"/>
          <w:szCs w:val="24"/>
        </w:rPr>
        <w:tab/>
        <w:t>Interaktion med andre lægemidler og andre former for interaktion</w:t>
      </w:r>
    </w:p>
    <w:p w:rsidR="00D25F12" w:rsidRPr="0085642D" w:rsidRDefault="00D25F12" w:rsidP="00D25F12">
      <w:pPr>
        <w:ind w:left="851"/>
        <w:rPr>
          <w:sz w:val="24"/>
          <w:szCs w:val="24"/>
          <w:lang w:eastAsia="fr-LU" w:bidi="en-GB"/>
        </w:rPr>
      </w:pPr>
      <w:r w:rsidRPr="0085642D">
        <w:rPr>
          <w:sz w:val="24"/>
          <w:szCs w:val="24"/>
          <w:lang w:bidi="en-GB"/>
        </w:rPr>
        <w:t>Da Efavirenz/Emtricitabine/Tenofovir disoproxil "Glenmark" indeholder efavirenz, emtricitabin og tenofovirdisoproxil, kan interaktioner, som er identificeret med disse lægemidler individuelt, opstå med Efavirenz/Emtricitabine/Tenofovir disoproxil "Glenmark". Interaktionsstudier med disse lægemidler er kun udført hos voksne.</w:t>
      </w:r>
    </w:p>
    <w:p w:rsidR="00D25F12" w:rsidRPr="0085642D" w:rsidRDefault="00D25F12" w:rsidP="00D25F12">
      <w:pPr>
        <w:ind w:left="851"/>
        <w:rPr>
          <w:sz w:val="24"/>
          <w:szCs w:val="24"/>
          <w:lang w:bidi="en-GB"/>
        </w:rPr>
      </w:pPr>
    </w:p>
    <w:p w:rsidR="00D25F12" w:rsidRPr="0085642D" w:rsidRDefault="00D25F12" w:rsidP="00D25F12">
      <w:pPr>
        <w:ind w:left="851"/>
        <w:rPr>
          <w:sz w:val="24"/>
          <w:szCs w:val="24"/>
          <w:lang w:bidi="en-GB"/>
        </w:rPr>
      </w:pPr>
      <w:r w:rsidRPr="0085642D">
        <w:rPr>
          <w:sz w:val="24"/>
          <w:szCs w:val="24"/>
          <w:lang w:bidi="en-GB"/>
        </w:rPr>
        <w:t>Som en fast kombination bør Efavirenz/Emtricitabine/Tenofovir disoproxil "Glenmark" ikke administreres samtidigt med andre lægemidler, der indeholder komponenterne emtricitabin eller tenofovirdisoproxil. Efavirenz/Emtricitabine/Tenofovir disoproxil "Glenmark" bør ikke administreres samtidigt med lægemidler, der indeholder efavirenz, medmindre det er nødvendigt på grund af dosisjustering, f.eks. med rifampicin (se pkt. 4.2). På grund af ligheder med emtricitabin bør Efavirenz/Emtricitabine/Tenofovir disoproxil "Glenmark" ikke administreres samtidigt med andre cytidinanaloger, såsom lamivudin. Efavirenz/Emtricitabine/Tenofovir disoproxil "Glenmark" må ikke administreres samtidigt med adefovirdipivoxil eller med lægemidler, som indeholder tenofoviralafenamid.</w:t>
      </w:r>
    </w:p>
    <w:p w:rsidR="00D25F12" w:rsidRPr="0085642D" w:rsidRDefault="00D25F12" w:rsidP="00D25F12">
      <w:pPr>
        <w:ind w:left="851"/>
        <w:rPr>
          <w:sz w:val="24"/>
          <w:szCs w:val="24"/>
          <w:lang w:bidi="en-GB"/>
        </w:rPr>
      </w:pPr>
    </w:p>
    <w:p w:rsidR="00D25F12" w:rsidRPr="0085642D" w:rsidRDefault="00D25F12" w:rsidP="00D25F12">
      <w:pPr>
        <w:ind w:left="851"/>
        <w:rPr>
          <w:sz w:val="24"/>
          <w:szCs w:val="24"/>
          <w:lang w:bidi="en-GB"/>
        </w:rPr>
      </w:pPr>
      <w:r w:rsidRPr="0085642D">
        <w:rPr>
          <w:sz w:val="24"/>
          <w:szCs w:val="24"/>
          <w:lang w:bidi="en-GB"/>
        </w:rPr>
        <w:t xml:space="preserve">Efavirenz inducerer CYP3A4, CYP2B6 og UGT1A1 </w:t>
      </w:r>
      <w:r w:rsidRPr="0085642D">
        <w:rPr>
          <w:i/>
          <w:sz w:val="24"/>
          <w:szCs w:val="24"/>
          <w:lang w:bidi="en-GB"/>
        </w:rPr>
        <w:t>in vivo</w:t>
      </w:r>
      <w:r w:rsidRPr="0085642D">
        <w:rPr>
          <w:sz w:val="24"/>
          <w:szCs w:val="24"/>
          <w:lang w:bidi="en-GB"/>
        </w:rPr>
        <w:t>. Stoffer, som er substrater for disse enzymer, kan have reducerede plasmakoncentrationer, når de administreres sammen med efavirenz.</w:t>
      </w:r>
    </w:p>
    <w:p w:rsidR="00D25F12" w:rsidRPr="0085642D" w:rsidRDefault="00D25F12" w:rsidP="00D25F12">
      <w:pPr>
        <w:ind w:left="851"/>
        <w:rPr>
          <w:sz w:val="24"/>
          <w:szCs w:val="24"/>
          <w:lang w:bidi="en-GB"/>
        </w:rPr>
      </w:pPr>
      <w:r w:rsidRPr="0085642D">
        <w:rPr>
          <w:sz w:val="24"/>
          <w:szCs w:val="24"/>
          <w:lang w:bidi="en-GB"/>
        </w:rPr>
        <w:lastRenderedPageBreak/>
        <w:t xml:space="preserve">Efavirenz kan være en CYP2C19- og CYP2C9-induktor, men hæmning er imidlertid også blevet observeret </w:t>
      </w:r>
      <w:r w:rsidRPr="0085642D">
        <w:rPr>
          <w:i/>
          <w:sz w:val="24"/>
          <w:szCs w:val="24"/>
          <w:lang w:bidi="en-GB"/>
        </w:rPr>
        <w:t xml:space="preserve">in vitro, </w:t>
      </w:r>
      <w:r w:rsidRPr="0085642D">
        <w:rPr>
          <w:sz w:val="24"/>
          <w:szCs w:val="24"/>
          <w:lang w:bidi="en-GB"/>
        </w:rPr>
        <w:t>og nettovirkningen ved administration sammen med substrater for disse enzymer er ikke klar (se pkt. 5.2).</w:t>
      </w:r>
    </w:p>
    <w:p w:rsidR="00D25F12" w:rsidRDefault="00D25F12" w:rsidP="00D25F12">
      <w:pPr>
        <w:rPr>
          <w:sz w:val="24"/>
          <w:szCs w:val="24"/>
          <w:lang w:bidi="en-GB"/>
        </w:rPr>
      </w:pPr>
    </w:p>
    <w:p w:rsidR="00FE0330" w:rsidRDefault="00FE0330" w:rsidP="00FE0330">
      <w:pPr>
        <w:ind w:left="851"/>
        <w:rPr>
          <w:sz w:val="24"/>
          <w:szCs w:val="24"/>
          <w:lang w:bidi="en-GB"/>
        </w:rPr>
      </w:pPr>
      <w:r>
        <w:rPr>
          <w:sz w:val="24"/>
          <w:szCs w:val="24"/>
          <w:lang w:bidi="en-GB"/>
        </w:rPr>
        <w:t>Samtidig administration af efavirenz og metamizol, som er en inducer af metaboliserende enzymer inklusive CYP2B6 og CYP3A4, kan medføre en reduktion i plasmakoncentrationer af efavirenz med potentielt fald i klinisk effekt. Derfor tilrådes forsigtighed, når metamizol og efavirenz administreres samtidigt; klinisk respons og / eller lægemiddelniveauer skal overvåges efter behov.</w:t>
      </w:r>
    </w:p>
    <w:p w:rsidR="00FE0330" w:rsidRPr="0085642D" w:rsidRDefault="00FE0330" w:rsidP="00D25F12">
      <w:pPr>
        <w:rPr>
          <w:sz w:val="24"/>
          <w:szCs w:val="24"/>
          <w:lang w:bidi="en-GB"/>
        </w:rPr>
      </w:pPr>
    </w:p>
    <w:p w:rsidR="00D25F12" w:rsidRPr="0085642D" w:rsidRDefault="00D25F12" w:rsidP="00D25F12">
      <w:pPr>
        <w:ind w:left="851"/>
        <w:rPr>
          <w:sz w:val="24"/>
          <w:szCs w:val="24"/>
          <w:lang w:bidi="en-GB"/>
        </w:rPr>
      </w:pPr>
      <w:r w:rsidRPr="0085642D">
        <w:rPr>
          <w:sz w:val="24"/>
          <w:szCs w:val="24"/>
          <w:lang w:bidi="en-GB"/>
        </w:rPr>
        <w:t>Eksponeringen af efavirenz kan øges, når det administreres sammen med lægemidler (f.eks. ritonavir) eller mad (f.eks. grapefrugtjuice), som hæmmer aktiviteten af CYP3A4 eller CYP2B6. Stoffer eller naturlægemidler (for eksempel Ginkgo biloba</w:t>
      </w:r>
      <w:r w:rsidRPr="0085642D">
        <w:rPr>
          <w:sz w:val="24"/>
          <w:szCs w:val="24"/>
          <w:lang w:bidi="en-GB"/>
        </w:rPr>
        <w:noBreakHyphen/>
        <w:t>ekstrakt og perikon), som inducerer disse enzymer, kan medføre reducerede plasmakoncentrationer af efavirenz. Samtidig brug af perikon er kontraindiceret (se pkt. 4.3). Samtidig brug af Ginkgo biloba-ekstrakt frarådes (se pkt. 4.4).</w:t>
      </w:r>
    </w:p>
    <w:p w:rsidR="00D25F12" w:rsidRPr="0085642D" w:rsidRDefault="00D25F12" w:rsidP="00D25F12">
      <w:pPr>
        <w:ind w:left="851"/>
        <w:rPr>
          <w:sz w:val="24"/>
          <w:szCs w:val="24"/>
          <w:lang w:bidi="en-GB"/>
        </w:rPr>
      </w:pPr>
    </w:p>
    <w:p w:rsidR="00D25F12" w:rsidRPr="0085642D" w:rsidRDefault="00D25F12" w:rsidP="00D25F12">
      <w:pPr>
        <w:ind w:left="851"/>
        <w:rPr>
          <w:sz w:val="24"/>
          <w:szCs w:val="24"/>
          <w:lang w:bidi="en-GB"/>
        </w:rPr>
      </w:pPr>
      <w:r w:rsidRPr="0085642D">
        <w:rPr>
          <w:i/>
          <w:sz w:val="24"/>
          <w:szCs w:val="24"/>
          <w:lang w:bidi="en-GB"/>
        </w:rPr>
        <w:t>In vitro</w:t>
      </w:r>
      <w:r w:rsidRPr="0085642D">
        <w:rPr>
          <w:sz w:val="24"/>
          <w:szCs w:val="24"/>
          <w:lang w:bidi="en-GB"/>
        </w:rPr>
        <w:noBreakHyphen/>
        <w:t>studier og kliniske farmakokinetiske interaktionsstudier har vist et lavt potentiale for CYP</w:t>
      </w:r>
      <w:r w:rsidRPr="0085642D">
        <w:rPr>
          <w:sz w:val="24"/>
          <w:szCs w:val="24"/>
          <w:lang w:bidi="en-GB"/>
        </w:rPr>
        <w:noBreakHyphen/>
        <w:t>medierede interaktioner, hvor emtricitabin og tenofovirdisoproxil er involveret sammen med andre lægemidler.</w:t>
      </w:r>
    </w:p>
    <w:p w:rsidR="00D25F12" w:rsidRPr="0085642D" w:rsidRDefault="00D25F12" w:rsidP="00D25F12">
      <w:pPr>
        <w:ind w:left="851"/>
        <w:rPr>
          <w:sz w:val="24"/>
          <w:szCs w:val="24"/>
          <w:lang w:bidi="en-GB"/>
        </w:rPr>
      </w:pPr>
    </w:p>
    <w:p w:rsidR="00D25F12" w:rsidRPr="0085642D" w:rsidRDefault="00D25F12" w:rsidP="00D25F12">
      <w:pPr>
        <w:ind w:left="851"/>
        <w:rPr>
          <w:sz w:val="24"/>
          <w:szCs w:val="24"/>
          <w:lang w:bidi="en-GB"/>
        </w:rPr>
      </w:pPr>
      <w:r w:rsidRPr="0085642D">
        <w:rPr>
          <w:sz w:val="24"/>
          <w:szCs w:val="24"/>
          <w:u w:val="single"/>
          <w:lang w:bidi="en-GB"/>
        </w:rPr>
        <w:t>Interaktion med cannabinoid</w:t>
      </w:r>
      <w:r w:rsidRPr="0085642D">
        <w:rPr>
          <w:sz w:val="24"/>
          <w:szCs w:val="24"/>
          <w:u w:val="single"/>
          <w:lang w:bidi="en-GB"/>
        </w:rPr>
        <w:noBreakHyphen/>
        <w:t>test</w:t>
      </w:r>
    </w:p>
    <w:p w:rsidR="00D25F12" w:rsidRPr="0085642D" w:rsidRDefault="00D25F12" w:rsidP="00D25F12">
      <w:pPr>
        <w:ind w:left="851"/>
        <w:rPr>
          <w:sz w:val="24"/>
          <w:szCs w:val="24"/>
          <w:lang w:bidi="en-GB"/>
        </w:rPr>
      </w:pPr>
      <w:r w:rsidRPr="0085642D">
        <w:rPr>
          <w:sz w:val="24"/>
          <w:szCs w:val="24"/>
          <w:lang w:bidi="en-GB"/>
        </w:rPr>
        <w:t>Efavirenz binder ikke til cannabinoidreceptorer. Der er rapporteret falsk positive resultater for cannabinoid i urinprøver hos ikke</w:t>
      </w:r>
      <w:r w:rsidRPr="0085642D">
        <w:rPr>
          <w:sz w:val="24"/>
          <w:szCs w:val="24"/>
          <w:lang w:bidi="en-GB"/>
        </w:rPr>
        <w:noBreakHyphen/>
        <w:t>inficerede og hiv</w:t>
      </w:r>
      <w:r w:rsidRPr="0085642D">
        <w:rPr>
          <w:sz w:val="24"/>
          <w:szCs w:val="24"/>
          <w:lang w:bidi="en-GB"/>
        </w:rPr>
        <w:noBreakHyphen/>
        <w:t>inficerede personer, som fik efavirenz, med nogle screeningstests. Bekræftende testning med en mere specifik metode, såsom gaskromatografi/massespektrometri anbefales i sådanne tilfælde.</w:t>
      </w:r>
    </w:p>
    <w:p w:rsidR="00D25F12" w:rsidRPr="0085642D" w:rsidRDefault="00D25F12" w:rsidP="00D25F12">
      <w:pPr>
        <w:ind w:left="851"/>
        <w:rPr>
          <w:sz w:val="24"/>
          <w:szCs w:val="24"/>
          <w:lang w:bidi="en-GB"/>
        </w:rPr>
      </w:pPr>
    </w:p>
    <w:p w:rsidR="00D25F12" w:rsidRPr="0085642D" w:rsidRDefault="00D25F12" w:rsidP="00D25F12">
      <w:pPr>
        <w:ind w:left="851"/>
        <w:rPr>
          <w:sz w:val="24"/>
          <w:szCs w:val="24"/>
          <w:lang w:bidi="en-GB"/>
        </w:rPr>
      </w:pPr>
      <w:r w:rsidRPr="0085642D">
        <w:rPr>
          <w:sz w:val="24"/>
          <w:szCs w:val="24"/>
          <w:u w:val="single"/>
          <w:lang w:bidi="en-GB"/>
        </w:rPr>
        <w:t>Kontraindikationer for samtidig brug</w:t>
      </w:r>
    </w:p>
    <w:p w:rsidR="00D25F12" w:rsidRPr="0085642D" w:rsidRDefault="00D25F12" w:rsidP="00D25F12">
      <w:pPr>
        <w:ind w:left="851"/>
        <w:rPr>
          <w:sz w:val="24"/>
          <w:szCs w:val="24"/>
          <w:lang w:bidi="en-GB"/>
        </w:rPr>
      </w:pPr>
      <w:r w:rsidRPr="0085642D">
        <w:rPr>
          <w:sz w:val="24"/>
          <w:szCs w:val="24"/>
          <w:lang w:bidi="en-GB"/>
        </w:rPr>
        <w:t>Efavirenz/Emtricitabine/Tenofovir disoproxil "Glenmark" må ikke administreres sammen med terfenadin, astemizol, cisaprid, midazolam, triazolam, pimozid, bepridil eller ergotalkaloider (f.eks. ergotamin, dihydroergotamin, ergonovin og methylergonovin), da hæmning af disses metabolisme kan føre til alvorlige livstruende hændelser (se pkt. 4.3).</w:t>
      </w:r>
    </w:p>
    <w:p w:rsidR="00D25F12" w:rsidRPr="0085642D" w:rsidRDefault="00D25F12" w:rsidP="00D25F12">
      <w:pPr>
        <w:ind w:left="851"/>
        <w:rPr>
          <w:sz w:val="24"/>
          <w:szCs w:val="24"/>
          <w:lang w:bidi="en-GB"/>
        </w:rPr>
      </w:pPr>
    </w:p>
    <w:p w:rsidR="00D25F12" w:rsidRPr="0085642D" w:rsidRDefault="00D25F12" w:rsidP="00D25F12">
      <w:pPr>
        <w:ind w:left="851"/>
        <w:rPr>
          <w:sz w:val="24"/>
          <w:szCs w:val="24"/>
          <w:lang w:bidi="en-GB"/>
        </w:rPr>
      </w:pPr>
      <w:r w:rsidRPr="0085642D">
        <w:rPr>
          <w:i/>
          <w:sz w:val="24"/>
          <w:szCs w:val="24"/>
          <w:lang w:bidi="en-GB"/>
        </w:rPr>
        <w:t xml:space="preserve">Elbasvir/grazoprevir: </w:t>
      </w:r>
      <w:r w:rsidRPr="0085642D">
        <w:rPr>
          <w:sz w:val="24"/>
          <w:szCs w:val="24"/>
          <w:lang w:bidi="en-GB"/>
        </w:rPr>
        <w:t>Samtidig administration af Efavirenz/Emtricitabine/Tenofovir disoproxil "Glenmark" med elbasvir/grazoprevir er kontraindiceret, da det kan medføre tab af det virologiske respons på elbasvir/grazoprevir (se pkt. 4.3 og tabel 1).</w:t>
      </w:r>
    </w:p>
    <w:p w:rsidR="00D25F12" w:rsidRPr="0085642D" w:rsidRDefault="00D25F12" w:rsidP="00D25F12">
      <w:pPr>
        <w:ind w:left="851"/>
        <w:rPr>
          <w:sz w:val="24"/>
          <w:szCs w:val="24"/>
          <w:lang w:bidi="en-GB"/>
        </w:rPr>
      </w:pPr>
    </w:p>
    <w:p w:rsidR="00D25F12" w:rsidRPr="0085642D" w:rsidRDefault="00D25F12" w:rsidP="00D25F12">
      <w:pPr>
        <w:ind w:left="851"/>
        <w:rPr>
          <w:sz w:val="24"/>
          <w:szCs w:val="24"/>
          <w:lang w:bidi="en-GB"/>
        </w:rPr>
      </w:pPr>
      <w:r w:rsidRPr="0085642D">
        <w:rPr>
          <w:i/>
          <w:sz w:val="24"/>
          <w:szCs w:val="24"/>
          <w:lang w:bidi="en-GB"/>
        </w:rPr>
        <w:t xml:space="preserve">Voriconazol: </w:t>
      </w:r>
      <w:r w:rsidRPr="0085642D">
        <w:rPr>
          <w:sz w:val="24"/>
          <w:szCs w:val="24"/>
          <w:lang w:bidi="en-GB"/>
        </w:rPr>
        <w:t>Samtidig administration af efavirenz og voriconazol standarddoser er kontraindiceret. Da Efavirenz/Emtricitabine/Tenofovir disoproxil "Glenmark" er et fastdosis-kombinationsprodukt, kan efavirenzdosis ikke ændres; voriconazol og Efavirenz/Emtricitabine/Tenofovir disoproxil "Glenmark" må derfor ikke administreres samtidigt (se pkt. 4.3 og tabel 1).</w:t>
      </w:r>
    </w:p>
    <w:p w:rsidR="00D25F12" w:rsidRPr="0085642D" w:rsidRDefault="00D25F12" w:rsidP="00D25F12">
      <w:pPr>
        <w:ind w:left="851"/>
        <w:rPr>
          <w:sz w:val="24"/>
          <w:szCs w:val="24"/>
          <w:lang w:bidi="en-GB"/>
        </w:rPr>
      </w:pPr>
    </w:p>
    <w:p w:rsidR="00D25F12" w:rsidRPr="0085642D" w:rsidRDefault="00D25F12" w:rsidP="00D25F12">
      <w:pPr>
        <w:ind w:left="851"/>
        <w:rPr>
          <w:sz w:val="24"/>
          <w:szCs w:val="24"/>
          <w:lang w:bidi="en-GB"/>
        </w:rPr>
      </w:pPr>
      <w:r w:rsidRPr="0085642D">
        <w:rPr>
          <w:i/>
          <w:sz w:val="24"/>
          <w:szCs w:val="24"/>
          <w:lang w:bidi="en-GB"/>
        </w:rPr>
        <w:t xml:space="preserve">Perikon (Hypericum perforatum): </w:t>
      </w:r>
      <w:r w:rsidRPr="0085642D">
        <w:rPr>
          <w:sz w:val="24"/>
          <w:szCs w:val="24"/>
          <w:lang w:bidi="en-GB"/>
        </w:rPr>
        <w:t>Samtidig administration af Efavirenz/Emtricita</w:t>
      </w:r>
      <w:r w:rsidRPr="0085642D">
        <w:rPr>
          <w:sz w:val="24"/>
          <w:szCs w:val="24"/>
          <w:lang w:bidi="en-GB"/>
        </w:rPr>
        <w:softHyphen/>
        <w:t>bine/Teno</w:t>
      </w:r>
      <w:r w:rsidRPr="0085642D">
        <w:rPr>
          <w:sz w:val="24"/>
          <w:szCs w:val="24"/>
          <w:lang w:bidi="en-GB"/>
        </w:rPr>
        <w:softHyphen/>
        <w:t>fovir disoproxil "Glenmark" og perikon eller naturlægemidler, der indeholder perikon, er kontraindiceret. Efavirenz’ plasmakoncentrationer kan reduceres ved samtidig brug af perikon. Dette skyldes perikons induktion af lægemiddelmetaboliserende enzymer og/eller transportproteiner. Hvis en patient allerede tager perikon, skal dette middel seponeres, og de virale koncentrationer og om muligt efavirenzkoncentrationerne skal kontrolleres. Efavirenzkoncentrationen kan stige, når perikon seponeres. Den inducerende virkning af perikon kan vare ved i mindst 2 uger efter seponering (se pkt. 4.3).</w:t>
      </w:r>
    </w:p>
    <w:p w:rsidR="00D25F12" w:rsidRPr="0085642D" w:rsidRDefault="00D25F12" w:rsidP="00D25F12">
      <w:pPr>
        <w:ind w:left="851"/>
        <w:rPr>
          <w:sz w:val="24"/>
          <w:szCs w:val="24"/>
          <w:lang w:bidi="en-GB"/>
        </w:rPr>
      </w:pPr>
    </w:p>
    <w:p w:rsidR="00D25F12" w:rsidRPr="0085642D" w:rsidRDefault="00D25F12" w:rsidP="00D25F12">
      <w:pPr>
        <w:ind w:left="851"/>
        <w:rPr>
          <w:sz w:val="24"/>
          <w:szCs w:val="24"/>
          <w:lang w:bidi="en-GB"/>
        </w:rPr>
      </w:pPr>
      <w:r w:rsidRPr="0085642D">
        <w:rPr>
          <w:i/>
          <w:sz w:val="24"/>
          <w:szCs w:val="24"/>
          <w:lang w:bidi="en-GB"/>
        </w:rPr>
        <w:t>QT</w:t>
      </w:r>
      <w:r w:rsidRPr="0085642D">
        <w:rPr>
          <w:i/>
          <w:sz w:val="24"/>
          <w:szCs w:val="24"/>
          <w:lang w:bidi="en-GB"/>
        </w:rPr>
        <w:noBreakHyphen/>
        <w:t xml:space="preserve">forlængende lægemidler: </w:t>
      </w:r>
      <w:r w:rsidRPr="0085642D">
        <w:rPr>
          <w:sz w:val="24"/>
          <w:szCs w:val="24"/>
          <w:lang w:bidi="en-GB"/>
        </w:rPr>
        <w:t>Efavirenz/Emtricitabine/Tenofovir disoproxil "Glenmark" er kontraindiceret ved samtidig brug af lægemidler, som vides at forlænge QTc</w:t>
      </w:r>
      <w:r w:rsidRPr="0085642D">
        <w:rPr>
          <w:sz w:val="24"/>
          <w:szCs w:val="24"/>
          <w:lang w:bidi="en-GB"/>
        </w:rPr>
        <w:noBreakHyphen/>
        <w:t>intervallet og kan føre til Torsade de Pointes, f.eks. antiarytmika af klasse IA og III, neuroleptika og antidepressiva, visse antibiotika, herunder nogle stoffer af følgende klasser: makrolider, fluorokinoloner, imidazol- og triazol</w:t>
      </w:r>
      <w:r w:rsidRPr="0085642D">
        <w:rPr>
          <w:sz w:val="24"/>
          <w:szCs w:val="24"/>
          <w:lang w:bidi="en-GB"/>
        </w:rPr>
        <w:noBreakHyphen/>
        <w:t>antimykotika, visse non</w:t>
      </w:r>
      <w:r w:rsidRPr="0085642D">
        <w:rPr>
          <w:sz w:val="24"/>
          <w:szCs w:val="24"/>
          <w:lang w:bidi="en-GB"/>
        </w:rPr>
        <w:noBreakHyphen/>
        <w:t>sederende antihistaminer (terfenadin, astemizol), cisaprid, flecainid, visse antimalariamidler og methadon (se pkt. 4.3).</w:t>
      </w:r>
    </w:p>
    <w:p w:rsidR="00D25F12" w:rsidRPr="0085642D" w:rsidRDefault="00D25F12" w:rsidP="00D25F12">
      <w:pPr>
        <w:rPr>
          <w:sz w:val="24"/>
          <w:szCs w:val="24"/>
          <w:lang w:bidi="en-GB"/>
        </w:rPr>
      </w:pPr>
    </w:p>
    <w:p w:rsidR="00D25F12" w:rsidRPr="0085642D" w:rsidRDefault="00D25F12" w:rsidP="00D25F12">
      <w:pPr>
        <w:ind w:left="851"/>
        <w:rPr>
          <w:sz w:val="24"/>
          <w:szCs w:val="24"/>
          <w:lang w:bidi="en-GB"/>
        </w:rPr>
      </w:pPr>
      <w:r w:rsidRPr="0085642D">
        <w:rPr>
          <w:sz w:val="24"/>
          <w:szCs w:val="24"/>
          <w:u w:val="single"/>
          <w:lang w:bidi="en-GB"/>
        </w:rPr>
        <w:t>Samtidig brug frarådes</w:t>
      </w:r>
    </w:p>
    <w:p w:rsidR="00FE0330" w:rsidRDefault="00FE0330" w:rsidP="00FE0330">
      <w:pPr>
        <w:ind w:left="851"/>
        <w:rPr>
          <w:sz w:val="24"/>
          <w:szCs w:val="24"/>
          <w:lang w:bidi="en-GB"/>
        </w:rPr>
      </w:pPr>
      <w:r>
        <w:rPr>
          <w:sz w:val="24"/>
          <w:szCs w:val="24"/>
          <w:lang w:bidi="en-GB"/>
        </w:rPr>
        <w:t xml:space="preserve">Samtidig anvendelse af Efavirenz/Emtricitabine/Tenofovir disoproxil "Glenmark" med praziquantel anbefales ikke på grund af et signikant fald i koncentrationer af praziquantel i plasma, med risiko for behandlingssvigt på grund af øget levermetabolisme for efavirenz. Hvis kombinationen er nødvendig, kan en øget dosis af praziquantel overvejes. </w:t>
      </w:r>
    </w:p>
    <w:p w:rsidR="00FE0330" w:rsidRPr="00FE0330" w:rsidRDefault="00FE0330" w:rsidP="00D25F12">
      <w:pPr>
        <w:ind w:left="851"/>
        <w:rPr>
          <w:sz w:val="24"/>
          <w:szCs w:val="24"/>
          <w:lang w:bidi="en-GB"/>
        </w:rPr>
      </w:pPr>
    </w:p>
    <w:p w:rsidR="00D25F12" w:rsidRPr="0085642D" w:rsidRDefault="00D25F12" w:rsidP="00D25F12">
      <w:pPr>
        <w:ind w:left="851"/>
        <w:rPr>
          <w:sz w:val="24"/>
          <w:szCs w:val="24"/>
          <w:lang w:bidi="en-GB"/>
        </w:rPr>
      </w:pPr>
      <w:r w:rsidRPr="0085642D">
        <w:rPr>
          <w:i/>
          <w:sz w:val="24"/>
          <w:szCs w:val="24"/>
          <w:lang w:bidi="en-GB"/>
        </w:rPr>
        <w:t xml:space="preserve">Atazanavir/ritonavir: </w:t>
      </w:r>
      <w:r w:rsidRPr="0085642D">
        <w:rPr>
          <w:sz w:val="24"/>
          <w:szCs w:val="24"/>
          <w:lang w:bidi="en-GB"/>
        </w:rPr>
        <w:t xml:space="preserve">Der er ikke tilstrækkelig dokumentation til en doseringsanbefaling for atazanavir/ritonavir i kombination med </w:t>
      </w:r>
      <w:r w:rsidRPr="0085642D">
        <w:rPr>
          <w:sz w:val="24"/>
          <w:szCs w:val="24"/>
        </w:rPr>
        <w:t>efavirenz/emtricitabin/tenofovirdisoproxil</w:t>
      </w:r>
      <w:r w:rsidRPr="0085642D">
        <w:rPr>
          <w:sz w:val="24"/>
          <w:szCs w:val="24"/>
          <w:lang w:bidi="en-GB"/>
        </w:rPr>
        <w:t>. Samtidig administration af atazanavir/ritonavir og Efavirenz/Emtricitabine/Tenofovir disoproxil "Glenmark" derfor frarådes (se tabel 1).</w:t>
      </w:r>
    </w:p>
    <w:p w:rsidR="00D25F12" w:rsidRPr="0085642D" w:rsidRDefault="00D25F12" w:rsidP="00D25F12">
      <w:pPr>
        <w:ind w:left="851"/>
        <w:rPr>
          <w:sz w:val="24"/>
          <w:szCs w:val="24"/>
          <w:lang w:bidi="en-GB"/>
        </w:rPr>
      </w:pPr>
    </w:p>
    <w:p w:rsidR="00D25F12" w:rsidRPr="0085642D" w:rsidRDefault="00D25F12" w:rsidP="00D25F12">
      <w:pPr>
        <w:ind w:left="851"/>
        <w:rPr>
          <w:sz w:val="24"/>
          <w:szCs w:val="24"/>
          <w:lang w:bidi="en-GB"/>
        </w:rPr>
      </w:pPr>
      <w:r w:rsidRPr="0085642D">
        <w:rPr>
          <w:i/>
          <w:sz w:val="24"/>
          <w:szCs w:val="24"/>
          <w:lang w:bidi="en-GB"/>
        </w:rPr>
        <w:t xml:space="preserve">Didanosin: </w:t>
      </w:r>
      <w:r w:rsidRPr="0085642D">
        <w:rPr>
          <w:sz w:val="24"/>
          <w:szCs w:val="24"/>
          <w:lang w:bidi="en-GB"/>
        </w:rPr>
        <w:t xml:space="preserve">Samtidig administration af Efavirenz/Emtricitabine/Tenofovir disoproxil "Glenmark" og didanosin frarådes </w:t>
      </w:r>
      <w:r w:rsidR="003854AE">
        <w:rPr>
          <w:sz w:val="24"/>
          <w:szCs w:val="24"/>
          <w:lang w:bidi="en-GB"/>
        </w:rPr>
        <w:t xml:space="preserve">(se </w:t>
      </w:r>
      <w:r w:rsidRPr="0085642D">
        <w:rPr>
          <w:sz w:val="24"/>
          <w:szCs w:val="24"/>
          <w:lang w:bidi="en-GB"/>
        </w:rPr>
        <w:t>tabel 1).</w:t>
      </w:r>
    </w:p>
    <w:p w:rsidR="00D25F12" w:rsidRPr="0085642D" w:rsidRDefault="00D25F12" w:rsidP="00D25F12">
      <w:pPr>
        <w:ind w:left="851"/>
        <w:rPr>
          <w:sz w:val="24"/>
          <w:szCs w:val="24"/>
          <w:lang w:bidi="en-GB"/>
        </w:rPr>
      </w:pPr>
    </w:p>
    <w:p w:rsidR="00D25F12" w:rsidRPr="0085642D" w:rsidRDefault="00D25F12" w:rsidP="00D25F12">
      <w:pPr>
        <w:ind w:left="851"/>
        <w:rPr>
          <w:sz w:val="24"/>
          <w:szCs w:val="24"/>
          <w:lang w:bidi="en-GB"/>
        </w:rPr>
      </w:pPr>
      <w:r w:rsidRPr="0085642D">
        <w:rPr>
          <w:i/>
          <w:sz w:val="24"/>
          <w:szCs w:val="24"/>
          <w:lang w:bidi="en-GB"/>
        </w:rPr>
        <w:t>Sofosbuvir/velpatasvir og sofosbuvir/velpatasvir/voxilaprevir</w:t>
      </w:r>
      <w:r w:rsidRPr="0085642D">
        <w:rPr>
          <w:sz w:val="24"/>
          <w:szCs w:val="24"/>
          <w:lang w:bidi="en-GB"/>
        </w:rPr>
        <w:t>: Samtidig administration af Efavirenz/Emtricitabine/Tenofovir disoproxil "Glenmark" og sofosbuvir/velpatasvir eller sofosbuvir/velpatasvir/voxilaprevir frarådes (se pkt. 4.4 og tabel 1).</w:t>
      </w:r>
    </w:p>
    <w:p w:rsidR="00D25F12" w:rsidRPr="0085642D" w:rsidRDefault="00D25F12" w:rsidP="00D25F12">
      <w:pPr>
        <w:ind w:left="851"/>
        <w:rPr>
          <w:sz w:val="24"/>
          <w:szCs w:val="24"/>
          <w:lang w:bidi="en-GB"/>
        </w:rPr>
      </w:pPr>
    </w:p>
    <w:p w:rsidR="00D25F12" w:rsidRPr="0085642D" w:rsidRDefault="00D25F12" w:rsidP="00D25F12">
      <w:pPr>
        <w:ind w:left="851"/>
        <w:rPr>
          <w:sz w:val="24"/>
          <w:szCs w:val="24"/>
          <w:lang w:bidi="en-GB"/>
        </w:rPr>
      </w:pPr>
      <w:r w:rsidRPr="0085642D">
        <w:rPr>
          <w:i/>
          <w:sz w:val="24"/>
          <w:szCs w:val="24"/>
          <w:lang w:bidi="en-GB"/>
        </w:rPr>
        <w:t xml:space="preserve">Renalt eliminerede lægemidler: </w:t>
      </w:r>
      <w:r w:rsidRPr="0085642D">
        <w:rPr>
          <w:sz w:val="24"/>
          <w:szCs w:val="24"/>
          <w:lang w:bidi="en-GB"/>
        </w:rPr>
        <w:t>Da emtricitabin og tenofovir primært elimineres via nyrerne, kan samtidig administration af Efavirenz/Emtricitabine/Tenofovir disoproxil "Glenmark" og lægemidler, der reducerer nyrefunktionen eller konkurrerer om aktiv tubulær udskillelse (f.eks. cidofovir) øge serumkoncentrationen af emtricitabin, tenofovir og/eller de samtidigt administrerede lægemidler.</w:t>
      </w:r>
    </w:p>
    <w:p w:rsidR="00D25F12" w:rsidRPr="0085642D" w:rsidRDefault="00D25F12" w:rsidP="00D25F12">
      <w:pPr>
        <w:ind w:left="851"/>
        <w:rPr>
          <w:sz w:val="24"/>
          <w:szCs w:val="24"/>
          <w:lang w:bidi="en-GB"/>
        </w:rPr>
      </w:pPr>
    </w:p>
    <w:p w:rsidR="00D25F12" w:rsidRPr="0085642D" w:rsidRDefault="00D25F12" w:rsidP="00D25F12">
      <w:pPr>
        <w:ind w:left="851"/>
        <w:rPr>
          <w:sz w:val="24"/>
          <w:szCs w:val="24"/>
          <w:lang w:bidi="en-GB"/>
        </w:rPr>
      </w:pPr>
      <w:r w:rsidRPr="0085642D">
        <w:rPr>
          <w:sz w:val="24"/>
          <w:szCs w:val="24"/>
          <w:lang w:bidi="en-GB"/>
        </w:rPr>
        <w:t>Brug af Efavirenz/Emtricitabine/Tenofovir disoproxil "Glenmark" bør undgås sammen med samtidig eller nylig brug af nefrotoksiske lægemidler. Eksempler omfatter, men er ikke begrænset til, aminoglykosider, amphotericin B, foscarnet, ganciclovir, pentamidin, vancomycin, cidofovir eller interleukin</w:t>
      </w:r>
      <w:r w:rsidRPr="0085642D">
        <w:rPr>
          <w:sz w:val="24"/>
          <w:szCs w:val="24"/>
          <w:lang w:bidi="en-GB"/>
        </w:rPr>
        <w:noBreakHyphen/>
        <w:t>2 (se pkt. 4.4).</w:t>
      </w:r>
    </w:p>
    <w:p w:rsidR="00D25F12" w:rsidRPr="0085642D" w:rsidRDefault="00D25F12" w:rsidP="00D25F12">
      <w:pPr>
        <w:ind w:left="851"/>
        <w:rPr>
          <w:sz w:val="24"/>
          <w:szCs w:val="24"/>
          <w:lang w:bidi="en-GB"/>
        </w:rPr>
      </w:pPr>
    </w:p>
    <w:p w:rsidR="00D25F12" w:rsidRPr="0085642D" w:rsidRDefault="00D25F12" w:rsidP="00D25F12">
      <w:pPr>
        <w:ind w:left="851"/>
        <w:rPr>
          <w:sz w:val="24"/>
          <w:szCs w:val="24"/>
          <w:lang w:bidi="en-GB"/>
        </w:rPr>
      </w:pPr>
      <w:r w:rsidRPr="0085642D">
        <w:rPr>
          <w:sz w:val="24"/>
          <w:szCs w:val="24"/>
          <w:u w:val="single"/>
          <w:lang w:bidi="en-GB"/>
        </w:rPr>
        <w:t>Andre interaktioner</w:t>
      </w:r>
    </w:p>
    <w:p w:rsidR="00D25F12" w:rsidRPr="0085642D" w:rsidRDefault="00D25F12" w:rsidP="00D25F12">
      <w:pPr>
        <w:ind w:left="851"/>
        <w:rPr>
          <w:sz w:val="24"/>
          <w:szCs w:val="24"/>
          <w:lang w:bidi="en-GB"/>
        </w:rPr>
      </w:pPr>
      <w:r w:rsidRPr="0085642D">
        <w:rPr>
          <w:sz w:val="24"/>
          <w:szCs w:val="24"/>
          <w:lang w:bidi="en-GB"/>
        </w:rPr>
        <w:t>Interaktioner mellem Efavirenz/Emtricitabine/Tenofovir disoproxil "Glenmark" eller dets individuelle komponent(er) og andre lægemidler ses i tabel 1 nedenfor (stigning er angivet som „↑“, fald som „↓“, ingen ændring som „↔“, to gange dagligt som “b.i.d.", en gang dagligt som “q.d." og en gang hver 8. time som “q8t"). 90 % konfidensinterval er vist i parenteser, hvis det er muligt.</w:t>
      </w:r>
    </w:p>
    <w:p w:rsidR="00D25F12" w:rsidRPr="0085642D" w:rsidRDefault="00D25F12" w:rsidP="00FE0330">
      <w:pPr>
        <w:keepNext/>
        <w:rPr>
          <w:sz w:val="24"/>
          <w:szCs w:val="24"/>
        </w:rPr>
      </w:pPr>
    </w:p>
    <w:p w:rsidR="00243EA6" w:rsidRDefault="00243EA6" w:rsidP="00FE0330">
      <w:pPr>
        <w:keepNext/>
        <w:rPr>
          <w:b/>
          <w:bCs/>
          <w:sz w:val="24"/>
          <w:szCs w:val="24"/>
          <w:lang w:bidi="en-GB"/>
        </w:rPr>
      </w:pPr>
      <w:r>
        <w:rPr>
          <w:b/>
          <w:bCs/>
          <w:sz w:val="24"/>
          <w:szCs w:val="24"/>
          <w:lang w:bidi="en-GB"/>
        </w:rPr>
        <w:t xml:space="preserve">Tabel 1: Interaktion mellem </w:t>
      </w:r>
      <w:r>
        <w:rPr>
          <w:b/>
          <w:sz w:val="24"/>
          <w:szCs w:val="24"/>
          <w:lang w:bidi="en-GB"/>
        </w:rPr>
        <w:t>Efavirenz/Emtricitabine/Tenofovir disoproxil "Glenmark"</w:t>
      </w:r>
      <w:r>
        <w:rPr>
          <w:b/>
          <w:bCs/>
          <w:sz w:val="24"/>
          <w:szCs w:val="24"/>
          <w:lang w:bidi="en-GB"/>
        </w:rPr>
        <w:t xml:space="preserve"> eller dets individuelle komponenter og andre lægemidler</w:t>
      </w:r>
    </w:p>
    <w:p w:rsidR="00243EA6" w:rsidRDefault="00243EA6" w:rsidP="00FE0330">
      <w:pPr>
        <w:keepNext/>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6"/>
        <w:gridCol w:w="2793"/>
        <w:gridCol w:w="3029"/>
      </w:tblGrid>
      <w:tr w:rsidR="00243EA6" w:rsidTr="00604247">
        <w:trPr>
          <w:tblHeader/>
          <w:jc w:val="center"/>
        </w:trPr>
        <w:tc>
          <w:tcPr>
            <w:tcW w:w="1977" w:type="pct"/>
            <w:tcBorders>
              <w:top w:val="single" w:sz="4" w:space="0" w:color="auto"/>
              <w:left w:val="single" w:sz="4" w:space="0" w:color="auto"/>
              <w:bottom w:val="single" w:sz="4" w:space="0" w:color="auto"/>
              <w:right w:val="single" w:sz="4" w:space="0" w:color="auto"/>
            </w:tcBorders>
            <w:hideMark/>
          </w:tcPr>
          <w:p w:rsidR="00243EA6" w:rsidRDefault="00243EA6">
            <w:pPr>
              <w:jc w:val="center"/>
              <w:rPr>
                <w:b/>
                <w:sz w:val="22"/>
                <w:szCs w:val="22"/>
              </w:rPr>
            </w:pPr>
            <w:r>
              <w:rPr>
                <w:b/>
                <w:sz w:val="22"/>
                <w:szCs w:val="22"/>
              </w:rPr>
              <w:t>Lægemiddel i henhold til terapeutisk område</w:t>
            </w:r>
          </w:p>
        </w:tc>
        <w:tc>
          <w:tcPr>
            <w:tcW w:w="1450" w:type="pct"/>
            <w:tcBorders>
              <w:top w:val="single" w:sz="4" w:space="0" w:color="auto"/>
              <w:left w:val="single" w:sz="4" w:space="0" w:color="auto"/>
              <w:bottom w:val="single" w:sz="4" w:space="0" w:color="auto"/>
              <w:right w:val="single" w:sz="4" w:space="0" w:color="auto"/>
            </w:tcBorders>
            <w:hideMark/>
          </w:tcPr>
          <w:p w:rsidR="00243EA6" w:rsidRDefault="00243EA6">
            <w:pPr>
              <w:jc w:val="center"/>
              <w:rPr>
                <w:b/>
                <w:sz w:val="22"/>
                <w:szCs w:val="22"/>
                <w:lang w:bidi="en-GB"/>
              </w:rPr>
            </w:pPr>
            <w:r>
              <w:rPr>
                <w:b/>
                <w:sz w:val="22"/>
                <w:szCs w:val="22"/>
                <w:lang w:bidi="en-GB"/>
              </w:rPr>
              <w:t>Virkning på lægemiddelkoncentration</w:t>
            </w:r>
          </w:p>
          <w:p w:rsidR="00243EA6" w:rsidRDefault="00243EA6">
            <w:pPr>
              <w:jc w:val="center"/>
              <w:rPr>
                <w:b/>
                <w:sz w:val="22"/>
                <w:szCs w:val="22"/>
                <w:lang w:bidi="en-GB"/>
              </w:rPr>
            </w:pPr>
            <w:r>
              <w:rPr>
                <w:b/>
                <w:sz w:val="22"/>
                <w:szCs w:val="22"/>
                <w:lang w:bidi="en-GB"/>
              </w:rPr>
              <w:t>Gennemsnitlig ændring (%) i AUC, C</w:t>
            </w:r>
            <w:r>
              <w:rPr>
                <w:b/>
                <w:sz w:val="22"/>
                <w:szCs w:val="22"/>
                <w:vertAlign w:val="subscript"/>
                <w:lang w:bidi="en-GB"/>
              </w:rPr>
              <w:t>max</w:t>
            </w:r>
            <w:r>
              <w:rPr>
                <w:b/>
                <w:sz w:val="22"/>
                <w:szCs w:val="22"/>
                <w:lang w:bidi="en-GB"/>
              </w:rPr>
              <w:t>, C</w:t>
            </w:r>
            <w:r>
              <w:rPr>
                <w:b/>
                <w:sz w:val="22"/>
                <w:szCs w:val="22"/>
                <w:vertAlign w:val="subscript"/>
                <w:lang w:bidi="en-GB"/>
              </w:rPr>
              <w:t>min</w:t>
            </w:r>
            <w:r>
              <w:rPr>
                <w:b/>
                <w:sz w:val="22"/>
                <w:szCs w:val="22"/>
                <w:lang w:bidi="en-GB"/>
              </w:rPr>
              <w:t xml:space="preserve"> med 90 % konfidensintervaller hvis muligt</w:t>
            </w:r>
          </w:p>
          <w:p w:rsidR="00243EA6" w:rsidRDefault="00243EA6">
            <w:pPr>
              <w:jc w:val="center"/>
              <w:rPr>
                <w:b/>
                <w:sz w:val="22"/>
                <w:szCs w:val="22"/>
              </w:rPr>
            </w:pPr>
            <w:r>
              <w:rPr>
                <w:b/>
                <w:sz w:val="22"/>
                <w:szCs w:val="22"/>
                <w:lang w:bidi="en-GB"/>
              </w:rPr>
              <w:t>(mekanisme)</w:t>
            </w:r>
          </w:p>
        </w:tc>
        <w:tc>
          <w:tcPr>
            <w:tcW w:w="1573" w:type="pct"/>
            <w:tcBorders>
              <w:top w:val="single" w:sz="4" w:space="0" w:color="auto"/>
              <w:left w:val="single" w:sz="4" w:space="0" w:color="auto"/>
              <w:bottom w:val="single" w:sz="4" w:space="0" w:color="auto"/>
              <w:right w:val="single" w:sz="4" w:space="0" w:color="auto"/>
            </w:tcBorders>
            <w:hideMark/>
          </w:tcPr>
          <w:p w:rsidR="00243EA6" w:rsidRDefault="00243EA6">
            <w:pPr>
              <w:jc w:val="center"/>
              <w:rPr>
                <w:b/>
                <w:sz w:val="22"/>
                <w:szCs w:val="22"/>
                <w:lang w:bidi="en-GB"/>
              </w:rPr>
            </w:pPr>
            <w:r>
              <w:rPr>
                <w:b/>
                <w:sz w:val="22"/>
                <w:szCs w:val="22"/>
                <w:lang w:bidi="en-GB"/>
              </w:rPr>
              <w:t>Anbefaling vedrørende samtidig administration af Efavirenz/Emtricitabine/</w:t>
            </w:r>
          </w:p>
          <w:p w:rsidR="00243EA6" w:rsidRDefault="00243EA6">
            <w:pPr>
              <w:jc w:val="center"/>
              <w:rPr>
                <w:b/>
                <w:sz w:val="22"/>
                <w:szCs w:val="22"/>
                <w:lang w:bidi="en-GB"/>
              </w:rPr>
            </w:pPr>
            <w:r>
              <w:rPr>
                <w:b/>
                <w:sz w:val="22"/>
                <w:szCs w:val="22"/>
                <w:lang w:bidi="en-GB"/>
              </w:rPr>
              <w:t>Tenofovir disoproxil "Glenmark"</w:t>
            </w:r>
          </w:p>
          <w:p w:rsidR="00243EA6" w:rsidRDefault="00243EA6">
            <w:pPr>
              <w:jc w:val="center"/>
              <w:rPr>
                <w:b/>
                <w:sz w:val="22"/>
                <w:szCs w:val="22"/>
                <w:lang w:bidi="en-GB"/>
              </w:rPr>
            </w:pPr>
            <w:r>
              <w:rPr>
                <w:b/>
                <w:sz w:val="22"/>
                <w:szCs w:val="22"/>
                <w:lang w:bidi="en-GB"/>
              </w:rPr>
              <w:t>(efavirenz 600 mg,</w:t>
            </w:r>
          </w:p>
          <w:p w:rsidR="00243EA6" w:rsidRDefault="00243EA6">
            <w:pPr>
              <w:jc w:val="center"/>
              <w:rPr>
                <w:b/>
                <w:sz w:val="22"/>
                <w:szCs w:val="22"/>
              </w:rPr>
            </w:pPr>
            <w:r>
              <w:rPr>
                <w:b/>
                <w:sz w:val="22"/>
                <w:szCs w:val="22"/>
                <w:lang w:bidi="en-GB"/>
              </w:rPr>
              <w:t>emtricitabin 200 mg, tenofovirdisoproxil 245 mg)</w:t>
            </w:r>
          </w:p>
        </w:tc>
      </w:tr>
      <w:tr w:rsidR="00243EA6" w:rsidTr="00243EA6">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243EA6" w:rsidRDefault="00243EA6">
            <w:pPr>
              <w:rPr>
                <w:sz w:val="22"/>
                <w:szCs w:val="22"/>
              </w:rPr>
            </w:pPr>
            <w:r>
              <w:rPr>
                <w:b/>
                <w:i/>
                <w:sz w:val="22"/>
                <w:szCs w:val="22"/>
                <w:lang w:bidi="en-GB"/>
              </w:rPr>
              <w:t>ANTIINFEKTIVA</w:t>
            </w:r>
          </w:p>
        </w:tc>
      </w:tr>
      <w:tr w:rsidR="00243EA6" w:rsidTr="00243EA6">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243EA6" w:rsidRDefault="00243EA6">
            <w:pPr>
              <w:rPr>
                <w:sz w:val="22"/>
                <w:szCs w:val="22"/>
              </w:rPr>
            </w:pPr>
            <w:r>
              <w:rPr>
                <w:b/>
                <w:sz w:val="22"/>
                <w:szCs w:val="22"/>
                <w:lang w:bidi="en-GB"/>
              </w:rPr>
              <w:t>Hiv-antivirale lægemidler</w:t>
            </w:r>
          </w:p>
        </w:tc>
      </w:tr>
      <w:tr w:rsidR="00243EA6" w:rsidTr="00243EA6">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243EA6" w:rsidRDefault="00243EA6">
            <w:pPr>
              <w:rPr>
                <w:sz w:val="22"/>
                <w:szCs w:val="22"/>
              </w:rPr>
            </w:pPr>
            <w:r>
              <w:rPr>
                <w:b/>
                <w:sz w:val="22"/>
                <w:szCs w:val="22"/>
              </w:rPr>
              <w:t>Proteasehæmmere</w:t>
            </w:r>
          </w:p>
        </w:tc>
      </w:tr>
      <w:tr w:rsidR="00243EA6" w:rsidTr="00604247">
        <w:trPr>
          <w:jc w:val="center"/>
        </w:trPr>
        <w:tc>
          <w:tcPr>
            <w:tcW w:w="1977" w:type="pct"/>
            <w:tcBorders>
              <w:top w:val="single" w:sz="4" w:space="0" w:color="auto"/>
              <w:left w:val="single" w:sz="4" w:space="0" w:color="auto"/>
              <w:bottom w:val="dotted" w:sz="4" w:space="0" w:color="auto"/>
              <w:right w:val="single" w:sz="4" w:space="0" w:color="auto"/>
            </w:tcBorders>
            <w:hideMark/>
          </w:tcPr>
          <w:p w:rsidR="00243EA6" w:rsidRDefault="00243EA6">
            <w:pPr>
              <w:rPr>
                <w:sz w:val="22"/>
                <w:szCs w:val="22"/>
              </w:rPr>
            </w:pPr>
            <w:r>
              <w:rPr>
                <w:sz w:val="22"/>
                <w:szCs w:val="22"/>
              </w:rPr>
              <w:t>Atazanavir/ritonavir/tenofovirdisoproxil</w:t>
            </w:r>
          </w:p>
          <w:p w:rsidR="00243EA6" w:rsidRDefault="00243EA6">
            <w:pPr>
              <w:rPr>
                <w:sz w:val="22"/>
                <w:szCs w:val="22"/>
              </w:rPr>
            </w:pPr>
            <w:r>
              <w:rPr>
                <w:sz w:val="22"/>
                <w:szCs w:val="22"/>
              </w:rPr>
              <w:t>(300 mg q.d./100 mg q.d./245 mg q.d.)</w:t>
            </w:r>
          </w:p>
        </w:tc>
        <w:tc>
          <w:tcPr>
            <w:tcW w:w="1450" w:type="pct"/>
            <w:tcBorders>
              <w:top w:val="single" w:sz="4" w:space="0" w:color="auto"/>
              <w:left w:val="single" w:sz="4" w:space="0" w:color="auto"/>
              <w:bottom w:val="dotted" w:sz="4" w:space="0" w:color="auto"/>
              <w:right w:val="single" w:sz="4" w:space="0" w:color="auto"/>
            </w:tcBorders>
            <w:hideMark/>
          </w:tcPr>
          <w:p w:rsidR="00243EA6" w:rsidRDefault="00243EA6">
            <w:pPr>
              <w:rPr>
                <w:sz w:val="22"/>
                <w:szCs w:val="22"/>
              </w:rPr>
            </w:pPr>
            <w:r>
              <w:rPr>
                <w:sz w:val="22"/>
                <w:szCs w:val="22"/>
              </w:rPr>
              <w:t>Atazanavir:</w:t>
            </w:r>
          </w:p>
          <w:p w:rsidR="00243EA6" w:rsidRDefault="00243EA6">
            <w:pPr>
              <w:rPr>
                <w:sz w:val="22"/>
                <w:szCs w:val="22"/>
              </w:rPr>
            </w:pPr>
            <w:r>
              <w:rPr>
                <w:sz w:val="22"/>
                <w:szCs w:val="22"/>
              </w:rPr>
              <w:t>AUC: ↓ 25 % (↓ 42 til ↓ 3)</w:t>
            </w:r>
          </w:p>
          <w:p w:rsidR="00243EA6" w:rsidRDefault="00243EA6">
            <w:pPr>
              <w:rPr>
                <w:sz w:val="22"/>
                <w:szCs w:val="22"/>
              </w:rPr>
            </w:pPr>
            <w:r>
              <w:rPr>
                <w:sz w:val="22"/>
                <w:szCs w:val="22"/>
              </w:rPr>
              <w:t>C</w:t>
            </w:r>
            <w:r>
              <w:rPr>
                <w:sz w:val="22"/>
                <w:szCs w:val="22"/>
                <w:vertAlign w:val="subscript"/>
              </w:rPr>
              <w:t>max</w:t>
            </w:r>
            <w:r>
              <w:rPr>
                <w:sz w:val="22"/>
                <w:szCs w:val="22"/>
              </w:rPr>
              <w:t>: ↓ 28 % (↓ 50 til ↑ 5)</w:t>
            </w:r>
          </w:p>
          <w:p w:rsidR="00243EA6" w:rsidRDefault="00243EA6">
            <w:pPr>
              <w:rPr>
                <w:sz w:val="22"/>
                <w:szCs w:val="22"/>
              </w:rPr>
            </w:pPr>
            <w:r>
              <w:rPr>
                <w:sz w:val="22"/>
                <w:szCs w:val="22"/>
              </w:rPr>
              <w:t>C</w:t>
            </w:r>
            <w:r>
              <w:rPr>
                <w:sz w:val="22"/>
                <w:szCs w:val="22"/>
                <w:vertAlign w:val="subscript"/>
              </w:rPr>
              <w:t>min</w:t>
            </w:r>
            <w:r>
              <w:rPr>
                <w:sz w:val="22"/>
                <w:szCs w:val="22"/>
              </w:rPr>
              <w:t>: ↓ 26 % (↓ 46 til ↑ 10)</w:t>
            </w:r>
          </w:p>
          <w:p w:rsidR="00243EA6" w:rsidRDefault="00243EA6">
            <w:pPr>
              <w:rPr>
                <w:sz w:val="22"/>
                <w:szCs w:val="22"/>
                <w:lang w:bidi="en-GB"/>
              </w:rPr>
            </w:pPr>
            <w:r>
              <w:rPr>
                <w:sz w:val="22"/>
                <w:szCs w:val="22"/>
                <w:lang w:bidi="en-GB"/>
              </w:rPr>
              <w:t>Samtidig administration af atazanavir/ritonavir og tenofovir medførte øget eksponering for tenofovir. Højere tenofovir- koncentrationer kunne forstærke tenofovir-associerede bivirkninger, inklusive nyrelidelser.</w:t>
            </w:r>
          </w:p>
        </w:tc>
        <w:tc>
          <w:tcPr>
            <w:tcW w:w="1573" w:type="pct"/>
            <w:vMerge w:val="restart"/>
            <w:tcBorders>
              <w:top w:val="single" w:sz="4" w:space="0" w:color="auto"/>
              <w:left w:val="single" w:sz="4" w:space="0" w:color="auto"/>
              <w:bottom w:val="single" w:sz="4" w:space="0" w:color="auto"/>
              <w:right w:val="single" w:sz="4" w:space="0" w:color="auto"/>
            </w:tcBorders>
          </w:tcPr>
          <w:p w:rsidR="00243EA6" w:rsidRDefault="00243EA6">
            <w:pPr>
              <w:rPr>
                <w:sz w:val="22"/>
                <w:szCs w:val="22"/>
                <w:lang w:bidi="en-GB"/>
              </w:rPr>
            </w:pPr>
            <w:r>
              <w:rPr>
                <w:sz w:val="22"/>
                <w:szCs w:val="22"/>
                <w:lang w:bidi="en-GB"/>
              </w:rPr>
              <w:t>Samtidig administration af atazanavir/ritonavir og Efavirenz/Emtricitabine/</w:t>
            </w:r>
          </w:p>
          <w:p w:rsidR="00243EA6" w:rsidRDefault="00243EA6">
            <w:pPr>
              <w:rPr>
                <w:sz w:val="22"/>
                <w:szCs w:val="22"/>
              </w:rPr>
            </w:pPr>
            <w:r>
              <w:rPr>
                <w:sz w:val="22"/>
                <w:szCs w:val="22"/>
                <w:lang w:bidi="en-GB"/>
              </w:rPr>
              <w:t>Tenofovir disoproxil "Glenmark" frarådes.</w:t>
            </w:r>
          </w:p>
          <w:p w:rsidR="00243EA6" w:rsidRDefault="00243EA6">
            <w:pPr>
              <w:rPr>
                <w:sz w:val="22"/>
                <w:szCs w:val="22"/>
              </w:rPr>
            </w:pPr>
          </w:p>
        </w:tc>
      </w:tr>
      <w:tr w:rsidR="00243EA6" w:rsidTr="00604247">
        <w:trPr>
          <w:jc w:val="center"/>
        </w:trPr>
        <w:tc>
          <w:tcPr>
            <w:tcW w:w="1977" w:type="pct"/>
            <w:tcBorders>
              <w:top w:val="dotted" w:sz="4" w:space="0" w:color="auto"/>
              <w:left w:val="single" w:sz="4" w:space="0" w:color="auto"/>
              <w:bottom w:val="dotted" w:sz="4" w:space="0" w:color="auto"/>
              <w:right w:val="single" w:sz="4" w:space="0" w:color="auto"/>
            </w:tcBorders>
          </w:tcPr>
          <w:p w:rsidR="00243EA6" w:rsidRDefault="00243EA6">
            <w:pPr>
              <w:rPr>
                <w:sz w:val="22"/>
                <w:szCs w:val="22"/>
                <w:lang w:bidi="en-GB"/>
              </w:rPr>
            </w:pPr>
            <w:r>
              <w:rPr>
                <w:sz w:val="22"/>
                <w:szCs w:val="22"/>
                <w:lang w:bidi="en-GB"/>
              </w:rPr>
              <w:t>Atazanavir/ritonavir/efavirenz</w:t>
            </w:r>
          </w:p>
          <w:p w:rsidR="00243EA6" w:rsidRDefault="00243EA6">
            <w:pPr>
              <w:rPr>
                <w:sz w:val="22"/>
                <w:szCs w:val="22"/>
                <w:lang w:bidi="en-GB"/>
              </w:rPr>
            </w:pPr>
            <w:r>
              <w:rPr>
                <w:sz w:val="22"/>
                <w:szCs w:val="22"/>
                <w:lang w:bidi="en-GB"/>
              </w:rPr>
              <w:t>(400 mg q.d./100 mg q.d./600 mg q.d., alle administreret sammen med mad)</w:t>
            </w:r>
          </w:p>
          <w:p w:rsidR="00243EA6" w:rsidRDefault="00243EA6">
            <w:pPr>
              <w:rPr>
                <w:sz w:val="22"/>
                <w:szCs w:val="22"/>
              </w:rPr>
            </w:pPr>
          </w:p>
          <w:p w:rsidR="00243EA6" w:rsidRDefault="00243EA6">
            <w:pPr>
              <w:rPr>
                <w:sz w:val="22"/>
                <w:szCs w:val="22"/>
                <w:lang w:bidi="en-GB"/>
              </w:rPr>
            </w:pPr>
            <w:r>
              <w:rPr>
                <w:sz w:val="22"/>
                <w:szCs w:val="22"/>
                <w:lang w:bidi="en-GB"/>
              </w:rPr>
              <w:t>Atazanavir/ritonavir/efavirenz</w:t>
            </w:r>
          </w:p>
          <w:p w:rsidR="00243EA6" w:rsidRDefault="00243EA6">
            <w:pPr>
              <w:rPr>
                <w:sz w:val="22"/>
                <w:szCs w:val="22"/>
                <w:lang w:bidi="en-GB"/>
              </w:rPr>
            </w:pPr>
            <w:r>
              <w:rPr>
                <w:sz w:val="22"/>
                <w:szCs w:val="22"/>
                <w:lang w:bidi="en-GB"/>
              </w:rPr>
              <w:t>(400 mg q.d./200 mg q.d./600 mg q.d., alle administreret sammen med mad)</w:t>
            </w:r>
          </w:p>
        </w:tc>
        <w:tc>
          <w:tcPr>
            <w:tcW w:w="1450" w:type="pct"/>
            <w:tcBorders>
              <w:top w:val="dotted" w:sz="4" w:space="0" w:color="auto"/>
              <w:left w:val="single" w:sz="4" w:space="0" w:color="auto"/>
              <w:bottom w:val="dotted" w:sz="4" w:space="0" w:color="auto"/>
              <w:right w:val="single" w:sz="4" w:space="0" w:color="auto"/>
            </w:tcBorders>
          </w:tcPr>
          <w:p w:rsidR="00243EA6" w:rsidRDefault="00243EA6">
            <w:pPr>
              <w:rPr>
                <w:sz w:val="22"/>
                <w:szCs w:val="22"/>
              </w:rPr>
            </w:pPr>
            <w:r>
              <w:rPr>
                <w:sz w:val="22"/>
                <w:szCs w:val="22"/>
              </w:rPr>
              <w:t>Atazanavir (pm):</w:t>
            </w:r>
          </w:p>
          <w:p w:rsidR="00243EA6" w:rsidRDefault="00243EA6">
            <w:pPr>
              <w:rPr>
                <w:sz w:val="22"/>
                <w:szCs w:val="22"/>
              </w:rPr>
            </w:pPr>
            <w:r>
              <w:rPr>
                <w:sz w:val="22"/>
                <w:szCs w:val="22"/>
              </w:rPr>
              <w:t xml:space="preserve">AUC: ↔* (↓ 9 % til ↑ 10 %) </w:t>
            </w:r>
          </w:p>
          <w:p w:rsidR="00243EA6" w:rsidRDefault="00243EA6">
            <w:pPr>
              <w:rPr>
                <w:sz w:val="22"/>
                <w:szCs w:val="22"/>
              </w:rPr>
            </w:pPr>
            <w:r>
              <w:rPr>
                <w:sz w:val="22"/>
                <w:szCs w:val="22"/>
              </w:rPr>
              <w:t>C</w:t>
            </w:r>
            <w:r>
              <w:rPr>
                <w:sz w:val="22"/>
                <w:szCs w:val="22"/>
                <w:vertAlign w:val="subscript"/>
              </w:rPr>
              <w:t>max</w:t>
            </w:r>
            <w:r>
              <w:rPr>
                <w:sz w:val="22"/>
                <w:szCs w:val="22"/>
              </w:rPr>
              <w:t xml:space="preserve">: ↑ 17 %* (↑ 8 til ↑ 27) </w:t>
            </w:r>
          </w:p>
          <w:p w:rsidR="00243EA6" w:rsidRDefault="00243EA6">
            <w:pPr>
              <w:rPr>
                <w:sz w:val="22"/>
                <w:szCs w:val="22"/>
              </w:rPr>
            </w:pPr>
            <w:r>
              <w:rPr>
                <w:sz w:val="22"/>
                <w:szCs w:val="22"/>
              </w:rPr>
              <w:t>C</w:t>
            </w:r>
            <w:r>
              <w:rPr>
                <w:sz w:val="22"/>
                <w:szCs w:val="22"/>
                <w:vertAlign w:val="subscript"/>
              </w:rPr>
              <w:t>min</w:t>
            </w:r>
            <w:r>
              <w:rPr>
                <w:sz w:val="22"/>
                <w:szCs w:val="22"/>
              </w:rPr>
              <w:t>: ↓ 42 %* (↓ 31 til ↓ 51)</w:t>
            </w:r>
          </w:p>
          <w:p w:rsidR="00243EA6" w:rsidRDefault="00243EA6">
            <w:pPr>
              <w:rPr>
                <w:sz w:val="22"/>
                <w:szCs w:val="22"/>
              </w:rPr>
            </w:pPr>
          </w:p>
          <w:p w:rsidR="00243EA6" w:rsidRDefault="00243EA6">
            <w:pPr>
              <w:rPr>
                <w:sz w:val="22"/>
                <w:szCs w:val="22"/>
              </w:rPr>
            </w:pPr>
            <w:r>
              <w:rPr>
                <w:sz w:val="22"/>
                <w:szCs w:val="22"/>
              </w:rPr>
              <w:t>Atazanavir (pm):</w:t>
            </w:r>
          </w:p>
          <w:p w:rsidR="00243EA6" w:rsidRDefault="00243EA6">
            <w:pPr>
              <w:rPr>
                <w:sz w:val="22"/>
                <w:szCs w:val="22"/>
              </w:rPr>
            </w:pPr>
            <w:r>
              <w:rPr>
                <w:sz w:val="22"/>
                <w:szCs w:val="22"/>
              </w:rPr>
              <w:t xml:space="preserve">AUC: ↔*/** (↓ 10 % til ↑ 26 %) </w:t>
            </w:r>
          </w:p>
          <w:p w:rsidR="00243EA6" w:rsidRDefault="00243EA6">
            <w:pPr>
              <w:rPr>
                <w:sz w:val="22"/>
                <w:szCs w:val="22"/>
              </w:rPr>
            </w:pPr>
            <w:r>
              <w:rPr>
                <w:sz w:val="22"/>
                <w:szCs w:val="22"/>
              </w:rPr>
              <w:t>C</w:t>
            </w:r>
            <w:r>
              <w:rPr>
                <w:sz w:val="22"/>
                <w:szCs w:val="22"/>
                <w:vertAlign w:val="subscript"/>
              </w:rPr>
              <w:t>max</w:t>
            </w:r>
            <w:r>
              <w:rPr>
                <w:sz w:val="22"/>
                <w:szCs w:val="22"/>
              </w:rPr>
              <w:t xml:space="preserve">: ↔*/** (↓ 5 % til ↑ 26 %) </w:t>
            </w:r>
          </w:p>
          <w:p w:rsidR="00243EA6" w:rsidRDefault="00243EA6">
            <w:pPr>
              <w:rPr>
                <w:sz w:val="22"/>
                <w:szCs w:val="22"/>
              </w:rPr>
            </w:pPr>
            <w:r>
              <w:rPr>
                <w:sz w:val="22"/>
                <w:szCs w:val="22"/>
              </w:rPr>
              <w:t>C</w:t>
            </w:r>
            <w:r>
              <w:rPr>
                <w:sz w:val="22"/>
                <w:szCs w:val="22"/>
                <w:vertAlign w:val="subscript"/>
              </w:rPr>
              <w:t>min</w:t>
            </w:r>
            <w:r>
              <w:rPr>
                <w:sz w:val="22"/>
                <w:szCs w:val="22"/>
              </w:rPr>
              <w:t xml:space="preserve">: ↑ 12 %*/** (↓ 16 til ↑ 49) </w:t>
            </w:r>
          </w:p>
          <w:p w:rsidR="00243EA6" w:rsidRDefault="00243EA6">
            <w:pPr>
              <w:rPr>
                <w:sz w:val="22"/>
                <w:szCs w:val="22"/>
              </w:rPr>
            </w:pPr>
            <w:r>
              <w:rPr>
                <w:sz w:val="22"/>
                <w:szCs w:val="22"/>
              </w:rPr>
              <w:t>(CYP3A4</w:t>
            </w:r>
            <w:r>
              <w:rPr>
                <w:sz w:val="22"/>
                <w:szCs w:val="22"/>
              </w:rPr>
              <w:noBreakHyphen/>
              <w:t>induktion).</w:t>
            </w:r>
          </w:p>
          <w:p w:rsidR="00243EA6" w:rsidRDefault="00243EA6">
            <w:pPr>
              <w:rPr>
                <w:sz w:val="22"/>
                <w:szCs w:val="22"/>
                <w:lang w:bidi="en-GB"/>
              </w:rPr>
            </w:pPr>
            <w:r>
              <w:rPr>
                <w:sz w:val="22"/>
                <w:szCs w:val="22"/>
                <w:lang w:bidi="en-GB"/>
              </w:rPr>
              <w:t>* Ved sammenligning med atazanavir 300 mg/ritonavir 100 mg q.d. om aftenen uden efavirenz. Dette fald i atazanavirs C</w:t>
            </w:r>
            <w:r>
              <w:rPr>
                <w:sz w:val="22"/>
                <w:szCs w:val="22"/>
                <w:vertAlign w:val="subscript"/>
                <w:lang w:bidi="en-GB"/>
              </w:rPr>
              <w:t>min</w:t>
            </w:r>
            <w:r>
              <w:rPr>
                <w:sz w:val="22"/>
                <w:szCs w:val="22"/>
                <w:lang w:bidi="en-GB"/>
              </w:rPr>
              <w:t xml:space="preserve"> kan have negativ indflydelse på virkningen af atazanavir.</w:t>
            </w:r>
          </w:p>
          <w:p w:rsidR="00243EA6" w:rsidRDefault="00243EA6">
            <w:pPr>
              <w:rPr>
                <w:sz w:val="22"/>
                <w:szCs w:val="22"/>
              </w:rPr>
            </w:pPr>
            <w:r>
              <w:rPr>
                <w:sz w:val="22"/>
                <w:szCs w:val="22"/>
                <w:lang w:bidi="en-GB"/>
              </w:rPr>
              <w:t>** Baseret på historisk sammenligning</w:t>
            </w:r>
            <w:r>
              <w:rPr>
                <w:sz w:val="22"/>
                <w:szCs w:val="22"/>
              </w:rPr>
              <w:t xml:space="preserve"> </w:t>
            </w:r>
          </w:p>
          <w:p w:rsidR="00243EA6" w:rsidRDefault="00243EA6">
            <w:pPr>
              <w:rPr>
                <w:sz w:val="22"/>
                <w:szCs w:val="22"/>
              </w:rPr>
            </w:pPr>
            <w:r>
              <w:rPr>
                <w:sz w:val="22"/>
                <w:szCs w:val="22"/>
                <w:lang w:bidi="en-GB"/>
              </w:rPr>
              <w:t>Samtidig administration af efavirenz og atazanavir/ritonavir frarådes.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EA6" w:rsidRDefault="00243EA6">
            <w:pPr>
              <w:rPr>
                <w:sz w:val="22"/>
                <w:szCs w:val="22"/>
              </w:rPr>
            </w:pPr>
          </w:p>
        </w:tc>
      </w:tr>
      <w:tr w:rsidR="00243EA6" w:rsidTr="00604247">
        <w:trPr>
          <w:jc w:val="center"/>
        </w:trPr>
        <w:tc>
          <w:tcPr>
            <w:tcW w:w="1977" w:type="pct"/>
            <w:tcBorders>
              <w:top w:val="dotted" w:sz="4" w:space="0" w:color="auto"/>
              <w:left w:val="single" w:sz="4" w:space="0" w:color="auto"/>
              <w:bottom w:val="single" w:sz="4" w:space="0" w:color="auto"/>
              <w:right w:val="single" w:sz="4" w:space="0" w:color="auto"/>
            </w:tcBorders>
            <w:hideMark/>
          </w:tcPr>
          <w:p w:rsidR="00243EA6" w:rsidRDefault="00243EA6">
            <w:pPr>
              <w:rPr>
                <w:sz w:val="22"/>
                <w:szCs w:val="22"/>
              </w:rPr>
            </w:pPr>
            <w:r>
              <w:rPr>
                <w:sz w:val="22"/>
                <w:szCs w:val="22"/>
              </w:rPr>
              <w:t>Atazanavir/ritonavir/emtricitabin</w:t>
            </w:r>
          </w:p>
        </w:tc>
        <w:tc>
          <w:tcPr>
            <w:tcW w:w="1450" w:type="pct"/>
            <w:tcBorders>
              <w:top w:val="dotted" w:sz="4" w:space="0" w:color="auto"/>
              <w:left w:val="single" w:sz="4" w:space="0" w:color="auto"/>
              <w:bottom w:val="single" w:sz="4" w:space="0" w:color="auto"/>
              <w:right w:val="single" w:sz="4" w:space="0" w:color="auto"/>
            </w:tcBorders>
            <w:hideMark/>
          </w:tcPr>
          <w:p w:rsidR="00243EA6" w:rsidRDefault="00243EA6">
            <w:pPr>
              <w:rPr>
                <w:sz w:val="22"/>
                <w:szCs w:val="22"/>
              </w:rPr>
            </w:pPr>
            <w:r>
              <w:rPr>
                <w:sz w:val="22"/>
                <w:szCs w:val="22"/>
              </w:rPr>
              <w:t>Interaktion er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EA6" w:rsidRDefault="00243EA6">
            <w:pPr>
              <w:rPr>
                <w:sz w:val="22"/>
                <w:szCs w:val="22"/>
              </w:rPr>
            </w:pPr>
          </w:p>
        </w:tc>
      </w:tr>
      <w:tr w:rsidR="00243EA6" w:rsidTr="00604247">
        <w:trPr>
          <w:jc w:val="center"/>
        </w:trPr>
        <w:tc>
          <w:tcPr>
            <w:tcW w:w="1977" w:type="pct"/>
            <w:tcBorders>
              <w:top w:val="single" w:sz="4" w:space="0" w:color="auto"/>
              <w:left w:val="single" w:sz="4" w:space="0" w:color="auto"/>
              <w:bottom w:val="dotted" w:sz="4" w:space="0" w:color="auto"/>
              <w:right w:val="single" w:sz="4" w:space="0" w:color="auto"/>
            </w:tcBorders>
          </w:tcPr>
          <w:p w:rsidR="00243EA6" w:rsidRDefault="00243EA6">
            <w:pPr>
              <w:rPr>
                <w:sz w:val="22"/>
                <w:szCs w:val="22"/>
              </w:rPr>
            </w:pPr>
            <w:r>
              <w:rPr>
                <w:sz w:val="22"/>
                <w:szCs w:val="22"/>
              </w:rPr>
              <w:lastRenderedPageBreak/>
              <w:t>Darunavir/ritonavir/efavirenz</w:t>
            </w:r>
          </w:p>
          <w:p w:rsidR="00243EA6" w:rsidRDefault="00243EA6">
            <w:pPr>
              <w:rPr>
                <w:sz w:val="22"/>
                <w:szCs w:val="22"/>
              </w:rPr>
            </w:pPr>
            <w:r>
              <w:rPr>
                <w:sz w:val="22"/>
                <w:szCs w:val="22"/>
              </w:rPr>
              <w:t>(300 mg b.i.d.*/100 mg b.i.d./600 mg q.d.)</w:t>
            </w:r>
          </w:p>
          <w:p w:rsidR="00243EA6" w:rsidRDefault="00243EA6">
            <w:pPr>
              <w:rPr>
                <w:sz w:val="22"/>
                <w:szCs w:val="22"/>
              </w:rPr>
            </w:pPr>
          </w:p>
          <w:p w:rsidR="00243EA6" w:rsidRDefault="00243EA6">
            <w:pPr>
              <w:rPr>
                <w:sz w:val="22"/>
                <w:szCs w:val="22"/>
              </w:rPr>
            </w:pPr>
          </w:p>
          <w:p w:rsidR="00243EA6" w:rsidRDefault="00243EA6">
            <w:pPr>
              <w:rPr>
                <w:sz w:val="22"/>
                <w:szCs w:val="22"/>
              </w:rPr>
            </w:pPr>
            <w:r>
              <w:rPr>
                <w:sz w:val="22"/>
                <w:szCs w:val="22"/>
                <w:lang w:bidi="en-GB"/>
              </w:rPr>
              <w:t>*lavere end de anbefalede doser; lignende fund forventes med de anbefalede doser.</w:t>
            </w:r>
          </w:p>
        </w:tc>
        <w:tc>
          <w:tcPr>
            <w:tcW w:w="1450" w:type="pct"/>
            <w:tcBorders>
              <w:top w:val="single" w:sz="4" w:space="0" w:color="auto"/>
              <w:left w:val="single" w:sz="4" w:space="0" w:color="auto"/>
              <w:bottom w:val="dotted" w:sz="4" w:space="0" w:color="auto"/>
              <w:right w:val="single" w:sz="4" w:space="0" w:color="auto"/>
            </w:tcBorders>
            <w:hideMark/>
          </w:tcPr>
          <w:p w:rsidR="00243EA6" w:rsidRDefault="00243EA6">
            <w:pPr>
              <w:rPr>
                <w:sz w:val="22"/>
                <w:szCs w:val="22"/>
              </w:rPr>
            </w:pPr>
            <w:r>
              <w:rPr>
                <w:sz w:val="22"/>
                <w:szCs w:val="22"/>
              </w:rPr>
              <w:t>Darunavir:</w:t>
            </w:r>
          </w:p>
          <w:p w:rsidR="00243EA6" w:rsidRDefault="00243EA6">
            <w:pPr>
              <w:rPr>
                <w:sz w:val="22"/>
                <w:szCs w:val="22"/>
              </w:rPr>
            </w:pPr>
            <w:r>
              <w:rPr>
                <w:sz w:val="22"/>
                <w:szCs w:val="22"/>
              </w:rPr>
              <w:t>AUC: ↓ 13 %</w:t>
            </w:r>
          </w:p>
          <w:p w:rsidR="00243EA6" w:rsidRDefault="00243EA6">
            <w:pPr>
              <w:rPr>
                <w:sz w:val="22"/>
                <w:szCs w:val="22"/>
              </w:rPr>
            </w:pPr>
            <w:r>
              <w:rPr>
                <w:sz w:val="22"/>
                <w:szCs w:val="22"/>
              </w:rPr>
              <w:t>C</w:t>
            </w:r>
            <w:r>
              <w:rPr>
                <w:sz w:val="22"/>
                <w:szCs w:val="22"/>
                <w:vertAlign w:val="subscript"/>
              </w:rPr>
              <w:t>min</w:t>
            </w:r>
            <w:r>
              <w:rPr>
                <w:sz w:val="22"/>
                <w:szCs w:val="22"/>
              </w:rPr>
              <w:t>: ↓ 31 %</w:t>
            </w:r>
          </w:p>
          <w:p w:rsidR="00243EA6" w:rsidRDefault="00243EA6">
            <w:pPr>
              <w:rPr>
                <w:sz w:val="22"/>
                <w:szCs w:val="22"/>
              </w:rPr>
            </w:pPr>
            <w:r>
              <w:rPr>
                <w:sz w:val="22"/>
                <w:szCs w:val="22"/>
              </w:rPr>
              <w:t>C</w:t>
            </w:r>
            <w:r>
              <w:rPr>
                <w:sz w:val="22"/>
                <w:szCs w:val="22"/>
                <w:vertAlign w:val="subscript"/>
              </w:rPr>
              <w:t>max</w:t>
            </w:r>
            <w:r>
              <w:rPr>
                <w:sz w:val="22"/>
                <w:szCs w:val="22"/>
              </w:rPr>
              <w:t xml:space="preserve">: ↓ 15 % </w:t>
            </w:r>
          </w:p>
          <w:p w:rsidR="00604247" w:rsidRDefault="00243EA6">
            <w:pPr>
              <w:rPr>
                <w:sz w:val="22"/>
                <w:szCs w:val="22"/>
              </w:rPr>
            </w:pPr>
            <w:r>
              <w:rPr>
                <w:sz w:val="22"/>
                <w:szCs w:val="22"/>
              </w:rPr>
              <w:t>(CYP3A4</w:t>
            </w:r>
            <w:r>
              <w:rPr>
                <w:sz w:val="22"/>
                <w:szCs w:val="22"/>
              </w:rPr>
              <w:noBreakHyphen/>
              <w:t xml:space="preserve">induktion) </w:t>
            </w:r>
          </w:p>
          <w:p w:rsidR="00243EA6" w:rsidRDefault="00243EA6">
            <w:pPr>
              <w:rPr>
                <w:sz w:val="22"/>
                <w:szCs w:val="22"/>
              </w:rPr>
            </w:pPr>
            <w:r>
              <w:rPr>
                <w:sz w:val="22"/>
                <w:szCs w:val="22"/>
              </w:rPr>
              <w:t>Efavirenz:</w:t>
            </w:r>
          </w:p>
          <w:p w:rsidR="00243EA6" w:rsidRDefault="00243EA6">
            <w:pPr>
              <w:rPr>
                <w:sz w:val="22"/>
                <w:szCs w:val="22"/>
              </w:rPr>
            </w:pPr>
            <w:r>
              <w:rPr>
                <w:sz w:val="22"/>
                <w:szCs w:val="22"/>
              </w:rPr>
              <w:t>AUC: ↑ 21 %</w:t>
            </w:r>
          </w:p>
          <w:p w:rsidR="00243EA6" w:rsidRDefault="00243EA6">
            <w:pPr>
              <w:rPr>
                <w:sz w:val="22"/>
                <w:szCs w:val="22"/>
              </w:rPr>
            </w:pPr>
            <w:r>
              <w:rPr>
                <w:sz w:val="22"/>
                <w:szCs w:val="22"/>
              </w:rPr>
              <w:t>C</w:t>
            </w:r>
            <w:r>
              <w:rPr>
                <w:sz w:val="22"/>
                <w:szCs w:val="22"/>
                <w:vertAlign w:val="subscript"/>
              </w:rPr>
              <w:t>min</w:t>
            </w:r>
            <w:r>
              <w:rPr>
                <w:sz w:val="22"/>
                <w:szCs w:val="22"/>
              </w:rPr>
              <w:t>: ↑ 17 %</w:t>
            </w:r>
          </w:p>
          <w:p w:rsidR="00243EA6" w:rsidRDefault="00243EA6">
            <w:pPr>
              <w:rPr>
                <w:sz w:val="22"/>
                <w:szCs w:val="22"/>
              </w:rPr>
            </w:pPr>
            <w:r>
              <w:rPr>
                <w:sz w:val="22"/>
                <w:szCs w:val="22"/>
              </w:rPr>
              <w:t>C</w:t>
            </w:r>
            <w:r>
              <w:rPr>
                <w:sz w:val="22"/>
                <w:szCs w:val="22"/>
                <w:vertAlign w:val="subscript"/>
              </w:rPr>
              <w:t>max</w:t>
            </w:r>
            <w:r>
              <w:rPr>
                <w:sz w:val="22"/>
                <w:szCs w:val="22"/>
              </w:rPr>
              <w:t xml:space="preserve">: ↑ 15 % </w:t>
            </w:r>
          </w:p>
          <w:p w:rsidR="00243EA6" w:rsidRDefault="00243EA6">
            <w:pPr>
              <w:rPr>
                <w:sz w:val="22"/>
                <w:szCs w:val="22"/>
              </w:rPr>
            </w:pPr>
            <w:r>
              <w:rPr>
                <w:sz w:val="22"/>
                <w:szCs w:val="22"/>
              </w:rPr>
              <w:t>(CYP3A4</w:t>
            </w:r>
            <w:r>
              <w:rPr>
                <w:sz w:val="22"/>
                <w:szCs w:val="22"/>
              </w:rPr>
              <w:noBreakHyphen/>
              <w:t>hæmning)</w:t>
            </w:r>
          </w:p>
        </w:tc>
        <w:tc>
          <w:tcPr>
            <w:tcW w:w="1573" w:type="pct"/>
            <w:vMerge w:val="restart"/>
            <w:tcBorders>
              <w:top w:val="single" w:sz="4" w:space="0" w:color="auto"/>
              <w:left w:val="single" w:sz="4" w:space="0" w:color="auto"/>
              <w:bottom w:val="single" w:sz="4" w:space="0" w:color="auto"/>
              <w:right w:val="single" w:sz="4" w:space="0" w:color="auto"/>
            </w:tcBorders>
            <w:hideMark/>
          </w:tcPr>
          <w:p w:rsidR="00243EA6" w:rsidRDefault="00243EA6">
            <w:pPr>
              <w:rPr>
                <w:sz w:val="22"/>
                <w:szCs w:val="22"/>
                <w:lang w:bidi="en-GB"/>
              </w:rPr>
            </w:pPr>
            <w:r>
              <w:rPr>
                <w:sz w:val="22"/>
                <w:szCs w:val="22"/>
                <w:lang w:bidi="en-GB"/>
              </w:rPr>
              <w:t>Efavirenz/Emtricitabine/Tenofovir disoproxil "Glenmark" i kombination med darunavir/ritonavir 800/100 mg en gang dagligt kan medføre suboptimal darunavir C</w:t>
            </w:r>
            <w:r>
              <w:rPr>
                <w:sz w:val="22"/>
                <w:szCs w:val="22"/>
                <w:vertAlign w:val="subscript"/>
                <w:lang w:bidi="en-GB"/>
              </w:rPr>
              <w:t>min</w:t>
            </w:r>
            <w:r>
              <w:rPr>
                <w:sz w:val="22"/>
                <w:szCs w:val="22"/>
                <w:lang w:bidi="en-GB"/>
              </w:rPr>
              <w:t>. Hvis Efavirenz/Emtricitabine/Tenofovir disoproxil "Glenmark" skal anvendes sammen med darunavir/ritonavir, bør regimet med darunavir/ritonavir 600/100 mg to gange dagligt anvendes. Darunavir/ritonavir bør anvendes med forsigtighed sammen med Efavirenz/Emtricitabine/Tenofovir disoproxil "Glenmark". Se afsnittet om ritonavir nedenfor. Monitorering af nyrefunktionen kan være indiceret, især hos patienter med underliggende systemisk sygdom eller nyresygdom, eller hos patienter, som får nefrotoksiske lægemidler.</w:t>
            </w:r>
          </w:p>
        </w:tc>
      </w:tr>
      <w:tr w:rsidR="00243EA6" w:rsidTr="00604247">
        <w:trPr>
          <w:jc w:val="center"/>
        </w:trPr>
        <w:tc>
          <w:tcPr>
            <w:tcW w:w="1977" w:type="pct"/>
            <w:tcBorders>
              <w:top w:val="dotted" w:sz="4" w:space="0" w:color="auto"/>
              <w:left w:val="single" w:sz="4" w:space="0" w:color="auto"/>
              <w:bottom w:val="dotted" w:sz="4" w:space="0" w:color="auto"/>
              <w:right w:val="single" w:sz="4" w:space="0" w:color="auto"/>
            </w:tcBorders>
          </w:tcPr>
          <w:p w:rsidR="00243EA6" w:rsidRDefault="00243EA6">
            <w:pPr>
              <w:rPr>
                <w:sz w:val="22"/>
                <w:szCs w:val="22"/>
              </w:rPr>
            </w:pPr>
            <w:r>
              <w:rPr>
                <w:sz w:val="22"/>
                <w:szCs w:val="22"/>
              </w:rPr>
              <w:t>Darunavir/ritonavir/tenofovirdisoproxil</w:t>
            </w:r>
          </w:p>
          <w:p w:rsidR="00243EA6" w:rsidRDefault="00243EA6">
            <w:pPr>
              <w:rPr>
                <w:sz w:val="22"/>
                <w:szCs w:val="22"/>
              </w:rPr>
            </w:pPr>
            <w:r>
              <w:rPr>
                <w:sz w:val="22"/>
                <w:szCs w:val="22"/>
              </w:rPr>
              <w:t>(300 mg b.i.d.*/100 mg b.i.d./245 mg q.d.)</w:t>
            </w:r>
          </w:p>
          <w:p w:rsidR="00243EA6" w:rsidRDefault="00243EA6">
            <w:pPr>
              <w:rPr>
                <w:sz w:val="22"/>
                <w:szCs w:val="22"/>
              </w:rPr>
            </w:pPr>
          </w:p>
          <w:p w:rsidR="00243EA6" w:rsidRDefault="00243EA6">
            <w:pPr>
              <w:rPr>
                <w:sz w:val="22"/>
                <w:szCs w:val="22"/>
              </w:rPr>
            </w:pPr>
            <w:r>
              <w:rPr>
                <w:sz w:val="22"/>
                <w:szCs w:val="22"/>
              </w:rPr>
              <w:t>*lavere end den anbefalede dosis</w:t>
            </w:r>
          </w:p>
        </w:tc>
        <w:tc>
          <w:tcPr>
            <w:tcW w:w="1450" w:type="pct"/>
            <w:tcBorders>
              <w:top w:val="dotted" w:sz="4" w:space="0" w:color="auto"/>
              <w:left w:val="single" w:sz="4" w:space="0" w:color="auto"/>
              <w:bottom w:val="dotted" w:sz="4" w:space="0" w:color="auto"/>
              <w:right w:val="single" w:sz="4" w:space="0" w:color="auto"/>
            </w:tcBorders>
            <w:hideMark/>
          </w:tcPr>
          <w:p w:rsidR="00243EA6" w:rsidRDefault="00243EA6">
            <w:pPr>
              <w:rPr>
                <w:sz w:val="22"/>
                <w:szCs w:val="22"/>
              </w:rPr>
            </w:pPr>
            <w:r>
              <w:rPr>
                <w:sz w:val="22"/>
                <w:szCs w:val="22"/>
              </w:rPr>
              <w:t>Darunavir:</w:t>
            </w:r>
          </w:p>
          <w:p w:rsidR="00243EA6" w:rsidRDefault="00243EA6">
            <w:pPr>
              <w:rPr>
                <w:sz w:val="22"/>
                <w:szCs w:val="22"/>
              </w:rPr>
            </w:pPr>
            <w:r>
              <w:rPr>
                <w:sz w:val="22"/>
                <w:szCs w:val="22"/>
              </w:rPr>
              <w:t>AUC: ↔</w:t>
            </w:r>
          </w:p>
          <w:p w:rsidR="00243EA6" w:rsidRDefault="00243EA6">
            <w:pPr>
              <w:rPr>
                <w:sz w:val="22"/>
                <w:szCs w:val="22"/>
              </w:rPr>
            </w:pPr>
            <w:r>
              <w:rPr>
                <w:sz w:val="22"/>
                <w:szCs w:val="22"/>
              </w:rPr>
              <w:t>C</w:t>
            </w:r>
            <w:r>
              <w:rPr>
                <w:sz w:val="22"/>
                <w:szCs w:val="22"/>
                <w:vertAlign w:val="subscript"/>
              </w:rPr>
              <w:t>min</w:t>
            </w:r>
            <w:r>
              <w:rPr>
                <w:sz w:val="22"/>
                <w:szCs w:val="22"/>
              </w:rPr>
              <w:t xml:space="preserve">: ↔ </w:t>
            </w:r>
          </w:p>
          <w:p w:rsidR="00243EA6" w:rsidRDefault="00243EA6">
            <w:pPr>
              <w:rPr>
                <w:sz w:val="22"/>
                <w:szCs w:val="22"/>
              </w:rPr>
            </w:pPr>
            <w:r>
              <w:rPr>
                <w:sz w:val="22"/>
                <w:szCs w:val="22"/>
              </w:rPr>
              <w:t xml:space="preserve">Tenofovir: </w:t>
            </w:r>
          </w:p>
          <w:p w:rsidR="00243EA6" w:rsidRDefault="00243EA6">
            <w:pPr>
              <w:rPr>
                <w:sz w:val="22"/>
                <w:szCs w:val="22"/>
              </w:rPr>
            </w:pPr>
            <w:r>
              <w:rPr>
                <w:sz w:val="22"/>
                <w:szCs w:val="22"/>
              </w:rPr>
              <w:t>AUC: ↑ 22 %</w:t>
            </w:r>
          </w:p>
          <w:p w:rsidR="00243EA6" w:rsidRDefault="00243EA6">
            <w:pPr>
              <w:rPr>
                <w:sz w:val="22"/>
                <w:szCs w:val="22"/>
              </w:rPr>
            </w:pPr>
            <w:r>
              <w:rPr>
                <w:sz w:val="22"/>
                <w:szCs w:val="22"/>
              </w:rPr>
              <w:t>C</w:t>
            </w:r>
            <w:r>
              <w:rPr>
                <w:sz w:val="22"/>
                <w:szCs w:val="22"/>
                <w:vertAlign w:val="subscript"/>
              </w:rPr>
              <w:t>min</w:t>
            </w:r>
            <w:r>
              <w:rPr>
                <w:sz w:val="22"/>
                <w:szCs w:val="22"/>
              </w:rPr>
              <w:t>: ↑ 37 %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EA6" w:rsidRDefault="00243EA6">
            <w:pPr>
              <w:rPr>
                <w:sz w:val="22"/>
                <w:szCs w:val="22"/>
                <w:lang w:bidi="en-GB"/>
              </w:rPr>
            </w:pPr>
          </w:p>
        </w:tc>
      </w:tr>
      <w:tr w:rsidR="00243EA6" w:rsidTr="00604247">
        <w:trPr>
          <w:jc w:val="center"/>
        </w:trPr>
        <w:tc>
          <w:tcPr>
            <w:tcW w:w="1977" w:type="pct"/>
            <w:tcBorders>
              <w:top w:val="dotted" w:sz="4" w:space="0" w:color="auto"/>
              <w:left w:val="single" w:sz="4" w:space="0" w:color="auto"/>
              <w:bottom w:val="single" w:sz="4" w:space="0" w:color="auto"/>
              <w:right w:val="single" w:sz="4" w:space="0" w:color="auto"/>
            </w:tcBorders>
            <w:hideMark/>
          </w:tcPr>
          <w:p w:rsidR="00243EA6" w:rsidRDefault="00243EA6">
            <w:pPr>
              <w:rPr>
                <w:sz w:val="22"/>
                <w:szCs w:val="22"/>
              </w:rPr>
            </w:pPr>
            <w:r>
              <w:rPr>
                <w:sz w:val="22"/>
                <w:szCs w:val="22"/>
              </w:rPr>
              <w:t>Darunavir/ritonavir/emtricitabin</w:t>
            </w:r>
          </w:p>
        </w:tc>
        <w:tc>
          <w:tcPr>
            <w:tcW w:w="1450" w:type="pct"/>
            <w:tcBorders>
              <w:top w:val="dotted" w:sz="4" w:space="0" w:color="auto"/>
              <w:left w:val="single" w:sz="4" w:space="0" w:color="auto"/>
              <w:bottom w:val="single" w:sz="4" w:space="0" w:color="auto"/>
              <w:right w:val="single" w:sz="4" w:space="0" w:color="auto"/>
            </w:tcBorders>
            <w:hideMark/>
          </w:tcPr>
          <w:p w:rsidR="00243EA6" w:rsidRDefault="00243EA6">
            <w:pPr>
              <w:rPr>
                <w:sz w:val="22"/>
                <w:szCs w:val="22"/>
                <w:lang w:bidi="en-GB"/>
              </w:rPr>
            </w:pPr>
            <w:r>
              <w:rPr>
                <w:sz w:val="22"/>
                <w:szCs w:val="22"/>
                <w:lang w:bidi="en-GB"/>
              </w:rPr>
              <w:t>Interaktion er ikke undersøgt. På grund af forskellige eliminationsveje forventes ingen interaktion.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EA6" w:rsidRDefault="00243EA6">
            <w:pPr>
              <w:rPr>
                <w:sz w:val="22"/>
                <w:szCs w:val="22"/>
                <w:lang w:bidi="en-GB"/>
              </w:rPr>
            </w:pPr>
          </w:p>
        </w:tc>
      </w:tr>
      <w:tr w:rsidR="00243EA6" w:rsidTr="00604247">
        <w:trPr>
          <w:jc w:val="center"/>
        </w:trPr>
        <w:tc>
          <w:tcPr>
            <w:tcW w:w="1977" w:type="pct"/>
            <w:tcBorders>
              <w:top w:val="single" w:sz="4" w:space="0" w:color="auto"/>
              <w:left w:val="single" w:sz="4" w:space="0" w:color="auto"/>
              <w:bottom w:val="dotted" w:sz="4" w:space="0" w:color="auto"/>
              <w:right w:val="single" w:sz="4" w:space="0" w:color="auto"/>
            </w:tcBorders>
            <w:hideMark/>
          </w:tcPr>
          <w:p w:rsidR="00243EA6" w:rsidRDefault="00243EA6">
            <w:pPr>
              <w:rPr>
                <w:sz w:val="22"/>
                <w:szCs w:val="22"/>
              </w:rPr>
            </w:pPr>
            <w:r>
              <w:rPr>
                <w:sz w:val="22"/>
                <w:szCs w:val="22"/>
              </w:rPr>
              <w:t>Fosamprenavir/ritonavir/efavirenz</w:t>
            </w:r>
          </w:p>
          <w:p w:rsidR="00243EA6" w:rsidRDefault="00243EA6">
            <w:pPr>
              <w:rPr>
                <w:sz w:val="22"/>
                <w:szCs w:val="22"/>
              </w:rPr>
            </w:pPr>
            <w:r>
              <w:rPr>
                <w:sz w:val="22"/>
                <w:szCs w:val="22"/>
              </w:rPr>
              <w:t>(700 mg b.i.d./100 mg b.i.d./600 mg q.d.)</w:t>
            </w:r>
          </w:p>
        </w:tc>
        <w:tc>
          <w:tcPr>
            <w:tcW w:w="1450" w:type="pct"/>
            <w:tcBorders>
              <w:top w:val="single" w:sz="4" w:space="0" w:color="auto"/>
              <w:left w:val="single" w:sz="4" w:space="0" w:color="auto"/>
              <w:bottom w:val="dotted" w:sz="4" w:space="0" w:color="auto"/>
              <w:right w:val="single" w:sz="4" w:space="0" w:color="auto"/>
            </w:tcBorders>
            <w:hideMark/>
          </w:tcPr>
          <w:p w:rsidR="00243EA6" w:rsidRDefault="00243EA6">
            <w:pPr>
              <w:rPr>
                <w:sz w:val="22"/>
                <w:szCs w:val="22"/>
              </w:rPr>
            </w:pPr>
            <w:r>
              <w:rPr>
                <w:sz w:val="22"/>
                <w:szCs w:val="22"/>
                <w:lang w:bidi="en-GB"/>
              </w:rPr>
              <w:t>Ingen klinisk signifikant farmakokinetisk interaktion</w:t>
            </w:r>
          </w:p>
        </w:tc>
        <w:tc>
          <w:tcPr>
            <w:tcW w:w="1573" w:type="pct"/>
            <w:vMerge w:val="restart"/>
            <w:tcBorders>
              <w:top w:val="single" w:sz="4" w:space="0" w:color="auto"/>
              <w:left w:val="single" w:sz="4" w:space="0" w:color="auto"/>
              <w:bottom w:val="single" w:sz="4" w:space="0" w:color="auto"/>
              <w:right w:val="single" w:sz="4" w:space="0" w:color="auto"/>
            </w:tcBorders>
            <w:hideMark/>
          </w:tcPr>
          <w:p w:rsidR="00243EA6" w:rsidRDefault="00243EA6">
            <w:pPr>
              <w:rPr>
                <w:sz w:val="22"/>
                <w:szCs w:val="22"/>
                <w:lang w:bidi="en-GB"/>
              </w:rPr>
            </w:pPr>
            <w:r>
              <w:rPr>
                <w:sz w:val="22"/>
                <w:szCs w:val="22"/>
                <w:lang w:bidi="en-GB"/>
              </w:rPr>
              <w:t>Efavirenz/Emtricitabine/Tenofovir disoproxil "Glenmark" og fosamprenavir/ritonavir kan administreres samtidigt uden dosisjustering. Se afsnittet om ritonavir nedenfor.</w:t>
            </w:r>
          </w:p>
        </w:tc>
      </w:tr>
      <w:tr w:rsidR="00243EA6" w:rsidTr="00604247">
        <w:trPr>
          <w:jc w:val="center"/>
        </w:trPr>
        <w:tc>
          <w:tcPr>
            <w:tcW w:w="1977" w:type="pct"/>
            <w:tcBorders>
              <w:top w:val="dotted" w:sz="4" w:space="0" w:color="auto"/>
              <w:left w:val="single" w:sz="4" w:space="0" w:color="auto"/>
              <w:bottom w:val="dotted" w:sz="4" w:space="0" w:color="auto"/>
              <w:right w:val="single" w:sz="4" w:space="0" w:color="auto"/>
            </w:tcBorders>
            <w:hideMark/>
          </w:tcPr>
          <w:p w:rsidR="00243EA6" w:rsidRDefault="00243EA6">
            <w:pPr>
              <w:rPr>
                <w:sz w:val="22"/>
                <w:szCs w:val="22"/>
              </w:rPr>
            </w:pPr>
            <w:r>
              <w:rPr>
                <w:sz w:val="22"/>
                <w:szCs w:val="22"/>
              </w:rPr>
              <w:t>Fosamprenavir/ritonavir/emtricitabin</w:t>
            </w:r>
          </w:p>
        </w:tc>
        <w:tc>
          <w:tcPr>
            <w:tcW w:w="1450" w:type="pct"/>
            <w:tcBorders>
              <w:top w:val="dotted" w:sz="4" w:space="0" w:color="auto"/>
              <w:left w:val="single" w:sz="4" w:space="0" w:color="auto"/>
              <w:bottom w:val="dotted" w:sz="4" w:space="0" w:color="auto"/>
              <w:right w:val="single" w:sz="4" w:space="0" w:color="auto"/>
            </w:tcBorders>
            <w:hideMark/>
          </w:tcPr>
          <w:p w:rsidR="00243EA6" w:rsidRDefault="00243EA6">
            <w:pPr>
              <w:rPr>
                <w:sz w:val="22"/>
                <w:szCs w:val="22"/>
              </w:rPr>
            </w:pPr>
            <w:r>
              <w:rPr>
                <w:sz w:val="22"/>
                <w:szCs w:val="22"/>
              </w:rPr>
              <w:t>Interaktion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EA6" w:rsidRDefault="00243EA6">
            <w:pPr>
              <w:rPr>
                <w:sz w:val="22"/>
                <w:szCs w:val="22"/>
                <w:lang w:bidi="en-GB"/>
              </w:rPr>
            </w:pPr>
          </w:p>
        </w:tc>
      </w:tr>
      <w:tr w:rsidR="00243EA6" w:rsidTr="00604247">
        <w:trPr>
          <w:jc w:val="center"/>
        </w:trPr>
        <w:tc>
          <w:tcPr>
            <w:tcW w:w="1977" w:type="pct"/>
            <w:tcBorders>
              <w:top w:val="dotted" w:sz="4" w:space="0" w:color="auto"/>
              <w:left w:val="single" w:sz="4" w:space="0" w:color="auto"/>
              <w:bottom w:val="single" w:sz="4" w:space="0" w:color="auto"/>
              <w:right w:val="single" w:sz="4" w:space="0" w:color="auto"/>
            </w:tcBorders>
            <w:hideMark/>
          </w:tcPr>
          <w:p w:rsidR="00243EA6" w:rsidRDefault="00243EA6">
            <w:pPr>
              <w:rPr>
                <w:sz w:val="22"/>
                <w:szCs w:val="22"/>
              </w:rPr>
            </w:pPr>
            <w:r>
              <w:rPr>
                <w:sz w:val="22"/>
                <w:szCs w:val="22"/>
              </w:rPr>
              <w:t>Fosamprenavir/ritonavir/tenofovirdisoproxil</w:t>
            </w:r>
          </w:p>
        </w:tc>
        <w:tc>
          <w:tcPr>
            <w:tcW w:w="1450" w:type="pct"/>
            <w:tcBorders>
              <w:top w:val="dotted" w:sz="4" w:space="0" w:color="auto"/>
              <w:left w:val="single" w:sz="4" w:space="0" w:color="auto"/>
              <w:bottom w:val="single" w:sz="4" w:space="0" w:color="auto"/>
              <w:right w:val="single" w:sz="4" w:space="0" w:color="auto"/>
            </w:tcBorders>
            <w:hideMark/>
          </w:tcPr>
          <w:p w:rsidR="00243EA6" w:rsidRDefault="00243EA6">
            <w:pPr>
              <w:rPr>
                <w:sz w:val="22"/>
                <w:szCs w:val="22"/>
              </w:rPr>
            </w:pPr>
            <w:r>
              <w:rPr>
                <w:sz w:val="22"/>
                <w:szCs w:val="22"/>
              </w:rPr>
              <w:t>Interaktion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EA6" w:rsidRDefault="00243EA6">
            <w:pPr>
              <w:rPr>
                <w:sz w:val="22"/>
                <w:szCs w:val="22"/>
                <w:lang w:bidi="en-GB"/>
              </w:rPr>
            </w:pPr>
          </w:p>
        </w:tc>
      </w:tr>
      <w:tr w:rsidR="00243EA6" w:rsidTr="00604247">
        <w:trPr>
          <w:jc w:val="center"/>
        </w:trPr>
        <w:tc>
          <w:tcPr>
            <w:tcW w:w="1977" w:type="pct"/>
            <w:tcBorders>
              <w:top w:val="single" w:sz="4" w:space="0" w:color="auto"/>
              <w:left w:val="single" w:sz="4" w:space="0" w:color="auto"/>
              <w:bottom w:val="dotted" w:sz="4" w:space="0" w:color="auto"/>
              <w:right w:val="single" w:sz="4" w:space="0" w:color="auto"/>
            </w:tcBorders>
            <w:hideMark/>
          </w:tcPr>
          <w:p w:rsidR="00243EA6" w:rsidRPr="00243EA6" w:rsidRDefault="00243EA6">
            <w:pPr>
              <w:rPr>
                <w:sz w:val="22"/>
                <w:szCs w:val="22"/>
                <w:lang w:val="de-DE"/>
              </w:rPr>
            </w:pPr>
            <w:r w:rsidRPr="00243EA6">
              <w:rPr>
                <w:sz w:val="22"/>
                <w:szCs w:val="22"/>
                <w:lang w:val="de-DE"/>
              </w:rPr>
              <w:t>Indinavir/efavirenz</w:t>
            </w:r>
          </w:p>
          <w:p w:rsidR="00243EA6" w:rsidRPr="00243EA6" w:rsidRDefault="00243EA6">
            <w:pPr>
              <w:rPr>
                <w:sz w:val="22"/>
                <w:szCs w:val="22"/>
                <w:lang w:val="de-DE"/>
              </w:rPr>
            </w:pPr>
            <w:r w:rsidRPr="00243EA6">
              <w:rPr>
                <w:sz w:val="22"/>
                <w:szCs w:val="22"/>
                <w:lang w:val="de-DE"/>
              </w:rPr>
              <w:t>(800 mg q8t/200 mg q.d.)</w:t>
            </w:r>
          </w:p>
        </w:tc>
        <w:tc>
          <w:tcPr>
            <w:tcW w:w="1450" w:type="pct"/>
            <w:tcBorders>
              <w:top w:val="single" w:sz="4" w:space="0" w:color="auto"/>
              <w:left w:val="single" w:sz="4" w:space="0" w:color="auto"/>
              <w:bottom w:val="dotted" w:sz="4" w:space="0" w:color="auto"/>
              <w:right w:val="single" w:sz="4" w:space="0" w:color="auto"/>
            </w:tcBorders>
            <w:hideMark/>
          </w:tcPr>
          <w:p w:rsidR="00243EA6" w:rsidRPr="00243EA6" w:rsidRDefault="00243EA6">
            <w:pPr>
              <w:rPr>
                <w:sz w:val="22"/>
                <w:szCs w:val="22"/>
                <w:lang w:val="de-DE"/>
              </w:rPr>
            </w:pPr>
            <w:r w:rsidRPr="00243EA6">
              <w:rPr>
                <w:sz w:val="22"/>
                <w:szCs w:val="22"/>
                <w:lang w:val="de-DE"/>
              </w:rPr>
              <w:t>Efavirenz:</w:t>
            </w:r>
          </w:p>
          <w:p w:rsidR="00243EA6" w:rsidRPr="00243EA6" w:rsidRDefault="00243EA6">
            <w:pPr>
              <w:rPr>
                <w:sz w:val="22"/>
                <w:szCs w:val="22"/>
                <w:lang w:val="de-DE"/>
              </w:rPr>
            </w:pPr>
            <w:r w:rsidRPr="00243EA6">
              <w:rPr>
                <w:sz w:val="22"/>
                <w:szCs w:val="22"/>
                <w:lang w:val="de-DE"/>
              </w:rPr>
              <w:t>AUC: ↔</w:t>
            </w:r>
          </w:p>
          <w:p w:rsidR="00243EA6" w:rsidRPr="00243EA6" w:rsidRDefault="00243EA6">
            <w:pPr>
              <w:rPr>
                <w:sz w:val="22"/>
                <w:szCs w:val="22"/>
                <w:lang w:val="de-DE"/>
              </w:rPr>
            </w:pPr>
            <w:r w:rsidRPr="00243EA6">
              <w:rPr>
                <w:sz w:val="22"/>
                <w:szCs w:val="22"/>
                <w:lang w:val="de-DE"/>
              </w:rPr>
              <w:t>C</w:t>
            </w:r>
            <w:r w:rsidRPr="00243EA6">
              <w:rPr>
                <w:sz w:val="22"/>
                <w:szCs w:val="22"/>
                <w:vertAlign w:val="subscript"/>
                <w:lang w:val="de-DE"/>
              </w:rPr>
              <w:t>max</w:t>
            </w:r>
            <w:r w:rsidRPr="00243EA6">
              <w:rPr>
                <w:sz w:val="22"/>
                <w:szCs w:val="22"/>
                <w:lang w:val="de-DE"/>
              </w:rPr>
              <w:t xml:space="preserve">: ↔ </w:t>
            </w:r>
          </w:p>
          <w:p w:rsidR="00243EA6" w:rsidRPr="00243EA6" w:rsidRDefault="00243EA6">
            <w:pPr>
              <w:rPr>
                <w:sz w:val="22"/>
                <w:szCs w:val="22"/>
                <w:lang w:val="de-DE"/>
              </w:rPr>
            </w:pPr>
            <w:r w:rsidRPr="00243EA6">
              <w:rPr>
                <w:sz w:val="22"/>
                <w:szCs w:val="22"/>
                <w:lang w:val="de-DE"/>
              </w:rPr>
              <w:t>C</w:t>
            </w:r>
            <w:r w:rsidRPr="00243EA6">
              <w:rPr>
                <w:sz w:val="22"/>
                <w:szCs w:val="22"/>
                <w:vertAlign w:val="subscript"/>
                <w:lang w:val="de-DE"/>
              </w:rPr>
              <w:t>min</w:t>
            </w:r>
            <w:r w:rsidRPr="00243EA6">
              <w:rPr>
                <w:sz w:val="22"/>
                <w:szCs w:val="22"/>
                <w:lang w:val="de-DE"/>
              </w:rPr>
              <w:t xml:space="preserve">: ↔ </w:t>
            </w:r>
          </w:p>
          <w:p w:rsidR="00243EA6" w:rsidRPr="00243EA6" w:rsidRDefault="00243EA6">
            <w:pPr>
              <w:rPr>
                <w:sz w:val="22"/>
                <w:szCs w:val="22"/>
                <w:lang w:val="de-DE"/>
              </w:rPr>
            </w:pPr>
            <w:r w:rsidRPr="00243EA6">
              <w:rPr>
                <w:sz w:val="22"/>
                <w:szCs w:val="22"/>
                <w:lang w:val="de-DE"/>
              </w:rPr>
              <w:t>Indinavir:</w:t>
            </w:r>
          </w:p>
          <w:p w:rsidR="00243EA6" w:rsidRDefault="00243EA6">
            <w:pPr>
              <w:rPr>
                <w:sz w:val="22"/>
                <w:szCs w:val="22"/>
              </w:rPr>
            </w:pPr>
            <w:r>
              <w:rPr>
                <w:sz w:val="22"/>
                <w:szCs w:val="22"/>
              </w:rPr>
              <w:t>AUC: ↓ 31 % (↓ 8 til ↓ 47)</w:t>
            </w:r>
          </w:p>
          <w:p w:rsidR="00243EA6" w:rsidRDefault="00243EA6">
            <w:pPr>
              <w:rPr>
                <w:sz w:val="22"/>
                <w:szCs w:val="22"/>
              </w:rPr>
            </w:pPr>
            <w:r>
              <w:rPr>
                <w:sz w:val="22"/>
                <w:szCs w:val="22"/>
              </w:rPr>
              <w:t>C</w:t>
            </w:r>
            <w:r>
              <w:rPr>
                <w:sz w:val="22"/>
                <w:szCs w:val="22"/>
                <w:vertAlign w:val="subscript"/>
              </w:rPr>
              <w:t>min</w:t>
            </w:r>
            <w:r>
              <w:rPr>
                <w:sz w:val="22"/>
                <w:szCs w:val="22"/>
              </w:rPr>
              <w:t>: ↓ 40 %</w:t>
            </w:r>
          </w:p>
          <w:p w:rsidR="00243EA6" w:rsidRDefault="00243EA6">
            <w:pPr>
              <w:rPr>
                <w:sz w:val="22"/>
                <w:szCs w:val="22"/>
                <w:lang w:bidi="en-GB"/>
              </w:rPr>
            </w:pPr>
            <w:r>
              <w:rPr>
                <w:sz w:val="22"/>
                <w:szCs w:val="22"/>
                <w:lang w:bidi="en-GB"/>
              </w:rPr>
              <w:t>Der sås en lignende reduktion i indinavireksponering, når indinavir 1.000 mg q8t blev givet sammen med efavirenz 600 mg q.d. (CYP3A4-induktion)</w:t>
            </w:r>
          </w:p>
          <w:p w:rsidR="00243EA6" w:rsidRDefault="00243EA6">
            <w:pPr>
              <w:rPr>
                <w:sz w:val="22"/>
                <w:szCs w:val="22"/>
                <w:lang w:bidi="en-GB"/>
              </w:rPr>
            </w:pPr>
            <w:r>
              <w:rPr>
                <w:sz w:val="22"/>
                <w:szCs w:val="22"/>
                <w:lang w:bidi="en-GB"/>
              </w:rPr>
              <w:t xml:space="preserve">Med hensyn til samtidig administration af efavirenz </w:t>
            </w:r>
            <w:r>
              <w:rPr>
                <w:sz w:val="22"/>
                <w:szCs w:val="22"/>
                <w:lang w:bidi="en-GB"/>
              </w:rPr>
              <w:lastRenderedPageBreak/>
              <w:t>og lavdosis ritonavir i kombination med en protease</w:t>
            </w:r>
            <w:r>
              <w:rPr>
                <w:sz w:val="22"/>
                <w:szCs w:val="22"/>
                <w:lang w:bidi="en-GB"/>
              </w:rPr>
              <w:noBreakHyphen/>
              <w:t>hæmmer</w:t>
            </w:r>
          </w:p>
          <w:p w:rsidR="00243EA6" w:rsidRDefault="00243EA6">
            <w:pPr>
              <w:rPr>
                <w:sz w:val="22"/>
                <w:szCs w:val="22"/>
              </w:rPr>
            </w:pPr>
            <w:r>
              <w:rPr>
                <w:sz w:val="22"/>
                <w:szCs w:val="22"/>
                <w:lang w:bidi="en-GB"/>
              </w:rPr>
              <w:t>se afsnittet om ritonavir nedenfor.</w:t>
            </w:r>
          </w:p>
        </w:tc>
        <w:tc>
          <w:tcPr>
            <w:tcW w:w="1573" w:type="pct"/>
            <w:vMerge w:val="restart"/>
            <w:tcBorders>
              <w:top w:val="single" w:sz="4" w:space="0" w:color="auto"/>
              <w:left w:val="single" w:sz="4" w:space="0" w:color="auto"/>
              <w:bottom w:val="single" w:sz="4" w:space="0" w:color="auto"/>
              <w:right w:val="single" w:sz="4" w:space="0" w:color="auto"/>
            </w:tcBorders>
            <w:hideMark/>
          </w:tcPr>
          <w:p w:rsidR="00243EA6" w:rsidRDefault="00243EA6">
            <w:pPr>
              <w:rPr>
                <w:sz w:val="22"/>
                <w:szCs w:val="22"/>
              </w:rPr>
            </w:pPr>
            <w:r>
              <w:rPr>
                <w:sz w:val="22"/>
                <w:szCs w:val="22"/>
                <w:lang w:bidi="en-GB"/>
              </w:rPr>
              <w:lastRenderedPageBreak/>
              <w:t>Der er kun utilstrækkelige data til doseringsanbefaling for indinavir, når dette doseres sammen med Efavirenz/Emtricitabine/Tenofovir disoproxil "Glenmark". Den kliniske signifikans af reducerede indinavirkoncentrationer er ikke fastslået, men omfanget af den observerede farmakokinetiske interaktion bør overvejes, når der vælges et regime, der indeholder både efavirenz, en Efavirenz/Emtricitabine/Tenofo</w:t>
            </w:r>
            <w:r>
              <w:rPr>
                <w:sz w:val="22"/>
                <w:szCs w:val="22"/>
                <w:lang w:bidi="en-GB"/>
              </w:rPr>
              <w:lastRenderedPageBreak/>
              <w:t>vir disoproxil "Glenmark"</w:t>
            </w:r>
            <w:r>
              <w:rPr>
                <w:sz w:val="22"/>
                <w:szCs w:val="22"/>
                <w:lang w:bidi="en-GB"/>
              </w:rPr>
              <w:noBreakHyphen/>
              <w:t>komponent samt indinavir.</w:t>
            </w:r>
          </w:p>
        </w:tc>
      </w:tr>
      <w:tr w:rsidR="00243EA6" w:rsidTr="00604247">
        <w:trPr>
          <w:jc w:val="center"/>
        </w:trPr>
        <w:tc>
          <w:tcPr>
            <w:tcW w:w="1977" w:type="pct"/>
            <w:tcBorders>
              <w:top w:val="dotted" w:sz="4" w:space="0" w:color="auto"/>
              <w:left w:val="single" w:sz="4" w:space="0" w:color="auto"/>
              <w:bottom w:val="dotted" w:sz="4" w:space="0" w:color="auto"/>
              <w:right w:val="single" w:sz="4" w:space="0" w:color="auto"/>
            </w:tcBorders>
            <w:hideMark/>
          </w:tcPr>
          <w:p w:rsidR="00243EA6" w:rsidRDefault="00243EA6">
            <w:pPr>
              <w:rPr>
                <w:sz w:val="22"/>
                <w:szCs w:val="22"/>
                <w:lang w:val="en-US"/>
              </w:rPr>
            </w:pPr>
            <w:r>
              <w:rPr>
                <w:sz w:val="22"/>
                <w:szCs w:val="22"/>
                <w:lang w:val="en-US"/>
              </w:rPr>
              <w:lastRenderedPageBreak/>
              <w:t>Indinavir/emtricitabin</w:t>
            </w:r>
          </w:p>
          <w:p w:rsidR="00243EA6" w:rsidRDefault="00243EA6">
            <w:pPr>
              <w:rPr>
                <w:sz w:val="22"/>
                <w:szCs w:val="22"/>
                <w:lang w:val="en-US"/>
              </w:rPr>
            </w:pPr>
            <w:r>
              <w:rPr>
                <w:sz w:val="22"/>
                <w:szCs w:val="22"/>
                <w:lang w:val="en-US"/>
              </w:rPr>
              <w:t>(800 mg q8t/200 mg q.d.)</w:t>
            </w:r>
          </w:p>
        </w:tc>
        <w:tc>
          <w:tcPr>
            <w:tcW w:w="1450" w:type="pct"/>
            <w:tcBorders>
              <w:top w:val="dotted" w:sz="4" w:space="0" w:color="auto"/>
              <w:left w:val="single" w:sz="4" w:space="0" w:color="auto"/>
              <w:bottom w:val="dotted" w:sz="4" w:space="0" w:color="auto"/>
              <w:right w:val="single" w:sz="4" w:space="0" w:color="auto"/>
            </w:tcBorders>
            <w:hideMark/>
          </w:tcPr>
          <w:p w:rsidR="00243EA6" w:rsidRDefault="00243EA6">
            <w:pPr>
              <w:rPr>
                <w:sz w:val="22"/>
                <w:szCs w:val="22"/>
                <w:lang w:val="en-US"/>
              </w:rPr>
            </w:pPr>
            <w:r>
              <w:rPr>
                <w:sz w:val="22"/>
                <w:szCs w:val="22"/>
                <w:lang w:val="en-US"/>
              </w:rPr>
              <w:t>Indinavir:</w:t>
            </w:r>
          </w:p>
          <w:p w:rsidR="00243EA6" w:rsidRDefault="00243EA6">
            <w:pPr>
              <w:rPr>
                <w:sz w:val="22"/>
                <w:szCs w:val="22"/>
                <w:lang w:val="en-US"/>
              </w:rPr>
            </w:pPr>
            <w:r>
              <w:rPr>
                <w:sz w:val="22"/>
                <w:szCs w:val="22"/>
                <w:lang w:val="en-US"/>
              </w:rPr>
              <w:t>AUC: ↔</w:t>
            </w:r>
          </w:p>
          <w:p w:rsidR="00243EA6" w:rsidRDefault="00243EA6">
            <w:pPr>
              <w:rPr>
                <w:sz w:val="22"/>
                <w:szCs w:val="22"/>
                <w:lang w:val="en-US"/>
              </w:rPr>
            </w:pPr>
            <w:r>
              <w:rPr>
                <w:sz w:val="22"/>
                <w:szCs w:val="22"/>
                <w:lang w:val="en-US"/>
              </w:rPr>
              <w:t>C</w:t>
            </w:r>
            <w:r>
              <w:rPr>
                <w:sz w:val="22"/>
                <w:szCs w:val="22"/>
                <w:vertAlign w:val="subscript"/>
                <w:lang w:val="en-US"/>
              </w:rPr>
              <w:t>max</w:t>
            </w:r>
            <w:r>
              <w:rPr>
                <w:sz w:val="22"/>
                <w:szCs w:val="22"/>
                <w:lang w:val="en-US"/>
              </w:rPr>
              <w:t xml:space="preserve">: ↔ </w:t>
            </w:r>
          </w:p>
          <w:p w:rsidR="00243EA6" w:rsidRDefault="00243EA6">
            <w:pPr>
              <w:rPr>
                <w:sz w:val="22"/>
                <w:szCs w:val="22"/>
                <w:lang w:val="en-US"/>
              </w:rPr>
            </w:pPr>
            <w:r>
              <w:rPr>
                <w:sz w:val="22"/>
                <w:szCs w:val="22"/>
                <w:lang w:val="en-US"/>
              </w:rPr>
              <w:t xml:space="preserve">Emtricitabine: </w:t>
            </w:r>
          </w:p>
          <w:p w:rsidR="00243EA6" w:rsidRDefault="00243EA6">
            <w:pPr>
              <w:rPr>
                <w:sz w:val="22"/>
                <w:szCs w:val="22"/>
                <w:lang w:val="en-US"/>
              </w:rPr>
            </w:pPr>
            <w:r>
              <w:rPr>
                <w:sz w:val="22"/>
                <w:szCs w:val="22"/>
                <w:lang w:val="en-US"/>
              </w:rPr>
              <w:t>AUC: ↔</w:t>
            </w:r>
          </w:p>
          <w:p w:rsidR="00243EA6" w:rsidRDefault="00243EA6">
            <w:pPr>
              <w:rPr>
                <w:sz w:val="22"/>
                <w:szCs w:val="22"/>
              </w:rPr>
            </w:pPr>
            <w:r>
              <w:rPr>
                <w:sz w:val="22"/>
                <w:szCs w:val="22"/>
              </w:rPr>
              <w:t>C</w:t>
            </w:r>
            <w:r>
              <w:rPr>
                <w:sz w:val="22"/>
                <w:szCs w:val="22"/>
                <w:vertAlign w:val="subscript"/>
              </w:rPr>
              <w:t>max</w:t>
            </w:r>
            <w:r>
              <w:rPr>
                <w:sz w:val="22"/>
                <w:szCs w:val="22"/>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EA6" w:rsidRDefault="00243EA6">
            <w:pPr>
              <w:rPr>
                <w:sz w:val="22"/>
                <w:szCs w:val="22"/>
              </w:rPr>
            </w:pPr>
          </w:p>
        </w:tc>
      </w:tr>
      <w:tr w:rsidR="00243EA6" w:rsidRPr="00554C44" w:rsidTr="00604247">
        <w:trPr>
          <w:jc w:val="center"/>
        </w:trPr>
        <w:tc>
          <w:tcPr>
            <w:tcW w:w="1977" w:type="pct"/>
            <w:tcBorders>
              <w:top w:val="dotted" w:sz="4" w:space="0" w:color="auto"/>
              <w:left w:val="single" w:sz="4" w:space="0" w:color="auto"/>
              <w:bottom w:val="single" w:sz="4" w:space="0" w:color="auto"/>
              <w:right w:val="single" w:sz="4" w:space="0" w:color="auto"/>
            </w:tcBorders>
            <w:hideMark/>
          </w:tcPr>
          <w:p w:rsidR="00243EA6" w:rsidRDefault="00243EA6">
            <w:pPr>
              <w:rPr>
                <w:sz w:val="22"/>
                <w:szCs w:val="22"/>
                <w:lang w:val="en-US"/>
              </w:rPr>
            </w:pPr>
            <w:r>
              <w:rPr>
                <w:sz w:val="22"/>
                <w:szCs w:val="22"/>
                <w:lang w:val="en-US"/>
              </w:rPr>
              <w:t>Indinavir/tenofovirdisoproxil</w:t>
            </w:r>
          </w:p>
          <w:p w:rsidR="00243EA6" w:rsidRDefault="00243EA6">
            <w:pPr>
              <w:rPr>
                <w:sz w:val="22"/>
                <w:szCs w:val="22"/>
                <w:lang w:val="en-US"/>
              </w:rPr>
            </w:pPr>
            <w:r>
              <w:rPr>
                <w:sz w:val="22"/>
                <w:szCs w:val="22"/>
                <w:lang w:val="en-US"/>
              </w:rPr>
              <w:t>(800 mg q8t/245 mg q.d.)</w:t>
            </w:r>
          </w:p>
        </w:tc>
        <w:tc>
          <w:tcPr>
            <w:tcW w:w="1450" w:type="pct"/>
            <w:tcBorders>
              <w:top w:val="dotted" w:sz="4" w:space="0" w:color="auto"/>
              <w:left w:val="single" w:sz="4" w:space="0" w:color="auto"/>
              <w:bottom w:val="single" w:sz="4" w:space="0" w:color="auto"/>
              <w:right w:val="single" w:sz="4" w:space="0" w:color="auto"/>
            </w:tcBorders>
            <w:hideMark/>
          </w:tcPr>
          <w:p w:rsidR="00243EA6" w:rsidRDefault="00243EA6">
            <w:pPr>
              <w:rPr>
                <w:sz w:val="22"/>
                <w:szCs w:val="22"/>
                <w:lang w:val="en-US"/>
              </w:rPr>
            </w:pPr>
            <w:r>
              <w:rPr>
                <w:sz w:val="22"/>
                <w:szCs w:val="22"/>
                <w:lang w:val="en-US"/>
              </w:rPr>
              <w:t xml:space="preserve">Indinavir: </w:t>
            </w:r>
          </w:p>
          <w:p w:rsidR="00243EA6" w:rsidRDefault="00243EA6">
            <w:pPr>
              <w:rPr>
                <w:sz w:val="22"/>
                <w:szCs w:val="22"/>
                <w:lang w:val="en-US"/>
              </w:rPr>
            </w:pPr>
            <w:r>
              <w:rPr>
                <w:sz w:val="22"/>
                <w:szCs w:val="22"/>
                <w:lang w:val="en-US"/>
              </w:rPr>
              <w:t>AUC: ↔</w:t>
            </w:r>
          </w:p>
          <w:p w:rsidR="00243EA6" w:rsidRDefault="00243EA6">
            <w:pPr>
              <w:rPr>
                <w:sz w:val="22"/>
                <w:szCs w:val="22"/>
                <w:lang w:val="en-US"/>
              </w:rPr>
            </w:pPr>
            <w:r>
              <w:rPr>
                <w:sz w:val="22"/>
                <w:szCs w:val="22"/>
                <w:lang w:val="en-US"/>
              </w:rPr>
              <w:t>C</w:t>
            </w:r>
            <w:r>
              <w:rPr>
                <w:sz w:val="22"/>
                <w:szCs w:val="22"/>
                <w:vertAlign w:val="subscript"/>
                <w:lang w:val="en-US"/>
              </w:rPr>
              <w:t>max</w:t>
            </w:r>
            <w:r>
              <w:rPr>
                <w:sz w:val="22"/>
                <w:szCs w:val="22"/>
                <w:lang w:val="en-US"/>
              </w:rPr>
              <w:t xml:space="preserve">: ↔ </w:t>
            </w:r>
          </w:p>
          <w:p w:rsidR="00243EA6" w:rsidRDefault="00243EA6">
            <w:pPr>
              <w:rPr>
                <w:sz w:val="22"/>
                <w:szCs w:val="22"/>
                <w:lang w:val="en-US"/>
              </w:rPr>
            </w:pPr>
            <w:r>
              <w:rPr>
                <w:sz w:val="22"/>
                <w:szCs w:val="22"/>
                <w:lang w:val="en-US"/>
              </w:rPr>
              <w:t xml:space="preserve">Tenofovir: </w:t>
            </w:r>
          </w:p>
          <w:p w:rsidR="00243EA6" w:rsidRDefault="00243EA6">
            <w:pPr>
              <w:rPr>
                <w:sz w:val="22"/>
                <w:szCs w:val="22"/>
                <w:lang w:val="en-US"/>
              </w:rPr>
            </w:pPr>
            <w:r>
              <w:rPr>
                <w:sz w:val="22"/>
                <w:szCs w:val="22"/>
                <w:lang w:val="en-US"/>
              </w:rPr>
              <w:t>AUC: ↔</w:t>
            </w:r>
          </w:p>
          <w:p w:rsidR="00243EA6" w:rsidRPr="00243EA6" w:rsidRDefault="00243EA6">
            <w:pPr>
              <w:rPr>
                <w:sz w:val="22"/>
                <w:szCs w:val="22"/>
                <w:lang w:val="en-US"/>
              </w:rPr>
            </w:pPr>
            <w:r w:rsidRPr="00243EA6">
              <w:rPr>
                <w:sz w:val="22"/>
                <w:szCs w:val="22"/>
                <w:lang w:val="en-US"/>
              </w:rPr>
              <w:t>C</w:t>
            </w:r>
            <w:r w:rsidRPr="00243EA6">
              <w:rPr>
                <w:sz w:val="22"/>
                <w:szCs w:val="22"/>
                <w:vertAlign w:val="subscript"/>
                <w:lang w:val="en-US"/>
              </w:rPr>
              <w:t>max</w:t>
            </w:r>
            <w:r w:rsidRPr="00243EA6">
              <w:rPr>
                <w:sz w:val="22"/>
                <w:szCs w:val="22"/>
                <w:lang w:val="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EA6" w:rsidRPr="00243EA6" w:rsidRDefault="00243EA6">
            <w:pPr>
              <w:rPr>
                <w:sz w:val="22"/>
                <w:szCs w:val="22"/>
                <w:lang w:val="en-US"/>
              </w:rPr>
            </w:pPr>
          </w:p>
        </w:tc>
      </w:tr>
      <w:tr w:rsidR="00243EA6" w:rsidTr="00604247">
        <w:trPr>
          <w:jc w:val="center"/>
        </w:trPr>
        <w:tc>
          <w:tcPr>
            <w:tcW w:w="1977" w:type="pct"/>
            <w:tcBorders>
              <w:top w:val="single" w:sz="4" w:space="0" w:color="auto"/>
              <w:left w:val="single" w:sz="4" w:space="0" w:color="auto"/>
              <w:bottom w:val="single" w:sz="4" w:space="0" w:color="auto"/>
              <w:right w:val="single" w:sz="4" w:space="0" w:color="auto"/>
            </w:tcBorders>
            <w:hideMark/>
          </w:tcPr>
          <w:p w:rsidR="00243EA6" w:rsidRPr="000E6D4D" w:rsidRDefault="00243EA6">
            <w:pPr>
              <w:rPr>
                <w:sz w:val="22"/>
                <w:szCs w:val="22"/>
              </w:rPr>
            </w:pPr>
            <w:r w:rsidRPr="000E6D4D">
              <w:rPr>
                <w:sz w:val="22"/>
                <w:szCs w:val="22"/>
              </w:rPr>
              <w:t xml:space="preserve">Lopinavir/ritonavir/tenofovirdisoproxil </w:t>
            </w:r>
          </w:p>
          <w:p w:rsidR="00243EA6" w:rsidRPr="000E6D4D" w:rsidRDefault="00243EA6">
            <w:pPr>
              <w:rPr>
                <w:sz w:val="22"/>
                <w:szCs w:val="22"/>
              </w:rPr>
            </w:pPr>
            <w:r w:rsidRPr="000E6D4D">
              <w:rPr>
                <w:sz w:val="22"/>
                <w:szCs w:val="22"/>
              </w:rPr>
              <w:t>(400 mg b.i.d./100 mg b.i.d./245 mg q.d.)</w:t>
            </w:r>
          </w:p>
        </w:tc>
        <w:tc>
          <w:tcPr>
            <w:tcW w:w="1450" w:type="pct"/>
            <w:tcBorders>
              <w:top w:val="single" w:sz="4" w:space="0" w:color="auto"/>
              <w:left w:val="single" w:sz="4" w:space="0" w:color="auto"/>
              <w:bottom w:val="single" w:sz="4" w:space="0" w:color="auto"/>
              <w:right w:val="single" w:sz="4" w:space="0" w:color="auto"/>
            </w:tcBorders>
            <w:hideMark/>
          </w:tcPr>
          <w:p w:rsidR="00243EA6" w:rsidRDefault="00243EA6">
            <w:pPr>
              <w:rPr>
                <w:sz w:val="22"/>
                <w:szCs w:val="22"/>
                <w:lang w:val="en-US"/>
              </w:rPr>
            </w:pPr>
            <w:r>
              <w:rPr>
                <w:sz w:val="22"/>
                <w:szCs w:val="22"/>
                <w:lang w:val="en-US"/>
              </w:rPr>
              <w:t xml:space="preserve">Lopinavir/Ritonavir: </w:t>
            </w:r>
          </w:p>
          <w:p w:rsidR="00243EA6" w:rsidRDefault="00243EA6">
            <w:pPr>
              <w:rPr>
                <w:sz w:val="22"/>
                <w:szCs w:val="22"/>
                <w:lang w:val="en-US"/>
              </w:rPr>
            </w:pPr>
            <w:r>
              <w:rPr>
                <w:sz w:val="22"/>
                <w:szCs w:val="22"/>
                <w:lang w:val="en-US"/>
              </w:rPr>
              <w:t>AUC: ↔</w:t>
            </w:r>
          </w:p>
          <w:p w:rsidR="00243EA6" w:rsidRDefault="00243EA6">
            <w:pPr>
              <w:rPr>
                <w:sz w:val="22"/>
                <w:szCs w:val="22"/>
                <w:lang w:val="en-US"/>
              </w:rPr>
            </w:pPr>
            <w:r>
              <w:rPr>
                <w:sz w:val="22"/>
                <w:szCs w:val="22"/>
                <w:lang w:val="en-US"/>
              </w:rPr>
              <w:t>C</w:t>
            </w:r>
            <w:r>
              <w:rPr>
                <w:sz w:val="22"/>
                <w:szCs w:val="22"/>
                <w:vertAlign w:val="subscript"/>
                <w:lang w:val="en-US"/>
              </w:rPr>
              <w:t>max</w:t>
            </w:r>
            <w:r>
              <w:rPr>
                <w:sz w:val="22"/>
                <w:szCs w:val="22"/>
                <w:lang w:val="en-US"/>
              </w:rPr>
              <w:t xml:space="preserve">: ↔ </w:t>
            </w:r>
          </w:p>
          <w:p w:rsidR="00243EA6" w:rsidRDefault="00243EA6">
            <w:pPr>
              <w:rPr>
                <w:sz w:val="22"/>
                <w:szCs w:val="22"/>
                <w:lang w:val="en-US"/>
              </w:rPr>
            </w:pPr>
            <w:r>
              <w:rPr>
                <w:sz w:val="22"/>
                <w:szCs w:val="22"/>
                <w:lang w:val="en-US"/>
              </w:rPr>
              <w:t>C</w:t>
            </w:r>
            <w:r>
              <w:rPr>
                <w:sz w:val="22"/>
                <w:szCs w:val="22"/>
                <w:vertAlign w:val="subscript"/>
                <w:lang w:val="en-US"/>
              </w:rPr>
              <w:t>min</w:t>
            </w:r>
            <w:r>
              <w:rPr>
                <w:sz w:val="22"/>
                <w:szCs w:val="22"/>
                <w:lang w:val="en-US"/>
              </w:rPr>
              <w:t xml:space="preserve">: ↔ </w:t>
            </w:r>
          </w:p>
          <w:p w:rsidR="00243EA6" w:rsidRDefault="00243EA6">
            <w:pPr>
              <w:rPr>
                <w:sz w:val="22"/>
                <w:szCs w:val="22"/>
                <w:lang w:val="en-US"/>
              </w:rPr>
            </w:pPr>
            <w:r>
              <w:rPr>
                <w:sz w:val="22"/>
                <w:szCs w:val="22"/>
                <w:lang w:val="en-US"/>
              </w:rPr>
              <w:t>Tenofovir:</w:t>
            </w:r>
          </w:p>
          <w:p w:rsidR="00243EA6" w:rsidRDefault="00243EA6">
            <w:pPr>
              <w:rPr>
                <w:sz w:val="22"/>
                <w:szCs w:val="22"/>
                <w:lang w:val="en-US"/>
              </w:rPr>
            </w:pPr>
            <w:r>
              <w:rPr>
                <w:sz w:val="22"/>
                <w:szCs w:val="22"/>
                <w:lang w:val="en-US"/>
              </w:rPr>
              <w:t>AUC: ↑ 32 % (↑ 25 til ↑ 38)</w:t>
            </w:r>
          </w:p>
          <w:p w:rsidR="00243EA6" w:rsidRDefault="00243EA6">
            <w:pPr>
              <w:rPr>
                <w:sz w:val="22"/>
                <w:szCs w:val="22"/>
                <w:lang w:val="en-US"/>
              </w:rPr>
            </w:pPr>
            <w:r>
              <w:rPr>
                <w:sz w:val="22"/>
                <w:szCs w:val="22"/>
                <w:lang w:val="en-US"/>
              </w:rPr>
              <w:t>C</w:t>
            </w:r>
            <w:r>
              <w:rPr>
                <w:sz w:val="22"/>
                <w:szCs w:val="22"/>
                <w:vertAlign w:val="subscript"/>
                <w:lang w:val="en-US"/>
              </w:rPr>
              <w:t>max</w:t>
            </w:r>
            <w:r>
              <w:rPr>
                <w:sz w:val="22"/>
                <w:szCs w:val="22"/>
                <w:lang w:val="en-US"/>
              </w:rPr>
              <w:t>: ↔</w:t>
            </w:r>
          </w:p>
          <w:p w:rsidR="00243EA6" w:rsidRDefault="00243EA6">
            <w:pPr>
              <w:rPr>
                <w:sz w:val="22"/>
                <w:szCs w:val="22"/>
                <w:lang w:val="en-US"/>
              </w:rPr>
            </w:pPr>
            <w:r>
              <w:rPr>
                <w:sz w:val="22"/>
                <w:szCs w:val="22"/>
                <w:lang w:val="en-US"/>
              </w:rPr>
              <w:t>C</w:t>
            </w:r>
            <w:r>
              <w:rPr>
                <w:sz w:val="22"/>
                <w:szCs w:val="22"/>
                <w:vertAlign w:val="subscript"/>
                <w:lang w:val="en-US"/>
              </w:rPr>
              <w:t>min</w:t>
            </w:r>
            <w:r>
              <w:rPr>
                <w:sz w:val="22"/>
                <w:szCs w:val="22"/>
                <w:lang w:val="en-US"/>
              </w:rPr>
              <w:t>: ↑ 51 % (↑ 37 til ↑ 66)</w:t>
            </w:r>
          </w:p>
          <w:p w:rsidR="00243EA6" w:rsidRDefault="00243EA6">
            <w:pPr>
              <w:rPr>
                <w:sz w:val="22"/>
                <w:szCs w:val="22"/>
                <w:lang w:bidi="en-GB"/>
              </w:rPr>
            </w:pPr>
            <w:r>
              <w:rPr>
                <w:sz w:val="22"/>
                <w:szCs w:val="22"/>
                <w:lang w:bidi="en-GB"/>
              </w:rPr>
              <w:t>Højere tenofovirkoncentrationer kan forstærke tenofovir</w:t>
            </w:r>
            <w:r>
              <w:rPr>
                <w:sz w:val="22"/>
                <w:szCs w:val="22"/>
                <w:lang w:bidi="en-GB"/>
              </w:rPr>
              <w:noBreakHyphen/>
              <w:t>associerede bivirkninger inklusive nyrelidelser.</w:t>
            </w:r>
          </w:p>
        </w:tc>
        <w:tc>
          <w:tcPr>
            <w:tcW w:w="1573" w:type="pct"/>
            <w:vMerge w:val="restart"/>
            <w:tcBorders>
              <w:top w:val="single" w:sz="4" w:space="0" w:color="auto"/>
              <w:left w:val="single" w:sz="4" w:space="0" w:color="auto"/>
              <w:bottom w:val="single" w:sz="4" w:space="0" w:color="auto"/>
              <w:right w:val="single" w:sz="4" w:space="0" w:color="auto"/>
            </w:tcBorders>
            <w:hideMark/>
          </w:tcPr>
          <w:p w:rsidR="00243EA6" w:rsidRDefault="00243EA6">
            <w:pPr>
              <w:rPr>
                <w:sz w:val="22"/>
                <w:szCs w:val="22"/>
                <w:lang w:bidi="en-GB"/>
              </w:rPr>
            </w:pPr>
            <w:r>
              <w:rPr>
                <w:sz w:val="22"/>
                <w:szCs w:val="22"/>
                <w:lang w:bidi="en-GB"/>
              </w:rPr>
              <w:t>Der er kun utilstrækkelige data tilgængelige til doseringsanbefaling for lopinavir/ritonavir, når dette doseres sammen med Efavirenz/Emtricitabine/</w:t>
            </w:r>
          </w:p>
          <w:p w:rsidR="00243EA6" w:rsidRDefault="00243EA6">
            <w:pPr>
              <w:rPr>
                <w:sz w:val="22"/>
                <w:szCs w:val="22"/>
                <w:lang w:bidi="en-GB"/>
              </w:rPr>
            </w:pPr>
            <w:r>
              <w:rPr>
                <w:sz w:val="22"/>
                <w:szCs w:val="22"/>
                <w:lang w:bidi="en-GB"/>
              </w:rPr>
              <w:t>Tenofovir disoproxil "Glenmark". Samtidig administration af lopinavir/ritonavir og Efavirenz/Emtricitabine/</w:t>
            </w:r>
          </w:p>
          <w:p w:rsidR="00243EA6" w:rsidRDefault="00243EA6">
            <w:pPr>
              <w:rPr>
                <w:sz w:val="22"/>
                <w:szCs w:val="22"/>
              </w:rPr>
            </w:pPr>
            <w:r>
              <w:rPr>
                <w:sz w:val="22"/>
                <w:szCs w:val="22"/>
                <w:lang w:bidi="en-GB"/>
              </w:rPr>
              <w:t>Tenofovir disoproxil "Glenmark" frarådes.</w:t>
            </w:r>
          </w:p>
        </w:tc>
      </w:tr>
      <w:tr w:rsidR="00243EA6" w:rsidTr="00604247">
        <w:trPr>
          <w:jc w:val="center"/>
        </w:trPr>
        <w:tc>
          <w:tcPr>
            <w:tcW w:w="1977" w:type="pct"/>
            <w:tcBorders>
              <w:top w:val="single" w:sz="4" w:space="0" w:color="auto"/>
              <w:left w:val="single" w:sz="4" w:space="0" w:color="auto"/>
              <w:bottom w:val="dotted" w:sz="4" w:space="0" w:color="auto"/>
              <w:right w:val="single" w:sz="4" w:space="0" w:color="auto"/>
            </w:tcBorders>
          </w:tcPr>
          <w:p w:rsidR="00243EA6" w:rsidRDefault="00243EA6">
            <w:pPr>
              <w:rPr>
                <w:sz w:val="22"/>
                <w:szCs w:val="22"/>
                <w:lang w:bidi="en-GB"/>
              </w:rPr>
            </w:pPr>
            <w:r>
              <w:rPr>
                <w:sz w:val="22"/>
                <w:szCs w:val="22"/>
                <w:lang w:bidi="en-GB"/>
              </w:rPr>
              <w:t>Lopinavir/ritonavir bløde kapsler eller oral opløsning/efavirenz</w:t>
            </w:r>
          </w:p>
          <w:p w:rsidR="00243EA6" w:rsidRDefault="00243EA6">
            <w:pPr>
              <w:rPr>
                <w:sz w:val="22"/>
                <w:szCs w:val="22"/>
              </w:rPr>
            </w:pPr>
          </w:p>
          <w:p w:rsidR="00243EA6" w:rsidRDefault="00243EA6">
            <w:pPr>
              <w:rPr>
                <w:sz w:val="22"/>
                <w:szCs w:val="22"/>
              </w:rPr>
            </w:pPr>
          </w:p>
          <w:p w:rsidR="00243EA6" w:rsidRDefault="00243EA6">
            <w:pPr>
              <w:rPr>
                <w:sz w:val="22"/>
                <w:szCs w:val="22"/>
              </w:rPr>
            </w:pPr>
          </w:p>
          <w:p w:rsidR="00243EA6" w:rsidRDefault="00243EA6">
            <w:pPr>
              <w:rPr>
                <w:sz w:val="22"/>
                <w:szCs w:val="22"/>
              </w:rPr>
            </w:pPr>
          </w:p>
          <w:p w:rsidR="00243EA6" w:rsidRDefault="00243EA6">
            <w:pPr>
              <w:rPr>
                <w:sz w:val="22"/>
                <w:szCs w:val="22"/>
              </w:rPr>
            </w:pPr>
          </w:p>
          <w:p w:rsidR="00243EA6" w:rsidRDefault="00243EA6">
            <w:pPr>
              <w:rPr>
                <w:sz w:val="22"/>
                <w:szCs w:val="22"/>
              </w:rPr>
            </w:pPr>
          </w:p>
          <w:p w:rsidR="00243EA6" w:rsidRDefault="00243EA6">
            <w:pPr>
              <w:rPr>
                <w:sz w:val="22"/>
                <w:szCs w:val="22"/>
              </w:rPr>
            </w:pPr>
          </w:p>
          <w:p w:rsidR="00243EA6" w:rsidRDefault="00243EA6">
            <w:pPr>
              <w:rPr>
                <w:sz w:val="22"/>
                <w:szCs w:val="22"/>
              </w:rPr>
            </w:pPr>
          </w:p>
          <w:p w:rsidR="00243EA6" w:rsidRDefault="00243EA6">
            <w:pPr>
              <w:rPr>
                <w:sz w:val="22"/>
                <w:szCs w:val="22"/>
              </w:rPr>
            </w:pPr>
          </w:p>
          <w:p w:rsidR="00243EA6" w:rsidRDefault="00243EA6">
            <w:pPr>
              <w:rPr>
                <w:sz w:val="22"/>
                <w:szCs w:val="22"/>
              </w:rPr>
            </w:pPr>
          </w:p>
          <w:p w:rsidR="00243EA6" w:rsidRDefault="00243EA6">
            <w:pPr>
              <w:rPr>
                <w:sz w:val="22"/>
                <w:szCs w:val="22"/>
              </w:rPr>
            </w:pPr>
          </w:p>
          <w:p w:rsidR="00243EA6" w:rsidRDefault="00243EA6">
            <w:pPr>
              <w:rPr>
                <w:sz w:val="22"/>
                <w:szCs w:val="22"/>
              </w:rPr>
            </w:pPr>
          </w:p>
          <w:p w:rsidR="00243EA6" w:rsidRDefault="00243EA6">
            <w:pPr>
              <w:rPr>
                <w:sz w:val="22"/>
                <w:szCs w:val="22"/>
              </w:rPr>
            </w:pPr>
          </w:p>
          <w:p w:rsidR="00243EA6" w:rsidRDefault="00243EA6">
            <w:pPr>
              <w:rPr>
                <w:sz w:val="22"/>
                <w:szCs w:val="22"/>
              </w:rPr>
            </w:pPr>
          </w:p>
          <w:p w:rsidR="00243EA6" w:rsidRDefault="00243EA6">
            <w:pPr>
              <w:rPr>
                <w:sz w:val="22"/>
                <w:szCs w:val="22"/>
              </w:rPr>
            </w:pPr>
          </w:p>
          <w:p w:rsidR="00243EA6" w:rsidRPr="000E6D4D" w:rsidRDefault="00243EA6">
            <w:pPr>
              <w:rPr>
                <w:sz w:val="22"/>
                <w:szCs w:val="22"/>
                <w:lang w:val="en-US"/>
              </w:rPr>
            </w:pPr>
            <w:r w:rsidRPr="000E6D4D">
              <w:rPr>
                <w:sz w:val="22"/>
                <w:szCs w:val="22"/>
                <w:lang w:val="en-US"/>
              </w:rPr>
              <w:lastRenderedPageBreak/>
              <w:t>Lopinavir/ritonavir tabletter/efavirenz (400/100 mg b.i.d./600 mg q.d.)</w:t>
            </w:r>
          </w:p>
          <w:p w:rsidR="00243EA6" w:rsidRPr="000E6D4D" w:rsidRDefault="00243EA6">
            <w:pPr>
              <w:rPr>
                <w:sz w:val="22"/>
                <w:szCs w:val="22"/>
                <w:lang w:val="en-US"/>
              </w:rPr>
            </w:pPr>
          </w:p>
          <w:p w:rsidR="00243EA6" w:rsidRDefault="00243EA6">
            <w:pPr>
              <w:rPr>
                <w:sz w:val="22"/>
                <w:szCs w:val="22"/>
              </w:rPr>
            </w:pPr>
            <w:r>
              <w:rPr>
                <w:sz w:val="22"/>
                <w:szCs w:val="22"/>
              </w:rPr>
              <w:t>(500/125 mg b.i.d./600 mg q.d.)</w:t>
            </w:r>
          </w:p>
        </w:tc>
        <w:tc>
          <w:tcPr>
            <w:tcW w:w="1450" w:type="pct"/>
            <w:tcBorders>
              <w:top w:val="single" w:sz="4" w:space="0" w:color="auto"/>
              <w:left w:val="single" w:sz="4" w:space="0" w:color="auto"/>
              <w:bottom w:val="dotted" w:sz="4" w:space="0" w:color="auto"/>
              <w:right w:val="single" w:sz="4" w:space="0" w:color="auto"/>
            </w:tcBorders>
          </w:tcPr>
          <w:p w:rsidR="00243EA6" w:rsidRDefault="00243EA6">
            <w:pPr>
              <w:rPr>
                <w:sz w:val="22"/>
                <w:szCs w:val="22"/>
                <w:lang w:bidi="en-GB"/>
              </w:rPr>
            </w:pPr>
            <w:r>
              <w:rPr>
                <w:sz w:val="22"/>
                <w:szCs w:val="22"/>
                <w:lang w:bidi="en-GB"/>
              </w:rPr>
              <w:lastRenderedPageBreak/>
              <w:t>Væsentligt fald i lopinavir</w:t>
            </w:r>
            <w:r>
              <w:rPr>
                <w:sz w:val="22"/>
                <w:szCs w:val="22"/>
                <w:lang w:bidi="en-GB"/>
              </w:rPr>
              <w:noBreakHyphen/>
              <w:t>eksponeringen, hvilket nødvendiggør dosisjustering af lopinavir/ritonavir. Når det blev anvendt i kombination med efavirenz og to NRTIer, gav lopinavir/ritonavir 533/133 mg (bløde kapsler) to gange dagligt de samme lopinavirplasmakoncentrationer sammenlignet med lopinavir/ritonavir (bløde kapsler) 400/100 mg to gange dagligt uden efavirenz (historiske data).</w:t>
            </w:r>
          </w:p>
          <w:p w:rsidR="00243EA6" w:rsidRDefault="00243EA6">
            <w:pPr>
              <w:rPr>
                <w:b/>
                <w:sz w:val="22"/>
                <w:szCs w:val="22"/>
                <w:lang w:bidi="en-GB"/>
              </w:rPr>
            </w:pPr>
          </w:p>
          <w:p w:rsidR="00243EA6" w:rsidRDefault="00243EA6">
            <w:pPr>
              <w:rPr>
                <w:sz w:val="22"/>
                <w:szCs w:val="22"/>
                <w:lang w:bidi="en-GB"/>
              </w:rPr>
            </w:pPr>
            <w:r>
              <w:rPr>
                <w:sz w:val="22"/>
                <w:szCs w:val="22"/>
                <w:lang w:bidi="en-GB"/>
              </w:rPr>
              <w:lastRenderedPageBreak/>
              <w:t xml:space="preserve">Lopinavirkoncentrationer: </w:t>
            </w:r>
          </w:p>
          <w:p w:rsidR="00243EA6" w:rsidRDefault="00243EA6">
            <w:pPr>
              <w:rPr>
                <w:sz w:val="22"/>
                <w:szCs w:val="22"/>
                <w:lang w:bidi="en-GB"/>
              </w:rPr>
            </w:pPr>
            <w:r>
              <w:rPr>
                <w:sz w:val="22"/>
                <w:szCs w:val="22"/>
                <w:lang w:bidi="en-GB"/>
              </w:rPr>
              <w:t>↓ 30</w:t>
            </w:r>
            <w:r>
              <w:rPr>
                <w:sz w:val="22"/>
                <w:szCs w:val="22"/>
                <w:lang w:bidi="en-GB"/>
              </w:rPr>
              <w:noBreakHyphen/>
              <w:t>40 %</w:t>
            </w:r>
          </w:p>
          <w:p w:rsidR="00243EA6" w:rsidRDefault="00243EA6">
            <w:pPr>
              <w:rPr>
                <w:sz w:val="22"/>
                <w:szCs w:val="22"/>
                <w:lang w:bidi="en-GB"/>
              </w:rPr>
            </w:pPr>
          </w:p>
          <w:p w:rsidR="00243EA6" w:rsidRDefault="00243EA6">
            <w:pPr>
              <w:rPr>
                <w:sz w:val="22"/>
                <w:szCs w:val="22"/>
                <w:lang w:bidi="en-GB"/>
              </w:rPr>
            </w:pPr>
            <w:r>
              <w:rPr>
                <w:sz w:val="22"/>
                <w:szCs w:val="22"/>
                <w:lang w:bidi="en-GB"/>
              </w:rPr>
              <w:t>Lopinavirkoncentrationer: samme som for lopinavir/ritonavir 400/100 mg to gange dagligt uden efavirenz. Dosisustering af lopinavir/ritonavir er nødvendig ved administration sammen med efavirenz. Med hensyn til samtidig administration af efavirenz og lavdosis ritonavir i kombination med en protease</w:t>
            </w:r>
            <w:r>
              <w:rPr>
                <w:sz w:val="22"/>
                <w:szCs w:val="22"/>
                <w:lang w:bidi="en-GB"/>
              </w:rPr>
              <w:noBreakHyphen/>
              <w:t>hæmmer se afsnittet om ritonavir nedenfor.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EA6" w:rsidRDefault="00243EA6">
            <w:pPr>
              <w:rPr>
                <w:sz w:val="22"/>
                <w:szCs w:val="22"/>
              </w:rPr>
            </w:pPr>
          </w:p>
        </w:tc>
      </w:tr>
      <w:tr w:rsidR="00243EA6" w:rsidTr="00604247">
        <w:trPr>
          <w:jc w:val="center"/>
        </w:trPr>
        <w:tc>
          <w:tcPr>
            <w:tcW w:w="1977" w:type="pct"/>
            <w:tcBorders>
              <w:top w:val="dotted" w:sz="4" w:space="0" w:color="auto"/>
              <w:left w:val="single" w:sz="4" w:space="0" w:color="auto"/>
              <w:bottom w:val="single" w:sz="4" w:space="0" w:color="auto"/>
              <w:right w:val="single" w:sz="4" w:space="0" w:color="auto"/>
            </w:tcBorders>
            <w:hideMark/>
          </w:tcPr>
          <w:p w:rsidR="00243EA6" w:rsidRDefault="00243EA6">
            <w:pPr>
              <w:rPr>
                <w:sz w:val="22"/>
                <w:szCs w:val="22"/>
              </w:rPr>
            </w:pPr>
            <w:r>
              <w:rPr>
                <w:sz w:val="22"/>
                <w:szCs w:val="22"/>
              </w:rPr>
              <w:t>Lopinavir/ritonavir/emtricitabin</w:t>
            </w:r>
          </w:p>
        </w:tc>
        <w:tc>
          <w:tcPr>
            <w:tcW w:w="1450" w:type="pct"/>
            <w:tcBorders>
              <w:top w:val="dotted" w:sz="4" w:space="0" w:color="auto"/>
              <w:left w:val="single" w:sz="4" w:space="0" w:color="auto"/>
              <w:bottom w:val="single" w:sz="4" w:space="0" w:color="auto"/>
              <w:right w:val="single" w:sz="4" w:space="0" w:color="auto"/>
            </w:tcBorders>
            <w:hideMark/>
          </w:tcPr>
          <w:p w:rsidR="00243EA6" w:rsidRDefault="00243EA6">
            <w:pPr>
              <w:rPr>
                <w:sz w:val="22"/>
                <w:szCs w:val="22"/>
              </w:rPr>
            </w:pPr>
            <w:r>
              <w:rPr>
                <w:sz w:val="22"/>
                <w:szCs w:val="22"/>
              </w:rPr>
              <w:t>Interaktion er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EA6" w:rsidRDefault="00243EA6">
            <w:pPr>
              <w:rPr>
                <w:sz w:val="22"/>
                <w:szCs w:val="22"/>
              </w:rPr>
            </w:pPr>
          </w:p>
        </w:tc>
      </w:tr>
      <w:tr w:rsidR="00243EA6" w:rsidTr="00604247">
        <w:trPr>
          <w:jc w:val="center"/>
        </w:trPr>
        <w:tc>
          <w:tcPr>
            <w:tcW w:w="1977" w:type="pct"/>
            <w:tcBorders>
              <w:top w:val="single" w:sz="4" w:space="0" w:color="auto"/>
              <w:left w:val="single" w:sz="4" w:space="0" w:color="auto"/>
              <w:bottom w:val="dotted" w:sz="4" w:space="0" w:color="auto"/>
              <w:right w:val="single" w:sz="4" w:space="0" w:color="auto"/>
            </w:tcBorders>
            <w:hideMark/>
          </w:tcPr>
          <w:p w:rsidR="00243EA6" w:rsidRDefault="00243EA6">
            <w:pPr>
              <w:rPr>
                <w:sz w:val="22"/>
                <w:szCs w:val="22"/>
              </w:rPr>
            </w:pPr>
            <w:r>
              <w:rPr>
                <w:sz w:val="22"/>
                <w:szCs w:val="22"/>
              </w:rPr>
              <w:t>Ritonavir/efavirenz</w:t>
            </w:r>
          </w:p>
          <w:p w:rsidR="00243EA6" w:rsidRDefault="00243EA6">
            <w:pPr>
              <w:rPr>
                <w:sz w:val="22"/>
                <w:szCs w:val="22"/>
              </w:rPr>
            </w:pPr>
            <w:r>
              <w:rPr>
                <w:sz w:val="22"/>
                <w:szCs w:val="22"/>
              </w:rPr>
              <w:t>(500 mg b.i.d./600 mg q.d.)</w:t>
            </w:r>
          </w:p>
        </w:tc>
        <w:tc>
          <w:tcPr>
            <w:tcW w:w="1450" w:type="pct"/>
            <w:tcBorders>
              <w:top w:val="single" w:sz="4" w:space="0" w:color="auto"/>
              <w:left w:val="single" w:sz="4" w:space="0" w:color="auto"/>
              <w:bottom w:val="dotted" w:sz="4" w:space="0" w:color="auto"/>
              <w:right w:val="single" w:sz="4" w:space="0" w:color="auto"/>
            </w:tcBorders>
          </w:tcPr>
          <w:p w:rsidR="00243EA6" w:rsidRDefault="00243EA6">
            <w:pPr>
              <w:rPr>
                <w:sz w:val="22"/>
                <w:szCs w:val="22"/>
                <w:lang w:bidi="en-GB"/>
              </w:rPr>
            </w:pPr>
            <w:r>
              <w:rPr>
                <w:sz w:val="22"/>
                <w:szCs w:val="22"/>
                <w:lang w:bidi="en-GB"/>
              </w:rPr>
              <w:t>Ritonavir:</w:t>
            </w:r>
          </w:p>
          <w:p w:rsidR="00243EA6" w:rsidRDefault="00243EA6">
            <w:pPr>
              <w:rPr>
                <w:sz w:val="22"/>
                <w:szCs w:val="22"/>
                <w:lang w:bidi="en-GB"/>
              </w:rPr>
            </w:pPr>
            <w:proofErr w:type="gramStart"/>
            <w:r>
              <w:rPr>
                <w:sz w:val="22"/>
                <w:szCs w:val="22"/>
                <w:lang w:bidi="en-GB"/>
              </w:rPr>
              <w:t>AUC morgen</w:t>
            </w:r>
            <w:proofErr w:type="gramEnd"/>
            <w:r>
              <w:rPr>
                <w:sz w:val="22"/>
                <w:szCs w:val="22"/>
                <w:lang w:bidi="en-GB"/>
              </w:rPr>
              <w:t>: ↑ 18 % (↑ 6 til ↑ 33) AUC aften: ↔</w:t>
            </w:r>
          </w:p>
          <w:p w:rsidR="00243EA6" w:rsidRDefault="00243EA6">
            <w:pPr>
              <w:rPr>
                <w:sz w:val="22"/>
                <w:szCs w:val="22"/>
                <w:lang w:bidi="en-GB"/>
              </w:rPr>
            </w:pPr>
            <w:r>
              <w:rPr>
                <w:sz w:val="22"/>
                <w:szCs w:val="22"/>
                <w:lang w:bidi="en-GB"/>
              </w:rPr>
              <w:t>C</w:t>
            </w:r>
            <w:r>
              <w:rPr>
                <w:sz w:val="22"/>
                <w:szCs w:val="22"/>
                <w:vertAlign w:val="subscript"/>
                <w:lang w:bidi="en-GB"/>
              </w:rPr>
              <w:t>max</w:t>
            </w:r>
            <w:r>
              <w:rPr>
                <w:sz w:val="22"/>
                <w:szCs w:val="22"/>
                <w:lang w:bidi="en-GB"/>
              </w:rPr>
              <w:t xml:space="preserve"> morgen: ↑ 24 % (↑ 12 til ↑ 38) C</w:t>
            </w:r>
            <w:r>
              <w:rPr>
                <w:sz w:val="22"/>
                <w:szCs w:val="22"/>
                <w:vertAlign w:val="subscript"/>
                <w:lang w:bidi="en-GB"/>
              </w:rPr>
              <w:t>max</w:t>
            </w:r>
            <w:r>
              <w:rPr>
                <w:sz w:val="22"/>
                <w:szCs w:val="22"/>
                <w:lang w:bidi="en-GB"/>
              </w:rPr>
              <w:t xml:space="preserve"> aften: ↔</w:t>
            </w:r>
          </w:p>
          <w:p w:rsidR="00243EA6" w:rsidRDefault="00243EA6">
            <w:pPr>
              <w:rPr>
                <w:sz w:val="22"/>
                <w:szCs w:val="22"/>
                <w:lang w:bidi="en-GB"/>
              </w:rPr>
            </w:pPr>
            <w:r>
              <w:rPr>
                <w:sz w:val="22"/>
                <w:szCs w:val="22"/>
                <w:lang w:bidi="en-GB"/>
              </w:rPr>
              <w:t>C</w:t>
            </w:r>
            <w:r>
              <w:rPr>
                <w:sz w:val="22"/>
                <w:szCs w:val="22"/>
                <w:vertAlign w:val="subscript"/>
                <w:lang w:bidi="en-GB"/>
              </w:rPr>
              <w:t>min</w:t>
            </w:r>
            <w:r>
              <w:rPr>
                <w:sz w:val="22"/>
                <w:szCs w:val="22"/>
                <w:lang w:bidi="en-GB"/>
              </w:rPr>
              <w:t xml:space="preserve"> morgen: ↑ 42 % (↑ 9 til ↑ 86)</w:t>
            </w:r>
          </w:p>
          <w:p w:rsidR="00243EA6" w:rsidRDefault="00243EA6">
            <w:pPr>
              <w:rPr>
                <w:sz w:val="22"/>
                <w:szCs w:val="22"/>
                <w:lang w:bidi="en-GB"/>
              </w:rPr>
            </w:pPr>
            <w:r>
              <w:rPr>
                <w:sz w:val="22"/>
                <w:szCs w:val="22"/>
                <w:lang w:bidi="en-GB"/>
              </w:rPr>
              <w:t>C</w:t>
            </w:r>
            <w:r>
              <w:rPr>
                <w:sz w:val="22"/>
                <w:szCs w:val="22"/>
                <w:vertAlign w:val="subscript"/>
                <w:lang w:bidi="en-GB"/>
              </w:rPr>
              <w:t>min</w:t>
            </w:r>
            <w:r>
              <w:rPr>
                <w:sz w:val="22"/>
                <w:szCs w:val="22"/>
                <w:lang w:bidi="en-GB"/>
              </w:rPr>
              <w:t xml:space="preserve"> aften: ↑ 24 % (↑ 3 til ↑ 50)</w:t>
            </w:r>
          </w:p>
          <w:p w:rsidR="00243EA6" w:rsidRDefault="00243EA6">
            <w:pPr>
              <w:rPr>
                <w:b/>
                <w:sz w:val="22"/>
                <w:szCs w:val="22"/>
                <w:lang w:bidi="en-GB"/>
              </w:rPr>
            </w:pPr>
          </w:p>
          <w:p w:rsidR="00243EA6" w:rsidRDefault="00243EA6">
            <w:pPr>
              <w:rPr>
                <w:sz w:val="22"/>
                <w:szCs w:val="22"/>
                <w:lang w:bidi="en-GB"/>
              </w:rPr>
            </w:pPr>
            <w:r>
              <w:rPr>
                <w:sz w:val="22"/>
                <w:szCs w:val="22"/>
                <w:lang w:bidi="en-GB"/>
              </w:rPr>
              <w:t>Efavirenz:</w:t>
            </w:r>
          </w:p>
          <w:p w:rsidR="00243EA6" w:rsidRDefault="00243EA6">
            <w:pPr>
              <w:rPr>
                <w:sz w:val="22"/>
                <w:szCs w:val="22"/>
                <w:lang w:bidi="en-GB"/>
              </w:rPr>
            </w:pPr>
            <w:r>
              <w:rPr>
                <w:sz w:val="22"/>
                <w:szCs w:val="22"/>
                <w:lang w:bidi="en-GB"/>
              </w:rPr>
              <w:t>AUC: ↑ 21 % (↑ 10 til ↑ 34)</w:t>
            </w:r>
          </w:p>
          <w:p w:rsidR="00243EA6" w:rsidRDefault="00243EA6">
            <w:pPr>
              <w:rPr>
                <w:sz w:val="22"/>
                <w:szCs w:val="22"/>
                <w:lang w:bidi="en-GB"/>
              </w:rPr>
            </w:pPr>
            <w:r>
              <w:rPr>
                <w:sz w:val="22"/>
                <w:szCs w:val="22"/>
                <w:lang w:bidi="en-GB"/>
              </w:rPr>
              <w:t>C</w:t>
            </w:r>
            <w:r>
              <w:rPr>
                <w:sz w:val="22"/>
                <w:szCs w:val="22"/>
                <w:vertAlign w:val="subscript"/>
                <w:lang w:bidi="en-GB"/>
              </w:rPr>
              <w:t>max</w:t>
            </w:r>
            <w:r>
              <w:rPr>
                <w:sz w:val="22"/>
                <w:szCs w:val="22"/>
                <w:lang w:bidi="en-GB"/>
              </w:rPr>
              <w:t>: ↑ 14 % (↑ 4 til ↑ 26)</w:t>
            </w:r>
          </w:p>
          <w:p w:rsidR="00243EA6" w:rsidRDefault="00243EA6">
            <w:pPr>
              <w:rPr>
                <w:sz w:val="22"/>
                <w:szCs w:val="22"/>
                <w:lang w:bidi="en-GB"/>
              </w:rPr>
            </w:pPr>
            <w:r>
              <w:rPr>
                <w:sz w:val="22"/>
                <w:szCs w:val="22"/>
                <w:lang w:bidi="en-GB"/>
              </w:rPr>
              <w:t>C</w:t>
            </w:r>
            <w:r>
              <w:rPr>
                <w:sz w:val="22"/>
                <w:szCs w:val="22"/>
                <w:vertAlign w:val="subscript"/>
                <w:lang w:bidi="en-GB"/>
              </w:rPr>
              <w:t>min</w:t>
            </w:r>
            <w:r>
              <w:rPr>
                <w:sz w:val="22"/>
                <w:szCs w:val="22"/>
                <w:lang w:bidi="en-GB"/>
              </w:rPr>
              <w:t>: ↑ 25 % (↑ 7 til ↑ 46)</w:t>
            </w:r>
          </w:p>
          <w:p w:rsidR="00243EA6" w:rsidRDefault="00243EA6">
            <w:pPr>
              <w:rPr>
                <w:sz w:val="22"/>
                <w:szCs w:val="22"/>
                <w:lang w:bidi="en-GB"/>
              </w:rPr>
            </w:pPr>
            <w:r>
              <w:rPr>
                <w:sz w:val="22"/>
                <w:szCs w:val="22"/>
                <w:lang w:bidi="en-GB"/>
              </w:rPr>
              <w:t>(hæmning af CYP-medieret oxidativ metabolisme)</w:t>
            </w:r>
          </w:p>
          <w:p w:rsidR="00243EA6" w:rsidRDefault="00243EA6">
            <w:pPr>
              <w:rPr>
                <w:b/>
                <w:sz w:val="22"/>
                <w:szCs w:val="22"/>
                <w:lang w:bidi="en-GB"/>
              </w:rPr>
            </w:pPr>
          </w:p>
          <w:p w:rsidR="00243EA6" w:rsidRDefault="00243EA6">
            <w:pPr>
              <w:rPr>
                <w:sz w:val="22"/>
                <w:szCs w:val="22"/>
                <w:lang w:bidi="en-GB"/>
              </w:rPr>
            </w:pPr>
            <w:r>
              <w:rPr>
                <w:sz w:val="22"/>
                <w:szCs w:val="22"/>
                <w:lang w:bidi="en-GB"/>
              </w:rPr>
              <w:t xml:space="preserve">Når efavirenz blev givet sammen med ritonavir 500 mg eller 600 mg to gange dagligt, tåltes kombinationen ikke godt (f.eks. forekom svimmelhed, kvalme, paræstesi og forhøjede leverenzymer). Der er ikke tilstrækkelige data tilgængelige vedrørende </w:t>
            </w:r>
            <w:r>
              <w:rPr>
                <w:sz w:val="22"/>
                <w:szCs w:val="22"/>
                <w:lang w:bidi="en-GB"/>
              </w:rPr>
              <w:lastRenderedPageBreak/>
              <w:t>tolerancen over for efavirenz sammen med lavdosis ritonavir (100 mg, én eller to gange dagligt).</w:t>
            </w:r>
          </w:p>
        </w:tc>
        <w:tc>
          <w:tcPr>
            <w:tcW w:w="1573" w:type="pct"/>
            <w:vMerge w:val="restart"/>
            <w:tcBorders>
              <w:top w:val="single" w:sz="4" w:space="0" w:color="auto"/>
              <w:left w:val="single" w:sz="4" w:space="0" w:color="auto"/>
              <w:bottom w:val="single" w:sz="4" w:space="0" w:color="auto"/>
              <w:right w:val="single" w:sz="4" w:space="0" w:color="auto"/>
            </w:tcBorders>
            <w:hideMark/>
          </w:tcPr>
          <w:p w:rsidR="00243EA6" w:rsidRDefault="00243EA6">
            <w:pPr>
              <w:rPr>
                <w:sz w:val="22"/>
                <w:szCs w:val="22"/>
                <w:lang w:bidi="en-GB"/>
              </w:rPr>
            </w:pPr>
            <w:r>
              <w:rPr>
                <w:sz w:val="22"/>
                <w:szCs w:val="22"/>
                <w:lang w:bidi="en-GB"/>
              </w:rPr>
              <w:lastRenderedPageBreak/>
              <w:t>Samtidig administration af ritonavir i doser på 600 mg og Efavirenz/Emtricitabine/</w:t>
            </w:r>
          </w:p>
          <w:p w:rsidR="00243EA6" w:rsidRDefault="00243EA6">
            <w:pPr>
              <w:rPr>
                <w:sz w:val="22"/>
                <w:szCs w:val="22"/>
                <w:lang w:bidi="en-GB"/>
              </w:rPr>
            </w:pPr>
            <w:r>
              <w:rPr>
                <w:sz w:val="22"/>
                <w:szCs w:val="22"/>
                <w:lang w:bidi="en-GB"/>
              </w:rPr>
              <w:t>Tenofovir disoproxil "Glenmark" frarådes. Når Efavirenz/Emtricitabine/</w:t>
            </w:r>
          </w:p>
          <w:p w:rsidR="00243EA6" w:rsidRDefault="00243EA6">
            <w:pPr>
              <w:rPr>
                <w:sz w:val="22"/>
                <w:szCs w:val="22"/>
                <w:lang w:bidi="en-GB"/>
              </w:rPr>
            </w:pPr>
            <w:r>
              <w:rPr>
                <w:sz w:val="22"/>
                <w:szCs w:val="22"/>
                <w:lang w:bidi="en-GB"/>
              </w:rPr>
              <w:t>Tenofovir disoproxil "Glenmark" anvendes sammen med lavdosis ritonavir, bør muligheden for øget forekomst af efavirenz</w:t>
            </w:r>
            <w:r>
              <w:rPr>
                <w:sz w:val="22"/>
                <w:szCs w:val="22"/>
                <w:lang w:bidi="en-GB"/>
              </w:rPr>
              <w:noBreakHyphen/>
              <w:t>associerede bivirkninger overvejes pga. mulig farmakodynamisk interaktion.</w:t>
            </w:r>
          </w:p>
        </w:tc>
      </w:tr>
      <w:tr w:rsidR="00243EA6" w:rsidTr="00604247">
        <w:trPr>
          <w:jc w:val="center"/>
        </w:trPr>
        <w:tc>
          <w:tcPr>
            <w:tcW w:w="1977" w:type="pct"/>
            <w:tcBorders>
              <w:top w:val="dotted" w:sz="4" w:space="0" w:color="auto"/>
              <w:left w:val="single" w:sz="4" w:space="0" w:color="auto"/>
              <w:bottom w:val="dotted" w:sz="4" w:space="0" w:color="auto"/>
              <w:right w:val="single" w:sz="4" w:space="0" w:color="auto"/>
            </w:tcBorders>
            <w:hideMark/>
          </w:tcPr>
          <w:p w:rsidR="00243EA6" w:rsidRDefault="00243EA6">
            <w:pPr>
              <w:rPr>
                <w:sz w:val="22"/>
                <w:szCs w:val="22"/>
              </w:rPr>
            </w:pPr>
            <w:r>
              <w:rPr>
                <w:sz w:val="22"/>
                <w:szCs w:val="22"/>
              </w:rPr>
              <w:t>Ritonavir/emtricitabin</w:t>
            </w:r>
          </w:p>
        </w:tc>
        <w:tc>
          <w:tcPr>
            <w:tcW w:w="1450" w:type="pct"/>
            <w:tcBorders>
              <w:top w:val="dotted" w:sz="4" w:space="0" w:color="auto"/>
              <w:left w:val="single" w:sz="4" w:space="0" w:color="auto"/>
              <w:bottom w:val="dotted" w:sz="4" w:space="0" w:color="auto"/>
              <w:right w:val="single" w:sz="4" w:space="0" w:color="auto"/>
            </w:tcBorders>
            <w:hideMark/>
          </w:tcPr>
          <w:p w:rsidR="00243EA6" w:rsidRDefault="00243EA6">
            <w:pPr>
              <w:rPr>
                <w:sz w:val="22"/>
                <w:szCs w:val="22"/>
              </w:rPr>
            </w:pPr>
            <w:r>
              <w:rPr>
                <w:sz w:val="22"/>
                <w:szCs w:val="22"/>
              </w:rPr>
              <w:t>Interaktion er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EA6" w:rsidRDefault="00243EA6">
            <w:pPr>
              <w:rPr>
                <w:sz w:val="22"/>
                <w:szCs w:val="22"/>
                <w:lang w:bidi="en-GB"/>
              </w:rPr>
            </w:pPr>
          </w:p>
        </w:tc>
      </w:tr>
      <w:tr w:rsidR="00243EA6" w:rsidTr="00604247">
        <w:trPr>
          <w:jc w:val="center"/>
        </w:trPr>
        <w:tc>
          <w:tcPr>
            <w:tcW w:w="1977" w:type="pct"/>
            <w:tcBorders>
              <w:top w:val="dotted" w:sz="4" w:space="0" w:color="auto"/>
              <w:left w:val="single" w:sz="4" w:space="0" w:color="auto"/>
              <w:bottom w:val="single" w:sz="4" w:space="0" w:color="auto"/>
              <w:right w:val="single" w:sz="4" w:space="0" w:color="auto"/>
            </w:tcBorders>
            <w:hideMark/>
          </w:tcPr>
          <w:p w:rsidR="00243EA6" w:rsidRDefault="00243EA6">
            <w:pPr>
              <w:rPr>
                <w:sz w:val="22"/>
                <w:szCs w:val="22"/>
              </w:rPr>
            </w:pPr>
            <w:r>
              <w:rPr>
                <w:sz w:val="22"/>
                <w:szCs w:val="22"/>
              </w:rPr>
              <w:t>Ritonavir/tenofovirdisoproxil</w:t>
            </w:r>
          </w:p>
        </w:tc>
        <w:tc>
          <w:tcPr>
            <w:tcW w:w="1450" w:type="pct"/>
            <w:tcBorders>
              <w:top w:val="dotted" w:sz="4" w:space="0" w:color="auto"/>
              <w:left w:val="single" w:sz="4" w:space="0" w:color="auto"/>
              <w:bottom w:val="single" w:sz="4" w:space="0" w:color="auto"/>
              <w:right w:val="single" w:sz="4" w:space="0" w:color="auto"/>
            </w:tcBorders>
            <w:hideMark/>
          </w:tcPr>
          <w:p w:rsidR="00243EA6" w:rsidRDefault="00243EA6">
            <w:pPr>
              <w:rPr>
                <w:sz w:val="22"/>
                <w:szCs w:val="22"/>
              </w:rPr>
            </w:pPr>
            <w:r>
              <w:rPr>
                <w:sz w:val="22"/>
                <w:szCs w:val="22"/>
              </w:rPr>
              <w:t>Interaktion er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EA6" w:rsidRDefault="00243EA6">
            <w:pPr>
              <w:rPr>
                <w:sz w:val="22"/>
                <w:szCs w:val="22"/>
                <w:lang w:bidi="en-GB"/>
              </w:rPr>
            </w:pPr>
          </w:p>
        </w:tc>
      </w:tr>
      <w:tr w:rsidR="00243EA6" w:rsidTr="00604247">
        <w:trPr>
          <w:jc w:val="center"/>
        </w:trPr>
        <w:tc>
          <w:tcPr>
            <w:tcW w:w="1977" w:type="pct"/>
            <w:tcBorders>
              <w:top w:val="single" w:sz="4" w:space="0" w:color="auto"/>
              <w:left w:val="single" w:sz="4" w:space="0" w:color="auto"/>
              <w:bottom w:val="dotted" w:sz="4" w:space="0" w:color="auto"/>
              <w:right w:val="single" w:sz="4" w:space="0" w:color="auto"/>
            </w:tcBorders>
            <w:hideMark/>
          </w:tcPr>
          <w:p w:rsidR="00243EA6" w:rsidRDefault="00243EA6">
            <w:pPr>
              <w:rPr>
                <w:sz w:val="22"/>
                <w:szCs w:val="22"/>
              </w:rPr>
            </w:pPr>
            <w:r>
              <w:rPr>
                <w:sz w:val="22"/>
                <w:szCs w:val="22"/>
              </w:rPr>
              <w:t>Saquinavir/ritonavir/efavirenz</w:t>
            </w:r>
          </w:p>
        </w:tc>
        <w:tc>
          <w:tcPr>
            <w:tcW w:w="1450" w:type="pct"/>
            <w:tcBorders>
              <w:top w:val="single" w:sz="4" w:space="0" w:color="auto"/>
              <w:left w:val="single" w:sz="4" w:space="0" w:color="auto"/>
              <w:bottom w:val="dotted" w:sz="4" w:space="0" w:color="auto"/>
              <w:right w:val="single" w:sz="4" w:space="0" w:color="auto"/>
            </w:tcBorders>
            <w:hideMark/>
          </w:tcPr>
          <w:p w:rsidR="00243EA6" w:rsidRDefault="00243EA6">
            <w:pPr>
              <w:rPr>
                <w:sz w:val="22"/>
                <w:szCs w:val="22"/>
                <w:lang w:bidi="en-GB"/>
              </w:rPr>
            </w:pPr>
            <w:r>
              <w:rPr>
                <w:sz w:val="22"/>
                <w:szCs w:val="22"/>
                <w:lang w:bidi="en-GB"/>
              </w:rPr>
              <w:t>Interaktion er ikke undersøgt. Med hensyn til samtidig administration af efavirenz og lavdosis ritonavir i kombination med en proteasehæmmer se afsnittet om ritonavir ovenfor.</w:t>
            </w:r>
          </w:p>
        </w:tc>
        <w:tc>
          <w:tcPr>
            <w:tcW w:w="1573" w:type="pct"/>
            <w:vMerge w:val="restart"/>
            <w:tcBorders>
              <w:top w:val="single" w:sz="4" w:space="0" w:color="auto"/>
              <w:left w:val="single" w:sz="4" w:space="0" w:color="auto"/>
              <w:bottom w:val="single" w:sz="4" w:space="0" w:color="auto"/>
              <w:right w:val="single" w:sz="4" w:space="0" w:color="auto"/>
            </w:tcBorders>
            <w:hideMark/>
          </w:tcPr>
          <w:p w:rsidR="00243EA6" w:rsidRDefault="00243EA6">
            <w:pPr>
              <w:rPr>
                <w:sz w:val="22"/>
                <w:szCs w:val="22"/>
                <w:lang w:bidi="en-GB"/>
              </w:rPr>
            </w:pPr>
            <w:r>
              <w:rPr>
                <w:sz w:val="22"/>
                <w:szCs w:val="22"/>
                <w:lang w:bidi="en-GB"/>
              </w:rPr>
              <w:t>Kun utilstrækkelige data er tilgængelige til en doseringsanbefaling for saquinavir/ritonavir, når dette doseres sammen med Efavirenz/Emtricitabine/</w:t>
            </w:r>
          </w:p>
          <w:p w:rsidR="00243EA6" w:rsidRDefault="00243EA6">
            <w:pPr>
              <w:rPr>
                <w:sz w:val="22"/>
                <w:szCs w:val="22"/>
                <w:lang w:bidi="en-GB"/>
              </w:rPr>
            </w:pPr>
            <w:r>
              <w:rPr>
                <w:sz w:val="22"/>
                <w:szCs w:val="22"/>
                <w:lang w:bidi="en-GB"/>
              </w:rPr>
              <w:t>Tenofovir disoproxil "Glenmark". Samtidig administration af saquinavir/ritonavir og Efavirenz/Emtricitabine/</w:t>
            </w:r>
          </w:p>
          <w:p w:rsidR="00243EA6" w:rsidRDefault="00243EA6">
            <w:pPr>
              <w:rPr>
                <w:sz w:val="22"/>
                <w:szCs w:val="22"/>
                <w:lang w:bidi="en-GB"/>
              </w:rPr>
            </w:pPr>
            <w:r>
              <w:rPr>
                <w:sz w:val="22"/>
                <w:szCs w:val="22"/>
                <w:lang w:bidi="en-GB"/>
              </w:rPr>
              <w:t>Tenofovir disoproxil "Glenmark" frarådes. Anvendelse af Efavirenz/Emtricitabine/</w:t>
            </w:r>
          </w:p>
          <w:p w:rsidR="00243EA6" w:rsidRDefault="00243EA6">
            <w:pPr>
              <w:rPr>
                <w:sz w:val="22"/>
                <w:szCs w:val="22"/>
              </w:rPr>
            </w:pPr>
            <w:r>
              <w:rPr>
                <w:sz w:val="22"/>
                <w:szCs w:val="22"/>
                <w:lang w:bidi="en-GB"/>
              </w:rPr>
              <w:t>Tenofovir disoproxil "Glenmark" i kombination med saquinavir som den eneste protease</w:t>
            </w:r>
            <w:r>
              <w:rPr>
                <w:sz w:val="22"/>
                <w:szCs w:val="22"/>
                <w:lang w:bidi="en-GB"/>
              </w:rPr>
              <w:noBreakHyphen/>
              <w:t>hæmmer frarådes.</w:t>
            </w:r>
          </w:p>
        </w:tc>
      </w:tr>
      <w:tr w:rsidR="00243EA6" w:rsidTr="00604247">
        <w:trPr>
          <w:jc w:val="center"/>
        </w:trPr>
        <w:tc>
          <w:tcPr>
            <w:tcW w:w="1977" w:type="pct"/>
            <w:tcBorders>
              <w:top w:val="dotted" w:sz="4" w:space="0" w:color="auto"/>
              <w:left w:val="single" w:sz="4" w:space="0" w:color="auto"/>
              <w:bottom w:val="dotted" w:sz="4" w:space="0" w:color="auto"/>
              <w:right w:val="single" w:sz="4" w:space="0" w:color="auto"/>
            </w:tcBorders>
            <w:hideMark/>
          </w:tcPr>
          <w:p w:rsidR="00243EA6" w:rsidRDefault="00243EA6">
            <w:pPr>
              <w:rPr>
                <w:sz w:val="22"/>
                <w:szCs w:val="22"/>
              </w:rPr>
            </w:pPr>
            <w:r>
              <w:rPr>
                <w:sz w:val="22"/>
                <w:szCs w:val="22"/>
              </w:rPr>
              <w:t>Saquinavir/ritonavir/tenofovirdisoproxil</w:t>
            </w:r>
          </w:p>
        </w:tc>
        <w:tc>
          <w:tcPr>
            <w:tcW w:w="1450" w:type="pct"/>
            <w:tcBorders>
              <w:top w:val="dotted" w:sz="4" w:space="0" w:color="auto"/>
              <w:left w:val="single" w:sz="4" w:space="0" w:color="auto"/>
              <w:bottom w:val="dotted" w:sz="4" w:space="0" w:color="auto"/>
              <w:right w:val="single" w:sz="4" w:space="0" w:color="auto"/>
            </w:tcBorders>
            <w:hideMark/>
          </w:tcPr>
          <w:p w:rsidR="00243EA6" w:rsidRDefault="00243EA6">
            <w:pPr>
              <w:rPr>
                <w:sz w:val="22"/>
                <w:szCs w:val="22"/>
              </w:rPr>
            </w:pPr>
            <w:r>
              <w:rPr>
                <w:sz w:val="22"/>
                <w:szCs w:val="22"/>
                <w:lang w:bidi="en-GB"/>
              </w:rPr>
              <w:t>Der var ingen klinisk signifikante farmakokinetiske interaktioner, når tenofovirdisoproxil blev administreret samtidig med saquinavir forstærket med ritonavir.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EA6" w:rsidRDefault="00243EA6">
            <w:pPr>
              <w:rPr>
                <w:sz w:val="22"/>
                <w:szCs w:val="22"/>
              </w:rPr>
            </w:pPr>
          </w:p>
        </w:tc>
      </w:tr>
      <w:tr w:rsidR="00243EA6" w:rsidTr="00604247">
        <w:trPr>
          <w:jc w:val="center"/>
        </w:trPr>
        <w:tc>
          <w:tcPr>
            <w:tcW w:w="1977" w:type="pct"/>
            <w:tcBorders>
              <w:top w:val="dotted" w:sz="4" w:space="0" w:color="auto"/>
              <w:left w:val="single" w:sz="4" w:space="0" w:color="auto"/>
              <w:bottom w:val="single" w:sz="4" w:space="0" w:color="auto"/>
              <w:right w:val="single" w:sz="4" w:space="0" w:color="auto"/>
            </w:tcBorders>
            <w:hideMark/>
          </w:tcPr>
          <w:p w:rsidR="00243EA6" w:rsidRDefault="00243EA6">
            <w:pPr>
              <w:rPr>
                <w:sz w:val="22"/>
                <w:szCs w:val="22"/>
              </w:rPr>
            </w:pPr>
            <w:r>
              <w:rPr>
                <w:sz w:val="22"/>
                <w:szCs w:val="22"/>
              </w:rPr>
              <w:t>Saquinavir/ritonavir/emtricitabin</w:t>
            </w:r>
          </w:p>
        </w:tc>
        <w:tc>
          <w:tcPr>
            <w:tcW w:w="1450" w:type="pct"/>
            <w:tcBorders>
              <w:top w:val="dotted" w:sz="4" w:space="0" w:color="auto"/>
              <w:left w:val="single" w:sz="4" w:space="0" w:color="auto"/>
              <w:bottom w:val="single" w:sz="4" w:space="0" w:color="auto"/>
              <w:right w:val="single" w:sz="4" w:space="0" w:color="auto"/>
            </w:tcBorders>
            <w:hideMark/>
          </w:tcPr>
          <w:p w:rsidR="00243EA6" w:rsidRDefault="00243EA6">
            <w:pPr>
              <w:rPr>
                <w:sz w:val="22"/>
                <w:szCs w:val="22"/>
              </w:rPr>
            </w:pPr>
            <w:r>
              <w:rPr>
                <w:sz w:val="22"/>
                <w:szCs w:val="22"/>
              </w:rPr>
              <w:t>Interaktion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EA6" w:rsidRDefault="00243EA6">
            <w:pPr>
              <w:rPr>
                <w:sz w:val="22"/>
                <w:szCs w:val="22"/>
              </w:rPr>
            </w:pPr>
          </w:p>
        </w:tc>
      </w:tr>
      <w:tr w:rsidR="00243EA6" w:rsidTr="00243EA6">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243EA6" w:rsidRDefault="00243EA6">
            <w:pPr>
              <w:rPr>
                <w:sz w:val="22"/>
                <w:szCs w:val="22"/>
              </w:rPr>
            </w:pPr>
            <w:r>
              <w:rPr>
                <w:b/>
                <w:bCs/>
                <w:sz w:val="22"/>
                <w:szCs w:val="22"/>
              </w:rPr>
              <w:t>CCR5-antagonister</w:t>
            </w:r>
          </w:p>
        </w:tc>
      </w:tr>
      <w:tr w:rsidR="00243EA6" w:rsidTr="00604247">
        <w:trPr>
          <w:jc w:val="center"/>
        </w:trPr>
        <w:tc>
          <w:tcPr>
            <w:tcW w:w="1977" w:type="pct"/>
            <w:tcBorders>
              <w:top w:val="single" w:sz="4" w:space="0" w:color="auto"/>
              <w:left w:val="single" w:sz="4" w:space="0" w:color="auto"/>
              <w:bottom w:val="dotted" w:sz="4" w:space="0" w:color="auto"/>
              <w:right w:val="single" w:sz="4" w:space="0" w:color="auto"/>
            </w:tcBorders>
            <w:hideMark/>
          </w:tcPr>
          <w:p w:rsidR="00243EA6" w:rsidRDefault="00243EA6">
            <w:pPr>
              <w:rPr>
                <w:sz w:val="22"/>
                <w:szCs w:val="22"/>
              </w:rPr>
            </w:pPr>
            <w:r>
              <w:rPr>
                <w:sz w:val="22"/>
                <w:szCs w:val="22"/>
              </w:rPr>
              <w:t>Maraviroc/efavirenz</w:t>
            </w:r>
          </w:p>
          <w:p w:rsidR="00243EA6" w:rsidRDefault="00243EA6">
            <w:pPr>
              <w:rPr>
                <w:sz w:val="22"/>
                <w:szCs w:val="22"/>
              </w:rPr>
            </w:pPr>
            <w:r>
              <w:rPr>
                <w:sz w:val="22"/>
                <w:szCs w:val="22"/>
              </w:rPr>
              <w:t>(100 mg b.i.d./600 mg q.d.)</w:t>
            </w:r>
          </w:p>
        </w:tc>
        <w:tc>
          <w:tcPr>
            <w:tcW w:w="1450" w:type="pct"/>
            <w:tcBorders>
              <w:top w:val="single" w:sz="4" w:space="0" w:color="auto"/>
              <w:left w:val="single" w:sz="4" w:space="0" w:color="auto"/>
              <w:bottom w:val="dotted" w:sz="4" w:space="0" w:color="auto"/>
              <w:right w:val="single" w:sz="4" w:space="0" w:color="auto"/>
            </w:tcBorders>
            <w:hideMark/>
          </w:tcPr>
          <w:p w:rsidR="00243EA6" w:rsidRDefault="00243EA6">
            <w:pPr>
              <w:rPr>
                <w:sz w:val="22"/>
                <w:szCs w:val="22"/>
              </w:rPr>
            </w:pPr>
            <w:r>
              <w:rPr>
                <w:sz w:val="22"/>
                <w:szCs w:val="22"/>
              </w:rPr>
              <w:t>Maraviroc:</w:t>
            </w:r>
          </w:p>
          <w:p w:rsidR="00243EA6" w:rsidRDefault="00243EA6">
            <w:pPr>
              <w:rPr>
                <w:sz w:val="22"/>
                <w:szCs w:val="22"/>
              </w:rPr>
            </w:pPr>
            <w:r>
              <w:rPr>
                <w:sz w:val="22"/>
                <w:szCs w:val="22"/>
              </w:rPr>
              <w:t>AUC</w:t>
            </w:r>
            <w:r>
              <w:rPr>
                <w:sz w:val="22"/>
                <w:szCs w:val="22"/>
                <w:vertAlign w:val="subscript"/>
              </w:rPr>
              <w:t>12t</w:t>
            </w:r>
            <w:r>
              <w:rPr>
                <w:sz w:val="22"/>
                <w:szCs w:val="22"/>
              </w:rPr>
              <w:t>: ↓ 45 % (↓ 38 til ↓ 51)</w:t>
            </w:r>
          </w:p>
          <w:p w:rsidR="00243EA6" w:rsidRDefault="00243EA6">
            <w:pPr>
              <w:rPr>
                <w:sz w:val="22"/>
                <w:szCs w:val="22"/>
              </w:rPr>
            </w:pPr>
            <w:r>
              <w:rPr>
                <w:sz w:val="22"/>
                <w:szCs w:val="22"/>
              </w:rPr>
              <w:t>C</w:t>
            </w:r>
            <w:r>
              <w:rPr>
                <w:sz w:val="22"/>
                <w:szCs w:val="22"/>
                <w:vertAlign w:val="subscript"/>
              </w:rPr>
              <w:t>max</w:t>
            </w:r>
            <w:r>
              <w:rPr>
                <w:sz w:val="22"/>
                <w:szCs w:val="22"/>
              </w:rPr>
              <w:t>: ↓ 51 % (↓ 37 til ↓ 62)</w:t>
            </w:r>
          </w:p>
          <w:p w:rsidR="00243EA6" w:rsidRDefault="00243EA6">
            <w:pPr>
              <w:rPr>
                <w:sz w:val="22"/>
                <w:szCs w:val="22"/>
              </w:rPr>
            </w:pPr>
            <w:r>
              <w:rPr>
                <w:sz w:val="22"/>
                <w:szCs w:val="22"/>
                <w:lang w:bidi="en-GB"/>
              </w:rPr>
              <w:t>Efavirenzkoncentrationer er ikke målt, der forventes ingen virkning.</w:t>
            </w:r>
          </w:p>
        </w:tc>
        <w:tc>
          <w:tcPr>
            <w:tcW w:w="1573" w:type="pct"/>
            <w:vMerge w:val="restart"/>
            <w:tcBorders>
              <w:top w:val="single" w:sz="4" w:space="0" w:color="auto"/>
              <w:left w:val="single" w:sz="4" w:space="0" w:color="auto"/>
              <w:bottom w:val="single" w:sz="4" w:space="0" w:color="auto"/>
              <w:right w:val="single" w:sz="4" w:space="0" w:color="auto"/>
            </w:tcBorders>
            <w:hideMark/>
          </w:tcPr>
          <w:p w:rsidR="00243EA6" w:rsidRDefault="00243EA6">
            <w:pPr>
              <w:rPr>
                <w:sz w:val="22"/>
                <w:szCs w:val="22"/>
              </w:rPr>
            </w:pPr>
            <w:r>
              <w:rPr>
                <w:sz w:val="22"/>
                <w:szCs w:val="22"/>
                <w:lang w:bidi="en-GB"/>
              </w:rPr>
              <w:t>Se produktresuméet for det lægemiddel, der indeholder maraviroc.</w:t>
            </w:r>
          </w:p>
        </w:tc>
      </w:tr>
      <w:tr w:rsidR="00243EA6" w:rsidTr="00604247">
        <w:trPr>
          <w:jc w:val="center"/>
        </w:trPr>
        <w:tc>
          <w:tcPr>
            <w:tcW w:w="1977" w:type="pct"/>
            <w:tcBorders>
              <w:top w:val="dotted" w:sz="4" w:space="0" w:color="auto"/>
              <w:left w:val="single" w:sz="4" w:space="0" w:color="auto"/>
              <w:bottom w:val="dotted" w:sz="4" w:space="0" w:color="auto"/>
              <w:right w:val="single" w:sz="4" w:space="0" w:color="auto"/>
            </w:tcBorders>
            <w:hideMark/>
          </w:tcPr>
          <w:p w:rsidR="00243EA6" w:rsidRDefault="00243EA6">
            <w:pPr>
              <w:rPr>
                <w:sz w:val="22"/>
                <w:szCs w:val="22"/>
              </w:rPr>
            </w:pPr>
            <w:r>
              <w:rPr>
                <w:sz w:val="22"/>
                <w:szCs w:val="22"/>
              </w:rPr>
              <w:t>Maraviroc/tenofovirdisoproxil</w:t>
            </w:r>
          </w:p>
          <w:p w:rsidR="00243EA6" w:rsidRDefault="00243EA6">
            <w:pPr>
              <w:rPr>
                <w:sz w:val="22"/>
                <w:szCs w:val="22"/>
              </w:rPr>
            </w:pPr>
            <w:r>
              <w:rPr>
                <w:sz w:val="22"/>
                <w:szCs w:val="22"/>
              </w:rPr>
              <w:t>(300 mg b.i.d./245 mg q.d.)</w:t>
            </w:r>
          </w:p>
        </w:tc>
        <w:tc>
          <w:tcPr>
            <w:tcW w:w="1450" w:type="pct"/>
            <w:tcBorders>
              <w:top w:val="dotted" w:sz="4" w:space="0" w:color="auto"/>
              <w:left w:val="single" w:sz="4" w:space="0" w:color="auto"/>
              <w:bottom w:val="dotted" w:sz="4" w:space="0" w:color="auto"/>
              <w:right w:val="single" w:sz="4" w:space="0" w:color="auto"/>
            </w:tcBorders>
            <w:hideMark/>
          </w:tcPr>
          <w:p w:rsidR="00243EA6" w:rsidRDefault="00243EA6">
            <w:pPr>
              <w:rPr>
                <w:sz w:val="22"/>
                <w:szCs w:val="22"/>
              </w:rPr>
            </w:pPr>
            <w:r>
              <w:rPr>
                <w:sz w:val="22"/>
                <w:szCs w:val="22"/>
              </w:rPr>
              <w:t>Maraviroc:</w:t>
            </w:r>
          </w:p>
          <w:p w:rsidR="00243EA6" w:rsidRDefault="00243EA6">
            <w:pPr>
              <w:rPr>
                <w:sz w:val="22"/>
                <w:szCs w:val="22"/>
              </w:rPr>
            </w:pPr>
            <w:r>
              <w:rPr>
                <w:sz w:val="22"/>
                <w:szCs w:val="22"/>
              </w:rPr>
              <w:t>AUC</w:t>
            </w:r>
            <w:r>
              <w:rPr>
                <w:sz w:val="22"/>
                <w:szCs w:val="22"/>
                <w:vertAlign w:val="subscript"/>
              </w:rPr>
              <w:t>12t</w:t>
            </w:r>
            <w:r>
              <w:rPr>
                <w:sz w:val="22"/>
                <w:szCs w:val="22"/>
              </w:rPr>
              <w:t>: ↔</w:t>
            </w:r>
          </w:p>
          <w:p w:rsidR="00243EA6" w:rsidRDefault="00243EA6">
            <w:pPr>
              <w:rPr>
                <w:sz w:val="22"/>
                <w:szCs w:val="22"/>
              </w:rPr>
            </w:pPr>
            <w:r>
              <w:rPr>
                <w:sz w:val="22"/>
                <w:szCs w:val="22"/>
              </w:rPr>
              <w:t>C</w:t>
            </w:r>
            <w:r>
              <w:rPr>
                <w:sz w:val="22"/>
                <w:szCs w:val="22"/>
                <w:vertAlign w:val="subscript"/>
              </w:rPr>
              <w:t>max</w:t>
            </w:r>
            <w:r>
              <w:rPr>
                <w:sz w:val="22"/>
                <w:szCs w:val="22"/>
              </w:rPr>
              <w:t>: ↔</w:t>
            </w:r>
          </w:p>
          <w:p w:rsidR="00243EA6" w:rsidRDefault="00243EA6">
            <w:pPr>
              <w:rPr>
                <w:sz w:val="22"/>
                <w:szCs w:val="22"/>
              </w:rPr>
            </w:pPr>
            <w:r>
              <w:rPr>
                <w:sz w:val="22"/>
                <w:szCs w:val="22"/>
                <w:lang w:bidi="en-GB"/>
              </w:rPr>
              <w:t>Efavirenzkoncentrationer er ikke målt, der forventes ingen virkning.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EA6" w:rsidRDefault="00243EA6">
            <w:pPr>
              <w:rPr>
                <w:sz w:val="22"/>
                <w:szCs w:val="22"/>
              </w:rPr>
            </w:pPr>
          </w:p>
        </w:tc>
      </w:tr>
      <w:tr w:rsidR="00243EA6" w:rsidTr="00604247">
        <w:trPr>
          <w:jc w:val="center"/>
        </w:trPr>
        <w:tc>
          <w:tcPr>
            <w:tcW w:w="1977" w:type="pct"/>
            <w:tcBorders>
              <w:top w:val="dotted" w:sz="4" w:space="0" w:color="auto"/>
              <w:left w:val="single" w:sz="4" w:space="0" w:color="auto"/>
              <w:bottom w:val="single" w:sz="4" w:space="0" w:color="auto"/>
              <w:right w:val="single" w:sz="4" w:space="0" w:color="auto"/>
            </w:tcBorders>
            <w:hideMark/>
          </w:tcPr>
          <w:p w:rsidR="00243EA6" w:rsidRDefault="00243EA6">
            <w:pPr>
              <w:rPr>
                <w:sz w:val="22"/>
                <w:szCs w:val="22"/>
              </w:rPr>
            </w:pPr>
            <w:r>
              <w:rPr>
                <w:sz w:val="22"/>
                <w:szCs w:val="22"/>
              </w:rPr>
              <w:t>Maraviroc/emtricitabin</w:t>
            </w:r>
          </w:p>
        </w:tc>
        <w:tc>
          <w:tcPr>
            <w:tcW w:w="1450" w:type="pct"/>
            <w:tcBorders>
              <w:top w:val="dotted" w:sz="4" w:space="0" w:color="auto"/>
              <w:left w:val="single" w:sz="4" w:space="0" w:color="auto"/>
              <w:bottom w:val="single" w:sz="4" w:space="0" w:color="auto"/>
              <w:right w:val="single" w:sz="4" w:space="0" w:color="auto"/>
            </w:tcBorders>
            <w:hideMark/>
          </w:tcPr>
          <w:p w:rsidR="00243EA6" w:rsidRDefault="00243EA6">
            <w:pPr>
              <w:rPr>
                <w:sz w:val="22"/>
                <w:szCs w:val="22"/>
              </w:rPr>
            </w:pPr>
            <w:r>
              <w:rPr>
                <w:sz w:val="22"/>
                <w:szCs w:val="22"/>
              </w:rPr>
              <w:t>Interaktion er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EA6" w:rsidRDefault="00243EA6">
            <w:pPr>
              <w:rPr>
                <w:sz w:val="22"/>
                <w:szCs w:val="22"/>
              </w:rPr>
            </w:pPr>
          </w:p>
        </w:tc>
      </w:tr>
      <w:tr w:rsidR="00243EA6" w:rsidTr="00243EA6">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243EA6" w:rsidRDefault="00243EA6">
            <w:pPr>
              <w:rPr>
                <w:sz w:val="22"/>
                <w:szCs w:val="22"/>
              </w:rPr>
            </w:pPr>
            <w:r>
              <w:rPr>
                <w:b/>
                <w:sz w:val="22"/>
                <w:szCs w:val="22"/>
                <w:lang w:bidi="en-GB"/>
              </w:rPr>
              <w:t xml:space="preserve">Integrase </w:t>
            </w:r>
            <w:r>
              <w:rPr>
                <w:b/>
                <w:i/>
                <w:sz w:val="22"/>
                <w:szCs w:val="22"/>
                <w:lang w:bidi="en-GB"/>
              </w:rPr>
              <w:t>strand transfer</w:t>
            </w:r>
            <w:r>
              <w:rPr>
                <w:b/>
                <w:sz w:val="22"/>
                <w:szCs w:val="22"/>
                <w:lang w:bidi="en-GB"/>
              </w:rPr>
              <w:t>-hæmmer</w:t>
            </w:r>
          </w:p>
        </w:tc>
      </w:tr>
      <w:tr w:rsidR="00243EA6" w:rsidTr="00604247">
        <w:trPr>
          <w:jc w:val="center"/>
        </w:trPr>
        <w:tc>
          <w:tcPr>
            <w:tcW w:w="1977" w:type="pct"/>
            <w:tcBorders>
              <w:top w:val="single" w:sz="4" w:space="0" w:color="auto"/>
              <w:left w:val="single" w:sz="4" w:space="0" w:color="auto"/>
              <w:bottom w:val="dotted" w:sz="4" w:space="0" w:color="auto"/>
              <w:right w:val="single" w:sz="4" w:space="0" w:color="auto"/>
            </w:tcBorders>
            <w:hideMark/>
          </w:tcPr>
          <w:p w:rsidR="00243EA6" w:rsidRDefault="00243EA6">
            <w:pPr>
              <w:rPr>
                <w:sz w:val="22"/>
                <w:szCs w:val="22"/>
              </w:rPr>
            </w:pPr>
            <w:r>
              <w:rPr>
                <w:sz w:val="22"/>
                <w:szCs w:val="22"/>
              </w:rPr>
              <w:t>Raltegravir/efavirenz</w:t>
            </w:r>
          </w:p>
          <w:p w:rsidR="00243EA6" w:rsidRDefault="00243EA6">
            <w:pPr>
              <w:rPr>
                <w:sz w:val="22"/>
                <w:szCs w:val="22"/>
              </w:rPr>
            </w:pPr>
            <w:r>
              <w:rPr>
                <w:sz w:val="22"/>
                <w:szCs w:val="22"/>
              </w:rPr>
              <w:t>(400 mg enkeltdosis/-)</w:t>
            </w:r>
          </w:p>
        </w:tc>
        <w:tc>
          <w:tcPr>
            <w:tcW w:w="1450" w:type="pct"/>
            <w:tcBorders>
              <w:top w:val="single" w:sz="4" w:space="0" w:color="auto"/>
              <w:left w:val="single" w:sz="4" w:space="0" w:color="auto"/>
              <w:bottom w:val="dotted" w:sz="4" w:space="0" w:color="auto"/>
              <w:right w:val="single" w:sz="4" w:space="0" w:color="auto"/>
            </w:tcBorders>
            <w:hideMark/>
          </w:tcPr>
          <w:p w:rsidR="00243EA6" w:rsidRDefault="00243EA6">
            <w:pPr>
              <w:rPr>
                <w:sz w:val="22"/>
                <w:szCs w:val="22"/>
              </w:rPr>
            </w:pPr>
            <w:r>
              <w:rPr>
                <w:sz w:val="22"/>
                <w:szCs w:val="22"/>
              </w:rPr>
              <w:t>Raltegravir:</w:t>
            </w:r>
          </w:p>
          <w:p w:rsidR="00243EA6" w:rsidRDefault="00243EA6">
            <w:pPr>
              <w:rPr>
                <w:sz w:val="22"/>
                <w:szCs w:val="22"/>
              </w:rPr>
            </w:pPr>
            <w:r>
              <w:rPr>
                <w:sz w:val="22"/>
                <w:szCs w:val="22"/>
              </w:rPr>
              <w:t>AUC: ↓ 36 %</w:t>
            </w:r>
          </w:p>
          <w:p w:rsidR="00243EA6" w:rsidRDefault="00243EA6">
            <w:pPr>
              <w:rPr>
                <w:sz w:val="22"/>
                <w:szCs w:val="22"/>
              </w:rPr>
            </w:pPr>
            <w:r>
              <w:rPr>
                <w:sz w:val="22"/>
                <w:szCs w:val="22"/>
              </w:rPr>
              <w:t>C</w:t>
            </w:r>
            <w:r>
              <w:rPr>
                <w:sz w:val="22"/>
                <w:szCs w:val="22"/>
                <w:vertAlign w:val="subscript"/>
              </w:rPr>
              <w:t>12t</w:t>
            </w:r>
            <w:r>
              <w:rPr>
                <w:sz w:val="22"/>
                <w:szCs w:val="22"/>
              </w:rPr>
              <w:t>: ↓ 21 %</w:t>
            </w:r>
          </w:p>
          <w:p w:rsidR="00243EA6" w:rsidRDefault="00243EA6">
            <w:pPr>
              <w:rPr>
                <w:sz w:val="22"/>
                <w:szCs w:val="22"/>
              </w:rPr>
            </w:pPr>
            <w:r>
              <w:rPr>
                <w:sz w:val="22"/>
                <w:szCs w:val="22"/>
              </w:rPr>
              <w:lastRenderedPageBreak/>
              <w:t>C</w:t>
            </w:r>
            <w:r>
              <w:rPr>
                <w:sz w:val="22"/>
                <w:szCs w:val="22"/>
                <w:vertAlign w:val="subscript"/>
              </w:rPr>
              <w:t>max</w:t>
            </w:r>
            <w:r>
              <w:rPr>
                <w:sz w:val="22"/>
                <w:szCs w:val="22"/>
              </w:rPr>
              <w:t>: ↓ 36 %</w:t>
            </w:r>
          </w:p>
          <w:p w:rsidR="00243EA6" w:rsidRDefault="00243EA6">
            <w:pPr>
              <w:rPr>
                <w:sz w:val="22"/>
                <w:szCs w:val="22"/>
              </w:rPr>
            </w:pPr>
            <w:r>
              <w:rPr>
                <w:sz w:val="22"/>
                <w:szCs w:val="22"/>
              </w:rPr>
              <w:t>(UGT1A1</w:t>
            </w:r>
            <w:r>
              <w:rPr>
                <w:sz w:val="22"/>
                <w:szCs w:val="22"/>
              </w:rPr>
              <w:noBreakHyphen/>
              <w:t>induktion)</w:t>
            </w:r>
          </w:p>
        </w:tc>
        <w:tc>
          <w:tcPr>
            <w:tcW w:w="1573" w:type="pct"/>
            <w:vMerge w:val="restart"/>
            <w:tcBorders>
              <w:top w:val="single" w:sz="4" w:space="0" w:color="auto"/>
              <w:left w:val="single" w:sz="4" w:space="0" w:color="auto"/>
              <w:bottom w:val="single" w:sz="4" w:space="0" w:color="auto"/>
              <w:right w:val="single" w:sz="4" w:space="0" w:color="auto"/>
            </w:tcBorders>
            <w:hideMark/>
          </w:tcPr>
          <w:p w:rsidR="00243EA6" w:rsidRDefault="00243EA6">
            <w:pPr>
              <w:rPr>
                <w:sz w:val="22"/>
                <w:szCs w:val="22"/>
                <w:lang w:bidi="en-GB"/>
              </w:rPr>
            </w:pPr>
            <w:r>
              <w:rPr>
                <w:sz w:val="22"/>
                <w:szCs w:val="22"/>
                <w:lang w:bidi="en-GB"/>
              </w:rPr>
              <w:lastRenderedPageBreak/>
              <w:t>Efavirenz/Emtricitabine/</w:t>
            </w:r>
          </w:p>
          <w:p w:rsidR="00243EA6" w:rsidRDefault="00243EA6">
            <w:pPr>
              <w:rPr>
                <w:sz w:val="22"/>
                <w:szCs w:val="22"/>
              </w:rPr>
            </w:pPr>
            <w:r>
              <w:rPr>
                <w:sz w:val="22"/>
                <w:szCs w:val="22"/>
                <w:lang w:bidi="en-GB"/>
              </w:rPr>
              <w:t>Tenofovir disoproxil "Glenmark"</w:t>
            </w:r>
            <w:r>
              <w:rPr>
                <w:sz w:val="22"/>
                <w:szCs w:val="22"/>
              </w:rPr>
              <w:t xml:space="preserve"> og raltegravir kan </w:t>
            </w:r>
            <w:r>
              <w:rPr>
                <w:sz w:val="22"/>
                <w:szCs w:val="22"/>
              </w:rPr>
              <w:lastRenderedPageBreak/>
              <w:t>administreres samtidigt uden dosisjustering.</w:t>
            </w:r>
          </w:p>
        </w:tc>
      </w:tr>
      <w:tr w:rsidR="00243EA6" w:rsidTr="00604247">
        <w:trPr>
          <w:jc w:val="center"/>
        </w:trPr>
        <w:tc>
          <w:tcPr>
            <w:tcW w:w="1977" w:type="pct"/>
            <w:tcBorders>
              <w:top w:val="dotted" w:sz="4" w:space="0" w:color="auto"/>
              <w:left w:val="single" w:sz="4" w:space="0" w:color="auto"/>
              <w:bottom w:val="dotted" w:sz="4" w:space="0" w:color="auto"/>
              <w:right w:val="single" w:sz="4" w:space="0" w:color="auto"/>
            </w:tcBorders>
            <w:hideMark/>
          </w:tcPr>
          <w:p w:rsidR="00243EA6" w:rsidRPr="00243EA6" w:rsidRDefault="00243EA6">
            <w:pPr>
              <w:rPr>
                <w:sz w:val="22"/>
                <w:szCs w:val="22"/>
                <w:lang w:val="es-ES"/>
              </w:rPr>
            </w:pPr>
            <w:r w:rsidRPr="00243EA6">
              <w:rPr>
                <w:sz w:val="22"/>
                <w:szCs w:val="22"/>
                <w:lang w:val="es-ES"/>
              </w:rPr>
              <w:lastRenderedPageBreak/>
              <w:t>Raltegravir/tenofovirdisoproxil</w:t>
            </w:r>
          </w:p>
          <w:p w:rsidR="00243EA6" w:rsidRPr="00243EA6" w:rsidRDefault="00243EA6">
            <w:pPr>
              <w:rPr>
                <w:sz w:val="22"/>
                <w:szCs w:val="22"/>
                <w:lang w:val="es-ES"/>
              </w:rPr>
            </w:pPr>
            <w:r w:rsidRPr="00243EA6">
              <w:rPr>
                <w:sz w:val="22"/>
                <w:szCs w:val="22"/>
                <w:lang w:val="es-ES"/>
              </w:rPr>
              <w:t>(400 mg b.i.d./-)</w:t>
            </w:r>
          </w:p>
        </w:tc>
        <w:tc>
          <w:tcPr>
            <w:tcW w:w="1450" w:type="pct"/>
            <w:tcBorders>
              <w:top w:val="dotted" w:sz="4" w:space="0" w:color="auto"/>
              <w:left w:val="single" w:sz="4" w:space="0" w:color="auto"/>
              <w:bottom w:val="dotted" w:sz="4" w:space="0" w:color="auto"/>
              <w:right w:val="single" w:sz="4" w:space="0" w:color="auto"/>
            </w:tcBorders>
          </w:tcPr>
          <w:p w:rsidR="00243EA6" w:rsidRDefault="00243EA6">
            <w:pPr>
              <w:rPr>
                <w:sz w:val="22"/>
                <w:szCs w:val="22"/>
              </w:rPr>
            </w:pPr>
            <w:r>
              <w:rPr>
                <w:sz w:val="22"/>
                <w:szCs w:val="22"/>
              </w:rPr>
              <w:t>Raltegravir:</w:t>
            </w:r>
          </w:p>
          <w:p w:rsidR="00243EA6" w:rsidRDefault="00243EA6">
            <w:pPr>
              <w:rPr>
                <w:sz w:val="22"/>
                <w:szCs w:val="22"/>
              </w:rPr>
            </w:pPr>
            <w:r>
              <w:rPr>
                <w:sz w:val="22"/>
                <w:szCs w:val="22"/>
              </w:rPr>
              <w:t>AUC: ↑ 49 %</w:t>
            </w:r>
          </w:p>
          <w:p w:rsidR="00243EA6" w:rsidRDefault="00243EA6">
            <w:pPr>
              <w:rPr>
                <w:sz w:val="22"/>
                <w:szCs w:val="22"/>
              </w:rPr>
            </w:pPr>
            <w:r>
              <w:rPr>
                <w:sz w:val="22"/>
                <w:szCs w:val="22"/>
              </w:rPr>
              <w:t>C</w:t>
            </w:r>
            <w:r>
              <w:rPr>
                <w:sz w:val="22"/>
                <w:szCs w:val="22"/>
                <w:vertAlign w:val="subscript"/>
              </w:rPr>
              <w:t>12t</w:t>
            </w:r>
            <w:r>
              <w:rPr>
                <w:sz w:val="22"/>
                <w:szCs w:val="22"/>
              </w:rPr>
              <w:t>: ↑ 3 %</w:t>
            </w:r>
          </w:p>
          <w:p w:rsidR="00243EA6" w:rsidRDefault="00243EA6">
            <w:pPr>
              <w:rPr>
                <w:sz w:val="22"/>
                <w:szCs w:val="22"/>
              </w:rPr>
            </w:pPr>
            <w:r>
              <w:rPr>
                <w:sz w:val="22"/>
                <w:szCs w:val="22"/>
              </w:rPr>
              <w:t>C</w:t>
            </w:r>
            <w:r>
              <w:rPr>
                <w:sz w:val="22"/>
                <w:szCs w:val="22"/>
                <w:vertAlign w:val="subscript"/>
              </w:rPr>
              <w:t>max</w:t>
            </w:r>
            <w:r>
              <w:rPr>
                <w:sz w:val="22"/>
                <w:szCs w:val="22"/>
              </w:rPr>
              <w:t>: ↑ 64 %</w:t>
            </w:r>
          </w:p>
          <w:p w:rsidR="00243EA6" w:rsidRDefault="00243EA6">
            <w:pPr>
              <w:rPr>
                <w:sz w:val="22"/>
                <w:szCs w:val="22"/>
              </w:rPr>
            </w:pPr>
            <w:r>
              <w:rPr>
                <w:sz w:val="22"/>
                <w:szCs w:val="22"/>
              </w:rPr>
              <w:t>(interaktionsmekanismen er ukendt)</w:t>
            </w:r>
          </w:p>
          <w:p w:rsidR="00243EA6" w:rsidRDefault="00243EA6">
            <w:pPr>
              <w:rPr>
                <w:sz w:val="22"/>
                <w:szCs w:val="22"/>
              </w:rPr>
            </w:pPr>
          </w:p>
          <w:p w:rsidR="00243EA6" w:rsidRDefault="00243EA6">
            <w:pPr>
              <w:rPr>
                <w:sz w:val="22"/>
                <w:szCs w:val="22"/>
              </w:rPr>
            </w:pPr>
            <w:r>
              <w:rPr>
                <w:sz w:val="22"/>
                <w:szCs w:val="22"/>
              </w:rPr>
              <w:t>Tenofovir:</w:t>
            </w:r>
          </w:p>
          <w:p w:rsidR="00243EA6" w:rsidRDefault="00243EA6">
            <w:pPr>
              <w:rPr>
                <w:sz w:val="22"/>
                <w:szCs w:val="22"/>
              </w:rPr>
            </w:pPr>
            <w:r>
              <w:rPr>
                <w:sz w:val="22"/>
                <w:szCs w:val="22"/>
              </w:rPr>
              <w:t>AUC: ↓ 10 %</w:t>
            </w:r>
          </w:p>
          <w:p w:rsidR="00243EA6" w:rsidRDefault="00243EA6">
            <w:pPr>
              <w:rPr>
                <w:sz w:val="22"/>
                <w:szCs w:val="22"/>
              </w:rPr>
            </w:pPr>
            <w:r>
              <w:rPr>
                <w:sz w:val="22"/>
                <w:szCs w:val="22"/>
              </w:rPr>
              <w:t>C</w:t>
            </w:r>
            <w:r>
              <w:rPr>
                <w:sz w:val="22"/>
                <w:szCs w:val="22"/>
                <w:vertAlign w:val="subscript"/>
              </w:rPr>
              <w:t>12t</w:t>
            </w:r>
            <w:r>
              <w:rPr>
                <w:sz w:val="22"/>
                <w:szCs w:val="22"/>
              </w:rPr>
              <w:t>: ↓ 13 %</w:t>
            </w:r>
          </w:p>
          <w:p w:rsidR="00243EA6" w:rsidRDefault="00243EA6">
            <w:pPr>
              <w:rPr>
                <w:sz w:val="22"/>
                <w:szCs w:val="22"/>
              </w:rPr>
            </w:pPr>
            <w:r>
              <w:rPr>
                <w:sz w:val="22"/>
                <w:szCs w:val="22"/>
              </w:rPr>
              <w:t>C</w:t>
            </w:r>
            <w:r>
              <w:rPr>
                <w:sz w:val="22"/>
                <w:szCs w:val="22"/>
                <w:vertAlign w:val="subscript"/>
              </w:rPr>
              <w:t>max</w:t>
            </w:r>
            <w:r>
              <w:rPr>
                <w:sz w:val="22"/>
                <w:szCs w:val="22"/>
              </w:rPr>
              <w:t>: ↓ 23 %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EA6" w:rsidRDefault="00243EA6">
            <w:pPr>
              <w:rPr>
                <w:sz w:val="22"/>
                <w:szCs w:val="22"/>
              </w:rPr>
            </w:pPr>
          </w:p>
        </w:tc>
      </w:tr>
      <w:tr w:rsidR="00243EA6" w:rsidTr="00604247">
        <w:trPr>
          <w:jc w:val="center"/>
        </w:trPr>
        <w:tc>
          <w:tcPr>
            <w:tcW w:w="1977" w:type="pct"/>
            <w:tcBorders>
              <w:top w:val="dotted" w:sz="4" w:space="0" w:color="auto"/>
              <w:left w:val="single" w:sz="4" w:space="0" w:color="auto"/>
              <w:bottom w:val="single" w:sz="4" w:space="0" w:color="auto"/>
              <w:right w:val="single" w:sz="4" w:space="0" w:color="auto"/>
            </w:tcBorders>
            <w:hideMark/>
          </w:tcPr>
          <w:p w:rsidR="00243EA6" w:rsidRDefault="00243EA6">
            <w:pPr>
              <w:rPr>
                <w:sz w:val="22"/>
                <w:szCs w:val="22"/>
              </w:rPr>
            </w:pPr>
            <w:r>
              <w:rPr>
                <w:sz w:val="22"/>
                <w:szCs w:val="22"/>
              </w:rPr>
              <w:t>Raltegravir/emtricitabin</w:t>
            </w:r>
          </w:p>
        </w:tc>
        <w:tc>
          <w:tcPr>
            <w:tcW w:w="1450" w:type="pct"/>
            <w:tcBorders>
              <w:top w:val="dotted" w:sz="4" w:space="0" w:color="auto"/>
              <w:left w:val="single" w:sz="4" w:space="0" w:color="auto"/>
              <w:bottom w:val="single" w:sz="4" w:space="0" w:color="auto"/>
              <w:right w:val="single" w:sz="4" w:space="0" w:color="auto"/>
            </w:tcBorders>
            <w:hideMark/>
          </w:tcPr>
          <w:p w:rsidR="00243EA6" w:rsidRDefault="00243EA6">
            <w:pPr>
              <w:rPr>
                <w:sz w:val="22"/>
                <w:szCs w:val="22"/>
              </w:rPr>
            </w:pPr>
            <w:r>
              <w:rPr>
                <w:sz w:val="22"/>
                <w:szCs w:val="22"/>
              </w:rPr>
              <w:t>Interaktion er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EA6" w:rsidRDefault="00243EA6">
            <w:pPr>
              <w:rPr>
                <w:sz w:val="22"/>
                <w:szCs w:val="22"/>
              </w:rPr>
            </w:pPr>
          </w:p>
        </w:tc>
      </w:tr>
      <w:tr w:rsidR="00243EA6" w:rsidTr="00243EA6">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243EA6" w:rsidRDefault="00243EA6">
            <w:pPr>
              <w:rPr>
                <w:sz w:val="22"/>
                <w:szCs w:val="22"/>
              </w:rPr>
            </w:pPr>
            <w:r>
              <w:rPr>
                <w:b/>
                <w:bCs/>
                <w:sz w:val="22"/>
                <w:szCs w:val="22"/>
              </w:rPr>
              <w:t>NRTI’er og NNRTI’er</w:t>
            </w:r>
          </w:p>
        </w:tc>
      </w:tr>
      <w:tr w:rsidR="00243EA6" w:rsidTr="00604247">
        <w:trPr>
          <w:jc w:val="center"/>
        </w:trPr>
        <w:tc>
          <w:tcPr>
            <w:tcW w:w="1977" w:type="pct"/>
            <w:tcBorders>
              <w:top w:val="single" w:sz="4" w:space="0" w:color="auto"/>
              <w:left w:val="single" w:sz="4" w:space="0" w:color="auto"/>
              <w:bottom w:val="single" w:sz="4" w:space="0" w:color="auto"/>
              <w:right w:val="single" w:sz="4" w:space="0" w:color="auto"/>
            </w:tcBorders>
            <w:hideMark/>
          </w:tcPr>
          <w:p w:rsidR="00243EA6" w:rsidRDefault="00243EA6">
            <w:pPr>
              <w:rPr>
                <w:sz w:val="22"/>
                <w:szCs w:val="22"/>
              </w:rPr>
            </w:pPr>
            <w:r>
              <w:rPr>
                <w:sz w:val="22"/>
                <w:szCs w:val="22"/>
              </w:rPr>
              <w:t>NRTI’er/efavirenz</w:t>
            </w:r>
          </w:p>
        </w:tc>
        <w:tc>
          <w:tcPr>
            <w:tcW w:w="1450" w:type="pct"/>
            <w:tcBorders>
              <w:top w:val="single" w:sz="4" w:space="0" w:color="auto"/>
              <w:left w:val="single" w:sz="4" w:space="0" w:color="auto"/>
              <w:bottom w:val="single" w:sz="4" w:space="0" w:color="auto"/>
              <w:right w:val="single" w:sz="4" w:space="0" w:color="auto"/>
            </w:tcBorders>
            <w:hideMark/>
          </w:tcPr>
          <w:p w:rsidR="00243EA6" w:rsidRDefault="00243EA6">
            <w:pPr>
              <w:rPr>
                <w:sz w:val="22"/>
                <w:szCs w:val="22"/>
                <w:lang w:bidi="en-GB"/>
              </w:rPr>
            </w:pPr>
            <w:r>
              <w:rPr>
                <w:sz w:val="22"/>
                <w:szCs w:val="22"/>
                <w:lang w:bidi="en-GB"/>
              </w:rPr>
              <w:t>Der er ikke udført specifikke interaktionsstudier med efavirenz og NRTI’er bortset fra lamivudin, zidovudin og tenofovirdisoproxil. Klinisk signifikante interaktioner blev ikke fundet og forventes ikke, da NRTI’er metaboliseres via en anden vej end efavirenz, og det ville være usandsynligt, at de ville konkurrere om de samme metaboliske enzymer og eliminationsveje.</w:t>
            </w:r>
          </w:p>
        </w:tc>
        <w:tc>
          <w:tcPr>
            <w:tcW w:w="1573" w:type="pct"/>
            <w:tcBorders>
              <w:top w:val="single" w:sz="4" w:space="0" w:color="auto"/>
              <w:left w:val="single" w:sz="4" w:space="0" w:color="auto"/>
              <w:bottom w:val="single" w:sz="4" w:space="0" w:color="auto"/>
              <w:right w:val="single" w:sz="4" w:space="0" w:color="auto"/>
            </w:tcBorders>
            <w:hideMark/>
          </w:tcPr>
          <w:p w:rsidR="00243EA6" w:rsidRDefault="00243EA6">
            <w:pPr>
              <w:rPr>
                <w:sz w:val="22"/>
                <w:szCs w:val="22"/>
                <w:lang w:bidi="en-GB"/>
              </w:rPr>
            </w:pPr>
            <w:r>
              <w:rPr>
                <w:sz w:val="22"/>
                <w:szCs w:val="22"/>
                <w:lang w:bidi="en-GB"/>
              </w:rPr>
              <w:t>Grundet ligheden mellem lamivudin og emtricitabin, en Efavirenz/Emtricitabine/</w:t>
            </w:r>
          </w:p>
          <w:p w:rsidR="00243EA6" w:rsidRDefault="00243EA6">
            <w:pPr>
              <w:rPr>
                <w:sz w:val="22"/>
                <w:szCs w:val="22"/>
                <w:lang w:bidi="en-GB"/>
              </w:rPr>
            </w:pPr>
            <w:r>
              <w:rPr>
                <w:sz w:val="22"/>
                <w:szCs w:val="22"/>
                <w:lang w:bidi="en-GB"/>
              </w:rPr>
              <w:t>Tenofovir disoproxil "Glenmark"</w:t>
            </w:r>
            <w:r>
              <w:rPr>
                <w:sz w:val="22"/>
                <w:szCs w:val="22"/>
                <w:lang w:bidi="en-GB"/>
              </w:rPr>
              <w:noBreakHyphen/>
              <w:t>komponent, bør Efavirenz/Emtricitabine/</w:t>
            </w:r>
          </w:p>
          <w:p w:rsidR="00243EA6" w:rsidRDefault="00243EA6">
            <w:pPr>
              <w:rPr>
                <w:sz w:val="22"/>
                <w:szCs w:val="22"/>
              </w:rPr>
            </w:pPr>
            <w:r>
              <w:rPr>
                <w:sz w:val="22"/>
                <w:szCs w:val="22"/>
                <w:lang w:bidi="en-GB"/>
              </w:rPr>
              <w:t>Tenofovir disoproxil "Glenmark" ikke gives samtidigt med lamivudin (se pkt. 4.4).</w:t>
            </w:r>
          </w:p>
        </w:tc>
      </w:tr>
      <w:tr w:rsidR="00243EA6" w:rsidTr="00604247">
        <w:trPr>
          <w:jc w:val="center"/>
        </w:trPr>
        <w:tc>
          <w:tcPr>
            <w:tcW w:w="1977" w:type="pct"/>
            <w:tcBorders>
              <w:top w:val="single" w:sz="4" w:space="0" w:color="auto"/>
              <w:left w:val="single" w:sz="4" w:space="0" w:color="auto"/>
              <w:bottom w:val="single" w:sz="4" w:space="0" w:color="auto"/>
              <w:right w:val="single" w:sz="4" w:space="0" w:color="auto"/>
            </w:tcBorders>
            <w:hideMark/>
          </w:tcPr>
          <w:p w:rsidR="00243EA6" w:rsidRDefault="00243EA6">
            <w:pPr>
              <w:rPr>
                <w:sz w:val="22"/>
                <w:szCs w:val="22"/>
              </w:rPr>
            </w:pPr>
            <w:r>
              <w:rPr>
                <w:sz w:val="22"/>
                <w:szCs w:val="22"/>
              </w:rPr>
              <w:t>NNRTI’er/efavirenz</w:t>
            </w:r>
          </w:p>
        </w:tc>
        <w:tc>
          <w:tcPr>
            <w:tcW w:w="1450" w:type="pct"/>
            <w:tcBorders>
              <w:top w:val="single" w:sz="4" w:space="0" w:color="auto"/>
              <w:left w:val="single" w:sz="4" w:space="0" w:color="auto"/>
              <w:bottom w:val="single" w:sz="4" w:space="0" w:color="auto"/>
              <w:right w:val="single" w:sz="4" w:space="0" w:color="auto"/>
            </w:tcBorders>
            <w:hideMark/>
          </w:tcPr>
          <w:p w:rsidR="00243EA6" w:rsidRDefault="00243EA6">
            <w:pPr>
              <w:rPr>
                <w:sz w:val="22"/>
                <w:szCs w:val="22"/>
              </w:rPr>
            </w:pPr>
            <w:r>
              <w:rPr>
                <w:sz w:val="22"/>
                <w:szCs w:val="22"/>
              </w:rPr>
              <w:t>Interaktion er ikke undersøgt.</w:t>
            </w:r>
          </w:p>
        </w:tc>
        <w:tc>
          <w:tcPr>
            <w:tcW w:w="1573" w:type="pct"/>
            <w:tcBorders>
              <w:top w:val="single" w:sz="4" w:space="0" w:color="auto"/>
              <w:left w:val="single" w:sz="4" w:space="0" w:color="auto"/>
              <w:bottom w:val="single" w:sz="4" w:space="0" w:color="auto"/>
              <w:right w:val="single" w:sz="4" w:space="0" w:color="auto"/>
            </w:tcBorders>
            <w:hideMark/>
          </w:tcPr>
          <w:p w:rsidR="00243EA6" w:rsidRDefault="00243EA6">
            <w:pPr>
              <w:rPr>
                <w:sz w:val="22"/>
                <w:szCs w:val="22"/>
                <w:lang w:bidi="en-GB"/>
              </w:rPr>
            </w:pPr>
            <w:r>
              <w:rPr>
                <w:sz w:val="22"/>
                <w:szCs w:val="22"/>
                <w:lang w:bidi="en-GB"/>
              </w:rPr>
              <w:t>Da anvendelse af to NNRTI’er ikke viste sig at være gavnligt med hensyn til virkning og sikkerhed anbefales samtidig administration af Efavirenz/Emtricitabine/</w:t>
            </w:r>
          </w:p>
          <w:p w:rsidR="00243EA6" w:rsidRDefault="00243EA6">
            <w:pPr>
              <w:rPr>
                <w:sz w:val="22"/>
                <w:szCs w:val="22"/>
                <w:lang w:bidi="en-GB"/>
              </w:rPr>
            </w:pPr>
            <w:r>
              <w:rPr>
                <w:sz w:val="22"/>
                <w:szCs w:val="22"/>
                <w:lang w:bidi="en-GB"/>
              </w:rPr>
              <w:t>Tenofovir disoproxil "Glenmark" og en anden NNRTI’er ikke.</w:t>
            </w:r>
          </w:p>
        </w:tc>
      </w:tr>
      <w:tr w:rsidR="00243EA6" w:rsidTr="00604247">
        <w:trPr>
          <w:jc w:val="center"/>
        </w:trPr>
        <w:tc>
          <w:tcPr>
            <w:tcW w:w="1977" w:type="pct"/>
            <w:tcBorders>
              <w:top w:val="single" w:sz="4" w:space="0" w:color="auto"/>
              <w:left w:val="single" w:sz="4" w:space="0" w:color="auto"/>
              <w:bottom w:val="dotted" w:sz="4" w:space="0" w:color="auto"/>
              <w:right w:val="single" w:sz="4" w:space="0" w:color="auto"/>
            </w:tcBorders>
            <w:hideMark/>
          </w:tcPr>
          <w:p w:rsidR="00243EA6" w:rsidRDefault="00243EA6">
            <w:pPr>
              <w:rPr>
                <w:sz w:val="22"/>
                <w:szCs w:val="22"/>
              </w:rPr>
            </w:pPr>
            <w:r>
              <w:rPr>
                <w:sz w:val="22"/>
                <w:szCs w:val="22"/>
              </w:rPr>
              <w:t>Didanosin/Tenofovirdisoproxil</w:t>
            </w:r>
          </w:p>
        </w:tc>
        <w:tc>
          <w:tcPr>
            <w:tcW w:w="1450" w:type="pct"/>
            <w:tcBorders>
              <w:top w:val="single" w:sz="4" w:space="0" w:color="auto"/>
              <w:left w:val="single" w:sz="4" w:space="0" w:color="auto"/>
              <w:bottom w:val="dotted" w:sz="4" w:space="0" w:color="auto"/>
              <w:right w:val="single" w:sz="4" w:space="0" w:color="auto"/>
            </w:tcBorders>
            <w:hideMark/>
          </w:tcPr>
          <w:p w:rsidR="00243EA6" w:rsidRDefault="00243EA6">
            <w:pPr>
              <w:rPr>
                <w:sz w:val="22"/>
                <w:szCs w:val="22"/>
                <w:lang w:bidi="en-GB"/>
              </w:rPr>
            </w:pPr>
            <w:r>
              <w:rPr>
                <w:sz w:val="22"/>
                <w:szCs w:val="22"/>
                <w:lang w:bidi="en-GB"/>
              </w:rPr>
              <w:t>Samtidig administration af tenofovirdisoproxil og didanosin medførte en stigning på 40</w:t>
            </w:r>
            <w:r>
              <w:rPr>
                <w:sz w:val="22"/>
                <w:szCs w:val="22"/>
                <w:lang w:bidi="en-GB"/>
              </w:rPr>
              <w:noBreakHyphen/>
              <w:t xml:space="preserve">60 % i systemisk eksponering for didanosin. </w:t>
            </w:r>
          </w:p>
        </w:tc>
        <w:tc>
          <w:tcPr>
            <w:tcW w:w="1573" w:type="pct"/>
            <w:vMerge w:val="restart"/>
            <w:tcBorders>
              <w:top w:val="single" w:sz="4" w:space="0" w:color="auto"/>
              <w:left w:val="single" w:sz="4" w:space="0" w:color="auto"/>
              <w:bottom w:val="single" w:sz="4" w:space="0" w:color="auto"/>
              <w:right w:val="single" w:sz="4" w:space="0" w:color="auto"/>
            </w:tcBorders>
          </w:tcPr>
          <w:p w:rsidR="00243EA6" w:rsidRDefault="00243EA6">
            <w:pPr>
              <w:rPr>
                <w:sz w:val="22"/>
                <w:szCs w:val="22"/>
                <w:lang w:bidi="en-GB"/>
              </w:rPr>
            </w:pPr>
            <w:r>
              <w:rPr>
                <w:sz w:val="22"/>
                <w:szCs w:val="22"/>
                <w:lang w:bidi="en-GB"/>
              </w:rPr>
              <w:t>Samtidig administration af Efavirenz/Emtricitabine/</w:t>
            </w:r>
          </w:p>
          <w:p w:rsidR="00243EA6" w:rsidRDefault="00243EA6">
            <w:pPr>
              <w:rPr>
                <w:sz w:val="22"/>
                <w:szCs w:val="22"/>
                <w:lang w:bidi="en-GB"/>
              </w:rPr>
            </w:pPr>
            <w:r>
              <w:rPr>
                <w:sz w:val="22"/>
                <w:szCs w:val="22"/>
                <w:lang w:bidi="en-GB"/>
              </w:rPr>
              <w:t>Tenofovir disoproxil "Glenmark" og didanosin kan ikke anbefales.</w:t>
            </w:r>
          </w:p>
          <w:p w:rsidR="00243EA6" w:rsidRDefault="00243EA6">
            <w:pPr>
              <w:rPr>
                <w:sz w:val="22"/>
                <w:szCs w:val="22"/>
                <w:lang w:bidi="en-GB"/>
              </w:rPr>
            </w:pPr>
          </w:p>
          <w:p w:rsidR="00243EA6" w:rsidRDefault="00243EA6">
            <w:pPr>
              <w:rPr>
                <w:sz w:val="22"/>
                <w:szCs w:val="22"/>
              </w:rPr>
            </w:pPr>
            <w:r>
              <w:rPr>
                <w:sz w:val="22"/>
                <w:szCs w:val="22"/>
              </w:rPr>
              <w:t xml:space="preserve">Øget systemisk eksponering for didanosin kan øge risikoen for </w:t>
            </w:r>
            <w:r>
              <w:rPr>
                <w:sz w:val="22"/>
                <w:szCs w:val="22"/>
              </w:rPr>
              <w:lastRenderedPageBreak/>
              <w:t>didanosinrelaterede bivirkninger. Der er rapporteret sjældne tilfælde af pancreatitis og laktatacidose, og nogle af disse tilfælde var letale. Samtidig administration af tenofovirdisoproxil og didanosin ved en dosis på 400 mg dagligt er blevet sat i forbindelse med en signifikant reduktion af CD4-celletallet, muligvis på grund af en intracellulær interaktion, der forhøjer niveauet af phosphoryleret (dvs. aktiv) didanosin. En reduceret dosis på 250 mg didanosin administreret samtidig med tenofovirdisoproxil er blevet sat i forbindelse med rapporter om en høj forekomst af manglende virologisk virkning af flere testede kombinationer til behandling af hiv 1-infektion.</w:t>
            </w:r>
          </w:p>
        </w:tc>
      </w:tr>
      <w:tr w:rsidR="00243EA6" w:rsidTr="00604247">
        <w:trPr>
          <w:jc w:val="center"/>
        </w:trPr>
        <w:tc>
          <w:tcPr>
            <w:tcW w:w="1977" w:type="pct"/>
            <w:tcBorders>
              <w:top w:val="dotted" w:sz="4" w:space="0" w:color="auto"/>
              <w:left w:val="single" w:sz="4" w:space="0" w:color="auto"/>
              <w:bottom w:val="dotted" w:sz="4" w:space="0" w:color="auto"/>
              <w:right w:val="single" w:sz="4" w:space="0" w:color="auto"/>
            </w:tcBorders>
            <w:hideMark/>
          </w:tcPr>
          <w:p w:rsidR="00243EA6" w:rsidRDefault="00243EA6">
            <w:pPr>
              <w:rPr>
                <w:sz w:val="22"/>
                <w:szCs w:val="22"/>
              </w:rPr>
            </w:pPr>
            <w:r>
              <w:rPr>
                <w:sz w:val="22"/>
                <w:szCs w:val="22"/>
              </w:rPr>
              <w:t>Didanosin/efavirenz</w:t>
            </w:r>
          </w:p>
        </w:tc>
        <w:tc>
          <w:tcPr>
            <w:tcW w:w="1450" w:type="pct"/>
            <w:tcBorders>
              <w:top w:val="dotted" w:sz="4" w:space="0" w:color="auto"/>
              <w:left w:val="single" w:sz="4" w:space="0" w:color="auto"/>
              <w:bottom w:val="dotted" w:sz="4" w:space="0" w:color="auto"/>
              <w:right w:val="single" w:sz="4" w:space="0" w:color="auto"/>
            </w:tcBorders>
            <w:hideMark/>
          </w:tcPr>
          <w:p w:rsidR="00243EA6" w:rsidRDefault="00243EA6">
            <w:pPr>
              <w:rPr>
                <w:sz w:val="22"/>
                <w:szCs w:val="22"/>
              </w:rPr>
            </w:pPr>
            <w:r>
              <w:rPr>
                <w:sz w:val="22"/>
                <w:szCs w:val="22"/>
              </w:rPr>
              <w:t>Interaktion er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EA6" w:rsidRDefault="00243EA6">
            <w:pPr>
              <w:rPr>
                <w:sz w:val="22"/>
                <w:szCs w:val="22"/>
              </w:rPr>
            </w:pPr>
          </w:p>
        </w:tc>
      </w:tr>
      <w:tr w:rsidR="00243EA6" w:rsidTr="00604247">
        <w:trPr>
          <w:jc w:val="center"/>
        </w:trPr>
        <w:tc>
          <w:tcPr>
            <w:tcW w:w="1977" w:type="pct"/>
            <w:tcBorders>
              <w:top w:val="dotted" w:sz="4" w:space="0" w:color="auto"/>
              <w:left w:val="single" w:sz="4" w:space="0" w:color="auto"/>
              <w:bottom w:val="single" w:sz="4" w:space="0" w:color="auto"/>
              <w:right w:val="single" w:sz="4" w:space="0" w:color="auto"/>
            </w:tcBorders>
            <w:hideMark/>
          </w:tcPr>
          <w:p w:rsidR="00243EA6" w:rsidRDefault="00243EA6">
            <w:pPr>
              <w:rPr>
                <w:sz w:val="22"/>
                <w:szCs w:val="22"/>
              </w:rPr>
            </w:pPr>
            <w:r>
              <w:rPr>
                <w:sz w:val="22"/>
                <w:szCs w:val="22"/>
              </w:rPr>
              <w:lastRenderedPageBreak/>
              <w:t>Didanosin/emtricitabin</w:t>
            </w:r>
          </w:p>
        </w:tc>
        <w:tc>
          <w:tcPr>
            <w:tcW w:w="1450" w:type="pct"/>
            <w:tcBorders>
              <w:top w:val="dotted" w:sz="4" w:space="0" w:color="auto"/>
              <w:left w:val="single" w:sz="4" w:space="0" w:color="auto"/>
              <w:bottom w:val="single" w:sz="4" w:space="0" w:color="auto"/>
              <w:right w:val="single" w:sz="4" w:space="0" w:color="auto"/>
            </w:tcBorders>
            <w:hideMark/>
          </w:tcPr>
          <w:p w:rsidR="00243EA6" w:rsidRDefault="00243EA6">
            <w:pPr>
              <w:rPr>
                <w:sz w:val="22"/>
                <w:szCs w:val="22"/>
              </w:rPr>
            </w:pPr>
            <w:r>
              <w:rPr>
                <w:sz w:val="22"/>
                <w:szCs w:val="22"/>
              </w:rPr>
              <w:t>Interaktion er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EA6" w:rsidRDefault="00243EA6">
            <w:pPr>
              <w:rPr>
                <w:sz w:val="22"/>
                <w:szCs w:val="22"/>
              </w:rPr>
            </w:pPr>
          </w:p>
        </w:tc>
      </w:tr>
      <w:tr w:rsidR="00243EA6" w:rsidTr="00243EA6">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243EA6" w:rsidRDefault="00243EA6">
            <w:pPr>
              <w:rPr>
                <w:sz w:val="22"/>
                <w:szCs w:val="22"/>
              </w:rPr>
            </w:pPr>
            <w:r>
              <w:rPr>
                <w:b/>
                <w:sz w:val="22"/>
                <w:szCs w:val="22"/>
              </w:rPr>
              <w:t>Hepatitis C antivirale lægemidler</w:t>
            </w:r>
          </w:p>
        </w:tc>
      </w:tr>
      <w:tr w:rsidR="00243EA6" w:rsidTr="00604247">
        <w:trPr>
          <w:jc w:val="center"/>
        </w:trPr>
        <w:tc>
          <w:tcPr>
            <w:tcW w:w="1977" w:type="pct"/>
            <w:tcBorders>
              <w:top w:val="single" w:sz="4" w:space="0" w:color="auto"/>
              <w:left w:val="single" w:sz="4" w:space="0" w:color="auto"/>
              <w:bottom w:val="single" w:sz="4" w:space="0" w:color="auto"/>
              <w:right w:val="single" w:sz="4" w:space="0" w:color="auto"/>
            </w:tcBorders>
            <w:hideMark/>
          </w:tcPr>
          <w:p w:rsidR="00243EA6" w:rsidRDefault="00243EA6">
            <w:pPr>
              <w:rPr>
                <w:sz w:val="22"/>
                <w:szCs w:val="22"/>
              </w:rPr>
            </w:pPr>
            <w:r>
              <w:rPr>
                <w:sz w:val="22"/>
                <w:szCs w:val="22"/>
              </w:rPr>
              <w:t>Elbasvir/grazoprevir + efavirenz</w:t>
            </w:r>
          </w:p>
        </w:tc>
        <w:tc>
          <w:tcPr>
            <w:tcW w:w="1450" w:type="pct"/>
            <w:tcBorders>
              <w:top w:val="single" w:sz="4" w:space="0" w:color="auto"/>
              <w:left w:val="single" w:sz="4" w:space="0" w:color="auto"/>
              <w:bottom w:val="single" w:sz="4" w:space="0" w:color="auto"/>
              <w:right w:val="single" w:sz="4" w:space="0" w:color="auto"/>
            </w:tcBorders>
          </w:tcPr>
          <w:p w:rsidR="00243EA6" w:rsidRDefault="00243EA6">
            <w:pPr>
              <w:rPr>
                <w:sz w:val="22"/>
                <w:szCs w:val="22"/>
              </w:rPr>
            </w:pPr>
            <w:r>
              <w:rPr>
                <w:sz w:val="22"/>
                <w:szCs w:val="22"/>
              </w:rPr>
              <w:t>Elbasvir:</w:t>
            </w:r>
          </w:p>
          <w:p w:rsidR="00243EA6" w:rsidRDefault="00243EA6">
            <w:pPr>
              <w:rPr>
                <w:sz w:val="22"/>
                <w:szCs w:val="22"/>
              </w:rPr>
            </w:pPr>
            <w:r>
              <w:rPr>
                <w:sz w:val="22"/>
                <w:szCs w:val="22"/>
              </w:rPr>
              <w:t>AUC: ↓ 54 %</w:t>
            </w:r>
          </w:p>
          <w:p w:rsidR="00243EA6" w:rsidRDefault="00243EA6">
            <w:pPr>
              <w:rPr>
                <w:sz w:val="22"/>
                <w:szCs w:val="22"/>
              </w:rPr>
            </w:pPr>
            <w:r>
              <w:rPr>
                <w:sz w:val="22"/>
                <w:szCs w:val="22"/>
              </w:rPr>
              <w:t>C</w:t>
            </w:r>
            <w:r>
              <w:rPr>
                <w:sz w:val="22"/>
                <w:szCs w:val="22"/>
                <w:vertAlign w:val="subscript"/>
              </w:rPr>
              <w:t>max</w:t>
            </w:r>
            <w:r>
              <w:rPr>
                <w:sz w:val="22"/>
                <w:szCs w:val="22"/>
              </w:rPr>
              <w:t>: ↓ 45 %</w:t>
            </w:r>
          </w:p>
          <w:p w:rsidR="00243EA6" w:rsidRDefault="00243EA6">
            <w:pPr>
              <w:rPr>
                <w:sz w:val="22"/>
                <w:szCs w:val="22"/>
              </w:rPr>
            </w:pPr>
            <w:r>
              <w:rPr>
                <w:sz w:val="22"/>
                <w:szCs w:val="22"/>
              </w:rPr>
              <w:t>(CYP3A4 eller P</w:t>
            </w:r>
            <w:r>
              <w:rPr>
                <w:sz w:val="22"/>
                <w:szCs w:val="22"/>
              </w:rPr>
              <w:noBreakHyphen/>
              <w:t>gp</w:t>
            </w:r>
            <w:r>
              <w:rPr>
                <w:sz w:val="22"/>
                <w:szCs w:val="22"/>
              </w:rPr>
              <w:noBreakHyphen/>
              <w:t>induktion – virkning på elbasvir)</w:t>
            </w:r>
          </w:p>
          <w:p w:rsidR="00243EA6" w:rsidRDefault="00243EA6">
            <w:pPr>
              <w:rPr>
                <w:sz w:val="22"/>
                <w:szCs w:val="22"/>
              </w:rPr>
            </w:pPr>
          </w:p>
          <w:p w:rsidR="00243EA6" w:rsidRDefault="00243EA6">
            <w:pPr>
              <w:rPr>
                <w:sz w:val="22"/>
                <w:szCs w:val="22"/>
              </w:rPr>
            </w:pPr>
            <w:r>
              <w:rPr>
                <w:sz w:val="22"/>
                <w:szCs w:val="22"/>
              </w:rPr>
              <w:t>Grazoprevir:</w:t>
            </w:r>
          </w:p>
          <w:p w:rsidR="00243EA6" w:rsidRDefault="00243EA6">
            <w:pPr>
              <w:rPr>
                <w:sz w:val="22"/>
                <w:szCs w:val="22"/>
              </w:rPr>
            </w:pPr>
            <w:r>
              <w:rPr>
                <w:sz w:val="22"/>
                <w:szCs w:val="22"/>
              </w:rPr>
              <w:t>AUC: ↓ 83 %</w:t>
            </w:r>
          </w:p>
          <w:p w:rsidR="00243EA6" w:rsidRDefault="00243EA6">
            <w:pPr>
              <w:rPr>
                <w:sz w:val="22"/>
                <w:szCs w:val="22"/>
              </w:rPr>
            </w:pPr>
            <w:r>
              <w:rPr>
                <w:sz w:val="22"/>
                <w:szCs w:val="22"/>
              </w:rPr>
              <w:t>C</w:t>
            </w:r>
            <w:r>
              <w:rPr>
                <w:sz w:val="22"/>
                <w:szCs w:val="22"/>
                <w:vertAlign w:val="subscript"/>
              </w:rPr>
              <w:t>max</w:t>
            </w:r>
            <w:r>
              <w:rPr>
                <w:sz w:val="22"/>
                <w:szCs w:val="22"/>
              </w:rPr>
              <w:t>: ↓ 87 %</w:t>
            </w:r>
          </w:p>
          <w:p w:rsidR="00243EA6" w:rsidRDefault="00243EA6">
            <w:pPr>
              <w:rPr>
                <w:sz w:val="22"/>
                <w:szCs w:val="22"/>
              </w:rPr>
            </w:pPr>
            <w:r>
              <w:rPr>
                <w:sz w:val="22"/>
                <w:szCs w:val="22"/>
              </w:rPr>
              <w:t>(CYP3A4 eller P</w:t>
            </w:r>
            <w:r>
              <w:rPr>
                <w:sz w:val="22"/>
                <w:szCs w:val="22"/>
              </w:rPr>
              <w:noBreakHyphen/>
              <w:t>gp</w:t>
            </w:r>
            <w:r>
              <w:rPr>
                <w:sz w:val="22"/>
                <w:szCs w:val="22"/>
              </w:rPr>
              <w:noBreakHyphen/>
              <w:t>induktion – virkning på grazoprevir)</w:t>
            </w:r>
          </w:p>
          <w:p w:rsidR="00243EA6" w:rsidRDefault="00243EA6">
            <w:pPr>
              <w:rPr>
                <w:sz w:val="22"/>
                <w:szCs w:val="22"/>
              </w:rPr>
            </w:pPr>
          </w:p>
          <w:p w:rsidR="00243EA6" w:rsidRDefault="00243EA6">
            <w:pPr>
              <w:rPr>
                <w:sz w:val="22"/>
                <w:szCs w:val="22"/>
              </w:rPr>
            </w:pPr>
            <w:r>
              <w:rPr>
                <w:sz w:val="22"/>
                <w:szCs w:val="22"/>
              </w:rPr>
              <w:t>Efavirenz:</w:t>
            </w:r>
          </w:p>
          <w:p w:rsidR="00243EA6" w:rsidRDefault="00243EA6">
            <w:pPr>
              <w:rPr>
                <w:sz w:val="22"/>
                <w:szCs w:val="22"/>
              </w:rPr>
            </w:pPr>
            <w:r>
              <w:rPr>
                <w:sz w:val="22"/>
                <w:szCs w:val="22"/>
              </w:rPr>
              <w:t>AUC: ↔</w:t>
            </w:r>
          </w:p>
          <w:p w:rsidR="00243EA6" w:rsidRDefault="00243EA6">
            <w:pPr>
              <w:rPr>
                <w:sz w:val="22"/>
                <w:szCs w:val="22"/>
              </w:rPr>
            </w:pPr>
            <w:r>
              <w:rPr>
                <w:sz w:val="22"/>
                <w:szCs w:val="22"/>
              </w:rPr>
              <w:t>C</w:t>
            </w:r>
            <w:r>
              <w:rPr>
                <w:sz w:val="22"/>
                <w:szCs w:val="22"/>
                <w:vertAlign w:val="subscript"/>
              </w:rPr>
              <w:t>max</w:t>
            </w:r>
            <w:r>
              <w:rPr>
                <w:sz w:val="22"/>
                <w:szCs w:val="22"/>
              </w:rPr>
              <w:t>: ↔</w:t>
            </w:r>
          </w:p>
        </w:tc>
        <w:tc>
          <w:tcPr>
            <w:tcW w:w="1573" w:type="pct"/>
            <w:tcBorders>
              <w:top w:val="single" w:sz="4" w:space="0" w:color="auto"/>
              <w:left w:val="single" w:sz="4" w:space="0" w:color="auto"/>
              <w:bottom w:val="single" w:sz="4" w:space="0" w:color="auto"/>
              <w:right w:val="single" w:sz="4" w:space="0" w:color="auto"/>
            </w:tcBorders>
            <w:hideMark/>
          </w:tcPr>
          <w:p w:rsidR="00243EA6" w:rsidRDefault="00243EA6">
            <w:pPr>
              <w:rPr>
                <w:sz w:val="22"/>
                <w:szCs w:val="22"/>
                <w:lang w:bidi="en-GB"/>
              </w:rPr>
            </w:pPr>
            <w:r>
              <w:rPr>
                <w:sz w:val="22"/>
                <w:szCs w:val="22"/>
                <w:lang w:bidi="en-GB"/>
              </w:rPr>
              <w:t>Samtidig administration af Efavirenz/Emtricitabine/</w:t>
            </w:r>
          </w:p>
          <w:p w:rsidR="00243EA6" w:rsidRDefault="00243EA6">
            <w:pPr>
              <w:rPr>
                <w:sz w:val="22"/>
                <w:szCs w:val="22"/>
              </w:rPr>
            </w:pPr>
            <w:r>
              <w:rPr>
                <w:sz w:val="22"/>
                <w:szCs w:val="22"/>
                <w:lang w:bidi="en-GB"/>
              </w:rPr>
              <w:t>Tenofovir disoproxil "Glenmark" med elbasvir/grazoprevir er kontraindiceret, da det kan medføre tab af det virologiske respons på elbasvir/grazoprevir. Dette skyldes signifikante fald i plasmakoncentrationerne af elbasvir/grazoprevir på grund af CYP3A4- eller P</w:t>
            </w:r>
            <w:r>
              <w:rPr>
                <w:sz w:val="22"/>
                <w:szCs w:val="22"/>
                <w:lang w:bidi="en-GB"/>
              </w:rPr>
              <w:noBreakHyphen/>
              <w:t>gp</w:t>
            </w:r>
            <w:r>
              <w:rPr>
                <w:sz w:val="22"/>
                <w:szCs w:val="22"/>
                <w:lang w:bidi="en-GB"/>
              </w:rPr>
              <w:noBreakHyphen/>
              <w:t>induktion. Se produktresuméet for elbasvir/grazoprevir for yderligere oplysninger.</w:t>
            </w:r>
          </w:p>
        </w:tc>
      </w:tr>
      <w:tr w:rsidR="00604247" w:rsidTr="00604247">
        <w:trPr>
          <w:jc w:val="center"/>
        </w:trPr>
        <w:tc>
          <w:tcPr>
            <w:tcW w:w="1977" w:type="pct"/>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sidRPr="0038336D">
              <w:rPr>
                <w:sz w:val="22"/>
                <w:szCs w:val="22"/>
              </w:rPr>
              <w:t>Glecaprevir/pibrentasvir/efavirenz</w:t>
            </w:r>
          </w:p>
        </w:tc>
        <w:tc>
          <w:tcPr>
            <w:tcW w:w="1450" w:type="pct"/>
            <w:tcBorders>
              <w:top w:val="single" w:sz="4" w:space="0" w:color="auto"/>
              <w:left w:val="single" w:sz="4" w:space="0" w:color="auto"/>
              <w:bottom w:val="single" w:sz="4" w:space="0" w:color="auto"/>
              <w:right w:val="single" w:sz="4" w:space="0" w:color="auto"/>
            </w:tcBorders>
          </w:tcPr>
          <w:p w:rsidR="00604247" w:rsidRDefault="00604247" w:rsidP="00604247">
            <w:pPr>
              <w:rPr>
                <w:sz w:val="22"/>
                <w:szCs w:val="22"/>
                <w:lang w:bidi="en-GB"/>
              </w:rPr>
            </w:pPr>
            <w:r w:rsidRPr="0038336D">
              <w:rPr>
                <w:sz w:val="22"/>
                <w:szCs w:val="22"/>
                <w:lang w:bidi="en-GB"/>
              </w:rPr>
              <w:t xml:space="preserve">Forventet: </w:t>
            </w:r>
          </w:p>
          <w:p w:rsidR="00604247" w:rsidRDefault="00604247" w:rsidP="00604247">
            <w:pPr>
              <w:rPr>
                <w:sz w:val="22"/>
                <w:szCs w:val="22"/>
                <w:lang w:bidi="en-GB"/>
              </w:rPr>
            </w:pPr>
            <w:r w:rsidRPr="0038336D">
              <w:rPr>
                <w:sz w:val="22"/>
                <w:szCs w:val="22"/>
                <w:lang w:bidi="en-GB"/>
              </w:rPr>
              <w:t xml:space="preserve">Glecaprevir: ↓ </w:t>
            </w:r>
          </w:p>
          <w:p w:rsidR="00604247" w:rsidRDefault="00604247" w:rsidP="00604247">
            <w:pPr>
              <w:rPr>
                <w:sz w:val="22"/>
                <w:szCs w:val="22"/>
                <w:lang w:bidi="en-GB"/>
              </w:rPr>
            </w:pPr>
            <w:r w:rsidRPr="0038336D">
              <w:rPr>
                <w:sz w:val="22"/>
                <w:szCs w:val="22"/>
                <w:lang w:bidi="en-GB"/>
              </w:rPr>
              <w:t>Pibrentasvir: ↓</w:t>
            </w:r>
          </w:p>
        </w:tc>
        <w:tc>
          <w:tcPr>
            <w:tcW w:w="1573" w:type="pct"/>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lang w:bidi="en-GB"/>
              </w:rPr>
            </w:pPr>
            <w:r w:rsidRPr="0038336D">
              <w:rPr>
                <w:sz w:val="22"/>
                <w:szCs w:val="22"/>
              </w:rPr>
              <w:t xml:space="preserve">Samtidig administration af glecaprevir/pibrentasvir med efavirenz, et aktivt stof i </w:t>
            </w:r>
            <w:r>
              <w:rPr>
                <w:sz w:val="22"/>
                <w:szCs w:val="22"/>
              </w:rPr>
              <w:t>Efavirenz/Emtricitabine/Tenofovir disoproxil ”Glenmark”</w:t>
            </w:r>
            <w:r w:rsidRPr="0038336D">
              <w:rPr>
                <w:sz w:val="22"/>
                <w:szCs w:val="22"/>
              </w:rPr>
              <w:t xml:space="preserve">, kan </w:t>
            </w:r>
            <w:r w:rsidRPr="0038336D">
              <w:rPr>
                <w:sz w:val="22"/>
                <w:szCs w:val="22"/>
              </w:rPr>
              <w:lastRenderedPageBreak/>
              <w:t xml:space="preserve">væsentligt reducere plasmakoncentrationen af glecaprevir og pibrentasvir, hvilket fører til nedsat terapeutisk virkning. Samtidig administration af glecaprevir/pibrentasvir med </w:t>
            </w:r>
            <w:r>
              <w:rPr>
                <w:sz w:val="22"/>
                <w:szCs w:val="22"/>
                <w:lang w:bidi="en-GB"/>
              </w:rPr>
              <w:t>Efavirenz/Emtricitabine/</w:t>
            </w:r>
          </w:p>
          <w:p w:rsidR="00604247" w:rsidRDefault="00604247" w:rsidP="00604247">
            <w:pPr>
              <w:rPr>
                <w:sz w:val="22"/>
                <w:szCs w:val="22"/>
              </w:rPr>
            </w:pPr>
            <w:r>
              <w:rPr>
                <w:sz w:val="22"/>
                <w:szCs w:val="22"/>
                <w:lang w:bidi="en-GB"/>
              </w:rPr>
              <w:t xml:space="preserve">Tenofovir disoproxil "Glenmark" </w:t>
            </w:r>
            <w:r w:rsidRPr="0038336D">
              <w:rPr>
                <w:sz w:val="22"/>
                <w:szCs w:val="22"/>
              </w:rPr>
              <w:t>anbefales ikke. Se produktresuméet for glecaprevir/pibrentasvir for yderligere oplysninger.</w:t>
            </w:r>
          </w:p>
        </w:tc>
      </w:tr>
      <w:tr w:rsidR="00604247" w:rsidTr="00604247">
        <w:trPr>
          <w:jc w:val="center"/>
        </w:trPr>
        <w:tc>
          <w:tcPr>
            <w:tcW w:w="1977" w:type="pct"/>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sz w:val="22"/>
                <w:szCs w:val="22"/>
              </w:rPr>
              <w:lastRenderedPageBreak/>
              <w:t>Ledipasvir/sofosbuvir</w:t>
            </w:r>
          </w:p>
          <w:p w:rsidR="00604247" w:rsidRPr="000E6D4D" w:rsidRDefault="00604247" w:rsidP="00604247">
            <w:pPr>
              <w:rPr>
                <w:sz w:val="22"/>
                <w:szCs w:val="22"/>
                <w:lang w:val="en-US"/>
              </w:rPr>
            </w:pPr>
            <w:r>
              <w:rPr>
                <w:sz w:val="22"/>
                <w:szCs w:val="22"/>
              </w:rPr>
              <w:t xml:space="preserve">(90 mg/400 mg q.d.) </w:t>
            </w:r>
            <w:r w:rsidRPr="000E6D4D">
              <w:rPr>
                <w:sz w:val="22"/>
                <w:szCs w:val="22"/>
                <w:lang w:val="en-US"/>
              </w:rPr>
              <w:t>+</w:t>
            </w:r>
          </w:p>
          <w:p w:rsidR="00604247" w:rsidRPr="000E6D4D" w:rsidRDefault="00604247" w:rsidP="00604247">
            <w:pPr>
              <w:rPr>
                <w:sz w:val="22"/>
                <w:szCs w:val="22"/>
                <w:lang w:val="en-US"/>
              </w:rPr>
            </w:pPr>
            <w:r w:rsidRPr="000E6D4D">
              <w:rPr>
                <w:sz w:val="22"/>
                <w:szCs w:val="22"/>
                <w:lang w:val="en-US"/>
              </w:rPr>
              <w:t>Efavirenz/emtricitabin/Tenofovir</w:t>
            </w:r>
            <w:r w:rsidRPr="000E6D4D">
              <w:rPr>
                <w:sz w:val="22"/>
                <w:szCs w:val="22"/>
                <w:lang w:val="en-US"/>
              </w:rPr>
              <w:softHyphen/>
              <w:t>disoproxil</w:t>
            </w:r>
          </w:p>
          <w:p w:rsidR="00604247" w:rsidRPr="000E6D4D" w:rsidRDefault="00604247" w:rsidP="00604247">
            <w:pPr>
              <w:rPr>
                <w:sz w:val="22"/>
                <w:szCs w:val="22"/>
                <w:lang w:val="en-US"/>
              </w:rPr>
            </w:pPr>
            <w:r w:rsidRPr="000E6D4D">
              <w:rPr>
                <w:sz w:val="22"/>
                <w:szCs w:val="22"/>
                <w:lang w:val="en-US"/>
              </w:rPr>
              <w:t>(600 mg/200 mg/245 mg q.d.)</w:t>
            </w:r>
          </w:p>
        </w:tc>
        <w:tc>
          <w:tcPr>
            <w:tcW w:w="1450" w:type="pct"/>
            <w:tcBorders>
              <w:top w:val="single" w:sz="4" w:space="0" w:color="auto"/>
              <w:left w:val="single" w:sz="4" w:space="0" w:color="auto"/>
              <w:bottom w:val="single" w:sz="4" w:space="0" w:color="auto"/>
              <w:right w:val="single" w:sz="4" w:space="0" w:color="auto"/>
            </w:tcBorders>
          </w:tcPr>
          <w:p w:rsidR="00604247" w:rsidRPr="000E6D4D" w:rsidRDefault="00604247" w:rsidP="00604247">
            <w:pPr>
              <w:rPr>
                <w:sz w:val="22"/>
                <w:szCs w:val="22"/>
                <w:lang w:val="en-US"/>
              </w:rPr>
            </w:pPr>
            <w:r w:rsidRPr="000E6D4D">
              <w:rPr>
                <w:sz w:val="22"/>
                <w:szCs w:val="22"/>
                <w:lang w:val="en-US"/>
              </w:rPr>
              <w:t>Ledipasvir:</w:t>
            </w:r>
          </w:p>
          <w:p w:rsidR="00604247" w:rsidRPr="000E6D4D" w:rsidRDefault="00604247" w:rsidP="00604247">
            <w:pPr>
              <w:rPr>
                <w:sz w:val="22"/>
                <w:szCs w:val="22"/>
                <w:lang w:val="en-US"/>
              </w:rPr>
            </w:pPr>
            <w:r w:rsidRPr="000E6D4D">
              <w:rPr>
                <w:sz w:val="22"/>
                <w:szCs w:val="22"/>
                <w:lang w:val="en-US"/>
              </w:rPr>
              <w:t>AUC: ↓ 34 % (↓ 41 til ↓ 25)</w:t>
            </w:r>
          </w:p>
          <w:p w:rsidR="00604247" w:rsidRPr="000E6D4D" w:rsidRDefault="00604247" w:rsidP="00604247">
            <w:pPr>
              <w:rPr>
                <w:sz w:val="22"/>
                <w:szCs w:val="22"/>
                <w:lang w:val="en-US"/>
              </w:rPr>
            </w:pPr>
            <w:r w:rsidRPr="000E6D4D">
              <w:rPr>
                <w:sz w:val="22"/>
                <w:szCs w:val="22"/>
                <w:lang w:val="en-US"/>
              </w:rPr>
              <w:t>C</w:t>
            </w:r>
            <w:r w:rsidRPr="000E6D4D">
              <w:rPr>
                <w:sz w:val="22"/>
                <w:szCs w:val="22"/>
                <w:vertAlign w:val="subscript"/>
                <w:lang w:val="en-US"/>
              </w:rPr>
              <w:t>max</w:t>
            </w:r>
            <w:r w:rsidRPr="000E6D4D">
              <w:rPr>
                <w:sz w:val="22"/>
                <w:szCs w:val="22"/>
                <w:lang w:val="en-US"/>
              </w:rPr>
              <w:t>: ↓ 34 % (↓ 41 til ↑ 25)</w:t>
            </w:r>
          </w:p>
          <w:p w:rsidR="00604247" w:rsidRPr="000E6D4D" w:rsidRDefault="00604247" w:rsidP="00604247">
            <w:pPr>
              <w:rPr>
                <w:sz w:val="22"/>
                <w:szCs w:val="22"/>
                <w:lang w:val="en-US"/>
              </w:rPr>
            </w:pPr>
            <w:r w:rsidRPr="000E6D4D">
              <w:rPr>
                <w:sz w:val="22"/>
                <w:szCs w:val="22"/>
                <w:lang w:val="en-US"/>
              </w:rPr>
              <w:t>C</w:t>
            </w:r>
            <w:r w:rsidRPr="000E6D4D">
              <w:rPr>
                <w:sz w:val="22"/>
                <w:szCs w:val="22"/>
                <w:vertAlign w:val="subscript"/>
                <w:lang w:val="en-US"/>
              </w:rPr>
              <w:t>min</w:t>
            </w:r>
            <w:r w:rsidRPr="000E6D4D">
              <w:rPr>
                <w:sz w:val="22"/>
                <w:szCs w:val="22"/>
                <w:lang w:val="en-US"/>
              </w:rPr>
              <w:t>: ↓ 34 % (↓ 43 til ↑ 24)</w:t>
            </w:r>
          </w:p>
          <w:p w:rsidR="00604247" w:rsidRPr="000E6D4D" w:rsidRDefault="00604247" w:rsidP="00604247">
            <w:pPr>
              <w:rPr>
                <w:sz w:val="22"/>
                <w:szCs w:val="22"/>
                <w:lang w:val="en-US"/>
              </w:rPr>
            </w:pPr>
          </w:p>
          <w:p w:rsidR="00604247" w:rsidRPr="000E6D4D" w:rsidRDefault="00604247" w:rsidP="00604247">
            <w:pPr>
              <w:rPr>
                <w:sz w:val="22"/>
                <w:szCs w:val="22"/>
                <w:lang w:val="en-US"/>
              </w:rPr>
            </w:pPr>
            <w:r w:rsidRPr="000E6D4D">
              <w:rPr>
                <w:sz w:val="22"/>
                <w:szCs w:val="22"/>
                <w:lang w:val="en-US"/>
              </w:rPr>
              <w:t>Sofosbuvir:</w:t>
            </w:r>
          </w:p>
          <w:p w:rsidR="00604247" w:rsidRPr="000E6D4D" w:rsidRDefault="00604247" w:rsidP="00604247">
            <w:pPr>
              <w:rPr>
                <w:sz w:val="22"/>
                <w:szCs w:val="22"/>
                <w:lang w:val="en-US"/>
              </w:rPr>
            </w:pPr>
            <w:r w:rsidRPr="000E6D4D">
              <w:rPr>
                <w:sz w:val="22"/>
                <w:szCs w:val="22"/>
                <w:lang w:val="en-US"/>
              </w:rPr>
              <w:t>AUC: ↔</w:t>
            </w:r>
          </w:p>
          <w:p w:rsidR="00604247" w:rsidRPr="000E6D4D" w:rsidRDefault="00604247" w:rsidP="00604247">
            <w:pPr>
              <w:rPr>
                <w:sz w:val="22"/>
                <w:szCs w:val="22"/>
                <w:lang w:val="en-US"/>
              </w:rPr>
            </w:pPr>
            <w:r w:rsidRPr="000E6D4D">
              <w:rPr>
                <w:sz w:val="22"/>
                <w:szCs w:val="22"/>
                <w:lang w:val="en-US"/>
              </w:rPr>
              <w:t>C</w:t>
            </w:r>
            <w:r w:rsidRPr="000E6D4D">
              <w:rPr>
                <w:sz w:val="22"/>
                <w:szCs w:val="22"/>
                <w:vertAlign w:val="subscript"/>
                <w:lang w:val="en-US"/>
              </w:rPr>
              <w:t>max</w:t>
            </w:r>
            <w:r w:rsidRPr="000E6D4D">
              <w:rPr>
                <w:sz w:val="22"/>
                <w:szCs w:val="22"/>
                <w:lang w:val="en-US"/>
              </w:rPr>
              <w:t>: ↔</w:t>
            </w:r>
          </w:p>
          <w:p w:rsidR="00604247" w:rsidRPr="000E6D4D" w:rsidRDefault="00604247" w:rsidP="00604247">
            <w:pPr>
              <w:rPr>
                <w:sz w:val="22"/>
                <w:szCs w:val="22"/>
                <w:lang w:val="en-US"/>
              </w:rPr>
            </w:pPr>
          </w:p>
          <w:p w:rsidR="00604247" w:rsidRPr="000E6D4D" w:rsidRDefault="00604247" w:rsidP="00604247">
            <w:pPr>
              <w:rPr>
                <w:sz w:val="22"/>
                <w:szCs w:val="22"/>
                <w:lang w:val="en-US"/>
              </w:rPr>
            </w:pPr>
            <w:r w:rsidRPr="000E6D4D">
              <w:rPr>
                <w:sz w:val="22"/>
                <w:szCs w:val="22"/>
                <w:lang w:val="en-US"/>
              </w:rPr>
              <w:t>GS-331007</w:t>
            </w:r>
            <w:r w:rsidRPr="000E6D4D">
              <w:rPr>
                <w:sz w:val="22"/>
                <w:szCs w:val="22"/>
                <w:vertAlign w:val="superscript"/>
                <w:lang w:val="en-US"/>
              </w:rPr>
              <w:t>1</w:t>
            </w:r>
            <w:r w:rsidRPr="000E6D4D">
              <w:rPr>
                <w:sz w:val="22"/>
                <w:szCs w:val="22"/>
                <w:lang w:val="en-US"/>
              </w:rPr>
              <w:t>:</w:t>
            </w:r>
          </w:p>
          <w:p w:rsidR="00604247" w:rsidRPr="000E6D4D" w:rsidRDefault="00604247" w:rsidP="00604247">
            <w:pPr>
              <w:rPr>
                <w:sz w:val="22"/>
                <w:szCs w:val="22"/>
                <w:lang w:val="en-US"/>
              </w:rPr>
            </w:pPr>
            <w:r w:rsidRPr="000E6D4D">
              <w:rPr>
                <w:sz w:val="22"/>
                <w:szCs w:val="22"/>
                <w:lang w:val="en-US"/>
              </w:rPr>
              <w:t>AUC: ↔</w:t>
            </w:r>
          </w:p>
          <w:p w:rsidR="00604247" w:rsidRPr="000E6D4D" w:rsidRDefault="00604247" w:rsidP="00604247">
            <w:pPr>
              <w:rPr>
                <w:sz w:val="22"/>
                <w:szCs w:val="22"/>
                <w:lang w:val="en-US"/>
              </w:rPr>
            </w:pPr>
            <w:r w:rsidRPr="000E6D4D">
              <w:rPr>
                <w:sz w:val="22"/>
                <w:szCs w:val="22"/>
                <w:lang w:val="en-US"/>
              </w:rPr>
              <w:t>C</w:t>
            </w:r>
            <w:r w:rsidRPr="000E6D4D">
              <w:rPr>
                <w:sz w:val="22"/>
                <w:szCs w:val="22"/>
                <w:vertAlign w:val="subscript"/>
                <w:lang w:val="en-US"/>
              </w:rPr>
              <w:t>max</w:t>
            </w:r>
            <w:r w:rsidRPr="000E6D4D">
              <w:rPr>
                <w:sz w:val="22"/>
                <w:szCs w:val="22"/>
                <w:lang w:val="en-US"/>
              </w:rPr>
              <w:t>: ↔</w:t>
            </w:r>
          </w:p>
          <w:p w:rsidR="00604247" w:rsidRPr="000E6D4D" w:rsidRDefault="00604247" w:rsidP="00604247">
            <w:pPr>
              <w:rPr>
                <w:sz w:val="22"/>
                <w:szCs w:val="22"/>
                <w:lang w:val="en-US"/>
              </w:rPr>
            </w:pPr>
            <w:r w:rsidRPr="000E6D4D">
              <w:rPr>
                <w:sz w:val="22"/>
                <w:szCs w:val="22"/>
                <w:lang w:val="en-US"/>
              </w:rPr>
              <w:t>C</w:t>
            </w:r>
            <w:r w:rsidRPr="000E6D4D">
              <w:rPr>
                <w:sz w:val="22"/>
                <w:szCs w:val="22"/>
                <w:vertAlign w:val="subscript"/>
                <w:lang w:val="en-US"/>
              </w:rPr>
              <w:t>min</w:t>
            </w:r>
            <w:r w:rsidRPr="000E6D4D">
              <w:rPr>
                <w:sz w:val="22"/>
                <w:szCs w:val="22"/>
                <w:lang w:val="en-US"/>
              </w:rPr>
              <w:t>: ↔</w:t>
            </w:r>
          </w:p>
          <w:p w:rsidR="00604247" w:rsidRPr="000E6D4D" w:rsidRDefault="00604247" w:rsidP="00604247">
            <w:pPr>
              <w:rPr>
                <w:sz w:val="22"/>
                <w:szCs w:val="22"/>
                <w:lang w:val="en-US"/>
              </w:rPr>
            </w:pPr>
          </w:p>
          <w:p w:rsidR="00604247" w:rsidRPr="000E6D4D" w:rsidRDefault="00604247" w:rsidP="00604247">
            <w:pPr>
              <w:rPr>
                <w:sz w:val="22"/>
                <w:szCs w:val="22"/>
                <w:lang w:val="en-US"/>
              </w:rPr>
            </w:pPr>
            <w:r w:rsidRPr="000E6D4D">
              <w:rPr>
                <w:sz w:val="22"/>
                <w:szCs w:val="22"/>
                <w:lang w:val="en-US"/>
              </w:rPr>
              <w:t>Efavirenz:</w:t>
            </w:r>
          </w:p>
          <w:p w:rsidR="00604247" w:rsidRPr="000E6D4D" w:rsidRDefault="00604247" w:rsidP="00604247">
            <w:pPr>
              <w:rPr>
                <w:sz w:val="22"/>
                <w:szCs w:val="22"/>
                <w:lang w:val="en-US"/>
              </w:rPr>
            </w:pPr>
            <w:r w:rsidRPr="000E6D4D">
              <w:rPr>
                <w:sz w:val="22"/>
                <w:szCs w:val="22"/>
                <w:lang w:val="en-US"/>
              </w:rPr>
              <w:t>AUC: ↔</w:t>
            </w:r>
          </w:p>
          <w:p w:rsidR="00604247" w:rsidRPr="000E6D4D" w:rsidRDefault="00604247" w:rsidP="00604247">
            <w:pPr>
              <w:rPr>
                <w:sz w:val="22"/>
                <w:szCs w:val="22"/>
                <w:lang w:val="en-US"/>
              </w:rPr>
            </w:pPr>
            <w:r w:rsidRPr="000E6D4D">
              <w:rPr>
                <w:sz w:val="22"/>
                <w:szCs w:val="22"/>
                <w:lang w:val="en-US"/>
              </w:rPr>
              <w:t>C</w:t>
            </w:r>
            <w:r w:rsidRPr="000E6D4D">
              <w:rPr>
                <w:sz w:val="22"/>
                <w:szCs w:val="22"/>
                <w:vertAlign w:val="subscript"/>
                <w:lang w:val="en-US"/>
              </w:rPr>
              <w:t>max</w:t>
            </w:r>
            <w:r w:rsidRPr="000E6D4D">
              <w:rPr>
                <w:sz w:val="22"/>
                <w:szCs w:val="22"/>
                <w:lang w:val="en-US"/>
              </w:rPr>
              <w:t>: ↔</w:t>
            </w:r>
          </w:p>
          <w:p w:rsidR="00604247" w:rsidRPr="000E6D4D" w:rsidRDefault="00604247" w:rsidP="00604247">
            <w:pPr>
              <w:rPr>
                <w:sz w:val="22"/>
                <w:szCs w:val="22"/>
                <w:lang w:val="en-US"/>
              </w:rPr>
            </w:pPr>
            <w:r w:rsidRPr="000E6D4D">
              <w:rPr>
                <w:sz w:val="22"/>
                <w:szCs w:val="22"/>
                <w:lang w:val="en-US"/>
              </w:rPr>
              <w:t>C</w:t>
            </w:r>
            <w:r w:rsidRPr="000E6D4D">
              <w:rPr>
                <w:sz w:val="22"/>
                <w:szCs w:val="22"/>
                <w:vertAlign w:val="subscript"/>
                <w:lang w:val="en-US"/>
              </w:rPr>
              <w:t>min</w:t>
            </w:r>
            <w:r w:rsidRPr="000E6D4D">
              <w:rPr>
                <w:sz w:val="22"/>
                <w:szCs w:val="22"/>
                <w:lang w:val="en-US"/>
              </w:rPr>
              <w:t>: ↔</w:t>
            </w:r>
          </w:p>
          <w:p w:rsidR="00604247" w:rsidRPr="000E6D4D" w:rsidRDefault="00604247" w:rsidP="00604247">
            <w:pPr>
              <w:rPr>
                <w:sz w:val="22"/>
                <w:szCs w:val="22"/>
                <w:lang w:val="en-US"/>
              </w:rPr>
            </w:pPr>
          </w:p>
          <w:p w:rsidR="00604247" w:rsidRPr="000E6D4D" w:rsidRDefault="00604247" w:rsidP="00604247">
            <w:pPr>
              <w:rPr>
                <w:sz w:val="22"/>
                <w:szCs w:val="22"/>
                <w:lang w:val="en-US"/>
              </w:rPr>
            </w:pPr>
            <w:r w:rsidRPr="000E6D4D">
              <w:rPr>
                <w:sz w:val="22"/>
                <w:szCs w:val="22"/>
                <w:lang w:val="en-US"/>
              </w:rPr>
              <w:t>Emtricitabin:</w:t>
            </w:r>
          </w:p>
          <w:p w:rsidR="00604247" w:rsidRPr="000E6D4D" w:rsidRDefault="00604247" w:rsidP="00604247">
            <w:pPr>
              <w:rPr>
                <w:sz w:val="22"/>
                <w:szCs w:val="22"/>
                <w:lang w:val="en-US"/>
              </w:rPr>
            </w:pPr>
            <w:r w:rsidRPr="000E6D4D">
              <w:rPr>
                <w:sz w:val="22"/>
                <w:szCs w:val="22"/>
                <w:lang w:val="en-US"/>
              </w:rPr>
              <w:t>AUC: ↔</w:t>
            </w:r>
          </w:p>
          <w:p w:rsidR="00604247" w:rsidRPr="000E6D4D" w:rsidRDefault="00604247" w:rsidP="00604247">
            <w:pPr>
              <w:rPr>
                <w:sz w:val="22"/>
                <w:szCs w:val="22"/>
                <w:lang w:val="en-US"/>
              </w:rPr>
            </w:pPr>
            <w:r w:rsidRPr="000E6D4D">
              <w:rPr>
                <w:sz w:val="22"/>
                <w:szCs w:val="22"/>
                <w:lang w:val="en-US"/>
              </w:rPr>
              <w:t>C</w:t>
            </w:r>
            <w:r w:rsidRPr="000E6D4D">
              <w:rPr>
                <w:sz w:val="22"/>
                <w:szCs w:val="22"/>
                <w:vertAlign w:val="subscript"/>
                <w:lang w:val="en-US"/>
              </w:rPr>
              <w:t>max</w:t>
            </w:r>
            <w:r w:rsidRPr="000E6D4D">
              <w:rPr>
                <w:sz w:val="22"/>
                <w:szCs w:val="22"/>
                <w:lang w:val="en-US"/>
              </w:rPr>
              <w:t>: ↔</w:t>
            </w:r>
          </w:p>
          <w:p w:rsidR="00604247" w:rsidRPr="000E6D4D" w:rsidRDefault="00604247" w:rsidP="00604247">
            <w:pPr>
              <w:rPr>
                <w:sz w:val="22"/>
                <w:szCs w:val="22"/>
                <w:lang w:val="en-US"/>
              </w:rPr>
            </w:pPr>
            <w:r w:rsidRPr="000E6D4D">
              <w:rPr>
                <w:sz w:val="22"/>
                <w:szCs w:val="22"/>
                <w:lang w:val="en-US"/>
              </w:rPr>
              <w:t>C</w:t>
            </w:r>
            <w:r w:rsidRPr="000E6D4D">
              <w:rPr>
                <w:sz w:val="22"/>
                <w:szCs w:val="22"/>
                <w:vertAlign w:val="subscript"/>
                <w:lang w:val="en-US"/>
              </w:rPr>
              <w:t>min</w:t>
            </w:r>
            <w:r w:rsidRPr="000E6D4D">
              <w:rPr>
                <w:sz w:val="22"/>
                <w:szCs w:val="22"/>
                <w:lang w:val="en-US"/>
              </w:rPr>
              <w:t>: ↔</w:t>
            </w:r>
          </w:p>
          <w:p w:rsidR="00604247" w:rsidRPr="000E6D4D" w:rsidRDefault="00604247" w:rsidP="00604247">
            <w:pPr>
              <w:rPr>
                <w:sz w:val="22"/>
                <w:szCs w:val="22"/>
                <w:lang w:val="en-US"/>
              </w:rPr>
            </w:pPr>
          </w:p>
          <w:p w:rsidR="00604247" w:rsidRPr="000E6D4D" w:rsidRDefault="00604247" w:rsidP="00604247">
            <w:pPr>
              <w:rPr>
                <w:sz w:val="22"/>
                <w:szCs w:val="22"/>
                <w:lang w:val="en-US"/>
              </w:rPr>
            </w:pPr>
            <w:r w:rsidRPr="000E6D4D">
              <w:rPr>
                <w:sz w:val="22"/>
                <w:szCs w:val="22"/>
                <w:lang w:val="en-US"/>
              </w:rPr>
              <w:t>Tenofovir:</w:t>
            </w:r>
          </w:p>
          <w:p w:rsidR="00604247" w:rsidRPr="000E6D4D" w:rsidRDefault="00604247" w:rsidP="00604247">
            <w:pPr>
              <w:rPr>
                <w:sz w:val="22"/>
                <w:szCs w:val="22"/>
                <w:lang w:val="en-US"/>
              </w:rPr>
            </w:pPr>
            <w:r w:rsidRPr="000E6D4D">
              <w:rPr>
                <w:sz w:val="22"/>
                <w:szCs w:val="22"/>
                <w:lang w:val="en-US"/>
              </w:rPr>
              <w:t>AUC: ↑ 98 % (↑ 77 til ↑ 123)</w:t>
            </w:r>
          </w:p>
          <w:p w:rsidR="00604247" w:rsidRDefault="00604247" w:rsidP="00604247">
            <w:pPr>
              <w:rPr>
                <w:sz w:val="22"/>
                <w:szCs w:val="22"/>
              </w:rPr>
            </w:pPr>
            <w:r>
              <w:rPr>
                <w:sz w:val="22"/>
                <w:szCs w:val="22"/>
              </w:rPr>
              <w:t>C</w:t>
            </w:r>
            <w:r>
              <w:rPr>
                <w:sz w:val="22"/>
                <w:szCs w:val="22"/>
                <w:vertAlign w:val="subscript"/>
              </w:rPr>
              <w:t>max</w:t>
            </w:r>
            <w:r>
              <w:rPr>
                <w:sz w:val="22"/>
                <w:szCs w:val="22"/>
              </w:rPr>
              <w:t>: ↑ 79 % (↑ 56 til ↑ 104)</w:t>
            </w:r>
          </w:p>
          <w:p w:rsidR="00604247" w:rsidRDefault="00604247" w:rsidP="00604247">
            <w:pPr>
              <w:rPr>
                <w:sz w:val="22"/>
                <w:szCs w:val="22"/>
              </w:rPr>
            </w:pPr>
            <w:r>
              <w:rPr>
                <w:sz w:val="22"/>
                <w:szCs w:val="22"/>
              </w:rPr>
              <w:t>C</w:t>
            </w:r>
            <w:r>
              <w:rPr>
                <w:sz w:val="22"/>
                <w:szCs w:val="22"/>
                <w:vertAlign w:val="subscript"/>
              </w:rPr>
              <w:t>min</w:t>
            </w:r>
            <w:r>
              <w:rPr>
                <w:sz w:val="22"/>
                <w:szCs w:val="22"/>
              </w:rPr>
              <w:t>: ↑ 163 % (↑ 137 til ↑ 197)</w:t>
            </w:r>
          </w:p>
        </w:tc>
        <w:tc>
          <w:tcPr>
            <w:tcW w:w="1573" w:type="pct"/>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lang w:bidi="en-GB"/>
              </w:rPr>
            </w:pPr>
            <w:r>
              <w:rPr>
                <w:sz w:val="22"/>
                <w:szCs w:val="22"/>
                <w:lang w:bidi="en-GB"/>
              </w:rPr>
              <w:t>Der er ingen anbefalet dosisjustering. Den forøgede tenofovir</w:t>
            </w:r>
            <w:r>
              <w:rPr>
                <w:sz w:val="22"/>
                <w:szCs w:val="22"/>
                <w:lang w:bidi="en-GB"/>
              </w:rPr>
              <w:noBreakHyphen/>
              <w:t>eksponering kan forstærke virkningen af bivirkninger ved tenofovirdisoproxil, herunder nyresygdomme. Nyrefunktionen skal monitoreres tæt (se pkt. 4.4).</w:t>
            </w:r>
          </w:p>
        </w:tc>
      </w:tr>
      <w:tr w:rsidR="00604247" w:rsidTr="00604247">
        <w:trPr>
          <w:jc w:val="center"/>
        </w:trPr>
        <w:tc>
          <w:tcPr>
            <w:tcW w:w="1977" w:type="pct"/>
            <w:tcBorders>
              <w:top w:val="single"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t>Sofosbuvir/velpatasvir</w:t>
            </w:r>
          </w:p>
          <w:p w:rsidR="00604247" w:rsidRDefault="00604247" w:rsidP="00604247">
            <w:pPr>
              <w:rPr>
                <w:sz w:val="22"/>
                <w:szCs w:val="22"/>
              </w:rPr>
            </w:pPr>
            <w:r>
              <w:rPr>
                <w:sz w:val="22"/>
                <w:szCs w:val="22"/>
              </w:rPr>
              <w:t>(400 mg/100 mg q.d.) +</w:t>
            </w:r>
          </w:p>
          <w:p w:rsidR="00604247" w:rsidRDefault="00604247" w:rsidP="00604247">
            <w:pPr>
              <w:rPr>
                <w:sz w:val="22"/>
                <w:szCs w:val="22"/>
              </w:rPr>
            </w:pPr>
            <w:r>
              <w:rPr>
                <w:sz w:val="22"/>
                <w:szCs w:val="22"/>
              </w:rPr>
              <w:t>Efavirenz/emtricitabin/Tenofovirdisoproxil</w:t>
            </w:r>
          </w:p>
          <w:p w:rsidR="00604247" w:rsidRDefault="00604247" w:rsidP="00604247">
            <w:pPr>
              <w:rPr>
                <w:sz w:val="22"/>
                <w:szCs w:val="22"/>
              </w:rPr>
            </w:pPr>
            <w:r>
              <w:rPr>
                <w:sz w:val="22"/>
                <w:szCs w:val="22"/>
              </w:rPr>
              <w:t>(600 mg/200 mg/245 mg q.d.)</w:t>
            </w:r>
          </w:p>
        </w:tc>
        <w:tc>
          <w:tcPr>
            <w:tcW w:w="1450" w:type="pct"/>
            <w:tcBorders>
              <w:top w:val="single" w:sz="4" w:space="0" w:color="auto"/>
              <w:left w:val="single" w:sz="4" w:space="0" w:color="auto"/>
              <w:bottom w:val="dotted" w:sz="4" w:space="0" w:color="auto"/>
              <w:right w:val="single" w:sz="4" w:space="0" w:color="auto"/>
            </w:tcBorders>
          </w:tcPr>
          <w:p w:rsidR="00604247" w:rsidRDefault="00604247" w:rsidP="00604247">
            <w:pPr>
              <w:rPr>
                <w:sz w:val="22"/>
                <w:szCs w:val="22"/>
              </w:rPr>
            </w:pPr>
            <w:r>
              <w:rPr>
                <w:sz w:val="22"/>
                <w:szCs w:val="22"/>
              </w:rPr>
              <w:t>Sofosbuvir:</w:t>
            </w:r>
          </w:p>
          <w:p w:rsidR="00604247" w:rsidRDefault="00604247" w:rsidP="00604247">
            <w:pPr>
              <w:rPr>
                <w:sz w:val="22"/>
                <w:szCs w:val="22"/>
              </w:rPr>
            </w:pPr>
            <w:r>
              <w:rPr>
                <w:sz w:val="22"/>
                <w:szCs w:val="22"/>
              </w:rPr>
              <w:t>AUC: ↔</w:t>
            </w:r>
          </w:p>
          <w:p w:rsidR="00604247" w:rsidRDefault="00604247" w:rsidP="00604247">
            <w:pPr>
              <w:rPr>
                <w:sz w:val="22"/>
                <w:szCs w:val="22"/>
              </w:rPr>
            </w:pPr>
            <w:r>
              <w:rPr>
                <w:sz w:val="22"/>
                <w:szCs w:val="22"/>
              </w:rPr>
              <w:t>C</w:t>
            </w:r>
            <w:r>
              <w:rPr>
                <w:sz w:val="22"/>
                <w:szCs w:val="22"/>
                <w:vertAlign w:val="subscript"/>
              </w:rPr>
              <w:t>max</w:t>
            </w:r>
            <w:r>
              <w:rPr>
                <w:sz w:val="22"/>
                <w:szCs w:val="22"/>
              </w:rPr>
              <w:t>: ↑ 38 % (↑ 14 til ↑ 67)</w:t>
            </w:r>
          </w:p>
          <w:p w:rsidR="00604247" w:rsidRDefault="00604247" w:rsidP="00604247">
            <w:pPr>
              <w:rPr>
                <w:sz w:val="22"/>
                <w:szCs w:val="22"/>
              </w:rPr>
            </w:pPr>
          </w:p>
          <w:p w:rsidR="00604247" w:rsidRDefault="00604247" w:rsidP="00604247">
            <w:pPr>
              <w:rPr>
                <w:sz w:val="22"/>
                <w:szCs w:val="22"/>
              </w:rPr>
            </w:pPr>
            <w:r>
              <w:rPr>
                <w:sz w:val="22"/>
                <w:szCs w:val="22"/>
              </w:rPr>
              <w:t>GS-331007</w:t>
            </w:r>
            <w:r>
              <w:rPr>
                <w:sz w:val="22"/>
                <w:szCs w:val="22"/>
                <w:vertAlign w:val="superscript"/>
              </w:rPr>
              <w:t>1</w:t>
            </w:r>
            <w:r>
              <w:rPr>
                <w:sz w:val="22"/>
                <w:szCs w:val="22"/>
              </w:rPr>
              <w:t>:</w:t>
            </w:r>
          </w:p>
          <w:p w:rsidR="00604247" w:rsidRDefault="00604247" w:rsidP="00604247">
            <w:pPr>
              <w:rPr>
                <w:sz w:val="22"/>
                <w:szCs w:val="22"/>
              </w:rPr>
            </w:pPr>
            <w:r>
              <w:rPr>
                <w:sz w:val="22"/>
                <w:szCs w:val="22"/>
              </w:rPr>
              <w:lastRenderedPageBreak/>
              <w:t>AUC: ↔</w:t>
            </w:r>
          </w:p>
          <w:p w:rsidR="00604247" w:rsidRDefault="00604247" w:rsidP="00604247">
            <w:pPr>
              <w:rPr>
                <w:sz w:val="22"/>
                <w:szCs w:val="22"/>
              </w:rPr>
            </w:pPr>
            <w:r>
              <w:rPr>
                <w:sz w:val="22"/>
                <w:szCs w:val="22"/>
              </w:rPr>
              <w:t>C</w:t>
            </w:r>
            <w:r>
              <w:rPr>
                <w:sz w:val="22"/>
                <w:szCs w:val="22"/>
                <w:vertAlign w:val="subscript"/>
              </w:rPr>
              <w:t>max</w:t>
            </w:r>
            <w:r>
              <w:rPr>
                <w:sz w:val="22"/>
                <w:szCs w:val="22"/>
              </w:rPr>
              <w:t>: ↔</w:t>
            </w:r>
          </w:p>
          <w:p w:rsidR="00604247" w:rsidRDefault="00604247" w:rsidP="00604247">
            <w:pPr>
              <w:rPr>
                <w:sz w:val="22"/>
                <w:szCs w:val="22"/>
              </w:rPr>
            </w:pPr>
            <w:r>
              <w:rPr>
                <w:sz w:val="22"/>
                <w:szCs w:val="22"/>
              </w:rPr>
              <w:t>C</w:t>
            </w:r>
            <w:r>
              <w:rPr>
                <w:sz w:val="22"/>
                <w:szCs w:val="22"/>
                <w:vertAlign w:val="subscript"/>
              </w:rPr>
              <w:t>min</w:t>
            </w:r>
            <w:r>
              <w:rPr>
                <w:sz w:val="22"/>
                <w:szCs w:val="22"/>
              </w:rPr>
              <w:t>: ↔</w:t>
            </w:r>
          </w:p>
          <w:p w:rsidR="00604247" w:rsidRDefault="00604247" w:rsidP="00604247">
            <w:pPr>
              <w:rPr>
                <w:sz w:val="22"/>
                <w:szCs w:val="22"/>
              </w:rPr>
            </w:pPr>
          </w:p>
          <w:p w:rsidR="00604247" w:rsidRDefault="00604247" w:rsidP="00604247">
            <w:pPr>
              <w:rPr>
                <w:sz w:val="22"/>
                <w:szCs w:val="22"/>
              </w:rPr>
            </w:pPr>
            <w:r>
              <w:rPr>
                <w:sz w:val="22"/>
                <w:szCs w:val="22"/>
              </w:rPr>
              <w:t>Velpatasvir:</w:t>
            </w:r>
          </w:p>
          <w:p w:rsidR="00604247" w:rsidRDefault="00604247" w:rsidP="00604247">
            <w:pPr>
              <w:rPr>
                <w:sz w:val="22"/>
                <w:szCs w:val="22"/>
              </w:rPr>
            </w:pPr>
            <w:r>
              <w:rPr>
                <w:sz w:val="22"/>
                <w:szCs w:val="22"/>
              </w:rPr>
              <w:t>AUC: ↓ 53 % (↓ 61 til ↓ 43)</w:t>
            </w:r>
          </w:p>
          <w:p w:rsidR="00604247" w:rsidRDefault="00604247" w:rsidP="00604247">
            <w:pPr>
              <w:rPr>
                <w:sz w:val="22"/>
                <w:szCs w:val="22"/>
              </w:rPr>
            </w:pPr>
            <w:r>
              <w:rPr>
                <w:sz w:val="22"/>
                <w:szCs w:val="22"/>
              </w:rPr>
              <w:t>C</w:t>
            </w:r>
            <w:r>
              <w:rPr>
                <w:sz w:val="22"/>
                <w:szCs w:val="22"/>
                <w:vertAlign w:val="subscript"/>
              </w:rPr>
              <w:t>max</w:t>
            </w:r>
            <w:r>
              <w:rPr>
                <w:sz w:val="22"/>
                <w:szCs w:val="22"/>
              </w:rPr>
              <w:t>: ↓ 47 % (↓ 57 til ↓ 36)</w:t>
            </w:r>
          </w:p>
          <w:p w:rsidR="00604247" w:rsidRDefault="00604247" w:rsidP="00604247">
            <w:pPr>
              <w:rPr>
                <w:sz w:val="22"/>
                <w:szCs w:val="22"/>
              </w:rPr>
            </w:pPr>
            <w:r>
              <w:rPr>
                <w:sz w:val="22"/>
                <w:szCs w:val="22"/>
              </w:rPr>
              <w:t>C</w:t>
            </w:r>
            <w:r>
              <w:rPr>
                <w:sz w:val="22"/>
                <w:szCs w:val="22"/>
                <w:vertAlign w:val="subscript"/>
              </w:rPr>
              <w:t>min</w:t>
            </w:r>
            <w:r>
              <w:rPr>
                <w:sz w:val="22"/>
                <w:szCs w:val="22"/>
              </w:rPr>
              <w:t>: ↓ 57 % (↓ 64 til ↓ 48)</w:t>
            </w:r>
          </w:p>
          <w:p w:rsidR="00604247" w:rsidRDefault="00604247" w:rsidP="00604247">
            <w:pPr>
              <w:rPr>
                <w:sz w:val="22"/>
                <w:szCs w:val="22"/>
              </w:rPr>
            </w:pPr>
          </w:p>
          <w:p w:rsidR="00604247" w:rsidRDefault="00604247" w:rsidP="00604247">
            <w:pPr>
              <w:rPr>
                <w:sz w:val="22"/>
                <w:szCs w:val="22"/>
              </w:rPr>
            </w:pPr>
            <w:r>
              <w:rPr>
                <w:sz w:val="22"/>
                <w:szCs w:val="22"/>
              </w:rPr>
              <w:t>Efavirenz:</w:t>
            </w:r>
          </w:p>
          <w:p w:rsidR="00604247" w:rsidRDefault="00604247" w:rsidP="00604247">
            <w:pPr>
              <w:rPr>
                <w:sz w:val="22"/>
                <w:szCs w:val="22"/>
              </w:rPr>
            </w:pPr>
            <w:r>
              <w:rPr>
                <w:sz w:val="22"/>
                <w:szCs w:val="22"/>
              </w:rPr>
              <w:t>AUC: ↔</w:t>
            </w:r>
          </w:p>
          <w:p w:rsidR="00604247" w:rsidRDefault="00604247" w:rsidP="00604247">
            <w:pPr>
              <w:rPr>
                <w:sz w:val="22"/>
                <w:szCs w:val="22"/>
              </w:rPr>
            </w:pPr>
            <w:r>
              <w:rPr>
                <w:sz w:val="22"/>
                <w:szCs w:val="22"/>
              </w:rPr>
              <w:t>C</w:t>
            </w:r>
            <w:r>
              <w:rPr>
                <w:sz w:val="22"/>
                <w:szCs w:val="22"/>
                <w:vertAlign w:val="subscript"/>
              </w:rPr>
              <w:t>max</w:t>
            </w:r>
            <w:r>
              <w:rPr>
                <w:sz w:val="22"/>
                <w:szCs w:val="22"/>
              </w:rPr>
              <w:t>: ↔</w:t>
            </w:r>
          </w:p>
          <w:p w:rsidR="00604247" w:rsidRDefault="00604247" w:rsidP="00604247">
            <w:pPr>
              <w:rPr>
                <w:sz w:val="22"/>
                <w:szCs w:val="22"/>
              </w:rPr>
            </w:pPr>
            <w:r>
              <w:rPr>
                <w:sz w:val="22"/>
                <w:szCs w:val="22"/>
              </w:rPr>
              <w:t>C</w:t>
            </w:r>
            <w:r>
              <w:rPr>
                <w:sz w:val="22"/>
                <w:szCs w:val="22"/>
                <w:vertAlign w:val="subscript"/>
              </w:rPr>
              <w:t>min</w:t>
            </w:r>
            <w:r>
              <w:rPr>
                <w:sz w:val="22"/>
                <w:szCs w:val="22"/>
              </w:rPr>
              <w:t>: ↔</w:t>
            </w:r>
          </w:p>
          <w:p w:rsidR="00604247" w:rsidRDefault="00604247" w:rsidP="00604247">
            <w:pPr>
              <w:rPr>
                <w:sz w:val="22"/>
                <w:szCs w:val="22"/>
              </w:rPr>
            </w:pPr>
          </w:p>
          <w:p w:rsidR="00604247" w:rsidRDefault="00604247" w:rsidP="00604247">
            <w:pPr>
              <w:rPr>
                <w:sz w:val="22"/>
                <w:szCs w:val="22"/>
              </w:rPr>
            </w:pPr>
            <w:r>
              <w:rPr>
                <w:sz w:val="22"/>
                <w:szCs w:val="22"/>
              </w:rPr>
              <w:t>Emtricitabin:</w:t>
            </w:r>
          </w:p>
          <w:p w:rsidR="00604247" w:rsidRDefault="00604247" w:rsidP="00604247">
            <w:pPr>
              <w:rPr>
                <w:sz w:val="22"/>
                <w:szCs w:val="22"/>
              </w:rPr>
            </w:pPr>
            <w:r>
              <w:rPr>
                <w:sz w:val="22"/>
                <w:szCs w:val="22"/>
              </w:rPr>
              <w:t>AUC: ↔</w:t>
            </w:r>
          </w:p>
          <w:p w:rsidR="00604247" w:rsidRDefault="00604247" w:rsidP="00604247">
            <w:pPr>
              <w:rPr>
                <w:sz w:val="22"/>
                <w:szCs w:val="22"/>
              </w:rPr>
            </w:pPr>
            <w:r>
              <w:rPr>
                <w:sz w:val="22"/>
                <w:szCs w:val="22"/>
              </w:rPr>
              <w:t>C</w:t>
            </w:r>
            <w:r>
              <w:rPr>
                <w:sz w:val="22"/>
                <w:szCs w:val="22"/>
                <w:vertAlign w:val="subscript"/>
              </w:rPr>
              <w:t>max</w:t>
            </w:r>
            <w:r>
              <w:rPr>
                <w:sz w:val="22"/>
                <w:szCs w:val="22"/>
              </w:rPr>
              <w:t>: ↔</w:t>
            </w:r>
          </w:p>
          <w:p w:rsidR="00604247" w:rsidRDefault="00604247" w:rsidP="00604247">
            <w:pPr>
              <w:rPr>
                <w:sz w:val="22"/>
                <w:szCs w:val="22"/>
              </w:rPr>
            </w:pPr>
            <w:r>
              <w:rPr>
                <w:sz w:val="22"/>
                <w:szCs w:val="22"/>
              </w:rPr>
              <w:t>C</w:t>
            </w:r>
            <w:r>
              <w:rPr>
                <w:sz w:val="22"/>
                <w:szCs w:val="22"/>
                <w:vertAlign w:val="subscript"/>
              </w:rPr>
              <w:t>min</w:t>
            </w:r>
            <w:r>
              <w:rPr>
                <w:sz w:val="22"/>
                <w:szCs w:val="22"/>
              </w:rPr>
              <w:t>: ↔</w:t>
            </w:r>
          </w:p>
          <w:p w:rsidR="00604247" w:rsidRDefault="00604247" w:rsidP="00604247">
            <w:pPr>
              <w:rPr>
                <w:sz w:val="22"/>
                <w:szCs w:val="22"/>
              </w:rPr>
            </w:pPr>
          </w:p>
          <w:p w:rsidR="00604247" w:rsidRDefault="00604247" w:rsidP="00604247">
            <w:pPr>
              <w:rPr>
                <w:sz w:val="22"/>
                <w:szCs w:val="22"/>
              </w:rPr>
            </w:pPr>
            <w:r>
              <w:rPr>
                <w:sz w:val="22"/>
                <w:szCs w:val="22"/>
              </w:rPr>
              <w:t>Tenofovir:</w:t>
            </w:r>
          </w:p>
          <w:p w:rsidR="00604247" w:rsidRDefault="00604247" w:rsidP="00604247">
            <w:pPr>
              <w:rPr>
                <w:sz w:val="22"/>
                <w:szCs w:val="22"/>
              </w:rPr>
            </w:pPr>
            <w:r>
              <w:rPr>
                <w:sz w:val="22"/>
                <w:szCs w:val="22"/>
              </w:rPr>
              <w:t>AUC: ↑ 81 % (↑ 68 til ↑ 94)</w:t>
            </w:r>
          </w:p>
          <w:p w:rsidR="00604247" w:rsidRDefault="00604247" w:rsidP="00604247">
            <w:pPr>
              <w:rPr>
                <w:sz w:val="22"/>
                <w:szCs w:val="22"/>
              </w:rPr>
            </w:pPr>
            <w:r>
              <w:rPr>
                <w:sz w:val="22"/>
                <w:szCs w:val="22"/>
              </w:rPr>
              <w:t>C</w:t>
            </w:r>
            <w:r>
              <w:rPr>
                <w:sz w:val="22"/>
                <w:szCs w:val="22"/>
                <w:vertAlign w:val="subscript"/>
              </w:rPr>
              <w:t>max</w:t>
            </w:r>
            <w:r>
              <w:rPr>
                <w:sz w:val="22"/>
                <w:szCs w:val="22"/>
              </w:rPr>
              <w:t>: ↑ 77 % (↑ 53 til ↑ 104)</w:t>
            </w:r>
          </w:p>
          <w:p w:rsidR="00604247" w:rsidRDefault="00604247" w:rsidP="00604247">
            <w:pPr>
              <w:rPr>
                <w:sz w:val="22"/>
                <w:szCs w:val="22"/>
              </w:rPr>
            </w:pPr>
            <w:r>
              <w:rPr>
                <w:sz w:val="22"/>
                <w:szCs w:val="22"/>
              </w:rPr>
              <w:t>C</w:t>
            </w:r>
            <w:r>
              <w:rPr>
                <w:sz w:val="22"/>
                <w:szCs w:val="22"/>
                <w:vertAlign w:val="subscript"/>
              </w:rPr>
              <w:t>min</w:t>
            </w:r>
            <w:r>
              <w:rPr>
                <w:sz w:val="22"/>
                <w:szCs w:val="22"/>
              </w:rPr>
              <w:t>: ↑ 121 % (↑ 100 til ↑ 143)</w:t>
            </w:r>
          </w:p>
        </w:tc>
        <w:tc>
          <w:tcPr>
            <w:tcW w:w="1573" w:type="pct"/>
            <w:vMerge w:val="restart"/>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lang w:bidi="en-GB"/>
              </w:rPr>
            </w:pPr>
            <w:r>
              <w:rPr>
                <w:sz w:val="22"/>
                <w:szCs w:val="22"/>
                <w:lang w:bidi="en-GB"/>
              </w:rPr>
              <w:lastRenderedPageBreak/>
              <w:t>Samtidig administration af Efavirenz/Emtricitabine/</w:t>
            </w:r>
          </w:p>
          <w:p w:rsidR="00604247" w:rsidRDefault="00604247" w:rsidP="00604247">
            <w:pPr>
              <w:rPr>
                <w:sz w:val="22"/>
                <w:szCs w:val="22"/>
                <w:lang w:bidi="en-GB"/>
              </w:rPr>
            </w:pPr>
            <w:r>
              <w:rPr>
                <w:sz w:val="22"/>
                <w:szCs w:val="22"/>
                <w:lang w:bidi="en-GB"/>
              </w:rPr>
              <w:t xml:space="preserve">Tenofovir disoproxil "Glenmark" og </w:t>
            </w:r>
            <w:r>
              <w:rPr>
                <w:sz w:val="22"/>
                <w:szCs w:val="22"/>
                <w:lang w:bidi="en-GB"/>
              </w:rPr>
              <w:lastRenderedPageBreak/>
              <w:t>sofosbuvir/velpatasvir eller sofosbuvir/velpatasvir/</w:t>
            </w:r>
          </w:p>
          <w:p w:rsidR="00604247" w:rsidRDefault="00604247" w:rsidP="00604247">
            <w:pPr>
              <w:rPr>
                <w:sz w:val="22"/>
                <w:szCs w:val="22"/>
                <w:lang w:bidi="en-GB"/>
              </w:rPr>
            </w:pPr>
            <w:r>
              <w:rPr>
                <w:sz w:val="22"/>
                <w:szCs w:val="22"/>
                <w:lang w:bidi="en-GB"/>
              </w:rPr>
              <w:t>voxilaprevir forventes at reducere plasmakoncentrationen af velpatasvir og voxilaprevir. Samtidig administration af Efavirenz/Emtricitabine/</w:t>
            </w:r>
          </w:p>
          <w:p w:rsidR="00604247" w:rsidRDefault="00604247" w:rsidP="00604247">
            <w:pPr>
              <w:rPr>
                <w:sz w:val="22"/>
                <w:szCs w:val="22"/>
                <w:lang w:bidi="en-GB"/>
              </w:rPr>
            </w:pPr>
            <w:r>
              <w:rPr>
                <w:sz w:val="22"/>
                <w:szCs w:val="22"/>
                <w:lang w:bidi="en-GB"/>
              </w:rPr>
              <w:t>Tenofovir disoproxil "Glenmark" og sofosbuvir/velpatasvir eller sofosbuvir/velpatasvir/</w:t>
            </w:r>
          </w:p>
          <w:p w:rsidR="00604247" w:rsidRDefault="00604247" w:rsidP="00604247">
            <w:pPr>
              <w:rPr>
                <w:sz w:val="22"/>
                <w:szCs w:val="22"/>
              </w:rPr>
            </w:pPr>
            <w:r>
              <w:rPr>
                <w:sz w:val="22"/>
                <w:szCs w:val="22"/>
                <w:lang w:bidi="en-GB"/>
              </w:rPr>
              <w:t>voxilaprevir frarådes (se pkt.</w:t>
            </w:r>
            <w:r>
              <w:rPr>
                <w:sz w:val="22"/>
                <w:szCs w:val="22"/>
              </w:rPr>
              <w:t> </w:t>
            </w:r>
            <w:r>
              <w:rPr>
                <w:sz w:val="22"/>
                <w:szCs w:val="22"/>
                <w:lang w:bidi="en-GB"/>
              </w:rPr>
              <w:t>4.4).</w:t>
            </w:r>
          </w:p>
        </w:tc>
      </w:tr>
      <w:tr w:rsidR="00604247" w:rsidTr="00604247">
        <w:trPr>
          <w:jc w:val="center"/>
        </w:trPr>
        <w:tc>
          <w:tcPr>
            <w:tcW w:w="1977" w:type="pct"/>
            <w:tcBorders>
              <w:top w:val="dotted"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sz w:val="22"/>
                <w:szCs w:val="22"/>
              </w:rPr>
              <w:lastRenderedPageBreak/>
              <w:t>Sofosbuvir/velpatasvir/voxilaprevir</w:t>
            </w:r>
          </w:p>
          <w:p w:rsidR="00604247" w:rsidRDefault="00604247" w:rsidP="00604247">
            <w:pPr>
              <w:rPr>
                <w:sz w:val="22"/>
                <w:szCs w:val="22"/>
              </w:rPr>
            </w:pPr>
            <w:r>
              <w:rPr>
                <w:sz w:val="22"/>
                <w:szCs w:val="22"/>
              </w:rPr>
              <w:t>(400 mg/100 mg/100 mg q.d.) +</w:t>
            </w:r>
          </w:p>
          <w:p w:rsidR="00604247" w:rsidRDefault="00604247" w:rsidP="00604247">
            <w:pPr>
              <w:rPr>
                <w:sz w:val="22"/>
                <w:szCs w:val="22"/>
              </w:rPr>
            </w:pPr>
            <w:r>
              <w:rPr>
                <w:sz w:val="22"/>
                <w:szCs w:val="22"/>
              </w:rPr>
              <w:t>Efavirenz/emtricitabin/tenofovirdisoproxil</w:t>
            </w:r>
          </w:p>
          <w:p w:rsidR="00604247" w:rsidRDefault="00604247" w:rsidP="00604247">
            <w:pPr>
              <w:rPr>
                <w:sz w:val="22"/>
                <w:szCs w:val="22"/>
              </w:rPr>
            </w:pPr>
            <w:r>
              <w:rPr>
                <w:sz w:val="22"/>
                <w:szCs w:val="22"/>
              </w:rPr>
              <w:t>(600 mg/200 mg/245 mg q.d.)</w:t>
            </w:r>
          </w:p>
        </w:tc>
        <w:tc>
          <w:tcPr>
            <w:tcW w:w="1450" w:type="pct"/>
            <w:tcBorders>
              <w:top w:val="dotted" w:sz="4" w:space="0" w:color="auto"/>
              <w:left w:val="single" w:sz="4" w:space="0" w:color="auto"/>
              <w:bottom w:val="single" w:sz="4" w:space="0" w:color="auto"/>
              <w:right w:val="single" w:sz="4" w:space="0" w:color="auto"/>
            </w:tcBorders>
          </w:tcPr>
          <w:p w:rsidR="00604247" w:rsidRDefault="00604247" w:rsidP="00604247">
            <w:pPr>
              <w:rPr>
                <w:sz w:val="22"/>
                <w:szCs w:val="22"/>
                <w:lang w:bidi="en-GB"/>
              </w:rPr>
            </w:pPr>
            <w:r>
              <w:rPr>
                <w:sz w:val="22"/>
                <w:szCs w:val="22"/>
                <w:lang w:bidi="en-GB"/>
              </w:rPr>
              <w:t>Interaktion er kun undersøgt med sofosbuvir/velpatasvir.</w:t>
            </w:r>
          </w:p>
          <w:p w:rsidR="00604247" w:rsidRDefault="00604247" w:rsidP="00604247">
            <w:pPr>
              <w:rPr>
                <w:sz w:val="22"/>
                <w:szCs w:val="22"/>
              </w:rPr>
            </w:pPr>
          </w:p>
          <w:p w:rsidR="00604247" w:rsidRDefault="00604247" w:rsidP="00604247">
            <w:pPr>
              <w:rPr>
                <w:i/>
                <w:sz w:val="22"/>
                <w:szCs w:val="22"/>
              </w:rPr>
            </w:pPr>
            <w:r>
              <w:rPr>
                <w:i/>
                <w:sz w:val="22"/>
                <w:szCs w:val="22"/>
              </w:rPr>
              <w:t>Forventet:</w:t>
            </w:r>
          </w:p>
          <w:p w:rsidR="00604247" w:rsidRDefault="00604247" w:rsidP="00604247">
            <w:pPr>
              <w:rPr>
                <w:sz w:val="22"/>
                <w:szCs w:val="22"/>
              </w:rPr>
            </w:pPr>
            <w:r>
              <w:rPr>
                <w:sz w:val="22"/>
                <w:szCs w:val="22"/>
              </w:rPr>
              <w:t>Voxilaprevir:↓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4247" w:rsidRDefault="00604247" w:rsidP="00604247">
            <w:pPr>
              <w:rPr>
                <w:sz w:val="22"/>
                <w:szCs w:val="22"/>
              </w:rPr>
            </w:pPr>
          </w:p>
        </w:tc>
      </w:tr>
      <w:tr w:rsidR="00604247" w:rsidTr="00604247">
        <w:trPr>
          <w:jc w:val="center"/>
        </w:trPr>
        <w:tc>
          <w:tcPr>
            <w:tcW w:w="1977" w:type="pct"/>
            <w:tcBorders>
              <w:top w:val="single" w:sz="4" w:space="0" w:color="auto"/>
              <w:left w:val="single" w:sz="4" w:space="0" w:color="auto"/>
              <w:bottom w:val="single" w:sz="4" w:space="0" w:color="auto"/>
              <w:right w:val="single" w:sz="4" w:space="0" w:color="auto"/>
            </w:tcBorders>
            <w:hideMark/>
          </w:tcPr>
          <w:p w:rsidR="00604247" w:rsidRPr="00243EA6" w:rsidRDefault="00604247" w:rsidP="00604247">
            <w:pPr>
              <w:rPr>
                <w:sz w:val="22"/>
                <w:szCs w:val="22"/>
                <w:lang w:val="es-ES"/>
              </w:rPr>
            </w:pPr>
            <w:r w:rsidRPr="00243EA6">
              <w:rPr>
                <w:sz w:val="22"/>
                <w:szCs w:val="22"/>
                <w:lang w:val="es-ES"/>
              </w:rPr>
              <w:t>Sofosbuvir</w:t>
            </w:r>
          </w:p>
          <w:p w:rsidR="00604247" w:rsidRPr="00243EA6" w:rsidRDefault="00604247" w:rsidP="00604247">
            <w:pPr>
              <w:rPr>
                <w:sz w:val="22"/>
                <w:szCs w:val="22"/>
                <w:lang w:val="es-ES"/>
              </w:rPr>
            </w:pPr>
            <w:r w:rsidRPr="00243EA6">
              <w:rPr>
                <w:sz w:val="22"/>
                <w:szCs w:val="22"/>
                <w:lang w:val="es-ES"/>
              </w:rPr>
              <w:t>(400 mg q.d.) +</w:t>
            </w:r>
          </w:p>
          <w:p w:rsidR="00604247" w:rsidRPr="00243EA6" w:rsidRDefault="00604247" w:rsidP="00604247">
            <w:pPr>
              <w:rPr>
                <w:sz w:val="22"/>
                <w:szCs w:val="22"/>
                <w:lang w:val="es-ES"/>
              </w:rPr>
            </w:pPr>
            <w:r w:rsidRPr="00243EA6">
              <w:rPr>
                <w:sz w:val="22"/>
                <w:szCs w:val="22"/>
                <w:lang w:val="es-ES"/>
              </w:rPr>
              <w:t>Efavirenz/emtricitabine/tenofovir</w:t>
            </w:r>
            <w:r w:rsidRPr="00243EA6">
              <w:rPr>
                <w:sz w:val="22"/>
                <w:szCs w:val="22"/>
                <w:lang w:val="es-ES"/>
              </w:rPr>
              <w:softHyphen/>
              <w:t>disoproxil</w:t>
            </w:r>
          </w:p>
          <w:p w:rsidR="00604247" w:rsidRDefault="00604247" w:rsidP="00604247">
            <w:pPr>
              <w:rPr>
                <w:sz w:val="22"/>
                <w:szCs w:val="22"/>
                <w:lang w:val="en-US"/>
              </w:rPr>
            </w:pPr>
            <w:r>
              <w:rPr>
                <w:sz w:val="22"/>
                <w:szCs w:val="22"/>
                <w:lang w:val="en-US"/>
              </w:rPr>
              <w:t>(600 mg/200 mg/245 mg q.d.)</w:t>
            </w:r>
          </w:p>
        </w:tc>
        <w:tc>
          <w:tcPr>
            <w:tcW w:w="1450" w:type="pct"/>
            <w:tcBorders>
              <w:top w:val="single" w:sz="4" w:space="0" w:color="auto"/>
              <w:left w:val="single" w:sz="4" w:space="0" w:color="auto"/>
              <w:bottom w:val="single" w:sz="4" w:space="0" w:color="auto"/>
              <w:right w:val="single" w:sz="4" w:space="0" w:color="auto"/>
            </w:tcBorders>
          </w:tcPr>
          <w:p w:rsidR="00604247" w:rsidRDefault="00604247" w:rsidP="00604247">
            <w:pPr>
              <w:rPr>
                <w:sz w:val="22"/>
                <w:szCs w:val="22"/>
                <w:lang w:val="en-US"/>
              </w:rPr>
            </w:pPr>
            <w:r>
              <w:rPr>
                <w:sz w:val="22"/>
                <w:szCs w:val="22"/>
                <w:lang w:val="en-US"/>
              </w:rPr>
              <w:t>Sofosbuvir:</w:t>
            </w:r>
          </w:p>
          <w:p w:rsidR="00604247" w:rsidRDefault="00604247" w:rsidP="00604247">
            <w:pPr>
              <w:rPr>
                <w:sz w:val="22"/>
                <w:szCs w:val="22"/>
                <w:lang w:val="en-US"/>
              </w:rPr>
            </w:pPr>
            <w:r>
              <w:rPr>
                <w:sz w:val="22"/>
                <w:szCs w:val="22"/>
                <w:lang w:val="en-US"/>
              </w:rPr>
              <w:t>AUC: ↔</w:t>
            </w:r>
          </w:p>
          <w:p w:rsidR="00604247" w:rsidRDefault="00604247" w:rsidP="00604247">
            <w:pPr>
              <w:rPr>
                <w:sz w:val="22"/>
                <w:szCs w:val="22"/>
                <w:lang w:val="en-US"/>
              </w:rPr>
            </w:pPr>
            <w:r>
              <w:rPr>
                <w:sz w:val="22"/>
                <w:szCs w:val="22"/>
                <w:lang w:val="en-US"/>
              </w:rPr>
              <w:t>C</w:t>
            </w:r>
            <w:r>
              <w:rPr>
                <w:sz w:val="22"/>
                <w:szCs w:val="22"/>
                <w:vertAlign w:val="subscript"/>
                <w:lang w:val="en-US"/>
              </w:rPr>
              <w:t>max</w:t>
            </w:r>
            <w:r>
              <w:rPr>
                <w:sz w:val="22"/>
                <w:szCs w:val="22"/>
                <w:lang w:val="en-US"/>
              </w:rPr>
              <w:t>: ↓ 19 % (↓ 40 til ↑ 10)</w:t>
            </w:r>
          </w:p>
          <w:p w:rsidR="00604247" w:rsidRDefault="00604247" w:rsidP="00604247">
            <w:pPr>
              <w:rPr>
                <w:sz w:val="22"/>
                <w:szCs w:val="22"/>
                <w:lang w:val="en-US"/>
              </w:rPr>
            </w:pPr>
          </w:p>
          <w:p w:rsidR="00604247" w:rsidRDefault="00604247" w:rsidP="00604247">
            <w:pPr>
              <w:rPr>
                <w:sz w:val="22"/>
                <w:szCs w:val="22"/>
                <w:lang w:val="en-US"/>
              </w:rPr>
            </w:pPr>
            <w:r>
              <w:rPr>
                <w:sz w:val="22"/>
                <w:szCs w:val="22"/>
                <w:lang w:val="en-US"/>
              </w:rPr>
              <w:t>GS-331007</w:t>
            </w:r>
            <w:r>
              <w:rPr>
                <w:sz w:val="22"/>
                <w:szCs w:val="22"/>
                <w:vertAlign w:val="superscript"/>
                <w:lang w:val="en-US"/>
              </w:rPr>
              <w:t>1</w:t>
            </w:r>
            <w:r>
              <w:rPr>
                <w:sz w:val="22"/>
                <w:szCs w:val="22"/>
                <w:lang w:val="en-US"/>
              </w:rPr>
              <w:t>:</w:t>
            </w:r>
          </w:p>
          <w:p w:rsidR="00604247" w:rsidRDefault="00604247" w:rsidP="00604247">
            <w:pPr>
              <w:rPr>
                <w:sz w:val="22"/>
                <w:szCs w:val="22"/>
                <w:lang w:val="en-US"/>
              </w:rPr>
            </w:pPr>
            <w:r>
              <w:rPr>
                <w:sz w:val="22"/>
                <w:szCs w:val="22"/>
                <w:lang w:val="en-US"/>
              </w:rPr>
              <w:t>AUC: ↔</w:t>
            </w:r>
          </w:p>
          <w:p w:rsidR="00604247" w:rsidRDefault="00604247" w:rsidP="00604247">
            <w:pPr>
              <w:rPr>
                <w:sz w:val="22"/>
                <w:szCs w:val="22"/>
                <w:lang w:val="en-US"/>
              </w:rPr>
            </w:pPr>
            <w:r>
              <w:rPr>
                <w:sz w:val="22"/>
                <w:szCs w:val="22"/>
                <w:lang w:val="en-US"/>
              </w:rPr>
              <w:t>C</w:t>
            </w:r>
            <w:r>
              <w:rPr>
                <w:sz w:val="22"/>
                <w:szCs w:val="22"/>
                <w:vertAlign w:val="subscript"/>
                <w:lang w:val="en-US"/>
              </w:rPr>
              <w:t>max</w:t>
            </w:r>
            <w:r>
              <w:rPr>
                <w:sz w:val="22"/>
                <w:szCs w:val="22"/>
                <w:lang w:val="en-US"/>
              </w:rPr>
              <w:t>: ↓ 23 % (↓ 30 til ↑ 16)</w:t>
            </w:r>
          </w:p>
          <w:p w:rsidR="00604247" w:rsidRDefault="00604247" w:rsidP="00604247">
            <w:pPr>
              <w:rPr>
                <w:sz w:val="22"/>
                <w:szCs w:val="22"/>
                <w:lang w:val="en-US"/>
              </w:rPr>
            </w:pPr>
          </w:p>
          <w:p w:rsidR="00604247" w:rsidRDefault="00604247" w:rsidP="00604247">
            <w:pPr>
              <w:rPr>
                <w:sz w:val="22"/>
                <w:szCs w:val="22"/>
                <w:lang w:val="en-US"/>
              </w:rPr>
            </w:pPr>
            <w:r>
              <w:rPr>
                <w:sz w:val="22"/>
                <w:szCs w:val="22"/>
                <w:lang w:val="en-US"/>
              </w:rPr>
              <w:t>Efavirenz:</w:t>
            </w:r>
          </w:p>
          <w:p w:rsidR="00604247" w:rsidRDefault="00604247" w:rsidP="00604247">
            <w:pPr>
              <w:rPr>
                <w:sz w:val="22"/>
                <w:szCs w:val="22"/>
                <w:lang w:val="en-US"/>
              </w:rPr>
            </w:pPr>
            <w:r>
              <w:rPr>
                <w:sz w:val="22"/>
                <w:szCs w:val="22"/>
                <w:lang w:val="en-US"/>
              </w:rPr>
              <w:t>AUC: ↔</w:t>
            </w:r>
          </w:p>
          <w:p w:rsidR="00604247" w:rsidRDefault="00604247" w:rsidP="00604247">
            <w:pPr>
              <w:rPr>
                <w:sz w:val="22"/>
                <w:szCs w:val="22"/>
                <w:lang w:val="en-US"/>
              </w:rPr>
            </w:pPr>
            <w:r>
              <w:rPr>
                <w:sz w:val="22"/>
                <w:szCs w:val="22"/>
                <w:lang w:val="en-US"/>
              </w:rPr>
              <w:t>C</w:t>
            </w:r>
            <w:r>
              <w:rPr>
                <w:sz w:val="22"/>
                <w:szCs w:val="22"/>
                <w:vertAlign w:val="subscript"/>
                <w:lang w:val="en-US"/>
              </w:rPr>
              <w:t>max</w:t>
            </w:r>
            <w:r>
              <w:rPr>
                <w:sz w:val="22"/>
                <w:szCs w:val="22"/>
                <w:lang w:val="en-US"/>
              </w:rPr>
              <w:t>: ↔</w:t>
            </w:r>
          </w:p>
          <w:p w:rsidR="00604247" w:rsidRDefault="00604247" w:rsidP="00604247">
            <w:pPr>
              <w:rPr>
                <w:sz w:val="22"/>
                <w:szCs w:val="22"/>
                <w:lang w:val="en-US"/>
              </w:rPr>
            </w:pPr>
            <w:r>
              <w:rPr>
                <w:sz w:val="22"/>
                <w:szCs w:val="22"/>
                <w:lang w:val="en-US"/>
              </w:rPr>
              <w:t>C</w:t>
            </w:r>
            <w:r>
              <w:rPr>
                <w:sz w:val="22"/>
                <w:szCs w:val="22"/>
                <w:vertAlign w:val="subscript"/>
                <w:lang w:val="en-US"/>
              </w:rPr>
              <w:t>min</w:t>
            </w:r>
            <w:r>
              <w:rPr>
                <w:sz w:val="22"/>
                <w:szCs w:val="22"/>
                <w:lang w:val="en-US"/>
              </w:rPr>
              <w:t>: ↔</w:t>
            </w:r>
          </w:p>
          <w:p w:rsidR="00604247" w:rsidRDefault="00604247" w:rsidP="00604247">
            <w:pPr>
              <w:rPr>
                <w:sz w:val="22"/>
                <w:szCs w:val="22"/>
                <w:lang w:val="en-US"/>
              </w:rPr>
            </w:pPr>
          </w:p>
          <w:p w:rsidR="00604247" w:rsidRDefault="00604247" w:rsidP="00604247">
            <w:pPr>
              <w:rPr>
                <w:sz w:val="22"/>
                <w:szCs w:val="22"/>
                <w:lang w:val="en-US"/>
              </w:rPr>
            </w:pPr>
            <w:r>
              <w:rPr>
                <w:sz w:val="22"/>
                <w:szCs w:val="22"/>
                <w:lang w:val="en-US"/>
              </w:rPr>
              <w:t>Emtricitabin:</w:t>
            </w:r>
          </w:p>
          <w:p w:rsidR="00604247" w:rsidRDefault="00604247" w:rsidP="00604247">
            <w:pPr>
              <w:rPr>
                <w:sz w:val="22"/>
                <w:szCs w:val="22"/>
                <w:lang w:val="en-US"/>
              </w:rPr>
            </w:pPr>
            <w:r>
              <w:rPr>
                <w:sz w:val="22"/>
                <w:szCs w:val="22"/>
                <w:lang w:val="en-US"/>
              </w:rPr>
              <w:t>AUC: ↔</w:t>
            </w:r>
          </w:p>
          <w:p w:rsidR="00604247" w:rsidRDefault="00604247" w:rsidP="00604247">
            <w:pPr>
              <w:rPr>
                <w:sz w:val="22"/>
                <w:szCs w:val="22"/>
                <w:lang w:val="en-US"/>
              </w:rPr>
            </w:pPr>
            <w:r>
              <w:rPr>
                <w:sz w:val="22"/>
                <w:szCs w:val="22"/>
                <w:lang w:val="en-US"/>
              </w:rPr>
              <w:t>C</w:t>
            </w:r>
            <w:r>
              <w:rPr>
                <w:sz w:val="22"/>
                <w:szCs w:val="22"/>
                <w:vertAlign w:val="subscript"/>
                <w:lang w:val="en-US"/>
              </w:rPr>
              <w:t>max</w:t>
            </w:r>
            <w:r>
              <w:rPr>
                <w:sz w:val="22"/>
                <w:szCs w:val="22"/>
                <w:lang w:val="en-US"/>
              </w:rPr>
              <w:t>: ↔</w:t>
            </w:r>
          </w:p>
          <w:p w:rsidR="00604247" w:rsidRDefault="00604247" w:rsidP="00604247">
            <w:pPr>
              <w:rPr>
                <w:sz w:val="22"/>
                <w:szCs w:val="22"/>
                <w:lang w:val="en-US"/>
              </w:rPr>
            </w:pPr>
            <w:r>
              <w:rPr>
                <w:sz w:val="22"/>
                <w:szCs w:val="22"/>
                <w:lang w:val="en-US"/>
              </w:rPr>
              <w:t>C</w:t>
            </w:r>
            <w:r>
              <w:rPr>
                <w:sz w:val="22"/>
                <w:szCs w:val="22"/>
                <w:vertAlign w:val="subscript"/>
                <w:lang w:val="en-US"/>
              </w:rPr>
              <w:t>min</w:t>
            </w:r>
            <w:r>
              <w:rPr>
                <w:sz w:val="22"/>
                <w:szCs w:val="22"/>
                <w:lang w:val="en-US"/>
              </w:rPr>
              <w:t>: ↔</w:t>
            </w:r>
          </w:p>
          <w:p w:rsidR="00604247" w:rsidRDefault="00604247" w:rsidP="00604247">
            <w:pPr>
              <w:rPr>
                <w:sz w:val="22"/>
                <w:szCs w:val="22"/>
                <w:lang w:val="en-US"/>
              </w:rPr>
            </w:pPr>
          </w:p>
          <w:p w:rsidR="00604247" w:rsidRDefault="00604247" w:rsidP="00604247">
            <w:pPr>
              <w:rPr>
                <w:sz w:val="22"/>
                <w:szCs w:val="22"/>
                <w:lang w:val="en-US"/>
              </w:rPr>
            </w:pPr>
            <w:r>
              <w:rPr>
                <w:sz w:val="22"/>
                <w:szCs w:val="22"/>
                <w:lang w:val="en-US"/>
              </w:rPr>
              <w:t>Tenofovir:</w:t>
            </w:r>
          </w:p>
          <w:p w:rsidR="00604247" w:rsidRDefault="00604247" w:rsidP="00604247">
            <w:pPr>
              <w:rPr>
                <w:sz w:val="22"/>
                <w:szCs w:val="22"/>
                <w:lang w:val="en-US"/>
              </w:rPr>
            </w:pPr>
            <w:r>
              <w:rPr>
                <w:sz w:val="22"/>
                <w:szCs w:val="22"/>
                <w:lang w:val="en-US"/>
              </w:rPr>
              <w:lastRenderedPageBreak/>
              <w:t>AUC: ↔</w:t>
            </w:r>
          </w:p>
          <w:p w:rsidR="00604247" w:rsidRDefault="00604247" w:rsidP="00604247">
            <w:pPr>
              <w:rPr>
                <w:sz w:val="22"/>
                <w:szCs w:val="22"/>
                <w:lang w:val="en-US"/>
              </w:rPr>
            </w:pPr>
            <w:r>
              <w:rPr>
                <w:sz w:val="22"/>
                <w:szCs w:val="22"/>
                <w:lang w:val="en-US"/>
              </w:rPr>
              <w:t>C</w:t>
            </w:r>
            <w:r>
              <w:rPr>
                <w:sz w:val="22"/>
                <w:szCs w:val="22"/>
                <w:vertAlign w:val="subscript"/>
                <w:lang w:val="en-US"/>
              </w:rPr>
              <w:t>max</w:t>
            </w:r>
            <w:r>
              <w:rPr>
                <w:sz w:val="22"/>
                <w:szCs w:val="22"/>
                <w:lang w:val="en-US"/>
              </w:rPr>
              <w:t>: ↑ 25 % (↑ 8 til ↑ 45)</w:t>
            </w:r>
          </w:p>
          <w:p w:rsidR="00604247" w:rsidRDefault="00604247" w:rsidP="00604247">
            <w:pPr>
              <w:rPr>
                <w:sz w:val="22"/>
                <w:szCs w:val="22"/>
              </w:rPr>
            </w:pPr>
            <w:r>
              <w:rPr>
                <w:sz w:val="22"/>
                <w:szCs w:val="22"/>
              </w:rPr>
              <w:t>C</w:t>
            </w:r>
            <w:r>
              <w:rPr>
                <w:sz w:val="22"/>
                <w:szCs w:val="22"/>
                <w:vertAlign w:val="subscript"/>
              </w:rPr>
              <w:t>min</w:t>
            </w:r>
            <w:r>
              <w:rPr>
                <w:sz w:val="22"/>
                <w:szCs w:val="22"/>
              </w:rPr>
              <w:t>: ↔</w:t>
            </w:r>
          </w:p>
        </w:tc>
        <w:tc>
          <w:tcPr>
            <w:tcW w:w="1573" w:type="pct"/>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lang w:bidi="en-GB"/>
              </w:rPr>
            </w:pPr>
            <w:r>
              <w:rPr>
                <w:sz w:val="22"/>
                <w:szCs w:val="22"/>
                <w:lang w:bidi="en-GB"/>
              </w:rPr>
              <w:lastRenderedPageBreak/>
              <w:t>Efavirenz/Emtricitabine/</w:t>
            </w:r>
          </w:p>
          <w:p w:rsidR="00604247" w:rsidRDefault="00604247" w:rsidP="00604247">
            <w:pPr>
              <w:rPr>
                <w:sz w:val="22"/>
                <w:szCs w:val="22"/>
              </w:rPr>
            </w:pPr>
            <w:r>
              <w:rPr>
                <w:sz w:val="22"/>
                <w:szCs w:val="22"/>
                <w:lang w:bidi="en-GB"/>
              </w:rPr>
              <w:t>Tenofovir disoproxil "Glenmark" og sofosbuvir kan administreres samtidigt uden dosisjustering</w:t>
            </w:r>
          </w:p>
        </w:tc>
      </w:tr>
      <w:tr w:rsidR="00604247" w:rsidTr="00243EA6">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b/>
                <w:sz w:val="22"/>
                <w:szCs w:val="22"/>
              </w:rPr>
              <w:t>Antibiotika</w:t>
            </w:r>
          </w:p>
        </w:tc>
      </w:tr>
      <w:tr w:rsidR="00604247" w:rsidTr="00604247">
        <w:trPr>
          <w:jc w:val="center"/>
        </w:trPr>
        <w:tc>
          <w:tcPr>
            <w:tcW w:w="1977" w:type="pct"/>
            <w:tcBorders>
              <w:top w:val="single"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t>Clarithromycin/efavirenz</w:t>
            </w:r>
          </w:p>
          <w:p w:rsidR="00604247" w:rsidRDefault="00604247" w:rsidP="00604247">
            <w:pPr>
              <w:rPr>
                <w:sz w:val="22"/>
                <w:szCs w:val="22"/>
              </w:rPr>
            </w:pPr>
            <w:r>
              <w:rPr>
                <w:sz w:val="22"/>
                <w:szCs w:val="22"/>
              </w:rPr>
              <w:t>(500 mg b.i.d./400 mg q.d.)</w:t>
            </w:r>
          </w:p>
        </w:tc>
        <w:tc>
          <w:tcPr>
            <w:tcW w:w="1450" w:type="pct"/>
            <w:tcBorders>
              <w:top w:val="single" w:sz="4" w:space="0" w:color="auto"/>
              <w:left w:val="single" w:sz="4" w:space="0" w:color="auto"/>
              <w:bottom w:val="dotted" w:sz="4" w:space="0" w:color="auto"/>
              <w:right w:val="single" w:sz="4" w:space="0" w:color="auto"/>
            </w:tcBorders>
          </w:tcPr>
          <w:p w:rsidR="00604247" w:rsidRDefault="00604247" w:rsidP="00604247">
            <w:pPr>
              <w:rPr>
                <w:sz w:val="22"/>
                <w:szCs w:val="22"/>
              </w:rPr>
            </w:pPr>
            <w:r>
              <w:rPr>
                <w:sz w:val="22"/>
                <w:szCs w:val="22"/>
              </w:rPr>
              <w:t>Clarithromycin:</w:t>
            </w:r>
          </w:p>
          <w:p w:rsidR="00604247" w:rsidRDefault="00604247" w:rsidP="00604247">
            <w:pPr>
              <w:rPr>
                <w:sz w:val="22"/>
                <w:szCs w:val="22"/>
              </w:rPr>
            </w:pPr>
            <w:r>
              <w:rPr>
                <w:sz w:val="22"/>
                <w:szCs w:val="22"/>
              </w:rPr>
              <w:t>AUC: ↓ 39 % (↓ 30 til ↓ 46)</w:t>
            </w:r>
          </w:p>
          <w:p w:rsidR="00604247" w:rsidRDefault="00604247" w:rsidP="00604247">
            <w:pPr>
              <w:rPr>
                <w:sz w:val="22"/>
                <w:szCs w:val="22"/>
              </w:rPr>
            </w:pPr>
            <w:r>
              <w:rPr>
                <w:sz w:val="22"/>
                <w:szCs w:val="22"/>
              </w:rPr>
              <w:t>C</w:t>
            </w:r>
            <w:r>
              <w:rPr>
                <w:sz w:val="22"/>
                <w:szCs w:val="22"/>
                <w:vertAlign w:val="subscript"/>
              </w:rPr>
              <w:t>max</w:t>
            </w:r>
            <w:r>
              <w:rPr>
                <w:sz w:val="22"/>
                <w:szCs w:val="22"/>
              </w:rPr>
              <w:t>: ↓ 26 % (↓ 15 til ↓ 35)</w:t>
            </w:r>
          </w:p>
          <w:p w:rsidR="00604247" w:rsidRDefault="00604247" w:rsidP="00604247">
            <w:pPr>
              <w:rPr>
                <w:sz w:val="22"/>
                <w:szCs w:val="22"/>
              </w:rPr>
            </w:pPr>
          </w:p>
          <w:p w:rsidR="00604247" w:rsidRDefault="00604247" w:rsidP="00604247">
            <w:pPr>
              <w:rPr>
                <w:sz w:val="22"/>
                <w:szCs w:val="22"/>
              </w:rPr>
            </w:pPr>
            <w:r>
              <w:rPr>
                <w:sz w:val="22"/>
                <w:szCs w:val="22"/>
              </w:rPr>
              <w:t>Clarithromycin</w:t>
            </w:r>
          </w:p>
          <w:p w:rsidR="00604247" w:rsidRDefault="00604247" w:rsidP="00604247">
            <w:pPr>
              <w:rPr>
                <w:sz w:val="22"/>
                <w:szCs w:val="22"/>
              </w:rPr>
            </w:pPr>
            <w:r>
              <w:rPr>
                <w:sz w:val="22"/>
                <w:szCs w:val="22"/>
              </w:rPr>
              <w:t>14-hydroxymetabolite:</w:t>
            </w:r>
          </w:p>
          <w:p w:rsidR="00604247" w:rsidRDefault="00604247" w:rsidP="00604247">
            <w:pPr>
              <w:rPr>
                <w:sz w:val="22"/>
                <w:szCs w:val="22"/>
              </w:rPr>
            </w:pPr>
            <w:r>
              <w:rPr>
                <w:sz w:val="22"/>
                <w:szCs w:val="22"/>
              </w:rPr>
              <w:t>AUC: ↑ 34 % (↑ 18 til ↑ 53)</w:t>
            </w:r>
          </w:p>
          <w:p w:rsidR="00604247" w:rsidRDefault="00604247" w:rsidP="00604247">
            <w:pPr>
              <w:rPr>
                <w:sz w:val="22"/>
                <w:szCs w:val="22"/>
              </w:rPr>
            </w:pPr>
            <w:r>
              <w:rPr>
                <w:sz w:val="22"/>
                <w:szCs w:val="22"/>
              </w:rPr>
              <w:t>C</w:t>
            </w:r>
            <w:r>
              <w:rPr>
                <w:sz w:val="22"/>
                <w:szCs w:val="22"/>
                <w:vertAlign w:val="subscript"/>
              </w:rPr>
              <w:t>max</w:t>
            </w:r>
            <w:r>
              <w:rPr>
                <w:sz w:val="22"/>
                <w:szCs w:val="22"/>
              </w:rPr>
              <w:t>: ↑ 49 % (↑ 32 til ↑ 69)</w:t>
            </w:r>
          </w:p>
          <w:p w:rsidR="00604247" w:rsidRDefault="00604247" w:rsidP="00604247">
            <w:pPr>
              <w:rPr>
                <w:sz w:val="22"/>
                <w:szCs w:val="22"/>
              </w:rPr>
            </w:pPr>
          </w:p>
          <w:p w:rsidR="00604247" w:rsidRDefault="00604247" w:rsidP="00604247">
            <w:pPr>
              <w:rPr>
                <w:sz w:val="22"/>
                <w:szCs w:val="22"/>
              </w:rPr>
            </w:pPr>
            <w:r>
              <w:rPr>
                <w:sz w:val="22"/>
                <w:szCs w:val="22"/>
              </w:rPr>
              <w:t>Efavirenz:</w:t>
            </w:r>
          </w:p>
          <w:p w:rsidR="00604247" w:rsidRDefault="00604247" w:rsidP="00604247">
            <w:pPr>
              <w:rPr>
                <w:sz w:val="22"/>
                <w:szCs w:val="22"/>
              </w:rPr>
            </w:pPr>
            <w:r>
              <w:rPr>
                <w:sz w:val="22"/>
                <w:szCs w:val="22"/>
              </w:rPr>
              <w:t>AUC: ↔</w:t>
            </w:r>
          </w:p>
          <w:p w:rsidR="00604247" w:rsidRDefault="00604247" w:rsidP="00604247">
            <w:pPr>
              <w:rPr>
                <w:sz w:val="22"/>
                <w:szCs w:val="22"/>
              </w:rPr>
            </w:pPr>
            <w:r>
              <w:rPr>
                <w:sz w:val="22"/>
                <w:szCs w:val="22"/>
              </w:rPr>
              <w:t>C</w:t>
            </w:r>
            <w:r>
              <w:rPr>
                <w:sz w:val="22"/>
                <w:szCs w:val="22"/>
                <w:vertAlign w:val="subscript"/>
              </w:rPr>
              <w:t>max</w:t>
            </w:r>
            <w:r>
              <w:rPr>
                <w:sz w:val="22"/>
                <w:szCs w:val="22"/>
              </w:rPr>
              <w:t>: ↑ 11 % (↑ 3 til ↑ 19)</w:t>
            </w:r>
          </w:p>
          <w:p w:rsidR="00604247" w:rsidRDefault="00604247" w:rsidP="00604247">
            <w:pPr>
              <w:rPr>
                <w:sz w:val="22"/>
                <w:szCs w:val="22"/>
                <w:lang w:bidi="en-GB"/>
              </w:rPr>
            </w:pPr>
            <w:r>
              <w:rPr>
                <w:sz w:val="22"/>
                <w:szCs w:val="22"/>
                <w:lang w:bidi="en-GB"/>
              </w:rPr>
              <w:t>(CYP3A4-induktion)</w:t>
            </w:r>
          </w:p>
          <w:p w:rsidR="00604247" w:rsidRDefault="00604247" w:rsidP="00604247">
            <w:pPr>
              <w:rPr>
                <w:sz w:val="22"/>
                <w:szCs w:val="22"/>
              </w:rPr>
            </w:pPr>
            <w:r>
              <w:rPr>
                <w:sz w:val="22"/>
                <w:szCs w:val="22"/>
                <w:lang w:bidi="en-GB"/>
              </w:rPr>
              <w:t>Udslæt udvikledes hos 46 % af de ikke</w:t>
            </w:r>
            <w:r>
              <w:rPr>
                <w:sz w:val="22"/>
                <w:szCs w:val="22"/>
                <w:lang w:bidi="en-GB"/>
              </w:rPr>
              <w:noBreakHyphen/>
              <w:t>inficerede frivillige, der fik efavirenz og clarithromycin.</w:t>
            </w:r>
          </w:p>
        </w:tc>
        <w:tc>
          <w:tcPr>
            <w:tcW w:w="1573" w:type="pct"/>
            <w:vMerge w:val="restart"/>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lang w:bidi="en-GB"/>
              </w:rPr>
            </w:pPr>
            <w:r>
              <w:rPr>
                <w:sz w:val="22"/>
                <w:szCs w:val="22"/>
                <w:lang w:bidi="en-GB"/>
              </w:rPr>
              <w:t>Den kliniske signifikans af disse ændringer i clarithromycins plasmakoncentrationer er ukendt. Alternativer til clarithromycin (f.eks. azithromycin) kan overvejes. Andre makrolide antibiotika, så som erythromycin, er ikke blevet undersøgt i kombination med Efavirenz/Emtricitabine/</w:t>
            </w:r>
          </w:p>
          <w:p w:rsidR="00604247" w:rsidRDefault="00604247" w:rsidP="00604247">
            <w:pPr>
              <w:rPr>
                <w:sz w:val="22"/>
                <w:szCs w:val="22"/>
                <w:lang w:bidi="en-GB"/>
              </w:rPr>
            </w:pPr>
            <w:r>
              <w:rPr>
                <w:sz w:val="22"/>
                <w:szCs w:val="22"/>
                <w:lang w:bidi="en-GB"/>
              </w:rPr>
              <w:t>Tenofovir disoproxil "Glenmark".</w:t>
            </w:r>
          </w:p>
        </w:tc>
      </w:tr>
      <w:tr w:rsidR="00604247" w:rsidTr="00604247">
        <w:trPr>
          <w:jc w:val="center"/>
        </w:trPr>
        <w:tc>
          <w:tcPr>
            <w:tcW w:w="1977" w:type="pct"/>
            <w:tcBorders>
              <w:top w:val="dotted"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t>Clarithromycin/emtricitabin</w:t>
            </w:r>
          </w:p>
        </w:tc>
        <w:tc>
          <w:tcPr>
            <w:tcW w:w="1450" w:type="pct"/>
            <w:tcBorders>
              <w:top w:val="dotted"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t>Interaktion er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4247" w:rsidRDefault="00604247" w:rsidP="00604247">
            <w:pPr>
              <w:rPr>
                <w:sz w:val="22"/>
                <w:szCs w:val="22"/>
                <w:lang w:bidi="en-GB"/>
              </w:rPr>
            </w:pPr>
          </w:p>
        </w:tc>
      </w:tr>
      <w:tr w:rsidR="00604247" w:rsidTr="00604247">
        <w:trPr>
          <w:jc w:val="center"/>
        </w:trPr>
        <w:tc>
          <w:tcPr>
            <w:tcW w:w="1977" w:type="pct"/>
            <w:tcBorders>
              <w:top w:val="dotted"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sz w:val="22"/>
                <w:szCs w:val="22"/>
              </w:rPr>
              <w:t>Clarithromycin/tenofovirdisoproxil</w:t>
            </w:r>
          </w:p>
        </w:tc>
        <w:tc>
          <w:tcPr>
            <w:tcW w:w="1450" w:type="pct"/>
            <w:tcBorders>
              <w:top w:val="dotted"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sz w:val="22"/>
                <w:szCs w:val="22"/>
              </w:rPr>
              <w:t>Interaktion er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4247" w:rsidRDefault="00604247" w:rsidP="00604247">
            <w:pPr>
              <w:rPr>
                <w:sz w:val="22"/>
                <w:szCs w:val="22"/>
                <w:lang w:bidi="en-GB"/>
              </w:rPr>
            </w:pPr>
          </w:p>
        </w:tc>
      </w:tr>
      <w:tr w:rsidR="00604247" w:rsidTr="00243EA6">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b/>
                <w:sz w:val="22"/>
                <w:szCs w:val="22"/>
                <w:lang w:bidi="en-GB"/>
              </w:rPr>
              <w:t>Antimykobakterielle lægemidler</w:t>
            </w:r>
          </w:p>
        </w:tc>
      </w:tr>
      <w:tr w:rsidR="00604247" w:rsidTr="00604247">
        <w:trPr>
          <w:jc w:val="center"/>
        </w:trPr>
        <w:tc>
          <w:tcPr>
            <w:tcW w:w="1977" w:type="pct"/>
            <w:tcBorders>
              <w:top w:val="single" w:sz="4" w:space="0" w:color="auto"/>
              <w:left w:val="single" w:sz="4" w:space="0" w:color="auto"/>
              <w:bottom w:val="dotted" w:sz="4" w:space="0" w:color="auto"/>
              <w:right w:val="single" w:sz="4" w:space="0" w:color="auto"/>
            </w:tcBorders>
            <w:hideMark/>
          </w:tcPr>
          <w:p w:rsidR="00604247" w:rsidRPr="000E6D4D" w:rsidRDefault="00604247" w:rsidP="00604247">
            <w:pPr>
              <w:rPr>
                <w:sz w:val="22"/>
                <w:szCs w:val="22"/>
                <w:lang w:val="en-US"/>
              </w:rPr>
            </w:pPr>
            <w:r w:rsidRPr="000E6D4D">
              <w:rPr>
                <w:sz w:val="22"/>
                <w:szCs w:val="22"/>
                <w:lang w:val="en-US"/>
              </w:rPr>
              <w:t>Rifabutin/efavirenz</w:t>
            </w:r>
          </w:p>
          <w:p w:rsidR="00604247" w:rsidRPr="000E6D4D" w:rsidRDefault="00604247" w:rsidP="00604247">
            <w:pPr>
              <w:rPr>
                <w:sz w:val="22"/>
                <w:szCs w:val="22"/>
                <w:lang w:val="en-US"/>
              </w:rPr>
            </w:pPr>
            <w:r w:rsidRPr="000E6D4D">
              <w:rPr>
                <w:sz w:val="22"/>
                <w:szCs w:val="22"/>
                <w:lang w:val="en-US"/>
              </w:rPr>
              <w:t>(300 mg q.d./600 mg q.d.)</w:t>
            </w:r>
          </w:p>
        </w:tc>
        <w:tc>
          <w:tcPr>
            <w:tcW w:w="1450" w:type="pct"/>
            <w:tcBorders>
              <w:top w:val="single" w:sz="4" w:space="0" w:color="auto"/>
              <w:left w:val="single" w:sz="4" w:space="0" w:color="auto"/>
              <w:bottom w:val="dotted" w:sz="4" w:space="0" w:color="auto"/>
              <w:right w:val="single" w:sz="4" w:space="0" w:color="auto"/>
            </w:tcBorders>
          </w:tcPr>
          <w:p w:rsidR="00604247" w:rsidRPr="000E6D4D" w:rsidRDefault="00604247" w:rsidP="00604247">
            <w:pPr>
              <w:rPr>
                <w:sz w:val="22"/>
                <w:szCs w:val="22"/>
                <w:lang w:val="en-US"/>
              </w:rPr>
            </w:pPr>
            <w:r w:rsidRPr="000E6D4D">
              <w:rPr>
                <w:sz w:val="22"/>
                <w:szCs w:val="22"/>
                <w:lang w:val="en-US"/>
              </w:rPr>
              <w:t>Rifabutin:</w:t>
            </w:r>
          </w:p>
          <w:p w:rsidR="00604247" w:rsidRPr="000E6D4D" w:rsidRDefault="00604247" w:rsidP="00604247">
            <w:pPr>
              <w:rPr>
                <w:sz w:val="22"/>
                <w:szCs w:val="22"/>
                <w:lang w:val="en-US"/>
              </w:rPr>
            </w:pPr>
            <w:r w:rsidRPr="000E6D4D">
              <w:rPr>
                <w:sz w:val="22"/>
                <w:szCs w:val="22"/>
                <w:lang w:val="en-US"/>
              </w:rPr>
              <w:t>AUC: ↓ 38 % (↓ 28 til ↓ 47)</w:t>
            </w:r>
          </w:p>
          <w:p w:rsidR="00604247" w:rsidRPr="000E6D4D" w:rsidRDefault="00604247" w:rsidP="00604247">
            <w:pPr>
              <w:rPr>
                <w:sz w:val="22"/>
                <w:szCs w:val="22"/>
                <w:lang w:val="en-US"/>
              </w:rPr>
            </w:pPr>
            <w:r w:rsidRPr="000E6D4D">
              <w:rPr>
                <w:sz w:val="22"/>
                <w:szCs w:val="22"/>
                <w:lang w:val="en-US"/>
              </w:rPr>
              <w:t>C</w:t>
            </w:r>
            <w:r w:rsidRPr="000E6D4D">
              <w:rPr>
                <w:sz w:val="22"/>
                <w:szCs w:val="22"/>
                <w:vertAlign w:val="subscript"/>
                <w:lang w:val="en-US"/>
              </w:rPr>
              <w:t>max</w:t>
            </w:r>
            <w:r w:rsidRPr="000E6D4D">
              <w:rPr>
                <w:sz w:val="22"/>
                <w:szCs w:val="22"/>
                <w:lang w:val="en-US"/>
              </w:rPr>
              <w:t>: ↓ 32 % (↓ 15 til ↓ 46)</w:t>
            </w:r>
          </w:p>
          <w:p w:rsidR="00604247" w:rsidRPr="000E6D4D" w:rsidRDefault="00604247" w:rsidP="00604247">
            <w:pPr>
              <w:rPr>
                <w:sz w:val="22"/>
                <w:szCs w:val="22"/>
                <w:lang w:val="en-US"/>
              </w:rPr>
            </w:pPr>
            <w:r w:rsidRPr="000E6D4D">
              <w:rPr>
                <w:sz w:val="22"/>
                <w:szCs w:val="22"/>
                <w:lang w:val="en-US"/>
              </w:rPr>
              <w:t>C</w:t>
            </w:r>
            <w:r w:rsidRPr="000E6D4D">
              <w:rPr>
                <w:sz w:val="22"/>
                <w:szCs w:val="22"/>
                <w:vertAlign w:val="subscript"/>
                <w:lang w:val="en-US"/>
              </w:rPr>
              <w:t>min</w:t>
            </w:r>
            <w:r w:rsidRPr="000E6D4D">
              <w:rPr>
                <w:sz w:val="22"/>
                <w:szCs w:val="22"/>
                <w:lang w:val="en-US"/>
              </w:rPr>
              <w:t>: ↓ 45 % (↓ 31 til ↓ 56)</w:t>
            </w:r>
          </w:p>
          <w:p w:rsidR="00604247" w:rsidRPr="000E6D4D" w:rsidRDefault="00604247" w:rsidP="00604247">
            <w:pPr>
              <w:rPr>
                <w:sz w:val="22"/>
                <w:szCs w:val="22"/>
                <w:lang w:val="en-US"/>
              </w:rPr>
            </w:pPr>
          </w:p>
          <w:p w:rsidR="00604247" w:rsidRPr="000E6D4D" w:rsidRDefault="00604247" w:rsidP="00604247">
            <w:pPr>
              <w:rPr>
                <w:sz w:val="22"/>
                <w:szCs w:val="22"/>
                <w:lang w:val="en-US"/>
              </w:rPr>
            </w:pPr>
            <w:r w:rsidRPr="000E6D4D">
              <w:rPr>
                <w:sz w:val="22"/>
                <w:szCs w:val="22"/>
                <w:lang w:val="en-US"/>
              </w:rPr>
              <w:t>Efavirenz:</w:t>
            </w:r>
          </w:p>
          <w:p w:rsidR="00604247" w:rsidRPr="000E6D4D" w:rsidRDefault="00604247" w:rsidP="00604247">
            <w:pPr>
              <w:rPr>
                <w:sz w:val="22"/>
                <w:szCs w:val="22"/>
                <w:lang w:val="en-US"/>
              </w:rPr>
            </w:pPr>
            <w:r w:rsidRPr="000E6D4D">
              <w:rPr>
                <w:sz w:val="22"/>
                <w:szCs w:val="22"/>
                <w:lang w:val="en-US"/>
              </w:rPr>
              <w:t>AUC: ↔</w:t>
            </w:r>
          </w:p>
          <w:p w:rsidR="00604247" w:rsidRPr="000E6D4D" w:rsidRDefault="00604247" w:rsidP="00604247">
            <w:pPr>
              <w:rPr>
                <w:sz w:val="22"/>
                <w:szCs w:val="22"/>
                <w:lang w:val="en-US"/>
              </w:rPr>
            </w:pPr>
            <w:r w:rsidRPr="000E6D4D">
              <w:rPr>
                <w:sz w:val="22"/>
                <w:szCs w:val="22"/>
                <w:lang w:val="en-US"/>
              </w:rPr>
              <w:t>C</w:t>
            </w:r>
            <w:r w:rsidRPr="000E6D4D">
              <w:rPr>
                <w:sz w:val="22"/>
                <w:szCs w:val="22"/>
                <w:vertAlign w:val="subscript"/>
                <w:lang w:val="en-US"/>
              </w:rPr>
              <w:t>max</w:t>
            </w:r>
            <w:r w:rsidRPr="000E6D4D">
              <w:rPr>
                <w:sz w:val="22"/>
                <w:szCs w:val="22"/>
                <w:lang w:val="en-US"/>
              </w:rPr>
              <w:t>: ↔</w:t>
            </w:r>
          </w:p>
          <w:p w:rsidR="00604247" w:rsidRDefault="00604247" w:rsidP="00604247">
            <w:pPr>
              <w:rPr>
                <w:sz w:val="22"/>
                <w:szCs w:val="22"/>
              </w:rPr>
            </w:pPr>
            <w:r>
              <w:rPr>
                <w:sz w:val="22"/>
                <w:szCs w:val="22"/>
              </w:rPr>
              <w:t>C</w:t>
            </w:r>
            <w:r>
              <w:rPr>
                <w:sz w:val="22"/>
                <w:szCs w:val="22"/>
                <w:vertAlign w:val="subscript"/>
              </w:rPr>
              <w:t>min</w:t>
            </w:r>
            <w:r>
              <w:rPr>
                <w:sz w:val="22"/>
                <w:szCs w:val="22"/>
              </w:rPr>
              <w:t>: ↓ 12 % (↓ 24 til ↑ 1)</w:t>
            </w:r>
          </w:p>
          <w:p w:rsidR="00604247" w:rsidRDefault="00604247" w:rsidP="00604247">
            <w:pPr>
              <w:rPr>
                <w:sz w:val="22"/>
                <w:szCs w:val="22"/>
              </w:rPr>
            </w:pPr>
            <w:r>
              <w:rPr>
                <w:sz w:val="22"/>
                <w:szCs w:val="22"/>
              </w:rPr>
              <w:t>(CYP3A4</w:t>
            </w:r>
            <w:r>
              <w:rPr>
                <w:sz w:val="22"/>
                <w:szCs w:val="22"/>
              </w:rPr>
              <w:noBreakHyphen/>
              <w:t>induktion)</w:t>
            </w:r>
          </w:p>
        </w:tc>
        <w:tc>
          <w:tcPr>
            <w:tcW w:w="1573" w:type="pct"/>
            <w:vMerge w:val="restart"/>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lang w:bidi="en-GB"/>
              </w:rPr>
            </w:pPr>
            <w:r>
              <w:rPr>
                <w:sz w:val="22"/>
                <w:szCs w:val="22"/>
                <w:lang w:bidi="en-GB"/>
              </w:rPr>
              <w:t>Den daglige rifabutindosis bør øges med 50 %, når det gives sammen med Efavirenz/Emtricitabine/</w:t>
            </w:r>
          </w:p>
          <w:p w:rsidR="00604247" w:rsidRDefault="00604247" w:rsidP="00604247">
            <w:pPr>
              <w:rPr>
                <w:sz w:val="22"/>
                <w:szCs w:val="22"/>
                <w:lang w:bidi="en-GB"/>
              </w:rPr>
            </w:pPr>
            <w:r>
              <w:rPr>
                <w:sz w:val="22"/>
                <w:szCs w:val="22"/>
                <w:lang w:bidi="en-GB"/>
              </w:rPr>
              <w:t>Tenofovir disoproxil "Glenmark". Overvej at fordoble rifabutindosis i regimer, hvor rifabutin gives 2 eller 3 gange om ugen i kombination med Efavirenz/Emtricitabine/</w:t>
            </w:r>
          </w:p>
          <w:p w:rsidR="00604247" w:rsidRDefault="00604247" w:rsidP="00604247">
            <w:pPr>
              <w:rPr>
                <w:sz w:val="22"/>
                <w:szCs w:val="22"/>
                <w:lang w:bidi="en-GB"/>
              </w:rPr>
            </w:pPr>
            <w:r>
              <w:rPr>
                <w:sz w:val="22"/>
                <w:szCs w:val="22"/>
                <w:lang w:bidi="en-GB"/>
              </w:rPr>
              <w:t>Tenofovir disoproxil "Glenmark". Den kliniske virkning af denne dosisjustering er ikke blevet tilstrækkeligt evalueret. Individuel tolerabilitet og virologisk respons bør tages i betragtning, når dosis justeres (se pkt. 5.2).</w:t>
            </w:r>
          </w:p>
        </w:tc>
      </w:tr>
      <w:tr w:rsidR="00604247" w:rsidTr="00604247">
        <w:trPr>
          <w:jc w:val="center"/>
        </w:trPr>
        <w:tc>
          <w:tcPr>
            <w:tcW w:w="1977" w:type="pct"/>
            <w:tcBorders>
              <w:top w:val="dotted"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t>Rifabutin/emtricitabin</w:t>
            </w:r>
          </w:p>
        </w:tc>
        <w:tc>
          <w:tcPr>
            <w:tcW w:w="1450" w:type="pct"/>
            <w:tcBorders>
              <w:top w:val="dotted"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t>Interaktion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4247" w:rsidRDefault="00604247" w:rsidP="00604247">
            <w:pPr>
              <w:rPr>
                <w:sz w:val="22"/>
                <w:szCs w:val="22"/>
                <w:lang w:bidi="en-GB"/>
              </w:rPr>
            </w:pPr>
          </w:p>
        </w:tc>
      </w:tr>
      <w:tr w:rsidR="00604247" w:rsidTr="00604247">
        <w:trPr>
          <w:jc w:val="center"/>
        </w:trPr>
        <w:tc>
          <w:tcPr>
            <w:tcW w:w="1977" w:type="pct"/>
            <w:tcBorders>
              <w:top w:val="dotted"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sz w:val="22"/>
                <w:szCs w:val="22"/>
              </w:rPr>
              <w:t>Rifabutin/tenofovirdisoproxil</w:t>
            </w:r>
          </w:p>
        </w:tc>
        <w:tc>
          <w:tcPr>
            <w:tcW w:w="1450" w:type="pct"/>
            <w:tcBorders>
              <w:top w:val="dotted"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sz w:val="22"/>
                <w:szCs w:val="22"/>
              </w:rPr>
              <w:t>Interaktion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4247" w:rsidRDefault="00604247" w:rsidP="00604247">
            <w:pPr>
              <w:rPr>
                <w:sz w:val="22"/>
                <w:szCs w:val="22"/>
                <w:lang w:bidi="en-GB"/>
              </w:rPr>
            </w:pPr>
          </w:p>
        </w:tc>
      </w:tr>
      <w:tr w:rsidR="00604247" w:rsidTr="00604247">
        <w:trPr>
          <w:jc w:val="center"/>
        </w:trPr>
        <w:tc>
          <w:tcPr>
            <w:tcW w:w="1977" w:type="pct"/>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sz w:val="22"/>
                <w:szCs w:val="22"/>
              </w:rPr>
              <w:t>Rifampicin/efavirenz</w:t>
            </w:r>
          </w:p>
          <w:p w:rsidR="00604247" w:rsidRDefault="00604247" w:rsidP="00604247">
            <w:pPr>
              <w:rPr>
                <w:sz w:val="22"/>
                <w:szCs w:val="22"/>
              </w:rPr>
            </w:pPr>
            <w:r>
              <w:rPr>
                <w:sz w:val="22"/>
                <w:szCs w:val="22"/>
              </w:rPr>
              <w:t>(600 mg q.d./600 mg q.d.)</w:t>
            </w:r>
          </w:p>
        </w:tc>
        <w:tc>
          <w:tcPr>
            <w:tcW w:w="1450" w:type="pct"/>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sz w:val="22"/>
                <w:szCs w:val="22"/>
              </w:rPr>
              <w:t>Efavirenz:</w:t>
            </w:r>
          </w:p>
          <w:p w:rsidR="00604247" w:rsidRDefault="00604247" w:rsidP="00604247">
            <w:pPr>
              <w:rPr>
                <w:sz w:val="22"/>
                <w:szCs w:val="22"/>
              </w:rPr>
            </w:pPr>
            <w:r>
              <w:rPr>
                <w:sz w:val="22"/>
                <w:szCs w:val="22"/>
              </w:rPr>
              <w:t>AUC: ↓ 26 % (↓ 15 til ↓ 36)</w:t>
            </w:r>
          </w:p>
          <w:p w:rsidR="00604247" w:rsidRDefault="00604247" w:rsidP="00604247">
            <w:pPr>
              <w:rPr>
                <w:sz w:val="22"/>
                <w:szCs w:val="22"/>
              </w:rPr>
            </w:pPr>
            <w:r>
              <w:rPr>
                <w:sz w:val="22"/>
                <w:szCs w:val="22"/>
              </w:rPr>
              <w:lastRenderedPageBreak/>
              <w:t>C</w:t>
            </w:r>
            <w:r>
              <w:rPr>
                <w:sz w:val="22"/>
                <w:szCs w:val="22"/>
                <w:vertAlign w:val="subscript"/>
              </w:rPr>
              <w:t>max</w:t>
            </w:r>
            <w:r>
              <w:rPr>
                <w:sz w:val="22"/>
                <w:szCs w:val="22"/>
              </w:rPr>
              <w:t>: ↓ 20 % (↓ 11 til ↓ 28)</w:t>
            </w:r>
          </w:p>
          <w:p w:rsidR="00604247" w:rsidRDefault="00604247" w:rsidP="00604247">
            <w:pPr>
              <w:rPr>
                <w:sz w:val="22"/>
                <w:szCs w:val="22"/>
              </w:rPr>
            </w:pPr>
            <w:r>
              <w:rPr>
                <w:sz w:val="22"/>
                <w:szCs w:val="22"/>
              </w:rPr>
              <w:t>C</w:t>
            </w:r>
            <w:r>
              <w:rPr>
                <w:sz w:val="22"/>
                <w:szCs w:val="22"/>
                <w:vertAlign w:val="subscript"/>
              </w:rPr>
              <w:t>min</w:t>
            </w:r>
            <w:r>
              <w:rPr>
                <w:sz w:val="22"/>
                <w:szCs w:val="22"/>
              </w:rPr>
              <w:t>: ↓ 32 % (↓ 15 til ↓ 46)</w:t>
            </w:r>
          </w:p>
          <w:p w:rsidR="00604247" w:rsidRDefault="00604247" w:rsidP="00604247">
            <w:pPr>
              <w:rPr>
                <w:sz w:val="22"/>
                <w:szCs w:val="22"/>
              </w:rPr>
            </w:pPr>
            <w:r>
              <w:rPr>
                <w:sz w:val="22"/>
                <w:szCs w:val="22"/>
              </w:rPr>
              <w:t>(CYP3A4- og CYP2B6</w:t>
            </w:r>
            <w:r>
              <w:rPr>
                <w:sz w:val="22"/>
                <w:szCs w:val="22"/>
              </w:rPr>
              <w:noBreakHyphen/>
              <w:t>induktion)</w:t>
            </w:r>
          </w:p>
        </w:tc>
        <w:tc>
          <w:tcPr>
            <w:tcW w:w="1573" w:type="pct"/>
            <w:vMerge w:val="restart"/>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lang w:bidi="en-GB"/>
              </w:rPr>
            </w:pPr>
            <w:r>
              <w:rPr>
                <w:sz w:val="22"/>
                <w:szCs w:val="22"/>
                <w:lang w:bidi="en-GB"/>
              </w:rPr>
              <w:lastRenderedPageBreak/>
              <w:t>Når Efavirenz/Emtricitabine/</w:t>
            </w:r>
          </w:p>
          <w:p w:rsidR="00604247" w:rsidRDefault="00604247" w:rsidP="00604247">
            <w:pPr>
              <w:rPr>
                <w:sz w:val="22"/>
                <w:szCs w:val="22"/>
                <w:lang w:bidi="en-GB"/>
              </w:rPr>
            </w:pPr>
            <w:r>
              <w:rPr>
                <w:sz w:val="22"/>
                <w:szCs w:val="22"/>
                <w:lang w:bidi="en-GB"/>
              </w:rPr>
              <w:lastRenderedPageBreak/>
              <w:t>Tenofovir disoproxil "Glenmark" tages sammen med rifampicin hos patienter, der vejer 50 kg eller derover, kan yderligere 200 mg/dag (800 mg i alt) efavirenz give samme eksponering som en daglig efavirenzdosis på 600 mg, når det tages uden rifampicin. Den kliniske virkning af denne dosisjustering er ikke blevet tilstrækkeligt evalueret. Individuel tolerabilitet og virologisk respons bør tages i betragtning, når dosis justeres (se pkt. 5.2). Justering af rifampicindosis frarådes, når dette gives sammen med Efavirenz/Emtricitabine/</w:t>
            </w:r>
          </w:p>
          <w:p w:rsidR="00604247" w:rsidRDefault="00604247" w:rsidP="00604247">
            <w:pPr>
              <w:rPr>
                <w:sz w:val="22"/>
                <w:szCs w:val="22"/>
                <w:lang w:bidi="en-GB"/>
              </w:rPr>
            </w:pPr>
            <w:r>
              <w:rPr>
                <w:sz w:val="22"/>
                <w:szCs w:val="22"/>
                <w:lang w:bidi="en-GB"/>
              </w:rPr>
              <w:t>Tenofovir disoproxil "Glenmark".</w:t>
            </w:r>
          </w:p>
        </w:tc>
      </w:tr>
      <w:tr w:rsidR="00604247" w:rsidTr="00604247">
        <w:trPr>
          <w:jc w:val="center"/>
        </w:trPr>
        <w:tc>
          <w:tcPr>
            <w:tcW w:w="1977" w:type="pct"/>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sz w:val="22"/>
                <w:szCs w:val="22"/>
              </w:rPr>
              <w:lastRenderedPageBreak/>
              <w:t xml:space="preserve">Rifampicin/tenofovirdisoproxil  </w:t>
            </w:r>
          </w:p>
          <w:p w:rsidR="00604247" w:rsidRDefault="00604247" w:rsidP="00604247">
            <w:pPr>
              <w:rPr>
                <w:sz w:val="22"/>
                <w:szCs w:val="22"/>
              </w:rPr>
            </w:pPr>
            <w:r>
              <w:rPr>
                <w:sz w:val="22"/>
                <w:szCs w:val="22"/>
              </w:rPr>
              <w:t>(600 mg q.d./245 mg q.d.)</w:t>
            </w:r>
          </w:p>
        </w:tc>
        <w:tc>
          <w:tcPr>
            <w:tcW w:w="1450" w:type="pct"/>
            <w:tcBorders>
              <w:top w:val="single" w:sz="4" w:space="0" w:color="auto"/>
              <w:left w:val="single" w:sz="4" w:space="0" w:color="auto"/>
              <w:bottom w:val="single" w:sz="4" w:space="0" w:color="auto"/>
              <w:right w:val="single" w:sz="4" w:space="0" w:color="auto"/>
            </w:tcBorders>
          </w:tcPr>
          <w:p w:rsidR="00604247" w:rsidRDefault="00604247" w:rsidP="00604247">
            <w:pPr>
              <w:rPr>
                <w:sz w:val="22"/>
                <w:szCs w:val="22"/>
              </w:rPr>
            </w:pPr>
            <w:r>
              <w:rPr>
                <w:sz w:val="22"/>
                <w:szCs w:val="22"/>
              </w:rPr>
              <w:t>Rifampicin:</w:t>
            </w:r>
          </w:p>
          <w:p w:rsidR="00604247" w:rsidRDefault="00604247" w:rsidP="00604247">
            <w:pPr>
              <w:rPr>
                <w:sz w:val="22"/>
                <w:szCs w:val="22"/>
              </w:rPr>
            </w:pPr>
            <w:r>
              <w:rPr>
                <w:sz w:val="22"/>
                <w:szCs w:val="22"/>
              </w:rPr>
              <w:t>AUC: ↔</w:t>
            </w:r>
          </w:p>
          <w:p w:rsidR="00604247" w:rsidRDefault="00604247" w:rsidP="00604247">
            <w:pPr>
              <w:rPr>
                <w:sz w:val="22"/>
                <w:szCs w:val="22"/>
              </w:rPr>
            </w:pPr>
            <w:r>
              <w:rPr>
                <w:sz w:val="22"/>
                <w:szCs w:val="22"/>
              </w:rPr>
              <w:t>C</w:t>
            </w:r>
            <w:r>
              <w:rPr>
                <w:sz w:val="22"/>
                <w:szCs w:val="22"/>
                <w:vertAlign w:val="subscript"/>
              </w:rPr>
              <w:t>max</w:t>
            </w:r>
            <w:r>
              <w:rPr>
                <w:sz w:val="22"/>
                <w:szCs w:val="22"/>
              </w:rPr>
              <w:t>: ↔</w:t>
            </w:r>
          </w:p>
          <w:p w:rsidR="00604247" w:rsidRDefault="00604247" w:rsidP="00604247">
            <w:pPr>
              <w:rPr>
                <w:sz w:val="22"/>
                <w:szCs w:val="22"/>
              </w:rPr>
            </w:pPr>
          </w:p>
          <w:p w:rsidR="00604247" w:rsidRDefault="00604247" w:rsidP="00604247">
            <w:pPr>
              <w:rPr>
                <w:sz w:val="22"/>
                <w:szCs w:val="22"/>
              </w:rPr>
            </w:pPr>
            <w:r>
              <w:rPr>
                <w:sz w:val="22"/>
                <w:szCs w:val="22"/>
              </w:rPr>
              <w:t xml:space="preserve">Tenofovir: </w:t>
            </w:r>
          </w:p>
          <w:p w:rsidR="00604247" w:rsidRDefault="00604247" w:rsidP="00604247">
            <w:pPr>
              <w:rPr>
                <w:sz w:val="22"/>
                <w:szCs w:val="22"/>
              </w:rPr>
            </w:pPr>
            <w:r>
              <w:rPr>
                <w:sz w:val="22"/>
                <w:szCs w:val="22"/>
              </w:rPr>
              <w:t>AUC: ↔</w:t>
            </w:r>
          </w:p>
          <w:p w:rsidR="00604247" w:rsidRDefault="00604247" w:rsidP="00604247">
            <w:pPr>
              <w:rPr>
                <w:sz w:val="22"/>
                <w:szCs w:val="22"/>
              </w:rPr>
            </w:pPr>
            <w:r>
              <w:rPr>
                <w:sz w:val="22"/>
                <w:szCs w:val="22"/>
              </w:rPr>
              <w:t>C</w:t>
            </w:r>
            <w:r>
              <w:rPr>
                <w:sz w:val="22"/>
                <w:szCs w:val="22"/>
                <w:vertAlign w:val="subscript"/>
              </w:rPr>
              <w:t>max</w:t>
            </w:r>
            <w:r>
              <w:rPr>
                <w:sz w:val="22"/>
                <w:szCs w:val="22"/>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4247" w:rsidRDefault="00604247" w:rsidP="00604247">
            <w:pPr>
              <w:rPr>
                <w:sz w:val="22"/>
                <w:szCs w:val="22"/>
                <w:lang w:bidi="en-GB"/>
              </w:rPr>
            </w:pPr>
          </w:p>
        </w:tc>
      </w:tr>
      <w:tr w:rsidR="00604247" w:rsidTr="00604247">
        <w:trPr>
          <w:jc w:val="center"/>
        </w:trPr>
        <w:tc>
          <w:tcPr>
            <w:tcW w:w="1977" w:type="pct"/>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sz w:val="22"/>
                <w:szCs w:val="22"/>
              </w:rPr>
              <w:t>Rifampicin/emtricitabin</w:t>
            </w:r>
          </w:p>
        </w:tc>
        <w:tc>
          <w:tcPr>
            <w:tcW w:w="1450" w:type="pct"/>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sz w:val="22"/>
                <w:szCs w:val="22"/>
              </w:rPr>
              <w:t>Interaktion er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4247" w:rsidRDefault="00604247" w:rsidP="00604247">
            <w:pPr>
              <w:rPr>
                <w:sz w:val="22"/>
                <w:szCs w:val="22"/>
                <w:lang w:bidi="en-GB"/>
              </w:rPr>
            </w:pPr>
          </w:p>
        </w:tc>
      </w:tr>
      <w:tr w:rsidR="00604247" w:rsidTr="00243EA6">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b/>
                <w:sz w:val="22"/>
                <w:szCs w:val="22"/>
              </w:rPr>
              <w:t>Antimykotika</w:t>
            </w:r>
          </w:p>
        </w:tc>
      </w:tr>
      <w:tr w:rsidR="00604247" w:rsidTr="00604247">
        <w:trPr>
          <w:jc w:val="center"/>
        </w:trPr>
        <w:tc>
          <w:tcPr>
            <w:tcW w:w="1977" w:type="pct"/>
            <w:tcBorders>
              <w:top w:val="single"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t>Itraconazol/efavirenz</w:t>
            </w:r>
          </w:p>
          <w:p w:rsidR="00604247" w:rsidRDefault="00604247" w:rsidP="00604247">
            <w:pPr>
              <w:rPr>
                <w:sz w:val="22"/>
                <w:szCs w:val="22"/>
              </w:rPr>
            </w:pPr>
            <w:r>
              <w:rPr>
                <w:sz w:val="22"/>
                <w:szCs w:val="22"/>
              </w:rPr>
              <w:t>(200 mg b.i.d./600 mg q.d.)</w:t>
            </w:r>
          </w:p>
        </w:tc>
        <w:tc>
          <w:tcPr>
            <w:tcW w:w="1450" w:type="pct"/>
            <w:tcBorders>
              <w:top w:val="single" w:sz="4" w:space="0" w:color="auto"/>
              <w:left w:val="single" w:sz="4" w:space="0" w:color="auto"/>
              <w:bottom w:val="dotted" w:sz="4" w:space="0" w:color="auto"/>
              <w:right w:val="single" w:sz="4" w:space="0" w:color="auto"/>
            </w:tcBorders>
          </w:tcPr>
          <w:p w:rsidR="00604247" w:rsidRDefault="00604247" w:rsidP="00604247">
            <w:pPr>
              <w:rPr>
                <w:sz w:val="22"/>
                <w:szCs w:val="22"/>
              </w:rPr>
            </w:pPr>
            <w:r>
              <w:rPr>
                <w:sz w:val="22"/>
                <w:szCs w:val="22"/>
              </w:rPr>
              <w:t>Itraconazol:</w:t>
            </w:r>
          </w:p>
          <w:p w:rsidR="00604247" w:rsidRDefault="00604247" w:rsidP="00604247">
            <w:pPr>
              <w:rPr>
                <w:sz w:val="22"/>
                <w:szCs w:val="22"/>
              </w:rPr>
            </w:pPr>
            <w:r>
              <w:rPr>
                <w:sz w:val="22"/>
                <w:szCs w:val="22"/>
              </w:rPr>
              <w:t>AUC: ↓ 39 % (↓ 21 til ↓ 53)</w:t>
            </w:r>
          </w:p>
          <w:p w:rsidR="00604247" w:rsidRDefault="00604247" w:rsidP="00604247">
            <w:pPr>
              <w:rPr>
                <w:sz w:val="22"/>
                <w:szCs w:val="22"/>
              </w:rPr>
            </w:pPr>
            <w:r>
              <w:rPr>
                <w:sz w:val="22"/>
                <w:szCs w:val="22"/>
              </w:rPr>
              <w:t>C</w:t>
            </w:r>
            <w:r>
              <w:rPr>
                <w:sz w:val="22"/>
                <w:szCs w:val="22"/>
                <w:vertAlign w:val="subscript"/>
              </w:rPr>
              <w:t>max</w:t>
            </w:r>
            <w:r>
              <w:rPr>
                <w:sz w:val="22"/>
                <w:szCs w:val="22"/>
              </w:rPr>
              <w:t>: ↓ 37 % (↓ 20 til ↓ 51)</w:t>
            </w:r>
          </w:p>
          <w:p w:rsidR="00604247" w:rsidRDefault="00604247" w:rsidP="00604247">
            <w:pPr>
              <w:rPr>
                <w:sz w:val="22"/>
                <w:szCs w:val="22"/>
              </w:rPr>
            </w:pPr>
            <w:r>
              <w:rPr>
                <w:sz w:val="22"/>
                <w:szCs w:val="22"/>
              </w:rPr>
              <w:t>C</w:t>
            </w:r>
            <w:r>
              <w:rPr>
                <w:sz w:val="22"/>
                <w:szCs w:val="22"/>
                <w:vertAlign w:val="subscript"/>
              </w:rPr>
              <w:t>min</w:t>
            </w:r>
            <w:r>
              <w:rPr>
                <w:sz w:val="22"/>
                <w:szCs w:val="22"/>
              </w:rPr>
              <w:t>: ↓ 44 % (↓ 27 til ↓ 58)</w:t>
            </w:r>
          </w:p>
          <w:p w:rsidR="00604247" w:rsidRDefault="00604247" w:rsidP="00604247">
            <w:pPr>
              <w:rPr>
                <w:sz w:val="22"/>
                <w:szCs w:val="22"/>
                <w:lang w:bidi="en-GB"/>
              </w:rPr>
            </w:pPr>
            <w:r>
              <w:rPr>
                <w:sz w:val="22"/>
                <w:szCs w:val="22"/>
                <w:lang w:bidi="en-GB"/>
              </w:rPr>
              <w:t>(fald i itraconazolkoncentrationerne: CYP3A4-</w:t>
            </w:r>
            <w:r>
              <w:rPr>
                <w:sz w:val="22"/>
                <w:szCs w:val="22"/>
                <w:lang w:bidi="en-GB"/>
              </w:rPr>
              <w:noBreakHyphen/>
              <w:t>induktion)</w:t>
            </w:r>
          </w:p>
          <w:p w:rsidR="00604247" w:rsidRDefault="00604247" w:rsidP="00604247">
            <w:pPr>
              <w:rPr>
                <w:sz w:val="22"/>
                <w:szCs w:val="22"/>
              </w:rPr>
            </w:pPr>
          </w:p>
          <w:p w:rsidR="00604247" w:rsidRDefault="00604247" w:rsidP="00604247">
            <w:pPr>
              <w:rPr>
                <w:sz w:val="22"/>
                <w:szCs w:val="22"/>
              </w:rPr>
            </w:pPr>
            <w:r>
              <w:rPr>
                <w:sz w:val="22"/>
                <w:szCs w:val="22"/>
              </w:rPr>
              <w:t>Hydroxyitraconazol:</w:t>
            </w:r>
          </w:p>
          <w:p w:rsidR="00604247" w:rsidRDefault="00604247" w:rsidP="00604247">
            <w:pPr>
              <w:rPr>
                <w:sz w:val="22"/>
                <w:szCs w:val="22"/>
              </w:rPr>
            </w:pPr>
            <w:r>
              <w:rPr>
                <w:sz w:val="22"/>
                <w:szCs w:val="22"/>
              </w:rPr>
              <w:t>AUC: ↓ 37 % (↓ 14 til ↓ 55)</w:t>
            </w:r>
          </w:p>
          <w:p w:rsidR="00604247" w:rsidRDefault="00604247" w:rsidP="00604247">
            <w:pPr>
              <w:rPr>
                <w:sz w:val="22"/>
                <w:szCs w:val="22"/>
              </w:rPr>
            </w:pPr>
            <w:r>
              <w:rPr>
                <w:sz w:val="22"/>
                <w:szCs w:val="22"/>
              </w:rPr>
              <w:t>C</w:t>
            </w:r>
            <w:r>
              <w:rPr>
                <w:sz w:val="22"/>
                <w:szCs w:val="22"/>
                <w:vertAlign w:val="subscript"/>
              </w:rPr>
              <w:t>max</w:t>
            </w:r>
            <w:r>
              <w:rPr>
                <w:sz w:val="22"/>
                <w:szCs w:val="22"/>
              </w:rPr>
              <w:t>: ↓ 35 % (↓ 12 til ↓ 52)</w:t>
            </w:r>
          </w:p>
          <w:p w:rsidR="00604247" w:rsidRDefault="00604247" w:rsidP="00604247">
            <w:pPr>
              <w:rPr>
                <w:sz w:val="22"/>
                <w:szCs w:val="22"/>
              </w:rPr>
            </w:pPr>
            <w:r>
              <w:rPr>
                <w:sz w:val="22"/>
                <w:szCs w:val="22"/>
              </w:rPr>
              <w:t>C</w:t>
            </w:r>
            <w:r>
              <w:rPr>
                <w:sz w:val="22"/>
                <w:szCs w:val="22"/>
                <w:vertAlign w:val="subscript"/>
              </w:rPr>
              <w:t>min</w:t>
            </w:r>
            <w:r>
              <w:rPr>
                <w:sz w:val="22"/>
                <w:szCs w:val="22"/>
              </w:rPr>
              <w:t>: ↓ 43 % (↓ 18 til ↓ 60)</w:t>
            </w:r>
          </w:p>
          <w:p w:rsidR="00604247" w:rsidRDefault="00604247" w:rsidP="00604247">
            <w:pPr>
              <w:rPr>
                <w:sz w:val="22"/>
                <w:szCs w:val="22"/>
              </w:rPr>
            </w:pPr>
          </w:p>
          <w:p w:rsidR="00604247" w:rsidRDefault="00604247" w:rsidP="00604247">
            <w:pPr>
              <w:rPr>
                <w:sz w:val="22"/>
                <w:szCs w:val="22"/>
              </w:rPr>
            </w:pPr>
            <w:r>
              <w:rPr>
                <w:sz w:val="22"/>
                <w:szCs w:val="22"/>
              </w:rPr>
              <w:t>Efavirenz:</w:t>
            </w:r>
          </w:p>
          <w:p w:rsidR="00604247" w:rsidRDefault="00604247" w:rsidP="00604247">
            <w:pPr>
              <w:rPr>
                <w:sz w:val="22"/>
                <w:szCs w:val="22"/>
              </w:rPr>
            </w:pPr>
            <w:r>
              <w:rPr>
                <w:sz w:val="22"/>
                <w:szCs w:val="22"/>
              </w:rPr>
              <w:t>AUC: ↔</w:t>
            </w:r>
          </w:p>
          <w:p w:rsidR="00604247" w:rsidRDefault="00604247" w:rsidP="00604247">
            <w:pPr>
              <w:rPr>
                <w:sz w:val="22"/>
                <w:szCs w:val="22"/>
              </w:rPr>
            </w:pPr>
            <w:r>
              <w:rPr>
                <w:sz w:val="22"/>
                <w:szCs w:val="22"/>
              </w:rPr>
              <w:t>C</w:t>
            </w:r>
            <w:r>
              <w:rPr>
                <w:sz w:val="22"/>
                <w:szCs w:val="22"/>
                <w:vertAlign w:val="subscript"/>
              </w:rPr>
              <w:t>max</w:t>
            </w:r>
            <w:r>
              <w:rPr>
                <w:sz w:val="22"/>
                <w:szCs w:val="22"/>
              </w:rPr>
              <w:t>: ↔</w:t>
            </w:r>
          </w:p>
          <w:p w:rsidR="00604247" w:rsidRDefault="00604247" w:rsidP="00604247">
            <w:pPr>
              <w:rPr>
                <w:sz w:val="22"/>
                <w:szCs w:val="22"/>
              </w:rPr>
            </w:pPr>
            <w:r>
              <w:rPr>
                <w:sz w:val="22"/>
                <w:szCs w:val="22"/>
              </w:rPr>
              <w:t>C</w:t>
            </w:r>
            <w:r>
              <w:rPr>
                <w:sz w:val="22"/>
                <w:szCs w:val="22"/>
                <w:vertAlign w:val="subscript"/>
              </w:rPr>
              <w:t>min</w:t>
            </w:r>
            <w:r>
              <w:rPr>
                <w:sz w:val="22"/>
                <w:szCs w:val="22"/>
              </w:rPr>
              <w:t>: ↔</w:t>
            </w:r>
          </w:p>
        </w:tc>
        <w:tc>
          <w:tcPr>
            <w:tcW w:w="1573" w:type="pct"/>
            <w:vMerge w:val="restart"/>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lang w:bidi="en-GB"/>
              </w:rPr>
            </w:pPr>
            <w:r>
              <w:rPr>
                <w:sz w:val="22"/>
                <w:szCs w:val="22"/>
                <w:lang w:bidi="en-GB"/>
              </w:rPr>
              <w:t>Da der ikke kan gives nogen doseringsanbefaling for itraconazol, når det anvendes sammen med Efavirenz/Emtricitabine/</w:t>
            </w:r>
          </w:p>
          <w:p w:rsidR="00604247" w:rsidRDefault="00604247" w:rsidP="00604247">
            <w:pPr>
              <w:rPr>
                <w:sz w:val="22"/>
                <w:szCs w:val="22"/>
              </w:rPr>
            </w:pPr>
            <w:r>
              <w:rPr>
                <w:sz w:val="22"/>
                <w:szCs w:val="22"/>
                <w:lang w:bidi="en-GB"/>
              </w:rPr>
              <w:t>Tenofovir disoproxil "Glenmark", bør en alternativ antimykotisk behandling overvejes.</w:t>
            </w:r>
          </w:p>
        </w:tc>
      </w:tr>
      <w:tr w:rsidR="00604247" w:rsidTr="00604247">
        <w:trPr>
          <w:jc w:val="center"/>
        </w:trPr>
        <w:tc>
          <w:tcPr>
            <w:tcW w:w="1977" w:type="pct"/>
            <w:tcBorders>
              <w:top w:val="dotted"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t>Itraconazol/emtricitabin</w:t>
            </w:r>
          </w:p>
        </w:tc>
        <w:tc>
          <w:tcPr>
            <w:tcW w:w="1450" w:type="pct"/>
            <w:tcBorders>
              <w:top w:val="dotted"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t>Interaktion er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4247" w:rsidRDefault="00604247" w:rsidP="00604247">
            <w:pPr>
              <w:rPr>
                <w:sz w:val="22"/>
                <w:szCs w:val="22"/>
              </w:rPr>
            </w:pPr>
          </w:p>
        </w:tc>
      </w:tr>
      <w:tr w:rsidR="00604247" w:rsidTr="00604247">
        <w:trPr>
          <w:jc w:val="center"/>
        </w:trPr>
        <w:tc>
          <w:tcPr>
            <w:tcW w:w="1977" w:type="pct"/>
            <w:tcBorders>
              <w:top w:val="dotted"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sz w:val="22"/>
                <w:szCs w:val="22"/>
              </w:rPr>
              <w:t>Itraconazol/tenofovirdisoproxil</w:t>
            </w:r>
          </w:p>
        </w:tc>
        <w:tc>
          <w:tcPr>
            <w:tcW w:w="1450" w:type="pct"/>
            <w:tcBorders>
              <w:top w:val="dotted"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sz w:val="22"/>
                <w:szCs w:val="22"/>
              </w:rPr>
              <w:t>Interaktion er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4247" w:rsidRDefault="00604247" w:rsidP="00604247">
            <w:pPr>
              <w:rPr>
                <w:sz w:val="22"/>
                <w:szCs w:val="22"/>
              </w:rPr>
            </w:pPr>
          </w:p>
        </w:tc>
      </w:tr>
      <w:tr w:rsidR="00604247" w:rsidTr="00604247">
        <w:trPr>
          <w:jc w:val="center"/>
        </w:trPr>
        <w:tc>
          <w:tcPr>
            <w:tcW w:w="1977" w:type="pct"/>
            <w:tcBorders>
              <w:top w:val="single" w:sz="4" w:space="0" w:color="auto"/>
              <w:left w:val="single" w:sz="4" w:space="0" w:color="auto"/>
              <w:bottom w:val="dotted" w:sz="4" w:space="0" w:color="auto"/>
              <w:right w:val="single" w:sz="4" w:space="0" w:color="auto"/>
            </w:tcBorders>
            <w:hideMark/>
          </w:tcPr>
          <w:p w:rsidR="00604247" w:rsidRPr="000E6D4D" w:rsidRDefault="00604247" w:rsidP="00604247">
            <w:pPr>
              <w:rPr>
                <w:sz w:val="22"/>
                <w:szCs w:val="22"/>
                <w:lang w:val="en-US"/>
              </w:rPr>
            </w:pPr>
            <w:r w:rsidRPr="000E6D4D">
              <w:rPr>
                <w:sz w:val="22"/>
                <w:szCs w:val="22"/>
                <w:lang w:val="en-US"/>
              </w:rPr>
              <w:t>Posaconazol/efavirenz</w:t>
            </w:r>
          </w:p>
          <w:p w:rsidR="00604247" w:rsidRPr="000E6D4D" w:rsidRDefault="00604247" w:rsidP="00604247">
            <w:pPr>
              <w:rPr>
                <w:sz w:val="22"/>
                <w:szCs w:val="22"/>
                <w:lang w:val="en-US"/>
              </w:rPr>
            </w:pPr>
            <w:r w:rsidRPr="000E6D4D">
              <w:rPr>
                <w:sz w:val="22"/>
                <w:szCs w:val="22"/>
                <w:lang w:val="en-US"/>
              </w:rPr>
              <w:t>(-/400 mg q.d.)</w:t>
            </w:r>
          </w:p>
        </w:tc>
        <w:tc>
          <w:tcPr>
            <w:tcW w:w="1450" w:type="pct"/>
            <w:tcBorders>
              <w:top w:val="single" w:sz="4" w:space="0" w:color="auto"/>
              <w:left w:val="single" w:sz="4" w:space="0" w:color="auto"/>
              <w:bottom w:val="dotted" w:sz="4" w:space="0" w:color="auto"/>
              <w:right w:val="single" w:sz="4" w:space="0" w:color="auto"/>
            </w:tcBorders>
            <w:hideMark/>
          </w:tcPr>
          <w:p w:rsidR="00604247" w:rsidRDefault="00604247" w:rsidP="00604247">
            <w:pPr>
              <w:rPr>
                <w:sz w:val="22"/>
                <w:szCs w:val="22"/>
                <w:lang w:val="en-US"/>
              </w:rPr>
            </w:pPr>
            <w:r>
              <w:rPr>
                <w:sz w:val="22"/>
                <w:szCs w:val="22"/>
                <w:lang w:val="en-US"/>
              </w:rPr>
              <w:t>Posaconazol:</w:t>
            </w:r>
          </w:p>
          <w:p w:rsidR="00604247" w:rsidRDefault="00604247" w:rsidP="00604247">
            <w:pPr>
              <w:rPr>
                <w:sz w:val="22"/>
                <w:szCs w:val="22"/>
                <w:lang w:val="en-US"/>
              </w:rPr>
            </w:pPr>
            <w:r>
              <w:rPr>
                <w:sz w:val="22"/>
                <w:szCs w:val="22"/>
                <w:lang w:val="en-US"/>
              </w:rPr>
              <w:t>AUC: ↓ 50 %</w:t>
            </w:r>
          </w:p>
          <w:p w:rsidR="00604247" w:rsidRDefault="00604247" w:rsidP="00604247">
            <w:pPr>
              <w:rPr>
                <w:sz w:val="22"/>
                <w:szCs w:val="22"/>
                <w:lang w:val="en-US"/>
              </w:rPr>
            </w:pPr>
            <w:r>
              <w:rPr>
                <w:sz w:val="22"/>
                <w:szCs w:val="22"/>
                <w:lang w:val="en-US"/>
              </w:rPr>
              <w:t>C</w:t>
            </w:r>
            <w:r>
              <w:rPr>
                <w:sz w:val="22"/>
                <w:szCs w:val="22"/>
                <w:vertAlign w:val="subscript"/>
                <w:lang w:val="en-US"/>
              </w:rPr>
              <w:t>max</w:t>
            </w:r>
            <w:r>
              <w:rPr>
                <w:sz w:val="22"/>
                <w:szCs w:val="22"/>
                <w:lang w:val="en-US"/>
              </w:rPr>
              <w:t>: ↓ 45 %</w:t>
            </w:r>
          </w:p>
          <w:p w:rsidR="00604247" w:rsidRDefault="00604247" w:rsidP="00604247">
            <w:pPr>
              <w:rPr>
                <w:sz w:val="22"/>
                <w:szCs w:val="22"/>
                <w:lang w:val="en-US"/>
              </w:rPr>
            </w:pPr>
            <w:r>
              <w:rPr>
                <w:sz w:val="22"/>
                <w:szCs w:val="22"/>
                <w:lang w:val="en-US"/>
              </w:rPr>
              <w:t>(UDP</w:t>
            </w:r>
            <w:r>
              <w:rPr>
                <w:sz w:val="22"/>
                <w:szCs w:val="22"/>
                <w:lang w:val="en-US"/>
              </w:rPr>
              <w:noBreakHyphen/>
              <w:t>G induktion)</w:t>
            </w:r>
          </w:p>
        </w:tc>
        <w:tc>
          <w:tcPr>
            <w:tcW w:w="1573" w:type="pct"/>
            <w:vMerge w:val="restart"/>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lang w:bidi="en-GB"/>
              </w:rPr>
            </w:pPr>
            <w:r>
              <w:rPr>
                <w:sz w:val="22"/>
                <w:szCs w:val="22"/>
                <w:lang w:bidi="en-GB"/>
              </w:rPr>
              <w:t>Samtidig brug af posaconazol og Efavirenz/Emtricitabine/</w:t>
            </w:r>
          </w:p>
          <w:p w:rsidR="00604247" w:rsidRDefault="00604247" w:rsidP="00604247">
            <w:pPr>
              <w:rPr>
                <w:sz w:val="22"/>
                <w:szCs w:val="22"/>
              </w:rPr>
            </w:pPr>
            <w:r>
              <w:rPr>
                <w:sz w:val="22"/>
                <w:szCs w:val="22"/>
                <w:lang w:bidi="en-GB"/>
              </w:rPr>
              <w:t xml:space="preserve">Tenofovir disoproxil "Glenmark" bør undgås, med </w:t>
            </w:r>
            <w:r>
              <w:rPr>
                <w:sz w:val="22"/>
                <w:szCs w:val="22"/>
                <w:lang w:bidi="en-GB"/>
              </w:rPr>
              <w:lastRenderedPageBreak/>
              <w:t>mindre fordelene for patienten overstiger risici.</w:t>
            </w:r>
          </w:p>
        </w:tc>
      </w:tr>
      <w:tr w:rsidR="00604247" w:rsidTr="00604247">
        <w:trPr>
          <w:jc w:val="center"/>
        </w:trPr>
        <w:tc>
          <w:tcPr>
            <w:tcW w:w="1977" w:type="pct"/>
            <w:tcBorders>
              <w:top w:val="dotted"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lastRenderedPageBreak/>
              <w:t>Posaconazol/emtricitabin</w:t>
            </w:r>
          </w:p>
        </w:tc>
        <w:tc>
          <w:tcPr>
            <w:tcW w:w="1450" w:type="pct"/>
            <w:tcBorders>
              <w:top w:val="dotted"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t>Interaktion er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4247" w:rsidRDefault="00604247" w:rsidP="00604247">
            <w:pPr>
              <w:rPr>
                <w:sz w:val="22"/>
                <w:szCs w:val="22"/>
              </w:rPr>
            </w:pPr>
          </w:p>
        </w:tc>
      </w:tr>
      <w:tr w:rsidR="00604247" w:rsidTr="00604247">
        <w:trPr>
          <w:jc w:val="center"/>
        </w:trPr>
        <w:tc>
          <w:tcPr>
            <w:tcW w:w="1977" w:type="pct"/>
            <w:tcBorders>
              <w:top w:val="dotted"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sz w:val="22"/>
                <w:szCs w:val="22"/>
              </w:rPr>
              <w:t>Posaconazol/tenofovirdisoproxil</w:t>
            </w:r>
          </w:p>
        </w:tc>
        <w:tc>
          <w:tcPr>
            <w:tcW w:w="1450" w:type="pct"/>
            <w:tcBorders>
              <w:top w:val="dotted"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sz w:val="22"/>
                <w:szCs w:val="22"/>
              </w:rPr>
              <w:t>Interaktion er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4247" w:rsidRDefault="00604247" w:rsidP="00604247">
            <w:pPr>
              <w:rPr>
                <w:sz w:val="22"/>
                <w:szCs w:val="22"/>
              </w:rPr>
            </w:pPr>
          </w:p>
        </w:tc>
      </w:tr>
      <w:tr w:rsidR="00604247" w:rsidTr="00604247">
        <w:trPr>
          <w:jc w:val="center"/>
        </w:trPr>
        <w:tc>
          <w:tcPr>
            <w:tcW w:w="1977" w:type="pct"/>
            <w:tcBorders>
              <w:top w:val="single"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t>Voriconazol/efavirenz</w:t>
            </w:r>
          </w:p>
          <w:p w:rsidR="00604247" w:rsidRDefault="00604247" w:rsidP="00604247">
            <w:pPr>
              <w:rPr>
                <w:sz w:val="22"/>
                <w:szCs w:val="22"/>
              </w:rPr>
            </w:pPr>
            <w:r>
              <w:rPr>
                <w:sz w:val="22"/>
                <w:szCs w:val="22"/>
              </w:rPr>
              <w:t>(200 mg b.i.d./400 mg q.d.)</w:t>
            </w:r>
          </w:p>
        </w:tc>
        <w:tc>
          <w:tcPr>
            <w:tcW w:w="1450" w:type="pct"/>
            <w:tcBorders>
              <w:top w:val="single" w:sz="4" w:space="0" w:color="auto"/>
              <w:left w:val="single" w:sz="4" w:space="0" w:color="auto"/>
              <w:bottom w:val="dotted" w:sz="4" w:space="0" w:color="auto"/>
              <w:right w:val="single" w:sz="4" w:space="0" w:color="auto"/>
            </w:tcBorders>
          </w:tcPr>
          <w:p w:rsidR="00604247" w:rsidRDefault="00604247" w:rsidP="00604247">
            <w:pPr>
              <w:rPr>
                <w:sz w:val="22"/>
                <w:szCs w:val="22"/>
              </w:rPr>
            </w:pPr>
            <w:r>
              <w:rPr>
                <w:sz w:val="22"/>
                <w:szCs w:val="22"/>
              </w:rPr>
              <w:t>Voriconazol:</w:t>
            </w:r>
          </w:p>
          <w:p w:rsidR="00604247" w:rsidRDefault="00604247" w:rsidP="00604247">
            <w:pPr>
              <w:rPr>
                <w:sz w:val="22"/>
                <w:szCs w:val="22"/>
              </w:rPr>
            </w:pPr>
            <w:r>
              <w:rPr>
                <w:sz w:val="22"/>
                <w:szCs w:val="22"/>
              </w:rPr>
              <w:t>AUC: ↓ 77 %</w:t>
            </w:r>
          </w:p>
          <w:p w:rsidR="00604247" w:rsidRDefault="00604247" w:rsidP="00604247">
            <w:pPr>
              <w:rPr>
                <w:sz w:val="22"/>
                <w:szCs w:val="22"/>
              </w:rPr>
            </w:pPr>
            <w:r>
              <w:rPr>
                <w:sz w:val="22"/>
                <w:szCs w:val="22"/>
              </w:rPr>
              <w:t>C</w:t>
            </w:r>
            <w:r>
              <w:rPr>
                <w:sz w:val="22"/>
                <w:szCs w:val="22"/>
                <w:vertAlign w:val="subscript"/>
              </w:rPr>
              <w:t>max</w:t>
            </w:r>
            <w:r>
              <w:rPr>
                <w:sz w:val="22"/>
                <w:szCs w:val="22"/>
              </w:rPr>
              <w:t>: ↓ 61 %</w:t>
            </w:r>
          </w:p>
          <w:p w:rsidR="00604247" w:rsidRDefault="00604247" w:rsidP="00604247">
            <w:pPr>
              <w:rPr>
                <w:sz w:val="22"/>
                <w:szCs w:val="22"/>
              </w:rPr>
            </w:pPr>
          </w:p>
          <w:p w:rsidR="00604247" w:rsidRDefault="00604247" w:rsidP="00604247">
            <w:pPr>
              <w:rPr>
                <w:sz w:val="22"/>
                <w:szCs w:val="22"/>
              </w:rPr>
            </w:pPr>
            <w:r>
              <w:rPr>
                <w:sz w:val="22"/>
                <w:szCs w:val="22"/>
              </w:rPr>
              <w:t>Efavirenz:</w:t>
            </w:r>
          </w:p>
          <w:p w:rsidR="00604247" w:rsidRDefault="00604247" w:rsidP="00604247">
            <w:pPr>
              <w:rPr>
                <w:sz w:val="22"/>
                <w:szCs w:val="22"/>
              </w:rPr>
            </w:pPr>
            <w:r>
              <w:rPr>
                <w:sz w:val="22"/>
                <w:szCs w:val="22"/>
              </w:rPr>
              <w:t>AUC: ↑ 44 %</w:t>
            </w:r>
          </w:p>
          <w:p w:rsidR="00604247" w:rsidRDefault="00604247" w:rsidP="00604247">
            <w:pPr>
              <w:rPr>
                <w:sz w:val="22"/>
                <w:szCs w:val="22"/>
              </w:rPr>
            </w:pPr>
            <w:r>
              <w:rPr>
                <w:sz w:val="22"/>
                <w:szCs w:val="22"/>
              </w:rPr>
              <w:t>C</w:t>
            </w:r>
            <w:r>
              <w:rPr>
                <w:sz w:val="22"/>
                <w:szCs w:val="22"/>
                <w:vertAlign w:val="subscript"/>
              </w:rPr>
              <w:t>max</w:t>
            </w:r>
            <w:r>
              <w:rPr>
                <w:sz w:val="22"/>
                <w:szCs w:val="22"/>
              </w:rPr>
              <w:t>: ↑ 38 %</w:t>
            </w:r>
          </w:p>
          <w:p w:rsidR="00604247" w:rsidRDefault="00604247" w:rsidP="00604247">
            <w:pPr>
              <w:rPr>
                <w:sz w:val="22"/>
                <w:szCs w:val="22"/>
                <w:lang w:bidi="en-GB"/>
              </w:rPr>
            </w:pPr>
            <w:r>
              <w:rPr>
                <w:sz w:val="22"/>
                <w:szCs w:val="22"/>
                <w:lang w:bidi="en-GB"/>
              </w:rPr>
              <w:t>(kompetitiv hæmning af oxidativ metabolisme)</w:t>
            </w:r>
          </w:p>
          <w:p w:rsidR="00604247" w:rsidRDefault="00604247" w:rsidP="00604247">
            <w:pPr>
              <w:rPr>
                <w:sz w:val="22"/>
                <w:szCs w:val="22"/>
              </w:rPr>
            </w:pPr>
            <w:r>
              <w:rPr>
                <w:sz w:val="22"/>
                <w:szCs w:val="22"/>
                <w:lang w:bidi="en-GB"/>
              </w:rPr>
              <w:t>Samtidig administration af standarddoser af efavirenz og voriconazol er kontraindiceret (se pkt. 4.3).</w:t>
            </w:r>
          </w:p>
        </w:tc>
        <w:tc>
          <w:tcPr>
            <w:tcW w:w="1573" w:type="pct"/>
            <w:vMerge w:val="restart"/>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lang w:bidi="en-GB"/>
              </w:rPr>
            </w:pPr>
            <w:r>
              <w:rPr>
                <w:sz w:val="22"/>
                <w:szCs w:val="22"/>
                <w:lang w:bidi="en-GB"/>
              </w:rPr>
              <w:t>Da Efavirenz/Emtricitabine/</w:t>
            </w:r>
          </w:p>
          <w:p w:rsidR="00604247" w:rsidRDefault="00604247" w:rsidP="00604247">
            <w:pPr>
              <w:rPr>
                <w:sz w:val="22"/>
                <w:szCs w:val="22"/>
                <w:lang w:bidi="en-GB"/>
              </w:rPr>
            </w:pPr>
            <w:r>
              <w:rPr>
                <w:sz w:val="22"/>
                <w:szCs w:val="22"/>
                <w:lang w:bidi="en-GB"/>
              </w:rPr>
              <w:t>Tenofovir disoproxil "Glenmark" er et fast-dosis kombinationsprodukt, kan efavirenzdosis ikke ændres; voriconazol og Efavirenz/Emtricitabine/</w:t>
            </w:r>
          </w:p>
          <w:p w:rsidR="00604247" w:rsidRDefault="00604247" w:rsidP="00604247">
            <w:pPr>
              <w:rPr>
                <w:sz w:val="22"/>
                <w:szCs w:val="22"/>
              </w:rPr>
            </w:pPr>
            <w:r>
              <w:rPr>
                <w:sz w:val="22"/>
                <w:szCs w:val="22"/>
                <w:lang w:bidi="en-GB"/>
              </w:rPr>
              <w:t>Tenofovir disoproxil "Glenmark" må derfor ikke administreres samtidigt.</w:t>
            </w:r>
          </w:p>
        </w:tc>
      </w:tr>
      <w:tr w:rsidR="00604247" w:rsidTr="00604247">
        <w:trPr>
          <w:jc w:val="center"/>
        </w:trPr>
        <w:tc>
          <w:tcPr>
            <w:tcW w:w="1977" w:type="pct"/>
            <w:tcBorders>
              <w:top w:val="dotted"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t>Voriconazol/emtricitabin</w:t>
            </w:r>
          </w:p>
        </w:tc>
        <w:tc>
          <w:tcPr>
            <w:tcW w:w="1450" w:type="pct"/>
            <w:tcBorders>
              <w:top w:val="dotted"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t>Interaktion er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4247" w:rsidRDefault="00604247" w:rsidP="00604247">
            <w:pPr>
              <w:rPr>
                <w:sz w:val="22"/>
                <w:szCs w:val="22"/>
              </w:rPr>
            </w:pPr>
          </w:p>
        </w:tc>
      </w:tr>
      <w:tr w:rsidR="00604247" w:rsidTr="00604247">
        <w:trPr>
          <w:jc w:val="center"/>
        </w:trPr>
        <w:tc>
          <w:tcPr>
            <w:tcW w:w="1977" w:type="pct"/>
            <w:tcBorders>
              <w:top w:val="dotted"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sz w:val="22"/>
                <w:szCs w:val="22"/>
              </w:rPr>
              <w:t>Voriconazol/tenofovirdisoproxil</w:t>
            </w:r>
          </w:p>
        </w:tc>
        <w:tc>
          <w:tcPr>
            <w:tcW w:w="1450" w:type="pct"/>
            <w:tcBorders>
              <w:top w:val="dotted"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sz w:val="22"/>
                <w:szCs w:val="22"/>
              </w:rPr>
              <w:t>Interaktion er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4247" w:rsidRDefault="00604247" w:rsidP="00604247">
            <w:pPr>
              <w:rPr>
                <w:sz w:val="22"/>
                <w:szCs w:val="22"/>
              </w:rPr>
            </w:pPr>
          </w:p>
        </w:tc>
      </w:tr>
      <w:tr w:rsidR="00604247" w:rsidTr="00243EA6">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b/>
                <w:sz w:val="22"/>
                <w:szCs w:val="22"/>
                <w:lang w:bidi="en-GB"/>
              </w:rPr>
              <w:t>Midler mod malaria</w:t>
            </w:r>
          </w:p>
        </w:tc>
      </w:tr>
      <w:tr w:rsidR="00604247" w:rsidTr="00604247">
        <w:trPr>
          <w:jc w:val="center"/>
        </w:trPr>
        <w:tc>
          <w:tcPr>
            <w:tcW w:w="1977" w:type="pct"/>
            <w:tcBorders>
              <w:top w:val="single"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t>Artemether/lumefantrin/efavirenz</w:t>
            </w:r>
          </w:p>
          <w:p w:rsidR="00604247" w:rsidRDefault="00604247" w:rsidP="00604247">
            <w:pPr>
              <w:rPr>
                <w:sz w:val="22"/>
                <w:szCs w:val="22"/>
              </w:rPr>
            </w:pPr>
            <w:r>
              <w:rPr>
                <w:sz w:val="22"/>
                <w:szCs w:val="22"/>
              </w:rPr>
              <w:t>(20/120 mg tablet, 6 doser hver med 4 tabletter i 3 dage/600 mg q.d.)</w:t>
            </w:r>
          </w:p>
        </w:tc>
        <w:tc>
          <w:tcPr>
            <w:tcW w:w="1450" w:type="pct"/>
            <w:tcBorders>
              <w:top w:val="single" w:sz="4" w:space="0" w:color="auto"/>
              <w:left w:val="single" w:sz="4" w:space="0" w:color="auto"/>
              <w:bottom w:val="dotted" w:sz="4" w:space="0" w:color="auto"/>
              <w:right w:val="single" w:sz="4" w:space="0" w:color="auto"/>
            </w:tcBorders>
          </w:tcPr>
          <w:p w:rsidR="00604247" w:rsidRDefault="00604247" w:rsidP="00604247">
            <w:pPr>
              <w:rPr>
                <w:sz w:val="22"/>
                <w:szCs w:val="22"/>
              </w:rPr>
            </w:pPr>
            <w:r>
              <w:rPr>
                <w:sz w:val="22"/>
                <w:szCs w:val="22"/>
              </w:rPr>
              <w:t>Artemether:</w:t>
            </w:r>
          </w:p>
          <w:p w:rsidR="00604247" w:rsidRDefault="00604247" w:rsidP="00604247">
            <w:pPr>
              <w:rPr>
                <w:sz w:val="22"/>
                <w:szCs w:val="22"/>
              </w:rPr>
            </w:pPr>
            <w:r>
              <w:rPr>
                <w:sz w:val="22"/>
                <w:szCs w:val="22"/>
              </w:rPr>
              <w:t>AUC: ↓ 51 %</w:t>
            </w:r>
          </w:p>
          <w:p w:rsidR="00604247" w:rsidRDefault="00604247" w:rsidP="00604247">
            <w:pPr>
              <w:rPr>
                <w:sz w:val="22"/>
                <w:szCs w:val="22"/>
              </w:rPr>
            </w:pPr>
            <w:r>
              <w:rPr>
                <w:sz w:val="22"/>
                <w:szCs w:val="22"/>
              </w:rPr>
              <w:t>C</w:t>
            </w:r>
            <w:r>
              <w:rPr>
                <w:sz w:val="22"/>
                <w:szCs w:val="22"/>
                <w:vertAlign w:val="subscript"/>
              </w:rPr>
              <w:t>max</w:t>
            </w:r>
            <w:r>
              <w:rPr>
                <w:sz w:val="22"/>
                <w:szCs w:val="22"/>
              </w:rPr>
              <w:t xml:space="preserve">: ↓ 21 % </w:t>
            </w:r>
          </w:p>
          <w:p w:rsidR="00604247" w:rsidRDefault="00604247" w:rsidP="00604247">
            <w:pPr>
              <w:rPr>
                <w:sz w:val="22"/>
                <w:szCs w:val="22"/>
              </w:rPr>
            </w:pPr>
            <w:r>
              <w:rPr>
                <w:sz w:val="22"/>
                <w:szCs w:val="22"/>
              </w:rPr>
              <w:t>Dihydroartemisinin (aktiv metabolit):</w:t>
            </w:r>
          </w:p>
          <w:p w:rsidR="00604247" w:rsidRDefault="00604247" w:rsidP="00604247">
            <w:pPr>
              <w:rPr>
                <w:sz w:val="22"/>
                <w:szCs w:val="22"/>
              </w:rPr>
            </w:pPr>
            <w:r>
              <w:rPr>
                <w:sz w:val="22"/>
                <w:szCs w:val="22"/>
              </w:rPr>
              <w:t>AUC: ↓ 46 %</w:t>
            </w:r>
          </w:p>
          <w:p w:rsidR="00604247" w:rsidRDefault="00604247" w:rsidP="00604247">
            <w:pPr>
              <w:rPr>
                <w:sz w:val="22"/>
                <w:szCs w:val="22"/>
              </w:rPr>
            </w:pPr>
            <w:r>
              <w:rPr>
                <w:sz w:val="22"/>
                <w:szCs w:val="22"/>
              </w:rPr>
              <w:t>C</w:t>
            </w:r>
            <w:r>
              <w:rPr>
                <w:sz w:val="22"/>
                <w:szCs w:val="22"/>
                <w:vertAlign w:val="subscript"/>
              </w:rPr>
              <w:t>max</w:t>
            </w:r>
            <w:r>
              <w:rPr>
                <w:sz w:val="22"/>
                <w:szCs w:val="22"/>
              </w:rPr>
              <w:t>: ↓ 38 %</w:t>
            </w:r>
          </w:p>
          <w:p w:rsidR="00604247" w:rsidRDefault="00604247" w:rsidP="00604247">
            <w:pPr>
              <w:rPr>
                <w:sz w:val="22"/>
                <w:szCs w:val="22"/>
              </w:rPr>
            </w:pPr>
          </w:p>
          <w:p w:rsidR="00604247" w:rsidRDefault="00604247" w:rsidP="00604247">
            <w:pPr>
              <w:rPr>
                <w:sz w:val="22"/>
                <w:szCs w:val="22"/>
              </w:rPr>
            </w:pPr>
            <w:r>
              <w:rPr>
                <w:sz w:val="22"/>
                <w:szCs w:val="22"/>
              </w:rPr>
              <w:t>Lumefantrin:</w:t>
            </w:r>
          </w:p>
          <w:p w:rsidR="00604247" w:rsidRDefault="00604247" w:rsidP="00604247">
            <w:pPr>
              <w:rPr>
                <w:sz w:val="22"/>
                <w:szCs w:val="22"/>
              </w:rPr>
            </w:pPr>
            <w:r>
              <w:rPr>
                <w:sz w:val="22"/>
                <w:szCs w:val="22"/>
              </w:rPr>
              <w:t>AUC: ↓ 21 %</w:t>
            </w:r>
          </w:p>
          <w:p w:rsidR="00604247" w:rsidRDefault="00604247" w:rsidP="00604247">
            <w:pPr>
              <w:rPr>
                <w:sz w:val="22"/>
                <w:szCs w:val="22"/>
              </w:rPr>
            </w:pPr>
            <w:r>
              <w:rPr>
                <w:sz w:val="22"/>
                <w:szCs w:val="22"/>
              </w:rPr>
              <w:t>C</w:t>
            </w:r>
            <w:r>
              <w:rPr>
                <w:sz w:val="22"/>
                <w:szCs w:val="22"/>
                <w:vertAlign w:val="subscript"/>
              </w:rPr>
              <w:t>max</w:t>
            </w:r>
            <w:r>
              <w:rPr>
                <w:sz w:val="22"/>
                <w:szCs w:val="22"/>
              </w:rPr>
              <w:t>: ↔</w:t>
            </w:r>
          </w:p>
          <w:p w:rsidR="00604247" w:rsidRDefault="00604247" w:rsidP="00604247">
            <w:pPr>
              <w:rPr>
                <w:sz w:val="22"/>
                <w:szCs w:val="22"/>
              </w:rPr>
            </w:pPr>
          </w:p>
          <w:p w:rsidR="00604247" w:rsidRDefault="00604247" w:rsidP="00604247">
            <w:pPr>
              <w:rPr>
                <w:sz w:val="22"/>
                <w:szCs w:val="22"/>
              </w:rPr>
            </w:pPr>
            <w:r>
              <w:rPr>
                <w:sz w:val="22"/>
                <w:szCs w:val="22"/>
              </w:rPr>
              <w:t>Efavirenz:</w:t>
            </w:r>
          </w:p>
          <w:p w:rsidR="00604247" w:rsidRDefault="00604247" w:rsidP="00604247">
            <w:pPr>
              <w:rPr>
                <w:sz w:val="22"/>
                <w:szCs w:val="22"/>
              </w:rPr>
            </w:pPr>
            <w:r>
              <w:rPr>
                <w:sz w:val="22"/>
                <w:szCs w:val="22"/>
              </w:rPr>
              <w:t>AUC: ↓ 17 %</w:t>
            </w:r>
          </w:p>
          <w:p w:rsidR="00604247" w:rsidRDefault="00604247" w:rsidP="00604247">
            <w:pPr>
              <w:rPr>
                <w:sz w:val="22"/>
                <w:szCs w:val="22"/>
              </w:rPr>
            </w:pPr>
            <w:r>
              <w:rPr>
                <w:sz w:val="22"/>
                <w:szCs w:val="22"/>
              </w:rPr>
              <w:t>C</w:t>
            </w:r>
            <w:r>
              <w:rPr>
                <w:sz w:val="22"/>
                <w:szCs w:val="22"/>
                <w:vertAlign w:val="subscript"/>
              </w:rPr>
              <w:t>max</w:t>
            </w:r>
            <w:r>
              <w:rPr>
                <w:sz w:val="22"/>
                <w:szCs w:val="22"/>
              </w:rPr>
              <w:t>: ↔</w:t>
            </w:r>
          </w:p>
          <w:p w:rsidR="00604247" w:rsidRDefault="00604247" w:rsidP="00604247">
            <w:pPr>
              <w:rPr>
                <w:sz w:val="22"/>
                <w:szCs w:val="22"/>
              </w:rPr>
            </w:pPr>
            <w:r>
              <w:rPr>
                <w:sz w:val="22"/>
                <w:szCs w:val="22"/>
              </w:rPr>
              <w:t>(CYP3A4</w:t>
            </w:r>
            <w:r>
              <w:rPr>
                <w:sz w:val="22"/>
                <w:szCs w:val="22"/>
              </w:rPr>
              <w:noBreakHyphen/>
              <w:t>induktion)</w:t>
            </w:r>
          </w:p>
        </w:tc>
        <w:tc>
          <w:tcPr>
            <w:tcW w:w="1573" w:type="pct"/>
            <w:vMerge w:val="restart"/>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lang w:bidi="en-GB"/>
              </w:rPr>
            </w:pPr>
            <w:r>
              <w:rPr>
                <w:sz w:val="22"/>
                <w:szCs w:val="22"/>
                <w:lang w:bidi="en-GB"/>
              </w:rPr>
              <w:t>Da nedsatte koncentrationer af artemether, dihydroartemisinin eller lumefantrin kan føre til en nedsat virkning mod malaria, bør der udvises forsigtighed, når Efavirenz/Emtricitabine/</w:t>
            </w:r>
          </w:p>
          <w:p w:rsidR="00604247" w:rsidRDefault="00604247" w:rsidP="00604247">
            <w:pPr>
              <w:rPr>
                <w:sz w:val="22"/>
                <w:szCs w:val="22"/>
              </w:rPr>
            </w:pPr>
            <w:r>
              <w:rPr>
                <w:sz w:val="22"/>
                <w:szCs w:val="22"/>
                <w:lang w:bidi="en-GB"/>
              </w:rPr>
              <w:t>Tenofovir disoproxil "Glenmark" og artemether/lumefantrin</w:t>
            </w:r>
            <w:r>
              <w:rPr>
                <w:sz w:val="22"/>
                <w:szCs w:val="22"/>
                <w:lang w:bidi="en-GB"/>
              </w:rPr>
              <w:softHyphen/>
              <w:t>-tabletter administreres samtidigt.</w:t>
            </w:r>
          </w:p>
        </w:tc>
      </w:tr>
      <w:tr w:rsidR="00604247" w:rsidTr="00604247">
        <w:trPr>
          <w:jc w:val="center"/>
        </w:trPr>
        <w:tc>
          <w:tcPr>
            <w:tcW w:w="1977" w:type="pct"/>
            <w:tcBorders>
              <w:top w:val="dotted"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t>Artemether/lumefantrin/emtricitabin</w:t>
            </w:r>
          </w:p>
        </w:tc>
        <w:tc>
          <w:tcPr>
            <w:tcW w:w="1450" w:type="pct"/>
            <w:tcBorders>
              <w:top w:val="dotted"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t>Interaktion er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4247" w:rsidRDefault="00604247" w:rsidP="00604247">
            <w:pPr>
              <w:rPr>
                <w:sz w:val="22"/>
                <w:szCs w:val="22"/>
              </w:rPr>
            </w:pPr>
          </w:p>
        </w:tc>
      </w:tr>
      <w:tr w:rsidR="00604247" w:rsidTr="00604247">
        <w:trPr>
          <w:jc w:val="center"/>
        </w:trPr>
        <w:tc>
          <w:tcPr>
            <w:tcW w:w="1977" w:type="pct"/>
            <w:tcBorders>
              <w:top w:val="dotted"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sz w:val="22"/>
                <w:szCs w:val="22"/>
              </w:rPr>
              <w:t>Artemether/lumefantrin/tenofovirdisoproxil</w:t>
            </w:r>
          </w:p>
        </w:tc>
        <w:tc>
          <w:tcPr>
            <w:tcW w:w="1450" w:type="pct"/>
            <w:tcBorders>
              <w:top w:val="dotted"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sz w:val="22"/>
                <w:szCs w:val="22"/>
              </w:rPr>
              <w:t>Interaktion er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4247" w:rsidRDefault="00604247" w:rsidP="00604247">
            <w:pPr>
              <w:rPr>
                <w:sz w:val="22"/>
                <w:szCs w:val="22"/>
              </w:rPr>
            </w:pPr>
          </w:p>
        </w:tc>
      </w:tr>
      <w:tr w:rsidR="00604247" w:rsidTr="00604247">
        <w:trPr>
          <w:jc w:val="center"/>
        </w:trPr>
        <w:tc>
          <w:tcPr>
            <w:tcW w:w="1977" w:type="pct"/>
            <w:tcBorders>
              <w:top w:val="single"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t>Atovaquon og proguanilhydrochloride/efavirenz</w:t>
            </w:r>
          </w:p>
          <w:p w:rsidR="00604247" w:rsidRDefault="00604247" w:rsidP="00604247">
            <w:pPr>
              <w:rPr>
                <w:sz w:val="22"/>
                <w:szCs w:val="22"/>
              </w:rPr>
            </w:pPr>
            <w:r>
              <w:rPr>
                <w:sz w:val="22"/>
                <w:szCs w:val="22"/>
              </w:rPr>
              <w:t>(250/100 mg enkeltdosis/600 mg q.d.)</w:t>
            </w:r>
          </w:p>
        </w:tc>
        <w:tc>
          <w:tcPr>
            <w:tcW w:w="1450" w:type="pct"/>
            <w:tcBorders>
              <w:top w:val="single" w:sz="4" w:space="0" w:color="auto"/>
              <w:left w:val="single" w:sz="4" w:space="0" w:color="auto"/>
              <w:bottom w:val="dotted" w:sz="4" w:space="0" w:color="auto"/>
              <w:right w:val="single" w:sz="4" w:space="0" w:color="auto"/>
            </w:tcBorders>
          </w:tcPr>
          <w:p w:rsidR="00604247" w:rsidRDefault="00604247" w:rsidP="00604247">
            <w:pPr>
              <w:rPr>
                <w:sz w:val="22"/>
                <w:szCs w:val="22"/>
              </w:rPr>
            </w:pPr>
            <w:r>
              <w:rPr>
                <w:sz w:val="22"/>
                <w:szCs w:val="22"/>
              </w:rPr>
              <w:t>Atovaquon:</w:t>
            </w:r>
          </w:p>
          <w:p w:rsidR="00604247" w:rsidRDefault="00604247" w:rsidP="00604247">
            <w:pPr>
              <w:rPr>
                <w:sz w:val="22"/>
                <w:szCs w:val="22"/>
              </w:rPr>
            </w:pPr>
            <w:r>
              <w:rPr>
                <w:sz w:val="22"/>
                <w:szCs w:val="22"/>
              </w:rPr>
              <w:t>AUC: ↓ 75 % (↓ 62 til ↓ 84)</w:t>
            </w:r>
          </w:p>
          <w:p w:rsidR="00604247" w:rsidRDefault="00604247" w:rsidP="00604247">
            <w:pPr>
              <w:rPr>
                <w:sz w:val="22"/>
                <w:szCs w:val="22"/>
              </w:rPr>
            </w:pPr>
            <w:r>
              <w:rPr>
                <w:sz w:val="22"/>
                <w:szCs w:val="22"/>
              </w:rPr>
              <w:t>C</w:t>
            </w:r>
            <w:r>
              <w:rPr>
                <w:sz w:val="22"/>
                <w:szCs w:val="22"/>
                <w:vertAlign w:val="subscript"/>
              </w:rPr>
              <w:t>max</w:t>
            </w:r>
            <w:r>
              <w:rPr>
                <w:sz w:val="22"/>
                <w:szCs w:val="22"/>
              </w:rPr>
              <w:t>: ↓ 44 % (↓ 20 til ↓ 61)</w:t>
            </w:r>
          </w:p>
          <w:p w:rsidR="00604247" w:rsidRDefault="00604247" w:rsidP="00604247">
            <w:pPr>
              <w:rPr>
                <w:sz w:val="22"/>
                <w:szCs w:val="22"/>
              </w:rPr>
            </w:pPr>
          </w:p>
          <w:p w:rsidR="00604247" w:rsidRDefault="00604247" w:rsidP="00604247">
            <w:pPr>
              <w:rPr>
                <w:sz w:val="22"/>
                <w:szCs w:val="22"/>
              </w:rPr>
            </w:pPr>
            <w:r>
              <w:rPr>
                <w:sz w:val="22"/>
                <w:szCs w:val="22"/>
              </w:rPr>
              <w:t>Proguanil:</w:t>
            </w:r>
          </w:p>
          <w:p w:rsidR="00604247" w:rsidRDefault="00604247" w:rsidP="00604247">
            <w:pPr>
              <w:rPr>
                <w:sz w:val="22"/>
                <w:szCs w:val="22"/>
              </w:rPr>
            </w:pPr>
            <w:r>
              <w:rPr>
                <w:sz w:val="22"/>
                <w:szCs w:val="22"/>
              </w:rPr>
              <w:lastRenderedPageBreak/>
              <w:t>AUC: ↓ 43 % (↓ 7 til ↓ 65)</w:t>
            </w:r>
          </w:p>
          <w:p w:rsidR="00604247" w:rsidRDefault="00604247" w:rsidP="00604247">
            <w:pPr>
              <w:rPr>
                <w:sz w:val="22"/>
                <w:szCs w:val="22"/>
              </w:rPr>
            </w:pPr>
            <w:r>
              <w:rPr>
                <w:sz w:val="22"/>
                <w:szCs w:val="22"/>
              </w:rPr>
              <w:t>C</w:t>
            </w:r>
            <w:r>
              <w:rPr>
                <w:sz w:val="22"/>
                <w:szCs w:val="22"/>
                <w:vertAlign w:val="subscript"/>
              </w:rPr>
              <w:t>max</w:t>
            </w:r>
            <w:r>
              <w:rPr>
                <w:sz w:val="22"/>
                <w:szCs w:val="22"/>
              </w:rPr>
              <w:t>: ↔</w:t>
            </w:r>
          </w:p>
        </w:tc>
        <w:tc>
          <w:tcPr>
            <w:tcW w:w="1573" w:type="pct"/>
            <w:vMerge w:val="restart"/>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lang w:bidi="en-GB"/>
              </w:rPr>
            </w:pPr>
            <w:r>
              <w:rPr>
                <w:sz w:val="22"/>
                <w:szCs w:val="22"/>
                <w:lang w:bidi="en-GB"/>
              </w:rPr>
              <w:lastRenderedPageBreak/>
              <w:t>Samtidig administration af atovaquon/proguanil og Efavirenz/Emtricitabine/</w:t>
            </w:r>
          </w:p>
          <w:p w:rsidR="00604247" w:rsidRDefault="00604247" w:rsidP="00604247">
            <w:pPr>
              <w:rPr>
                <w:sz w:val="22"/>
                <w:szCs w:val="22"/>
                <w:lang w:bidi="en-GB"/>
              </w:rPr>
            </w:pPr>
            <w:r>
              <w:rPr>
                <w:sz w:val="22"/>
                <w:szCs w:val="22"/>
                <w:lang w:bidi="en-GB"/>
              </w:rPr>
              <w:t>Tenofovir disoproxil "Glenmark" bør undgås.</w:t>
            </w:r>
          </w:p>
        </w:tc>
      </w:tr>
      <w:tr w:rsidR="00604247" w:rsidTr="00604247">
        <w:trPr>
          <w:jc w:val="center"/>
        </w:trPr>
        <w:tc>
          <w:tcPr>
            <w:tcW w:w="1977" w:type="pct"/>
            <w:tcBorders>
              <w:top w:val="dotted"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lastRenderedPageBreak/>
              <w:t>Atovaquon og proguanilhydrochlorid/emtricitabin</w:t>
            </w:r>
          </w:p>
        </w:tc>
        <w:tc>
          <w:tcPr>
            <w:tcW w:w="1450" w:type="pct"/>
            <w:tcBorders>
              <w:top w:val="dotted"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t>Interaktion er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4247" w:rsidRDefault="00604247" w:rsidP="00604247">
            <w:pPr>
              <w:rPr>
                <w:sz w:val="22"/>
                <w:szCs w:val="22"/>
              </w:rPr>
            </w:pPr>
          </w:p>
        </w:tc>
      </w:tr>
      <w:tr w:rsidR="00604247" w:rsidTr="00604247">
        <w:trPr>
          <w:jc w:val="center"/>
        </w:trPr>
        <w:tc>
          <w:tcPr>
            <w:tcW w:w="1977" w:type="pct"/>
            <w:tcBorders>
              <w:top w:val="dotted"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sz w:val="22"/>
                <w:szCs w:val="22"/>
              </w:rPr>
              <w:t>Atovaquon og proguanilhydrochlorid/tenofovirdisoproxil</w:t>
            </w:r>
          </w:p>
        </w:tc>
        <w:tc>
          <w:tcPr>
            <w:tcW w:w="1450" w:type="pct"/>
            <w:tcBorders>
              <w:top w:val="dotted"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sz w:val="22"/>
                <w:szCs w:val="22"/>
              </w:rPr>
              <w:t>Interaktion er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4247" w:rsidRDefault="00604247" w:rsidP="00604247">
            <w:pPr>
              <w:rPr>
                <w:sz w:val="22"/>
                <w:szCs w:val="22"/>
              </w:rPr>
            </w:pPr>
          </w:p>
        </w:tc>
      </w:tr>
      <w:tr w:rsidR="00604247" w:rsidTr="00243EA6">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b/>
                <w:i/>
                <w:sz w:val="22"/>
                <w:szCs w:val="22"/>
                <w:lang w:bidi="en-GB"/>
              </w:rPr>
              <w:t>KRAMPESTILLENDE LÆGEMIDLER</w:t>
            </w:r>
          </w:p>
        </w:tc>
      </w:tr>
      <w:tr w:rsidR="00604247" w:rsidTr="00604247">
        <w:trPr>
          <w:jc w:val="center"/>
        </w:trPr>
        <w:tc>
          <w:tcPr>
            <w:tcW w:w="1977" w:type="pct"/>
            <w:tcBorders>
              <w:top w:val="single"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t>Carbamazepin/efavirenz</w:t>
            </w:r>
          </w:p>
          <w:p w:rsidR="00604247" w:rsidRDefault="00604247" w:rsidP="00604247">
            <w:pPr>
              <w:rPr>
                <w:sz w:val="22"/>
                <w:szCs w:val="22"/>
              </w:rPr>
            </w:pPr>
            <w:r>
              <w:rPr>
                <w:sz w:val="22"/>
                <w:szCs w:val="22"/>
              </w:rPr>
              <w:t>(400 mg q.d./600 mg q.d.)</w:t>
            </w:r>
          </w:p>
        </w:tc>
        <w:tc>
          <w:tcPr>
            <w:tcW w:w="1450" w:type="pct"/>
            <w:tcBorders>
              <w:top w:val="single" w:sz="4" w:space="0" w:color="auto"/>
              <w:left w:val="single" w:sz="4" w:space="0" w:color="auto"/>
              <w:bottom w:val="dotted" w:sz="4" w:space="0" w:color="auto"/>
              <w:right w:val="single" w:sz="4" w:space="0" w:color="auto"/>
            </w:tcBorders>
          </w:tcPr>
          <w:p w:rsidR="00604247" w:rsidRDefault="00604247" w:rsidP="00604247">
            <w:pPr>
              <w:rPr>
                <w:sz w:val="22"/>
                <w:szCs w:val="22"/>
              </w:rPr>
            </w:pPr>
            <w:r>
              <w:rPr>
                <w:sz w:val="22"/>
                <w:szCs w:val="22"/>
              </w:rPr>
              <w:t>Carbamazepin:</w:t>
            </w:r>
          </w:p>
          <w:p w:rsidR="00604247" w:rsidRDefault="00604247" w:rsidP="00604247">
            <w:pPr>
              <w:rPr>
                <w:sz w:val="22"/>
                <w:szCs w:val="22"/>
              </w:rPr>
            </w:pPr>
            <w:r>
              <w:rPr>
                <w:sz w:val="22"/>
                <w:szCs w:val="22"/>
              </w:rPr>
              <w:t>AUC: ↓ 27 % (↓ 20 til ↓ 33)</w:t>
            </w:r>
          </w:p>
          <w:p w:rsidR="00604247" w:rsidRDefault="00604247" w:rsidP="00604247">
            <w:pPr>
              <w:rPr>
                <w:sz w:val="22"/>
                <w:szCs w:val="22"/>
              </w:rPr>
            </w:pPr>
            <w:r>
              <w:rPr>
                <w:sz w:val="22"/>
                <w:szCs w:val="22"/>
              </w:rPr>
              <w:t>C</w:t>
            </w:r>
            <w:r>
              <w:rPr>
                <w:sz w:val="22"/>
                <w:szCs w:val="22"/>
                <w:vertAlign w:val="subscript"/>
              </w:rPr>
              <w:t>max</w:t>
            </w:r>
            <w:r>
              <w:rPr>
                <w:sz w:val="22"/>
                <w:szCs w:val="22"/>
              </w:rPr>
              <w:t>: ↓ 20 % (↓ 15 til ↓ 24)</w:t>
            </w:r>
          </w:p>
          <w:p w:rsidR="00604247" w:rsidRDefault="00604247" w:rsidP="00604247">
            <w:pPr>
              <w:rPr>
                <w:sz w:val="22"/>
                <w:szCs w:val="22"/>
              </w:rPr>
            </w:pPr>
            <w:r>
              <w:rPr>
                <w:sz w:val="22"/>
                <w:szCs w:val="22"/>
              </w:rPr>
              <w:t>C</w:t>
            </w:r>
            <w:r>
              <w:rPr>
                <w:sz w:val="22"/>
                <w:szCs w:val="22"/>
                <w:vertAlign w:val="subscript"/>
              </w:rPr>
              <w:t>min</w:t>
            </w:r>
            <w:r>
              <w:rPr>
                <w:sz w:val="22"/>
                <w:szCs w:val="22"/>
              </w:rPr>
              <w:t>: ↓ 35 % (↓ 24 til ↓ 44)</w:t>
            </w:r>
          </w:p>
          <w:p w:rsidR="00604247" w:rsidRDefault="00604247" w:rsidP="00604247">
            <w:pPr>
              <w:rPr>
                <w:sz w:val="22"/>
                <w:szCs w:val="22"/>
              </w:rPr>
            </w:pPr>
          </w:p>
          <w:p w:rsidR="00604247" w:rsidRDefault="00604247" w:rsidP="00604247">
            <w:pPr>
              <w:rPr>
                <w:sz w:val="22"/>
                <w:szCs w:val="22"/>
              </w:rPr>
            </w:pPr>
            <w:r>
              <w:rPr>
                <w:sz w:val="22"/>
                <w:szCs w:val="22"/>
              </w:rPr>
              <w:t>Efavirenz:</w:t>
            </w:r>
          </w:p>
          <w:p w:rsidR="00604247" w:rsidRDefault="00604247" w:rsidP="00604247">
            <w:pPr>
              <w:rPr>
                <w:sz w:val="22"/>
                <w:szCs w:val="22"/>
              </w:rPr>
            </w:pPr>
            <w:r>
              <w:rPr>
                <w:sz w:val="22"/>
                <w:szCs w:val="22"/>
              </w:rPr>
              <w:t>AUC: ↓ 36 % (↓ 32 til ↓ 40)</w:t>
            </w:r>
          </w:p>
          <w:p w:rsidR="00604247" w:rsidRDefault="00604247" w:rsidP="00604247">
            <w:pPr>
              <w:rPr>
                <w:sz w:val="22"/>
                <w:szCs w:val="22"/>
              </w:rPr>
            </w:pPr>
            <w:r>
              <w:rPr>
                <w:sz w:val="22"/>
                <w:szCs w:val="22"/>
              </w:rPr>
              <w:t>C</w:t>
            </w:r>
            <w:r>
              <w:rPr>
                <w:sz w:val="22"/>
                <w:szCs w:val="22"/>
                <w:vertAlign w:val="subscript"/>
              </w:rPr>
              <w:t>max</w:t>
            </w:r>
            <w:r>
              <w:rPr>
                <w:sz w:val="22"/>
                <w:szCs w:val="22"/>
              </w:rPr>
              <w:t>: ↓ 21 % (↓ 15 til ↓ 26)</w:t>
            </w:r>
          </w:p>
          <w:p w:rsidR="00604247" w:rsidRDefault="00604247" w:rsidP="00604247">
            <w:pPr>
              <w:rPr>
                <w:sz w:val="22"/>
                <w:szCs w:val="22"/>
              </w:rPr>
            </w:pPr>
            <w:r>
              <w:rPr>
                <w:sz w:val="22"/>
                <w:szCs w:val="22"/>
              </w:rPr>
              <w:t>C</w:t>
            </w:r>
            <w:r>
              <w:rPr>
                <w:sz w:val="22"/>
                <w:szCs w:val="22"/>
                <w:vertAlign w:val="subscript"/>
              </w:rPr>
              <w:t>min</w:t>
            </w:r>
            <w:r>
              <w:rPr>
                <w:sz w:val="22"/>
                <w:szCs w:val="22"/>
              </w:rPr>
              <w:t>: ↓ 47 % (↓ 41 til ↓ 53)</w:t>
            </w:r>
          </w:p>
          <w:p w:rsidR="00604247" w:rsidRDefault="00604247" w:rsidP="00604247">
            <w:pPr>
              <w:rPr>
                <w:sz w:val="22"/>
                <w:szCs w:val="22"/>
                <w:lang w:bidi="en-GB"/>
              </w:rPr>
            </w:pPr>
            <w:r>
              <w:rPr>
                <w:sz w:val="22"/>
                <w:szCs w:val="22"/>
                <w:lang w:bidi="en-GB"/>
              </w:rPr>
              <w:t>(fald i carbamazepin</w:t>
            </w:r>
            <w:r>
              <w:rPr>
                <w:sz w:val="22"/>
                <w:szCs w:val="22"/>
                <w:lang w:bidi="en-GB"/>
              </w:rPr>
              <w:softHyphen/>
              <w:t>koncentrationer: CYP3A4</w:t>
            </w:r>
            <w:r>
              <w:rPr>
                <w:sz w:val="22"/>
                <w:szCs w:val="22"/>
                <w:lang w:bidi="en-GB"/>
              </w:rPr>
              <w:noBreakHyphen/>
              <w:t>induktion; fald i efavirenzkoncentrationer: CYP3A- og CYP2B6</w:t>
            </w:r>
            <w:r>
              <w:rPr>
                <w:sz w:val="22"/>
                <w:szCs w:val="22"/>
                <w:lang w:bidi="en-GB"/>
              </w:rPr>
              <w:noBreakHyphen/>
              <w:t>induktion)</w:t>
            </w:r>
          </w:p>
          <w:p w:rsidR="00604247" w:rsidRDefault="00604247" w:rsidP="00604247">
            <w:pPr>
              <w:rPr>
                <w:sz w:val="22"/>
                <w:szCs w:val="22"/>
                <w:lang w:bidi="en-GB"/>
              </w:rPr>
            </w:pPr>
            <w:r>
              <w:rPr>
                <w:sz w:val="22"/>
                <w:szCs w:val="22"/>
                <w:lang w:bidi="en-GB"/>
              </w:rPr>
              <w:t>Samtidig administration af højere doser af enten efavirenz eller carbamazepin er ikke blevet undersøgt.</w:t>
            </w:r>
          </w:p>
        </w:tc>
        <w:tc>
          <w:tcPr>
            <w:tcW w:w="1573" w:type="pct"/>
            <w:vMerge w:val="restart"/>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lang w:bidi="en-GB"/>
              </w:rPr>
            </w:pPr>
            <w:r>
              <w:rPr>
                <w:sz w:val="22"/>
                <w:szCs w:val="22"/>
                <w:lang w:bidi="en-GB"/>
              </w:rPr>
              <w:t>Der kan ikke gives doseringsanbefaling for anvendelsen af Efavirenz/Emtricitabine/</w:t>
            </w:r>
          </w:p>
          <w:p w:rsidR="00604247" w:rsidRDefault="00604247" w:rsidP="00604247">
            <w:pPr>
              <w:rPr>
                <w:sz w:val="22"/>
                <w:szCs w:val="22"/>
                <w:lang w:bidi="en-GB"/>
              </w:rPr>
            </w:pPr>
            <w:r>
              <w:rPr>
                <w:sz w:val="22"/>
                <w:szCs w:val="22"/>
                <w:lang w:bidi="en-GB"/>
              </w:rPr>
              <w:t>Tenofovir disoproxil "Glenmark" sammen med carbamazepin. Et alternativt krampestillende lægemiddel bør overvejes. Carbamazepins plasmakoncentrationer bør monitoreres regelmæssigt.</w:t>
            </w:r>
          </w:p>
        </w:tc>
      </w:tr>
      <w:tr w:rsidR="00604247" w:rsidTr="00604247">
        <w:trPr>
          <w:jc w:val="center"/>
        </w:trPr>
        <w:tc>
          <w:tcPr>
            <w:tcW w:w="1977" w:type="pct"/>
            <w:tcBorders>
              <w:top w:val="dotted"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t>Carbamazepin/emtricitabin</w:t>
            </w:r>
          </w:p>
        </w:tc>
        <w:tc>
          <w:tcPr>
            <w:tcW w:w="1450" w:type="pct"/>
            <w:tcBorders>
              <w:top w:val="dotted"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t>Interaktion er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4247" w:rsidRDefault="00604247" w:rsidP="00604247">
            <w:pPr>
              <w:rPr>
                <w:sz w:val="22"/>
                <w:szCs w:val="22"/>
                <w:lang w:bidi="en-GB"/>
              </w:rPr>
            </w:pPr>
          </w:p>
        </w:tc>
      </w:tr>
      <w:tr w:rsidR="00604247" w:rsidTr="00604247">
        <w:trPr>
          <w:jc w:val="center"/>
        </w:trPr>
        <w:tc>
          <w:tcPr>
            <w:tcW w:w="1977" w:type="pct"/>
            <w:tcBorders>
              <w:top w:val="dotted"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sz w:val="22"/>
                <w:szCs w:val="22"/>
              </w:rPr>
              <w:t>Carbamazepin/tenofovirdisoproxil</w:t>
            </w:r>
          </w:p>
        </w:tc>
        <w:tc>
          <w:tcPr>
            <w:tcW w:w="1450" w:type="pct"/>
            <w:tcBorders>
              <w:top w:val="dotted"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sz w:val="22"/>
                <w:szCs w:val="22"/>
              </w:rPr>
              <w:t>Interaktion er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4247" w:rsidRDefault="00604247" w:rsidP="00604247">
            <w:pPr>
              <w:rPr>
                <w:sz w:val="22"/>
                <w:szCs w:val="22"/>
                <w:lang w:bidi="en-GB"/>
              </w:rPr>
            </w:pPr>
          </w:p>
        </w:tc>
      </w:tr>
      <w:tr w:rsidR="00604247" w:rsidTr="00604247">
        <w:trPr>
          <w:jc w:val="center"/>
        </w:trPr>
        <w:tc>
          <w:tcPr>
            <w:tcW w:w="1977" w:type="pct"/>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sz w:val="22"/>
                <w:szCs w:val="22"/>
              </w:rPr>
              <w:t xml:space="preserve">Phenytoin, phenobarbital </w:t>
            </w:r>
            <w:r>
              <w:rPr>
                <w:sz w:val="22"/>
                <w:szCs w:val="22"/>
                <w:lang w:bidi="en-GB"/>
              </w:rPr>
              <w:t>og andre krampestillende lægemidler, som er substrater for CYP</w:t>
            </w:r>
            <w:r>
              <w:rPr>
                <w:sz w:val="22"/>
                <w:szCs w:val="22"/>
                <w:lang w:bidi="en-GB"/>
              </w:rPr>
              <w:noBreakHyphen/>
              <w:t>isozymer</w:t>
            </w:r>
          </w:p>
        </w:tc>
        <w:tc>
          <w:tcPr>
            <w:tcW w:w="1450" w:type="pct"/>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lang w:bidi="en-GB"/>
              </w:rPr>
            </w:pPr>
            <w:r>
              <w:rPr>
                <w:sz w:val="22"/>
                <w:szCs w:val="22"/>
                <w:lang w:bidi="en-GB"/>
              </w:rPr>
              <w:t>Interaktion er ikke undersøgt med efavirenz, emtricitabin eller tenofovirdisoproxil. Reduktion eller øgning af phenytoins plasmakoncentrationer, phenobarbital og andre krampestillende lægemidler, som er substrater for CYP</w:t>
            </w:r>
            <w:r>
              <w:rPr>
                <w:sz w:val="22"/>
                <w:szCs w:val="22"/>
                <w:lang w:bidi="en-GB"/>
              </w:rPr>
              <w:noBreakHyphen/>
              <w:t>isozymer, er mulig med efavirenz.</w:t>
            </w:r>
          </w:p>
        </w:tc>
        <w:tc>
          <w:tcPr>
            <w:tcW w:w="1573" w:type="pct"/>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lang w:bidi="en-GB"/>
              </w:rPr>
            </w:pPr>
            <w:r>
              <w:rPr>
                <w:sz w:val="22"/>
                <w:szCs w:val="22"/>
                <w:lang w:bidi="en-GB"/>
              </w:rPr>
              <w:t>Når Efavirenz/Emtricitabine/</w:t>
            </w:r>
          </w:p>
          <w:p w:rsidR="00604247" w:rsidRDefault="00604247" w:rsidP="00604247">
            <w:pPr>
              <w:rPr>
                <w:sz w:val="22"/>
                <w:szCs w:val="22"/>
              </w:rPr>
            </w:pPr>
            <w:r>
              <w:rPr>
                <w:sz w:val="22"/>
                <w:szCs w:val="22"/>
                <w:lang w:bidi="en-GB"/>
              </w:rPr>
              <w:t>Tenofovir disoproxil "Glenmark" administreres sammen med et krampestillende lægemiddel, som er et substrat for CYP</w:t>
            </w:r>
            <w:r>
              <w:rPr>
                <w:sz w:val="22"/>
                <w:szCs w:val="22"/>
                <w:lang w:bidi="en-GB"/>
              </w:rPr>
              <w:noBreakHyphen/>
              <w:t>isozymer, bør monitorering af de krampestillende koncentrationer foretages.</w:t>
            </w:r>
          </w:p>
        </w:tc>
      </w:tr>
      <w:tr w:rsidR="00604247" w:rsidTr="00604247">
        <w:trPr>
          <w:jc w:val="center"/>
        </w:trPr>
        <w:tc>
          <w:tcPr>
            <w:tcW w:w="1977" w:type="pct"/>
            <w:tcBorders>
              <w:top w:val="single"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t>Valproatsyre/efavirenz</w:t>
            </w:r>
          </w:p>
          <w:p w:rsidR="00604247" w:rsidRDefault="00604247" w:rsidP="00604247">
            <w:pPr>
              <w:rPr>
                <w:sz w:val="22"/>
                <w:szCs w:val="22"/>
              </w:rPr>
            </w:pPr>
            <w:r>
              <w:rPr>
                <w:sz w:val="22"/>
                <w:szCs w:val="22"/>
              </w:rPr>
              <w:t>(250 mg b.i.d./600 mg q.d.)</w:t>
            </w:r>
          </w:p>
        </w:tc>
        <w:tc>
          <w:tcPr>
            <w:tcW w:w="1450" w:type="pct"/>
            <w:tcBorders>
              <w:top w:val="single" w:sz="4" w:space="0" w:color="auto"/>
              <w:left w:val="single" w:sz="4" w:space="0" w:color="auto"/>
              <w:bottom w:val="dotted" w:sz="4" w:space="0" w:color="auto"/>
              <w:right w:val="single" w:sz="4" w:space="0" w:color="auto"/>
            </w:tcBorders>
            <w:hideMark/>
          </w:tcPr>
          <w:p w:rsidR="00604247" w:rsidRDefault="00604247" w:rsidP="00604247">
            <w:pPr>
              <w:rPr>
                <w:sz w:val="22"/>
                <w:szCs w:val="22"/>
                <w:lang w:bidi="en-GB"/>
              </w:rPr>
            </w:pPr>
            <w:r>
              <w:rPr>
                <w:sz w:val="22"/>
                <w:szCs w:val="22"/>
                <w:lang w:bidi="en-GB"/>
              </w:rPr>
              <w:t xml:space="preserve">Ingen klinisk signifikant virkning på farmakokinetikken af efavirenz. Begrænsede data antyder, at der ikke er nogen klinisk signifikant virkning </w:t>
            </w:r>
            <w:r>
              <w:rPr>
                <w:sz w:val="22"/>
                <w:szCs w:val="22"/>
                <w:lang w:bidi="en-GB"/>
              </w:rPr>
              <w:lastRenderedPageBreak/>
              <w:t>på farmakokinetikken af valproatsyre.</w:t>
            </w:r>
          </w:p>
        </w:tc>
        <w:tc>
          <w:tcPr>
            <w:tcW w:w="1573" w:type="pct"/>
            <w:vMerge w:val="restart"/>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lang w:bidi="en-GB"/>
              </w:rPr>
            </w:pPr>
            <w:r>
              <w:rPr>
                <w:sz w:val="22"/>
                <w:szCs w:val="22"/>
                <w:lang w:bidi="en-GB"/>
              </w:rPr>
              <w:lastRenderedPageBreak/>
              <w:t>Efavirenz/Emtricitabine/</w:t>
            </w:r>
          </w:p>
          <w:p w:rsidR="00604247" w:rsidRDefault="00604247" w:rsidP="00604247">
            <w:pPr>
              <w:rPr>
                <w:sz w:val="22"/>
                <w:szCs w:val="22"/>
              </w:rPr>
            </w:pPr>
            <w:r>
              <w:rPr>
                <w:sz w:val="22"/>
                <w:szCs w:val="22"/>
                <w:lang w:bidi="en-GB"/>
              </w:rPr>
              <w:t xml:space="preserve">Tenofovir disoproxil "Glenmark" og valproatsyre kan administreres samtidigt uden dosisjustering. Patienterne </w:t>
            </w:r>
            <w:r>
              <w:rPr>
                <w:sz w:val="22"/>
                <w:szCs w:val="22"/>
                <w:lang w:bidi="en-GB"/>
              </w:rPr>
              <w:lastRenderedPageBreak/>
              <w:t>skal monitoreres for kontrol af kramper.</w:t>
            </w:r>
          </w:p>
        </w:tc>
      </w:tr>
      <w:tr w:rsidR="00604247" w:rsidTr="00604247">
        <w:trPr>
          <w:jc w:val="center"/>
        </w:trPr>
        <w:tc>
          <w:tcPr>
            <w:tcW w:w="1977" w:type="pct"/>
            <w:tcBorders>
              <w:top w:val="dotted"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lastRenderedPageBreak/>
              <w:t>Valproatsyre/emtricitabin</w:t>
            </w:r>
          </w:p>
        </w:tc>
        <w:tc>
          <w:tcPr>
            <w:tcW w:w="1450" w:type="pct"/>
            <w:tcBorders>
              <w:top w:val="dotted"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t>Interaktion er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4247" w:rsidRDefault="00604247" w:rsidP="00604247">
            <w:pPr>
              <w:rPr>
                <w:sz w:val="22"/>
                <w:szCs w:val="22"/>
              </w:rPr>
            </w:pPr>
          </w:p>
        </w:tc>
      </w:tr>
      <w:tr w:rsidR="00604247" w:rsidTr="00604247">
        <w:trPr>
          <w:jc w:val="center"/>
        </w:trPr>
        <w:tc>
          <w:tcPr>
            <w:tcW w:w="1977" w:type="pct"/>
            <w:tcBorders>
              <w:top w:val="dotted"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sz w:val="22"/>
                <w:szCs w:val="22"/>
              </w:rPr>
              <w:t>Valproatsyre/tenofovirdisoproxil</w:t>
            </w:r>
          </w:p>
        </w:tc>
        <w:tc>
          <w:tcPr>
            <w:tcW w:w="1450" w:type="pct"/>
            <w:tcBorders>
              <w:top w:val="dotted"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sz w:val="22"/>
                <w:szCs w:val="22"/>
              </w:rPr>
              <w:t>Interaktion er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4247" w:rsidRDefault="00604247" w:rsidP="00604247">
            <w:pPr>
              <w:rPr>
                <w:sz w:val="22"/>
                <w:szCs w:val="22"/>
              </w:rPr>
            </w:pPr>
          </w:p>
        </w:tc>
      </w:tr>
      <w:tr w:rsidR="00604247" w:rsidTr="00604247">
        <w:trPr>
          <w:jc w:val="center"/>
        </w:trPr>
        <w:tc>
          <w:tcPr>
            <w:tcW w:w="1977" w:type="pct"/>
            <w:tcBorders>
              <w:top w:val="single"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t>Vigabatrin/efavirenz</w:t>
            </w:r>
          </w:p>
          <w:p w:rsidR="00604247" w:rsidRDefault="00604247" w:rsidP="00604247">
            <w:pPr>
              <w:rPr>
                <w:sz w:val="22"/>
                <w:szCs w:val="22"/>
              </w:rPr>
            </w:pPr>
            <w:r>
              <w:rPr>
                <w:sz w:val="22"/>
                <w:szCs w:val="22"/>
              </w:rPr>
              <w:t>Gabapentin/efavirenz</w:t>
            </w:r>
          </w:p>
        </w:tc>
        <w:tc>
          <w:tcPr>
            <w:tcW w:w="1450" w:type="pct"/>
            <w:tcBorders>
              <w:top w:val="single" w:sz="4" w:space="0" w:color="auto"/>
              <w:left w:val="single" w:sz="4" w:space="0" w:color="auto"/>
              <w:bottom w:val="dotted" w:sz="4" w:space="0" w:color="auto"/>
              <w:right w:val="single" w:sz="4" w:space="0" w:color="auto"/>
            </w:tcBorders>
            <w:hideMark/>
          </w:tcPr>
          <w:p w:rsidR="00604247" w:rsidRDefault="00604247" w:rsidP="00604247">
            <w:pPr>
              <w:rPr>
                <w:sz w:val="22"/>
                <w:szCs w:val="22"/>
                <w:lang w:bidi="en-GB"/>
              </w:rPr>
            </w:pPr>
            <w:r>
              <w:rPr>
                <w:sz w:val="22"/>
                <w:szCs w:val="22"/>
                <w:lang w:bidi="en-GB"/>
              </w:rPr>
              <w:t>Interaktion er ikke undersøgt. Der forventes ingen klinisk signifikant interaktion, da vigabatrin og gabapentin udelukkende elimineres uændret i urinen, og det er usandsynligt, at de vil konkurrere om de samme metaboliske enzymer og eliminationsveje som efavirenz.</w:t>
            </w:r>
          </w:p>
        </w:tc>
        <w:tc>
          <w:tcPr>
            <w:tcW w:w="1573" w:type="pct"/>
            <w:vMerge w:val="restart"/>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lang w:bidi="en-GB"/>
              </w:rPr>
            </w:pPr>
            <w:r>
              <w:rPr>
                <w:sz w:val="22"/>
                <w:szCs w:val="22"/>
                <w:lang w:bidi="en-GB"/>
              </w:rPr>
              <w:t>Efavirenz/Emtricitabine/</w:t>
            </w:r>
          </w:p>
          <w:p w:rsidR="00604247" w:rsidRDefault="00604247" w:rsidP="00604247">
            <w:pPr>
              <w:rPr>
                <w:sz w:val="22"/>
                <w:szCs w:val="22"/>
              </w:rPr>
            </w:pPr>
            <w:r>
              <w:rPr>
                <w:sz w:val="22"/>
                <w:szCs w:val="22"/>
                <w:lang w:bidi="en-GB"/>
              </w:rPr>
              <w:t>Tenofovir disoproxil "Glenmark" og vigabatrin eller gabapentin kan administreres samtidigt uden dosisjustering.</w:t>
            </w:r>
          </w:p>
        </w:tc>
      </w:tr>
      <w:tr w:rsidR="00604247" w:rsidTr="00604247">
        <w:trPr>
          <w:jc w:val="center"/>
        </w:trPr>
        <w:tc>
          <w:tcPr>
            <w:tcW w:w="1977" w:type="pct"/>
            <w:tcBorders>
              <w:top w:val="dotted"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t>Vigabatrin/emtricitabin Gabapentin/Emtricitabin</w:t>
            </w:r>
          </w:p>
        </w:tc>
        <w:tc>
          <w:tcPr>
            <w:tcW w:w="1450" w:type="pct"/>
            <w:tcBorders>
              <w:top w:val="dotted"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t>Interaktion er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4247" w:rsidRDefault="00604247" w:rsidP="00604247">
            <w:pPr>
              <w:rPr>
                <w:sz w:val="22"/>
                <w:szCs w:val="22"/>
              </w:rPr>
            </w:pPr>
          </w:p>
        </w:tc>
      </w:tr>
      <w:tr w:rsidR="00604247" w:rsidTr="00604247">
        <w:trPr>
          <w:jc w:val="center"/>
        </w:trPr>
        <w:tc>
          <w:tcPr>
            <w:tcW w:w="1977" w:type="pct"/>
            <w:tcBorders>
              <w:top w:val="dotted"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sz w:val="22"/>
                <w:szCs w:val="22"/>
              </w:rPr>
              <w:t>Vigabatrin/tenofovirdisoproxil Gabapentin/tenofovirdisoproxil</w:t>
            </w:r>
          </w:p>
        </w:tc>
        <w:tc>
          <w:tcPr>
            <w:tcW w:w="1450" w:type="pct"/>
            <w:tcBorders>
              <w:top w:val="dotted"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sz w:val="22"/>
                <w:szCs w:val="22"/>
              </w:rPr>
              <w:t>Interaktion er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4247" w:rsidRDefault="00604247" w:rsidP="00604247">
            <w:pPr>
              <w:rPr>
                <w:sz w:val="22"/>
                <w:szCs w:val="22"/>
              </w:rPr>
            </w:pPr>
          </w:p>
        </w:tc>
      </w:tr>
      <w:tr w:rsidR="00604247" w:rsidTr="00243EA6">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b/>
                <w:i/>
                <w:sz w:val="22"/>
                <w:szCs w:val="22"/>
                <w:lang w:bidi="en-GB"/>
              </w:rPr>
              <w:t>ANTIKOAGULANTIA</w:t>
            </w:r>
          </w:p>
        </w:tc>
      </w:tr>
      <w:tr w:rsidR="00604247" w:rsidTr="00604247">
        <w:trPr>
          <w:jc w:val="center"/>
        </w:trPr>
        <w:tc>
          <w:tcPr>
            <w:tcW w:w="1977" w:type="pct"/>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sz w:val="22"/>
                <w:szCs w:val="22"/>
              </w:rPr>
              <w:t>Warfarin/efavirenz Acenocoumarol/efavirenz</w:t>
            </w:r>
          </w:p>
        </w:tc>
        <w:tc>
          <w:tcPr>
            <w:tcW w:w="1450" w:type="pct"/>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lang w:bidi="en-GB"/>
              </w:rPr>
            </w:pPr>
            <w:r>
              <w:rPr>
                <w:sz w:val="22"/>
                <w:szCs w:val="22"/>
                <w:lang w:bidi="en-GB"/>
              </w:rPr>
              <w:t>Interaktion er ikke undersøgt. Warfarins eller acenocoumarols plasmakoncentrationer og virkninger kan muligvis forhøjes eller reduceres af efavirenz.</w:t>
            </w:r>
          </w:p>
        </w:tc>
        <w:tc>
          <w:tcPr>
            <w:tcW w:w="1573" w:type="pct"/>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lang w:bidi="en-GB"/>
              </w:rPr>
            </w:pPr>
            <w:r>
              <w:rPr>
                <w:sz w:val="22"/>
                <w:szCs w:val="22"/>
                <w:lang w:bidi="en-GB"/>
              </w:rPr>
              <w:t>Justering af warfarin- eller acenocoumaroldosis kan være påkrævet, når det administreres samtidigt med Efavirenz/Emtricitabine/</w:t>
            </w:r>
          </w:p>
          <w:p w:rsidR="00604247" w:rsidRDefault="00604247" w:rsidP="00604247">
            <w:pPr>
              <w:rPr>
                <w:sz w:val="22"/>
                <w:szCs w:val="22"/>
                <w:lang w:bidi="en-GB"/>
              </w:rPr>
            </w:pPr>
            <w:r>
              <w:rPr>
                <w:sz w:val="22"/>
                <w:szCs w:val="22"/>
                <w:lang w:bidi="en-GB"/>
              </w:rPr>
              <w:t>Tenofovir disoproxil "Glenmark".</w:t>
            </w:r>
          </w:p>
        </w:tc>
      </w:tr>
      <w:tr w:rsidR="00604247" w:rsidTr="00243EA6">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b/>
                <w:i/>
                <w:sz w:val="22"/>
                <w:szCs w:val="22"/>
                <w:lang w:bidi="en-GB"/>
              </w:rPr>
              <w:t>ANTIDEPRESSIVA</w:t>
            </w:r>
          </w:p>
        </w:tc>
      </w:tr>
      <w:tr w:rsidR="00604247" w:rsidTr="00243EA6">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604247" w:rsidRDefault="00604247" w:rsidP="00604247">
            <w:pPr>
              <w:rPr>
                <w:b/>
                <w:sz w:val="22"/>
                <w:szCs w:val="22"/>
              </w:rPr>
            </w:pPr>
            <w:r>
              <w:rPr>
                <w:b/>
                <w:sz w:val="22"/>
                <w:szCs w:val="22"/>
                <w:lang w:bidi="en-GB"/>
              </w:rPr>
              <w:t>Selektive serotonin-reuptake-hæmmere (SSRI’er)</w:t>
            </w:r>
          </w:p>
        </w:tc>
      </w:tr>
      <w:tr w:rsidR="00604247" w:rsidTr="00604247">
        <w:trPr>
          <w:jc w:val="center"/>
        </w:trPr>
        <w:tc>
          <w:tcPr>
            <w:tcW w:w="1977" w:type="pct"/>
            <w:tcBorders>
              <w:top w:val="single" w:sz="4" w:space="0" w:color="auto"/>
              <w:left w:val="single" w:sz="4" w:space="0" w:color="auto"/>
              <w:bottom w:val="dotted" w:sz="4" w:space="0" w:color="auto"/>
              <w:right w:val="single" w:sz="4" w:space="0" w:color="auto"/>
            </w:tcBorders>
            <w:hideMark/>
          </w:tcPr>
          <w:p w:rsidR="00604247" w:rsidRPr="00243EA6" w:rsidRDefault="00604247" w:rsidP="00604247">
            <w:pPr>
              <w:rPr>
                <w:sz w:val="22"/>
                <w:szCs w:val="22"/>
                <w:lang w:val="de-DE"/>
              </w:rPr>
            </w:pPr>
            <w:r w:rsidRPr="00243EA6">
              <w:rPr>
                <w:sz w:val="22"/>
                <w:szCs w:val="22"/>
                <w:lang w:val="de-DE"/>
              </w:rPr>
              <w:t>Sertralin/efavirenz</w:t>
            </w:r>
          </w:p>
          <w:p w:rsidR="00604247" w:rsidRPr="00243EA6" w:rsidRDefault="00604247" w:rsidP="00604247">
            <w:pPr>
              <w:rPr>
                <w:b/>
                <w:i/>
                <w:sz w:val="22"/>
                <w:szCs w:val="22"/>
                <w:lang w:val="de-DE"/>
              </w:rPr>
            </w:pPr>
            <w:r w:rsidRPr="00243EA6">
              <w:rPr>
                <w:sz w:val="22"/>
                <w:szCs w:val="22"/>
                <w:lang w:val="de-DE"/>
              </w:rPr>
              <w:t>(50 mg q.d./600 mg q.d.)</w:t>
            </w:r>
          </w:p>
        </w:tc>
        <w:tc>
          <w:tcPr>
            <w:tcW w:w="1450" w:type="pct"/>
            <w:tcBorders>
              <w:top w:val="single" w:sz="4" w:space="0" w:color="auto"/>
              <w:left w:val="single" w:sz="4" w:space="0" w:color="auto"/>
              <w:bottom w:val="dotted" w:sz="4" w:space="0" w:color="auto"/>
              <w:right w:val="single" w:sz="4" w:space="0" w:color="auto"/>
            </w:tcBorders>
          </w:tcPr>
          <w:p w:rsidR="00604247" w:rsidRPr="00243EA6" w:rsidRDefault="00604247" w:rsidP="00604247">
            <w:pPr>
              <w:rPr>
                <w:sz w:val="22"/>
                <w:szCs w:val="22"/>
                <w:lang w:val="de-DE"/>
              </w:rPr>
            </w:pPr>
            <w:r w:rsidRPr="00243EA6">
              <w:rPr>
                <w:sz w:val="22"/>
                <w:szCs w:val="22"/>
                <w:lang w:val="de-DE"/>
              </w:rPr>
              <w:t>Sertralin:</w:t>
            </w:r>
          </w:p>
          <w:p w:rsidR="00604247" w:rsidRPr="00243EA6" w:rsidRDefault="00604247" w:rsidP="00604247">
            <w:pPr>
              <w:rPr>
                <w:sz w:val="22"/>
                <w:szCs w:val="22"/>
                <w:lang w:val="de-DE"/>
              </w:rPr>
            </w:pPr>
            <w:r w:rsidRPr="00243EA6">
              <w:rPr>
                <w:sz w:val="22"/>
                <w:szCs w:val="22"/>
                <w:lang w:val="de-DE"/>
              </w:rPr>
              <w:t>AUC: ↓ 39 % (↓ 27 til ↓ 50)</w:t>
            </w:r>
          </w:p>
          <w:p w:rsidR="00604247" w:rsidRPr="00243EA6" w:rsidRDefault="00604247" w:rsidP="00604247">
            <w:pPr>
              <w:rPr>
                <w:sz w:val="22"/>
                <w:szCs w:val="22"/>
                <w:lang w:val="de-DE"/>
              </w:rPr>
            </w:pPr>
            <w:r w:rsidRPr="00243EA6">
              <w:rPr>
                <w:sz w:val="22"/>
                <w:szCs w:val="22"/>
                <w:lang w:val="de-DE"/>
              </w:rPr>
              <w:t>C</w:t>
            </w:r>
            <w:r w:rsidRPr="00243EA6">
              <w:rPr>
                <w:sz w:val="22"/>
                <w:szCs w:val="22"/>
                <w:vertAlign w:val="subscript"/>
                <w:lang w:val="de-DE"/>
              </w:rPr>
              <w:t>max</w:t>
            </w:r>
            <w:r w:rsidRPr="00243EA6">
              <w:rPr>
                <w:sz w:val="22"/>
                <w:szCs w:val="22"/>
                <w:lang w:val="de-DE"/>
              </w:rPr>
              <w:t>: ↓ 29 % (↓ 15 til ↓ 40)</w:t>
            </w:r>
          </w:p>
          <w:p w:rsidR="00604247" w:rsidRPr="00243EA6" w:rsidRDefault="00604247" w:rsidP="00604247">
            <w:pPr>
              <w:rPr>
                <w:sz w:val="22"/>
                <w:szCs w:val="22"/>
                <w:lang w:val="de-DE"/>
              </w:rPr>
            </w:pPr>
            <w:r w:rsidRPr="00243EA6">
              <w:rPr>
                <w:sz w:val="22"/>
                <w:szCs w:val="22"/>
                <w:lang w:val="de-DE"/>
              </w:rPr>
              <w:t>C</w:t>
            </w:r>
            <w:r w:rsidRPr="00243EA6">
              <w:rPr>
                <w:sz w:val="22"/>
                <w:szCs w:val="22"/>
                <w:vertAlign w:val="subscript"/>
                <w:lang w:val="de-DE"/>
              </w:rPr>
              <w:t>min</w:t>
            </w:r>
            <w:r w:rsidRPr="00243EA6">
              <w:rPr>
                <w:sz w:val="22"/>
                <w:szCs w:val="22"/>
                <w:lang w:val="de-DE"/>
              </w:rPr>
              <w:t>: ↓ 46 % (↓ 31 til ↓ 58)</w:t>
            </w:r>
          </w:p>
          <w:p w:rsidR="00604247" w:rsidRPr="00243EA6" w:rsidRDefault="00604247" w:rsidP="00604247">
            <w:pPr>
              <w:rPr>
                <w:sz w:val="22"/>
                <w:szCs w:val="22"/>
                <w:lang w:val="de-DE"/>
              </w:rPr>
            </w:pPr>
          </w:p>
          <w:p w:rsidR="00604247" w:rsidRPr="00243EA6" w:rsidRDefault="00604247" w:rsidP="00604247">
            <w:pPr>
              <w:rPr>
                <w:sz w:val="22"/>
                <w:szCs w:val="22"/>
                <w:lang w:val="de-DE"/>
              </w:rPr>
            </w:pPr>
            <w:r w:rsidRPr="00243EA6">
              <w:rPr>
                <w:sz w:val="22"/>
                <w:szCs w:val="22"/>
                <w:lang w:val="de-DE"/>
              </w:rPr>
              <w:t>Efavirenz:</w:t>
            </w:r>
          </w:p>
          <w:p w:rsidR="00604247" w:rsidRPr="00243EA6" w:rsidRDefault="00604247" w:rsidP="00604247">
            <w:pPr>
              <w:rPr>
                <w:sz w:val="22"/>
                <w:szCs w:val="22"/>
                <w:lang w:val="de-DE"/>
              </w:rPr>
            </w:pPr>
            <w:r w:rsidRPr="00243EA6">
              <w:rPr>
                <w:sz w:val="22"/>
                <w:szCs w:val="22"/>
                <w:lang w:val="de-DE"/>
              </w:rPr>
              <w:t>AUC: ↔</w:t>
            </w:r>
          </w:p>
          <w:p w:rsidR="00604247" w:rsidRPr="00243EA6" w:rsidRDefault="00604247" w:rsidP="00604247">
            <w:pPr>
              <w:rPr>
                <w:sz w:val="22"/>
                <w:szCs w:val="22"/>
                <w:lang w:val="de-DE"/>
              </w:rPr>
            </w:pPr>
            <w:r w:rsidRPr="00243EA6">
              <w:rPr>
                <w:sz w:val="22"/>
                <w:szCs w:val="22"/>
                <w:lang w:val="de-DE"/>
              </w:rPr>
              <w:t>C</w:t>
            </w:r>
            <w:r w:rsidRPr="00243EA6">
              <w:rPr>
                <w:sz w:val="22"/>
                <w:szCs w:val="22"/>
                <w:vertAlign w:val="subscript"/>
                <w:lang w:val="de-DE"/>
              </w:rPr>
              <w:t>max</w:t>
            </w:r>
            <w:r w:rsidRPr="00243EA6">
              <w:rPr>
                <w:sz w:val="22"/>
                <w:szCs w:val="22"/>
                <w:lang w:val="de-DE"/>
              </w:rPr>
              <w:t>: ↑ 11 % (↑ 6 til ↑ 16)</w:t>
            </w:r>
          </w:p>
          <w:p w:rsidR="00604247" w:rsidRDefault="00604247" w:rsidP="00604247">
            <w:pPr>
              <w:rPr>
                <w:sz w:val="22"/>
                <w:szCs w:val="22"/>
              </w:rPr>
            </w:pPr>
            <w:r>
              <w:rPr>
                <w:sz w:val="22"/>
                <w:szCs w:val="22"/>
              </w:rPr>
              <w:t>C</w:t>
            </w:r>
            <w:r>
              <w:rPr>
                <w:sz w:val="22"/>
                <w:szCs w:val="22"/>
                <w:vertAlign w:val="subscript"/>
              </w:rPr>
              <w:t>min</w:t>
            </w:r>
            <w:r>
              <w:rPr>
                <w:sz w:val="22"/>
                <w:szCs w:val="22"/>
              </w:rPr>
              <w:t>: ↔</w:t>
            </w:r>
          </w:p>
          <w:p w:rsidR="00604247" w:rsidRDefault="00604247" w:rsidP="00604247">
            <w:pPr>
              <w:rPr>
                <w:sz w:val="22"/>
                <w:szCs w:val="22"/>
              </w:rPr>
            </w:pPr>
            <w:r>
              <w:rPr>
                <w:sz w:val="22"/>
                <w:szCs w:val="22"/>
              </w:rPr>
              <w:t>(CYP3A4</w:t>
            </w:r>
            <w:r>
              <w:rPr>
                <w:sz w:val="22"/>
                <w:szCs w:val="22"/>
              </w:rPr>
              <w:noBreakHyphen/>
              <w:t>induktion)</w:t>
            </w:r>
          </w:p>
        </w:tc>
        <w:tc>
          <w:tcPr>
            <w:tcW w:w="1573" w:type="pct"/>
            <w:vMerge w:val="restart"/>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lang w:bidi="en-GB"/>
              </w:rPr>
            </w:pPr>
            <w:r>
              <w:rPr>
                <w:sz w:val="22"/>
                <w:szCs w:val="22"/>
                <w:lang w:bidi="en-GB"/>
              </w:rPr>
              <w:t>Når sertralin administreres samtidigt med Efavirenz/Emtricitabine/</w:t>
            </w:r>
          </w:p>
          <w:p w:rsidR="00604247" w:rsidRDefault="00604247" w:rsidP="00604247">
            <w:pPr>
              <w:rPr>
                <w:sz w:val="22"/>
                <w:szCs w:val="22"/>
              </w:rPr>
            </w:pPr>
            <w:r>
              <w:rPr>
                <w:sz w:val="22"/>
                <w:szCs w:val="22"/>
                <w:lang w:bidi="en-GB"/>
              </w:rPr>
              <w:t>Tenofovir disoproxil "Glenmark", bør øgning af sertralindosis styres af klinisk respons.</w:t>
            </w:r>
          </w:p>
        </w:tc>
      </w:tr>
      <w:tr w:rsidR="00604247" w:rsidTr="00604247">
        <w:trPr>
          <w:jc w:val="center"/>
        </w:trPr>
        <w:tc>
          <w:tcPr>
            <w:tcW w:w="1977" w:type="pct"/>
            <w:tcBorders>
              <w:top w:val="dotted"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t>Sertralin/emtricitabin</w:t>
            </w:r>
          </w:p>
        </w:tc>
        <w:tc>
          <w:tcPr>
            <w:tcW w:w="1450" w:type="pct"/>
            <w:tcBorders>
              <w:top w:val="dotted"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t>Interaktion er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4247" w:rsidRDefault="00604247" w:rsidP="00604247">
            <w:pPr>
              <w:rPr>
                <w:sz w:val="22"/>
                <w:szCs w:val="22"/>
              </w:rPr>
            </w:pPr>
          </w:p>
        </w:tc>
      </w:tr>
      <w:tr w:rsidR="00604247" w:rsidTr="00604247">
        <w:trPr>
          <w:jc w:val="center"/>
        </w:trPr>
        <w:tc>
          <w:tcPr>
            <w:tcW w:w="1977" w:type="pct"/>
            <w:tcBorders>
              <w:top w:val="dotted"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sz w:val="22"/>
                <w:szCs w:val="22"/>
              </w:rPr>
              <w:t>Sertralin/tenofovirdisoproxil</w:t>
            </w:r>
          </w:p>
        </w:tc>
        <w:tc>
          <w:tcPr>
            <w:tcW w:w="1450" w:type="pct"/>
            <w:tcBorders>
              <w:top w:val="dotted"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sz w:val="22"/>
                <w:szCs w:val="22"/>
              </w:rPr>
              <w:t>Interaktion er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4247" w:rsidRDefault="00604247" w:rsidP="00604247">
            <w:pPr>
              <w:rPr>
                <w:sz w:val="22"/>
                <w:szCs w:val="22"/>
              </w:rPr>
            </w:pPr>
          </w:p>
        </w:tc>
      </w:tr>
      <w:tr w:rsidR="00604247" w:rsidTr="00604247">
        <w:trPr>
          <w:jc w:val="center"/>
        </w:trPr>
        <w:tc>
          <w:tcPr>
            <w:tcW w:w="1977" w:type="pct"/>
            <w:tcBorders>
              <w:top w:val="single" w:sz="4" w:space="0" w:color="auto"/>
              <w:left w:val="single" w:sz="4" w:space="0" w:color="auto"/>
              <w:bottom w:val="dotted" w:sz="4" w:space="0" w:color="auto"/>
              <w:right w:val="single" w:sz="4" w:space="0" w:color="auto"/>
            </w:tcBorders>
            <w:hideMark/>
          </w:tcPr>
          <w:p w:rsidR="00604247" w:rsidRPr="000E6D4D" w:rsidRDefault="00604247" w:rsidP="00604247">
            <w:pPr>
              <w:rPr>
                <w:sz w:val="22"/>
                <w:szCs w:val="22"/>
                <w:lang w:val="en-US"/>
              </w:rPr>
            </w:pPr>
            <w:r w:rsidRPr="000E6D4D">
              <w:rPr>
                <w:sz w:val="22"/>
                <w:szCs w:val="22"/>
                <w:lang w:val="en-US"/>
              </w:rPr>
              <w:t>Paroxetin/efavirenz</w:t>
            </w:r>
          </w:p>
          <w:p w:rsidR="00604247" w:rsidRPr="000E6D4D" w:rsidRDefault="00604247" w:rsidP="00604247">
            <w:pPr>
              <w:rPr>
                <w:b/>
                <w:i/>
                <w:sz w:val="22"/>
                <w:szCs w:val="22"/>
                <w:lang w:val="en-US"/>
              </w:rPr>
            </w:pPr>
            <w:r w:rsidRPr="000E6D4D">
              <w:rPr>
                <w:sz w:val="22"/>
                <w:szCs w:val="22"/>
                <w:lang w:val="en-US"/>
              </w:rPr>
              <w:t>(20 mg q.d./600 mg q.d.)</w:t>
            </w:r>
          </w:p>
        </w:tc>
        <w:tc>
          <w:tcPr>
            <w:tcW w:w="1450" w:type="pct"/>
            <w:tcBorders>
              <w:top w:val="single" w:sz="4" w:space="0" w:color="auto"/>
              <w:left w:val="single" w:sz="4" w:space="0" w:color="auto"/>
              <w:bottom w:val="dotted" w:sz="4" w:space="0" w:color="auto"/>
              <w:right w:val="single" w:sz="4" w:space="0" w:color="auto"/>
            </w:tcBorders>
          </w:tcPr>
          <w:p w:rsidR="00604247" w:rsidRPr="000E6D4D" w:rsidRDefault="00604247" w:rsidP="00604247">
            <w:pPr>
              <w:rPr>
                <w:sz w:val="22"/>
                <w:szCs w:val="22"/>
                <w:lang w:val="en-US"/>
              </w:rPr>
            </w:pPr>
            <w:r w:rsidRPr="000E6D4D">
              <w:rPr>
                <w:sz w:val="22"/>
                <w:szCs w:val="22"/>
                <w:lang w:val="en-US"/>
              </w:rPr>
              <w:t>Paroxetin:</w:t>
            </w:r>
          </w:p>
          <w:p w:rsidR="00604247" w:rsidRPr="000E6D4D" w:rsidRDefault="00604247" w:rsidP="00604247">
            <w:pPr>
              <w:rPr>
                <w:sz w:val="22"/>
                <w:szCs w:val="22"/>
                <w:lang w:val="en-US"/>
              </w:rPr>
            </w:pPr>
            <w:r w:rsidRPr="000E6D4D">
              <w:rPr>
                <w:sz w:val="22"/>
                <w:szCs w:val="22"/>
                <w:lang w:val="en-US"/>
              </w:rPr>
              <w:t>AUC: ↔</w:t>
            </w:r>
          </w:p>
          <w:p w:rsidR="00604247" w:rsidRPr="000E6D4D" w:rsidRDefault="00604247" w:rsidP="00604247">
            <w:pPr>
              <w:rPr>
                <w:sz w:val="22"/>
                <w:szCs w:val="22"/>
                <w:lang w:val="en-US"/>
              </w:rPr>
            </w:pPr>
            <w:r w:rsidRPr="000E6D4D">
              <w:rPr>
                <w:sz w:val="22"/>
                <w:szCs w:val="22"/>
                <w:lang w:val="en-US"/>
              </w:rPr>
              <w:lastRenderedPageBreak/>
              <w:t>C</w:t>
            </w:r>
            <w:r w:rsidRPr="000E6D4D">
              <w:rPr>
                <w:sz w:val="22"/>
                <w:szCs w:val="22"/>
                <w:vertAlign w:val="subscript"/>
                <w:lang w:val="en-US"/>
              </w:rPr>
              <w:t>max</w:t>
            </w:r>
            <w:r w:rsidRPr="000E6D4D">
              <w:rPr>
                <w:sz w:val="22"/>
                <w:szCs w:val="22"/>
                <w:lang w:val="en-US"/>
              </w:rPr>
              <w:t>: ↔</w:t>
            </w:r>
          </w:p>
          <w:p w:rsidR="00604247" w:rsidRPr="000E6D4D" w:rsidRDefault="00604247" w:rsidP="00604247">
            <w:pPr>
              <w:rPr>
                <w:sz w:val="22"/>
                <w:szCs w:val="22"/>
                <w:lang w:val="en-US"/>
              </w:rPr>
            </w:pPr>
            <w:r w:rsidRPr="000E6D4D">
              <w:rPr>
                <w:sz w:val="22"/>
                <w:szCs w:val="22"/>
                <w:lang w:val="en-US"/>
              </w:rPr>
              <w:t>C</w:t>
            </w:r>
            <w:r w:rsidRPr="000E6D4D">
              <w:rPr>
                <w:sz w:val="22"/>
                <w:szCs w:val="22"/>
                <w:vertAlign w:val="subscript"/>
                <w:lang w:val="en-US"/>
              </w:rPr>
              <w:t>min</w:t>
            </w:r>
            <w:r w:rsidRPr="000E6D4D">
              <w:rPr>
                <w:sz w:val="22"/>
                <w:szCs w:val="22"/>
                <w:lang w:val="en-US"/>
              </w:rPr>
              <w:t>: ↔</w:t>
            </w:r>
          </w:p>
          <w:p w:rsidR="00604247" w:rsidRPr="000E6D4D" w:rsidRDefault="00604247" w:rsidP="00604247">
            <w:pPr>
              <w:rPr>
                <w:sz w:val="22"/>
                <w:szCs w:val="22"/>
                <w:lang w:val="en-US"/>
              </w:rPr>
            </w:pPr>
          </w:p>
          <w:p w:rsidR="00604247" w:rsidRPr="000E6D4D" w:rsidRDefault="00604247" w:rsidP="00604247">
            <w:pPr>
              <w:rPr>
                <w:sz w:val="22"/>
                <w:szCs w:val="22"/>
                <w:lang w:val="en-US"/>
              </w:rPr>
            </w:pPr>
            <w:r w:rsidRPr="000E6D4D">
              <w:rPr>
                <w:sz w:val="22"/>
                <w:szCs w:val="22"/>
                <w:lang w:val="en-US"/>
              </w:rPr>
              <w:t>Efavirenz:</w:t>
            </w:r>
          </w:p>
          <w:p w:rsidR="00604247" w:rsidRDefault="00604247" w:rsidP="00604247">
            <w:pPr>
              <w:rPr>
                <w:sz w:val="22"/>
                <w:szCs w:val="22"/>
              </w:rPr>
            </w:pPr>
            <w:r>
              <w:rPr>
                <w:sz w:val="22"/>
                <w:szCs w:val="22"/>
              </w:rPr>
              <w:t>AUC: ↔</w:t>
            </w:r>
          </w:p>
          <w:p w:rsidR="00604247" w:rsidRDefault="00604247" w:rsidP="00604247">
            <w:pPr>
              <w:rPr>
                <w:sz w:val="22"/>
                <w:szCs w:val="22"/>
              </w:rPr>
            </w:pPr>
            <w:r>
              <w:rPr>
                <w:sz w:val="22"/>
                <w:szCs w:val="22"/>
              </w:rPr>
              <w:t>C</w:t>
            </w:r>
            <w:r>
              <w:rPr>
                <w:sz w:val="22"/>
                <w:szCs w:val="22"/>
                <w:vertAlign w:val="subscript"/>
              </w:rPr>
              <w:t>max</w:t>
            </w:r>
            <w:r>
              <w:rPr>
                <w:sz w:val="22"/>
                <w:szCs w:val="22"/>
              </w:rPr>
              <w:t>: ↔</w:t>
            </w:r>
          </w:p>
          <w:p w:rsidR="00604247" w:rsidRDefault="00604247" w:rsidP="00604247">
            <w:pPr>
              <w:rPr>
                <w:sz w:val="22"/>
                <w:szCs w:val="22"/>
              </w:rPr>
            </w:pPr>
            <w:r>
              <w:rPr>
                <w:sz w:val="22"/>
                <w:szCs w:val="22"/>
              </w:rPr>
              <w:t>C</w:t>
            </w:r>
            <w:r>
              <w:rPr>
                <w:sz w:val="22"/>
                <w:szCs w:val="22"/>
                <w:vertAlign w:val="subscript"/>
              </w:rPr>
              <w:t>min</w:t>
            </w:r>
            <w:r>
              <w:rPr>
                <w:sz w:val="22"/>
                <w:szCs w:val="22"/>
              </w:rPr>
              <w:t>: ↔</w:t>
            </w:r>
          </w:p>
        </w:tc>
        <w:tc>
          <w:tcPr>
            <w:tcW w:w="1573" w:type="pct"/>
            <w:vMerge w:val="restart"/>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lang w:bidi="en-GB"/>
              </w:rPr>
            </w:pPr>
            <w:r>
              <w:rPr>
                <w:sz w:val="22"/>
                <w:szCs w:val="22"/>
                <w:lang w:bidi="en-GB"/>
              </w:rPr>
              <w:lastRenderedPageBreak/>
              <w:t>Efavirenz/Emtricitabine/</w:t>
            </w:r>
          </w:p>
          <w:p w:rsidR="00604247" w:rsidRDefault="00604247" w:rsidP="00604247">
            <w:pPr>
              <w:rPr>
                <w:sz w:val="22"/>
                <w:szCs w:val="22"/>
              </w:rPr>
            </w:pPr>
            <w:r>
              <w:rPr>
                <w:sz w:val="22"/>
                <w:szCs w:val="22"/>
                <w:lang w:bidi="en-GB"/>
              </w:rPr>
              <w:lastRenderedPageBreak/>
              <w:t>Tenofovir disoproxil "Glenmark" og paroxetin kan administreres uden dosisjustering.</w:t>
            </w:r>
          </w:p>
        </w:tc>
      </w:tr>
      <w:tr w:rsidR="00604247" w:rsidTr="00604247">
        <w:trPr>
          <w:jc w:val="center"/>
        </w:trPr>
        <w:tc>
          <w:tcPr>
            <w:tcW w:w="1977" w:type="pct"/>
            <w:tcBorders>
              <w:top w:val="dotted"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lastRenderedPageBreak/>
              <w:t>Paroxetin/emtricitabin</w:t>
            </w:r>
          </w:p>
        </w:tc>
        <w:tc>
          <w:tcPr>
            <w:tcW w:w="1450" w:type="pct"/>
            <w:tcBorders>
              <w:top w:val="dotted"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t>Interaktion er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4247" w:rsidRDefault="00604247" w:rsidP="00604247">
            <w:pPr>
              <w:rPr>
                <w:sz w:val="22"/>
                <w:szCs w:val="22"/>
              </w:rPr>
            </w:pPr>
          </w:p>
        </w:tc>
      </w:tr>
      <w:tr w:rsidR="00604247" w:rsidTr="00604247">
        <w:trPr>
          <w:jc w:val="center"/>
        </w:trPr>
        <w:tc>
          <w:tcPr>
            <w:tcW w:w="1977" w:type="pct"/>
            <w:tcBorders>
              <w:top w:val="dotted"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sz w:val="22"/>
                <w:szCs w:val="22"/>
              </w:rPr>
              <w:t>Paroxetin/tenofovirdisoproxil</w:t>
            </w:r>
          </w:p>
        </w:tc>
        <w:tc>
          <w:tcPr>
            <w:tcW w:w="1450" w:type="pct"/>
            <w:tcBorders>
              <w:top w:val="dotted"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sz w:val="22"/>
                <w:szCs w:val="22"/>
              </w:rPr>
              <w:t>Interaktion er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4247" w:rsidRDefault="00604247" w:rsidP="00604247">
            <w:pPr>
              <w:rPr>
                <w:sz w:val="22"/>
                <w:szCs w:val="22"/>
              </w:rPr>
            </w:pPr>
          </w:p>
        </w:tc>
      </w:tr>
      <w:tr w:rsidR="00604247" w:rsidTr="00604247">
        <w:trPr>
          <w:jc w:val="center"/>
        </w:trPr>
        <w:tc>
          <w:tcPr>
            <w:tcW w:w="1977" w:type="pct"/>
            <w:tcBorders>
              <w:top w:val="single"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t>Fluoxetin/efavirenz</w:t>
            </w:r>
          </w:p>
        </w:tc>
        <w:tc>
          <w:tcPr>
            <w:tcW w:w="1450" w:type="pct"/>
            <w:tcBorders>
              <w:top w:val="single" w:sz="4" w:space="0" w:color="auto"/>
              <w:left w:val="single" w:sz="4" w:space="0" w:color="auto"/>
              <w:bottom w:val="dotted" w:sz="4" w:space="0" w:color="auto"/>
              <w:right w:val="single" w:sz="4" w:space="0" w:color="auto"/>
            </w:tcBorders>
            <w:hideMark/>
          </w:tcPr>
          <w:p w:rsidR="00604247" w:rsidRDefault="00604247" w:rsidP="00604247">
            <w:pPr>
              <w:rPr>
                <w:sz w:val="22"/>
                <w:szCs w:val="22"/>
                <w:lang w:bidi="en-GB"/>
              </w:rPr>
            </w:pPr>
            <w:r>
              <w:rPr>
                <w:sz w:val="22"/>
                <w:szCs w:val="22"/>
                <w:lang w:bidi="en-GB"/>
              </w:rPr>
              <w:t>Interaktion er ikke undersøgt. Da fluoxetin har samme metaboliske profil som paroxetin, dvs. en stærk CYP2D6</w:t>
            </w:r>
            <w:r>
              <w:rPr>
                <w:sz w:val="22"/>
                <w:szCs w:val="22"/>
                <w:lang w:bidi="en-GB"/>
              </w:rPr>
              <w:noBreakHyphen/>
              <w:t>hæmmende virkning, kan en lignende mangel på interaktion forventes for fluoxetin.</w:t>
            </w:r>
          </w:p>
        </w:tc>
        <w:tc>
          <w:tcPr>
            <w:tcW w:w="1573" w:type="pct"/>
            <w:vMerge w:val="restart"/>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lang w:bidi="en-GB"/>
              </w:rPr>
            </w:pPr>
            <w:r>
              <w:rPr>
                <w:sz w:val="22"/>
                <w:szCs w:val="22"/>
                <w:lang w:bidi="en-GB"/>
              </w:rPr>
              <w:t>Efavirenz/Emtricitabine/</w:t>
            </w:r>
          </w:p>
          <w:p w:rsidR="00604247" w:rsidRDefault="00604247" w:rsidP="00604247">
            <w:pPr>
              <w:rPr>
                <w:sz w:val="22"/>
                <w:szCs w:val="22"/>
              </w:rPr>
            </w:pPr>
            <w:r>
              <w:rPr>
                <w:sz w:val="22"/>
                <w:szCs w:val="22"/>
                <w:lang w:bidi="en-GB"/>
              </w:rPr>
              <w:t>Tenofovir disoproxil "Glenmark" og fluoxetin kan administreres uden dosisjustering.</w:t>
            </w:r>
          </w:p>
        </w:tc>
      </w:tr>
      <w:tr w:rsidR="00604247" w:rsidTr="00604247">
        <w:trPr>
          <w:jc w:val="center"/>
        </w:trPr>
        <w:tc>
          <w:tcPr>
            <w:tcW w:w="1977" w:type="pct"/>
            <w:tcBorders>
              <w:top w:val="dotted"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t>Fluoxetin/emtricitabin</w:t>
            </w:r>
          </w:p>
        </w:tc>
        <w:tc>
          <w:tcPr>
            <w:tcW w:w="1450" w:type="pct"/>
            <w:tcBorders>
              <w:top w:val="dotted"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t>Interaktion er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4247" w:rsidRDefault="00604247" w:rsidP="00604247">
            <w:pPr>
              <w:rPr>
                <w:sz w:val="22"/>
                <w:szCs w:val="22"/>
              </w:rPr>
            </w:pPr>
          </w:p>
        </w:tc>
      </w:tr>
      <w:tr w:rsidR="00604247" w:rsidTr="00604247">
        <w:trPr>
          <w:jc w:val="center"/>
        </w:trPr>
        <w:tc>
          <w:tcPr>
            <w:tcW w:w="1977" w:type="pct"/>
            <w:tcBorders>
              <w:top w:val="dotted"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sz w:val="22"/>
                <w:szCs w:val="22"/>
              </w:rPr>
              <w:t>Fluoxetin/tenofovirdisoproxil</w:t>
            </w:r>
          </w:p>
        </w:tc>
        <w:tc>
          <w:tcPr>
            <w:tcW w:w="1450" w:type="pct"/>
            <w:tcBorders>
              <w:top w:val="dotted"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sz w:val="22"/>
                <w:szCs w:val="22"/>
              </w:rPr>
              <w:t>Interaktion er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4247" w:rsidRDefault="00604247" w:rsidP="00604247">
            <w:pPr>
              <w:rPr>
                <w:sz w:val="22"/>
                <w:szCs w:val="22"/>
              </w:rPr>
            </w:pPr>
          </w:p>
        </w:tc>
      </w:tr>
      <w:tr w:rsidR="00604247" w:rsidTr="00243EA6">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b/>
                <w:sz w:val="22"/>
                <w:szCs w:val="22"/>
                <w:lang w:bidi="en-GB"/>
              </w:rPr>
              <w:t>Noradrenalin- og dopamin-reuptake-hæmmer</w:t>
            </w:r>
          </w:p>
        </w:tc>
      </w:tr>
      <w:tr w:rsidR="00604247" w:rsidTr="00604247">
        <w:trPr>
          <w:jc w:val="center"/>
        </w:trPr>
        <w:tc>
          <w:tcPr>
            <w:tcW w:w="1977" w:type="pct"/>
            <w:tcBorders>
              <w:top w:val="single"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t>Bupropion/efavirenz</w:t>
            </w:r>
          </w:p>
          <w:p w:rsidR="00604247" w:rsidRDefault="00604247" w:rsidP="00604247">
            <w:pPr>
              <w:rPr>
                <w:sz w:val="22"/>
                <w:szCs w:val="22"/>
              </w:rPr>
            </w:pPr>
            <w:r>
              <w:rPr>
                <w:sz w:val="22"/>
                <w:szCs w:val="22"/>
              </w:rPr>
              <w:t>[150 mg enkeltdosis</w:t>
            </w:r>
          </w:p>
          <w:p w:rsidR="00604247" w:rsidRDefault="00604247" w:rsidP="00604247">
            <w:pPr>
              <w:rPr>
                <w:sz w:val="22"/>
                <w:szCs w:val="22"/>
              </w:rPr>
            </w:pPr>
            <w:r>
              <w:rPr>
                <w:sz w:val="22"/>
                <w:szCs w:val="22"/>
              </w:rPr>
              <w:t xml:space="preserve">(protraheret </w:t>
            </w:r>
            <w:proofErr w:type="gramStart"/>
            <w:r>
              <w:rPr>
                <w:sz w:val="22"/>
                <w:szCs w:val="22"/>
              </w:rPr>
              <w:t>frigivelse)/</w:t>
            </w:r>
            <w:proofErr w:type="gramEnd"/>
            <w:r>
              <w:rPr>
                <w:sz w:val="22"/>
                <w:szCs w:val="22"/>
              </w:rPr>
              <w:t>600 mg q.d.]</w:t>
            </w:r>
          </w:p>
        </w:tc>
        <w:tc>
          <w:tcPr>
            <w:tcW w:w="1450" w:type="pct"/>
            <w:tcBorders>
              <w:top w:val="single" w:sz="4" w:space="0" w:color="auto"/>
              <w:left w:val="single" w:sz="4" w:space="0" w:color="auto"/>
              <w:bottom w:val="dotted" w:sz="4" w:space="0" w:color="auto"/>
              <w:right w:val="single" w:sz="4" w:space="0" w:color="auto"/>
            </w:tcBorders>
          </w:tcPr>
          <w:p w:rsidR="00604247" w:rsidRDefault="00604247" w:rsidP="00604247">
            <w:pPr>
              <w:rPr>
                <w:sz w:val="22"/>
                <w:szCs w:val="22"/>
              </w:rPr>
            </w:pPr>
            <w:r>
              <w:rPr>
                <w:sz w:val="22"/>
                <w:szCs w:val="22"/>
              </w:rPr>
              <w:t>Bupropion:</w:t>
            </w:r>
          </w:p>
          <w:p w:rsidR="00604247" w:rsidRDefault="00604247" w:rsidP="00604247">
            <w:pPr>
              <w:rPr>
                <w:sz w:val="22"/>
                <w:szCs w:val="22"/>
              </w:rPr>
            </w:pPr>
            <w:r>
              <w:rPr>
                <w:sz w:val="22"/>
                <w:szCs w:val="22"/>
              </w:rPr>
              <w:t>AUC: ↓ 55 % (↓ 48 til ↓ 62)</w:t>
            </w:r>
          </w:p>
          <w:p w:rsidR="00604247" w:rsidRDefault="00604247" w:rsidP="00604247">
            <w:pPr>
              <w:rPr>
                <w:sz w:val="22"/>
                <w:szCs w:val="22"/>
              </w:rPr>
            </w:pPr>
            <w:r>
              <w:rPr>
                <w:sz w:val="22"/>
                <w:szCs w:val="22"/>
              </w:rPr>
              <w:t>C</w:t>
            </w:r>
            <w:r>
              <w:rPr>
                <w:sz w:val="22"/>
                <w:szCs w:val="22"/>
                <w:vertAlign w:val="subscript"/>
              </w:rPr>
              <w:t>max</w:t>
            </w:r>
            <w:r>
              <w:rPr>
                <w:sz w:val="22"/>
                <w:szCs w:val="22"/>
              </w:rPr>
              <w:t>: ↓ 34 % (↓ 21 til ↓ 47)</w:t>
            </w:r>
          </w:p>
          <w:p w:rsidR="00604247" w:rsidRDefault="00604247" w:rsidP="00604247">
            <w:pPr>
              <w:rPr>
                <w:sz w:val="22"/>
                <w:szCs w:val="22"/>
              </w:rPr>
            </w:pPr>
          </w:p>
          <w:p w:rsidR="00604247" w:rsidRDefault="00604247" w:rsidP="00604247">
            <w:pPr>
              <w:rPr>
                <w:sz w:val="22"/>
                <w:szCs w:val="22"/>
              </w:rPr>
            </w:pPr>
            <w:r>
              <w:rPr>
                <w:sz w:val="22"/>
                <w:szCs w:val="22"/>
              </w:rPr>
              <w:t>Hydroxybupropion:</w:t>
            </w:r>
          </w:p>
          <w:p w:rsidR="00604247" w:rsidRDefault="00604247" w:rsidP="00604247">
            <w:pPr>
              <w:rPr>
                <w:sz w:val="22"/>
                <w:szCs w:val="22"/>
              </w:rPr>
            </w:pPr>
            <w:r>
              <w:rPr>
                <w:sz w:val="22"/>
                <w:szCs w:val="22"/>
              </w:rPr>
              <w:t>AUC: ↔</w:t>
            </w:r>
          </w:p>
          <w:p w:rsidR="00604247" w:rsidRDefault="00604247" w:rsidP="00604247">
            <w:pPr>
              <w:rPr>
                <w:sz w:val="22"/>
                <w:szCs w:val="22"/>
              </w:rPr>
            </w:pPr>
            <w:r>
              <w:rPr>
                <w:sz w:val="22"/>
                <w:szCs w:val="22"/>
              </w:rPr>
              <w:t>C</w:t>
            </w:r>
            <w:r>
              <w:rPr>
                <w:sz w:val="22"/>
                <w:szCs w:val="22"/>
                <w:vertAlign w:val="subscript"/>
              </w:rPr>
              <w:t>max</w:t>
            </w:r>
            <w:r>
              <w:rPr>
                <w:sz w:val="22"/>
                <w:szCs w:val="22"/>
              </w:rPr>
              <w:t>: ↑ 50 % (↑ 20 til ↑ 80)</w:t>
            </w:r>
          </w:p>
          <w:p w:rsidR="00604247" w:rsidRDefault="00604247" w:rsidP="00604247">
            <w:pPr>
              <w:rPr>
                <w:sz w:val="22"/>
                <w:szCs w:val="22"/>
              </w:rPr>
            </w:pPr>
            <w:r>
              <w:rPr>
                <w:sz w:val="22"/>
                <w:szCs w:val="22"/>
              </w:rPr>
              <w:t>(CYP2B6</w:t>
            </w:r>
            <w:r>
              <w:rPr>
                <w:sz w:val="22"/>
                <w:szCs w:val="22"/>
              </w:rPr>
              <w:noBreakHyphen/>
              <w:t>induktion)</w:t>
            </w:r>
          </w:p>
        </w:tc>
        <w:tc>
          <w:tcPr>
            <w:tcW w:w="1573" w:type="pct"/>
            <w:vMerge w:val="restart"/>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sz w:val="22"/>
                <w:szCs w:val="22"/>
                <w:lang w:bidi="en-GB"/>
              </w:rPr>
              <w:t>Øgning af bupropiondosis bør styres af klinisk respons, men den maksimalt anbefalede bupropiondosis bør ikke overskrides. Justering af efavirenzdosis er ikke nødvendig.</w:t>
            </w:r>
          </w:p>
        </w:tc>
      </w:tr>
      <w:tr w:rsidR="00604247" w:rsidTr="00604247">
        <w:trPr>
          <w:jc w:val="center"/>
        </w:trPr>
        <w:tc>
          <w:tcPr>
            <w:tcW w:w="1977" w:type="pct"/>
            <w:tcBorders>
              <w:top w:val="dotted"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t>Bupropion/emtricitabin</w:t>
            </w:r>
          </w:p>
        </w:tc>
        <w:tc>
          <w:tcPr>
            <w:tcW w:w="1450" w:type="pct"/>
            <w:tcBorders>
              <w:top w:val="dotted"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t>Interaktion er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4247" w:rsidRDefault="00604247" w:rsidP="00604247">
            <w:pPr>
              <w:rPr>
                <w:sz w:val="22"/>
                <w:szCs w:val="22"/>
              </w:rPr>
            </w:pPr>
          </w:p>
        </w:tc>
      </w:tr>
      <w:tr w:rsidR="00604247" w:rsidTr="00604247">
        <w:trPr>
          <w:jc w:val="center"/>
        </w:trPr>
        <w:tc>
          <w:tcPr>
            <w:tcW w:w="1977" w:type="pct"/>
            <w:tcBorders>
              <w:top w:val="dotted"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sz w:val="22"/>
                <w:szCs w:val="22"/>
              </w:rPr>
              <w:t>Bupropion/tenofovirdisoproxil</w:t>
            </w:r>
          </w:p>
        </w:tc>
        <w:tc>
          <w:tcPr>
            <w:tcW w:w="1450" w:type="pct"/>
            <w:tcBorders>
              <w:top w:val="dotted"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sz w:val="22"/>
                <w:szCs w:val="22"/>
              </w:rPr>
              <w:t>Interaktion er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4247" w:rsidRDefault="00604247" w:rsidP="00604247">
            <w:pPr>
              <w:rPr>
                <w:sz w:val="22"/>
                <w:szCs w:val="22"/>
              </w:rPr>
            </w:pPr>
          </w:p>
        </w:tc>
      </w:tr>
      <w:tr w:rsidR="00604247" w:rsidTr="00243EA6">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b/>
                <w:i/>
                <w:sz w:val="22"/>
                <w:szCs w:val="22"/>
                <w:lang w:bidi="en-GB"/>
              </w:rPr>
              <w:t>KARDIOVASKULÆRE LÆGEMIDLER</w:t>
            </w:r>
          </w:p>
        </w:tc>
      </w:tr>
      <w:tr w:rsidR="00604247" w:rsidTr="00604247">
        <w:trPr>
          <w:jc w:val="center"/>
        </w:trPr>
        <w:tc>
          <w:tcPr>
            <w:tcW w:w="1977" w:type="pct"/>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b/>
                <w:sz w:val="22"/>
                <w:szCs w:val="22"/>
                <w:lang w:bidi="en-GB"/>
              </w:rPr>
              <w:t>Calciumantagonister</w:t>
            </w:r>
          </w:p>
        </w:tc>
        <w:tc>
          <w:tcPr>
            <w:tcW w:w="1450" w:type="pct"/>
            <w:tcBorders>
              <w:top w:val="single" w:sz="4" w:space="0" w:color="auto"/>
              <w:left w:val="single" w:sz="4" w:space="0" w:color="auto"/>
              <w:bottom w:val="single" w:sz="4" w:space="0" w:color="auto"/>
              <w:right w:val="single" w:sz="4" w:space="0" w:color="auto"/>
            </w:tcBorders>
          </w:tcPr>
          <w:p w:rsidR="00604247" w:rsidRDefault="00604247" w:rsidP="00604247">
            <w:pPr>
              <w:rPr>
                <w:sz w:val="22"/>
                <w:szCs w:val="22"/>
              </w:rPr>
            </w:pPr>
          </w:p>
        </w:tc>
        <w:tc>
          <w:tcPr>
            <w:tcW w:w="1573" w:type="pct"/>
            <w:tcBorders>
              <w:top w:val="single" w:sz="4" w:space="0" w:color="auto"/>
              <w:left w:val="single" w:sz="4" w:space="0" w:color="auto"/>
              <w:bottom w:val="single" w:sz="4" w:space="0" w:color="auto"/>
              <w:right w:val="single" w:sz="4" w:space="0" w:color="auto"/>
            </w:tcBorders>
          </w:tcPr>
          <w:p w:rsidR="00604247" w:rsidRDefault="00604247" w:rsidP="00604247">
            <w:pPr>
              <w:rPr>
                <w:sz w:val="22"/>
                <w:szCs w:val="22"/>
              </w:rPr>
            </w:pPr>
          </w:p>
        </w:tc>
      </w:tr>
      <w:tr w:rsidR="00604247" w:rsidTr="00604247">
        <w:trPr>
          <w:jc w:val="center"/>
        </w:trPr>
        <w:tc>
          <w:tcPr>
            <w:tcW w:w="1977" w:type="pct"/>
            <w:tcBorders>
              <w:top w:val="single"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t>Diltiazem/efavirenz</w:t>
            </w:r>
          </w:p>
          <w:p w:rsidR="00604247" w:rsidRDefault="00604247" w:rsidP="00604247">
            <w:pPr>
              <w:rPr>
                <w:b/>
                <w:bCs/>
                <w:sz w:val="22"/>
                <w:szCs w:val="22"/>
              </w:rPr>
            </w:pPr>
            <w:r>
              <w:rPr>
                <w:sz w:val="22"/>
                <w:szCs w:val="22"/>
              </w:rPr>
              <w:t>(240 mg q.d./600 mg q.d.)</w:t>
            </w:r>
          </w:p>
        </w:tc>
        <w:tc>
          <w:tcPr>
            <w:tcW w:w="1450" w:type="pct"/>
            <w:tcBorders>
              <w:top w:val="single" w:sz="4" w:space="0" w:color="auto"/>
              <w:left w:val="single" w:sz="4" w:space="0" w:color="auto"/>
              <w:bottom w:val="dotted" w:sz="4" w:space="0" w:color="auto"/>
              <w:right w:val="single" w:sz="4" w:space="0" w:color="auto"/>
            </w:tcBorders>
          </w:tcPr>
          <w:p w:rsidR="00604247" w:rsidRDefault="00604247" w:rsidP="00604247">
            <w:pPr>
              <w:rPr>
                <w:sz w:val="22"/>
                <w:szCs w:val="22"/>
              </w:rPr>
            </w:pPr>
            <w:r>
              <w:rPr>
                <w:sz w:val="22"/>
                <w:szCs w:val="22"/>
              </w:rPr>
              <w:t>Diltiazem:</w:t>
            </w:r>
          </w:p>
          <w:p w:rsidR="00604247" w:rsidRDefault="00604247" w:rsidP="00604247">
            <w:pPr>
              <w:rPr>
                <w:sz w:val="22"/>
                <w:szCs w:val="22"/>
              </w:rPr>
            </w:pPr>
            <w:r>
              <w:rPr>
                <w:sz w:val="22"/>
                <w:szCs w:val="22"/>
              </w:rPr>
              <w:t>AUC: ↓ 69 % (↓ 55 til ↓ 79)</w:t>
            </w:r>
          </w:p>
          <w:p w:rsidR="00604247" w:rsidRDefault="00604247" w:rsidP="00604247">
            <w:pPr>
              <w:rPr>
                <w:sz w:val="22"/>
                <w:szCs w:val="22"/>
              </w:rPr>
            </w:pPr>
            <w:r>
              <w:rPr>
                <w:sz w:val="22"/>
                <w:szCs w:val="22"/>
              </w:rPr>
              <w:t>C</w:t>
            </w:r>
            <w:r>
              <w:rPr>
                <w:sz w:val="22"/>
                <w:szCs w:val="22"/>
                <w:vertAlign w:val="subscript"/>
              </w:rPr>
              <w:t>max</w:t>
            </w:r>
            <w:r>
              <w:rPr>
                <w:sz w:val="22"/>
                <w:szCs w:val="22"/>
              </w:rPr>
              <w:t>: ↓ 60 % (↓ 50 til ↓ 68)</w:t>
            </w:r>
          </w:p>
          <w:p w:rsidR="00604247" w:rsidRDefault="00604247" w:rsidP="00604247">
            <w:pPr>
              <w:rPr>
                <w:sz w:val="22"/>
                <w:szCs w:val="22"/>
              </w:rPr>
            </w:pPr>
            <w:r>
              <w:rPr>
                <w:sz w:val="22"/>
                <w:szCs w:val="22"/>
              </w:rPr>
              <w:t>C</w:t>
            </w:r>
            <w:r>
              <w:rPr>
                <w:sz w:val="22"/>
                <w:szCs w:val="22"/>
                <w:vertAlign w:val="subscript"/>
              </w:rPr>
              <w:t>min</w:t>
            </w:r>
            <w:r>
              <w:rPr>
                <w:sz w:val="22"/>
                <w:szCs w:val="22"/>
              </w:rPr>
              <w:t>: ↓ 63 % (↓ 44 til ↓ 75)</w:t>
            </w:r>
          </w:p>
          <w:p w:rsidR="00604247" w:rsidRDefault="00604247" w:rsidP="00604247">
            <w:pPr>
              <w:rPr>
                <w:sz w:val="22"/>
                <w:szCs w:val="22"/>
              </w:rPr>
            </w:pPr>
          </w:p>
          <w:p w:rsidR="00604247" w:rsidRDefault="00604247" w:rsidP="00604247">
            <w:pPr>
              <w:rPr>
                <w:sz w:val="22"/>
                <w:szCs w:val="22"/>
              </w:rPr>
            </w:pPr>
            <w:r>
              <w:rPr>
                <w:sz w:val="22"/>
                <w:szCs w:val="22"/>
              </w:rPr>
              <w:t>Desacetyldiltiazem:</w:t>
            </w:r>
          </w:p>
          <w:p w:rsidR="00604247" w:rsidRDefault="00604247" w:rsidP="00604247">
            <w:pPr>
              <w:rPr>
                <w:sz w:val="22"/>
                <w:szCs w:val="22"/>
              </w:rPr>
            </w:pPr>
            <w:r>
              <w:rPr>
                <w:sz w:val="22"/>
                <w:szCs w:val="22"/>
              </w:rPr>
              <w:t>AUC: ↓ 75 % (↓ 59 til ↓ 84)</w:t>
            </w:r>
          </w:p>
          <w:p w:rsidR="00604247" w:rsidRDefault="00604247" w:rsidP="00604247">
            <w:pPr>
              <w:rPr>
                <w:sz w:val="22"/>
                <w:szCs w:val="22"/>
              </w:rPr>
            </w:pPr>
            <w:r>
              <w:rPr>
                <w:sz w:val="22"/>
                <w:szCs w:val="22"/>
              </w:rPr>
              <w:t>C</w:t>
            </w:r>
            <w:r>
              <w:rPr>
                <w:sz w:val="22"/>
                <w:szCs w:val="22"/>
                <w:vertAlign w:val="subscript"/>
              </w:rPr>
              <w:t>max</w:t>
            </w:r>
            <w:r>
              <w:rPr>
                <w:sz w:val="22"/>
                <w:szCs w:val="22"/>
              </w:rPr>
              <w:t>: ↓ 64 % (↓ 57 til ↓ 69)</w:t>
            </w:r>
          </w:p>
          <w:p w:rsidR="00604247" w:rsidRDefault="00604247" w:rsidP="00604247">
            <w:pPr>
              <w:rPr>
                <w:sz w:val="22"/>
                <w:szCs w:val="22"/>
              </w:rPr>
            </w:pPr>
            <w:r>
              <w:rPr>
                <w:sz w:val="22"/>
                <w:szCs w:val="22"/>
              </w:rPr>
              <w:t>C</w:t>
            </w:r>
            <w:r>
              <w:rPr>
                <w:sz w:val="22"/>
                <w:szCs w:val="22"/>
                <w:vertAlign w:val="subscript"/>
              </w:rPr>
              <w:t>min</w:t>
            </w:r>
            <w:r>
              <w:rPr>
                <w:sz w:val="22"/>
                <w:szCs w:val="22"/>
              </w:rPr>
              <w:t>: ↓ 62 % (↓ 44 til ↓ 75)</w:t>
            </w:r>
          </w:p>
          <w:p w:rsidR="00604247" w:rsidRDefault="00604247" w:rsidP="00604247">
            <w:pPr>
              <w:rPr>
                <w:sz w:val="22"/>
                <w:szCs w:val="22"/>
              </w:rPr>
            </w:pPr>
          </w:p>
          <w:p w:rsidR="00604247" w:rsidRDefault="00604247" w:rsidP="00604247">
            <w:pPr>
              <w:rPr>
                <w:sz w:val="22"/>
                <w:szCs w:val="22"/>
              </w:rPr>
            </w:pPr>
            <w:r>
              <w:rPr>
                <w:sz w:val="22"/>
                <w:szCs w:val="22"/>
              </w:rPr>
              <w:t>N-monodesmethyldiltiazem:</w:t>
            </w:r>
          </w:p>
          <w:p w:rsidR="00604247" w:rsidRDefault="00604247" w:rsidP="00604247">
            <w:pPr>
              <w:rPr>
                <w:sz w:val="22"/>
                <w:szCs w:val="22"/>
              </w:rPr>
            </w:pPr>
            <w:r>
              <w:rPr>
                <w:sz w:val="22"/>
                <w:szCs w:val="22"/>
              </w:rPr>
              <w:t>AUC: ↓ 37 % (↓ 17 til ↓ 52)</w:t>
            </w:r>
          </w:p>
          <w:p w:rsidR="00604247" w:rsidRDefault="00604247" w:rsidP="00604247">
            <w:pPr>
              <w:rPr>
                <w:sz w:val="22"/>
                <w:szCs w:val="22"/>
              </w:rPr>
            </w:pPr>
            <w:r>
              <w:rPr>
                <w:sz w:val="22"/>
                <w:szCs w:val="22"/>
              </w:rPr>
              <w:t>C</w:t>
            </w:r>
            <w:r>
              <w:rPr>
                <w:sz w:val="22"/>
                <w:szCs w:val="22"/>
                <w:vertAlign w:val="subscript"/>
              </w:rPr>
              <w:t>max</w:t>
            </w:r>
            <w:r>
              <w:rPr>
                <w:sz w:val="22"/>
                <w:szCs w:val="22"/>
              </w:rPr>
              <w:t>: ↓ 28 % (↓ 7 til ↓ 44)</w:t>
            </w:r>
          </w:p>
          <w:p w:rsidR="00604247" w:rsidRDefault="00604247" w:rsidP="00604247">
            <w:pPr>
              <w:rPr>
                <w:sz w:val="22"/>
                <w:szCs w:val="22"/>
              </w:rPr>
            </w:pPr>
            <w:r>
              <w:rPr>
                <w:sz w:val="22"/>
                <w:szCs w:val="22"/>
              </w:rPr>
              <w:t>C</w:t>
            </w:r>
            <w:r>
              <w:rPr>
                <w:sz w:val="22"/>
                <w:szCs w:val="22"/>
                <w:vertAlign w:val="subscript"/>
              </w:rPr>
              <w:t>min</w:t>
            </w:r>
            <w:r>
              <w:rPr>
                <w:sz w:val="22"/>
                <w:szCs w:val="22"/>
              </w:rPr>
              <w:t>: ↓ 37 % (↓ 17 til ↓ 52)</w:t>
            </w:r>
          </w:p>
          <w:p w:rsidR="00604247" w:rsidRDefault="00604247" w:rsidP="00604247">
            <w:pPr>
              <w:rPr>
                <w:sz w:val="22"/>
                <w:szCs w:val="22"/>
              </w:rPr>
            </w:pPr>
          </w:p>
          <w:p w:rsidR="00604247" w:rsidRDefault="00604247" w:rsidP="00604247">
            <w:pPr>
              <w:rPr>
                <w:sz w:val="22"/>
                <w:szCs w:val="22"/>
              </w:rPr>
            </w:pPr>
            <w:r>
              <w:rPr>
                <w:sz w:val="22"/>
                <w:szCs w:val="22"/>
              </w:rPr>
              <w:t>Efavirenz:</w:t>
            </w:r>
          </w:p>
          <w:p w:rsidR="00604247" w:rsidRDefault="00604247" w:rsidP="00604247">
            <w:pPr>
              <w:rPr>
                <w:sz w:val="22"/>
                <w:szCs w:val="22"/>
              </w:rPr>
            </w:pPr>
            <w:r>
              <w:rPr>
                <w:sz w:val="22"/>
                <w:szCs w:val="22"/>
              </w:rPr>
              <w:t>AUC: ↑ 11 % (↑ 5 til ↑ 18)</w:t>
            </w:r>
          </w:p>
          <w:p w:rsidR="00604247" w:rsidRDefault="00604247" w:rsidP="00604247">
            <w:pPr>
              <w:rPr>
                <w:sz w:val="22"/>
                <w:szCs w:val="22"/>
              </w:rPr>
            </w:pPr>
            <w:r>
              <w:rPr>
                <w:sz w:val="22"/>
                <w:szCs w:val="22"/>
              </w:rPr>
              <w:t>C</w:t>
            </w:r>
            <w:r>
              <w:rPr>
                <w:sz w:val="22"/>
                <w:szCs w:val="22"/>
                <w:vertAlign w:val="subscript"/>
              </w:rPr>
              <w:t>max</w:t>
            </w:r>
            <w:r>
              <w:rPr>
                <w:sz w:val="22"/>
                <w:szCs w:val="22"/>
              </w:rPr>
              <w:t>: ↑ 16 % (↑ 6 til ↑ 26)</w:t>
            </w:r>
          </w:p>
          <w:p w:rsidR="00604247" w:rsidRDefault="00604247" w:rsidP="00604247">
            <w:pPr>
              <w:rPr>
                <w:sz w:val="22"/>
                <w:szCs w:val="22"/>
              </w:rPr>
            </w:pPr>
            <w:r>
              <w:rPr>
                <w:sz w:val="22"/>
                <w:szCs w:val="22"/>
              </w:rPr>
              <w:t>C</w:t>
            </w:r>
            <w:r>
              <w:rPr>
                <w:sz w:val="22"/>
                <w:szCs w:val="22"/>
                <w:vertAlign w:val="subscript"/>
              </w:rPr>
              <w:t>min</w:t>
            </w:r>
            <w:r>
              <w:rPr>
                <w:sz w:val="22"/>
                <w:szCs w:val="22"/>
              </w:rPr>
              <w:t>: ↑ 13 % (↑ 1 til ↑ 26)</w:t>
            </w:r>
          </w:p>
          <w:p w:rsidR="00604247" w:rsidRDefault="00604247" w:rsidP="00604247">
            <w:pPr>
              <w:rPr>
                <w:sz w:val="22"/>
                <w:szCs w:val="22"/>
                <w:lang w:bidi="en-GB"/>
              </w:rPr>
            </w:pPr>
            <w:r>
              <w:rPr>
                <w:sz w:val="22"/>
                <w:szCs w:val="22"/>
                <w:lang w:bidi="en-GB"/>
              </w:rPr>
              <w:t>(CYP3A4</w:t>
            </w:r>
            <w:r>
              <w:rPr>
                <w:sz w:val="22"/>
                <w:szCs w:val="22"/>
                <w:lang w:bidi="en-GB"/>
              </w:rPr>
              <w:noBreakHyphen/>
              <w:t>induktion)</w:t>
            </w:r>
          </w:p>
          <w:p w:rsidR="00604247" w:rsidRDefault="00604247" w:rsidP="00604247">
            <w:pPr>
              <w:rPr>
                <w:sz w:val="22"/>
                <w:szCs w:val="22"/>
                <w:lang w:bidi="en-GB"/>
              </w:rPr>
            </w:pPr>
            <w:r>
              <w:rPr>
                <w:sz w:val="22"/>
                <w:szCs w:val="22"/>
                <w:lang w:bidi="en-GB"/>
              </w:rPr>
              <w:t>Øgningen af efavirenz’ farmakokinetiske parametre anses ikke for klinisk signifikant.</w:t>
            </w:r>
          </w:p>
        </w:tc>
        <w:tc>
          <w:tcPr>
            <w:tcW w:w="1573" w:type="pct"/>
            <w:vMerge w:val="restart"/>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lang w:bidi="en-GB"/>
              </w:rPr>
            </w:pPr>
            <w:r>
              <w:rPr>
                <w:sz w:val="22"/>
                <w:szCs w:val="22"/>
                <w:lang w:bidi="en-GB"/>
              </w:rPr>
              <w:lastRenderedPageBreak/>
              <w:t>Når diltiazem administreres samtidigt med Efavirenz/Emtricitabine/</w:t>
            </w:r>
          </w:p>
          <w:p w:rsidR="00604247" w:rsidRDefault="00604247" w:rsidP="00604247">
            <w:pPr>
              <w:rPr>
                <w:sz w:val="22"/>
                <w:szCs w:val="22"/>
              </w:rPr>
            </w:pPr>
            <w:r>
              <w:rPr>
                <w:sz w:val="22"/>
                <w:szCs w:val="22"/>
                <w:lang w:bidi="en-GB"/>
              </w:rPr>
              <w:t>Tenofovir disoproxil "Glenmark", bør justering af diltiazemdosis styres af klinisk respons (se produktresumé for diltiazem).</w:t>
            </w:r>
          </w:p>
        </w:tc>
      </w:tr>
      <w:tr w:rsidR="00604247" w:rsidTr="00604247">
        <w:trPr>
          <w:jc w:val="center"/>
        </w:trPr>
        <w:tc>
          <w:tcPr>
            <w:tcW w:w="1977" w:type="pct"/>
            <w:tcBorders>
              <w:top w:val="dotted" w:sz="4" w:space="0" w:color="auto"/>
              <w:left w:val="single" w:sz="4" w:space="0" w:color="auto"/>
              <w:bottom w:val="dotted" w:sz="4" w:space="0" w:color="auto"/>
              <w:right w:val="single" w:sz="4" w:space="0" w:color="auto"/>
            </w:tcBorders>
            <w:hideMark/>
          </w:tcPr>
          <w:p w:rsidR="00604247" w:rsidRDefault="00604247" w:rsidP="00604247">
            <w:pPr>
              <w:rPr>
                <w:b/>
                <w:bCs/>
                <w:sz w:val="22"/>
                <w:szCs w:val="22"/>
              </w:rPr>
            </w:pPr>
            <w:r>
              <w:rPr>
                <w:sz w:val="22"/>
                <w:szCs w:val="22"/>
              </w:rPr>
              <w:t>Diltiazem/emtricitabin</w:t>
            </w:r>
          </w:p>
        </w:tc>
        <w:tc>
          <w:tcPr>
            <w:tcW w:w="1450" w:type="pct"/>
            <w:tcBorders>
              <w:top w:val="dotted"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t>Interaktion er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4247" w:rsidRDefault="00604247" w:rsidP="00604247">
            <w:pPr>
              <w:rPr>
                <w:sz w:val="22"/>
                <w:szCs w:val="22"/>
              </w:rPr>
            </w:pPr>
          </w:p>
        </w:tc>
      </w:tr>
      <w:tr w:rsidR="00604247" w:rsidTr="00604247">
        <w:trPr>
          <w:jc w:val="center"/>
        </w:trPr>
        <w:tc>
          <w:tcPr>
            <w:tcW w:w="1977" w:type="pct"/>
            <w:tcBorders>
              <w:top w:val="dotted" w:sz="4" w:space="0" w:color="auto"/>
              <w:left w:val="single" w:sz="4" w:space="0" w:color="auto"/>
              <w:bottom w:val="single" w:sz="4" w:space="0" w:color="auto"/>
              <w:right w:val="single" w:sz="4" w:space="0" w:color="auto"/>
            </w:tcBorders>
            <w:hideMark/>
          </w:tcPr>
          <w:p w:rsidR="00604247" w:rsidRDefault="00604247" w:rsidP="00604247">
            <w:pPr>
              <w:rPr>
                <w:b/>
                <w:bCs/>
                <w:sz w:val="22"/>
                <w:szCs w:val="22"/>
              </w:rPr>
            </w:pPr>
            <w:r>
              <w:rPr>
                <w:sz w:val="22"/>
                <w:szCs w:val="22"/>
              </w:rPr>
              <w:t>Diltiazem/tenofovirdisoproxil</w:t>
            </w:r>
          </w:p>
        </w:tc>
        <w:tc>
          <w:tcPr>
            <w:tcW w:w="1450" w:type="pct"/>
            <w:tcBorders>
              <w:top w:val="dotted"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sz w:val="22"/>
                <w:szCs w:val="22"/>
              </w:rPr>
              <w:t>Interaktion er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4247" w:rsidRDefault="00604247" w:rsidP="00604247">
            <w:pPr>
              <w:rPr>
                <w:sz w:val="22"/>
                <w:szCs w:val="22"/>
              </w:rPr>
            </w:pPr>
          </w:p>
        </w:tc>
      </w:tr>
      <w:tr w:rsidR="00604247" w:rsidTr="00604247">
        <w:trPr>
          <w:jc w:val="center"/>
        </w:trPr>
        <w:tc>
          <w:tcPr>
            <w:tcW w:w="1977" w:type="pct"/>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lang w:val="en-US"/>
              </w:rPr>
            </w:pPr>
            <w:r>
              <w:rPr>
                <w:sz w:val="22"/>
                <w:szCs w:val="22"/>
                <w:lang w:val="en-US"/>
              </w:rPr>
              <w:t>Verapamil, felodipin, nifedipin og nicardipin</w:t>
            </w:r>
          </w:p>
        </w:tc>
        <w:tc>
          <w:tcPr>
            <w:tcW w:w="1450" w:type="pct"/>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lang w:bidi="en-GB"/>
              </w:rPr>
            </w:pPr>
            <w:r>
              <w:rPr>
                <w:sz w:val="22"/>
                <w:szCs w:val="22"/>
                <w:lang w:bidi="en-GB"/>
              </w:rPr>
              <w:t>Interaktion er ikke undersøgt med efavirenz, emtricitabin eller tenofovirdisoproxil. Når efavirenz administreres samtidigt med en calciumantagonist, som er et substrat for CYP3A4</w:t>
            </w:r>
            <w:r>
              <w:rPr>
                <w:sz w:val="22"/>
                <w:szCs w:val="22"/>
                <w:lang w:bidi="en-GB"/>
              </w:rPr>
              <w:noBreakHyphen/>
              <w:t>enzymet, er reduktion af calciumantagonistens plasmakoncentrationer mulig.</w:t>
            </w:r>
          </w:p>
        </w:tc>
        <w:tc>
          <w:tcPr>
            <w:tcW w:w="1573" w:type="pct"/>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lang w:bidi="en-GB"/>
              </w:rPr>
            </w:pPr>
            <w:r>
              <w:rPr>
                <w:sz w:val="22"/>
                <w:szCs w:val="22"/>
                <w:lang w:bidi="en-GB"/>
              </w:rPr>
              <w:t>Dosisjustering af calciumantagonister, når disse administreres samtidigt med Efavirenz/Emtricitabine/</w:t>
            </w:r>
          </w:p>
          <w:p w:rsidR="00604247" w:rsidRDefault="00604247" w:rsidP="00604247">
            <w:pPr>
              <w:rPr>
                <w:sz w:val="22"/>
                <w:szCs w:val="22"/>
              </w:rPr>
            </w:pPr>
            <w:r>
              <w:rPr>
                <w:sz w:val="22"/>
                <w:szCs w:val="22"/>
                <w:lang w:bidi="en-GB"/>
              </w:rPr>
              <w:t>Tenofovir disoproxil "Glenmark", bør styres af klinisk respons (se produktresuméet for calciumantagonisten).</w:t>
            </w:r>
          </w:p>
        </w:tc>
      </w:tr>
      <w:tr w:rsidR="00604247" w:rsidTr="00243EA6">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b/>
                <w:i/>
                <w:sz w:val="22"/>
                <w:szCs w:val="22"/>
                <w:lang w:bidi="en-GB"/>
              </w:rPr>
              <w:t>LIPIDSÆNKENDE LÆGEMIDLER</w:t>
            </w:r>
          </w:p>
        </w:tc>
      </w:tr>
      <w:tr w:rsidR="00604247" w:rsidTr="00243EA6">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b/>
                <w:sz w:val="22"/>
                <w:szCs w:val="22"/>
                <w:lang w:bidi="en-GB"/>
              </w:rPr>
              <w:t>HMG Co-A Reduktasehæmmere</w:t>
            </w:r>
          </w:p>
        </w:tc>
      </w:tr>
      <w:tr w:rsidR="00604247" w:rsidTr="00604247">
        <w:trPr>
          <w:jc w:val="center"/>
        </w:trPr>
        <w:tc>
          <w:tcPr>
            <w:tcW w:w="1977" w:type="pct"/>
            <w:tcBorders>
              <w:top w:val="single"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t>Atorvastatin/efavirenz</w:t>
            </w:r>
          </w:p>
          <w:p w:rsidR="00604247" w:rsidRDefault="00604247" w:rsidP="00604247">
            <w:pPr>
              <w:rPr>
                <w:bCs/>
                <w:sz w:val="22"/>
                <w:szCs w:val="22"/>
              </w:rPr>
            </w:pPr>
            <w:r>
              <w:rPr>
                <w:sz w:val="22"/>
                <w:szCs w:val="22"/>
              </w:rPr>
              <w:t>(10 mg q.d./600 mg q.d.)</w:t>
            </w:r>
          </w:p>
        </w:tc>
        <w:tc>
          <w:tcPr>
            <w:tcW w:w="1450" w:type="pct"/>
            <w:tcBorders>
              <w:top w:val="single" w:sz="4" w:space="0" w:color="auto"/>
              <w:left w:val="single" w:sz="4" w:space="0" w:color="auto"/>
              <w:bottom w:val="dotted" w:sz="4" w:space="0" w:color="auto"/>
              <w:right w:val="single" w:sz="4" w:space="0" w:color="auto"/>
            </w:tcBorders>
          </w:tcPr>
          <w:p w:rsidR="00604247" w:rsidRDefault="00604247" w:rsidP="00604247">
            <w:pPr>
              <w:rPr>
                <w:sz w:val="22"/>
                <w:szCs w:val="22"/>
              </w:rPr>
            </w:pPr>
            <w:r>
              <w:rPr>
                <w:sz w:val="22"/>
                <w:szCs w:val="22"/>
              </w:rPr>
              <w:t>Atorvastatin:</w:t>
            </w:r>
          </w:p>
          <w:p w:rsidR="00604247" w:rsidRDefault="00604247" w:rsidP="00604247">
            <w:pPr>
              <w:rPr>
                <w:sz w:val="22"/>
                <w:szCs w:val="22"/>
              </w:rPr>
            </w:pPr>
            <w:r>
              <w:rPr>
                <w:sz w:val="22"/>
                <w:szCs w:val="22"/>
              </w:rPr>
              <w:t>AUC: ↓ 43 % (↓ 34 til ↓ 50)</w:t>
            </w:r>
          </w:p>
          <w:p w:rsidR="00604247" w:rsidRDefault="00604247" w:rsidP="00604247">
            <w:pPr>
              <w:rPr>
                <w:sz w:val="22"/>
                <w:szCs w:val="22"/>
              </w:rPr>
            </w:pPr>
            <w:r>
              <w:rPr>
                <w:sz w:val="22"/>
                <w:szCs w:val="22"/>
              </w:rPr>
              <w:t>C</w:t>
            </w:r>
            <w:r>
              <w:rPr>
                <w:sz w:val="22"/>
                <w:szCs w:val="22"/>
                <w:vertAlign w:val="subscript"/>
              </w:rPr>
              <w:t>max</w:t>
            </w:r>
            <w:r>
              <w:rPr>
                <w:sz w:val="22"/>
                <w:szCs w:val="22"/>
              </w:rPr>
              <w:t>: ↓ 12 % (↓ 1 til ↓ 26)</w:t>
            </w:r>
          </w:p>
          <w:p w:rsidR="00604247" w:rsidRDefault="00604247" w:rsidP="00604247">
            <w:pPr>
              <w:rPr>
                <w:sz w:val="22"/>
                <w:szCs w:val="22"/>
              </w:rPr>
            </w:pPr>
          </w:p>
          <w:p w:rsidR="00604247" w:rsidRDefault="00604247" w:rsidP="00604247">
            <w:pPr>
              <w:rPr>
                <w:sz w:val="22"/>
                <w:szCs w:val="22"/>
              </w:rPr>
            </w:pPr>
            <w:r>
              <w:rPr>
                <w:sz w:val="22"/>
                <w:szCs w:val="22"/>
              </w:rPr>
              <w:t>2</w:t>
            </w:r>
            <w:r>
              <w:rPr>
                <w:sz w:val="22"/>
                <w:szCs w:val="22"/>
              </w:rPr>
              <w:noBreakHyphen/>
              <w:t>hydroxyatorvastatin:</w:t>
            </w:r>
          </w:p>
          <w:p w:rsidR="00604247" w:rsidRDefault="00604247" w:rsidP="00604247">
            <w:pPr>
              <w:rPr>
                <w:sz w:val="22"/>
                <w:szCs w:val="22"/>
              </w:rPr>
            </w:pPr>
            <w:r>
              <w:rPr>
                <w:sz w:val="22"/>
                <w:szCs w:val="22"/>
              </w:rPr>
              <w:t>AUC: ↓ 35 % (↓ 13 til ↓ 40)</w:t>
            </w:r>
          </w:p>
          <w:p w:rsidR="00604247" w:rsidRDefault="00604247" w:rsidP="00604247">
            <w:pPr>
              <w:rPr>
                <w:sz w:val="22"/>
                <w:szCs w:val="22"/>
              </w:rPr>
            </w:pPr>
            <w:r>
              <w:rPr>
                <w:sz w:val="22"/>
                <w:szCs w:val="22"/>
              </w:rPr>
              <w:t>C</w:t>
            </w:r>
            <w:r>
              <w:rPr>
                <w:sz w:val="22"/>
                <w:szCs w:val="22"/>
                <w:vertAlign w:val="subscript"/>
              </w:rPr>
              <w:t>max</w:t>
            </w:r>
            <w:r>
              <w:rPr>
                <w:sz w:val="22"/>
                <w:szCs w:val="22"/>
              </w:rPr>
              <w:t>: ↓ 13 % (↓ 0 til ↓ 23)</w:t>
            </w:r>
          </w:p>
          <w:p w:rsidR="00604247" w:rsidRDefault="00604247" w:rsidP="00604247">
            <w:pPr>
              <w:rPr>
                <w:sz w:val="22"/>
                <w:szCs w:val="22"/>
              </w:rPr>
            </w:pPr>
          </w:p>
          <w:p w:rsidR="00604247" w:rsidRDefault="00604247" w:rsidP="00604247">
            <w:pPr>
              <w:rPr>
                <w:sz w:val="22"/>
                <w:szCs w:val="22"/>
              </w:rPr>
            </w:pPr>
            <w:r>
              <w:rPr>
                <w:sz w:val="22"/>
                <w:szCs w:val="22"/>
              </w:rPr>
              <w:t>4</w:t>
            </w:r>
            <w:r>
              <w:rPr>
                <w:sz w:val="22"/>
                <w:szCs w:val="22"/>
              </w:rPr>
              <w:noBreakHyphen/>
              <w:t>hydroxyatorvastatin:</w:t>
            </w:r>
          </w:p>
          <w:p w:rsidR="00604247" w:rsidRDefault="00604247" w:rsidP="00604247">
            <w:pPr>
              <w:rPr>
                <w:sz w:val="22"/>
                <w:szCs w:val="22"/>
              </w:rPr>
            </w:pPr>
            <w:r>
              <w:rPr>
                <w:sz w:val="22"/>
                <w:szCs w:val="22"/>
              </w:rPr>
              <w:t>AUC: ↓ 4 % (↓ 0 til ↓ 31)</w:t>
            </w:r>
          </w:p>
          <w:p w:rsidR="00604247" w:rsidRDefault="00604247" w:rsidP="00604247">
            <w:pPr>
              <w:rPr>
                <w:sz w:val="22"/>
                <w:szCs w:val="22"/>
              </w:rPr>
            </w:pPr>
            <w:r>
              <w:rPr>
                <w:sz w:val="22"/>
                <w:szCs w:val="22"/>
              </w:rPr>
              <w:t>C</w:t>
            </w:r>
            <w:r>
              <w:rPr>
                <w:sz w:val="22"/>
                <w:szCs w:val="22"/>
                <w:vertAlign w:val="subscript"/>
              </w:rPr>
              <w:t>max</w:t>
            </w:r>
            <w:r>
              <w:rPr>
                <w:sz w:val="22"/>
                <w:szCs w:val="22"/>
              </w:rPr>
              <w:t>: ↓ 47 % (↓ 9 til ↓ 51)</w:t>
            </w:r>
          </w:p>
          <w:p w:rsidR="00604247" w:rsidRDefault="00604247" w:rsidP="00604247">
            <w:pPr>
              <w:rPr>
                <w:sz w:val="22"/>
                <w:szCs w:val="22"/>
              </w:rPr>
            </w:pPr>
          </w:p>
          <w:p w:rsidR="00604247" w:rsidRDefault="00604247" w:rsidP="00604247">
            <w:pPr>
              <w:rPr>
                <w:sz w:val="22"/>
                <w:szCs w:val="22"/>
                <w:lang w:bidi="en-GB"/>
              </w:rPr>
            </w:pPr>
            <w:r>
              <w:rPr>
                <w:sz w:val="22"/>
                <w:szCs w:val="22"/>
                <w:lang w:bidi="en-GB"/>
              </w:rPr>
              <w:t>Totalt antal aktive HMG Co</w:t>
            </w:r>
            <w:r>
              <w:rPr>
                <w:sz w:val="22"/>
                <w:szCs w:val="22"/>
                <w:lang w:bidi="en-GB"/>
              </w:rPr>
              <w:noBreakHyphen/>
              <w:t>A reduktasehæmmere:</w:t>
            </w:r>
          </w:p>
          <w:p w:rsidR="00604247" w:rsidRDefault="00604247" w:rsidP="00604247">
            <w:pPr>
              <w:rPr>
                <w:sz w:val="22"/>
                <w:szCs w:val="22"/>
              </w:rPr>
            </w:pPr>
            <w:r>
              <w:rPr>
                <w:sz w:val="22"/>
                <w:szCs w:val="22"/>
              </w:rPr>
              <w:t>AUC: ↓ 34 % (↓ 21 til ↓ 41)</w:t>
            </w:r>
          </w:p>
          <w:p w:rsidR="00604247" w:rsidRDefault="00604247" w:rsidP="00604247">
            <w:pPr>
              <w:rPr>
                <w:sz w:val="22"/>
                <w:szCs w:val="22"/>
              </w:rPr>
            </w:pPr>
            <w:r>
              <w:rPr>
                <w:sz w:val="22"/>
                <w:szCs w:val="22"/>
              </w:rPr>
              <w:lastRenderedPageBreak/>
              <w:t>C</w:t>
            </w:r>
            <w:r>
              <w:rPr>
                <w:sz w:val="22"/>
                <w:szCs w:val="22"/>
                <w:vertAlign w:val="subscript"/>
              </w:rPr>
              <w:t>max</w:t>
            </w:r>
            <w:r>
              <w:rPr>
                <w:sz w:val="22"/>
                <w:szCs w:val="22"/>
              </w:rPr>
              <w:t>: ↓ 20 % (↓ 2 til ↓ 26)</w:t>
            </w:r>
          </w:p>
        </w:tc>
        <w:tc>
          <w:tcPr>
            <w:tcW w:w="1573" w:type="pct"/>
            <w:vMerge w:val="restart"/>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lang w:bidi="en-GB"/>
              </w:rPr>
            </w:pPr>
            <w:r>
              <w:rPr>
                <w:sz w:val="22"/>
                <w:szCs w:val="22"/>
                <w:lang w:bidi="en-GB"/>
              </w:rPr>
              <w:lastRenderedPageBreak/>
              <w:t>Kolesterolkoncentrationerne bør monitoreres regelmæssigt. Justering af atorvastatindosis kan være nødvendig, når det administreres samtidigt med Efavirenz/Emtricitabine/</w:t>
            </w:r>
          </w:p>
          <w:p w:rsidR="00604247" w:rsidRDefault="00604247" w:rsidP="00604247">
            <w:pPr>
              <w:rPr>
                <w:sz w:val="22"/>
                <w:szCs w:val="22"/>
              </w:rPr>
            </w:pPr>
            <w:r>
              <w:rPr>
                <w:sz w:val="22"/>
                <w:szCs w:val="22"/>
                <w:lang w:bidi="en-GB"/>
              </w:rPr>
              <w:t>Tenofovir disoproxil "Glenmark" (se produktresuméet for atorvastatin).</w:t>
            </w:r>
          </w:p>
        </w:tc>
      </w:tr>
      <w:tr w:rsidR="00604247" w:rsidTr="00604247">
        <w:trPr>
          <w:jc w:val="center"/>
        </w:trPr>
        <w:tc>
          <w:tcPr>
            <w:tcW w:w="1977" w:type="pct"/>
            <w:tcBorders>
              <w:top w:val="dotted"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t>Atorvastatin/emtricitabin</w:t>
            </w:r>
          </w:p>
        </w:tc>
        <w:tc>
          <w:tcPr>
            <w:tcW w:w="1450" w:type="pct"/>
            <w:tcBorders>
              <w:top w:val="dotted"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t>Interaktion er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4247" w:rsidRDefault="00604247" w:rsidP="00604247">
            <w:pPr>
              <w:rPr>
                <w:sz w:val="22"/>
                <w:szCs w:val="22"/>
              </w:rPr>
            </w:pPr>
          </w:p>
        </w:tc>
      </w:tr>
      <w:tr w:rsidR="00604247" w:rsidTr="00604247">
        <w:trPr>
          <w:jc w:val="center"/>
        </w:trPr>
        <w:tc>
          <w:tcPr>
            <w:tcW w:w="1977" w:type="pct"/>
            <w:tcBorders>
              <w:top w:val="dotted"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sz w:val="22"/>
                <w:szCs w:val="22"/>
              </w:rPr>
              <w:t>Atorvastatin/tenofovirdisoproxil</w:t>
            </w:r>
          </w:p>
        </w:tc>
        <w:tc>
          <w:tcPr>
            <w:tcW w:w="1450" w:type="pct"/>
            <w:tcBorders>
              <w:top w:val="dotted"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sz w:val="22"/>
                <w:szCs w:val="22"/>
              </w:rPr>
              <w:t>Interaktion er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4247" w:rsidRDefault="00604247" w:rsidP="00604247">
            <w:pPr>
              <w:rPr>
                <w:sz w:val="22"/>
                <w:szCs w:val="22"/>
              </w:rPr>
            </w:pPr>
          </w:p>
        </w:tc>
      </w:tr>
      <w:tr w:rsidR="00604247" w:rsidTr="00604247">
        <w:trPr>
          <w:jc w:val="center"/>
        </w:trPr>
        <w:tc>
          <w:tcPr>
            <w:tcW w:w="1977" w:type="pct"/>
            <w:tcBorders>
              <w:top w:val="single"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t>Pravastatin/efavirenz</w:t>
            </w:r>
          </w:p>
          <w:p w:rsidR="00604247" w:rsidRDefault="00604247" w:rsidP="00604247">
            <w:pPr>
              <w:rPr>
                <w:sz w:val="22"/>
                <w:szCs w:val="22"/>
              </w:rPr>
            </w:pPr>
            <w:r>
              <w:rPr>
                <w:sz w:val="22"/>
                <w:szCs w:val="22"/>
              </w:rPr>
              <w:t>(40 mg q.d./600 mg q.d.)</w:t>
            </w:r>
          </w:p>
        </w:tc>
        <w:tc>
          <w:tcPr>
            <w:tcW w:w="1450" w:type="pct"/>
            <w:tcBorders>
              <w:top w:val="single"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t>Pravastatin:</w:t>
            </w:r>
          </w:p>
          <w:p w:rsidR="00604247" w:rsidRDefault="00604247" w:rsidP="00604247">
            <w:pPr>
              <w:rPr>
                <w:sz w:val="22"/>
                <w:szCs w:val="22"/>
              </w:rPr>
            </w:pPr>
            <w:r>
              <w:rPr>
                <w:sz w:val="22"/>
                <w:szCs w:val="22"/>
              </w:rPr>
              <w:t>AUC: ↓ 40 % (↓ 26 til ↓ 57)</w:t>
            </w:r>
          </w:p>
          <w:p w:rsidR="00604247" w:rsidRDefault="00604247" w:rsidP="00604247">
            <w:pPr>
              <w:rPr>
                <w:sz w:val="22"/>
                <w:szCs w:val="22"/>
              </w:rPr>
            </w:pPr>
            <w:r>
              <w:rPr>
                <w:sz w:val="22"/>
                <w:szCs w:val="22"/>
              </w:rPr>
              <w:t>C</w:t>
            </w:r>
            <w:r>
              <w:rPr>
                <w:sz w:val="22"/>
                <w:szCs w:val="22"/>
                <w:vertAlign w:val="subscript"/>
              </w:rPr>
              <w:t>max</w:t>
            </w:r>
            <w:r>
              <w:rPr>
                <w:sz w:val="22"/>
                <w:szCs w:val="22"/>
              </w:rPr>
              <w:t>: ↓ 18 % (↓ 59 til ↑ 12)</w:t>
            </w:r>
          </w:p>
        </w:tc>
        <w:tc>
          <w:tcPr>
            <w:tcW w:w="1573" w:type="pct"/>
            <w:vMerge w:val="restart"/>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lang w:bidi="en-GB"/>
              </w:rPr>
            </w:pPr>
            <w:r>
              <w:rPr>
                <w:sz w:val="22"/>
                <w:szCs w:val="22"/>
                <w:lang w:bidi="en-GB"/>
              </w:rPr>
              <w:t>Kolesterolkoncentrationerne bør monitoreres regelmæssigt. Justering af pravastatindosis kan være nødvendig, når det administreres samtidigt med Efavirenz/Emtricitabine/</w:t>
            </w:r>
          </w:p>
          <w:p w:rsidR="00604247" w:rsidRDefault="00604247" w:rsidP="00604247">
            <w:pPr>
              <w:rPr>
                <w:sz w:val="22"/>
                <w:szCs w:val="22"/>
                <w:lang w:bidi="en-GB"/>
              </w:rPr>
            </w:pPr>
            <w:r>
              <w:rPr>
                <w:sz w:val="22"/>
                <w:szCs w:val="22"/>
                <w:lang w:bidi="en-GB"/>
              </w:rPr>
              <w:t>Tenofovir disoproxil "Glenmark" (se produktresuméet for pravastatin).</w:t>
            </w:r>
          </w:p>
        </w:tc>
      </w:tr>
      <w:tr w:rsidR="00604247" w:rsidTr="00604247">
        <w:trPr>
          <w:jc w:val="center"/>
        </w:trPr>
        <w:tc>
          <w:tcPr>
            <w:tcW w:w="1977" w:type="pct"/>
            <w:tcBorders>
              <w:top w:val="dotted"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t>Pravastatin/emtricitabin</w:t>
            </w:r>
          </w:p>
        </w:tc>
        <w:tc>
          <w:tcPr>
            <w:tcW w:w="1450" w:type="pct"/>
            <w:tcBorders>
              <w:top w:val="dotted"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t>Interaktion er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4247" w:rsidRDefault="00604247" w:rsidP="00604247">
            <w:pPr>
              <w:rPr>
                <w:sz w:val="22"/>
                <w:szCs w:val="22"/>
                <w:lang w:bidi="en-GB"/>
              </w:rPr>
            </w:pPr>
          </w:p>
        </w:tc>
      </w:tr>
      <w:tr w:rsidR="00604247" w:rsidTr="00604247">
        <w:trPr>
          <w:jc w:val="center"/>
        </w:trPr>
        <w:tc>
          <w:tcPr>
            <w:tcW w:w="1977" w:type="pct"/>
            <w:tcBorders>
              <w:top w:val="dotted"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sz w:val="22"/>
                <w:szCs w:val="22"/>
              </w:rPr>
              <w:t>Pravastatin/tenofovirdisoproxil</w:t>
            </w:r>
          </w:p>
        </w:tc>
        <w:tc>
          <w:tcPr>
            <w:tcW w:w="1450" w:type="pct"/>
            <w:tcBorders>
              <w:top w:val="dotted"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sz w:val="22"/>
                <w:szCs w:val="22"/>
              </w:rPr>
              <w:t>Interaktion er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4247" w:rsidRDefault="00604247" w:rsidP="00604247">
            <w:pPr>
              <w:rPr>
                <w:sz w:val="22"/>
                <w:szCs w:val="22"/>
                <w:lang w:bidi="en-GB"/>
              </w:rPr>
            </w:pPr>
          </w:p>
        </w:tc>
      </w:tr>
      <w:tr w:rsidR="00604247" w:rsidTr="00604247">
        <w:trPr>
          <w:jc w:val="center"/>
        </w:trPr>
        <w:tc>
          <w:tcPr>
            <w:tcW w:w="1977" w:type="pct"/>
            <w:tcBorders>
              <w:top w:val="single"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t>Simvastatin/efavirenz</w:t>
            </w:r>
          </w:p>
          <w:p w:rsidR="00604247" w:rsidRDefault="00604247" w:rsidP="00604247">
            <w:pPr>
              <w:rPr>
                <w:sz w:val="22"/>
                <w:szCs w:val="22"/>
              </w:rPr>
            </w:pPr>
            <w:r>
              <w:rPr>
                <w:sz w:val="22"/>
                <w:szCs w:val="22"/>
              </w:rPr>
              <w:t>(40 mg q.d./600 mg q.d.)</w:t>
            </w:r>
          </w:p>
        </w:tc>
        <w:tc>
          <w:tcPr>
            <w:tcW w:w="1450" w:type="pct"/>
            <w:tcBorders>
              <w:top w:val="single" w:sz="4" w:space="0" w:color="auto"/>
              <w:left w:val="single" w:sz="4" w:space="0" w:color="auto"/>
              <w:bottom w:val="dotted" w:sz="4" w:space="0" w:color="auto"/>
              <w:right w:val="single" w:sz="4" w:space="0" w:color="auto"/>
            </w:tcBorders>
          </w:tcPr>
          <w:p w:rsidR="00604247" w:rsidRDefault="00604247" w:rsidP="00604247">
            <w:pPr>
              <w:rPr>
                <w:sz w:val="22"/>
                <w:szCs w:val="22"/>
              </w:rPr>
            </w:pPr>
            <w:r>
              <w:rPr>
                <w:sz w:val="22"/>
                <w:szCs w:val="22"/>
              </w:rPr>
              <w:t>Simvastatin:</w:t>
            </w:r>
          </w:p>
          <w:p w:rsidR="00604247" w:rsidRDefault="00604247" w:rsidP="00604247">
            <w:pPr>
              <w:rPr>
                <w:sz w:val="22"/>
                <w:szCs w:val="22"/>
              </w:rPr>
            </w:pPr>
            <w:r>
              <w:rPr>
                <w:sz w:val="22"/>
                <w:szCs w:val="22"/>
              </w:rPr>
              <w:t>AUC: ↓ 69 % (↓ 62 til ↓ 73)</w:t>
            </w:r>
          </w:p>
          <w:p w:rsidR="00604247" w:rsidRDefault="00604247" w:rsidP="00604247">
            <w:pPr>
              <w:rPr>
                <w:sz w:val="22"/>
                <w:szCs w:val="22"/>
              </w:rPr>
            </w:pPr>
            <w:r>
              <w:rPr>
                <w:sz w:val="22"/>
                <w:szCs w:val="22"/>
              </w:rPr>
              <w:t>C</w:t>
            </w:r>
            <w:r>
              <w:rPr>
                <w:sz w:val="22"/>
                <w:szCs w:val="22"/>
                <w:vertAlign w:val="subscript"/>
              </w:rPr>
              <w:t>max</w:t>
            </w:r>
            <w:r>
              <w:rPr>
                <w:sz w:val="22"/>
                <w:szCs w:val="22"/>
              </w:rPr>
              <w:t>: ↓ 76 % (↓ 63 til ↓ 79)</w:t>
            </w:r>
          </w:p>
          <w:p w:rsidR="00604247" w:rsidRDefault="00604247" w:rsidP="00604247">
            <w:pPr>
              <w:rPr>
                <w:sz w:val="22"/>
                <w:szCs w:val="22"/>
              </w:rPr>
            </w:pPr>
          </w:p>
          <w:p w:rsidR="00604247" w:rsidRDefault="00604247" w:rsidP="00604247">
            <w:pPr>
              <w:rPr>
                <w:sz w:val="22"/>
                <w:szCs w:val="22"/>
              </w:rPr>
            </w:pPr>
            <w:r>
              <w:rPr>
                <w:sz w:val="22"/>
                <w:szCs w:val="22"/>
              </w:rPr>
              <w:t>Simvastatinsyre:</w:t>
            </w:r>
          </w:p>
          <w:p w:rsidR="00604247" w:rsidRDefault="00604247" w:rsidP="00604247">
            <w:pPr>
              <w:rPr>
                <w:sz w:val="22"/>
                <w:szCs w:val="22"/>
              </w:rPr>
            </w:pPr>
            <w:r>
              <w:rPr>
                <w:sz w:val="22"/>
                <w:szCs w:val="22"/>
              </w:rPr>
              <w:t>AUC: ↓ 58 % (↓ 39 til ↓ 68)</w:t>
            </w:r>
          </w:p>
          <w:p w:rsidR="00604247" w:rsidRDefault="00604247" w:rsidP="00604247">
            <w:pPr>
              <w:rPr>
                <w:sz w:val="22"/>
                <w:szCs w:val="22"/>
              </w:rPr>
            </w:pPr>
            <w:r>
              <w:rPr>
                <w:sz w:val="22"/>
                <w:szCs w:val="22"/>
              </w:rPr>
              <w:t>C</w:t>
            </w:r>
            <w:r>
              <w:rPr>
                <w:sz w:val="22"/>
                <w:szCs w:val="22"/>
                <w:vertAlign w:val="subscript"/>
              </w:rPr>
              <w:t>max</w:t>
            </w:r>
            <w:r>
              <w:rPr>
                <w:sz w:val="22"/>
                <w:szCs w:val="22"/>
              </w:rPr>
              <w:t>: ↓ 51 % (↓ 32 til ↓ 58)</w:t>
            </w:r>
          </w:p>
          <w:p w:rsidR="00604247" w:rsidRDefault="00604247" w:rsidP="00604247">
            <w:pPr>
              <w:rPr>
                <w:sz w:val="22"/>
                <w:szCs w:val="22"/>
              </w:rPr>
            </w:pPr>
          </w:p>
          <w:p w:rsidR="00604247" w:rsidRDefault="00604247" w:rsidP="00604247">
            <w:pPr>
              <w:rPr>
                <w:sz w:val="22"/>
                <w:szCs w:val="22"/>
              </w:rPr>
            </w:pPr>
            <w:r>
              <w:rPr>
                <w:sz w:val="22"/>
                <w:szCs w:val="22"/>
              </w:rPr>
              <w:t>Totalt antal aktive HMG Co</w:t>
            </w:r>
            <w:r>
              <w:rPr>
                <w:sz w:val="22"/>
                <w:szCs w:val="22"/>
              </w:rPr>
              <w:noBreakHyphen/>
              <w:t>A reduktasehæmmere:</w:t>
            </w:r>
          </w:p>
          <w:p w:rsidR="00604247" w:rsidRDefault="00604247" w:rsidP="00604247">
            <w:pPr>
              <w:rPr>
                <w:sz w:val="22"/>
                <w:szCs w:val="22"/>
              </w:rPr>
            </w:pPr>
            <w:r>
              <w:rPr>
                <w:sz w:val="22"/>
                <w:szCs w:val="22"/>
              </w:rPr>
              <w:t>AUC: ↓ 60 % (↓ 52 til ↓ 68)</w:t>
            </w:r>
          </w:p>
          <w:p w:rsidR="00604247" w:rsidRDefault="00604247" w:rsidP="00604247">
            <w:pPr>
              <w:rPr>
                <w:sz w:val="22"/>
                <w:szCs w:val="22"/>
              </w:rPr>
            </w:pPr>
            <w:r>
              <w:rPr>
                <w:sz w:val="22"/>
                <w:szCs w:val="22"/>
              </w:rPr>
              <w:t>C</w:t>
            </w:r>
            <w:r>
              <w:rPr>
                <w:sz w:val="22"/>
                <w:szCs w:val="22"/>
                <w:vertAlign w:val="subscript"/>
              </w:rPr>
              <w:t>max</w:t>
            </w:r>
            <w:r>
              <w:rPr>
                <w:sz w:val="22"/>
                <w:szCs w:val="22"/>
              </w:rPr>
              <w:t>: ↓ 62 % (↓ 55 til ↓ 78)</w:t>
            </w:r>
          </w:p>
          <w:p w:rsidR="00604247" w:rsidRDefault="00604247" w:rsidP="00604247">
            <w:pPr>
              <w:rPr>
                <w:sz w:val="22"/>
                <w:szCs w:val="22"/>
              </w:rPr>
            </w:pPr>
            <w:r>
              <w:rPr>
                <w:sz w:val="22"/>
                <w:szCs w:val="22"/>
              </w:rPr>
              <w:t>(CYP3A4</w:t>
            </w:r>
            <w:r>
              <w:rPr>
                <w:sz w:val="22"/>
                <w:szCs w:val="22"/>
              </w:rPr>
              <w:noBreakHyphen/>
              <w:t>induktion)</w:t>
            </w:r>
          </w:p>
          <w:p w:rsidR="00604247" w:rsidRDefault="00604247" w:rsidP="00604247">
            <w:pPr>
              <w:rPr>
                <w:sz w:val="22"/>
                <w:szCs w:val="22"/>
              </w:rPr>
            </w:pPr>
            <w:r>
              <w:rPr>
                <w:sz w:val="22"/>
                <w:szCs w:val="22"/>
                <w:lang w:bidi="en-GB"/>
              </w:rPr>
              <w:t>Samtidig administration af efavirenz og atorvastatin, pravastatin eller simvastatin påvirkede ikke efavirenz’ AUC eller C</w:t>
            </w:r>
            <w:r>
              <w:rPr>
                <w:sz w:val="22"/>
                <w:szCs w:val="22"/>
                <w:vertAlign w:val="subscript"/>
                <w:lang w:bidi="en-GB"/>
              </w:rPr>
              <w:t>max</w:t>
            </w:r>
            <w:r>
              <w:rPr>
                <w:sz w:val="22"/>
                <w:szCs w:val="22"/>
                <w:lang w:bidi="en-GB"/>
              </w:rPr>
              <w:t xml:space="preserve"> værdier.</w:t>
            </w:r>
          </w:p>
        </w:tc>
        <w:tc>
          <w:tcPr>
            <w:tcW w:w="1573" w:type="pct"/>
            <w:vMerge w:val="restart"/>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lang w:bidi="en-GB"/>
              </w:rPr>
            </w:pPr>
            <w:r>
              <w:rPr>
                <w:sz w:val="22"/>
                <w:szCs w:val="22"/>
                <w:lang w:bidi="en-GB"/>
              </w:rPr>
              <w:t>Kolesterolkoncentrationerne bør monitoreres regelmæssigt. Justering af simvastatindosis kan være nødvendig, når det administreres samtidigt med Efavirenz/Emtricitabine/</w:t>
            </w:r>
          </w:p>
          <w:p w:rsidR="00604247" w:rsidRDefault="00604247" w:rsidP="00604247">
            <w:pPr>
              <w:rPr>
                <w:sz w:val="22"/>
                <w:szCs w:val="22"/>
              </w:rPr>
            </w:pPr>
            <w:r>
              <w:rPr>
                <w:sz w:val="22"/>
                <w:szCs w:val="22"/>
                <w:lang w:bidi="en-GB"/>
              </w:rPr>
              <w:t>Tenofovir disoproxil "Glenmark" (se produktresuméet for simvastatin).</w:t>
            </w:r>
          </w:p>
        </w:tc>
      </w:tr>
      <w:tr w:rsidR="00604247" w:rsidTr="00604247">
        <w:trPr>
          <w:jc w:val="center"/>
        </w:trPr>
        <w:tc>
          <w:tcPr>
            <w:tcW w:w="1977" w:type="pct"/>
            <w:tcBorders>
              <w:top w:val="dotted"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t>Simvastatin/emtricitabin</w:t>
            </w:r>
          </w:p>
        </w:tc>
        <w:tc>
          <w:tcPr>
            <w:tcW w:w="1450" w:type="pct"/>
            <w:tcBorders>
              <w:top w:val="dotted"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t>Interaktion er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4247" w:rsidRDefault="00604247" w:rsidP="00604247">
            <w:pPr>
              <w:rPr>
                <w:sz w:val="22"/>
                <w:szCs w:val="22"/>
              </w:rPr>
            </w:pPr>
          </w:p>
        </w:tc>
      </w:tr>
      <w:tr w:rsidR="00604247" w:rsidTr="00604247">
        <w:trPr>
          <w:jc w:val="center"/>
        </w:trPr>
        <w:tc>
          <w:tcPr>
            <w:tcW w:w="1977" w:type="pct"/>
            <w:tcBorders>
              <w:top w:val="dotted"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sz w:val="22"/>
                <w:szCs w:val="22"/>
              </w:rPr>
              <w:t>Simvastatin/tenofovirdisoproxil</w:t>
            </w:r>
          </w:p>
        </w:tc>
        <w:tc>
          <w:tcPr>
            <w:tcW w:w="1450" w:type="pct"/>
            <w:tcBorders>
              <w:top w:val="dotted"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sz w:val="22"/>
                <w:szCs w:val="22"/>
              </w:rPr>
              <w:t>Interaktion er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4247" w:rsidRDefault="00604247" w:rsidP="00604247">
            <w:pPr>
              <w:rPr>
                <w:sz w:val="22"/>
                <w:szCs w:val="22"/>
              </w:rPr>
            </w:pPr>
          </w:p>
        </w:tc>
      </w:tr>
      <w:tr w:rsidR="00604247" w:rsidTr="00604247">
        <w:trPr>
          <w:jc w:val="center"/>
        </w:trPr>
        <w:tc>
          <w:tcPr>
            <w:tcW w:w="1977" w:type="pct"/>
            <w:tcBorders>
              <w:top w:val="single"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t>Rosuvastatin/efavirenz</w:t>
            </w:r>
          </w:p>
        </w:tc>
        <w:tc>
          <w:tcPr>
            <w:tcW w:w="1450" w:type="pct"/>
            <w:tcBorders>
              <w:top w:val="single" w:sz="4" w:space="0" w:color="auto"/>
              <w:left w:val="single" w:sz="4" w:space="0" w:color="auto"/>
              <w:bottom w:val="dotted" w:sz="4" w:space="0" w:color="auto"/>
              <w:right w:val="single" w:sz="4" w:space="0" w:color="auto"/>
            </w:tcBorders>
            <w:hideMark/>
          </w:tcPr>
          <w:p w:rsidR="00604247" w:rsidRDefault="00604247" w:rsidP="00604247">
            <w:pPr>
              <w:rPr>
                <w:sz w:val="22"/>
                <w:szCs w:val="22"/>
                <w:lang w:bidi="en-GB"/>
              </w:rPr>
            </w:pPr>
            <w:r>
              <w:rPr>
                <w:sz w:val="22"/>
                <w:szCs w:val="22"/>
                <w:lang w:bidi="en-GB"/>
              </w:rPr>
              <w:t>Interaktion er ikke undersøgt. Rosuvastatin udskilles primært uomdannet via fæces, derfor forventes der ingen interaktion med efavirenz</w:t>
            </w:r>
          </w:p>
        </w:tc>
        <w:tc>
          <w:tcPr>
            <w:tcW w:w="1573" w:type="pct"/>
            <w:vMerge w:val="restart"/>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lang w:bidi="en-GB"/>
              </w:rPr>
            </w:pPr>
            <w:r>
              <w:rPr>
                <w:sz w:val="22"/>
                <w:szCs w:val="22"/>
                <w:lang w:bidi="en-GB"/>
              </w:rPr>
              <w:t>Efavirenz/Emtricitabine/</w:t>
            </w:r>
          </w:p>
          <w:p w:rsidR="00604247" w:rsidRDefault="00604247" w:rsidP="00604247">
            <w:pPr>
              <w:rPr>
                <w:sz w:val="22"/>
                <w:szCs w:val="22"/>
              </w:rPr>
            </w:pPr>
            <w:r>
              <w:rPr>
                <w:sz w:val="22"/>
                <w:szCs w:val="22"/>
                <w:lang w:bidi="en-GB"/>
              </w:rPr>
              <w:t>Tenofovir disoproxil "Glenmark" og rosuvastatin kan administreres samtidigt uden dosisjustering.</w:t>
            </w:r>
          </w:p>
        </w:tc>
      </w:tr>
      <w:tr w:rsidR="00604247" w:rsidTr="00604247">
        <w:trPr>
          <w:jc w:val="center"/>
        </w:trPr>
        <w:tc>
          <w:tcPr>
            <w:tcW w:w="1977" w:type="pct"/>
            <w:tcBorders>
              <w:top w:val="dotted"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t>Rosuvastatin/emtricitabin</w:t>
            </w:r>
          </w:p>
        </w:tc>
        <w:tc>
          <w:tcPr>
            <w:tcW w:w="1450" w:type="pct"/>
            <w:tcBorders>
              <w:top w:val="dotted"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t>Interaktion er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4247" w:rsidRDefault="00604247" w:rsidP="00604247">
            <w:pPr>
              <w:rPr>
                <w:sz w:val="22"/>
                <w:szCs w:val="22"/>
              </w:rPr>
            </w:pPr>
          </w:p>
        </w:tc>
      </w:tr>
      <w:tr w:rsidR="00604247" w:rsidTr="00604247">
        <w:trPr>
          <w:jc w:val="center"/>
        </w:trPr>
        <w:tc>
          <w:tcPr>
            <w:tcW w:w="1977" w:type="pct"/>
            <w:tcBorders>
              <w:top w:val="dotted"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sz w:val="22"/>
                <w:szCs w:val="22"/>
              </w:rPr>
              <w:t>Rosuvastatin/tenofovirdisoproxil</w:t>
            </w:r>
          </w:p>
        </w:tc>
        <w:tc>
          <w:tcPr>
            <w:tcW w:w="1450" w:type="pct"/>
            <w:tcBorders>
              <w:top w:val="dotted"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sz w:val="22"/>
                <w:szCs w:val="22"/>
              </w:rPr>
              <w:t>Interaktion er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4247" w:rsidRDefault="00604247" w:rsidP="00604247">
            <w:pPr>
              <w:rPr>
                <w:sz w:val="22"/>
                <w:szCs w:val="22"/>
              </w:rPr>
            </w:pPr>
          </w:p>
        </w:tc>
      </w:tr>
      <w:tr w:rsidR="00604247" w:rsidTr="00243EA6">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b/>
                <w:i/>
                <w:sz w:val="22"/>
                <w:szCs w:val="22"/>
                <w:lang w:bidi="en-GB"/>
              </w:rPr>
              <w:lastRenderedPageBreak/>
              <w:t>HORMONKONTRACEPTIVA</w:t>
            </w:r>
          </w:p>
        </w:tc>
      </w:tr>
      <w:tr w:rsidR="00604247" w:rsidTr="00604247">
        <w:trPr>
          <w:jc w:val="center"/>
        </w:trPr>
        <w:tc>
          <w:tcPr>
            <w:tcW w:w="1977" w:type="pct"/>
            <w:tcBorders>
              <w:top w:val="single"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t>Oral:</w:t>
            </w:r>
          </w:p>
          <w:p w:rsidR="00604247" w:rsidRDefault="00604247" w:rsidP="00604247">
            <w:pPr>
              <w:rPr>
                <w:sz w:val="22"/>
                <w:szCs w:val="22"/>
              </w:rPr>
            </w:pPr>
            <w:r>
              <w:rPr>
                <w:sz w:val="22"/>
                <w:szCs w:val="22"/>
              </w:rPr>
              <w:t>Ethinylestradiol+norgestimat/efavirenz</w:t>
            </w:r>
          </w:p>
          <w:p w:rsidR="00604247" w:rsidRDefault="00604247" w:rsidP="00604247">
            <w:pPr>
              <w:rPr>
                <w:sz w:val="22"/>
                <w:szCs w:val="22"/>
              </w:rPr>
            </w:pPr>
            <w:r>
              <w:rPr>
                <w:sz w:val="22"/>
                <w:szCs w:val="22"/>
              </w:rPr>
              <w:t>(0,035 mg+0,25 mg q.d./600 mg q.d.)</w:t>
            </w:r>
          </w:p>
        </w:tc>
        <w:tc>
          <w:tcPr>
            <w:tcW w:w="1450" w:type="pct"/>
            <w:tcBorders>
              <w:top w:val="single" w:sz="4" w:space="0" w:color="auto"/>
              <w:left w:val="single" w:sz="4" w:space="0" w:color="auto"/>
              <w:bottom w:val="dotted" w:sz="4" w:space="0" w:color="auto"/>
              <w:right w:val="single" w:sz="4" w:space="0" w:color="auto"/>
            </w:tcBorders>
          </w:tcPr>
          <w:p w:rsidR="00604247" w:rsidRDefault="00604247" w:rsidP="00604247">
            <w:pPr>
              <w:rPr>
                <w:sz w:val="22"/>
                <w:szCs w:val="22"/>
              </w:rPr>
            </w:pPr>
            <w:r>
              <w:rPr>
                <w:sz w:val="22"/>
                <w:szCs w:val="22"/>
              </w:rPr>
              <w:t>Ethinylestradiol:</w:t>
            </w:r>
          </w:p>
          <w:p w:rsidR="00604247" w:rsidRDefault="00604247" w:rsidP="00604247">
            <w:pPr>
              <w:rPr>
                <w:sz w:val="22"/>
                <w:szCs w:val="22"/>
              </w:rPr>
            </w:pPr>
            <w:r>
              <w:rPr>
                <w:sz w:val="22"/>
                <w:szCs w:val="22"/>
              </w:rPr>
              <w:t>AUC: ↔</w:t>
            </w:r>
          </w:p>
          <w:p w:rsidR="00604247" w:rsidRDefault="00604247" w:rsidP="00604247">
            <w:pPr>
              <w:rPr>
                <w:sz w:val="22"/>
                <w:szCs w:val="22"/>
              </w:rPr>
            </w:pPr>
            <w:r>
              <w:rPr>
                <w:sz w:val="22"/>
                <w:szCs w:val="22"/>
              </w:rPr>
              <w:t>C</w:t>
            </w:r>
            <w:r>
              <w:rPr>
                <w:sz w:val="22"/>
                <w:szCs w:val="22"/>
                <w:vertAlign w:val="subscript"/>
              </w:rPr>
              <w:t>max</w:t>
            </w:r>
            <w:r>
              <w:rPr>
                <w:sz w:val="22"/>
                <w:szCs w:val="22"/>
              </w:rPr>
              <w:t>: ↔</w:t>
            </w:r>
          </w:p>
          <w:p w:rsidR="00604247" w:rsidRDefault="00604247" w:rsidP="00604247">
            <w:pPr>
              <w:rPr>
                <w:sz w:val="22"/>
                <w:szCs w:val="22"/>
              </w:rPr>
            </w:pPr>
            <w:r>
              <w:rPr>
                <w:sz w:val="22"/>
                <w:szCs w:val="22"/>
              </w:rPr>
              <w:t>C</w:t>
            </w:r>
            <w:r>
              <w:rPr>
                <w:sz w:val="22"/>
                <w:szCs w:val="22"/>
                <w:vertAlign w:val="subscript"/>
              </w:rPr>
              <w:t>min</w:t>
            </w:r>
            <w:r>
              <w:rPr>
                <w:sz w:val="22"/>
                <w:szCs w:val="22"/>
              </w:rPr>
              <w:t>: ↓ 8 % (↑ 14 til ↓ 25)</w:t>
            </w:r>
          </w:p>
          <w:p w:rsidR="00604247" w:rsidRDefault="00604247" w:rsidP="00604247">
            <w:pPr>
              <w:rPr>
                <w:sz w:val="22"/>
                <w:szCs w:val="22"/>
              </w:rPr>
            </w:pPr>
          </w:p>
          <w:p w:rsidR="00604247" w:rsidRDefault="00604247" w:rsidP="00604247">
            <w:pPr>
              <w:rPr>
                <w:sz w:val="22"/>
                <w:szCs w:val="22"/>
              </w:rPr>
            </w:pPr>
            <w:r>
              <w:rPr>
                <w:sz w:val="22"/>
                <w:szCs w:val="22"/>
              </w:rPr>
              <w:t>Norelgestromin (aktiv metabolit):</w:t>
            </w:r>
          </w:p>
          <w:p w:rsidR="00604247" w:rsidRDefault="00604247" w:rsidP="00604247">
            <w:pPr>
              <w:rPr>
                <w:sz w:val="22"/>
                <w:szCs w:val="22"/>
              </w:rPr>
            </w:pPr>
            <w:r>
              <w:rPr>
                <w:sz w:val="22"/>
                <w:szCs w:val="22"/>
              </w:rPr>
              <w:t>AUC: ↓ 64 % (↓ 62 til ↓ 67)</w:t>
            </w:r>
          </w:p>
          <w:p w:rsidR="00604247" w:rsidRDefault="00604247" w:rsidP="00604247">
            <w:pPr>
              <w:rPr>
                <w:sz w:val="22"/>
                <w:szCs w:val="22"/>
              </w:rPr>
            </w:pPr>
            <w:r>
              <w:rPr>
                <w:sz w:val="22"/>
                <w:szCs w:val="22"/>
              </w:rPr>
              <w:t>C</w:t>
            </w:r>
            <w:r>
              <w:rPr>
                <w:sz w:val="22"/>
                <w:szCs w:val="22"/>
                <w:vertAlign w:val="subscript"/>
              </w:rPr>
              <w:t>max</w:t>
            </w:r>
            <w:r>
              <w:rPr>
                <w:sz w:val="22"/>
                <w:szCs w:val="22"/>
              </w:rPr>
              <w:t>: ↓ 46 % (↓ 39 til ↓ 52)</w:t>
            </w:r>
          </w:p>
          <w:p w:rsidR="00604247" w:rsidRDefault="00604247" w:rsidP="00604247">
            <w:pPr>
              <w:rPr>
                <w:sz w:val="22"/>
                <w:szCs w:val="22"/>
              </w:rPr>
            </w:pPr>
            <w:r>
              <w:rPr>
                <w:sz w:val="22"/>
                <w:szCs w:val="22"/>
              </w:rPr>
              <w:t>C</w:t>
            </w:r>
            <w:r>
              <w:rPr>
                <w:sz w:val="22"/>
                <w:szCs w:val="22"/>
                <w:vertAlign w:val="subscript"/>
              </w:rPr>
              <w:t>min</w:t>
            </w:r>
            <w:r>
              <w:rPr>
                <w:sz w:val="22"/>
                <w:szCs w:val="22"/>
              </w:rPr>
              <w:t>: ↓ 82 % (↓ 79 til ↓ 85)</w:t>
            </w:r>
          </w:p>
          <w:p w:rsidR="00604247" w:rsidRDefault="00604247" w:rsidP="00604247">
            <w:pPr>
              <w:rPr>
                <w:sz w:val="22"/>
                <w:szCs w:val="22"/>
              </w:rPr>
            </w:pPr>
          </w:p>
          <w:p w:rsidR="00604247" w:rsidRDefault="00604247" w:rsidP="00604247">
            <w:pPr>
              <w:rPr>
                <w:sz w:val="22"/>
                <w:szCs w:val="22"/>
              </w:rPr>
            </w:pPr>
            <w:r>
              <w:rPr>
                <w:sz w:val="22"/>
                <w:szCs w:val="22"/>
              </w:rPr>
              <w:t>Levonorgestrel (aktiv metabolit):</w:t>
            </w:r>
          </w:p>
          <w:p w:rsidR="00604247" w:rsidRDefault="00604247" w:rsidP="00604247">
            <w:pPr>
              <w:rPr>
                <w:sz w:val="22"/>
                <w:szCs w:val="22"/>
              </w:rPr>
            </w:pPr>
            <w:r>
              <w:rPr>
                <w:sz w:val="22"/>
                <w:szCs w:val="22"/>
              </w:rPr>
              <w:t>AUC: ↓ 83 % (↓ 79 til ↓ 87)</w:t>
            </w:r>
          </w:p>
          <w:p w:rsidR="00604247" w:rsidRDefault="00604247" w:rsidP="00604247">
            <w:pPr>
              <w:rPr>
                <w:sz w:val="22"/>
                <w:szCs w:val="22"/>
              </w:rPr>
            </w:pPr>
            <w:r>
              <w:rPr>
                <w:sz w:val="22"/>
                <w:szCs w:val="22"/>
              </w:rPr>
              <w:t>C</w:t>
            </w:r>
            <w:r>
              <w:rPr>
                <w:sz w:val="22"/>
                <w:szCs w:val="22"/>
                <w:vertAlign w:val="subscript"/>
              </w:rPr>
              <w:t>max</w:t>
            </w:r>
            <w:r>
              <w:rPr>
                <w:sz w:val="22"/>
                <w:szCs w:val="22"/>
              </w:rPr>
              <w:t>: ↓ 80 % (↓ 77 til ↓ 83)</w:t>
            </w:r>
          </w:p>
          <w:p w:rsidR="00604247" w:rsidRDefault="00604247" w:rsidP="00604247">
            <w:pPr>
              <w:rPr>
                <w:sz w:val="22"/>
                <w:szCs w:val="22"/>
              </w:rPr>
            </w:pPr>
            <w:r>
              <w:rPr>
                <w:sz w:val="22"/>
                <w:szCs w:val="22"/>
              </w:rPr>
              <w:t>C</w:t>
            </w:r>
            <w:r>
              <w:rPr>
                <w:sz w:val="22"/>
                <w:szCs w:val="22"/>
                <w:vertAlign w:val="subscript"/>
              </w:rPr>
              <w:t>min</w:t>
            </w:r>
            <w:r>
              <w:rPr>
                <w:sz w:val="22"/>
                <w:szCs w:val="22"/>
              </w:rPr>
              <w:t>: ↓ 86 % (↓ 80 til ↓ 90)</w:t>
            </w:r>
          </w:p>
          <w:p w:rsidR="00604247" w:rsidRDefault="00604247" w:rsidP="00604247">
            <w:pPr>
              <w:rPr>
                <w:sz w:val="22"/>
                <w:szCs w:val="22"/>
              </w:rPr>
            </w:pPr>
            <w:r>
              <w:rPr>
                <w:sz w:val="22"/>
                <w:szCs w:val="22"/>
              </w:rPr>
              <w:t xml:space="preserve">(induktion af metabolisme) </w:t>
            </w:r>
          </w:p>
          <w:p w:rsidR="00604247" w:rsidRDefault="00604247" w:rsidP="00604247">
            <w:pPr>
              <w:rPr>
                <w:sz w:val="22"/>
                <w:szCs w:val="22"/>
                <w:lang w:bidi="en-GB"/>
              </w:rPr>
            </w:pPr>
            <w:r>
              <w:rPr>
                <w:sz w:val="22"/>
                <w:szCs w:val="22"/>
                <w:lang w:bidi="en-GB"/>
              </w:rPr>
              <w:t>Efavirenz: ingen klinisk signifikant interaktion.</w:t>
            </w:r>
          </w:p>
          <w:p w:rsidR="00604247" w:rsidRDefault="00604247" w:rsidP="00604247">
            <w:pPr>
              <w:rPr>
                <w:sz w:val="22"/>
                <w:szCs w:val="22"/>
              </w:rPr>
            </w:pPr>
            <w:r>
              <w:rPr>
                <w:sz w:val="22"/>
                <w:szCs w:val="22"/>
                <w:lang w:bidi="en-GB"/>
              </w:rPr>
              <w:t>Den kliniske signifikans af disse virkninger er ukendt.</w:t>
            </w:r>
          </w:p>
        </w:tc>
        <w:tc>
          <w:tcPr>
            <w:tcW w:w="1573" w:type="pct"/>
            <w:vMerge w:val="restart"/>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lang w:bidi="en-GB"/>
              </w:rPr>
            </w:pPr>
            <w:r>
              <w:rPr>
                <w:sz w:val="22"/>
                <w:szCs w:val="22"/>
                <w:lang w:bidi="en-GB"/>
              </w:rPr>
              <w:t>En pålidelig kontraceptiv barrieremetode skal anvendes sammen med hormonkontraceptiva (se pkt. 4.6).</w:t>
            </w:r>
          </w:p>
        </w:tc>
      </w:tr>
      <w:tr w:rsidR="00604247" w:rsidRPr="00554C44" w:rsidTr="00604247">
        <w:trPr>
          <w:jc w:val="center"/>
        </w:trPr>
        <w:tc>
          <w:tcPr>
            <w:tcW w:w="1977" w:type="pct"/>
            <w:tcBorders>
              <w:top w:val="dotted" w:sz="4" w:space="0" w:color="auto"/>
              <w:left w:val="single" w:sz="4" w:space="0" w:color="auto"/>
              <w:bottom w:val="dotted" w:sz="4" w:space="0" w:color="auto"/>
              <w:right w:val="single" w:sz="4" w:space="0" w:color="auto"/>
            </w:tcBorders>
            <w:hideMark/>
          </w:tcPr>
          <w:p w:rsidR="00604247" w:rsidRDefault="00604247" w:rsidP="00604247">
            <w:pPr>
              <w:rPr>
                <w:sz w:val="22"/>
                <w:szCs w:val="22"/>
                <w:lang w:val="en-US"/>
              </w:rPr>
            </w:pPr>
            <w:r>
              <w:rPr>
                <w:sz w:val="22"/>
                <w:szCs w:val="22"/>
                <w:lang w:val="en-US"/>
              </w:rPr>
              <w:t>Ethinylestradiol/tenofovirdisoproxil</w:t>
            </w:r>
          </w:p>
          <w:p w:rsidR="00604247" w:rsidRDefault="00604247" w:rsidP="00604247">
            <w:pPr>
              <w:rPr>
                <w:sz w:val="22"/>
                <w:szCs w:val="22"/>
                <w:lang w:val="en-US"/>
              </w:rPr>
            </w:pPr>
            <w:r>
              <w:rPr>
                <w:sz w:val="22"/>
                <w:szCs w:val="22"/>
                <w:lang w:val="en-US"/>
              </w:rPr>
              <w:t>(-/245 mg q.d.)</w:t>
            </w:r>
          </w:p>
        </w:tc>
        <w:tc>
          <w:tcPr>
            <w:tcW w:w="1450" w:type="pct"/>
            <w:tcBorders>
              <w:top w:val="dotted" w:sz="4" w:space="0" w:color="auto"/>
              <w:left w:val="single" w:sz="4" w:space="0" w:color="auto"/>
              <w:bottom w:val="dotted" w:sz="4" w:space="0" w:color="auto"/>
              <w:right w:val="single" w:sz="4" w:space="0" w:color="auto"/>
            </w:tcBorders>
          </w:tcPr>
          <w:p w:rsidR="00604247" w:rsidRDefault="00604247" w:rsidP="00604247">
            <w:pPr>
              <w:rPr>
                <w:sz w:val="22"/>
                <w:szCs w:val="22"/>
                <w:lang w:val="en-US"/>
              </w:rPr>
            </w:pPr>
            <w:r>
              <w:rPr>
                <w:sz w:val="22"/>
                <w:szCs w:val="22"/>
                <w:lang w:val="en-US"/>
              </w:rPr>
              <w:t>Ethinylestradiol:</w:t>
            </w:r>
          </w:p>
          <w:p w:rsidR="00604247" w:rsidRDefault="00604247" w:rsidP="00604247">
            <w:pPr>
              <w:rPr>
                <w:sz w:val="22"/>
                <w:szCs w:val="22"/>
                <w:lang w:val="en-US"/>
              </w:rPr>
            </w:pPr>
            <w:r>
              <w:rPr>
                <w:sz w:val="22"/>
                <w:szCs w:val="22"/>
                <w:lang w:val="en-US"/>
              </w:rPr>
              <w:t>AUC: ↔</w:t>
            </w:r>
          </w:p>
          <w:p w:rsidR="00604247" w:rsidRDefault="00604247" w:rsidP="00604247">
            <w:pPr>
              <w:rPr>
                <w:sz w:val="22"/>
                <w:szCs w:val="22"/>
                <w:lang w:val="en-US"/>
              </w:rPr>
            </w:pPr>
            <w:r>
              <w:rPr>
                <w:sz w:val="22"/>
                <w:szCs w:val="22"/>
                <w:lang w:val="en-US"/>
              </w:rPr>
              <w:t>C</w:t>
            </w:r>
            <w:r>
              <w:rPr>
                <w:sz w:val="22"/>
                <w:szCs w:val="22"/>
                <w:vertAlign w:val="subscript"/>
                <w:lang w:val="en-US"/>
              </w:rPr>
              <w:t>max</w:t>
            </w:r>
            <w:r>
              <w:rPr>
                <w:sz w:val="22"/>
                <w:szCs w:val="22"/>
                <w:lang w:val="en-US"/>
              </w:rPr>
              <w:t>: ↔</w:t>
            </w:r>
          </w:p>
          <w:p w:rsidR="00604247" w:rsidRDefault="00604247" w:rsidP="00604247">
            <w:pPr>
              <w:rPr>
                <w:sz w:val="22"/>
                <w:szCs w:val="22"/>
                <w:lang w:val="en-US"/>
              </w:rPr>
            </w:pPr>
          </w:p>
          <w:p w:rsidR="00604247" w:rsidRDefault="00604247" w:rsidP="00604247">
            <w:pPr>
              <w:rPr>
                <w:sz w:val="22"/>
                <w:szCs w:val="22"/>
                <w:lang w:val="en-US"/>
              </w:rPr>
            </w:pPr>
            <w:r>
              <w:rPr>
                <w:sz w:val="22"/>
                <w:szCs w:val="22"/>
                <w:lang w:val="en-US"/>
              </w:rPr>
              <w:t>Tenofovir:</w:t>
            </w:r>
          </w:p>
          <w:p w:rsidR="00604247" w:rsidRDefault="00604247" w:rsidP="00604247">
            <w:pPr>
              <w:rPr>
                <w:sz w:val="22"/>
                <w:szCs w:val="22"/>
                <w:lang w:val="en-US"/>
              </w:rPr>
            </w:pPr>
            <w:r>
              <w:rPr>
                <w:sz w:val="22"/>
                <w:szCs w:val="22"/>
                <w:lang w:val="en-US"/>
              </w:rPr>
              <w:t>AUC: ↔</w:t>
            </w:r>
          </w:p>
          <w:p w:rsidR="00604247" w:rsidRPr="00243EA6" w:rsidRDefault="00604247" w:rsidP="00604247">
            <w:pPr>
              <w:rPr>
                <w:sz w:val="22"/>
                <w:szCs w:val="22"/>
                <w:lang w:val="en-US"/>
              </w:rPr>
            </w:pPr>
            <w:r w:rsidRPr="00243EA6">
              <w:rPr>
                <w:sz w:val="22"/>
                <w:szCs w:val="22"/>
                <w:lang w:val="en-US"/>
              </w:rPr>
              <w:t>C</w:t>
            </w:r>
            <w:r w:rsidRPr="00243EA6">
              <w:rPr>
                <w:sz w:val="22"/>
                <w:szCs w:val="22"/>
                <w:vertAlign w:val="subscript"/>
                <w:lang w:val="en-US"/>
              </w:rPr>
              <w:t>max</w:t>
            </w:r>
            <w:r w:rsidRPr="00243EA6">
              <w:rPr>
                <w:sz w:val="22"/>
                <w:szCs w:val="22"/>
                <w:lang w:val="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4247" w:rsidRPr="00243EA6" w:rsidRDefault="00604247" w:rsidP="00604247">
            <w:pPr>
              <w:rPr>
                <w:sz w:val="22"/>
                <w:szCs w:val="22"/>
                <w:lang w:val="en-US" w:bidi="en-GB"/>
              </w:rPr>
            </w:pPr>
          </w:p>
        </w:tc>
      </w:tr>
      <w:tr w:rsidR="00604247" w:rsidTr="00604247">
        <w:trPr>
          <w:jc w:val="center"/>
        </w:trPr>
        <w:tc>
          <w:tcPr>
            <w:tcW w:w="1977" w:type="pct"/>
            <w:tcBorders>
              <w:top w:val="dotted"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sz w:val="22"/>
                <w:szCs w:val="22"/>
              </w:rPr>
              <w:t>Norgestimat/ethinylestradiol/</w:t>
            </w:r>
          </w:p>
          <w:p w:rsidR="00604247" w:rsidRDefault="00604247" w:rsidP="00604247">
            <w:pPr>
              <w:rPr>
                <w:sz w:val="22"/>
                <w:szCs w:val="22"/>
              </w:rPr>
            </w:pPr>
            <w:r>
              <w:rPr>
                <w:sz w:val="22"/>
                <w:szCs w:val="22"/>
              </w:rPr>
              <w:t>emtricitabin</w:t>
            </w:r>
          </w:p>
        </w:tc>
        <w:tc>
          <w:tcPr>
            <w:tcW w:w="1450" w:type="pct"/>
            <w:tcBorders>
              <w:top w:val="dotted"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sz w:val="22"/>
                <w:szCs w:val="22"/>
              </w:rPr>
              <w:t>Interaktion er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4247" w:rsidRDefault="00604247" w:rsidP="00604247">
            <w:pPr>
              <w:rPr>
                <w:sz w:val="22"/>
                <w:szCs w:val="22"/>
                <w:lang w:bidi="en-GB"/>
              </w:rPr>
            </w:pPr>
          </w:p>
        </w:tc>
      </w:tr>
      <w:tr w:rsidR="00604247" w:rsidTr="00604247">
        <w:trPr>
          <w:jc w:val="center"/>
        </w:trPr>
        <w:tc>
          <w:tcPr>
            <w:tcW w:w="1977" w:type="pct"/>
            <w:tcBorders>
              <w:top w:val="single" w:sz="4" w:space="0" w:color="auto"/>
              <w:left w:val="single" w:sz="4" w:space="0" w:color="auto"/>
              <w:bottom w:val="dotted" w:sz="4" w:space="0" w:color="auto"/>
              <w:right w:val="single" w:sz="4" w:space="0" w:color="auto"/>
            </w:tcBorders>
            <w:hideMark/>
          </w:tcPr>
          <w:p w:rsidR="00604247" w:rsidRDefault="00604247" w:rsidP="00604247">
            <w:pPr>
              <w:rPr>
                <w:sz w:val="22"/>
                <w:szCs w:val="22"/>
                <w:lang w:bidi="en-GB"/>
              </w:rPr>
            </w:pPr>
            <w:r>
              <w:rPr>
                <w:sz w:val="22"/>
                <w:szCs w:val="22"/>
                <w:lang w:bidi="en-GB"/>
              </w:rPr>
              <w:t>Injektion:</w:t>
            </w:r>
          </w:p>
          <w:p w:rsidR="00604247" w:rsidRDefault="00604247" w:rsidP="00604247">
            <w:pPr>
              <w:rPr>
                <w:sz w:val="22"/>
                <w:szCs w:val="22"/>
                <w:lang w:bidi="en-GB"/>
              </w:rPr>
            </w:pPr>
            <w:r>
              <w:rPr>
                <w:sz w:val="22"/>
                <w:szCs w:val="22"/>
                <w:lang w:bidi="en-GB"/>
              </w:rPr>
              <w:t>Depomedroxyprogesteronacetat (DMPA)/efavirenz</w:t>
            </w:r>
          </w:p>
          <w:p w:rsidR="00604247" w:rsidRDefault="00604247" w:rsidP="00604247">
            <w:pPr>
              <w:rPr>
                <w:sz w:val="22"/>
                <w:szCs w:val="22"/>
              </w:rPr>
            </w:pPr>
            <w:r>
              <w:rPr>
                <w:sz w:val="22"/>
                <w:szCs w:val="22"/>
                <w:lang w:bidi="en-GB"/>
              </w:rPr>
              <w:t>(150 mg i.m. enkeltdosis DMPA)</w:t>
            </w:r>
          </w:p>
        </w:tc>
        <w:tc>
          <w:tcPr>
            <w:tcW w:w="1450" w:type="pct"/>
            <w:tcBorders>
              <w:top w:val="single" w:sz="4" w:space="0" w:color="auto"/>
              <w:left w:val="single" w:sz="4" w:space="0" w:color="auto"/>
              <w:bottom w:val="dotted" w:sz="4" w:space="0" w:color="auto"/>
              <w:right w:val="single" w:sz="4" w:space="0" w:color="auto"/>
            </w:tcBorders>
            <w:hideMark/>
          </w:tcPr>
          <w:p w:rsidR="00604247" w:rsidRDefault="00604247" w:rsidP="00604247">
            <w:pPr>
              <w:rPr>
                <w:sz w:val="22"/>
                <w:szCs w:val="22"/>
                <w:lang w:bidi="en-GB"/>
              </w:rPr>
            </w:pPr>
            <w:r>
              <w:rPr>
                <w:sz w:val="22"/>
                <w:szCs w:val="22"/>
                <w:lang w:bidi="en-GB"/>
              </w:rPr>
              <w:t>I et 3</w:t>
            </w:r>
            <w:r>
              <w:rPr>
                <w:sz w:val="22"/>
                <w:szCs w:val="22"/>
                <w:lang w:bidi="en-GB"/>
              </w:rPr>
              <w:noBreakHyphen/>
              <w:t>måneders interaktionsstudie var der ingen signifikante forskelle i de farmakokinetiske parametre for MPA mellem de patienter, der fik efavirenz-holdig antiretroviral behandling og de patienter, der ikke fik antiretroviral behandling. Andre investigatorer kom frem til lignende resultater, selvom plasmakoncentrationerne for MPA var mere variable i det andet studie. I begge studier forblev progesteronplasma-</w:t>
            </w:r>
            <w:r>
              <w:rPr>
                <w:sz w:val="22"/>
                <w:szCs w:val="22"/>
                <w:lang w:bidi="en-GB"/>
              </w:rPr>
              <w:lastRenderedPageBreak/>
              <w:t>koncentrationerne hos de patienter, der fik efavirenz og DMPA, lave i overensstemmelse med undertrykkelsen af ovulationen.</w:t>
            </w:r>
          </w:p>
        </w:tc>
        <w:tc>
          <w:tcPr>
            <w:tcW w:w="1573" w:type="pct"/>
            <w:vMerge w:val="restart"/>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lang w:bidi="en-GB"/>
              </w:rPr>
            </w:pPr>
            <w:r>
              <w:rPr>
                <w:sz w:val="22"/>
                <w:szCs w:val="22"/>
                <w:lang w:bidi="en-GB"/>
              </w:rPr>
              <w:lastRenderedPageBreak/>
              <w:t>Grundet den begrænsede tilgængelige information, skal en pålidelig kontraceptiv barrieremetode anvendes sammen med hormonkontraceptiva (se pkt. 4.6).</w:t>
            </w:r>
          </w:p>
        </w:tc>
      </w:tr>
      <w:tr w:rsidR="00604247" w:rsidTr="00604247">
        <w:trPr>
          <w:jc w:val="center"/>
        </w:trPr>
        <w:tc>
          <w:tcPr>
            <w:tcW w:w="1977" w:type="pct"/>
            <w:tcBorders>
              <w:top w:val="dotted"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t>DMPA/tenofovirdisoproxil</w:t>
            </w:r>
          </w:p>
        </w:tc>
        <w:tc>
          <w:tcPr>
            <w:tcW w:w="1450" w:type="pct"/>
            <w:tcBorders>
              <w:top w:val="dotted"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t>Interaktion er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4247" w:rsidRDefault="00604247" w:rsidP="00604247">
            <w:pPr>
              <w:rPr>
                <w:sz w:val="22"/>
                <w:szCs w:val="22"/>
                <w:lang w:bidi="en-GB"/>
              </w:rPr>
            </w:pPr>
          </w:p>
        </w:tc>
      </w:tr>
      <w:tr w:rsidR="00604247" w:rsidTr="00604247">
        <w:trPr>
          <w:jc w:val="center"/>
        </w:trPr>
        <w:tc>
          <w:tcPr>
            <w:tcW w:w="1977" w:type="pct"/>
            <w:tcBorders>
              <w:top w:val="dotted"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sz w:val="22"/>
                <w:szCs w:val="22"/>
              </w:rPr>
              <w:t>DMPA/emtricitabin</w:t>
            </w:r>
          </w:p>
        </w:tc>
        <w:tc>
          <w:tcPr>
            <w:tcW w:w="1450" w:type="pct"/>
            <w:tcBorders>
              <w:top w:val="dotted"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sz w:val="22"/>
                <w:szCs w:val="22"/>
              </w:rPr>
              <w:t>Interaktion er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4247" w:rsidRDefault="00604247" w:rsidP="00604247">
            <w:pPr>
              <w:rPr>
                <w:sz w:val="22"/>
                <w:szCs w:val="22"/>
                <w:lang w:bidi="en-GB"/>
              </w:rPr>
            </w:pPr>
          </w:p>
        </w:tc>
      </w:tr>
      <w:tr w:rsidR="00604247" w:rsidTr="00604247">
        <w:trPr>
          <w:jc w:val="center"/>
        </w:trPr>
        <w:tc>
          <w:tcPr>
            <w:tcW w:w="1977" w:type="pct"/>
            <w:tcBorders>
              <w:top w:val="single"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t>Implantat:</w:t>
            </w:r>
          </w:p>
          <w:p w:rsidR="00604247" w:rsidRDefault="00604247" w:rsidP="00604247">
            <w:pPr>
              <w:rPr>
                <w:sz w:val="22"/>
                <w:szCs w:val="22"/>
              </w:rPr>
            </w:pPr>
            <w:r>
              <w:rPr>
                <w:sz w:val="22"/>
                <w:szCs w:val="22"/>
              </w:rPr>
              <w:t>Etonogestrel/efavirenz</w:t>
            </w:r>
          </w:p>
        </w:tc>
        <w:tc>
          <w:tcPr>
            <w:tcW w:w="1450" w:type="pct"/>
            <w:tcBorders>
              <w:top w:val="single" w:sz="4" w:space="0" w:color="auto"/>
              <w:left w:val="single" w:sz="4" w:space="0" w:color="auto"/>
              <w:bottom w:val="dotted" w:sz="4" w:space="0" w:color="auto"/>
              <w:right w:val="single" w:sz="4" w:space="0" w:color="auto"/>
            </w:tcBorders>
            <w:hideMark/>
          </w:tcPr>
          <w:p w:rsidR="00604247" w:rsidRDefault="00604247" w:rsidP="00604247">
            <w:pPr>
              <w:rPr>
                <w:sz w:val="22"/>
                <w:szCs w:val="22"/>
                <w:lang w:bidi="en-GB"/>
              </w:rPr>
            </w:pPr>
            <w:r>
              <w:rPr>
                <w:sz w:val="22"/>
                <w:szCs w:val="22"/>
                <w:lang w:bidi="en-GB"/>
              </w:rPr>
              <w:t>Reduceret eksponering for etonogestrel kan forventes (CYP3A4</w:t>
            </w:r>
            <w:r>
              <w:rPr>
                <w:sz w:val="22"/>
                <w:szCs w:val="22"/>
                <w:lang w:bidi="en-GB"/>
              </w:rPr>
              <w:noBreakHyphen/>
              <w:t>induktion). Efter markedsføring har der lejlighedsvis været rapporteret kontraceptivasvigt med etonogestrel hos patienter eksponeret for efavirenz.</w:t>
            </w:r>
          </w:p>
        </w:tc>
        <w:tc>
          <w:tcPr>
            <w:tcW w:w="1573" w:type="pct"/>
            <w:vMerge w:val="restart"/>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lang w:bidi="en-GB"/>
              </w:rPr>
            </w:pPr>
            <w:r>
              <w:rPr>
                <w:sz w:val="22"/>
                <w:szCs w:val="22"/>
                <w:lang w:bidi="en-GB"/>
              </w:rPr>
              <w:t>En pålidelig kontraceptiv barrieremetode skal anvendes sammen med hormonkontraceptiva (se pkt. 4.6).</w:t>
            </w:r>
          </w:p>
        </w:tc>
      </w:tr>
      <w:tr w:rsidR="00604247" w:rsidTr="00604247">
        <w:trPr>
          <w:jc w:val="center"/>
        </w:trPr>
        <w:tc>
          <w:tcPr>
            <w:tcW w:w="1977" w:type="pct"/>
            <w:tcBorders>
              <w:top w:val="dotted"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t>Etonogestrel/tenofovirdisoproxil</w:t>
            </w:r>
          </w:p>
        </w:tc>
        <w:tc>
          <w:tcPr>
            <w:tcW w:w="1450" w:type="pct"/>
            <w:tcBorders>
              <w:top w:val="dotted"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t>Interaktion er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4247" w:rsidRDefault="00604247" w:rsidP="00604247">
            <w:pPr>
              <w:rPr>
                <w:sz w:val="22"/>
                <w:szCs w:val="22"/>
                <w:lang w:bidi="en-GB"/>
              </w:rPr>
            </w:pPr>
          </w:p>
        </w:tc>
      </w:tr>
      <w:tr w:rsidR="00604247" w:rsidTr="00604247">
        <w:trPr>
          <w:jc w:val="center"/>
        </w:trPr>
        <w:tc>
          <w:tcPr>
            <w:tcW w:w="1977" w:type="pct"/>
            <w:tcBorders>
              <w:top w:val="dotted"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sz w:val="22"/>
                <w:szCs w:val="22"/>
              </w:rPr>
              <w:t>Etonogestrel/emtricitabin</w:t>
            </w:r>
          </w:p>
        </w:tc>
        <w:tc>
          <w:tcPr>
            <w:tcW w:w="1450" w:type="pct"/>
            <w:tcBorders>
              <w:top w:val="dotted"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sz w:val="22"/>
                <w:szCs w:val="22"/>
              </w:rPr>
              <w:t>Interaktion er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4247" w:rsidRDefault="00604247" w:rsidP="00604247">
            <w:pPr>
              <w:rPr>
                <w:sz w:val="22"/>
                <w:szCs w:val="22"/>
                <w:lang w:bidi="en-GB"/>
              </w:rPr>
            </w:pPr>
          </w:p>
        </w:tc>
      </w:tr>
      <w:tr w:rsidR="00604247" w:rsidTr="00243EA6">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b/>
                <w:i/>
                <w:sz w:val="22"/>
                <w:szCs w:val="22"/>
                <w:lang w:bidi="en-GB"/>
              </w:rPr>
              <w:t>IMMUNSUPPRESIVA</w:t>
            </w:r>
          </w:p>
        </w:tc>
      </w:tr>
      <w:tr w:rsidR="00604247" w:rsidTr="00604247">
        <w:trPr>
          <w:jc w:val="center"/>
        </w:trPr>
        <w:tc>
          <w:tcPr>
            <w:tcW w:w="1977" w:type="pct"/>
            <w:tcBorders>
              <w:top w:val="single"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lang w:bidi="en-GB"/>
              </w:rPr>
              <w:t xml:space="preserve">Immunsuppressiva, som metaboliseres via CYP3A4 (f.eks. ciclosporin, tacrolimus, </w:t>
            </w:r>
            <w:proofErr w:type="gramStart"/>
            <w:r>
              <w:rPr>
                <w:sz w:val="22"/>
                <w:szCs w:val="22"/>
                <w:lang w:bidi="en-GB"/>
              </w:rPr>
              <w:t>sirolimus)/</w:t>
            </w:r>
            <w:proofErr w:type="gramEnd"/>
            <w:r>
              <w:rPr>
                <w:sz w:val="22"/>
                <w:szCs w:val="22"/>
                <w:lang w:bidi="en-GB"/>
              </w:rPr>
              <w:t>efavirenz</w:t>
            </w:r>
          </w:p>
        </w:tc>
        <w:tc>
          <w:tcPr>
            <w:tcW w:w="1450" w:type="pct"/>
            <w:tcBorders>
              <w:top w:val="single" w:sz="4" w:space="0" w:color="auto"/>
              <w:left w:val="single" w:sz="4" w:space="0" w:color="auto"/>
              <w:bottom w:val="dotted" w:sz="4" w:space="0" w:color="auto"/>
              <w:right w:val="single" w:sz="4" w:space="0" w:color="auto"/>
            </w:tcBorders>
            <w:hideMark/>
          </w:tcPr>
          <w:p w:rsidR="00604247" w:rsidRDefault="00604247" w:rsidP="00604247">
            <w:pPr>
              <w:rPr>
                <w:sz w:val="22"/>
                <w:szCs w:val="22"/>
                <w:lang w:bidi="en-GB"/>
              </w:rPr>
            </w:pPr>
            <w:r>
              <w:rPr>
                <w:sz w:val="22"/>
                <w:szCs w:val="22"/>
                <w:lang w:bidi="en-GB"/>
              </w:rPr>
              <w:t>Interaktion er ikke undersøgt.</w:t>
            </w:r>
          </w:p>
          <w:p w:rsidR="00604247" w:rsidRDefault="00604247" w:rsidP="00604247">
            <w:pPr>
              <w:rPr>
                <w:sz w:val="22"/>
                <w:szCs w:val="22"/>
                <w:lang w:bidi="en-GB"/>
              </w:rPr>
            </w:pPr>
            <w:r>
              <w:rPr>
                <w:sz w:val="22"/>
                <w:szCs w:val="22"/>
                <w:lang w:bidi="en-GB"/>
              </w:rPr>
              <w:t>↓ eksponering af det immunsupprimerende lægemiddel kan forventes (CYP3A4</w:t>
            </w:r>
            <w:r>
              <w:rPr>
                <w:sz w:val="22"/>
                <w:szCs w:val="22"/>
                <w:lang w:bidi="en-GB"/>
              </w:rPr>
              <w:noBreakHyphen/>
              <w:t>induktion).</w:t>
            </w:r>
          </w:p>
          <w:p w:rsidR="00604247" w:rsidRDefault="00604247" w:rsidP="00604247">
            <w:pPr>
              <w:rPr>
                <w:sz w:val="22"/>
                <w:szCs w:val="22"/>
              </w:rPr>
            </w:pPr>
            <w:r>
              <w:rPr>
                <w:sz w:val="22"/>
                <w:szCs w:val="22"/>
                <w:lang w:bidi="en-GB"/>
              </w:rPr>
              <w:t>Disse immunsuppressiva forventes ikke at påvirke efavirenz</w:t>
            </w:r>
            <w:r>
              <w:rPr>
                <w:sz w:val="22"/>
                <w:szCs w:val="22"/>
                <w:lang w:bidi="en-GB"/>
              </w:rPr>
              <w:noBreakHyphen/>
              <w:t>eksponeringen.</w:t>
            </w:r>
          </w:p>
        </w:tc>
        <w:tc>
          <w:tcPr>
            <w:tcW w:w="1573" w:type="pct"/>
            <w:vMerge w:val="restart"/>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lang w:bidi="en-GB"/>
              </w:rPr>
            </w:pPr>
            <w:r>
              <w:rPr>
                <w:sz w:val="22"/>
                <w:szCs w:val="22"/>
                <w:lang w:bidi="en-GB"/>
              </w:rPr>
              <w:t>Dosisjustering af det immunsupprimerende lægemiddel kan være nødvendig. Tæt monitorering af immunsuppressiva- koncentrationerne i mindst to uger (indtil stabile koncentrationer er nået) anbefales, når behandlingen med Efavirenz/Emtricitabine/</w:t>
            </w:r>
          </w:p>
          <w:p w:rsidR="00604247" w:rsidRDefault="00604247" w:rsidP="00604247">
            <w:pPr>
              <w:rPr>
                <w:sz w:val="22"/>
                <w:szCs w:val="22"/>
              </w:rPr>
            </w:pPr>
            <w:r>
              <w:rPr>
                <w:sz w:val="22"/>
                <w:szCs w:val="22"/>
                <w:lang w:bidi="en-GB"/>
              </w:rPr>
              <w:t>Tenofovir disoproxil "Glenmark" indledes eller seponeres.</w:t>
            </w:r>
          </w:p>
        </w:tc>
      </w:tr>
      <w:tr w:rsidR="00604247" w:rsidTr="00604247">
        <w:trPr>
          <w:jc w:val="center"/>
        </w:trPr>
        <w:tc>
          <w:tcPr>
            <w:tcW w:w="1977" w:type="pct"/>
            <w:tcBorders>
              <w:top w:val="dotted"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sz w:val="22"/>
                <w:szCs w:val="22"/>
              </w:rPr>
              <w:t>Tacrolimus/emtricitabin/tenofovirdisoproxil</w:t>
            </w:r>
          </w:p>
          <w:p w:rsidR="00604247" w:rsidRDefault="00604247" w:rsidP="00604247">
            <w:pPr>
              <w:rPr>
                <w:sz w:val="22"/>
                <w:szCs w:val="22"/>
              </w:rPr>
            </w:pPr>
            <w:r>
              <w:rPr>
                <w:sz w:val="22"/>
                <w:szCs w:val="22"/>
              </w:rPr>
              <w:t>(0,1 mg/kg q.d./200 mg/245 mg q.d.)</w:t>
            </w:r>
          </w:p>
        </w:tc>
        <w:tc>
          <w:tcPr>
            <w:tcW w:w="1450" w:type="pct"/>
            <w:tcBorders>
              <w:top w:val="dotted" w:sz="4" w:space="0" w:color="auto"/>
              <w:left w:val="single" w:sz="4" w:space="0" w:color="auto"/>
              <w:bottom w:val="single" w:sz="4" w:space="0" w:color="auto"/>
              <w:right w:val="single" w:sz="4" w:space="0" w:color="auto"/>
            </w:tcBorders>
          </w:tcPr>
          <w:p w:rsidR="00604247" w:rsidRPr="000E6D4D" w:rsidRDefault="00604247" w:rsidP="00604247">
            <w:pPr>
              <w:rPr>
                <w:sz w:val="22"/>
                <w:szCs w:val="22"/>
                <w:lang w:val="en-US"/>
              </w:rPr>
            </w:pPr>
            <w:r w:rsidRPr="000E6D4D">
              <w:rPr>
                <w:sz w:val="22"/>
                <w:szCs w:val="22"/>
                <w:lang w:val="en-US"/>
              </w:rPr>
              <w:t>Tacrolimus:</w:t>
            </w:r>
          </w:p>
          <w:p w:rsidR="00604247" w:rsidRPr="000E6D4D" w:rsidRDefault="00604247" w:rsidP="00604247">
            <w:pPr>
              <w:rPr>
                <w:sz w:val="22"/>
                <w:szCs w:val="22"/>
                <w:lang w:val="en-US"/>
              </w:rPr>
            </w:pPr>
            <w:r w:rsidRPr="000E6D4D">
              <w:rPr>
                <w:sz w:val="22"/>
                <w:szCs w:val="22"/>
                <w:lang w:val="en-US"/>
              </w:rPr>
              <w:t>AUC: ↔</w:t>
            </w:r>
          </w:p>
          <w:p w:rsidR="00604247" w:rsidRPr="000E6D4D" w:rsidRDefault="00604247" w:rsidP="00604247">
            <w:pPr>
              <w:rPr>
                <w:sz w:val="22"/>
                <w:szCs w:val="22"/>
                <w:lang w:val="en-US"/>
              </w:rPr>
            </w:pPr>
            <w:r w:rsidRPr="000E6D4D">
              <w:rPr>
                <w:sz w:val="22"/>
                <w:szCs w:val="22"/>
                <w:lang w:val="en-US"/>
              </w:rPr>
              <w:t>C</w:t>
            </w:r>
            <w:r w:rsidRPr="000E6D4D">
              <w:rPr>
                <w:sz w:val="22"/>
                <w:szCs w:val="22"/>
                <w:vertAlign w:val="subscript"/>
                <w:lang w:val="en-US"/>
              </w:rPr>
              <w:t>max</w:t>
            </w:r>
            <w:r w:rsidRPr="000E6D4D">
              <w:rPr>
                <w:sz w:val="22"/>
                <w:szCs w:val="22"/>
                <w:lang w:val="en-US"/>
              </w:rPr>
              <w:t>: ↔</w:t>
            </w:r>
          </w:p>
          <w:p w:rsidR="00604247" w:rsidRPr="000E6D4D" w:rsidRDefault="00604247" w:rsidP="00604247">
            <w:pPr>
              <w:rPr>
                <w:sz w:val="22"/>
                <w:szCs w:val="22"/>
                <w:lang w:val="en-US"/>
              </w:rPr>
            </w:pPr>
            <w:r w:rsidRPr="000E6D4D">
              <w:rPr>
                <w:sz w:val="22"/>
                <w:szCs w:val="22"/>
                <w:lang w:val="en-US"/>
              </w:rPr>
              <w:t>C</w:t>
            </w:r>
            <w:r w:rsidRPr="000E6D4D">
              <w:rPr>
                <w:sz w:val="22"/>
                <w:szCs w:val="22"/>
                <w:vertAlign w:val="subscript"/>
                <w:lang w:val="en-US"/>
              </w:rPr>
              <w:t>24t</w:t>
            </w:r>
            <w:r w:rsidRPr="000E6D4D">
              <w:rPr>
                <w:sz w:val="22"/>
                <w:szCs w:val="22"/>
                <w:lang w:val="en-US"/>
              </w:rPr>
              <w:t>: ↔</w:t>
            </w:r>
          </w:p>
          <w:p w:rsidR="00604247" w:rsidRPr="000E6D4D" w:rsidRDefault="00604247" w:rsidP="00604247">
            <w:pPr>
              <w:rPr>
                <w:sz w:val="22"/>
                <w:szCs w:val="22"/>
                <w:lang w:val="en-US"/>
              </w:rPr>
            </w:pPr>
          </w:p>
          <w:p w:rsidR="00604247" w:rsidRPr="000E6D4D" w:rsidRDefault="00604247" w:rsidP="00604247">
            <w:pPr>
              <w:rPr>
                <w:sz w:val="22"/>
                <w:szCs w:val="22"/>
                <w:lang w:val="en-US"/>
              </w:rPr>
            </w:pPr>
            <w:r w:rsidRPr="000E6D4D">
              <w:rPr>
                <w:sz w:val="22"/>
                <w:szCs w:val="22"/>
                <w:lang w:val="en-US"/>
              </w:rPr>
              <w:t>Emtricitabin:</w:t>
            </w:r>
          </w:p>
          <w:p w:rsidR="00604247" w:rsidRPr="000E6D4D" w:rsidRDefault="00604247" w:rsidP="00604247">
            <w:pPr>
              <w:rPr>
                <w:sz w:val="22"/>
                <w:szCs w:val="22"/>
                <w:lang w:val="en-US"/>
              </w:rPr>
            </w:pPr>
            <w:r w:rsidRPr="000E6D4D">
              <w:rPr>
                <w:sz w:val="22"/>
                <w:szCs w:val="22"/>
                <w:lang w:val="en-US"/>
              </w:rPr>
              <w:t>AUC: ↔</w:t>
            </w:r>
          </w:p>
          <w:p w:rsidR="00604247" w:rsidRPr="000E6D4D" w:rsidRDefault="00604247" w:rsidP="00604247">
            <w:pPr>
              <w:rPr>
                <w:sz w:val="22"/>
                <w:szCs w:val="22"/>
                <w:lang w:val="en-US"/>
              </w:rPr>
            </w:pPr>
            <w:r w:rsidRPr="000E6D4D">
              <w:rPr>
                <w:sz w:val="22"/>
                <w:szCs w:val="22"/>
                <w:lang w:val="en-US"/>
              </w:rPr>
              <w:t>C</w:t>
            </w:r>
            <w:r w:rsidRPr="000E6D4D">
              <w:rPr>
                <w:sz w:val="22"/>
                <w:szCs w:val="22"/>
                <w:vertAlign w:val="subscript"/>
                <w:lang w:val="en-US"/>
              </w:rPr>
              <w:t>max</w:t>
            </w:r>
            <w:r w:rsidRPr="000E6D4D">
              <w:rPr>
                <w:sz w:val="22"/>
                <w:szCs w:val="22"/>
                <w:lang w:val="en-US"/>
              </w:rPr>
              <w:t>: ↔</w:t>
            </w:r>
          </w:p>
          <w:p w:rsidR="00604247" w:rsidRPr="000E6D4D" w:rsidRDefault="00604247" w:rsidP="00604247">
            <w:pPr>
              <w:rPr>
                <w:sz w:val="22"/>
                <w:szCs w:val="22"/>
                <w:lang w:val="en-US"/>
              </w:rPr>
            </w:pPr>
            <w:r w:rsidRPr="000E6D4D">
              <w:rPr>
                <w:sz w:val="22"/>
                <w:szCs w:val="22"/>
                <w:lang w:val="en-US"/>
              </w:rPr>
              <w:t>C</w:t>
            </w:r>
            <w:r w:rsidRPr="000E6D4D">
              <w:rPr>
                <w:sz w:val="22"/>
                <w:szCs w:val="22"/>
                <w:vertAlign w:val="subscript"/>
                <w:lang w:val="en-US"/>
              </w:rPr>
              <w:t>24t</w:t>
            </w:r>
            <w:r w:rsidRPr="000E6D4D">
              <w:rPr>
                <w:sz w:val="22"/>
                <w:szCs w:val="22"/>
                <w:lang w:val="en-US"/>
              </w:rPr>
              <w:t>: ↔</w:t>
            </w:r>
          </w:p>
          <w:p w:rsidR="00604247" w:rsidRPr="000E6D4D" w:rsidRDefault="00604247" w:rsidP="00604247">
            <w:pPr>
              <w:rPr>
                <w:sz w:val="22"/>
                <w:szCs w:val="22"/>
                <w:lang w:val="en-US"/>
              </w:rPr>
            </w:pPr>
          </w:p>
          <w:p w:rsidR="00604247" w:rsidRPr="000E6D4D" w:rsidRDefault="00604247" w:rsidP="00604247">
            <w:pPr>
              <w:rPr>
                <w:sz w:val="22"/>
                <w:szCs w:val="22"/>
                <w:lang w:val="en-US"/>
              </w:rPr>
            </w:pPr>
            <w:r w:rsidRPr="000E6D4D">
              <w:rPr>
                <w:sz w:val="22"/>
                <w:szCs w:val="22"/>
                <w:lang w:val="en-US"/>
              </w:rPr>
              <w:t>Tenofovirdisoproxil:</w:t>
            </w:r>
          </w:p>
          <w:p w:rsidR="00604247" w:rsidRPr="000E6D4D" w:rsidRDefault="00604247" w:rsidP="00604247">
            <w:pPr>
              <w:rPr>
                <w:sz w:val="22"/>
                <w:szCs w:val="22"/>
                <w:lang w:val="en-US"/>
              </w:rPr>
            </w:pPr>
            <w:r w:rsidRPr="000E6D4D">
              <w:rPr>
                <w:sz w:val="22"/>
                <w:szCs w:val="22"/>
                <w:lang w:val="en-US"/>
              </w:rPr>
              <w:t>AUC: ↔</w:t>
            </w:r>
          </w:p>
          <w:p w:rsidR="00604247" w:rsidRDefault="00604247" w:rsidP="00604247">
            <w:pPr>
              <w:rPr>
                <w:sz w:val="22"/>
                <w:szCs w:val="22"/>
              </w:rPr>
            </w:pPr>
            <w:r>
              <w:rPr>
                <w:sz w:val="22"/>
                <w:szCs w:val="22"/>
              </w:rPr>
              <w:t>C</w:t>
            </w:r>
            <w:r>
              <w:rPr>
                <w:sz w:val="22"/>
                <w:szCs w:val="22"/>
                <w:vertAlign w:val="subscript"/>
              </w:rPr>
              <w:t>max</w:t>
            </w:r>
            <w:r>
              <w:rPr>
                <w:sz w:val="22"/>
                <w:szCs w:val="22"/>
              </w:rPr>
              <w:t>: ↔</w:t>
            </w:r>
          </w:p>
          <w:p w:rsidR="00604247" w:rsidRDefault="00604247" w:rsidP="00604247">
            <w:pPr>
              <w:rPr>
                <w:sz w:val="22"/>
                <w:szCs w:val="22"/>
              </w:rPr>
            </w:pPr>
            <w:r>
              <w:rPr>
                <w:sz w:val="22"/>
                <w:szCs w:val="22"/>
              </w:rPr>
              <w:t>C</w:t>
            </w:r>
            <w:r>
              <w:rPr>
                <w:sz w:val="22"/>
                <w:szCs w:val="22"/>
                <w:vertAlign w:val="subscript"/>
              </w:rPr>
              <w:t>24t</w:t>
            </w:r>
            <w:r>
              <w:rPr>
                <w:sz w:val="22"/>
                <w:szCs w:val="22"/>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4247" w:rsidRDefault="00604247" w:rsidP="00604247">
            <w:pPr>
              <w:rPr>
                <w:sz w:val="22"/>
                <w:szCs w:val="22"/>
              </w:rPr>
            </w:pPr>
          </w:p>
        </w:tc>
      </w:tr>
      <w:tr w:rsidR="00604247" w:rsidTr="00243EA6">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b/>
                <w:i/>
                <w:sz w:val="22"/>
                <w:szCs w:val="22"/>
                <w:lang w:bidi="en-GB"/>
              </w:rPr>
              <w:lastRenderedPageBreak/>
              <w:t>OPIOIDER</w:t>
            </w:r>
          </w:p>
        </w:tc>
      </w:tr>
      <w:tr w:rsidR="00604247" w:rsidTr="00604247">
        <w:trPr>
          <w:jc w:val="center"/>
        </w:trPr>
        <w:tc>
          <w:tcPr>
            <w:tcW w:w="1977" w:type="pct"/>
            <w:tcBorders>
              <w:top w:val="single" w:sz="4" w:space="0" w:color="auto"/>
              <w:left w:val="single" w:sz="4" w:space="0" w:color="auto"/>
              <w:bottom w:val="dotted" w:sz="4" w:space="0" w:color="auto"/>
              <w:right w:val="single" w:sz="4" w:space="0" w:color="auto"/>
            </w:tcBorders>
            <w:hideMark/>
          </w:tcPr>
          <w:p w:rsidR="00604247" w:rsidRDefault="00604247" w:rsidP="00604247">
            <w:pPr>
              <w:rPr>
                <w:sz w:val="22"/>
                <w:szCs w:val="22"/>
                <w:lang w:val="en-US"/>
              </w:rPr>
            </w:pPr>
            <w:r>
              <w:rPr>
                <w:sz w:val="22"/>
                <w:szCs w:val="22"/>
                <w:lang w:val="en-US"/>
              </w:rPr>
              <w:t>Methadon/efavirenz</w:t>
            </w:r>
          </w:p>
          <w:p w:rsidR="00604247" w:rsidRDefault="00604247" w:rsidP="00604247">
            <w:pPr>
              <w:rPr>
                <w:sz w:val="22"/>
                <w:szCs w:val="22"/>
                <w:lang w:val="en-US"/>
              </w:rPr>
            </w:pPr>
            <w:r>
              <w:rPr>
                <w:sz w:val="22"/>
                <w:szCs w:val="22"/>
                <w:lang w:val="en-US"/>
              </w:rPr>
              <w:t>(35-100 mg q.d./600 mg q.d.)</w:t>
            </w:r>
          </w:p>
        </w:tc>
        <w:tc>
          <w:tcPr>
            <w:tcW w:w="1450" w:type="pct"/>
            <w:tcBorders>
              <w:top w:val="single" w:sz="4" w:space="0" w:color="auto"/>
              <w:left w:val="single" w:sz="4" w:space="0" w:color="auto"/>
              <w:bottom w:val="dotted" w:sz="4" w:space="0" w:color="auto"/>
              <w:right w:val="single" w:sz="4" w:space="0" w:color="auto"/>
            </w:tcBorders>
            <w:hideMark/>
          </w:tcPr>
          <w:p w:rsidR="00604247" w:rsidRDefault="00604247" w:rsidP="00604247">
            <w:pPr>
              <w:rPr>
                <w:sz w:val="22"/>
                <w:szCs w:val="22"/>
                <w:lang w:val="en-US"/>
              </w:rPr>
            </w:pPr>
            <w:r>
              <w:rPr>
                <w:sz w:val="22"/>
                <w:szCs w:val="22"/>
                <w:lang w:val="en-US"/>
              </w:rPr>
              <w:t>Methadon:</w:t>
            </w:r>
          </w:p>
          <w:p w:rsidR="00604247" w:rsidRDefault="00604247" w:rsidP="00604247">
            <w:pPr>
              <w:rPr>
                <w:sz w:val="22"/>
                <w:szCs w:val="22"/>
                <w:lang w:val="en-US"/>
              </w:rPr>
            </w:pPr>
            <w:r>
              <w:rPr>
                <w:sz w:val="22"/>
                <w:szCs w:val="22"/>
                <w:lang w:val="en-US"/>
              </w:rPr>
              <w:t>AUC: ↓ 52 % (↓ 33 til ↓ 66)</w:t>
            </w:r>
          </w:p>
          <w:p w:rsidR="00604247" w:rsidRDefault="00604247" w:rsidP="00604247">
            <w:pPr>
              <w:rPr>
                <w:sz w:val="22"/>
                <w:szCs w:val="22"/>
                <w:lang w:val="en-US"/>
              </w:rPr>
            </w:pPr>
            <w:r>
              <w:rPr>
                <w:sz w:val="22"/>
                <w:szCs w:val="22"/>
                <w:lang w:val="en-US"/>
              </w:rPr>
              <w:t>C</w:t>
            </w:r>
            <w:r>
              <w:rPr>
                <w:sz w:val="22"/>
                <w:szCs w:val="22"/>
                <w:vertAlign w:val="subscript"/>
                <w:lang w:val="en-US"/>
              </w:rPr>
              <w:t>max</w:t>
            </w:r>
            <w:r>
              <w:rPr>
                <w:sz w:val="22"/>
                <w:szCs w:val="22"/>
                <w:lang w:val="en-US"/>
              </w:rPr>
              <w:t>: ↓ 45 % (↓ 25 til ↓ 59)</w:t>
            </w:r>
          </w:p>
          <w:p w:rsidR="00604247" w:rsidRDefault="00604247" w:rsidP="00604247">
            <w:pPr>
              <w:rPr>
                <w:sz w:val="22"/>
                <w:szCs w:val="22"/>
              </w:rPr>
            </w:pPr>
            <w:r>
              <w:rPr>
                <w:sz w:val="22"/>
                <w:szCs w:val="22"/>
              </w:rPr>
              <w:t>(CYP3A4</w:t>
            </w:r>
            <w:r>
              <w:rPr>
                <w:sz w:val="22"/>
                <w:szCs w:val="22"/>
              </w:rPr>
              <w:noBreakHyphen/>
              <w:t>induktion)</w:t>
            </w:r>
          </w:p>
          <w:p w:rsidR="00604247" w:rsidRDefault="00604247" w:rsidP="00604247">
            <w:pPr>
              <w:rPr>
                <w:sz w:val="22"/>
                <w:szCs w:val="22"/>
                <w:lang w:bidi="en-GB"/>
              </w:rPr>
            </w:pPr>
            <w:r>
              <w:rPr>
                <w:sz w:val="22"/>
                <w:szCs w:val="22"/>
                <w:lang w:bidi="en-GB"/>
              </w:rPr>
              <w:t>I et studie med hiv</w:t>
            </w:r>
            <w:r>
              <w:rPr>
                <w:sz w:val="22"/>
                <w:szCs w:val="22"/>
                <w:lang w:bidi="en-GB"/>
              </w:rPr>
              <w:noBreakHyphen/>
              <w:t>inficerede stofmisbrugere, resulterede samtidig administration af efavirenz og methadon i et fald i methadons plasmakoncentrationer og abstinenssymptomer. Methadondosis blev i gennemsnit øget 22 % for at mildne abstinenssymptomerne.</w:t>
            </w:r>
          </w:p>
        </w:tc>
        <w:tc>
          <w:tcPr>
            <w:tcW w:w="1573" w:type="pct"/>
            <w:vMerge w:val="restart"/>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sz w:val="22"/>
                <w:szCs w:val="22"/>
                <w:lang w:bidi="en-GB"/>
              </w:rPr>
              <w:t xml:space="preserve">Samtidig administration med </w:t>
            </w:r>
            <w:r>
              <w:rPr>
                <w:sz w:val="22"/>
                <w:szCs w:val="22"/>
              </w:rPr>
              <w:t>efavirenz/emtricitabin/</w:t>
            </w:r>
          </w:p>
          <w:p w:rsidR="00604247" w:rsidRDefault="00604247" w:rsidP="00604247">
            <w:pPr>
              <w:rPr>
                <w:sz w:val="22"/>
                <w:szCs w:val="22"/>
              </w:rPr>
            </w:pPr>
            <w:r>
              <w:rPr>
                <w:sz w:val="22"/>
                <w:szCs w:val="22"/>
              </w:rPr>
              <w:t>tenofovirdisoproxil</w:t>
            </w:r>
            <w:r>
              <w:rPr>
                <w:sz w:val="22"/>
                <w:szCs w:val="22"/>
                <w:lang w:bidi="en-GB"/>
              </w:rPr>
              <w:t xml:space="preserve"> bør undgås pga. risikoen for QTc</w:t>
            </w:r>
            <w:r>
              <w:rPr>
                <w:sz w:val="22"/>
                <w:szCs w:val="22"/>
                <w:lang w:bidi="en-GB"/>
              </w:rPr>
              <w:noBreakHyphen/>
              <w:t>forlængelse (se pkt. 4.3).</w:t>
            </w:r>
          </w:p>
        </w:tc>
      </w:tr>
      <w:tr w:rsidR="00604247" w:rsidTr="00604247">
        <w:trPr>
          <w:jc w:val="center"/>
        </w:trPr>
        <w:tc>
          <w:tcPr>
            <w:tcW w:w="1977" w:type="pct"/>
            <w:tcBorders>
              <w:top w:val="dotted" w:sz="4" w:space="0" w:color="auto"/>
              <w:left w:val="single" w:sz="4" w:space="0" w:color="auto"/>
              <w:bottom w:val="dotted" w:sz="4" w:space="0" w:color="auto"/>
              <w:right w:val="single" w:sz="4" w:space="0" w:color="auto"/>
            </w:tcBorders>
            <w:hideMark/>
          </w:tcPr>
          <w:p w:rsidR="00604247" w:rsidRPr="000E6D4D" w:rsidRDefault="00604247" w:rsidP="00604247">
            <w:pPr>
              <w:rPr>
                <w:sz w:val="22"/>
                <w:szCs w:val="22"/>
                <w:lang w:val="en-US"/>
              </w:rPr>
            </w:pPr>
            <w:r w:rsidRPr="000E6D4D">
              <w:rPr>
                <w:sz w:val="22"/>
                <w:szCs w:val="22"/>
                <w:lang w:val="en-US"/>
              </w:rPr>
              <w:t>Methadon/tenofovirdisoproxil</w:t>
            </w:r>
          </w:p>
          <w:p w:rsidR="00604247" w:rsidRPr="000E6D4D" w:rsidRDefault="00604247" w:rsidP="00604247">
            <w:pPr>
              <w:rPr>
                <w:sz w:val="22"/>
                <w:szCs w:val="22"/>
                <w:lang w:val="en-US"/>
              </w:rPr>
            </w:pPr>
            <w:r w:rsidRPr="000E6D4D">
              <w:rPr>
                <w:sz w:val="22"/>
                <w:szCs w:val="22"/>
                <w:lang w:val="en-US"/>
              </w:rPr>
              <w:t>(40-110 mg q.d./245 mg q.d.)</w:t>
            </w:r>
          </w:p>
        </w:tc>
        <w:tc>
          <w:tcPr>
            <w:tcW w:w="1450" w:type="pct"/>
            <w:tcBorders>
              <w:top w:val="dotted" w:sz="4" w:space="0" w:color="auto"/>
              <w:left w:val="single" w:sz="4" w:space="0" w:color="auto"/>
              <w:bottom w:val="dotted" w:sz="4" w:space="0" w:color="auto"/>
              <w:right w:val="single" w:sz="4" w:space="0" w:color="auto"/>
            </w:tcBorders>
          </w:tcPr>
          <w:p w:rsidR="00604247" w:rsidRPr="000E6D4D" w:rsidRDefault="00604247" w:rsidP="00604247">
            <w:pPr>
              <w:rPr>
                <w:sz w:val="22"/>
                <w:szCs w:val="22"/>
                <w:lang w:val="en-US"/>
              </w:rPr>
            </w:pPr>
            <w:r w:rsidRPr="000E6D4D">
              <w:rPr>
                <w:sz w:val="22"/>
                <w:szCs w:val="22"/>
                <w:lang w:val="en-US"/>
              </w:rPr>
              <w:t>Methadon:</w:t>
            </w:r>
          </w:p>
          <w:p w:rsidR="00604247" w:rsidRPr="000E6D4D" w:rsidRDefault="00604247" w:rsidP="00604247">
            <w:pPr>
              <w:rPr>
                <w:sz w:val="22"/>
                <w:szCs w:val="22"/>
                <w:lang w:val="en-US"/>
              </w:rPr>
            </w:pPr>
            <w:r w:rsidRPr="000E6D4D">
              <w:rPr>
                <w:sz w:val="22"/>
                <w:szCs w:val="22"/>
                <w:lang w:val="en-US"/>
              </w:rPr>
              <w:t>AUC: ↔</w:t>
            </w:r>
          </w:p>
          <w:p w:rsidR="00604247" w:rsidRPr="000E6D4D" w:rsidRDefault="00604247" w:rsidP="00604247">
            <w:pPr>
              <w:rPr>
                <w:sz w:val="22"/>
                <w:szCs w:val="22"/>
                <w:lang w:val="en-US"/>
              </w:rPr>
            </w:pPr>
            <w:r w:rsidRPr="000E6D4D">
              <w:rPr>
                <w:sz w:val="22"/>
                <w:szCs w:val="22"/>
                <w:lang w:val="en-US"/>
              </w:rPr>
              <w:t>C</w:t>
            </w:r>
            <w:r w:rsidRPr="000E6D4D">
              <w:rPr>
                <w:sz w:val="22"/>
                <w:szCs w:val="22"/>
                <w:vertAlign w:val="subscript"/>
                <w:lang w:val="en-US"/>
              </w:rPr>
              <w:t>max</w:t>
            </w:r>
            <w:r w:rsidRPr="000E6D4D">
              <w:rPr>
                <w:sz w:val="22"/>
                <w:szCs w:val="22"/>
                <w:lang w:val="en-US"/>
              </w:rPr>
              <w:t>: ↔</w:t>
            </w:r>
          </w:p>
          <w:p w:rsidR="00604247" w:rsidRPr="000E6D4D" w:rsidRDefault="00604247" w:rsidP="00604247">
            <w:pPr>
              <w:rPr>
                <w:sz w:val="22"/>
                <w:szCs w:val="22"/>
                <w:lang w:val="en-US"/>
              </w:rPr>
            </w:pPr>
            <w:r w:rsidRPr="000E6D4D">
              <w:rPr>
                <w:sz w:val="22"/>
                <w:szCs w:val="22"/>
                <w:lang w:val="en-US"/>
              </w:rPr>
              <w:t>C</w:t>
            </w:r>
            <w:r w:rsidRPr="000E6D4D">
              <w:rPr>
                <w:sz w:val="22"/>
                <w:szCs w:val="22"/>
                <w:vertAlign w:val="subscript"/>
                <w:lang w:val="en-US"/>
              </w:rPr>
              <w:t>min</w:t>
            </w:r>
            <w:r w:rsidRPr="000E6D4D">
              <w:rPr>
                <w:sz w:val="22"/>
                <w:szCs w:val="22"/>
                <w:lang w:val="en-US"/>
              </w:rPr>
              <w:t>: ↔</w:t>
            </w:r>
          </w:p>
          <w:p w:rsidR="00604247" w:rsidRPr="000E6D4D" w:rsidRDefault="00604247" w:rsidP="00604247">
            <w:pPr>
              <w:rPr>
                <w:sz w:val="22"/>
                <w:szCs w:val="22"/>
                <w:lang w:val="en-US"/>
              </w:rPr>
            </w:pPr>
          </w:p>
          <w:p w:rsidR="00604247" w:rsidRPr="000E6D4D" w:rsidRDefault="00604247" w:rsidP="00604247">
            <w:pPr>
              <w:rPr>
                <w:sz w:val="22"/>
                <w:szCs w:val="22"/>
                <w:lang w:val="en-US"/>
              </w:rPr>
            </w:pPr>
            <w:r w:rsidRPr="000E6D4D">
              <w:rPr>
                <w:sz w:val="22"/>
                <w:szCs w:val="22"/>
                <w:lang w:val="en-US"/>
              </w:rPr>
              <w:t>Tenofovir:</w:t>
            </w:r>
          </w:p>
          <w:p w:rsidR="00604247" w:rsidRDefault="00604247" w:rsidP="00604247">
            <w:pPr>
              <w:rPr>
                <w:sz w:val="22"/>
                <w:szCs w:val="22"/>
              </w:rPr>
            </w:pPr>
            <w:r>
              <w:rPr>
                <w:sz w:val="22"/>
                <w:szCs w:val="22"/>
              </w:rPr>
              <w:t>AUC: ↔</w:t>
            </w:r>
          </w:p>
          <w:p w:rsidR="00604247" w:rsidRDefault="00604247" w:rsidP="00604247">
            <w:pPr>
              <w:rPr>
                <w:sz w:val="22"/>
                <w:szCs w:val="22"/>
              </w:rPr>
            </w:pPr>
            <w:r>
              <w:rPr>
                <w:sz w:val="22"/>
                <w:szCs w:val="22"/>
              </w:rPr>
              <w:t>C</w:t>
            </w:r>
            <w:r>
              <w:rPr>
                <w:sz w:val="22"/>
                <w:szCs w:val="22"/>
                <w:vertAlign w:val="subscript"/>
              </w:rPr>
              <w:t>max</w:t>
            </w:r>
            <w:r>
              <w:rPr>
                <w:sz w:val="22"/>
                <w:szCs w:val="22"/>
              </w:rPr>
              <w:t>: ↔</w:t>
            </w:r>
          </w:p>
          <w:p w:rsidR="00604247" w:rsidRDefault="00604247" w:rsidP="00604247">
            <w:pPr>
              <w:rPr>
                <w:sz w:val="22"/>
                <w:szCs w:val="22"/>
              </w:rPr>
            </w:pPr>
            <w:r>
              <w:rPr>
                <w:sz w:val="22"/>
                <w:szCs w:val="22"/>
              </w:rPr>
              <w:t>C</w:t>
            </w:r>
            <w:r>
              <w:rPr>
                <w:sz w:val="22"/>
                <w:szCs w:val="22"/>
                <w:vertAlign w:val="subscript"/>
              </w:rPr>
              <w:t>min</w:t>
            </w:r>
            <w:r>
              <w:rPr>
                <w:sz w:val="22"/>
                <w:szCs w:val="22"/>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4247" w:rsidRDefault="00604247" w:rsidP="00604247">
            <w:pPr>
              <w:rPr>
                <w:sz w:val="22"/>
                <w:szCs w:val="22"/>
              </w:rPr>
            </w:pPr>
          </w:p>
        </w:tc>
      </w:tr>
      <w:tr w:rsidR="00604247" w:rsidTr="00604247">
        <w:trPr>
          <w:jc w:val="center"/>
        </w:trPr>
        <w:tc>
          <w:tcPr>
            <w:tcW w:w="1977" w:type="pct"/>
            <w:tcBorders>
              <w:top w:val="dotted"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sz w:val="22"/>
                <w:szCs w:val="22"/>
              </w:rPr>
              <w:t>Methadon/emtricitabin</w:t>
            </w:r>
          </w:p>
        </w:tc>
        <w:tc>
          <w:tcPr>
            <w:tcW w:w="1450" w:type="pct"/>
            <w:tcBorders>
              <w:top w:val="dotted"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sz w:val="22"/>
                <w:szCs w:val="22"/>
              </w:rPr>
              <w:t>Interaktion er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4247" w:rsidRDefault="00604247" w:rsidP="00604247">
            <w:pPr>
              <w:rPr>
                <w:sz w:val="22"/>
                <w:szCs w:val="22"/>
              </w:rPr>
            </w:pPr>
          </w:p>
        </w:tc>
      </w:tr>
      <w:tr w:rsidR="00604247" w:rsidTr="00604247">
        <w:trPr>
          <w:jc w:val="center"/>
        </w:trPr>
        <w:tc>
          <w:tcPr>
            <w:tcW w:w="1977" w:type="pct"/>
            <w:tcBorders>
              <w:top w:val="single"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t>Buprenorphin/naloxon/efavirenz</w:t>
            </w:r>
          </w:p>
        </w:tc>
        <w:tc>
          <w:tcPr>
            <w:tcW w:w="1450" w:type="pct"/>
            <w:tcBorders>
              <w:top w:val="single" w:sz="4" w:space="0" w:color="auto"/>
              <w:left w:val="single" w:sz="4" w:space="0" w:color="auto"/>
              <w:bottom w:val="dotted" w:sz="4" w:space="0" w:color="auto"/>
              <w:right w:val="single" w:sz="4" w:space="0" w:color="auto"/>
            </w:tcBorders>
          </w:tcPr>
          <w:p w:rsidR="00604247" w:rsidRDefault="00604247" w:rsidP="00604247">
            <w:pPr>
              <w:rPr>
                <w:sz w:val="22"/>
                <w:szCs w:val="22"/>
              </w:rPr>
            </w:pPr>
            <w:r>
              <w:rPr>
                <w:sz w:val="22"/>
                <w:szCs w:val="22"/>
              </w:rPr>
              <w:t>Buprenorphin:</w:t>
            </w:r>
          </w:p>
          <w:p w:rsidR="00604247" w:rsidRDefault="00604247" w:rsidP="00604247">
            <w:pPr>
              <w:rPr>
                <w:sz w:val="22"/>
                <w:szCs w:val="22"/>
              </w:rPr>
            </w:pPr>
            <w:r>
              <w:rPr>
                <w:sz w:val="22"/>
                <w:szCs w:val="22"/>
              </w:rPr>
              <w:t>AUC: ↓ 50 %</w:t>
            </w:r>
          </w:p>
          <w:p w:rsidR="00604247" w:rsidRDefault="00604247" w:rsidP="00604247">
            <w:pPr>
              <w:rPr>
                <w:sz w:val="22"/>
                <w:szCs w:val="22"/>
              </w:rPr>
            </w:pPr>
          </w:p>
          <w:p w:rsidR="00604247" w:rsidRDefault="00604247" w:rsidP="00604247">
            <w:pPr>
              <w:rPr>
                <w:sz w:val="22"/>
                <w:szCs w:val="22"/>
              </w:rPr>
            </w:pPr>
            <w:r>
              <w:rPr>
                <w:sz w:val="22"/>
                <w:szCs w:val="22"/>
              </w:rPr>
              <w:t>Norbuprenorphin:</w:t>
            </w:r>
          </w:p>
          <w:p w:rsidR="00604247" w:rsidRDefault="00604247" w:rsidP="00604247">
            <w:pPr>
              <w:rPr>
                <w:sz w:val="22"/>
                <w:szCs w:val="22"/>
              </w:rPr>
            </w:pPr>
            <w:r>
              <w:rPr>
                <w:sz w:val="22"/>
                <w:szCs w:val="22"/>
              </w:rPr>
              <w:t>AUC: ↓ 71 %</w:t>
            </w:r>
          </w:p>
          <w:p w:rsidR="00604247" w:rsidRDefault="00604247" w:rsidP="00604247">
            <w:pPr>
              <w:rPr>
                <w:sz w:val="22"/>
                <w:szCs w:val="22"/>
              </w:rPr>
            </w:pPr>
          </w:p>
          <w:p w:rsidR="00604247" w:rsidRDefault="00604247" w:rsidP="00604247">
            <w:pPr>
              <w:rPr>
                <w:sz w:val="22"/>
                <w:szCs w:val="22"/>
              </w:rPr>
            </w:pPr>
            <w:r>
              <w:rPr>
                <w:sz w:val="22"/>
                <w:szCs w:val="22"/>
              </w:rPr>
              <w:t>Efavirenz:</w:t>
            </w:r>
          </w:p>
          <w:p w:rsidR="00604247" w:rsidRDefault="00604247" w:rsidP="00604247">
            <w:pPr>
              <w:rPr>
                <w:sz w:val="22"/>
                <w:szCs w:val="22"/>
              </w:rPr>
            </w:pPr>
            <w:r>
              <w:rPr>
                <w:sz w:val="22"/>
                <w:szCs w:val="22"/>
                <w:lang w:bidi="en-GB"/>
              </w:rPr>
              <w:t>Ingen klinisk signifikant farmakokinetisk interaktion.</w:t>
            </w:r>
          </w:p>
        </w:tc>
        <w:tc>
          <w:tcPr>
            <w:tcW w:w="1573" w:type="pct"/>
            <w:vMerge w:val="restart"/>
            <w:tcBorders>
              <w:top w:val="single" w:sz="4" w:space="0" w:color="auto"/>
              <w:left w:val="single" w:sz="4" w:space="0" w:color="auto"/>
              <w:bottom w:val="single" w:sz="4" w:space="0" w:color="auto"/>
              <w:right w:val="single" w:sz="4" w:space="0" w:color="auto"/>
            </w:tcBorders>
            <w:hideMark/>
          </w:tcPr>
          <w:p w:rsidR="00604247" w:rsidRDefault="00604247" w:rsidP="00604247">
            <w:pPr>
              <w:rPr>
                <w:sz w:val="22"/>
                <w:szCs w:val="22"/>
                <w:lang w:bidi="en-GB"/>
              </w:rPr>
            </w:pPr>
            <w:r>
              <w:rPr>
                <w:sz w:val="22"/>
                <w:szCs w:val="22"/>
                <w:lang w:bidi="en-GB"/>
              </w:rPr>
              <w:t>På trods af reduktionen i eksponering for buprenorphin, udviste ingen af patienterne abstinenssymptomer. Justering af buprenorphindosis er muligvis ikke nødvendig, når det administreres samtidigt med Efavirenz/Emtricitabine/</w:t>
            </w:r>
          </w:p>
          <w:p w:rsidR="00604247" w:rsidRDefault="00604247" w:rsidP="00604247">
            <w:pPr>
              <w:rPr>
                <w:sz w:val="22"/>
                <w:szCs w:val="22"/>
                <w:lang w:bidi="en-GB"/>
              </w:rPr>
            </w:pPr>
            <w:r>
              <w:rPr>
                <w:sz w:val="22"/>
                <w:szCs w:val="22"/>
                <w:lang w:bidi="en-GB"/>
              </w:rPr>
              <w:t>Tenofovir disoproxil "Glenmark".</w:t>
            </w:r>
          </w:p>
        </w:tc>
      </w:tr>
      <w:tr w:rsidR="00604247" w:rsidTr="00604247">
        <w:trPr>
          <w:jc w:val="center"/>
        </w:trPr>
        <w:tc>
          <w:tcPr>
            <w:tcW w:w="1977" w:type="pct"/>
            <w:tcBorders>
              <w:top w:val="dotted"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t>Buprenorphin/naloxon/emtricitabin</w:t>
            </w:r>
          </w:p>
        </w:tc>
        <w:tc>
          <w:tcPr>
            <w:tcW w:w="1450" w:type="pct"/>
            <w:tcBorders>
              <w:top w:val="dotted" w:sz="4" w:space="0" w:color="auto"/>
              <w:left w:val="single" w:sz="4" w:space="0" w:color="auto"/>
              <w:bottom w:val="dotted" w:sz="4" w:space="0" w:color="auto"/>
              <w:right w:val="single" w:sz="4" w:space="0" w:color="auto"/>
            </w:tcBorders>
            <w:hideMark/>
          </w:tcPr>
          <w:p w:rsidR="00604247" w:rsidRDefault="00604247" w:rsidP="00604247">
            <w:pPr>
              <w:rPr>
                <w:sz w:val="22"/>
                <w:szCs w:val="22"/>
              </w:rPr>
            </w:pPr>
            <w:r>
              <w:rPr>
                <w:sz w:val="22"/>
                <w:szCs w:val="22"/>
              </w:rPr>
              <w:t>Interaktion er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4247" w:rsidRDefault="00604247" w:rsidP="00604247">
            <w:pPr>
              <w:rPr>
                <w:sz w:val="22"/>
                <w:szCs w:val="22"/>
                <w:lang w:bidi="en-GB"/>
              </w:rPr>
            </w:pPr>
          </w:p>
        </w:tc>
      </w:tr>
      <w:tr w:rsidR="00604247" w:rsidTr="00604247">
        <w:trPr>
          <w:jc w:val="center"/>
        </w:trPr>
        <w:tc>
          <w:tcPr>
            <w:tcW w:w="1977" w:type="pct"/>
            <w:tcBorders>
              <w:top w:val="dotted"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sz w:val="22"/>
                <w:szCs w:val="22"/>
              </w:rPr>
              <w:t>Buprenorphin/naloxon/tenofovirdisoproxil</w:t>
            </w:r>
          </w:p>
        </w:tc>
        <w:tc>
          <w:tcPr>
            <w:tcW w:w="1450" w:type="pct"/>
            <w:tcBorders>
              <w:top w:val="dotted" w:sz="4" w:space="0" w:color="auto"/>
              <w:left w:val="single" w:sz="4" w:space="0" w:color="auto"/>
              <w:bottom w:val="single" w:sz="4" w:space="0" w:color="auto"/>
              <w:right w:val="single" w:sz="4" w:space="0" w:color="auto"/>
            </w:tcBorders>
            <w:hideMark/>
          </w:tcPr>
          <w:p w:rsidR="00604247" w:rsidRDefault="00604247" w:rsidP="00604247">
            <w:pPr>
              <w:rPr>
                <w:sz w:val="22"/>
                <w:szCs w:val="22"/>
              </w:rPr>
            </w:pPr>
            <w:r>
              <w:rPr>
                <w:sz w:val="22"/>
                <w:szCs w:val="22"/>
              </w:rPr>
              <w:t>Interaktion er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4247" w:rsidRDefault="00604247" w:rsidP="00604247">
            <w:pPr>
              <w:rPr>
                <w:sz w:val="22"/>
                <w:szCs w:val="22"/>
                <w:lang w:bidi="en-GB"/>
              </w:rPr>
            </w:pPr>
          </w:p>
        </w:tc>
      </w:tr>
    </w:tbl>
    <w:p w:rsidR="00243EA6" w:rsidRDefault="00243EA6" w:rsidP="00243EA6">
      <w:pPr>
        <w:rPr>
          <w:sz w:val="24"/>
          <w:szCs w:val="24"/>
          <w:lang w:eastAsia="fr-LU"/>
        </w:rPr>
      </w:pPr>
      <w:r>
        <w:rPr>
          <w:sz w:val="24"/>
          <w:szCs w:val="24"/>
          <w:vertAlign w:val="superscript"/>
        </w:rPr>
        <w:t>1</w:t>
      </w:r>
      <w:r>
        <w:rPr>
          <w:sz w:val="24"/>
          <w:szCs w:val="24"/>
        </w:rPr>
        <w:t>Den primære cirkulerende metabolit af sofosbuvir.</w:t>
      </w:r>
    </w:p>
    <w:p w:rsidR="00D25F12" w:rsidRPr="0085642D" w:rsidRDefault="00D25F12" w:rsidP="00D25F12">
      <w:pPr>
        <w:rPr>
          <w:sz w:val="24"/>
          <w:szCs w:val="24"/>
        </w:rPr>
      </w:pPr>
    </w:p>
    <w:p w:rsidR="00D25F12" w:rsidRPr="0085642D" w:rsidRDefault="00D25F12" w:rsidP="00D25F12">
      <w:pPr>
        <w:ind w:left="851"/>
        <w:rPr>
          <w:sz w:val="24"/>
          <w:szCs w:val="24"/>
          <w:lang w:bidi="en-GB"/>
        </w:rPr>
      </w:pPr>
      <w:r w:rsidRPr="0085642D">
        <w:rPr>
          <w:sz w:val="24"/>
          <w:szCs w:val="24"/>
          <w:u w:val="single"/>
          <w:lang w:bidi="en-GB"/>
        </w:rPr>
        <w:t>Studier udført med andre lægemidler</w:t>
      </w:r>
    </w:p>
    <w:p w:rsidR="00D25F12" w:rsidRPr="0085642D" w:rsidRDefault="00D25F12" w:rsidP="00D25F12">
      <w:pPr>
        <w:ind w:left="851"/>
        <w:rPr>
          <w:sz w:val="24"/>
          <w:szCs w:val="24"/>
          <w:lang w:bidi="en-GB"/>
        </w:rPr>
      </w:pPr>
      <w:r w:rsidRPr="0085642D">
        <w:rPr>
          <w:sz w:val="24"/>
          <w:szCs w:val="24"/>
          <w:lang w:bidi="en-GB"/>
        </w:rPr>
        <w:t xml:space="preserve">Der var ingen klinisk signifikante farmakokinetiske interaktioner, når efavirenz blev administreret sammen med azithromycin, cetirizin, fosamprenavir/ritonavir, lorazepam, zidovudin, aluminium/magnesiumhydroxidantacida, famotidin eller fluconazol. Potentialet </w:t>
      </w:r>
      <w:r w:rsidRPr="0085642D">
        <w:rPr>
          <w:sz w:val="24"/>
          <w:szCs w:val="24"/>
          <w:lang w:bidi="en-GB"/>
        </w:rPr>
        <w:lastRenderedPageBreak/>
        <w:t>for interaktion mellem efavirenz og andre azolantimykotiske lægemidler, såsom ketoconazol, er ikke undersøgt.</w:t>
      </w:r>
    </w:p>
    <w:p w:rsidR="00D25F12" w:rsidRPr="0085642D" w:rsidRDefault="00D25F12" w:rsidP="00D25F12">
      <w:pPr>
        <w:ind w:left="851"/>
        <w:rPr>
          <w:sz w:val="24"/>
          <w:szCs w:val="24"/>
          <w:lang w:bidi="en-GB"/>
        </w:rPr>
      </w:pPr>
    </w:p>
    <w:p w:rsidR="00D25F12" w:rsidRPr="0085642D" w:rsidRDefault="00D25F12" w:rsidP="00D25F12">
      <w:pPr>
        <w:ind w:left="851"/>
        <w:rPr>
          <w:sz w:val="24"/>
          <w:szCs w:val="24"/>
          <w:lang w:bidi="en-GB"/>
        </w:rPr>
      </w:pPr>
      <w:r w:rsidRPr="0085642D">
        <w:rPr>
          <w:sz w:val="24"/>
          <w:szCs w:val="24"/>
          <w:lang w:bidi="en-GB"/>
        </w:rPr>
        <w:t>Der var ingen klinisk signifikante farmakokinetiske interaktioner, når emtricitabin blev administreret sammen med stavudin, zidovudin eller famciclovir. Der var ingen klinisk signifikante farmakokinetiske interaktioner, når tenofovirdisoproxil blev administreret sammen med emtricitabin, eller ribavirin.</w:t>
      </w:r>
    </w:p>
    <w:p w:rsidR="00D25F12" w:rsidRPr="0085642D" w:rsidRDefault="00D25F12" w:rsidP="00D25F12">
      <w:pPr>
        <w:tabs>
          <w:tab w:val="left" w:pos="851"/>
        </w:tabs>
        <w:ind w:left="851"/>
        <w:rPr>
          <w:sz w:val="24"/>
          <w:szCs w:val="24"/>
        </w:rPr>
      </w:pPr>
    </w:p>
    <w:p w:rsidR="00D25F12" w:rsidRPr="0085642D" w:rsidRDefault="00D25F12" w:rsidP="00D25F12">
      <w:pPr>
        <w:tabs>
          <w:tab w:val="left" w:pos="851"/>
        </w:tabs>
        <w:ind w:left="851" w:hanging="851"/>
        <w:rPr>
          <w:b/>
          <w:sz w:val="24"/>
          <w:szCs w:val="24"/>
        </w:rPr>
      </w:pPr>
      <w:r w:rsidRPr="0085642D">
        <w:rPr>
          <w:b/>
          <w:sz w:val="24"/>
          <w:szCs w:val="24"/>
        </w:rPr>
        <w:t>4.6</w:t>
      </w:r>
      <w:r w:rsidRPr="0085642D">
        <w:rPr>
          <w:b/>
          <w:sz w:val="24"/>
          <w:szCs w:val="24"/>
        </w:rPr>
        <w:tab/>
      </w:r>
      <w:r w:rsidR="00FE0330">
        <w:rPr>
          <w:b/>
          <w:sz w:val="24"/>
          <w:szCs w:val="24"/>
        </w:rPr>
        <w:t>Fertilitet, g</w:t>
      </w:r>
      <w:r w:rsidRPr="0085642D">
        <w:rPr>
          <w:b/>
          <w:sz w:val="24"/>
          <w:szCs w:val="24"/>
        </w:rPr>
        <w:t>raviditet og amning</w:t>
      </w:r>
    </w:p>
    <w:p w:rsidR="00D25F12" w:rsidRPr="0085642D" w:rsidRDefault="00D25F12" w:rsidP="00D25F12">
      <w:pPr>
        <w:ind w:left="851"/>
        <w:rPr>
          <w:sz w:val="24"/>
          <w:szCs w:val="24"/>
          <w:u w:val="single"/>
          <w:lang w:bidi="en-GB"/>
        </w:rPr>
      </w:pPr>
    </w:p>
    <w:p w:rsidR="00D25F12" w:rsidRPr="0085642D" w:rsidRDefault="00D25F12" w:rsidP="00D25F12">
      <w:pPr>
        <w:ind w:left="851"/>
        <w:rPr>
          <w:sz w:val="24"/>
          <w:szCs w:val="24"/>
          <w:lang w:eastAsia="fr-LU" w:bidi="en-GB"/>
        </w:rPr>
      </w:pPr>
      <w:r w:rsidRPr="0085642D">
        <w:rPr>
          <w:sz w:val="24"/>
          <w:szCs w:val="24"/>
          <w:u w:val="single"/>
          <w:lang w:bidi="en-GB"/>
        </w:rPr>
        <w:t>Kvinder i den fertile alder (se nedenfor og pkt. 5.3)</w:t>
      </w:r>
    </w:p>
    <w:p w:rsidR="00D25F12" w:rsidRPr="0085642D" w:rsidRDefault="00D25F12" w:rsidP="00D25F12">
      <w:pPr>
        <w:ind w:left="851"/>
        <w:rPr>
          <w:sz w:val="24"/>
          <w:szCs w:val="24"/>
          <w:lang w:bidi="en-GB"/>
        </w:rPr>
      </w:pPr>
      <w:r w:rsidRPr="0085642D">
        <w:rPr>
          <w:sz w:val="24"/>
          <w:szCs w:val="24"/>
          <w:lang w:bidi="en-GB"/>
        </w:rPr>
        <w:t>Graviditet bør undgås hos kvinder, der får Efavirenz/Emtricitabine/Tenofovir disoproxil "Glenmark". Kvinder i den fertile alder bør altid få foretaget graviditetstest før initiering af behandling med Efavirenz/Emtricitabine/Tenofovir disoproxil "Glenmark".</w:t>
      </w:r>
    </w:p>
    <w:p w:rsidR="00D25F12" w:rsidRPr="0085642D" w:rsidRDefault="00D25F12" w:rsidP="00D25F12">
      <w:pPr>
        <w:ind w:left="851"/>
        <w:rPr>
          <w:sz w:val="24"/>
          <w:szCs w:val="24"/>
          <w:lang w:bidi="en-GB"/>
        </w:rPr>
      </w:pPr>
    </w:p>
    <w:p w:rsidR="00D25F12" w:rsidRPr="0085642D" w:rsidRDefault="00D25F12" w:rsidP="006F5EA6">
      <w:pPr>
        <w:keepNext/>
        <w:ind w:left="851"/>
        <w:rPr>
          <w:sz w:val="24"/>
          <w:szCs w:val="24"/>
          <w:lang w:bidi="en-GB"/>
        </w:rPr>
      </w:pPr>
      <w:r w:rsidRPr="0085642D">
        <w:rPr>
          <w:sz w:val="24"/>
          <w:szCs w:val="24"/>
          <w:u w:val="single"/>
          <w:lang w:bidi="en-GB"/>
        </w:rPr>
        <w:t>Kontraception til mænd og kvinder</w:t>
      </w:r>
    </w:p>
    <w:p w:rsidR="00D25F12" w:rsidRPr="0085642D" w:rsidRDefault="00D25F12" w:rsidP="00D25F12">
      <w:pPr>
        <w:ind w:left="851"/>
        <w:rPr>
          <w:sz w:val="24"/>
          <w:szCs w:val="24"/>
          <w:lang w:bidi="en-GB"/>
        </w:rPr>
      </w:pPr>
      <w:r w:rsidRPr="0085642D">
        <w:rPr>
          <w:sz w:val="24"/>
          <w:szCs w:val="24"/>
          <w:lang w:bidi="en-GB"/>
        </w:rPr>
        <w:t>Barrierekontraception bør altid anvendes sammen med andre kontraceptiva (f.eks. orale eller andre hormonkontraceptiva, se pkt. 4.5) under behandling med Efavirenz/Emtricitabine/Tenofovir disoproxil "Glenmark". På grund af efavirenz’ lange halveringstid anbefales det at tage hensigtsmæssige kontraceptive forholdsregler i 12 uger efter seponering af Efavirenz/Emtricitabine/Tenofovir disoproxil "Glenmark".</w:t>
      </w:r>
    </w:p>
    <w:p w:rsidR="00D25F12" w:rsidRPr="0085642D" w:rsidRDefault="00D25F12" w:rsidP="00D25F12">
      <w:pPr>
        <w:ind w:left="851"/>
        <w:rPr>
          <w:sz w:val="24"/>
          <w:szCs w:val="24"/>
          <w:lang w:bidi="en-GB"/>
        </w:rPr>
      </w:pPr>
    </w:p>
    <w:p w:rsidR="00D25F12" w:rsidRPr="0085642D" w:rsidRDefault="00D25F12" w:rsidP="00D25F12">
      <w:pPr>
        <w:ind w:left="851"/>
        <w:rPr>
          <w:sz w:val="24"/>
          <w:szCs w:val="24"/>
          <w:lang w:bidi="en-GB"/>
        </w:rPr>
      </w:pPr>
      <w:r w:rsidRPr="0085642D">
        <w:rPr>
          <w:sz w:val="24"/>
          <w:szCs w:val="24"/>
          <w:u w:val="single"/>
          <w:lang w:bidi="en-GB"/>
        </w:rPr>
        <w:t>Graviditet</w:t>
      </w:r>
    </w:p>
    <w:p w:rsidR="00D25F12" w:rsidRPr="0085642D" w:rsidRDefault="00D25F12" w:rsidP="00D25F12">
      <w:pPr>
        <w:ind w:left="851"/>
        <w:rPr>
          <w:sz w:val="24"/>
          <w:szCs w:val="24"/>
          <w:lang w:bidi="en-GB"/>
        </w:rPr>
      </w:pPr>
      <w:r w:rsidRPr="0085642D">
        <w:rPr>
          <w:i/>
          <w:sz w:val="24"/>
          <w:szCs w:val="24"/>
          <w:lang w:bidi="en-GB"/>
        </w:rPr>
        <w:t xml:space="preserve">Efavirenz: </w:t>
      </w:r>
      <w:r w:rsidRPr="0085642D">
        <w:rPr>
          <w:sz w:val="24"/>
          <w:szCs w:val="24"/>
          <w:lang w:bidi="en-GB"/>
        </w:rPr>
        <w:t>Der har været 7 retrospektive rapporter om fund svarende til neuralrørsdefekter, herunder meningomyelocele, alle hos mødre, der i første trimester havde været eksponeret for efavirenzholdige regimer (eksklusive efavirenzholdige kombinationstabletter i faste doser). Der er rapporteret om yderligere to tilfælde (1 prospektivt og 1 retrospektivt), herunder hændelser svarende til neuralrørsdefekter, med fastdosis-kombinationstabletten indeholdende efavirenz, emtricitabin og tenofovirdisoproxil. Der er ikke konstateret årsagssammenhæng mellem disse hændelser og brugen af efavirenz, og fællesnævneren er ukendt. Da neuralrørsdefekter forekommer inden for de første 4 uger af fosterudviklingen (hvor de neurale rør lukkes), vedrører denne potentielle risiko kvinder, der eksponeres for efavirenz i graviditetens første trimester.</w:t>
      </w:r>
    </w:p>
    <w:p w:rsidR="00D25F12" w:rsidRPr="0085642D" w:rsidRDefault="00D25F12" w:rsidP="00D25F12">
      <w:pPr>
        <w:ind w:left="851"/>
        <w:rPr>
          <w:sz w:val="24"/>
          <w:szCs w:val="24"/>
          <w:lang w:bidi="en-GB"/>
        </w:rPr>
      </w:pPr>
    </w:p>
    <w:p w:rsidR="00D25F12" w:rsidRPr="0085642D" w:rsidRDefault="00D25F12" w:rsidP="00D25F12">
      <w:pPr>
        <w:ind w:left="851"/>
        <w:rPr>
          <w:sz w:val="24"/>
          <w:szCs w:val="24"/>
          <w:lang w:bidi="en-GB"/>
        </w:rPr>
      </w:pPr>
      <w:r w:rsidRPr="0085642D">
        <w:rPr>
          <w:sz w:val="24"/>
          <w:szCs w:val="24"/>
          <w:lang w:bidi="en-GB"/>
        </w:rPr>
        <w:t xml:space="preserve">Fra juli 2013 har </w:t>
      </w:r>
      <w:r w:rsidRPr="0085642D">
        <w:rPr>
          <w:i/>
          <w:sz w:val="24"/>
          <w:szCs w:val="24"/>
          <w:lang w:bidi="en-GB"/>
        </w:rPr>
        <w:t xml:space="preserve">Antiretroviral Pregnancy Registry </w:t>
      </w:r>
      <w:r w:rsidRPr="0085642D">
        <w:rPr>
          <w:sz w:val="24"/>
          <w:szCs w:val="24"/>
          <w:lang w:bidi="en-GB"/>
        </w:rPr>
        <w:t>(APR) modtaget prospektive rapporter om 904 graviditeter, der har været eksponeret for efavirenzholdige regimer i første trimester, og som resulterede i 766 levendefødsler. Der blev rapporteret om ét barn med neuralrørsdefekt, og frekvensen og mønsteret for andre fødselsdefekter var de samme som hos børn, der havde været eksponeret for regimer uden efavirenz samt hos hiv</w:t>
      </w:r>
      <w:r w:rsidRPr="0085642D">
        <w:rPr>
          <w:sz w:val="24"/>
          <w:szCs w:val="24"/>
          <w:lang w:bidi="en-GB"/>
        </w:rPr>
        <w:noBreakHyphen/>
        <w:t>negative kontroller. Forekomsten af neuralrørsdefekt i befolkningen generelt er 0,5</w:t>
      </w:r>
      <w:r w:rsidRPr="0085642D">
        <w:rPr>
          <w:sz w:val="24"/>
          <w:szCs w:val="24"/>
          <w:lang w:bidi="en-GB"/>
        </w:rPr>
        <w:noBreakHyphen/>
        <w:t>1 tilfælde pr. 1.000 levendefødsler.</w:t>
      </w:r>
    </w:p>
    <w:p w:rsidR="00D25F12" w:rsidRPr="0085642D" w:rsidRDefault="00D25F12" w:rsidP="00D25F12">
      <w:pPr>
        <w:ind w:left="851"/>
        <w:rPr>
          <w:sz w:val="24"/>
          <w:szCs w:val="24"/>
          <w:lang w:bidi="en-GB"/>
        </w:rPr>
      </w:pPr>
    </w:p>
    <w:p w:rsidR="00D25F12" w:rsidRPr="0085642D" w:rsidRDefault="00D25F12" w:rsidP="00D25F12">
      <w:pPr>
        <w:ind w:left="851"/>
        <w:rPr>
          <w:sz w:val="24"/>
          <w:szCs w:val="24"/>
          <w:lang w:bidi="en-GB"/>
        </w:rPr>
      </w:pPr>
      <w:r w:rsidRPr="0085642D">
        <w:rPr>
          <w:sz w:val="24"/>
          <w:szCs w:val="24"/>
          <w:lang w:bidi="en-GB"/>
        </w:rPr>
        <w:t>Der er blevet observeret misdannelser hos fostre hos efavirenz</w:t>
      </w:r>
      <w:r w:rsidRPr="0085642D">
        <w:rPr>
          <w:sz w:val="24"/>
          <w:szCs w:val="24"/>
          <w:lang w:bidi="en-GB"/>
        </w:rPr>
        <w:noBreakHyphen/>
        <w:t>behandlede aber (se pkt. 5.3).</w:t>
      </w:r>
    </w:p>
    <w:p w:rsidR="00D25F12" w:rsidRPr="0085642D" w:rsidRDefault="00D25F12" w:rsidP="00D25F12">
      <w:pPr>
        <w:ind w:left="851"/>
        <w:rPr>
          <w:sz w:val="24"/>
          <w:szCs w:val="24"/>
          <w:lang w:bidi="en-GB"/>
        </w:rPr>
      </w:pPr>
    </w:p>
    <w:p w:rsidR="00D25F12" w:rsidRPr="0085642D" w:rsidRDefault="00D25F12" w:rsidP="00D25F12">
      <w:pPr>
        <w:ind w:left="851"/>
        <w:rPr>
          <w:sz w:val="24"/>
          <w:szCs w:val="24"/>
          <w:lang w:bidi="en-GB"/>
        </w:rPr>
      </w:pPr>
      <w:r w:rsidRPr="0085642D">
        <w:rPr>
          <w:i/>
          <w:sz w:val="24"/>
          <w:szCs w:val="24"/>
          <w:lang w:bidi="en-GB"/>
        </w:rPr>
        <w:t xml:space="preserve">Emtricitabin og tenofovirdisoproxil: </w:t>
      </w:r>
      <w:r w:rsidRPr="0085642D">
        <w:rPr>
          <w:sz w:val="24"/>
          <w:szCs w:val="24"/>
          <w:lang w:bidi="en-GB"/>
        </w:rPr>
        <w:t>Data fra anvendelse af emtricitabin og tenofovirdisoproxil hos et stort antal gravide kvinder (mere end 1.000) indikerer ingen misdannelser eller føtal/neonatal toksicitet i forbindelse med emtricitabin og tenofovirdisoproxil. Dyrestudier med emtricitabin og tenofovirdisoproxil indikerer ikke reproduktionstoksicitet (se pkt. 5.3).</w:t>
      </w:r>
    </w:p>
    <w:p w:rsidR="00243EA6" w:rsidRDefault="00243EA6" w:rsidP="00243EA6">
      <w:pPr>
        <w:ind w:left="851"/>
        <w:rPr>
          <w:sz w:val="24"/>
          <w:szCs w:val="24"/>
          <w:lang w:bidi="en-GB"/>
        </w:rPr>
      </w:pPr>
    </w:p>
    <w:p w:rsidR="00243EA6" w:rsidRDefault="00243EA6" w:rsidP="00243EA6">
      <w:pPr>
        <w:ind w:left="851"/>
        <w:rPr>
          <w:sz w:val="24"/>
          <w:szCs w:val="24"/>
          <w:lang w:bidi="en-GB"/>
        </w:rPr>
      </w:pPr>
      <w:r>
        <w:rPr>
          <w:sz w:val="24"/>
          <w:szCs w:val="24"/>
          <w:lang w:bidi="en-GB"/>
        </w:rPr>
        <w:lastRenderedPageBreak/>
        <w:t xml:space="preserve">I litteraturen er eksponering for tenofovirdisoproxil i graviditetens tredje trimester blevet påvist at reducere risikoen for transmission af HBV fra moder til barn, hvis tenofovirdisoproxil gives til mødre i tillæg til hepatitis-B immunglobulin og hepatitis-B vaccine til spædbørn. </w:t>
      </w:r>
    </w:p>
    <w:p w:rsidR="00243EA6" w:rsidRDefault="00243EA6" w:rsidP="00243EA6">
      <w:pPr>
        <w:ind w:left="851"/>
        <w:rPr>
          <w:sz w:val="24"/>
          <w:szCs w:val="24"/>
          <w:lang w:bidi="en-GB"/>
        </w:rPr>
      </w:pPr>
    </w:p>
    <w:p w:rsidR="00243EA6" w:rsidRDefault="00243EA6" w:rsidP="00243EA6">
      <w:pPr>
        <w:ind w:left="851"/>
        <w:rPr>
          <w:sz w:val="24"/>
          <w:szCs w:val="24"/>
          <w:lang w:bidi="en-GB"/>
        </w:rPr>
      </w:pPr>
      <w:r>
        <w:rPr>
          <w:sz w:val="24"/>
          <w:szCs w:val="24"/>
          <w:lang w:bidi="en-GB"/>
        </w:rPr>
        <w:t>I tre kontrollerede kliniske forsøg fik i alt 327 gravide kvinder med kronisk HBV-infektion administreret tenofovirdisoproxil (245 mg) en gang dagligt fra graviditetsuge 28 til 32 frem til 12 måneder efter fødslen. Kvinderne og deres spædbørn blev fulgt i op til 12 måneder efter fødslen. Der er ikke fremkommet nogen sikkerhedssignaler fra disse data.</w:t>
      </w:r>
    </w:p>
    <w:p w:rsidR="00243EA6" w:rsidRPr="0085642D" w:rsidRDefault="00243EA6" w:rsidP="00D25F12">
      <w:pPr>
        <w:ind w:left="851"/>
        <w:rPr>
          <w:sz w:val="24"/>
          <w:szCs w:val="24"/>
          <w:lang w:bidi="en-GB"/>
        </w:rPr>
      </w:pPr>
    </w:p>
    <w:p w:rsidR="00D25F12" w:rsidRPr="0085642D" w:rsidRDefault="00D25F12" w:rsidP="00D25F12">
      <w:pPr>
        <w:ind w:left="851"/>
        <w:rPr>
          <w:sz w:val="24"/>
          <w:szCs w:val="24"/>
          <w:lang w:bidi="en-GB"/>
        </w:rPr>
      </w:pPr>
      <w:r w:rsidRPr="0085642D">
        <w:rPr>
          <w:sz w:val="24"/>
          <w:szCs w:val="24"/>
          <w:lang w:bidi="en-GB"/>
        </w:rPr>
        <w:t>Efavirenz/Emtricitabine/Tenofovir disoproxil "Glenmark" bør ikke anvendes under graviditeten, medmindre kvindens kliniske tilstand kræver behandling med efavirenz/emtricitabin/tenofovirdisoproxil.</w:t>
      </w:r>
    </w:p>
    <w:p w:rsidR="00D25F12" w:rsidRPr="0085642D" w:rsidRDefault="00D25F12" w:rsidP="00D25F12">
      <w:pPr>
        <w:ind w:left="851"/>
        <w:rPr>
          <w:sz w:val="24"/>
          <w:szCs w:val="24"/>
          <w:lang w:bidi="en-GB"/>
        </w:rPr>
      </w:pPr>
    </w:p>
    <w:p w:rsidR="00D25F12" w:rsidRPr="0085642D" w:rsidRDefault="00D25F12" w:rsidP="006F5EA6">
      <w:pPr>
        <w:keepNext/>
        <w:ind w:left="851"/>
        <w:rPr>
          <w:sz w:val="24"/>
          <w:szCs w:val="24"/>
          <w:lang w:bidi="en-GB"/>
        </w:rPr>
      </w:pPr>
      <w:r w:rsidRPr="0085642D">
        <w:rPr>
          <w:sz w:val="24"/>
          <w:szCs w:val="24"/>
          <w:u w:val="single"/>
          <w:lang w:bidi="en-GB"/>
        </w:rPr>
        <w:t>Amning</w:t>
      </w:r>
    </w:p>
    <w:p w:rsidR="00D25F12" w:rsidRPr="0085642D" w:rsidRDefault="00D25F12" w:rsidP="00D25F12">
      <w:pPr>
        <w:ind w:left="851"/>
        <w:rPr>
          <w:sz w:val="24"/>
          <w:szCs w:val="24"/>
          <w:lang w:bidi="en-GB"/>
        </w:rPr>
      </w:pPr>
      <w:r w:rsidRPr="0085642D">
        <w:rPr>
          <w:sz w:val="24"/>
          <w:szCs w:val="24"/>
          <w:lang w:bidi="en-GB"/>
        </w:rPr>
        <w:t>Efavirenz, emtricitabin og tenofovir udskilles i human mælk. Der foreligger utilstrækkelige data for virkningen af efavirenz, emtricitabin og tenofovir på det ammede barn. En risiko for spædbørn kan ikke udelukkes. Efavirenz/Emtricitabine/Tenofovir disoproxil "Glenmark" bør derfor ikke anvendes under amning.</w:t>
      </w:r>
    </w:p>
    <w:p w:rsidR="00D25F12" w:rsidRPr="0085642D" w:rsidRDefault="00D25F12" w:rsidP="00D25F12">
      <w:pPr>
        <w:ind w:left="851"/>
        <w:rPr>
          <w:sz w:val="24"/>
          <w:szCs w:val="24"/>
          <w:lang w:bidi="en-GB"/>
        </w:rPr>
      </w:pPr>
    </w:p>
    <w:p w:rsidR="00D25F12" w:rsidRPr="0085642D" w:rsidRDefault="00D25F12" w:rsidP="00D25F12">
      <w:pPr>
        <w:ind w:left="851"/>
        <w:rPr>
          <w:sz w:val="24"/>
          <w:szCs w:val="24"/>
          <w:lang w:bidi="en-GB"/>
        </w:rPr>
      </w:pPr>
      <w:r w:rsidRPr="0085642D">
        <w:rPr>
          <w:sz w:val="24"/>
          <w:szCs w:val="24"/>
          <w:lang w:bidi="en-GB"/>
        </w:rPr>
        <w:t>For at undgå overførsel af hiv til spædbørn anbefales det generelt, at hiv</w:t>
      </w:r>
      <w:r w:rsidRPr="0085642D">
        <w:rPr>
          <w:sz w:val="24"/>
          <w:szCs w:val="24"/>
          <w:lang w:bidi="en-GB"/>
        </w:rPr>
        <w:noBreakHyphen/>
        <w:t>inficerede kvinder ikke ammer deres børn.</w:t>
      </w:r>
    </w:p>
    <w:p w:rsidR="00D25F12" w:rsidRPr="0085642D" w:rsidRDefault="00D25F12" w:rsidP="00D25F12">
      <w:pPr>
        <w:rPr>
          <w:sz w:val="24"/>
          <w:szCs w:val="24"/>
          <w:lang w:bidi="en-GB"/>
        </w:rPr>
      </w:pPr>
    </w:p>
    <w:p w:rsidR="00D25F12" w:rsidRPr="0085642D" w:rsidRDefault="00D25F12" w:rsidP="00D25F12">
      <w:pPr>
        <w:ind w:left="851"/>
        <w:rPr>
          <w:sz w:val="24"/>
          <w:szCs w:val="24"/>
          <w:lang w:bidi="en-GB"/>
        </w:rPr>
      </w:pPr>
      <w:r w:rsidRPr="0085642D">
        <w:rPr>
          <w:sz w:val="24"/>
          <w:szCs w:val="24"/>
          <w:u w:val="single"/>
          <w:lang w:bidi="en-GB"/>
        </w:rPr>
        <w:t>Fertilitet</w:t>
      </w:r>
    </w:p>
    <w:p w:rsidR="00D25F12" w:rsidRPr="0085642D" w:rsidRDefault="00D25F12" w:rsidP="00D25F12">
      <w:pPr>
        <w:ind w:left="851"/>
        <w:rPr>
          <w:sz w:val="24"/>
          <w:szCs w:val="24"/>
          <w:lang w:bidi="en-GB"/>
        </w:rPr>
      </w:pPr>
      <w:r w:rsidRPr="0085642D">
        <w:rPr>
          <w:sz w:val="24"/>
          <w:szCs w:val="24"/>
          <w:lang w:bidi="en-GB"/>
        </w:rPr>
        <w:t>Der foreligger ingen humane data vedrørende virkningen af Efavirenz/Emtricitabine/Teno</w:t>
      </w:r>
      <w:r>
        <w:rPr>
          <w:sz w:val="24"/>
          <w:szCs w:val="24"/>
          <w:lang w:bidi="en-GB"/>
        </w:rPr>
        <w:softHyphen/>
      </w:r>
      <w:r w:rsidRPr="0085642D">
        <w:rPr>
          <w:sz w:val="24"/>
          <w:szCs w:val="24"/>
          <w:lang w:bidi="en-GB"/>
        </w:rPr>
        <w:t>fovir disoproxil "Glenmark". Dyrestudier indikerer ingen skadelige virkninger af efavirenz, emtricitabin eller tenofovirdisoproxil på fertiliteten.</w:t>
      </w:r>
    </w:p>
    <w:p w:rsidR="00D25F12" w:rsidRPr="0085642D" w:rsidRDefault="00D25F12" w:rsidP="00D25F12">
      <w:pPr>
        <w:tabs>
          <w:tab w:val="left" w:pos="851"/>
        </w:tabs>
        <w:ind w:left="851"/>
        <w:rPr>
          <w:sz w:val="24"/>
          <w:szCs w:val="24"/>
        </w:rPr>
      </w:pPr>
    </w:p>
    <w:p w:rsidR="00D25F12" w:rsidRPr="0085642D" w:rsidRDefault="00D25F12" w:rsidP="00D25F12">
      <w:pPr>
        <w:tabs>
          <w:tab w:val="left" w:pos="851"/>
        </w:tabs>
        <w:ind w:left="851" w:hanging="851"/>
        <w:rPr>
          <w:b/>
          <w:sz w:val="24"/>
          <w:szCs w:val="24"/>
        </w:rPr>
      </w:pPr>
      <w:r w:rsidRPr="0085642D">
        <w:rPr>
          <w:b/>
          <w:sz w:val="24"/>
          <w:szCs w:val="24"/>
        </w:rPr>
        <w:t>4.7</w:t>
      </w:r>
      <w:r w:rsidRPr="0085642D">
        <w:rPr>
          <w:b/>
          <w:sz w:val="24"/>
          <w:szCs w:val="24"/>
        </w:rPr>
        <w:tab/>
        <w:t xml:space="preserve">Virkning på evnen til at føre motorkøretøj </w:t>
      </w:r>
      <w:r w:rsidR="00FE0330">
        <w:rPr>
          <w:b/>
          <w:sz w:val="24"/>
          <w:szCs w:val="24"/>
        </w:rPr>
        <w:t xml:space="preserve">og </w:t>
      </w:r>
      <w:r w:rsidRPr="0085642D">
        <w:rPr>
          <w:b/>
          <w:sz w:val="24"/>
          <w:szCs w:val="24"/>
        </w:rPr>
        <w:t>betjene maskiner</w:t>
      </w:r>
    </w:p>
    <w:p w:rsidR="00D25F12" w:rsidRPr="0085642D" w:rsidRDefault="00D25F12" w:rsidP="00D25F12">
      <w:pPr>
        <w:ind w:left="851"/>
        <w:rPr>
          <w:sz w:val="24"/>
          <w:szCs w:val="24"/>
          <w:lang w:bidi="en-GB"/>
        </w:rPr>
      </w:pPr>
      <w:r w:rsidRPr="0085642D">
        <w:rPr>
          <w:sz w:val="24"/>
          <w:szCs w:val="24"/>
          <w:lang w:bidi="en-GB"/>
        </w:rPr>
        <w:t>Ikke mærkning.</w:t>
      </w:r>
    </w:p>
    <w:p w:rsidR="00D25F12" w:rsidRPr="0085642D" w:rsidRDefault="00D25F12" w:rsidP="00D25F12">
      <w:pPr>
        <w:ind w:left="851"/>
        <w:rPr>
          <w:sz w:val="24"/>
          <w:szCs w:val="24"/>
          <w:lang w:eastAsia="fr-LU" w:bidi="en-GB"/>
        </w:rPr>
      </w:pPr>
      <w:r w:rsidRPr="0085642D">
        <w:rPr>
          <w:sz w:val="24"/>
          <w:szCs w:val="24"/>
          <w:lang w:bidi="en-GB"/>
        </w:rPr>
        <w:t>Der er ikke foretaget studier af virkningen på evnen til at føre motorkøretøj og betjene maskiner. Der er imidlertid rapporteret om svimmelhed under behandling med efavirenz, emtricitabin og tenofovirdisoproxil. Efavirenz kan også forårsage nedsat koncentrationsevne og/eller døsighed. Patienterne bør instrueres i at undgå potentielt farlige opgaver, såsom at føre motorkøretøj eller betjene maskiner, hvis de oplever disse symptomer.</w:t>
      </w:r>
    </w:p>
    <w:p w:rsidR="00D25F12" w:rsidRPr="0085642D" w:rsidRDefault="00D25F12" w:rsidP="00D25F12">
      <w:pPr>
        <w:tabs>
          <w:tab w:val="left" w:pos="851"/>
        </w:tabs>
        <w:ind w:left="851"/>
        <w:rPr>
          <w:sz w:val="24"/>
          <w:szCs w:val="24"/>
        </w:rPr>
      </w:pPr>
    </w:p>
    <w:p w:rsidR="00D25F12" w:rsidRPr="0085642D" w:rsidRDefault="00D25F12" w:rsidP="00D25F12">
      <w:pPr>
        <w:tabs>
          <w:tab w:val="left" w:pos="851"/>
        </w:tabs>
        <w:ind w:left="851" w:hanging="851"/>
        <w:rPr>
          <w:b/>
          <w:sz w:val="24"/>
          <w:szCs w:val="24"/>
        </w:rPr>
      </w:pPr>
      <w:r w:rsidRPr="0085642D">
        <w:rPr>
          <w:b/>
          <w:sz w:val="24"/>
          <w:szCs w:val="24"/>
        </w:rPr>
        <w:t>4.8</w:t>
      </w:r>
      <w:r w:rsidRPr="0085642D">
        <w:rPr>
          <w:b/>
          <w:sz w:val="24"/>
          <w:szCs w:val="24"/>
        </w:rPr>
        <w:tab/>
        <w:t>Bivirkninger</w:t>
      </w:r>
    </w:p>
    <w:p w:rsidR="00D25F12" w:rsidRPr="0085642D" w:rsidRDefault="00D25F12" w:rsidP="00D25F12">
      <w:pPr>
        <w:ind w:left="851"/>
        <w:rPr>
          <w:sz w:val="24"/>
          <w:szCs w:val="24"/>
          <w:u w:val="single"/>
          <w:lang w:bidi="en-GB"/>
        </w:rPr>
      </w:pPr>
    </w:p>
    <w:p w:rsidR="00D25F12" w:rsidRPr="0085642D" w:rsidRDefault="00D25F12" w:rsidP="00D25F12">
      <w:pPr>
        <w:ind w:left="851"/>
        <w:rPr>
          <w:sz w:val="24"/>
          <w:szCs w:val="24"/>
          <w:lang w:eastAsia="fr-LU" w:bidi="en-GB"/>
        </w:rPr>
      </w:pPr>
      <w:r w:rsidRPr="0085642D">
        <w:rPr>
          <w:sz w:val="24"/>
          <w:szCs w:val="24"/>
          <w:u w:val="single"/>
          <w:lang w:bidi="en-GB"/>
        </w:rPr>
        <w:t>Resumé af sikkerhedsprofilen</w:t>
      </w:r>
    </w:p>
    <w:p w:rsidR="00D25F12" w:rsidRPr="0085642D" w:rsidRDefault="00D25F12" w:rsidP="00D25F12">
      <w:pPr>
        <w:ind w:left="851"/>
        <w:rPr>
          <w:sz w:val="24"/>
          <w:szCs w:val="24"/>
          <w:lang w:bidi="en-GB"/>
        </w:rPr>
      </w:pPr>
      <w:r w:rsidRPr="0085642D">
        <w:rPr>
          <w:sz w:val="24"/>
          <w:szCs w:val="24"/>
          <w:lang w:bidi="en-GB"/>
        </w:rPr>
        <w:t>Kombinationen af efavirenz, emtricitabin og tenofovirdisoproxil er blevet undersøgt hos 460 patienter, enten som fast</w:t>
      </w:r>
      <w:r w:rsidRPr="0085642D">
        <w:rPr>
          <w:sz w:val="24"/>
          <w:szCs w:val="24"/>
          <w:lang w:bidi="en-GB"/>
        </w:rPr>
        <w:noBreakHyphen/>
      </w:r>
      <w:proofErr w:type="gramStart"/>
      <w:r w:rsidRPr="0085642D">
        <w:rPr>
          <w:sz w:val="24"/>
          <w:szCs w:val="24"/>
          <w:lang w:bidi="en-GB"/>
        </w:rPr>
        <w:t>dosis kombinationstabletten</w:t>
      </w:r>
      <w:proofErr w:type="gramEnd"/>
      <w:r w:rsidRPr="0085642D">
        <w:rPr>
          <w:sz w:val="24"/>
          <w:szCs w:val="24"/>
          <w:lang w:bidi="en-GB"/>
        </w:rPr>
        <w:t xml:space="preserve"> </w:t>
      </w:r>
      <w:r w:rsidRPr="0085642D">
        <w:rPr>
          <w:sz w:val="24"/>
          <w:szCs w:val="24"/>
        </w:rPr>
        <w:t>efavirenz/emtricitabin/teno</w:t>
      </w:r>
      <w:r w:rsidRPr="0085642D">
        <w:rPr>
          <w:sz w:val="24"/>
          <w:szCs w:val="24"/>
        </w:rPr>
        <w:softHyphen/>
        <w:t>fovirdisoproxil</w:t>
      </w:r>
      <w:r w:rsidRPr="0085642D">
        <w:rPr>
          <w:sz w:val="24"/>
          <w:szCs w:val="24"/>
          <w:lang w:bidi="en-GB"/>
        </w:rPr>
        <w:t xml:space="preserve"> (studie AI266073) eller som præparater indeholdende de aktive stoffer (studie GS</w:t>
      </w:r>
      <w:r w:rsidRPr="0085642D">
        <w:rPr>
          <w:sz w:val="24"/>
          <w:szCs w:val="24"/>
          <w:lang w:bidi="en-GB"/>
        </w:rPr>
        <w:noBreakHyphen/>
        <w:t>01</w:t>
      </w:r>
      <w:r w:rsidRPr="0085642D">
        <w:rPr>
          <w:sz w:val="24"/>
          <w:szCs w:val="24"/>
          <w:lang w:bidi="en-GB"/>
        </w:rPr>
        <w:noBreakHyphen/>
        <w:t xml:space="preserve">934). Bivirkningerne var generelt sammenlignelige med bivirkningerne fra tidligere studier af de individuelle komponenter. De hyppigst indberettede bivirkninger, som blev anset for at have en mulig eller sandsynlig forbindelse til </w:t>
      </w:r>
      <w:r w:rsidRPr="0085642D">
        <w:rPr>
          <w:sz w:val="24"/>
          <w:szCs w:val="24"/>
        </w:rPr>
        <w:t>efavirenz/emtricitabin/teno</w:t>
      </w:r>
      <w:r>
        <w:rPr>
          <w:sz w:val="24"/>
          <w:szCs w:val="24"/>
        </w:rPr>
        <w:softHyphen/>
      </w:r>
      <w:r w:rsidRPr="0085642D">
        <w:rPr>
          <w:sz w:val="24"/>
          <w:szCs w:val="24"/>
        </w:rPr>
        <w:t>fovirdisoproxil</w:t>
      </w:r>
      <w:r w:rsidRPr="0085642D">
        <w:rPr>
          <w:sz w:val="24"/>
          <w:szCs w:val="24"/>
          <w:lang w:bidi="en-GB"/>
        </w:rPr>
        <w:t>, hos patienter, der blev behandlet i op til 48 uger i studie AI266073, var psykiske forstyrrelser (16 %), lidelser i nervesystemet (13 %) og gastrointestinale forstyrrelser (7 %).</w:t>
      </w:r>
    </w:p>
    <w:p w:rsidR="00D25F12" w:rsidRPr="0085642D" w:rsidRDefault="00D25F12" w:rsidP="00D25F12">
      <w:pPr>
        <w:ind w:left="851"/>
        <w:rPr>
          <w:sz w:val="24"/>
          <w:szCs w:val="24"/>
          <w:lang w:bidi="en-GB"/>
        </w:rPr>
      </w:pPr>
    </w:p>
    <w:p w:rsidR="00D25F12" w:rsidRPr="0085642D" w:rsidRDefault="00D25F12" w:rsidP="00D25F12">
      <w:pPr>
        <w:ind w:left="851"/>
        <w:rPr>
          <w:sz w:val="24"/>
          <w:szCs w:val="24"/>
          <w:lang w:bidi="en-GB"/>
        </w:rPr>
      </w:pPr>
      <w:r w:rsidRPr="0085642D">
        <w:rPr>
          <w:sz w:val="24"/>
          <w:szCs w:val="24"/>
          <w:lang w:bidi="en-GB"/>
        </w:rPr>
        <w:lastRenderedPageBreak/>
        <w:t>Svære hudreaktioner, såsom Stevens</w:t>
      </w:r>
      <w:r w:rsidRPr="0085642D">
        <w:rPr>
          <w:sz w:val="24"/>
          <w:szCs w:val="24"/>
          <w:lang w:bidi="en-GB"/>
        </w:rPr>
        <w:noBreakHyphen/>
        <w:t>Johnsons syndrom og erythema multiforme, neuropsykiatriske bivirkninger (herunder svær depression, selvmord, psykoselignende opførsel, kramper), svær leverpåvirkning, pancreatitis og laktatacidose, er rapporteret (og nogle af disse tilfælde var letale).</w:t>
      </w:r>
    </w:p>
    <w:p w:rsidR="00D25F12" w:rsidRPr="0085642D" w:rsidRDefault="00D25F12" w:rsidP="00D25F12">
      <w:pPr>
        <w:ind w:left="851"/>
        <w:rPr>
          <w:sz w:val="24"/>
          <w:szCs w:val="24"/>
          <w:lang w:bidi="en-GB"/>
        </w:rPr>
      </w:pPr>
    </w:p>
    <w:p w:rsidR="00D25F12" w:rsidRPr="0085642D" w:rsidRDefault="00D25F12" w:rsidP="00D25F12">
      <w:pPr>
        <w:ind w:left="851"/>
        <w:rPr>
          <w:sz w:val="24"/>
          <w:szCs w:val="24"/>
          <w:lang w:bidi="en-GB"/>
        </w:rPr>
      </w:pPr>
      <w:r w:rsidRPr="0085642D">
        <w:rPr>
          <w:sz w:val="24"/>
          <w:szCs w:val="24"/>
          <w:lang w:bidi="en-GB"/>
        </w:rPr>
        <w:t>Der er i sjældne tilfælde rapporteret nedsat nyrefunktion, nyresvigt og ikke almindeligt forekommende tilfælde af proksimal renal tubulopati (herunder Fanconis syndrom), som nogle gange kan medføre knogleabnormiteter (i sjældne tilfælde medvirkende årsag til frakturer). Nyrefunktionen bør monitoreres hos patienter, som får Efavirenz/Emtricitabine/Tenofovir disoproxil "Glenmark" (se pkt. 4.4).</w:t>
      </w:r>
    </w:p>
    <w:p w:rsidR="00D25F12" w:rsidRPr="0085642D" w:rsidRDefault="00D25F12" w:rsidP="00D25F12">
      <w:pPr>
        <w:ind w:left="851"/>
        <w:rPr>
          <w:sz w:val="24"/>
          <w:szCs w:val="24"/>
          <w:lang w:bidi="en-GB"/>
        </w:rPr>
      </w:pPr>
    </w:p>
    <w:p w:rsidR="00D25F12" w:rsidRPr="0085642D" w:rsidRDefault="00D25F12" w:rsidP="00D25F12">
      <w:pPr>
        <w:ind w:left="851"/>
        <w:rPr>
          <w:sz w:val="24"/>
          <w:szCs w:val="24"/>
          <w:lang w:bidi="en-GB"/>
        </w:rPr>
      </w:pPr>
      <w:r w:rsidRPr="0085642D">
        <w:rPr>
          <w:sz w:val="24"/>
          <w:szCs w:val="24"/>
          <w:lang w:bidi="en-GB"/>
        </w:rPr>
        <w:t>Seponering af Efavirenz/Emtricitabine/Tenofovir disoproxil "Glenmark" hos patienter, der har både hiv og HBV, kan være forbundet med svær, akut forværring af hepatitis (se pkt. 4.4).</w:t>
      </w:r>
    </w:p>
    <w:p w:rsidR="00D25F12" w:rsidRPr="0085642D" w:rsidRDefault="00D25F12" w:rsidP="00D25F12">
      <w:pPr>
        <w:ind w:left="851"/>
        <w:rPr>
          <w:sz w:val="24"/>
          <w:szCs w:val="24"/>
          <w:lang w:bidi="en-GB"/>
        </w:rPr>
      </w:pPr>
    </w:p>
    <w:p w:rsidR="00D25F12" w:rsidRPr="0085642D" w:rsidRDefault="00D25F12" w:rsidP="00D25F12">
      <w:pPr>
        <w:ind w:left="851"/>
        <w:rPr>
          <w:sz w:val="24"/>
          <w:szCs w:val="24"/>
          <w:lang w:bidi="en-GB"/>
        </w:rPr>
      </w:pPr>
      <w:r w:rsidRPr="0085642D">
        <w:rPr>
          <w:sz w:val="24"/>
          <w:szCs w:val="24"/>
          <w:lang w:bidi="en-GB"/>
        </w:rPr>
        <w:t>Administration af Efavirenz/Emtricitabine/Tenofovir disoproxil "Glenmark" sammen med mad kan øge efavirenz</w:t>
      </w:r>
      <w:r w:rsidRPr="0085642D">
        <w:rPr>
          <w:sz w:val="24"/>
          <w:szCs w:val="24"/>
          <w:lang w:bidi="en-GB"/>
        </w:rPr>
        <w:noBreakHyphen/>
        <w:t>eksponeringen og kan medføre en højere bivirkningsfrekvens (se pkt. 4.4 og 5.2).</w:t>
      </w:r>
    </w:p>
    <w:p w:rsidR="00D25F12" w:rsidRPr="0085642D" w:rsidRDefault="00D25F12" w:rsidP="00D25F12">
      <w:pPr>
        <w:ind w:left="851"/>
        <w:rPr>
          <w:sz w:val="24"/>
          <w:szCs w:val="24"/>
          <w:lang w:bidi="en-GB"/>
        </w:rPr>
      </w:pPr>
    </w:p>
    <w:p w:rsidR="00D25F12" w:rsidRPr="0085642D" w:rsidRDefault="00D25F12" w:rsidP="00174313">
      <w:pPr>
        <w:keepNext/>
        <w:ind w:left="851"/>
        <w:rPr>
          <w:sz w:val="24"/>
          <w:szCs w:val="24"/>
          <w:lang w:bidi="en-GB"/>
        </w:rPr>
      </w:pPr>
      <w:r w:rsidRPr="0085642D">
        <w:rPr>
          <w:sz w:val="24"/>
          <w:szCs w:val="24"/>
          <w:u w:val="single"/>
          <w:lang w:bidi="en-GB"/>
        </w:rPr>
        <w:t>Bivirkninger i tabelform</w:t>
      </w:r>
    </w:p>
    <w:p w:rsidR="00D25F12" w:rsidRPr="0085642D" w:rsidRDefault="00D25F12" w:rsidP="00D25F12">
      <w:pPr>
        <w:ind w:left="851"/>
        <w:rPr>
          <w:sz w:val="24"/>
          <w:szCs w:val="24"/>
          <w:lang w:bidi="en-GB"/>
        </w:rPr>
      </w:pPr>
      <w:r w:rsidRPr="0085642D">
        <w:rPr>
          <w:sz w:val="24"/>
          <w:szCs w:val="24"/>
          <w:lang w:bidi="en-GB"/>
        </w:rPr>
        <w:t xml:space="preserve">I tabel 2 nedenfor ses bivirkningerne fra kliniske studier samt erfaring efter markedsføringen med </w:t>
      </w:r>
      <w:r w:rsidRPr="0085642D">
        <w:rPr>
          <w:sz w:val="24"/>
          <w:szCs w:val="24"/>
        </w:rPr>
        <w:t>efavirenz/emtricitabin/tenofovirdisoproxil</w:t>
      </w:r>
      <w:r w:rsidRPr="0085642D">
        <w:rPr>
          <w:sz w:val="24"/>
          <w:szCs w:val="24"/>
          <w:lang w:bidi="en-GB"/>
        </w:rPr>
        <w:t xml:space="preserve"> og de aktive stoffer i Efavirenz/Emtricitabine/Tenofovir disoproxil "Glenmark" inddelt i systemorganklasse,</w:t>
      </w:r>
      <w:r>
        <w:rPr>
          <w:sz w:val="24"/>
          <w:szCs w:val="24"/>
          <w:lang w:bidi="en-GB"/>
        </w:rPr>
        <w:t xml:space="preserve"> </w:t>
      </w:r>
      <w:r w:rsidRPr="0085642D">
        <w:rPr>
          <w:sz w:val="24"/>
          <w:szCs w:val="24"/>
          <w:lang w:bidi="en-GB"/>
        </w:rPr>
        <w:t>frekvens og Efavirenz/Emtricitabine/Tenofovir disoproxil "Glenmark"</w:t>
      </w:r>
      <w:r w:rsidRPr="0085642D">
        <w:rPr>
          <w:sz w:val="24"/>
          <w:szCs w:val="24"/>
          <w:lang w:bidi="en-GB"/>
        </w:rPr>
        <w:noBreakHyphen/>
        <w:t>komponent(er), som bivirkningerne kan tilskrives. Inden for hver enkelt frekvensgruppe er bivirkningerne opstillet efter, hvor alvorlige de er. De alvorligste bivirkninger er anført først. Frekvens er defineret som meget almindelig (≥ 1/10), almindelig (≥ 1/100 til &lt; 1/10), ikke almindelig (≥ 1/1.000 til &lt; 1/100) eller sjælden (≥ 1/10.000 til &lt; 1/1.000).</w:t>
      </w:r>
    </w:p>
    <w:p w:rsidR="00D25F12" w:rsidRPr="0085642D" w:rsidRDefault="00D25F12" w:rsidP="00D25F12">
      <w:pPr>
        <w:ind w:left="851"/>
        <w:rPr>
          <w:sz w:val="24"/>
          <w:szCs w:val="24"/>
          <w:lang w:bidi="en-GB"/>
        </w:rPr>
      </w:pPr>
    </w:p>
    <w:p w:rsidR="00D25F12" w:rsidRPr="0085642D" w:rsidRDefault="00D25F12" w:rsidP="00D25F12">
      <w:pPr>
        <w:ind w:left="851"/>
        <w:rPr>
          <w:sz w:val="24"/>
          <w:szCs w:val="24"/>
          <w:lang w:bidi="en-GB"/>
        </w:rPr>
      </w:pPr>
      <w:r w:rsidRPr="0085642D">
        <w:rPr>
          <w:i/>
          <w:sz w:val="24"/>
          <w:szCs w:val="24"/>
          <w:lang w:bidi="en-GB"/>
        </w:rPr>
        <w:t xml:space="preserve">Bivirkninger som er forbundet med anvendelse af </w:t>
      </w:r>
      <w:r w:rsidRPr="0085642D">
        <w:rPr>
          <w:i/>
          <w:sz w:val="24"/>
          <w:szCs w:val="24"/>
        </w:rPr>
        <w:t>efavirenz/emtricitabin/tenofovirdisoproxil</w:t>
      </w:r>
      <w:r w:rsidRPr="0085642D">
        <w:rPr>
          <w:i/>
          <w:sz w:val="24"/>
          <w:szCs w:val="24"/>
          <w:lang w:bidi="en-GB"/>
        </w:rPr>
        <w:t xml:space="preserve">: </w:t>
      </w:r>
      <w:r w:rsidRPr="0085642D">
        <w:rPr>
          <w:sz w:val="24"/>
          <w:szCs w:val="24"/>
          <w:lang w:bidi="en-GB"/>
        </w:rPr>
        <w:t xml:space="preserve">Bivirkninger rapporteret i studie AI266073 (over 48 uger, n=203), som opstod under behandlingen, og som blev anset for muligvis eller sandsynligvis at være relateret til </w:t>
      </w:r>
      <w:r w:rsidRPr="0085642D">
        <w:rPr>
          <w:sz w:val="24"/>
          <w:szCs w:val="24"/>
        </w:rPr>
        <w:t>efavirenz/emtricitabin/tenofovirdisoproxil</w:t>
      </w:r>
      <w:r w:rsidRPr="0085642D">
        <w:rPr>
          <w:sz w:val="24"/>
          <w:szCs w:val="24"/>
          <w:lang w:bidi="en-GB"/>
        </w:rPr>
        <w:t xml:space="preserve">, og som ikke er blevet relateret til et af de aktive stoffer i </w:t>
      </w:r>
      <w:r w:rsidRPr="0085642D">
        <w:rPr>
          <w:sz w:val="24"/>
          <w:szCs w:val="24"/>
        </w:rPr>
        <w:t>efavirenz/emtricitabin/tenofovirdisoproxil</w:t>
      </w:r>
      <w:r w:rsidRPr="0085642D">
        <w:rPr>
          <w:sz w:val="24"/>
          <w:szCs w:val="24"/>
          <w:lang w:bidi="en-GB"/>
        </w:rPr>
        <w:t>, omfatter:</w:t>
      </w:r>
    </w:p>
    <w:p w:rsidR="00D25F12" w:rsidRPr="0085642D" w:rsidRDefault="00D25F12" w:rsidP="00D25F12">
      <w:pPr>
        <w:rPr>
          <w:sz w:val="24"/>
          <w:szCs w:val="24"/>
          <w:lang w:bidi="en-GB"/>
        </w:rPr>
      </w:pPr>
    </w:p>
    <w:p w:rsidR="00D25F12" w:rsidRPr="0085642D" w:rsidRDefault="00D25F12" w:rsidP="00D25F12">
      <w:pPr>
        <w:ind w:left="851"/>
        <w:rPr>
          <w:sz w:val="24"/>
          <w:szCs w:val="24"/>
          <w:lang w:bidi="en-GB"/>
        </w:rPr>
      </w:pPr>
      <w:r w:rsidRPr="0085642D">
        <w:rPr>
          <w:sz w:val="24"/>
          <w:szCs w:val="24"/>
          <w:lang w:bidi="en-GB"/>
        </w:rPr>
        <w:t>Almindelig:</w:t>
      </w:r>
      <w:r w:rsidRPr="0085642D">
        <w:rPr>
          <w:sz w:val="24"/>
          <w:szCs w:val="24"/>
          <w:lang w:bidi="en-GB"/>
        </w:rPr>
        <w:tab/>
        <w:t>- anoreksi</w:t>
      </w:r>
    </w:p>
    <w:p w:rsidR="00D25F12" w:rsidRPr="0085642D" w:rsidRDefault="00D25F12" w:rsidP="00D25F12">
      <w:pPr>
        <w:ind w:left="851"/>
        <w:rPr>
          <w:sz w:val="24"/>
          <w:szCs w:val="24"/>
          <w:lang w:bidi="en-GB"/>
        </w:rPr>
      </w:pPr>
      <w:r w:rsidRPr="0085642D">
        <w:rPr>
          <w:sz w:val="24"/>
          <w:szCs w:val="24"/>
          <w:lang w:bidi="en-GB"/>
        </w:rPr>
        <w:t>Ikke almindelig:</w:t>
      </w:r>
      <w:r w:rsidRPr="0085642D">
        <w:rPr>
          <w:sz w:val="24"/>
          <w:szCs w:val="24"/>
          <w:lang w:bidi="en-GB"/>
        </w:rPr>
        <w:tab/>
        <w:t>- mundtørhed</w:t>
      </w:r>
    </w:p>
    <w:p w:rsidR="00D25F12" w:rsidRPr="0085642D" w:rsidRDefault="00D25F12" w:rsidP="00D25F12">
      <w:pPr>
        <w:ind w:left="2155" w:firstLine="453"/>
        <w:rPr>
          <w:sz w:val="24"/>
          <w:szCs w:val="24"/>
          <w:lang w:bidi="en-GB"/>
        </w:rPr>
      </w:pPr>
      <w:r w:rsidRPr="0085642D">
        <w:rPr>
          <w:sz w:val="24"/>
          <w:szCs w:val="24"/>
          <w:lang w:bidi="en-GB"/>
        </w:rPr>
        <w:t>- usammenhængende tale</w:t>
      </w:r>
    </w:p>
    <w:p w:rsidR="00D25F12" w:rsidRPr="0085642D" w:rsidRDefault="00D25F12" w:rsidP="00D25F12">
      <w:pPr>
        <w:ind w:left="1702" w:firstLine="906"/>
        <w:rPr>
          <w:sz w:val="24"/>
          <w:szCs w:val="24"/>
          <w:lang w:bidi="en-GB"/>
        </w:rPr>
      </w:pPr>
      <w:r w:rsidRPr="0085642D">
        <w:rPr>
          <w:sz w:val="24"/>
          <w:szCs w:val="24"/>
          <w:lang w:bidi="en-GB"/>
        </w:rPr>
        <w:t>- øget appetit</w:t>
      </w:r>
    </w:p>
    <w:p w:rsidR="00D25F12" w:rsidRPr="0085642D" w:rsidRDefault="00D25F12" w:rsidP="00D25F12">
      <w:pPr>
        <w:ind w:left="2155" w:firstLine="453"/>
        <w:rPr>
          <w:sz w:val="24"/>
          <w:szCs w:val="24"/>
          <w:lang w:bidi="en-GB"/>
        </w:rPr>
      </w:pPr>
      <w:r w:rsidRPr="0085642D">
        <w:rPr>
          <w:sz w:val="24"/>
          <w:szCs w:val="24"/>
          <w:lang w:bidi="en-GB"/>
        </w:rPr>
        <w:t>- nedsat libido</w:t>
      </w:r>
    </w:p>
    <w:p w:rsidR="00D25F12" w:rsidRPr="0085642D" w:rsidRDefault="00D25F12" w:rsidP="00D25F12">
      <w:pPr>
        <w:ind w:left="1702" w:firstLine="906"/>
        <w:rPr>
          <w:sz w:val="24"/>
          <w:szCs w:val="24"/>
          <w:lang w:bidi="en-GB"/>
        </w:rPr>
      </w:pPr>
      <w:r w:rsidRPr="0085642D">
        <w:rPr>
          <w:sz w:val="24"/>
          <w:szCs w:val="24"/>
          <w:lang w:bidi="en-GB"/>
        </w:rPr>
        <w:t>- myalgi</w:t>
      </w:r>
    </w:p>
    <w:p w:rsidR="00D25F12" w:rsidRPr="0085642D" w:rsidRDefault="00D25F12" w:rsidP="00D25F12">
      <w:pPr>
        <w:rPr>
          <w:sz w:val="24"/>
          <w:szCs w:val="24"/>
          <w:lang w:bidi="en-GB"/>
        </w:rPr>
      </w:pPr>
    </w:p>
    <w:p w:rsidR="00FE0330" w:rsidRDefault="00FE0330">
      <w:pPr>
        <w:rPr>
          <w:b/>
          <w:bCs/>
          <w:sz w:val="24"/>
          <w:szCs w:val="24"/>
          <w:lang w:bidi="en-GB"/>
        </w:rPr>
      </w:pPr>
      <w:r>
        <w:rPr>
          <w:b/>
          <w:bCs/>
          <w:sz w:val="24"/>
          <w:szCs w:val="24"/>
          <w:lang w:bidi="en-GB"/>
        </w:rPr>
        <w:br w:type="page"/>
      </w:r>
    </w:p>
    <w:p w:rsidR="00D25F12" w:rsidRPr="0085642D" w:rsidRDefault="00D25F12" w:rsidP="00D25F12">
      <w:pPr>
        <w:rPr>
          <w:b/>
          <w:bCs/>
          <w:sz w:val="24"/>
          <w:szCs w:val="24"/>
          <w:lang w:bidi="en-GB"/>
        </w:rPr>
      </w:pPr>
      <w:r w:rsidRPr="0085642D">
        <w:rPr>
          <w:b/>
          <w:bCs/>
          <w:sz w:val="24"/>
          <w:szCs w:val="24"/>
          <w:lang w:bidi="en-GB"/>
        </w:rPr>
        <w:lastRenderedPageBreak/>
        <w:t xml:space="preserve">Tabel 2: Bivirkninger som er forbundet med </w:t>
      </w:r>
      <w:r w:rsidRPr="0085642D">
        <w:rPr>
          <w:b/>
          <w:sz w:val="24"/>
          <w:szCs w:val="24"/>
          <w:lang w:bidi="en-GB"/>
        </w:rPr>
        <w:t>Efavirenz/Emtricitabine/Tenofovir disoproxil "Glenmark"</w:t>
      </w:r>
      <w:r w:rsidRPr="0085642D">
        <w:rPr>
          <w:b/>
          <w:bCs/>
          <w:sz w:val="24"/>
          <w:szCs w:val="24"/>
          <w:lang w:bidi="en-GB"/>
        </w:rPr>
        <w:t xml:space="preserve">, opstillet efter den </w:t>
      </w:r>
      <w:r w:rsidRPr="0085642D">
        <w:rPr>
          <w:b/>
          <w:sz w:val="24"/>
          <w:szCs w:val="24"/>
          <w:lang w:bidi="en-GB"/>
        </w:rPr>
        <w:t>Efavirenz/Emtricitabine/Tenofovir disoproxil "Glenmark"</w:t>
      </w:r>
      <w:r w:rsidRPr="0085642D">
        <w:rPr>
          <w:b/>
          <w:sz w:val="24"/>
          <w:szCs w:val="24"/>
          <w:lang w:bidi="en-GB"/>
        </w:rPr>
        <w:noBreakHyphen/>
      </w:r>
      <w:r w:rsidRPr="0085642D">
        <w:rPr>
          <w:b/>
          <w:bCs/>
          <w:sz w:val="24"/>
          <w:szCs w:val="24"/>
          <w:lang w:bidi="en-GB"/>
        </w:rPr>
        <w:t>komponent, som bivirkningen kan tilskrives.</w:t>
      </w:r>
    </w:p>
    <w:p w:rsidR="00D25F12" w:rsidRPr="0085642D" w:rsidRDefault="00D25F12" w:rsidP="00D25F12">
      <w:pP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95"/>
        <w:gridCol w:w="2309"/>
        <w:gridCol w:w="2348"/>
        <w:gridCol w:w="2676"/>
      </w:tblGrid>
      <w:tr w:rsidR="00D25F12" w:rsidRPr="0085642D" w:rsidTr="00243EA6">
        <w:trPr>
          <w:trHeight w:val="230"/>
        </w:trPr>
        <w:tc>
          <w:tcPr>
            <w:tcW w:w="1219" w:type="pct"/>
            <w:vMerge w:val="restart"/>
            <w:tcBorders>
              <w:top w:val="single" w:sz="4" w:space="0" w:color="000000"/>
              <w:left w:val="single" w:sz="4" w:space="0" w:color="000000"/>
              <w:bottom w:val="single" w:sz="4" w:space="0" w:color="000000"/>
              <w:right w:val="single" w:sz="4" w:space="0" w:color="000000"/>
            </w:tcBorders>
            <w:shd w:val="clear" w:color="auto" w:fill="B3B3B3"/>
          </w:tcPr>
          <w:p w:rsidR="00D25F12" w:rsidRPr="0085642D" w:rsidRDefault="00D25F12" w:rsidP="00243EA6">
            <w:pPr>
              <w:rPr>
                <w:sz w:val="24"/>
                <w:szCs w:val="24"/>
                <w:lang w:bidi="en-GB"/>
              </w:rPr>
            </w:pPr>
          </w:p>
        </w:tc>
        <w:tc>
          <w:tcPr>
            <w:tcW w:w="3781" w:type="pct"/>
            <w:gridSpan w:val="3"/>
            <w:tcBorders>
              <w:top w:val="single" w:sz="4" w:space="0" w:color="000000"/>
              <w:left w:val="single" w:sz="4" w:space="0" w:color="000000"/>
              <w:bottom w:val="single" w:sz="4" w:space="0" w:color="000000"/>
              <w:right w:val="single" w:sz="4" w:space="0" w:color="000000"/>
            </w:tcBorders>
            <w:shd w:val="clear" w:color="auto" w:fill="B3B3B3"/>
            <w:hideMark/>
          </w:tcPr>
          <w:p w:rsidR="00D25F12" w:rsidRPr="0085642D" w:rsidRDefault="00D25F12" w:rsidP="00243EA6">
            <w:pPr>
              <w:jc w:val="center"/>
              <w:rPr>
                <w:b/>
                <w:sz w:val="24"/>
                <w:szCs w:val="24"/>
                <w:lang w:bidi="en-GB"/>
              </w:rPr>
            </w:pPr>
            <w:r w:rsidRPr="0085642D">
              <w:rPr>
                <w:b/>
                <w:sz w:val="24"/>
                <w:szCs w:val="24"/>
                <w:lang w:bidi="en-GB"/>
              </w:rPr>
              <w:t>Efavirenz/Emtricitabine/Tenofovir disoproxil "Glenmark"</w:t>
            </w:r>
          </w:p>
        </w:tc>
      </w:tr>
      <w:tr w:rsidR="00D25F12" w:rsidRPr="0085642D" w:rsidTr="00243EA6">
        <w:trPr>
          <w:trHeight w:val="230"/>
        </w:trPr>
        <w:tc>
          <w:tcPr>
            <w:tcW w:w="1219" w:type="pct"/>
            <w:vMerge/>
            <w:tcBorders>
              <w:top w:val="single" w:sz="4" w:space="0" w:color="000000"/>
              <w:left w:val="single" w:sz="4" w:space="0" w:color="000000"/>
              <w:bottom w:val="single" w:sz="4" w:space="0" w:color="000000"/>
              <w:right w:val="single" w:sz="4" w:space="0" w:color="000000"/>
            </w:tcBorders>
            <w:vAlign w:val="center"/>
            <w:hideMark/>
          </w:tcPr>
          <w:p w:rsidR="00D25F12" w:rsidRPr="0085642D" w:rsidRDefault="00D25F12" w:rsidP="00243EA6">
            <w:pPr>
              <w:rPr>
                <w:sz w:val="24"/>
                <w:szCs w:val="24"/>
                <w:lang w:eastAsia="fr-LU" w:bidi="en-GB"/>
              </w:rPr>
            </w:pPr>
          </w:p>
        </w:tc>
        <w:tc>
          <w:tcPr>
            <w:tcW w:w="1119" w:type="pct"/>
            <w:tcBorders>
              <w:top w:val="single" w:sz="4" w:space="0" w:color="000000"/>
              <w:left w:val="single" w:sz="4" w:space="0" w:color="000000"/>
              <w:bottom w:val="single" w:sz="4" w:space="0" w:color="000000"/>
              <w:right w:val="single" w:sz="4" w:space="0" w:color="000000"/>
            </w:tcBorders>
            <w:shd w:val="clear" w:color="auto" w:fill="B3B3B3"/>
            <w:hideMark/>
          </w:tcPr>
          <w:p w:rsidR="00D25F12" w:rsidRPr="0085642D" w:rsidRDefault="00D25F12" w:rsidP="00243EA6">
            <w:pPr>
              <w:rPr>
                <w:b/>
                <w:sz w:val="24"/>
                <w:szCs w:val="24"/>
                <w:lang w:bidi="en-GB"/>
              </w:rPr>
            </w:pPr>
            <w:r w:rsidRPr="0085642D">
              <w:rPr>
                <w:b/>
                <w:sz w:val="24"/>
                <w:szCs w:val="24"/>
                <w:lang w:bidi="en-GB"/>
              </w:rPr>
              <w:t>Efavirenz</w:t>
            </w:r>
          </w:p>
        </w:tc>
        <w:tc>
          <w:tcPr>
            <w:tcW w:w="1246" w:type="pct"/>
            <w:tcBorders>
              <w:top w:val="single" w:sz="4" w:space="0" w:color="000000"/>
              <w:left w:val="single" w:sz="4" w:space="0" w:color="000000"/>
              <w:bottom w:val="single" w:sz="4" w:space="0" w:color="000000"/>
              <w:right w:val="single" w:sz="4" w:space="0" w:color="000000"/>
            </w:tcBorders>
            <w:shd w:val="clear" w:color="auto" w:fill="B3B3B3"/>
            <w:hideMark/>
          </w:tcPr>
          <w:p w:rsidR="00D25F12" w:rsidRPr="0085642D" w:rsidRDefault="00D25F12" w:rsidP="00243EA6">
            <w:pPr>
              <w:jc w:val="center"/>
              <w:rPr>
                <w:b/>
                <w:sz w:val="24"/>
                <w:szCs w:val="24"/>
                <w:lang w:bidi="en-GB"/>
              </w:rPr>
            </w:pPr>
            <w:r w:rsidRPr="0085642D">
              <w:rPr>
                <w:b/>
                <w:sz w:val="24"/>
                <w:szCs w:val="24"/>
                <w:lang w:bidi="en-GB"/>
              </w:rPr>
              <w:t>Emtricitabin</w:t>
            </w:r>
          </w:p>
        </w:tc>
        <w:tc>
          <w:tcPr>
            <w:tcW w:w="1416" w:type="pct"/>
            <w:tcBorders>
              <w:top w:val="single" w:sz="4" w:space="0" w:color="000000"/>
              <w:left w:val="single" w:sz="4" w:space="0" w:color="000000"/>
              <w:bottom w:val="single" w:sz="4" w:space="0" w:color="000000"/>
              <w:right w:val="single" w:sz="4" w:space="0" w:color="000000"/>
            </w:tcBorders>
            <w:shd w:val="clear" w:color="auto" w:fill="B3B3B3"/>
            <w:hideMark/>
          </w:tcPr>
          <w:p w:rsidR="00D25F12" w:rsidRPr="0085642D" w:rsidRDefault="00D25F12" w:rsidP="00243EA6">
            <w:pPr>
              <w:jc w:val="center"/>
              <w:rPr>
                <w:b/>
                <w:sz w:val="24"/>
                <w:szCs w:val="24"/>
                <w:lang w:bidi="en-GB"/>
              </w:rPr>
            </w:pPr>
            <w:r w:rsidRPr="0085642D">
              <w:rPr>
                <w:b/>
                <w:sz w:val="24"/>
                <w:szCs w:val="24"/>
                <w:lang w:bidi="en-GB"/>
              </w:rPr>
              <w:t>Tenofovirdisoproxil</w:t>
            </w:r>
          </w:p>
        </w:tc>
      </w:tr>
      <w:tr w:rsidR="00D25F12" w:rsidRPr="0085642D" w:rsidTr="00243EA6">
        <w:trPr>
          <w:trHeight w:val="23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E6E6E6"/>
            <w:hideMark/>
          </w:tcPr>
          <w:p w:rsidR="00D25F12" w:rsidRPr="0085642D" w:rsidRDefault="00D25F12" w:rsidP="00243EA6">
            <w:pPr>
              <w:rPr>
                <w:i/>
                <w:sz w:val="24"/>
                <w:szCs w:val="24"/>
                <w:lang w:bidi="en-GB"/>
              </w:rPr>
            </w:pPr>
            <w:r w:rsidRPr="0085642D">
              <w:rPr>
                <w:i/>
                <w:sz w:val="24"/>
                <w:szCs w:val="24"/>
                <w:lang w:bidi="en-GB"/>
              </w:rPr>
              <w:t>Blod og lymfesystem:</w:t>
            </w:r>
          </w:p>
        </w:tc>
      </w:tr>
      <w:tr w:rsidR="00D25F12" w:rsidRPr="0085642D" w:rsidTr="00243EA6">
        <w:trPr>
          <w:trHeight w:val="230"/>
        </w:trPr>
        <w:tc>
          <w:tcPr>
            <w:tcW w:w="121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Almindelig</w:t>
            </w:r>
          </w:p>
        </w:tc>
        <w:tc>
          <w:tcPr>
            <w:tcW w:w="1119" w:type="pc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rPr>
                <w:sz w:val="24"/>
                <w:szCs w:val="24"/>
                <w:lang w:bidi="en-GB"/>
              </w:rPr>
            </w:pPr>
          </w:p>
        </w:tc>
        <w:tc>
          <w:tcPr>
            <w:tcW w:w="1246"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Neutropeni</w:t>
            </w:r>
          </w:p>
        </w:tc>
        <w:tc>
          <w:tcPr>
            <w:tcW w:w="1416" w:type="pc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rPr>
                <w:sz w:val="24"/>
                <w:szCs w:val="24"/>
                <w:lang w:bidi="en-GB"/>
              </w:rPr>
            </w:pPr>
          </w:p>
        </w:tc>
      </w:tr>
      <w:tr w:rsidR="00D25F12" w:rsidRPr="0085642D" w:rsidTr="00243EA6">
        <w:trPr>
          <w:trHeight w:val="230"/>
        </w:trPr>
        <w:tc>
          <w:tcPr>
            <w:tcW w:w="121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Ikke almindelig</w:t>
            </w:r>
          </w:p>
        </w:tc>
        <w:tc>
          <w:tcPr>
            <w:tcW w:w="1119" w:type="pc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rPr>
                <w:sz w:val="24"/>
                <w:szCs w:val="24"/>
                <w:lang w:bidi="en-GB"/>
              </w:rPr>
            </w:pPr>
          </w:p>
        </w:tc>
        <w:tc>
          <w:tcPr>
            <w:tcW w:w="1246"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Anæmi</w:t>
            </w:r>
            <w:r w:rsidRPr="0085642D">
              <w:rPr>
                <w:sz w:val="24"/>
                <w:szCs w:val="24"/>
                <w:vertAlign w:val="superscript"/>
                <w:lang w:bidi="en-GB"/>
              </w:rPr>
              <w:t>1</w:t>
            </w:r>
          </w:p>
        </w:tc>
        <w:tc>
          <w:tcPr>
            <w:tcW w:w="1416" w:type="pc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rPr>
                <w:sz w:val="24"/>
                <w:szCs w:val="24"/>
                <w:lang w:bidi="en-GB"/>
              </w:rPr>
            </w:pPr>
          </w:p>
        </w:tc>
      </w:tr>
      <w:tr w:rsidR="00D25F12" w:rsidRPr="0085642D" w:rsidTr="00243EA6">
        <w:trPr>
          <w:trHeight w:val="23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E6E6E6"/>
            <w:hideMark/>
          </w:tcPr>
          <w:p w:rsidR="00D25F12" w:rsidRPr="0085642D" w:rsidRDefault="00D25F12" w:rsidP="00243EA6">
            <w:pPr>
              <w:rPr>
                <w:i/>
                <w:sz w:val="24"/>
                <w:szCs w:val="24"/>
                <w:lang w:bidi="en-GB"/>
              </w:rPr>
            </w:pPr>
            <w:r w:rsidRPr="0085642D">
              <w:rPr>
                <w:i/>
                <w:sz w:val="24"/>
                <w:szCs w:val="24"/>
                <w:lang w:bidi="en-GB"/>
              </w:rPr>
              <w:t>Immunsystemet:</w:t>
            </w:r>
          </w:p>
        </w:tc>
      </w:tr>
      <w:tr w:rsidR="00D25F12" w:rsidRPr="0085642D" w:rsidTr="00243EA6">
        <w:trPr>
          <w:trHeight w:val="253"/>
        </w:trPr>
        <w:tc>
          <w:tcPr>
            <w:tcW w:w="121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Almindelig</w:t>
            </w:r>
          </w:p>
        </w:tc>
        <w:tc>
          <w:tcPr>
            <w:tcW w:w="1119" w:type="pc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rPr>
                <w:sz w:val="24"/>
                <w:szCs w:val="24"/>
                <w:lang w:bidi="en-GB"/>
              </w:rPr>
            </w:pPr>
          </w:p>
        </w:tc>
        <w:tc>
          <w:tcPr>
            <w:tcW w:w="1246"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Allergisk reaktion</w:t>
            </w:r>
          </w:p>
        </w:tc>
        <w:tc>
          <w:tcPr>
            <w:tcW w:w="1416" w:type="pc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rPr>
                <w:sz w:val="24"/>
                <w:szCs w:val="24"/>
                <w:lang w:bidi="en-GB"/>
              </w:rPr>
            </w:pPr>
          </w:p>
        </w:tc>
      </w:tr>
      <w:tr w:rsidR="00D25F12" w:rsidRPr="0085642D" w:rsidTr="00243EA6">
        <w:trPr>
          <w:trHeight w:val="230"/>
        </w:trPr>
        <w:tc>
          <w:tcPr>
            <w:tcW w:w="121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Ikke almindelig</w:t>
            </w:r>
          </w:p>
        </w:tc>
        <w:tc>
          <w:tcPr>
            <w:tcW w:w="111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Overfølsomhed</w:t>
            </w:r>
          </w:p>
        </w:tc>
        <w:tc>
          <w:tcPr>
            <w:tcW w:w="1246" w:type="pc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rPr>
                <w:sz w:val="24"/>
                <w:szCs w:val="24"/>
                <w:lang w:bidi="en-GB"/>
              </w:rPr>
            </w:pPr>
          </w:p>
        </w:tc>
        <w:tc>
          <w:tcPr>
            <w:tcW w:w="1416" w:type="pc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rPr>
                <w:sz w:val="24"/>
                <w:szCs w:val="24"/>
                <w:lang w:bidi="en-GB"/>
              </w:rPr>
            </w:pPr>
          </w:p>
        </w:tc>
      </w:tr>
      <w:tr w:rsidR="00D25F12" w:rsidRPr="0085642D" w:rsidTr="00243EA6">
        <w:trPr>
          <w:trHeight w:val="23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E6E6E6"/>
            <w:hideMark/>
          </w:tcPr>
          <w:p w:rsidR="00D25F12" w:rsidRPr="0085642D" w:rsidRDefault="00D25F12" w:rsidP="00243EA6">
            <w:pPr>
              <w:rPr>
                <w:i/>
                <w:sz w:val="24"/>
                <w:szCs w:val="24"/>
                <w:lang w:bidi="en-GB"/>
              </w:rPr>
            </w:pPr>
            <w:r w:rsidRPr="0085642D">
              <w:rPr>
                <w:i/>
                <w:sz w:val="24"/>
                <w:szCs w:val="24"/>
                <w:lang w:bidi="en-GB"/>
              </w:rPr>
              <w:t>Metabolisme og ernæring:</w:t>
            </w:r>
          </w:p>
        </w:tc>
      </w:tr>
      <w:tr w:rsidR="00D25F12" w:rsidRPr="0085642D" w:rsidTr="00243EA6">
        <w:trPr>
          <w:trHeight w:val="230"/>
        </w:trPr>
        <w:tc>
          <w:tcPr>
            <w:tcW w:w="121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Meget almindelig</w:t>
            </w:r>
          </w:p>
        </w:tc>
        <w:tc>
          <w:tcPr>
            <w:tcW w:w="1119" w:type="pc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rPr>
                <w:sz w:val="24"/>
                <w:szCs w:val="24"/>
                <w:lang w:bidi="en-GB"/>
              </w:rPr>
            </w:pPr>
          </w:p>
        </w:tc>
        <w:tc>
          <w:tcPr>
            <w:tcW w:w="1246" w:type="pc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rPr>
                <w:sz w:val="24"/>
                <w:szCs w:val="24"/>
                <w:lang w:bidi="en-GB"/>
              </w:rPr>
            </w:pPr>
          </w:p>
        </w:tc>
        <w:tc>
          <w:tcPr>
            <w:tcW w:w="1416"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Hypofosfatæmi</w:t>
            </w:r>
            <w:r w:rsidRPr="0085642D">
              <w:rPr>
                <w:sz w:val="24"/>
                <w:szCs w:val="24"/>
                <w:vertAlign w:val="superscript"/>
                <w:lang w:bidi="en-GB"/>
              </w:rPr>
              <w:t>2</w:t>
            </w:r>
          </w:p>
        </w:tc>
      </w:tr>
      <w:tr w:rsidR="00D25F12" w:rsidRPr="0085642D" w:rsidTr="00243EA6">
        <w:trPr>
          <w:trHeight w:val="460"/>
        </w:trPr>
        <w:tc>
          <w:tcPr>
            <w:tcW w:w="121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Almindelig</w:t>
            </w:r>
          </w:p>
        </w:tc>
        <w:tc>
          <w:tcPr>
            <w:tcW w:w="111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Hypertriglyceridæmi</w:t>
            </w:r>
            <w:r w:rsidRPr="0085642D">
              <w:rPr>
                <w:sz w:val="24"/>
                <w:szCs w:val="24"/>
                <w:vertAlign w:val="superscript"/>
                <w:lang w:bidi="en-GB"/>
              </w:rPr>
              <w:t>3</w:t>
            </w:r>
          </w:p>
        </w:tc>
        <w:tc>
          <w:tcPr>
            <w:tcW w:w="1246"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Hyperglykæmi, hypertriglyceridæmi</w:t>
            </w:r>
          </w:p>
        </w:tc>
        <w:tc>
          <w:tcPr>
            <w:tcW w:w="1416" w:type="pc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rPr>
                <w:sz w:val="24"/>
                <w:szCs w:val="24"/>
                <w:lang w:bidi="en-GB"/>
              </w:rPr>
            </w:pPr>
          </w:p>
        </w:tc>
      </w:tr>
      <w:tr w:rsidR="00D25F12" w:rsidRPr="0085642D" w:rsidTr="00243EA6">
        <w:trPr>
          <w:trHeight w:val="230"/>
        </w:trPr>
        <w:tc>
          <w:tcPr>
            <w:tcW w:w="121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Ikke almindelig</w:t>
            </w:r>
          </w:p>
        </w:tc>
        <w:tc>
          <w:tcPr>
            <w:tcW w:w="111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Hyperkolesterolæmi</w:t>
            </w:r>
            <w:r w:rsidRPr="0085642D">
              <w:rPr>
                <w:sz w:val="24"/>
                <w:szCs w:val="24"/>
                <w:vertAlign w:val="superscript"/>
                <w:lang w:bidi="en-GB"/>
              </w:rPr>
              <w:t>3</w:t>
            </w:r>
          </w:p>
        </w:tc>
        <w:tc>
          <w:tcPr>
            <w:tcW w:w="1246" w:type="pc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rPr>
                <w:sz w:val="24"/>
                <w:szCs w:val="24"/>
                <w:lang w:bidi="en-GB"/>
              </w:rPr>
            </w:pPr>
          </w:p>
        </w:tc>
        <w:tc>
          <w:tcPr>
            <w:tcW w:w="1416"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Hypokaliæmi</w:t>
            </w:r>
            <w:r w:rsidRPr="0085642D">
              <w:rPr>
                <w:sz w:val="24"/>
                <w:szCs w:val="24"/>
                <w:vertAlign w:val="superscript"/>
                <w:lang w:bidi="en-GB"/>
              </w:rPr>
              <w:t>2</w:t>
            </w:r>
          </w:p>
        </w:tc>
      </w:tr>
      <w:tr w:rsidR="00D25F12" w:rsidRPr="0085642D" w:rsidTr="00243EA6">
        <w:trPr>
          <w:trHeight w:val="230"/>
        </w:trPr>
        <w:tc>
          <w:tcPr>
            <w:tcW w:w="121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Sjælden</w:t>
            </w:r>
          </w:p>
        </w:tc>
        <w:tc>
          <w:tcPr>
            <w:tcW w:w="1119" w:type="pc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rPr>
                <w:sz w:val="24"/>
                <w:szCs w:val="24"/>
                <w:lang w:bidi="en-GB"/>
              </w:rPr>
            </w:pPr>
          </w:p>
        </w:tc>
        <w:tc>
          <w:tcPr>
            <w:tcW w:w="1246" w:type="pc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rPr>
                <w:sz w:val="24"/>
                <w:szCs w:val="24"/>
                <w:lang w:bidi="en-GB"/>
              </w:rPr>
            </w:pPr>
          </w:p>
        </w:tc>
        <w:tc>
          <w:tcPr>
            <w:tcW w:w="1416"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Laktatacidose</w:t>
            </w:r>
          </w:p>
        </w:tc>
      </w:tr>
      <w:tr w:rsidR="00D25F12" w:rsidRPr="0085642D" w:rsidTr="00243EA6">
        <w:trPr>
          <w:trHeight w:val="23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E6E6E6"/>
            <w:hideMark/>
          </w:tcPr>
          <w:p w:rsidR="00D25F12" w:rsidRPr="0085642D" w:rsidRDefault="00D25F12" w:rsidP="00243EA6">
            <w:pPr>
              <w:rPr>
                <w:i/>
                <w:sz w:val="24"/>
                <w:szCs w:val="24"/>
                <w:lang w:bidi="en-GB"/>
              </w:rPr>
            </w:pPr>
            <w:r w:rsidRPr="0085642D">
              <w:rPr>
                <w:i/>
                <w:sz w:val="24"/>
                <w:szCs w:val="24"/>
                <w:lang w:bidi="en-GB"/>
              </w:rPr>
              <w:t>Psykiske forstyrrelser:</w:t>
            </w:r>
          </w:p>
        </w:tc>
      </w:tr>
      <w:tr w:rsidR="00D25F12" w:rsidRPr="0085642D" w:rsidTr="00243EA6">
        <w:trPr>
          <w:trHeight w:val="918"/>
        </w:trPr>
        <w:tc>
          <w:tcPr>
            <w:tcW w:w="121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Almindelig</w:t>
            </w:r>
          </w:p>
        </w:tc>
        <w:tc>
          <w:tcPr>
            <w:tcW w:w="111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Depression (svær hos 1,6 %)</w:t>
            </w:r>
            <w:r w:rsidRPr="0085642D">
              <w:rPr>
                <w:sz w:val="24"/>
                <w:szCs w:val="24"/>
                <w:vertAlign w:val="superscript"/>
                <w:lang w:bidi="en-GB"/>
              </w:rPr>
              <w:t>3</w:t>
            </w:r>
            <w:r w:rsidRPr="0085642D">
              <w:rPr>
                <w:sz w:val="24"/>
                <w:szCs w:val="24"/>
                <w:lang w:bidi="en-GB"/>
              </w:rPr>
              <w:t>, angst</w:t>
            </w:r>
            <w:r w:rsidRPr="0085642D">
              <w:rPr>
                <w:sz w:val="24"/>
                <w:szCs w:val="24"/>
                <w:vertAlign w:val="superscript"/>
                <w:lang w:bidi="en-GB"/>
              </w:rPr>
              <w:t>3</w:t>
            </w:r>
            <w:r w:rsidRPr="0085642D">
              <w:rPr>
                <w:sz w:val="24"/>
                <w:szCs w:val="24"/>
                <w:lang w:bidi="en-GB"/>
              </w:rPr>
              <w:t>, abnorme drømme</w:t>
            </w:r>
            <w:r w:rsidRPr="0085642D">
              <w:rPr>
                <w:sz w:val="24"/>
                <w:szCs w:val="24"/>
                <w:vertAlign w:val="superscript"/>
                <w:lang w:bidi="en-GB"/>
              </w:rPr>
              <w:t>3</w:t>
            </w:r>
            <w:r w:rsidRPr="0085642D">
              <w:rPr>
                <w:sz w:val="24"/>
                <w:szCs w:val="24"/>
                <w:lang w:bidi="en-GB"/>
              </w:rPr>
              <w:t>, søvnløshed</w:t>
            </w:r>
            <w:r w:rsidRPr="0085642D">
              <w:rPr>
                <w:sz w:val="24"/>
                <w:szCs w:val="24"/>
                <w:vertAlign w:val="superscript"/>
                <w:lang w:bidi="en-GB"/>
              </w:rPr>
              <w:t>3</w:t>
            </w:r>
          </w:p>
        </w:tc>
        <w:tc>
          <w:tcPr>
            <w:tcW w:w="1246"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Abnorme drømme, søvnløshed</w:t>
            </w:r>
          </w:p>
        </w:tc>
        <w:tc>
          <w:tcPr>
            <w:tcW w:w="1416" w:type="pc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rPr>
                <w:sz w:val="24"/>
                <w:szCs w:val="24"/>
                <w:lang w:bidi="en-GB"/>
              </w:rPr>
            </w:pPr>
          </w:p>
        </w:tc>
      </w:tr>
      <w:tr w:rsidR="00D25F12" w:rsidRPr="0085642D" w:rsidTr="00243EA6">
        <w:trPr>
          <w:trHeight w:val="699"/>
        </w:trPr>
        <w:tc>
          <w:tcPr>
            <w:tcW w:w="121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Ikke almindelig</w:t>
            </w:r>
          </w:p>
        </w:tc>
        <w:tc>
          <w:tcPr>
            <w:tcW w:w="1119" w:type="pct"/>
            <w:tcBorders>
              <w:top w:val="single" w:sz="4" w:space="0" w:color="000000"/>
              <w:left w:val="single" w:sz="4" w:space="0" w:color="000000"/>
              <w:bottom w:val="single" w:sz="4" w:space="0" w:color="000000"/>
              <w:right w:val="single" w:sz="4" w:space="0" w:color="000000"/>
            </w:tcBorders>
            <w:hideMark/>
          </w:tcPr>
          <w:p w:rsidR="005A2B74" w:rsidRDefault="00D25F12" w:rsidP="005A2B74">
            <w:pPr>
              <w:rPr>
                <w:sz w:val="24"/>
                <w:szCs w:val="24"/>
                <w:lang w:bidi="en-GB"/>
              </w:rPr>
            </w:pPr>
            <w:r w:rsidRPr="0085642D">
              <w:rPr>
                <w:sz w:val="24"/>
                <w:szCs w:val="24"/>
                <w:lang w:bidi="en-GB"/>
              </w:rPr>
              <w:t>Suicidalforsøg</w:t>
            </w:r>
            <w:r w:rsidRPr="0085642D">
              <w:rPr>
                <w:sz w:val="24"/>
                <w:szCs w:val="24"/>
                <w:vertAlign w:val="superscript"/>
                <w:lang w:bidi="en-GB"/>
              </w:rPr>
              <w:t>3</w:t>
            </w:r>
            <w:r w:rsidRPr="0085642D">
              <w:rPr>
                <w:sz w:val="24"/>
                <w:szCs w:val="24"/>
                <w:lang w:bidi="en-GB"/>
              </w:rPr>
              <w:t>, suicidaltanker</w:t>
            </w:r>
            <w:r w:rsidRPr="0085642D">
              <w:rPr>
                <w:sz w:val="24"/>
                <w:szCs w:val="24"/>
                <w:vertAlign w:val="superscript"/>
                <w:lang w:bidi="en-GB"/>
              </w:rPr>
              <w:t>3</w:t>
            </w:r>
            <w:r w:rsidRPr="0085642D">
              <w:rPr>
                <w:sz w:val="24"/>
                <w:szCs w:val="24"/>
                <w:lang w:bidi="en-GB"/>
              </w:rPr>
              <w:t>, psykose</w:t>
            </w:r>
            <w:r w:rsidRPr="0085642D">
              <w:rPr>
                <w:sz w:val="24"/>
                <w:szCs w:val="24"/>
                <w:vertAlign w:val="superscript"/>
                <w:lang w:bidi="en-GB"/>
              </w:rPr>
              <w:t>3</w:t>
            </w:r>
            <w:r w:rsidRPr="0085642D">
              <w:rPr>
                <w:sz w:val="24"/>
                <w:szCs w:val="24"/>
                <w:lang w:bidi="en-GB"/>
              </w:rPr>
              <w:t>, mani</w:t>
            </w:r>
            <w:r w:rsidRPr="0085642D">
              <w:rPr>
                <w:sz w:val="24"/>
                <w:szCs w:val="24"/>
                <w:vertAlign w:val="superscript"/>
                <w:lang w:bidi="en-GB"/>
              </w:rPr>
              <w:t>3</w:t>
            </w:r>
            <w:r w:rsidRPr="0085642D">
              <w:rPr>
                <w:sz w:val="24"/>
                <w:szCs w:val="24"/>
                <w:lang w:bidi="en-GB"/>
              </w:rPr>
              <w:t>, paranoia</w:t>
            </w:r>
            <w:r w:rsidRPr="0085642D">
              <w:rPr>
                <w:sz w:val="24"/>
                <w:szCs w:val="24"/>
                <w:vertAlign w:val="superscript"/>
                <w:lang w:bidi="en-GB"/>
              </w:rPr>
              <w:t>3</w:t>
            </w:r>
            <w:r w:rsidRPr="0085642D">
              <w:rPr>
                <w:sz w:val="24"/>
                <w:szCs w:val="24"/>
                <w:lang w:bidi="en-GB"/>
              </w:rPr>
              <w:t>, hallucinationer</w:t>
            </w:r>
            <w:r w:rsidRPr="0085642D">
              <w:rPr>
                <w:sz w:val="24"/>
                <w:szCs w:val="24"/>
                <w:vertAlign w:val="superscript"/>
                <w:lang w:bidi="en-GB"/>
              </w:rPr>
              <w:t>3</w:t>
            </w:r>
            <w:r w:rsidRPr="0085642D">
              <w:rPr>
                <w:sz w:val="24"/>
                <w:szCs w:val="24"/>
                <w:lang w:bidi="en-GB"/>
              </w:rPr>
              <w:t>, eufori</w:t>
            </w:r>
            <w:r w:rsidRPr="0085642D">
              <w:rPr>
                <w:sz w:val="24"/>
                <w:szCs w:val="24"/>
                <w:vertAlign w:val="superscript"/>
                <w:lang w:bidi="en-GB"/>
              </w:rPr>
              <w:t>3</w:t>
            </w:r>
            <w:r w:rsidRPr="0085642D">
              <w:rPr>
                <w:sz w:val="24"/>
                <w:szCs w:val="24"/>
                <w:lang w:bidi="en-GB"/>
              </w:rPr>
              <w:t>, affektlabilitet</w:t>
            </w:r>
            <w:r w:rsidRPr="0085642D">
              <w:rPr>
                <w:sz w:val="24"/>
                <w:szCs w:val="24"/>
                <w:vertAlign w:val="superscript"/>
                <w:lang w:bidi="en-GB"/>
              </w:rPr>
              <w:t>3</w:t>
            </w:r>
            <w:r w:rsidRPr="0085642D">
              <w:rPr>
                <w:sz w:val="24"/>
                <w:szCs w:val="24"/>
                <w:lang w:bidi="en-GB"/>
              </w:rPr>
              <w:t>, forvirret tilstand</w:t>
            </w:r>
            <w:r w:rsidRPr="0085642D">
              <w:rPr>
                <w:sz w:val="24"/>
                <w:szCs w:val="24"/>
                <w:vertAlign w:val="superscript"/>
                <w:lang w:bidi="en-GB"/>
              </w:rPr>
              <w:t>3</w:t>
            </w:r>
            <w:r w:rsidRPr="0085642D">
              <w:rPr>
                <w:sz w:val="24"/>
                <w:szCs w:val="24"/>
                <w:lang w:bidi="en-GB"/>
              </w:rPr>
              <w:t>,</w:t>
            </w:r>
            <w:r w:rsidR="005A2B74">
              <w:rPr>
                <w:sz w:val="24"/>
                <w:szCs w:val="24"/>
                <w:lang w:bidi="en-GB"/>
              </w:rPr>
              <w:t xml:space="preserve"> </w:t>
            </w:r>
            <w:r w:rsidR="005A2B74" w:rsidRPr="00CE7DA5">
              <w:rPr>
                <w:sz w:val="24"/>
                <w:szCs w:val="24"/>
                <w:lang w:bidi="en-GB"/>
              </w:rPr>
              <w:t>katatoni</w:t>
            </w:r>
            <w:r w:rsidR="005A2B74" w:rsidRPr="00C33768">
              <w:rPr>
                <w:sz w:val="24"/>
                <w:szCs w:val="24"/>
                <w:vertAlign w:val="superscript"/>
                <w:lang w:bidi="en-GB"/>
              </w:rPr>
              <w:t>3</w:t>
            </w:r>
            <w:r w:rsidR="005A2B74">
              <w:rPr>
                <w:sz w:val="24"/>
                <w:szCs w:val="24"/>
                <w:lang w:bidi="en-GB"/>
              </w:rPr>
              <w:t>,</w:t>
            </w:r>
            <w:r w:rsidR="005A2B74" w:rsidRPr="0085642D">
              <w:rPr>
                <w:sz w:val="24"/>
                <w:szCs w:val="24"/>
                <w:lang w:bidi="en-GB"/>
              </w:rPr>
              <w:t xml:space="preserve"> </w:t>
            </w:r>
          </w:p>
          <w:p w:rsidR="00D25F12" w:rsidRPr="0085642D" w:rsidRDefault="00D25F12" w:rsidP="00243EA6">
            <w:pPr>
              <w:rPr>
                <w:sz w:val="24"/>
                <w:szCs w:val="24"/>
                <w:lang w:bidi="en-GB"/>
              </w:rPr>
            </w:pPr>
            <w:r w:rsidRPr="0085642D">
              <w:rPr>
                <w:sz w:val="24"/>
                <w:szCs w:val="24"/>
                <w:lang w:bidi="en-GB"/>
              </w:rPr>
              <w:t>agitation</w:t>
            </w:r>
            <w:r w:rsidRPr="0085642D">
              <w:rPr>
                <w:sz w:val="24"/>
                <w:szCs w:val="24"/>
                <w:vertAlign w:val="superscript"/>
                <w:lang w:bidi="en-GB"/>
              </w:rPr>
              <w:t>3</w:t>
            </w:r>
          </w:p>
        </w:tc>
        <w:tc>
          <w:tcPr>
            <w:tcW w:w="1246" w:type="pc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rPr>
                <w:sz w:val="24"/>
                <w:szCs w:val="24"/>
                <w:lang w:bidi="en-GB"/>
              </w:rPr>
            </w:pPr>
          </w:p>
        </w:tc>
        <w:tc>
          <w:tcPr>
            <w:tcW w:w="1416" w:type="pc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rPr>
                <w:sz w:val="24"/>
                <w:szCs w:val="24"/>
                <w:lang w:bidi="en-GB"/>
              </w:rPr>
            </w:pPr>
          </w:p>
        </w:tc>
      </w:tr>
      <w:tr w:rsidR="00D25F12" w:rsidRPr="0085642D" w:rsidTr="00243EA6">
        <w:trPr>
          <w:trHeight w:val="691"/>
        </w:trPr>
        <w:tc>
          <w:tcPr>
            <w:tcW w:w="121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Sjælden</w:t>
            </w:r>
          </w:p>
        </w:tc>
        <w:tc>
          <w:tcPr>
            <w:tcW w:w="111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Fuldbyrdet selvmord</w:t>
            </w:r>
            <w:r w:rsidRPr="0085642D">
              <w:rPr>
                <w:sz w:val="24"/>
                <w:szCs w:val="24"/>
                <w:vertAlign w:val="superscript"/>
                <w:lang w:bidi="en-GB"/>
              </w:rPr>
              <w:t>3,4</w:t>
            </w:r>
            <w:r w:rsidRPr="0085642D">
              <w:rPr>
                <w:sz w:val="24"/>
                <w:szCs w:val="24"/>
                <w:lang w:bidi="en-GB"/>
              </w:rPr>
              <w:t>, vrangforestillinger</w:t>
            </w:r>
            <w:r w:rsidRPr="0085642D">
              <w:rPr>
                <w:sz w:val="24"/>
                <w:szCs w:val="24"/>
                <w:vertAlign w:val="superscript"/>
                <w:lang w:bidi="en-GB"/>
              </w:rPr>
              <w:t>3,4</w:t>
            </w:r>
            <w:r w:rsidRPr="0085642D">
              <w:rPr>
                <w:sz w:val="24"/>
                <w:szCs w:val="24"/>
                <w:lang w:bidi="en-GB"/>
              </w:rPr>
              <w:t>, neuroser</w:t>
            </w:r>
            <w:r w:rsidRPr="0085642D">
              <w:rPr>
                <w:sz w:val="24"/>
                <w:szCs w:val="24"/>
                <w:vertAlign w:val="superscript"/>
                <w:lang w:bidi="en-GB"/>
              </w:rPr>
              <w:t>3,4</w:t>
            </w:r>
          </w:p>
        </w:tc>
        <w:tc>
          <w:tcPr>
            <w:tcW w:w="1246" w:type="pc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rPr>
                <w:sz w:val="24"/>
                <w:szCs w:val="24"/>
                <w:lang w:bidi="en-GB"/>
              </w:rPr>
            </w:pPr>
          </w:p>
        </w:tc>
        <w:tc>
          <w:tcPr>
            <w:tcW w:w="1416" w:type="pc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rPr>
                <w:sz w:val="24"/>
                <w:szCs w:val="24"/>
                <w:lang w:bidi="en-GB"/>
              </w:rPr>
            </w:pPr>
          </w:p>
        </w:tc>
      </w:tr>
      <w:tr w:rsidR="00D25F12" w:rsidRPr="0085642D" w:rsidTr="00243EA6">
        <w:trPr>
          <w:trHeight w:val="23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E6E6E6"/>
            <w:hideMark/>
          </w:tcPr>
          <w:p w:rsidR="00D25F12" w:rsidRPr="0085642D" w:rsidRDefault="00D25F12" w:rsidP="00243EA6">
            <w:pPr>
              <w:rPr>
                <w:i/>
                <w:sz w:val="24"/>
                <w:szCs w:val="24"/>
                <w:lang w:bidi="en-GB"/>
              </w:rPr>
            </w:pPr>
            <w:bookmarkStart w:id="1" w:name="_Hlk6672785"/>
            <w:r w:rsidRPr="0085642D">
              <w:rPr>
                <w:i/>
                <w:sz w:val="24"/>
                <w:szCs w:val="24"/>
                <w:lang w:bidi="en-GB"/>
              </w:rPr>
              <w:t>Nervesystemet:</w:t>
            </w:r>
          </w:p>
        </w:tc>
      </w:tr>
      <w:tr w:rsidR="00D25F12" w:rsidRPr="0085642D" w:rsidTr="00243EA6">
        <w:trPr>
          <w:trHeight w:val="230"/>
        </w:trPr>
        <w:tc>
          <w:tcPr>
            <w:tcW w:w="121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Meget almindelig</w:t>
            </w:r>
          </w:p>
        </w:tc>
        <w:tc>
          <w:tcPr>
            <w:tcW w:w="1119" w:type="pc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rPr>
                <w:sz w:val="24"/>
                <w:szCs w:val="24"/>
                <w:lang w:bidi="en-GB"/>
              </w:rPr>
            </w:pPr>
          </w:p>
        </w:tc>
        <w:tc>
          <w:tcPr>
            <w:tcW w:w="1246"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Hovedpine</w:t>
            </w:r>
          </w:p>
        </w:tc>
        <w:tc>
          <w:tcPr>
            <w:tcW w:w="1416"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Svimmelhed</w:t>
            </w:r>
          </w:p>
        </w:tc>
      </w:tr>
      <w:tr w:rsidR="00D25F12" w:rsidRPr="0085642D" w:rsidTr="00243EA6">
        <w:trPr>
          <w:trHeight w:val="1840"/>
        </w:trPr>
        <w:tc>
          <w:tcPr>
            <w:tcW w:w="121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Almindelig</w:t>
            </w:r>
          </w:p>
        </w:tc>
        <w:tc>
          <w:tcPr>
            <w:tcW w:w="111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Cerebellære koordinations- og balanceforstyrrelser</w:t>
            </w:r>
            <w:r w:rsidRPr="0085642D">
              <w:rPr>
                <w:sz w:val="24"/>
                <w:szCs w:val="24"/>
                <w:vertAlign w:val="superscript"/>
                <w:lang w:bidi="en-GB"/>
              </w:rPr>
              <w:t>3</w:t>
            </w:r>
            <w:r w:rsidRPr="0085642D">
              <w:rPr>
                <w:sz w:val="24"/>
                <w:szCs w:val="24"/>
                <w:lang w:bidi="en-GB"/>
              </w:rPr>
              <w:t>, døsighed (2,0 %)</w:t>
            </w:r>
            <w:r w:rsidRPr="0085642D">
              <w:rPr>
                <w:sz w:val="24"/>
                <w:szCs w:val="24"/>
                <w:vertAlign w:val="superscript"/>
                <w:lang w:bidi="en-GB"/>
              </w:rPr>
              <w:t>3</w:t>
            </w:r>
            <w:r w:rsidRPr="0085642D">
              <w:rPr>
                <w:sz w:val="24"/>
                <w:szCs w:val="24"/>
                <w:lang w:bidi="en-GB"/>
              </w:rPr>
              <w:t>, hovedpine (5,7 %)</w:t>
            </w:r>
            <w:r w:rsidRPr="0085642D">
              <w:rPr>
                <w:sz w:val="24"/>
                <w:szCs w:val="24"/>
                <w:vertAlign w:val="superscript"/>
                <w:lang w:bidi="en-GB"/>
              </w:rPr>
              <w:t>3</w:t>
            </w:r>
            <w:r w:rsidRPr="0085642D">
              <w:rPr>
                <w:sz w:val="24"/>
                <w:szCs w:val="24"/>
                <w:lang w:bidi="en-GB"/>
              </w:rPr>
              <w:t>, opmærksomheds- forstyrrelser (3,6 %)</w:t>
            </w:r>
            <w:r w:rsidRPr="0085642D">
              <w:rPr>
                <w:sz w:val="24"/>
                <w:szCs w:val="24"/>
                <w:vertAlign w:val="superscript"/>
                <w:lang w:bidi="en-GB"/>
              </w:rPr>
              <w:t>3</w:t>
            </w:r>
            <w:r w:rsidRPr="0085642D">
              <w:rPr>
                <w:sz w:val="24"/>
                <w:szCs w:val="24"/>
                <w:lang w:bidi="en-GB"/>
              </w:rPr>
              <w:t>, svimmelhed (8,5 %)</w:t>
            </w:r>
            <w:r w:rsidRPr="0085642D">
              <w:rPr>
                <w:sz w:val="24"/>
                <w:szCs w:val="24"/>
                <w:vertAlign w:val="superscript"/>
                <w:lang w:bidi="en-GB"/>
              </w:rPr>
              <w:t>3</w:t>
            </w:r>
          </w:p>
        </w:tc>
        <w:tc>
          <w:tcPr>
            <w:tcW w:w="1246"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Svimmelhed</w:t>
            </w:r>
          </w:p>
        </w:tc>
        <w:tc>
          <w:tcPr>
            <w:tcW w:w="1416"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Hovedpine</w:t>
            </w:r>
          </w:p>
        </w:tc>
      </w:tr>
      <w:tr w:rsidR="00D25F12" w:rsidRPr="0085642D" w:rsidTr="00243EA6">
        <w:trPr>
          <w:trHeight w:val="1360"/>
        </w:trPr>
        <w:tc>
          <w:tcPr>
            <w:tcW w:w="121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lastRenderedPageBreak/>
              <w:t>Ikke almindelig</w:t>
            </w:r>
          </w:p>
        </w:tc>
        <w:tc>
          <w:tcPr>
            <w:tcW w:w="111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Kramper</w:t>
            </w:r>
            <w:r w:rsidRPr="0085642D">
              <w:rPr>
                <w:sz w:val="24"/>
                <w:szCs w:val="24"/>
                <w:vertAlign w:val="superscript"/>
                <w:lang w:bidi="en-GB"/>
              </w:rPr>
              <w:t>3</w:t>
            </w:r>
            <w:r w:rsidRPr="0085642D">
              <w:rPr>
                <w:sz w:val="24"/>
                <w:szCs w:val="24"/>
                <w:lang w:bidi="en-GB"/>
              </w:rPr>
              <w:t>, amnesi</w:t>
            </w:r>
            <w:r w:rsidRPr="0085642D">
              <w:rPr>
                <w:sz w:val="24"/>
                <w:szCs w:val="24"/>
                <w:vertAlign w:val="superscript"/>
                <w:lang w:bidi="en-GB"/>
              </w:rPr>
              <w:t>3</w:t>
            </w:r>
            <w:r w:rsidRPr="0085642D">
              <w:rPr>
                <w:sz w:val="24"/>
                <w:szCs w:val="24"/>
                <w:lang w:bidi="en-GB"/>
              </w:rPr>
              <w:t>, abnorm tankevirksomhed</w:t>
            </w:r>
            <w:r w:rsidRPr="0085642D">
              <w:rPr>
                <w:sz w:val="24"/>
                <w:szCs w:val="24"/>
                <w:vertAlign w:val="superscript"/>
                <w:lang w:bidi="en-GB"/>
              </w:rPr>
              <w:t>3</w:t>
            </w:r>
            <w:r w:rsidRPr="0085642D">
              <w:rPr>
                <w:sz w:val="24"/>
                <w:szCs w:val="24"/>
                <w:lang w:bidi="en-GB"/>
              </w:rPr>
              <w:t>, ataksi</w:t>
            </w:r>
            <w:r w:rsidRPr="0085642D">
              <w:rPr>
                <w:sz w:val="24"/>
                <w:szCs w:val="24"/>
                <w:vertAlign w:val="superscript"/>
                <w:lang w:bidi="en-GB"/>
              </w:rPr>
              <w:t>3</w:t>
            </w:r>
            <w:r w:rsidRPr="0085642D">
              <w:rPr>
                <w:sz w:val="24"/>
                <w:szCs w:val="24"/>
                <w:lang w:bidi="en-GB"/>
              </w:rPr>
              <w:t>, unormal koordination</w:t>
            </w:r>
            <w:r w:rsidRPr="0085642D">
              <w:rPr>
                <w:sz w:val="24"/>
                <w:szCs w:val="24"/>
                <w:vertAlign w:val="superscript"/>
                <w:lang w:bidi="en-GB"/>
              </w:rPr>
              <w:t>3</w:t>
            </w:r>
            <w:r w:rsidRPr="0085642D">
              <w:rPr>
                <w:sz w:val="24"/>
                <w:szCs w:val="24"/>
                <w:lang w:bidi="en-GB"/>
              </w:rPr>
              <w:t>, agitation</w:t>
            </w:r>
            <w:r w:rsidRPr="0085642D">
              <w:rPr>
                <w:sz w:val="24"/>
                <w:szCs w:val="24"/>
                <w:vertAlign w:val="superscript"/>
                <w:lang w:bidi="en-GB"/>
              </w:rPr>
              <w:t>3</w:t>
            </w:r>
            <w:r w:rsidRPr="0085642D">
              <w:rPr>
                <w:sz w:val="24"/>
                <w:szCs w:val="24"/>
                <w:lang w:bidi="en-GB"/>
              </w:rPr>
              <w:t>, tremor</w:t>
            </w:r>
          </w:p>
        </w:tc>
        <w:tc>
          <w:tcPr>
            <w:tcW w:w="1246" w:type="pc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rPr>
                <w:sz w:val="24"/>
                <w:szCs w:val="24"/>
                <w:lang w:bidi="en-GB"/>
              </w:rPr>
            </w:pPr>
          </w:p>
        </w:tc>
        <w:tc>
          <w:tcPr>
            <w:tcW w:w="1416" w:type="pc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rPr>
                <w:sz w:val="24"/>
                <w:szCs w:val="24"/>
                <w:lang w:bidi="en-GB"/>
              </w:rPr>
            </w:pPr>
          </w:p>
        </w:tc>
        <w:bookmarkEnd w:id="1"/>
      </w:tr>
      <w:tr w:rsidR="00D25F12" w:rsidRPr="0085642D" w:rsidTr="00243EA6">
        <w:trPr>
          <w:trHeight w:val="23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E6E6E6"/>
            <w:hideMark/>
          </w:tcPr>
          <w:p w:rsidR="00D25F12" w:rsidRPr="0085642D" w:rsidRDefault="00D25F12" w:rsidP="00243EA6">
            <w:pPr>
              <w:rPr>
                <w:i/>
                <w:sz w:val="24"/>
                <w:szCs w:val="24"/>
                <w:lang w:bidi="en-GB"/>
              </w:rPr>
            </w:pPr>
            <w:bookmarkStart w:id="2" w:name="_Hlk6672894"/>
            <w:r w:rsidRPr="0085642D">
              <w:rPr>
                <w:i/>
                <w:sz w:val="24"/>
                <w:szCs w:val="24"/>
                <w:lang w:bidi="en-GB"/>
              </w:rPr>
              <w:t>Øjne:</w:t>
            </w:r>
          </w:p>
        </w:tc>
      </w:tr>
      <w:tr w:rsidR="00D25F12" w:rsidRPr="0085642D" w:rsidTr="00243EA6">
        <w:trPr>
          <w:trHeight w:val="230"/>
        </w:trPr>
        <w:tc>
          <w:tcPr>
            <w:tcW w:w="121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Ikke almindelig</w:t>
            </w:r>
          </w:p>
        </w:tc>
        <w:tc>
          <w:tcPr>
            <w:tcW w:w="111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Sløret syn</w:t>
            </w:r>
          </w:p>
        </w:tc>
        <w:tc>
          <w:tcPr>
            <w:tcW w:w="1246" w:type="pc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rPr>
                <w:sz w:val="24"/>
                <w:szCs w:val="24"/>
                <w:lang w:bidi="en-GB"/>
              </w:rPr>
            </w:pPr>
          </w:p>
        </w:tc>
        <w:tc>
          <w:tcPr>
            <w:tcW w:w="1416" w:type="pc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rPr>
                <w:sz w:val="24"/>
                <w:szCs w:val="24"/>
                <w:lang w:bidi="en-GB"/>
              </w:rPr>
            </w:pPr>
          </w:p>
        </w:tc>
        <w:bookmarkEnd w:id="2"/>
      </w:tr>
      <w:tr w:rsidR="00D25F12" w:rsidRPr="0085642D" w:rsidTr="00243EA6">
        <w:trPr>
          <w:trHeight w:val="23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E6E6E6"/>
            <w:hideMark/>
          </w:tcPr>
          <w:p w:rsidR="00D25F12" w:rsidRPr="0085642D" w:rsidRDefault="00D25F12" w:rsidP="00243EA6">
            <w:pPr>
              <w:rPr>
                <w:i/>
                <w:sz w:val="24"/>
                <w:szCs w:val="24"/>
                <w:lang w:bidi="en-GB"/>
              </w:rPr>
            </w:pPr>
            <w:r w:rsidRPr="0085642D">
              <w:rPr>
                <w:i/>
                <w:sz w:val="24"/>
                <w:szCs w:val="24"/>
                <w:lang w:bidi="en-GB"/>
              </w:rPr>
              <w:t>Øre og labyrint:</w:t>
            </w:r>
          </w:p>
        </w:tc>
      </w:tr>
      <w:tr w:rsidR="00D25F12" w:rsidRPr="0085642D" w:rsidTr="00243EA6">
        <w:trPr>
          <w:trHeight w:val="230"/>
        </w:trPr>
        <w:tc>
          <w:tcPr>
            <w:tcW w:w="121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Ikke almindelig</w:t>
            </w:r>
          </w:p>
        </w:tc>
        <w:tc>
          <w:tcPr>
            <w:tcW w:w="111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Tinnitus, vertigo</w:t>
            </w:r>
          </w:p>
        </w:tc>
        <w:tc>
          <w:tcPr>
            <w:tcW w:w="1246" w:type="pc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rPr>
                <w:sz w:val="24"/>
                <w:szCs w:val="24"/>
                <w:lang w:bidi="en-GB"/>
              </w:rPr>
            </w:pPr>
          </w:p>
        </w:tc>
        <w:tc>
          <w:tcPr>
            <w:tcW w:w="1416" w:type="pc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rPr>
                <w:sz w:val="24"/>
                <w:szCs w:val="24"/>
                <w:lang w:bidi="en-GB"/>
              </w:rPr>
            </w:pPr>
          </w:p>
        </w:tc>
      </w:tr>
      <w:tr w:rsidR="00D25F12" w:rsidRPr="0085642D" w:rsidTr="00243EA6">
        <w:trPr>
          <w:trHeight w:val="23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E6E6E6"/>
            <w:hideMark/>
          </w:tcPr>
          <w:p w:rsidR="00D25F12" w:rsidRPr="0085642D" w:rsidRDefault="00D25F12" w:rsidP="00243EA6">
            <w:pPr>
              <w:rPr>
                <w:i/>
                <w:sz w:val="24"/>
                <w:szCs w:val="24"/>
                <w:lang w:bidi="en-GB"/>
              </w:rPr>
            </w:pPr>
            <w:r w:rsidRPr="0085642D">
              <w:rPr>
                <w:i/>
                <w:sz w:val="24"/>
                <w:szCs w:val="24"/>
                <w:lang w:bidi="en-GB"/>
              </w:rPr>
              <w:t>Vaskulære sygdomme:</w:t>
            </w:r>
          </w:p>
        </w:tc>
      </w:tr>
      <w:tr w:rsidR="00D25F12" w:rsidRPr="0085642D" w:rsidTr="00243EA6">
        <w:trPr>
          <w:trHeight w:val="230"/>
        </w:trPr>
        <w:tc>
          <w:tcPr>
            <w:tcW w:w="121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Ikke almindelig</w:t>
            </w:r>
          </w:p>
        </w:tc>
        <w:tc>
          <w:tcPr>
            <w:tcW w:w="111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Ansigtsrødme</w:t>
            </w:r>
          </w:p>
        </w:tc>
        <w:tc>
          <w:tcPr>
            <w:tcW w:w="1246" w:type="pc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rPr>
                <w:sz w:val="24"/>
                <w:szCs w:val="24"/>
                <w:lang w:bidi="en-GB"/>
              </w:rPr>
            </w:pPr>
          </w:p>
        </w:tc>
        <w:tc>
          <w:tcPr>
            <w:tcW w:w="1416" w:type="pc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rPr>
                <w:sz w:val="24"/>
                <w:szCs w:val="24"/>
                <w:lang w:bidi="en-GB"/>
              </w:rPr>
            </w:pPr>
          </w:p>
        </w:tc>
      </w:tr>
      <w:tr w:rsidR="00D25F12" w:rsidRPr="0085642D" w:rsidTr="00243EA6">
        <w:trPr>
          <w:trHeight w:val="23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E6E6E6"/>
            <w:hideMark/>
          </w:tcPr>
          <w:p w:rsidR="00D25F12" w:rsidRPr="0085642D" w:rsidRDefault="00D25F12" w:rsidP="00243EA6">
            <w:pPr>
              <w:rPr>
                <w:i/>
                <w:sz w:val="24"/>
                <w:szCs w:val="24"/>
                <w:lang w:bidi="en-GB"/>
              </w:rPr>
            </w:pPr>
            <w:r w:rsidRPr="0085642D">
              <w:rPr>
                <w:i/>
                <w:sz w:val="24"/>
                <w:szCs w:val="24"/>
                <w:lang w:bidi="en-GB"/>
              </w:rPr>
              <w:t>Mave-tarm-kanalen:</w:t>
            </w:r>
          </w:p>
        </w:tc>
      </w:tr>
      <w:tr w:rsidR="00D25F12" w:rsidRPr="0085642D" w:rsidTr="00243EA6">
        <w:trPr>
          <w:trHeight w:val="230"/>
        </w:trPr>
        <w:tc>
          <w:tcPr>
            <w:tcW w:w="121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Meget almindelig</w:t>
            </w:r>
          </w:p>
        </w:tc>
        <w:tc>
          <w:tcPr>
            <w:tcW w:w="1119" w:type="pc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rPr>
                <w:sz w:val="24"/>
                <w:szCs w:val="24"/>
                <w:lang w:bidi="en-GB"/>
              </w:rPr>
            </w:pPr>
          </w:p>
        </w:tc>
        <w:tc>
          <w:tcPr>
            <w:tcW w:w="1246"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Diarré, kvalme</w:t>
            </w:r>
          </w:p>
        </w:tc>
        <w:tc>
          <w:tcPr>
            <w:tcW w:w="1416"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Diarré, opkastning, kvalme</w:t>
            </w:r>
          </w:p>
        </w:tc>
      </w:tr>
      <w:tr w:rsidR="00D25F12" w:rsidRPr="0085642D" w:rsidTr="00243EA6">
        <w:trPr>
          <w:trHeight w:val="230"/>
        </w:trPr>
        <w:tc>
          <w:tcPr>
            <w:tcW w:w="121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Almindelig</w:t>
            </w:r>
          </w:p>
        </w:tc>
        <w:tc>
          <w:tcPr>
            <w:tcW w:w="111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Diarré, opkastning, abdominalsmerter, kvalme</w:t>
            </w:r>
          </w:p>
        </w:tc>
        <w:tc>
          <w:tcPr>
            <w:tcW w:w="1246"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Forhøjet amylase herunder forhøjet pancreasamylase, forhøjet serumlipase, opkastning, abdominalsmerter, dyspepsi</w:t>
            </w:r>
          </w:p>
        </w:tc>
        <w:tc>
          <w:tcPr>
            <w:tcW w:w="1416"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Abdominalsmerter, oppustethed, flatulens</w:t>
            </w:r>
          </w:p>
        </w:tc>
      </w:tr>
      <w:tr w:rsidR="00D25F12" w:rsidRPr="0085642D" w:rsidTr="00243EA6">
        <w:trPr>
          <w:trHeight w:val="230"/>
        </w:trPr>
        <w:tc>
          <w:tcPr>
            <w:tcW w:w="121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Ikke almindelig</w:t>
            </w:r>
          </w:p>
        </w:tc>
        <w:tc>
          <w:tcPr>
            <w:tcW w:w="111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Pancreatitis</w:t>
            </w:r>
          </w:p>
        </w:tc>
        <w:tc>
          <w:tcPr>
            <w:tcW w:w="1246" w:type="pc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rPr>
                <w:sz w:val="24"/>
                <w:szCs w:val="24"/>
                <w:lang w:bidi="en-GB"/>
              </w:rPr>
            </w:pPr>
          </w:p>
        </w:tc>
        <w:tc>
          <w:tcPr>
            <w:tcW w:w="1416"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Pancreatitis</w:t>
            </w:r>
          </w:p>
        </w:tc>
      </w:tr>
      <w:tr w:rsidR="00D25F12" w:rsidRPr="0085642D" w:rsidTr="00243EA6">
        <w:trPr>
          <w:trHeight w:val="23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E6E6E6"/>
            <w:hideMark/>
          </w:tcPr>
          <w:p w:rsidR="00D25F12" w:rsidRPr="0085642D" w:rsidRDefault="00D25F12" w:rsidP="00243EA6">
            <w:pPr>
              <w:rPr>
                <w:i/>
                <w:sz w:val="24"/>
                <w:szCs w:val="24"/>
                <w:lang w:bidi="en-GB"/>
              </w:rPr>
            </w:pPr>
            <w:r w:rsidRPr="0085642D">
              <w:rPr>
                <w:i/>
                <w:sz w:val="24"/>
                <w:szCs w:val="24"/>
                <w:lang w:bidi="en-GB"/>
              </w:rPr>
              <w:t>Lever og galdeveje:</w:t>
            </w:r>
          </w:p>
        </w:tc>
      </w:tr>
      <w:tr w:rsidR="00D25F12" w:rsidRPr="0085642D" w:rsidTr="00243EA6">
        <w:trPr>
          <w:trHeight w:val="230"/>
        </w:trPr>
        <w:tc>
          <w:tcPr>
            <w:tcW w:w="121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Almindelig</w:t>
            </w:r>
          </w:p>
        </w:tc>
        <w:tc>
          <w:tcPr>
            <w:tcW w:w="111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Forhøjet aspartatamino- transferase (ASAT), forhøjet alaninamino- transferase (ALAT), forhøjet gammaglutamyl-transferase (GGT)</w:t>
            </w:r>
          </w:p>
        </w:tc>
        <w:tc>
          <w:tcPr>
            <w:tcW w:w="1246"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Forhøjet serum-ASAT og/eller forhøjet serum-ALAT, hyperbilirubinæmi</w:t>
            </w:r>
          </w:p>
        </w:tc>
        <w:tc>
          <w:tcPr>
            <w:tcW w:w="1416"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Forhøjede aminotransferaser</w:t>
            </w:r>
          </w:p>
        </w:tc>
      </w:tr>
      <w:tr w:rsidR="00D25F12" w:rsidRPr="0085642D" w:rsidTr="00243EA6">
        <w:trPr>
          <w:trHeight w:val="230"/>
        </w:trPr>
        <w:tc>
          <w:tcPr>
            <w:tcW w:w="121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Ikke almindelig</w:t>
            </w:r>
          </w:p>
        </w:tc>
        <w:tc>
          <w:tcPr>
            <w:tcW w:w="111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Akut hepatitis</w:t>
            </w:r>
          </w:p>
        </w:tc>
        <w:tc>
          <w:tcPr>
            <w:tcW w:w="1246" w:type="pc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rPr>
                <w:sz w:val="24"/>
                <w:szCs w:val="24"/>
                <w:lang w:bidi="en-GB"/>
              </w:rPr>
            </w:pPr>
          </w:p>
        </w:tc>
        <w:tc>
          <w:tcPr>
            <w:tcW w:w="1416" w:type="pc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rPr>
                <w:sz w:val="24"/>
                <w:szCs w:val="24"/>
                <w:lang w:bidi="en-GB"/>
              </w:rPr>
            </w:pPr>
          </w:p>
        </w:tc>
      </w:tr>
      <w:tr w:rsidR="00D25F12" w:rsidRPr="0085642D" w:rsidTr="00243EA6">
        <w:trPr>
          <w:trHeight w:val="230"/>
        </w:trPr>
        <w:tc>
          <w:tcPr>
            <w:tcW w:w="121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Sjælden</w:t>
            </w:r>
          </w:p>
        </w:tc>
        <w:tc>
          <w:tcPr>
            <w:tcW w:w="111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vertAlign w:val="superscript"/>
                <w:lang w:bidi="en-GB"/>
              </w:rPr>
            </w:pPr>
            <w:r w:rsidRPr="0085642D">
              <w:rPr>
                <w:sz w:val="24"/>
                <w:szCs w:val="24"/>
                <w:lang w:bidi="en-GB"/>
              </w:rPr>
              <w:t>Leversvigt</w:t>
            </w:r>
            <w:r w:rsidRPr="0085642D">
              <w:rPr>
                <w:sz w:val="24"/>
                <w:szCs w:val="24"/>
                <w:vertAlign w:val="superscript"/>
                <w:lang w:bidi="en-GB"/>
              </w:rPr>
              <w:t>3,4</w:t>
            </w:r>
          </w:p>
        </w:tc>
        <w:tc>
          <w:tcPr>
            <w:tcW w:w="1246" w:type="pc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rPr>
                <w:sz w:val="24"/>
                <w:szCs w:val="24"/>
                <w:lang w:bidi="en-GB"/>
              </w:rPr>
            </w:pPr>
          </w:p>
        </w:tc>
        <w:tc>
          <w:tcPr>
            <w:tcW w:w="1416"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Steatosis hepatis, hepatitis</w:t>
            </w:r>
          </w:p>
        </w:tc>
      </w:tr>
      <w:tr w:rsidR="00D25F12" w:rsidRPr="0085642D" w:rsidTr="00243EA6">
        <w:trPr>
          <w:trHeight w:val="23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E6E6E6"/>
            <w:hideMark/>
          </w:tcPr>
          <w:p w:rsidR="00D25F12" w:rsidRPr="0085642D" w:rsidRDefault="00D25F12" w:rsidP="00243EA6">
            <w:pPr>
              <w:rPr>
                <w:i/>
                <w:sz w:val="24"/>
                <w:szCs w:val="24"/>
                <w:lang w:bidi="en-GB"/>
              </w:rPr>
            </w:pPr>
            <w:r w:rsidRPr="0085642D">
              <w:rPr>
                <w:i/>
                <w:sz w:val="24"/>
                <w:szCs w:val="24"/>
                <w:lang w:bidi="en-GB"/>
              </w:rPr>
              <w:t>Hud og subkutane væv:</w:t>
            </w:r>
          </w:p>
        </w:tc>
      </w:tr>
      <w:tr w:rsidR="00D25F12" w:rsidRPr="0085642D" w:rsidTr="00243EA6">
        <w:trPr>
          <w:trHeight w:val="230"/>
        </w:trPr>
        <w:tc>
          <w:tcPr>
            <w:tcW w:w="121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Meget almindelig</w:t>
            </w:r>
          </w:p>
        </w:tc>
        <w:tc>
          <w:tcPr>
            <w:tcW w:w="111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Udslæt (moderat-svær 11,6 %, alle grader 18 %)</w:t>
            </w:r>
            <w:r w:rsidRPr="0085642D">
              <w:rPr>
                <w:sz w:val="24"/>
                <w:szCs w:val="24"/>
                <w:vertAlign w:val="superscript"/>
                <w:lang w:bidi="en-GB"/>
              </w:rPr>
              <w:t>3</w:t>
            </w:r>
          </w:p>
        </w:tc>
        <w:tc>
          <w:tcPr>
            <w:tcW w:w="1246" w:type="pc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rPr>
                <w:sz w:val="24"/>
                <w:szCs w:val="24"/>
                <w:lang w:bidi="en-GB"/>
              </w:rPr>
            </w:pPr>
          </w:p>
        </w:tc>
        <w:tc>
          <w:tcPr>
            <w:tcW w:w="1416"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Udslæt</w:t>
            </w:r>
          </w:p>
        </w:tc>
      </w:tr>
      <w:tr w:rsidR="00D25F12" w:rsidRPr="0085642D" w:rsidTr="00243EA6">
        <w:trPr>
          <w:trHeight w:val="230"/>
        </w:trPr>
        <w:tc>
          <w:tcPr>
            <w:tcW w:w="121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Almindelig</w:t>
            </w:r>
          </w:p>
        </w:tc>
        <w:tc>
          <w:tcPr>
            <w:tcW w:w="111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Pruritus</w:t>
            </w:r>
          </w:p>
        </w:tc>
        <w:tc>
          <w:tcPr>
            <w:tcW w:w="1246"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Vesikuløst udslæt, pustuløst udslæt, makulopapuløst udslæt, udslæt, pruritus, urticaria, misfarvning af huden (øget pigmentering)</w:t>
            </w:r>
            <w:r w:rsidRPr="0085642D">
              <w:rPr>
                <w:sz w:val="24"/>
                <w:szCs w:val="24"/>
                <w:vertAlign w:val="superscript"/>
                <w:lang w:bidi="en-GB"/>
              </w:rPr>
              <w:t>1</w:t>
            </w:r>
          </w:p>
        </w:tc>
        <w:tc>
          <w:tcPr>
            <w:tcW w:w="1416" w:type="pc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rPr>
                <w:sz w:val="24"/>
                <w:szCs w:val="24"/>
                <w:lang w:bidi="en-GB"/>
              </w:rPr>
            </w:pPr>
          </w:p>
        </w:tc>
      </w:tr>
      <w:tr w:rsidR="00D25F12" w:rsidRPr="0085642D" w:rsidTr="00243EA6">
        <w:trPr>
          <w:trHeight w:val="230"/>
        </w:trPr>
        <w:tc>
          <w:tcPr>
            <w:tcW w:w="121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Ikke almindelig</w:t>
            </w:r>
          </w:p>
        </w:tc>
        <w:tc>
          <w:tcPr>
            <w:tcW w:w="111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Stevens</w:t>
            </w:r>
            <w:r w:rsidRPr="0085642D">
              <w:rPr>
                <w:sz w:val="24"/>
                <w:szCs w:val="24"/>
                <w:lang w:bidi="en-GB"/>
              </w:rPr>
              <w:noBreakHyphen/>
              <w:t>Johnsons syndrom, erythema multiforme</w:t>
            </w:r>
            <w:r w:rsidRPr="0085642D">
              <w:rPr>
                <w:sz w:val="24"/>
                <w:szCs w:val="24"/>
                <w:vertAlign w:val="superscript"/>
                <w:lang w:bidi="en-GB"/>
              </w:rPr>
              <w:t>3</w:t>
            </w:r>
            <w:r w:rsidRPr="0085642D">
              <w:rPr>
                <w:sz w:val="24"/>
                <w:szCs w:val="24"/>
                <w:lang w:bidi="en-GB"/>
              </w:rPr>
              <w:t>, svært udslæt (&lt; 1 %)</w:t>
            </w:r>
          </w:p>
        </w:tc>
        <w:tc>
          <w:tcPr>
            <w:tcW w:w="1246"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Angioødem</w:t>
            </w:r>
          </w:p>
        </w:tc>
        <w:tc>
          <w:tcPr>
            <w:tcW w:w="1416" w:type="pc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rPr>
                <w:sz w:val="24"/>
                <w:szCs w:val="24"/>
                <w:lang w:bidi="en-GB"/>
              </w:rPr>
            </w:pPr>
          </w:p>
        </w:tc>
      </w:tr>
      <w:tr w:rsidR="00D25F12" w:rsidRPr="0085642D" w:rsidTr="00243EA6">
        <w:trPr>
          <w:trHeight w:val="230"/>
        </w:trPr>
        <w:tc>
          <w:tcPr>
            <w:tcW w:w="121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Sjælden</w:t>
            </w:r>
          </w:p>
        </w:tc>
        <w:tc>
          <w:tcPr>
            <w:tcW w:w="111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Fotodermatitis</w:t>
            </w:r>
          </w:p>
        </w:tc>
        <w:tc>
          <w:tcPr>
            <w:tcW w:w="1246" w:type="pc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rPr>
                <w:sz w:val="24"/>
                <w:szCs w:val="24"/>
                <w:lang w:bidi="en-GB"/>
              </w:rPr>
            </w:pPr>
          </w:p>
        </w:tc>
        <w:tc>
          <w:tcPr>
            <w:tcW w:w="1416"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Angioødem</w:t>
            </w:r>
          </w:p>
        </w:tc>
      </w:tr>
      <w:tr w:rsidR="00D25F12" w:rsidRPr="0085642D" w:rsidTr="00243EA6">
        <w:trPr>
          <w:trHeight w:val="23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E6E6E6"/>
            <w:hideMark/>
          </w:tcPr>
          <w:p w:rsidR="00D25F12" w:rsidRPr="0085642D" w:rsidRDefault="00D25F12" w:rsidP="00243EA6">
            <w:pPr>
              <w:rPr>
                <w:i/>
                <w:sz w:val="24"/>
                <w:szCs w:val="24"/>
                <w:lang w:bidi="en-GB"/>
              </w:rPr>
            </w:pPr>
            <w:r w:rsidRPr="0085642D">
              <w:rPr>
                <w:i/>
                <w:sz w:val="24"/>
                <w:szCs w:val="24"/>
                <w:lang w:bidi="en-GB"/>
              </w:rPr>
              <w:lastRenderedPageBreak/>
              <w:t>Knogler, led, muskler og bindevæv:</w:t>
            </w:r>
          </w:p>
        </w:tc>
      </w:tr>
      <w:tr w:rsidR="00D25F12" w:rsidRPr="0085642D" w:rsidTr="00243EA6">
        <w:trPr>
          <w:trHeight w:val="230"/>
        </w:trPr>
        <w:tc>
          <w:tcPr>
            <w:tcW w:w="121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Meget almindelig</w:t>
            </w:r>
          </w:p>
        </w:tc>
        <w:tc>
          <w:tcPr>
            <w:tcW w:w="1119" w:type="pc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rPr>
                <w:sz w:val="24"/>
                <w:szCs w:val="24"/>
                <w:lang w:bidi="en-GB"/>
              </w:rPr>
            </w:pPr>
          </w:p>
        </w:tc>
        <w:tc>
          <w:tcPr>
            <w:tcW w:w="1246"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Forhøjet kreatininkinase</w:t>
            </w:r>
          </w:p>
        </w:tc>
        <w:tc>
          <w:tcPr>
            <w:tcW w:w="1416" w:type="pc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rPr>
                <w:sz w:val="24"/>
                <w:szCs w:val="24"/>
                <w:lang w:bidi="en-GB"/>
              </w:rPr>
            </w:pPr>
          </w:p>
        </w:tc>
      </w:tr>
      <w:tr w:rsidR="00D25F12" w:rsidRPr="0085642D" w:rsidTr="00243EA6">
        <w:trPr>
          <w:trHeight w:val="230"/>
        </w:trPr>
        <w:tc>
          <w:tcPr>
            <w:tcW w:w="121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Ikke almindelig</w:t>
            </w:r>
          </w:p>
        </w:tc>
        <w:tc>
          <w:tcPr>
            <w:tcW w:w="1119" w:type="pc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rPr>
                <w:sz w:val="24"/>
                <w:szCs w:val="24"/>
                <w:lang w:bidi="en-GB"/>
              </w:rPr>
            </w:pPr>
          </w:p>
        </w:tc>
        <w:tc>
          <w:tcPr>
            <w:tcW w:w="1246" w:type="pc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rPr>
                <w:sz w:val="24"/>
                <w:szCs w:val="24"/>
                <w:lang w:bidi="en-GB"/>
              </w:rPr>
            </w:pPr>
          </w:p>
        </w:tc>
        <w:tc>
          <w:tcPr>
            <w:tcW w:w="1416"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vertAlign w:val="superscript"/>
                <w:lang w:bidi="en-GB"/>
              </w:rPr>
            </w:pPr>
            <w:r w:rsidRPr="0085642D">
              <w:rPr>
                <w:sz w:val="24"/>
                <w:szCs w:val="24"/>
                <w:lang w:bidi="en-GB"/>
              </w:rPr>
              <w:t>Rhabdomyolyse</w:t>
            </w:r>
            <w:r w:rsidRPr="0085642D">
              <w:rPr>
                <w:sz w:val="24"/>
                <w:szCs w:val="24"/>
                <w:vertAlign w:val="superscript"/>
                <w:lang w:bidi="en-GB"/>
              </w:rPr>
              <w:t>2</w:t>
            </w:r>
            <w:r w:rsidRPr="0085642D">
              <w:rPr>
                <w:sz w:val="24"/>
                <w:szCs w:val="24"/>
                <w:lang w:bidi="en-GB"/>
              </w:rPr>
              <w:t>, muskelsvækkelse</w:t>
            </w:r>
            <w:r w:rsidRPr="0085642D">
              <w:rPr>
                <w:sz w:val="24"/>
                <w:szCs w:val="24"/>
                <w:vertAlign w:val="superscript"/>
                <w:lang w:bidi="en-GB"/>
              </w:rPr>
              <w:t>2</w:t>
            </w:r>
          </w:p>
        </w:tc>
      </w:tr>
      <w:tr w:rsidR="00D25F12" w:rsidRPr="0085642D" w:rsidTr="00243EA6">
        <w:trPr>
          <w:trHeight w:val="230"/>
        </w:trPr>
        <w:tc>
          <w:tcPr>
            <w:tcW w:w="121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Sjælden</w:t>
            </w:r>
          </w:p>
        </w:tc>
        <w:tc>
          <w:tcPr>
            <w:tcW w:w="1119" w:type="pc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rPr>
                <w:sz w:val="24"/>
                <w:szCs w:val="24"/>
                <w:lang w:bidi="en-GB"/>
              </w:rPr>
            </w:pPr>
          </w:p>
        </w:tc>
        <w:tc>
          <w:tcPr>
            <w:tcW w:w="1246" w:type="pc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rPr>
                <w:sz w:val="24"/>
                <w:szCs w:val="24"/>
                <w:lang w:bidi="en-GB"/>
              </w:rPr>
            </w:pPr>
          </w:p>
        </w:tc>
        <w:tc>
          <w:tcPr>
            <w:tcW w:w="1416"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vertAlign w:val="superscript"/>
                <w:lang w:bidi="en-GB"/>
              </w:rPr>
            </w:pPr>
            <w:r w:rsidRPr="0085642D">
              <w:rPr>
                <w:sz w:val="24"/>
                <w:szCs w:val="24"/>
                <w:lang w:bidi="en-GB"/>
              </w:rPr>
              <w:t>Osteomalaci (manifesteret som knoglesmerter og i sjældne tilfælde medvirkende årsag til frakturer)</w:t>
            </w:r>
            <w:r w:rsidRPr="0085642D">
              <w:rPr>
                <w:sz w:val="24"/>
                <w:szCs w:val="24"/>
                <w:vertAlign w:val="superscript"/>
                <w:lang w:bidi="en-GB"/>
              </w:rPr>
              <w:t>2,4</w:t>
            </w:r>
            <w:r w:rsidRPr="0085642D">
              <w:rPr>
                <w:sz w:val="24"/>
                <w:szCs w:val="24"/>
                <w:lang w:bidi="en-GB"/>
              </w:rPr>
              <w:t>, myopati</w:t>
            </w:r>
            <w:r w:rsidRPr="0085642D">
              <w:rPr>
                <w:sz w:val="24"/>
                <w:szCs w:val="24"/>
                <w:vertAlign w:val="superscript"/>
                <w:lang w:bidi="en-GB"/>
              </w:rPr>
              <w:t>2</w:t>
            </w:r>
          </w:p>
        </w:tc>
      </w:tr>
      <w:tr w:rsidR="00D25F12" w:rsidRPr="0085642D" w:rsidTr="00243EA6">
        <w:trPr>
          <w:trHeight w:val="23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E6E6E6"/>
            <w:hideMark/>
          </w:tcPr>
          <w:p w:rsidR="00D25F12" w:rsidRPr="0085642D" w:rsidRDefault="00D25F12" w:rsidP="00243EA6">
            <w:pPr>
              <w:rPr>
                <w:i/>
                <w:sz w:val="24"/>
                <w:szCs w:val="24"/>
                <w:lang w:bidi="en-GB"/>
              </w:rPr>
            </w:pPr>
            <w:r w:rsidRPr="0085642D">
              <w:rPr>
                <w:i/>
                <w:sz w:val="24"/>
                <w:szCs w:val="24"/>
                <w:lang w:bidi="en-GB"/>
              </w:rPr>
              <w:t>Nyrer og urinveje:</w:t>
            </w:r>
          </w:p>
        </w:tc>
      </w:tr>
      <w:tr w:rsidR="00D25F12" w:rsidRPr="0085642D" w:rsidTr="00243EA6">
        <w:trPr>
          <w:trHeight w:val="230"/>
        </w:trPr>
        <w:tc>
          <w:tcPr>
            <w:tcW w:w="121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Ikke almindelig</w:t>
            </w:r>
          </w:p>
        </w:tc>
        <w:tc>
          <w:tcPr>
            <w:tcW w:w="1119" w:type="pc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rPr>
                <w:sz w:val="24"/>
                <w:szCs w:val="24"/>
                <w:lang w:bidi="en-GB"/>
              </w:rPr>
            </w:pPr>
          </w:p>
        </w:tc>
        <w:tc>
          <w:tcPr>
            <w:tcW w:w="1246" w:type="pc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rPr>
                <w:sz w:val="24"/>
                <w:szCs w:val="24"/>
                <w:lang w:bidi="en-GB"/>
              </w:rPr>
            </w:pPr>
          </w:p>
        </w:tc>
        <w:tc>
          <w:tcPr>
            <w:tcW w:w="1416"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Forhøjet kreatinin, proteinuri, proksimal renal tubulopati herunder Fanconis syndrom</w:t>
            </w:r>
          </w:p>
        </w:tc>
      </w:tr>
      <w:tr w:rsidR="00D25F12" w:rsidRPr="0085642D" w:rsidTr="00243EA6">
        <w:trPr>
          <w:trHeight w:val="230"/>
        </w:trPr>
        <w:tc>
          <w:tcPr>
            <w:tcW w:w="121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Sjælden</w:t>
            </w:r>
          </w:p>
        </w:tc>
        <w:tc>
          <w:tcPr>
            <w:tcW w:w="1119" w:type="pc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rPr>
                <w:sz w:val="24"/>
                <w:szCs w:val="24"/>
                <w:lang w:bidi="en-GB"/>
              </w:rPr>
            </w:pPr>
          </w:p>
        </w:tc>
        <w:tc>
          <w:tcPr>
            <w:tcW w:w="1246" w:type="pc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rPr>
                <w:sz w:val="24"/>
                <w:szCs w:val="24"/>
                <w:lang w:bidi="en-GB"/>
              </w:rPr>
            </w:pPr>
          </w:p>
        </w:tc>
        <w:tc>
          <w:tcPr>
            <w:tcW w:w="1416"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Nyresvigt (akut og kronisk), akut tubulær nekrose, nefritis (herunder akut interstitiel nefritis)</w:t>
            </w:r>
            <w:r w:rsidRPr="0085642D">
              <w:rPr>
                <w:sz w:val="24"/>
                <w:szCs w:val="24"/>
                <w:vertAlign w:val="superscript"/>
                <w:lang w:bidi="en-GB"/>
              </w:rPr>
              <w:t>4</w:t>
            </w:r>
            <w:r w:rsidRPr="0085642D">
              <w:rPr>
                <w:sz w:val="24"/>
                <w:szCs w:val="24"/>
                <w:lang w:bidi="en-GB"/>
              </w:rPr>
              <w:t>, nefrogen diabetes insipidus</w:t>
            </w:r>
          </w:p>
        </w:tc>
      </w:tr>
      <w:tr w:rsidR="00D25F12" w:rsidRPr="0085642D" w:rsidTr="00243EA6">
        <w:trPr>
          <w:trHeight w:val="23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E6E6E6"/>
            <w:hideMark/>
          </w:tcPr>
          <w:p w:rsidR="00D25F12" w:rsidRPr="0085642D" w:rsidRDefault="00D25F12" w:rsidP="00243EA6">
            <w:pPr>
              <w:rPr>
                <w:i/>
                <w:sz w:val="24"/>
                <w:szCs w:val="24"/>
                <w:lang w:bidi="en-GB"/>
              </w:rPr>
            </w:pPr>
            <w:r w:rsidRPr="0085642D">
              <w:rPr>
                <w:i/>
                <w:sz w:val="24"/>
                <w:szCs w:val="24"/>
                <w:lang w:bidi="en-GB"/>
              </w:rPr>
              <w:t>Der reproduktive system og mammae:</w:t>
            </w:r>
          </w:p>
        </w:tc>
      </w:tr>
      <w:tr w:rsidR="00D25F12" w:rsidRPr="0085642D" w:rsidTr="00243EA6">
        <w:trPr>
          <w:trHeight w:val="230"/>
        </w:trPr>
        <w:tc>
          <w:tcPr>
            <w:tcW w:w="121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Ikke almindelig</w:t>
            </w:r>
          </w:p>
        </w:tc>
        <w:tc>
          <w:tcPr>
            <w:tcW w:w="111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Gynækomasti</w:t>
            </w:r>
          </w:p>
        </w:tc>
        <w:tc>
          <w:tcPr>
            <w:tcW w:w="1246" w:type="pc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rPr>
                <w:sz w:val="24"/>
                <w:szCs w:val="24"/>
                <w:lang w:bidi="en-GB"/>
              </w:rPr>
            </w:pPr>
          </w:p>
        </w:tc>
        <w:tc>
          <w:tcPr>
            <w:tcW w:w="1416" w:type="pc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rPr>
                <w:sz w:val="24"/>
                <w:szCs w:val="24"/>
                <w:lang w:bidi="en-GB"/>
              </w:rPr>
            </w:pPr>
          </w:p>
        </w:tc>
      </w:tr>
      <w:tr w:rsidR="00D25F12" w:rsidRPr="0085642D" w:rsidTr="00243EA6">
        <w:trPr>
          <w:trHeight w:val="23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E6E6E6"/>
            <w:hideMark/>
          </w:tcPr>
          <w:p w:rsidR="00D25F12" w:rsidRPr="0085642D" w:rsidRDefault="00D25F12" w:rsidP="00243EA6">
            <w:pPr>
              <w:rPr>
                <w:i/>
                <w:sz w:val="24"/>
                <w:szCs w:val="24"/>
                <w:lang w:bidi="en-GB"/>
              </w:rPr>
            </w:pPr>
            <w:r w:rsidRPr="0085642D">
              <w:rPr>
                <w:i/>
                <w:sz w:val="24"/>
                <w:szCs w:val="24"/>
                <w:lang w:bidi="en-GB"/>
              </w:rPr>
              <w:t>Almene symptomer og reaktioner på administrationsstedet:</w:t>
            </w:r>
          </w:p>
        </w:tc>
      </w:tr>
      <w:tr w:rsidR="00D25F12" w:rsidRPr="0085642D" w:rsidTr="00243EA6">
        <w:trPr>
          <w:trHeight w:val="230"/>
        </w:trPr>
        <w:tc>
          <w:tcPr>
            <w:tcW w:w="121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Meget almindelig</w:t>
            </w:r>
          </w:p>
        </w:tc>
        <w:tc>
          <w:tcPr>
            <w:tcW w:w="1119" w:type="pc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rPr>
                <w:sz w:val="24"/>
                <w:szCs w:val="24"/>
                <w:lang w:bidi="en-GB"/>
              </w:rPr>
            </w:pPr>
          </w:p>
        </w:tc>
        <w:tc>
          <w:tcPr>
            <w:tcW w:w="1246" w:type="pc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rPr>
                <w:sz w:val="24"/>
                <w:szCs w:val="24"/>
                <w:lang w:bidi="en-GB"/>
              </w:rPr>
            </w:pPr>
          </w:p>
        </w:tc>
        <w:tc>
          <w:tcPr>
            <w:tcW w:w="1416"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Asteni</w:t>
            </w:r>
          </w:p>
        </w:tc>
      </w:tr>
      <w:tr w:rsidR="00D25F12" w:rsidRPr="0085642D" w:rsidTr="00243EA6">
        <w:trPr>
          <w:trHeight w:val="230"/>
        </w:trPr>
        <w:tc>
          <w:tcPr>
            <w:tcW w:w="121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Almindelig</w:t>
            </w:r>
          </w:p>
        </w:tc>
        <w:tc>
          <w:tcPr>
            <w:tcW w:w="111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Udmattelse</w:t>
            </w:r>
          </w:p>
        </w:tc>
        <w:tc>
          <w:tcPr>
            <w:tcW w:w="1246"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rPr>
                <w:sz w:val="24"/>
                <w:szCs w:val="24"/>
                <w:lang w:bidi="en-GB"/>
              </w:rPr>
            </w:pPr>
            <w:r w:rsidRPr="0085642D">
              <w:rPr>
                <w:sz w:val="24"/>
                <w:szCs w:val="24"/>
                <w:lang w:bidi="en-GB"/>
              </w:rPr>
              <w:t>Smerter, asteni</w:t>
            </w:r>
          </w:p>
        </w:tc>
        <w:tc>
          <w:tcPr>
            <w:tcW w:w="1416" w:type="pc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rPr>
                <w:sz w:val="24"/>
                <w:szCs w:val="24"/>
                <w:lang w:bidi="en-GB"/>
              </w:rPr>
            </w:pPr>
          </w:p>
        </w:tc>
      </w:tr>
    </w:tbl>
    <w:p w:rsidR="00D25F12" w:rsidRPr="0085642D" w:rsidRDefault="00D25F12" w:rsidP="00D25F12">
      <w:pPr>
        <w:tabs>
          <w:tab w:val="left" w:pos="284"/>
        </w:tabs>
        <w:ind w:left="284" w:hanging="284"/>
        <w:rPr>
          <w:sz w:val="24"/>
          <w:szCs w:val="24"/>
          <w:lang w:eastAsia="fr-LU" w:bidi="en-GB"/>
        </w:rPr>
      </w:pPr>
      <w:r w:rsidRPr="0085642D">
        <w:rPr>
          <w:sz w:val="24"/>
          <w:szCs w:val="24"/>
          <w:vertAlign w:val="superscript"/>
          <w:lang w:bidi="en-GB"/>
        </w:rPr>
        <w:t>1</w:t>
      </w:r>
      <w:r w:rsidRPr="0085642D">
        <w:rPr>
          <w:sz w:val="24"/>
          <w:szCs w:val="24"/>
          <w:vertAlign w:val="superscript"/>
          <w:lang w:bidi="en-GB"/>
        </w:rPr>
        <w:tab/>
      </w:r>
      <w:r w:rsidRPr="0085642D">
        <w:rPr>
          <w:sz w:val="24"/>
          <w:szCs w:val="24"/>
          <w:lang w:bidi="en-GB"/>
        </w:rPr>
        <w:t>Anæmi var almindelig og misfarvning af huden (øget pigmentering) meget almindelig, når emtricitabin blev administreret til pædiatriske patienter.</w:t>
      </w:r>
    </w:p>
    <w:p w:rsidR="00D25F12" w:rsidRPr="0085642D" w:rsidRDefault="00D25F12" w:rsidP="00D25F12">
      <w:pPr>
        <w:tabs>
          <w:tab w:val="left" w:pos="284"/>
        </w:tabs>
        <w:ind w:left="284" w:hanging="284"/>
        <w:rPr>
          <w:sz w:val="24"/>
          <w:szCs w:val="24"/>
          <w:lang w:bidi="en-GB"/>
        </w:rPr>
      </w:pPr>
      <w:r w:rsidRPr="0085642D">
        <w:rPr>
          <w:sz w:val="24"/>
          <w:szCs w:val="24"/>
          <w:vertAlign w:val="superscript"/>
          <w:lang w:bidi="en-GB"/>
        </w:rPr>
        <w:t>2</w:t>
      </w:r>
      <w:r w:rsidRPr="0085642D">
        <w:rPr>
          <w:sz w:val="24"/>
          <w:szCs w:val="24"/>
          <w:vertAlign w:val="superscript"/>
          <w:lang w:bidi="en-GB"/>
        </w:rPr>
        <w:tab/>
      </w:r>
      <w:r w:rsidRPr="0085642D">
        <w:rPr>
          <w:sz w:val="24"/>
          <w:szCs w:val="24"/>
          <w:lang w:bidi="en-GB"/>
        </w:rPr>
        <w:t>Denne bivirkning kan forekomme som resultat af proksimal renal tubulopati. Den anses ikke som årsagsmæssigt forbundet med tenofovirdisoproxil, hvis denne tilstand ikke er til stede.</w:t>
      </w:r>
    </w:p>
    <w:p w:rsidR="00D25F12" w:rsidRPr="0085642D" w:rsidRDefault="00D25F12" w:rsidP="00D25F12">
      <w:pPr>
        <w:tabs>
          <w:tab w:val="left" w:pos="284"/>
        </w:tabs>
        <w:rPr>
          <w:sz w:val="24"/>
          <w:szCs w:val="24"/>
          <w:lang w:bidi="en-GB"/>
        </w:rPr>
      </w:pPr>
      <w:r w:rsidRPr="0085642D">
        <w:rPr>
          <w:sz w:val="24"/>
          <w:szCs w:val="24"/>
          <w:vertAlign w:val="superscript"/>
          <w:lang w:bidi="en-GB"/>
        </w:rPr>
        <w:t>3</w:t>
      </w:r>
      <w:r w:rsidRPr="0085642D">
        <w:rPr>
          <w:sz w:val="24"/>
          <w:szCs w:val="24"/>
          <w:vertAlign w:val="superscript"/>
          <w:lang w:bidi="en-GB"/>
        </w:rPr>
        <w:tab/>
      </w:r>
      <w:r w:rsidRPr="0085642D">
        <w:rPr>
          <w:sz w:val="24"/>
          <w:szCs w:val="24"/>
          <w:lang w:bidi="en-GB"/>
        </w:rPr>
        <w:t>Se pkt. 4.8 Beskrivelse af udvalgte bivirkninger for flere detaljer.</w:t>
      </w:r>
    </w:p>
    <w:p w:rsidR="00D25F12" w:rsidRPr="0085642D" w:rsidRDefault="00D25F12" w:rsidP="00D25F12">
      <w:pPr>
        <w:tabs>
          <w:tab w:val="left" w:pos="284"/>
        </w:tabs>
        <w:ind w:left="284" w:hanging="284"/>
        <w:rPr>
          <w:sz w:val="24"/>
          <w:szCs w:val="24"/>
          <w:lang w:bidi="en-GB"/>
        </w:rPr>
      </w:pPr>
      <w:r w:rsidRPr="0085642D">
        <w:rPr>
          <w:sz w:val="24"/>
          <w:szCs w:val="24"/>
          <w:vertAlign w:val="superscript"/>
          <w:lang w:bidi="en-GB"/>
        </w:rPr>
        <w:t>4</w:t>
      </w:r>
      <w:r w:rsidRPr="0085642D">
        <w:rPr>
          <w:sz w:val="24"/>
          <w:szCs w:val="24"/>
          <w:vertAlign w:val="superscript"/>
          <w:lang w:bidi="en-GB"/>
        </w:rPr>
        <w:tab/>
      </w:r>
      <w:r w:rsidRPr="0085642D">
        <w:rPr>
          <w:sz w:val="24"/>
          <w:szCs w:val="24"/>
          <w:lang w:bidi="en-GB"/>
        </w:rPr>
        <w:t>Denne bivirkning blev identificeret under sikkerhedsovervågningen efter markedsføring for enten efavirenz, emtricitabin eller tenofovirdisoproxil. Frekvenskategorien blev estimeret ud fra en statistisk beregning baseret på det totale antal patienter behandlet med efavirenz i kliniske studier (n=3.969) eller eksponeret for emtricitabin i randomiserede, kontrollerede kliniske studier (n=1.563) eller eksponeret for tenofovirdisoproxil i randomiserede, kontrollerede, kliniske studier og i programmet for forlænget adgang (n=7.319).</w:t>
      </w:r>
    </w:p>
    <w:p w:rsidR="00D25F12" w:rsidRPr="0085642D" w:rsidRDefault="00D25F12" w:rsidP="00D25F12">
      <w:pPr>
        <w:rPr>
          <w:sz w:val="24"/>
          <w:szCs w:val="24"/>
          <w:lang w:bidi="en-GB"/>
        </w:rPr>
      </w:pPr>
    </w:p>
    <w:p w:rsidR="00D25F12" w:rsidRPr="0085642D" w:rsidRDefault="00D25F12" w:rsidP="00D25F12">
      <w:pPr>
        <w:ind w:left="851"/>
        <w:rPr>
          <w:sz w:val="24"/>
          <w:szCs w:val="24"/>
          <w:lang w:bidi="en-GB"/>
        </w:rPr>
      </w:pPr>
      <w:r w:rsidRPr="0085642D">
        <w:rPr>
          <w:sz w:val="24"/>
          <w:szCs w:val="24"/>
          <w:u w:val="single"/>
          <w:lang w:bidi="en-GB"/>
        </w:rPr>
        <w:t>Beskrivelse af udvalgte bivirkninger</w:t>
      </w:r>
    </w:p>
    <w:p w:rsidR="00D25F12" w:rsidRPr="0085642D" w:rsidRDefault="00D25F12" w:rsidP="00D25F12">
      <w:pPr>
        <w:ind w:left="851"/>
        <w:rPr>
          <w:sz w:val="24"/>
          <w:szCs w:val="24"/>
          <w:lang w:bidi="en-GB"/>
        </w:rPr>
      </w:pPr>
      <w:r w:rsidRPr="0085642D">
        <w:rPr>
          <w:i/>
          <w:sz w:val="24"/>
          <w:szCs w:val="24"/>
          <w:lang w:bidi="en-GB"/>
        </w:rPr>
        <w:t>Udslæt:</w:t>
      </w:r>
      <w:r w:rsidRPr="0085642D">
        <w:rPr>
          <w:sz w:val="24"/>
          <w:szCs w:val="24"/>
          <w:lang w:bidi="en-GB"/>
        </w:rPr>
        <w:t xml:space="preserve"> I kliniske studier af efavirenz var udslættene for det meste lette til moderate, makulopapuløse huderuptioner, der optrådte inden for de første 2 uger efter påbegyndelse af efavirenzbehandling. Hos de fleste patienter forsvandt udslættet inden for 1 måned ved fortsat behandling med efavirenz. Behandling med Efavirenz/Emtricitabine/Tenofovir disoproxil "Glenmark" kan genoptages hos patienter, der afbryder behandlingen på grund af udslæt. Anvendelse af passende antihistaminer og/eller kortikosteroider anbefales, når behandling med Efavirenz/Emtricitabine/Tenofovir disoproxil "Glenmark" genoptages.</w:t>
      </w:r>
    </w:p>
    <w:p w:rsidR="00D25F12" w:rsidRPr="0085642D" w:rsidRDefault="00D25F12" w:rsidP="00D25F12">
      <w:pPr>
        <w:ind w:left="851"/>
        <w:rPr>
          <w:sz w:val="24"/>
          <w:szCs w:val="24"/>
          <w:lang w:bidi="en-GB"/>
        </w:rPr>
      </w:pPr>
    </w:p>
    <w:p w:rsidR="00D25F12" w:rsidRPr="0085642D" w:rsidRDefault="00D25F12" w:rsidP="00D25F12">
      <w:pPr>
        <w:ind w:left="851"/>
        <w:rPr>
          <w:sz w:val="24"/>
          <w:szCs w:val="24"/>
          <w:lang w:bidi="en-GB"/>
        </w:rPr>
      </w:pPr>
      <w:r w:rsidRPr="0085642D">
        <w:rPr>
          <w:i/>
          <w:sz w:val="24"/>
          <w:szCs w:val="24"/>
          <w:lang w:bidi="en-GB"/>
        </w:rPr>
        <w:t xml:space="preserve">Psykiatriske symptomer: </w:t>
      </w:r>
      <w:r w:rsidRPr="0085642D">
        <w:rPr>
          <w:sz w:val="24"/>
          <w:szCs w:val="24"/>
          <w:lang w:bidi="en-GB"/>
        </w:rPr>
        <w:t>Patienter med psykiske forstyrrelser i anamnesen synes at have større risiko for de alvorlige psykiske bivirkninger, som nævnt i efavirenzkolonnen i tabel 2.</w:t>
      </w:r>
    </w:p>
    <w:p w:rsidR="00D25F12" w:rsidRPr="0085642D" w:rsidRDefault="00D25F12" w:rsidP="00D25F12">
      <w:pPr>
        <w:ind w:left="851"/>
        <w:rPr>
          <w:sz w:val="24"/>
          <w:szCs w:val="24"/>
          <w:lang w:bidi="en-GB"/>
        </w:rPr>
      </w:pPr>
    </w:p>
    <w:p w:rsidR="00D25F12" w:rsidRPr="0085642D" w:rsidRDefault="00D25F12" w:rsidP="00D25F12">
      <w:pPr>
        <w:ind w:left="851"/>
        <w:rPr>
          <w:sz w:val="24"/>
          <w:szCs w:val="24"/>
          <w:lang w:bidi="en-GB"/>
        </w:rPr>
      </w:pPr>
      <w:r w:rsidRPr="0085642D">
        <w:rPr>
          <w:i/>
          <w:sz w:val="24"/>
          <w:szCs w:val="24"/>
          <w:lang w:bidi="en-GB"/>
        </w:rPr>
        <w:t xml:space="preserve">Symptomer fra nervesystemet: </w:t>
      </w:r>
      <w:r w:rsidRPr="0085642D">
        <w:rPr>
          <w:sz w:val="24"/>
          <w:szCs w:val="24"/>
          <w:lang w:bidi="en-GB"/>
        </w:rPr>
        <w:t xml:space="preserve">Symptomer fra nervesystemet er almindelige med efavirenz, et af de aktive stoffer i </w:t>
      </w:r>
      <w:r w:rsidRPr="0085642D">
        <w:rPr>
          <w:sz w:val="24"/>
          <w:szCs w:val="24"/>
        </w:rPr>
        <w:t>efavirenz/emtricitabin/tenofovirdisoproxil</w:t>
      </w:r>
      <w:r w:rsidRPr="0085642D">
        <w:rPr>
          <w:sz w:val="24"/>
          <w:szCs w:val="24"/>
          <w:lang w:bidi="en-GB"/>
        </w:rPr>
        <w:t>. I kliniske, kontrollerede studier med efavirenz fik 19 % af patienterne symptomer fra nervesystemet i moderat til svær grad (svær 2 %), og 2 % af patienterne ophørte med behandlingen på grund af sådanne symptomer. De debuterer sædvanligvis i løbet af de første 1</w:t>
      </w:r>
      <w:r w:rsidRPr="0085642D">
        <w:rPr>
          <w:sz w:val="24"/>
          <w:szCs w:val="24"/>
          <w:lang w:bidi="en-GB"/>
        </w:rPr>
        <w:noBreakHyphen/>
        <w:t>2 behandlingsdage med efavirenz og forsvinder i reglen efter de første 2</w:t>
      </w:r>
      <w:r w:rsidRPr="0085642D">
        <w:rPr>
          <w:sz w:val="24"/>
          <w:szCs w:val="24"/>
          <w:lang w:bidi="en-GB"/>
        </w:rPr>
        <w:noBreakHyphen/>
        <w:t>4 uger. De kan forekomme hyppigere, hvis Efavirenz/Emtricitabine/Tenofovir disoproxil "Glenmark" indtages sammen med et måltid, muligvis pga. øget plasmakoncentration for efavirenz (se pkt. 5.2). Dosering ved sengetid synes at forbedre tolerabiliteten af disse symptomer (se pkt. 4.2).</w:t>
      </w:r>
    </w:p>
    <w:p w:rsidR="00D25F12" w:rsidRPr="0085642D" w:rsidRDefault="00D25F12" w:rsidP="00D25F12">
      <w:pPr>
        <w:ind w:left="851"/>
        <w:rPr>
          <w:sz w:val="24"/>
          <w:szCs w:val="24"/>
          <w:lang w:bidi="en-GB"/>
        </w:rPr>
      </w:pPr>
    </w:p>
    <w:p w:rsidR="00D25F12" w:rsidRPr="0085642D" w:rsidRDefault="00D25F12" w:rsidP="00D25F12">
      <w:pPr>
        <w:ind w:left="851"/>
        <w:rPr>
          <w:sz w:val="24"/>
          <w:szCs w:val="24"/>
          <w:lang w:bidi="en-GB"/>
        </w:rPr>
      </w:pPr>
      <w:r w:rsidRPr="0085642D">
        <w:rPr>
          <w:i/>
          <w:sz w:val="24"/>
          <w:szCs w:val="24"/>
          <w:lang w:bidi="en-GB"/>
        </w:rPr>
        <w:t xml:space="preserve">Leversvigt med efavirenz: </w:t>
      </w:r>
      <w:r w:rsidRPr="0085642D">
        <w:rPr>
          <w:sz w:val="24"/>
          <w:szCs w:val="24"/>
          <w:lang w:bidi="en-GB"/>
        </w:rPr>
        <w:t>Leversvigt, herunder tilfælde hos patienter uden præeksisterende leversygdom eller andre identificerede risikofaktorer, blev i indberetninger efter markedsføringen nogle gange karakteriseret ved et fulminant forløb, som i nogle tilfælde progredierede til transplantation eller død.</w:t>
      </w:r>
    </w:p>
    <w:p w:rsidR="00D25F12" w:rsidRPr="0085642D" w:rsidRDefault="00D25F12" w:rsidP="00D25F12">
      <w:pPr>
        <w:ind w:left="851"/>
        <w:rPr>
          <w:sz w:val="24"/>
          <w:szCs w:val="24"/>
          <w:lang w:bidi="en-GB"/>
        </w:rPr>
      </w:pPr>
    </w:p>
    <w:p w:rsidR="00243EA6" w:rsidRDefault="00243EA6" w:rsidP="00243EA6">
      <w:pPr>
        <w:ind w:left="851"/>
        <w:rPr>
          <w:sz w:val="24"/>
          <w:szCs w:val="24"/>
          <w:lang w:bidi="en-GB"/>
        </w:rPr>
      </w:pPr>
      <w:r>
        <w:rPr>
          <w:i/>
          <w:sz w:val="24"/>
          <w:szCs w:val="24"/>
          <w:lang w:bidi="en-GB"/>
        </w:rPr>
        <w:t>Nedsat nyrefunktion</w:t>
      </w:r>
      <w:r>
        <w:rPr>
          <w:sz w:val="24"/>
          <w:szCs w:val="24"/>
          <w:lang w:bidi="en-GB"/>
        </w:rPr>
        <w:t xml:space="preserve">: Da Efavirenz/Emtricitabine/Tenofovir disoproxil "Glenmark" kan forårsage nyreskader, anbefales monitorering af nyrefunktionen (se pkt. 4.4 og 4.8 Resumé af sikkerhedsprofilen). Proksimal renal tubulopati gik generelt væk eller blev bedre efter seponering af tenofovirdisoproxil. Hos nogle patienter gik reduktionen i kreatininclearance imidlertid ikke helt væk, trods seponering af tenofovirdisoproxil. Patienter med risiko for nedsat nyrefunktion (såsom patienter med renale risikofaktorer ved </w:t>
      </w:r>
      <w:r>
        <w:rPr>
          <w:i/>
          <w:sz w:val="24"/>
          <w:szCs w:val="24"/>
          <w:lang w:bidi="en-GB"/>
        </w:rPr>
        <w:t xml:space="preserve">baseline </w:t>
      </w:r>
      <w:r>
        <w:rPr>
          <w:sz w:val="24"/>
          <w:szCs w:val="24"/>
          <w:lang w:bidi="en-GB"/>
        </w:rPr>
        <w:t xml:space="preserve">eller </w:t>
      </w:r>
      <w:proofErr w:type="gramStart"/>
      <w:r>
        <w:rPr>
          <w:sz w:val="24"/>
          <w:szCs w:val="24"/>
          <w:lang w:bidi="en-GB"/>
        </w:rPr>
        <w:t>fremskreden</w:t>
      </w:r>
      <w:proofErr w:type="gramEnd"/>
      <w:r>
        <w:rPr>
          <w:sz w:val="24"/>
          <w:szCs w:val="24"/>
          <w:lang w:bidi="en-GB"/>
        </w:rPr>
        <w:t xml:space="preserve"> hiv</w:t>
      </w:r>
      <w:r>
        <w:rPr>
          <w:sz w:val="24"/>
          <w:szCs w:val="24"/>
          <w:lang w:bidi="en-GB"/>
        </w:rPr>
        <w:noBreakHyphen/>
        <w:t>sygdom eller patienter, der samtidig fik nefrotoksiske lægemidler) har en øget risiko for at opleve en ufuldstændig bedring af nyrefunktionen, trods seponering af tenofovirdisoproxil (se pkt. 4.4).</w:t>
      </w:r>
    </w:p>
    <w:p w:rsidR="00243EA6" w:rsidRDefault="00243EA6" w:rsidP="00243EA6">
      <w:pPr>
        <w:ind w:left="851"/>
        <w:rPr>
          <w:sz w:val="24"/>
          <w:szCs w:val="24"/>
          <w:lang w:bidi="en-GB"/>
        </w:rPr>
      </w:pPr>
    </w:p>
    <w:p w:rsidR="005A2B74" w:rsidRDefault="005A2B74" w:rsidP="005A2B74">
      <w:pPr>
        <w:ind w:left="851"/>
        <w:rPr>
          <w:sz w:val="24"/>
          <w:szCs w:val="24"/>
          <w:lang w:bidi="en-GB"/>
        </w:rPr>
      </w:pPr>
      <w:r>
        <w:rPr>
          <w:i/>
          <w:sz w:val="24"/>
          <w:szCs w:val="24"/>
          <w:lang w:bidi="en-GB"/>
        </w:rPr>
        <w:t xml:space="preserve">Laktatacidose: </w:t>
      </w:r>
      <w:r>
        <w:rPr>
          <w:sz w:val="24"/>
          <w:szCs w:val="24"/>
          <w:lang w:bidi="en-GB"/>
        </w:rPr>
        <w:t xml:space="preserve">Der er rapporteret tilfælde af laktatacidose med tenofovirdisoproxil alene eller i kombination med andre antiretrovirale midler. Patienter med prædisponerende faktorer, såsom patienter med </w:t>
      </w:r>
      <w:r w:rsidRPr="00CE7DA5">
        <w:rPr>
          <w:sz w:val="24"/>
          <w:szCs w:val="24"/>
          <w:lang w:bidi="en-GB"/>
        </w:rPr>
        <w:t>svært nedsat leverfunktion (CPT, klasse C) (se pkt. 4.3)</w:t>
      </w:r>
      <w:r>
        <w:rPr>
          <w:sz w:val="24"/>
          <w:szCs w:val="24"/>
          <w:lang w:bidi="en-GB"/>
        </w:rPr>
        <w:t xml:space="preserve">, eller patienter der får samtidige lægemidler, der vides at inducere laktatacidose, har en større risiko for at få svær laktatacidose under behandling med tenofovirdisoproxil, herunder med letal udgang. </w:t>
      </w:r>
    </w:p>
    <w:p w:rsidR="005A2B74" w:rsidRDefault="005A2B74" w:rsidP="005A2B74">
      <w:pPr>
        <w:ind w:left="851"/>
        <w:rPr>
          <w:sz w:val="24"/>
          <w:szCs w:val="24"/>
          <w:lang w:bidi="en-GB"/>
        </w:rPr>
      </w:pPr>
    </w:p>
    <w:p w:rsidR="005A2B74" w:rsidRDefault="005A2B74" w:rsidP="005A2B74">
      <w:pPr>
        <w:ind w:left="851"/>
        <w:rPr>
          <w:sz w:val="24"/>
          <w:szCs w:val="24"/>
          <w:lang w:bidi="en-GB"/>
        </w:rPr>
      </w:pPr>
      <w:r>
        <w:rPr>
          <w:i/>
          <w:sz w:val="24"/>
          <w:szCs w:val="24"/>
          <w:lang w:bidi="en-GB"/>
        </w:rPr>
        <w:t xml:space="preserve">Metaboliske parametre: </w:t>
      </w:r>
      <w:r>
        <w:rPr>
          <w:sz w:val="24"/>
          <w:szCs w:val="24"/>
          <w:lang w:bidi="en-GB"/>
        </w:rPr>
        <w:t>Kropsvægt og niveauerne af lipid og glucose i blodet kan stige under antiretroviral behandling (se pkt. 4.4).</w:t>
      </w:r>
    </w:p>
    <w:p w:rsidR="005A2B74" w:rsidRPr="0085642D" w:rsidRDefault="005A2B74" w:rsidP="005A2B74">
      <w:pPr>
        <w:ind w:left="851"/>
        <w:rPr>
          <w:sz w:val="24"/>
          <w:szCs w:val="24"/>
          <w:lang w:bidi="en-GB"/>
        </w:rPr>
      </w:pPr>
    </w:p>
    <w:p w:rsidR="005A2B74" w:rsidRPr="0085642D" w:rsidRDefault="005A2B74" w:rsidP="005A2B74">
      <w:pPr>
        <w:ind w:left="851"/>
        <w:rPr>
          <w:sz w:val="24"/>
          <w:szCs w:val="24"/>
          <w:lang w:bidi="en-GB"/>
        </w:rPr>
      </w:pPr>
      <w:r w:rsidRPr="0085642D">
        <w:rPr>
          <w:i/>
          <w:sz w:val="24"/>
          <w:szCs w:val="24"/>
          <w:lang w:bidi="en-GB"/>
        </w:rPr>
        <w:t xml:space="preserve">Immunreaktiveringssyndrom: </w:t>
      </w:r>
      <w:r w:rsidRPr="0085642D">
        <w:rPr>
          <w:sz w:val="24"/>
          <w:szCs w:val="24"/>
          <w:lang w:bidi="en-GB"/>
        </w:rPr>
        <w:t>Hos hiv</w:t>
      </w:r>
      <w:r w:rsidRPr="0085642D">
        <w:rPr>
          <w:sz w:val="24"/>
          <w:szCs w:val="24"/>
          <w:lang w:bidi="en-GB"/>
        </w:rPr>
        <w:noBreakHyphen/>
        <w:t>inficerede patienter med svær immuninsufficiens kan der ved påbegyndelse af CART opstå en inflammatorisk reaktion på asymptomatiske eller residuale opportunistiske infektioner. Autoimmune lidelser (såsom Graves sygdom</w:t>
      </w:r>
      <w:r>
        <w:rPr>
          <w:sz w:val="24"/>
          <w:szCs w:val="24"/>
          <w:lang w:bidi="en-GB"/>
        </w:rPr>
        <w:t xml:space="preserve"> </w:t>
      </w:r>
      <w:r w:rsidRPr="00CE7DA5">
        <w:rPr>
          <w:sz w:val="24"/>
          <w:szCs w:val="24"/>
          <w:lang w:bidi="en-GB"/>
        </w:rPr>
        <w:t>og autoimmun hepatitis</w:t>
      </w:r>
      <w:r w:rsidRPr="0085642D">
        <w:rPr>
          <w:sz w:val="24"/>
          <w:szCs w:val="24"/>
          <w:lang w:bidi="en-GB"/>
        </w:rPr>
        <w:t>) er også set; tiden til udbrud er mere variabel og kan være mange måneder efter initiering af behandling (se pkt. 4.4).</w:t>
      </w:r>
    </w:p>
    <w:p w:rsidR="00D25F12" w:rsidRPr="0085642D" w:rsidRDefault="00D25F12" w:rsidP="00D25F12">
      <w:pPr>
        <w:ind w:left="851"/>
        <w:rPr>
          <w:sz w:val="24"/>
          <w:szCs w:val="24"/>
          <w:lang w:bidi="en-GB"/>
        </w:rPr>
      </w:pPr>
    </w:p>
    <w:p w:rsidR="00D25F12" w:rsidRPr="0085642D" w:rsidRDefault="00D25F12" w:rsidP="00D25F12">
      <w:pPr>
        <w:ind w:left="851"/>
        <w:rPr>
          <w:sz w:val="24"/>
          <w:szCs w:val="24"/>
          <w:lang w:bidi="en-GB"/>
        </w:rPr>
      </w:pPr>
      <w:r w:rsidRPr="0085642D">
        <w:rPr>
          <w:i/>
          <w:sz w:val="24"/>
          <w:szCs w:val="24"/>
          <w:lang w:bidi="en-GB"/>
        </w:rPr>
        <w:t xml:space="preserve">Osteonekrose: </w:t>
      </w:r>
      <w:r w:rsidRPr="0085642D">
        <w:rPr>
          <w:sz w:val="24"/>
          <w:szCs w:val="24"/>
          <w:lang w:bidi="en-GB"/>
        </w:rPr>
        <w:t xml:space="preserve">Særligt hos patienter med generelt anerkendte risikofaktorer, </w:t>
      </w:r>
      <w:proofErr w:type="gramStart"/>
      <w:r w:rsidRPr="0085642D">
        <w:rPr>
          <w:sz w:val="24"/>
          <w:szCs w:val="24"/>
          <w:lang w:bidi="en-GB"/>
        </w:rPr>
        <w:t>fremskreden</w:t>
      </w:r>
      <w:proofErr w:type="gramEnd"/>
      <w:r w:rsidRPr="0085642D">
        <w:rPr>
          <w:sz w:val="24"/>
          <w:szCs w:val="24"/>
          <w:lang w:bidi="en-GB"/>
        </w:rPr>
        <w:t xml:space="preserve"> hiv</w:t>
      </w:r>
      <w:r w:rsidRPr="0085642D">
        <w:rPr>
          <w:sz w:val="24"/>
          <w:szCs w:val="24"/>
          <w:lang w:bidi="en-GB"/>
        </w:rPr>
        <w:noBreakHyphen/>
        <w:t>sygdom eller langvarig CART er der rapporteret om tilfælde af osteonekrose. Hyppigheden heraf er ukendt (se pkt. 4.4).</w:t>
      </w:r>
    </w:p>
    <w:p w:rsidR="00D25F12" w:rsidRPr="0085642D" w:rsidRDefault="00D25F12" w:rsidP="00D25F12">
      <w:pPr>
        <w:ind w:left="851"/>
        <w:rPr>
          <w:sz w:val="24"/>
          <w:szCs w:val="24"/>
          <w:lang w:bidi="en-GB"/>
        </w:rPr>
      </w:pPr>
    </w:p>
    <w:p w:rsidR="00D25F12" w:rsidRPr="0085642D" w:rsidRDefault="00D25F12" w:rsidP="00D25F12">
      <w:pPr>
        <w:ind w:left="851"/>
        <w:rPr>
          <w:sz w:val="24"/>
          <w:szCs w:val="24"/>
          <w:lang w:bidi="en-GB"/>
        </w:rPr>
      </w:pPr>
      <w:r w:rsidRPr="0085642D">
        <w:rPr>
          <w:sz w:val="24"/>
          <w:szCs w:val="24"/>
          <w:u w:val="single"/>
          <w:lang w:bidi="en-GB"/>
        </w:rPr>
        <w:t>Pædiatrisk population</w:t>
      </w:r>
    </w:p>
    <w:p w:rsidR="00D25F12" w:rsidRPr="0085642D" w:rsidRDefault="00D25F12" w:rsidP="00D25F12">
      <w:pPr>
        <w:ind w:left="851"/>
        <w:rPr>
          <w:sz w:val="24"/>
          <w:szCs w:val="24"/>
          <w:lang w:bidi="en-GB"/>
        </w:rPr>
      </w:pPr>
      <w:r w:rsidRPr="0085642D">
        <w:rPr>
          <w:sz w:val="24"/>
          <w:szCs w:val="24"/>
          <w:lang w:bidi="en-GB"/>
        </w:rPr>
        <w:t>Der er utilstrækkelige data tilgængelige hos børn under 18 år. Efavirenz/Emtricitabine/Tenofovir disoproxil "Glenmark" bør ikke anvendes til denne population (se pkt.</w:t>
      </w:r>
      <w:r w:rsidRPr="0085642D">
        <w:rPr>
          <w:sz w:val="24"/>
          <w:szCs w:val="24"/>
        </w:rPr>
        <w:t> </w:t>
      </w:r>
      <w:r w:rsidRPr="0085642D">
        <w:rPr>
          <w:sz w:val="24"/>
          <w:szCs w:val="24"/>
          <w:lang w:bidi="en-GB"/>
        </w:rPr>
        <w:t>4.2).</w:t>
      </w:r>
    </w:p>
    <w:p w:rsidR="00D25F12" w:rsidRPr="0085642D" w:rsidRDefault="00D25F12" w:rsidP="00D25F12">
      <w:pPr>
        <w:ind w:left="851"/>
        <w:rPr>
          <w:sz w:val="24"/>
          <w:szCs w:val="24"/>
          <w:lang w:bidi="en-GB"/>
        </w:rPr>
      </w:pPr>
    </w:p>
    <w:p w:rsidR="00D25F12" w:rsidRPr="0085642D" w:rsidRDefault="00D25F12" w:rsidP="00D25F12">
      <w:pPr>
        <w:ind w:left="851"/>
        <w:rPr>
          <w:sz w:val="24"/>
          <w:szCs w:val="24"/>
          <w:lang w:bidi="en-GB"/>
        </w:rPr>
      </w:pPr>
      <w:r w:rsidRPr="0085642D">
        <w:rPr>
          <w:sz w:val="24"/>
          <w:szCs w:val="24"/>
          <w:u w:val="single"/>
          <w:lang w:bidi="en-GB"/>
        </w:rPr>
        <w:lastRenderedPageBreak/>
        <w:t>Andre særlige populationer</w:t>
      </w:r>
    </w:p>
    <w:p w:rsidR="00D25F12" w:rsidRPr="0085642D" w:rsidRDefault="00D25F12" w:rsidP="00D25F12">
      <w:pPr>
        <w:ind w:left="851"/>
        <w:rPr>
          <w:sz w:val="24"/>
          <w:szCs w:val="24"/>
          <w:lang w:bidi="en-GB"/>
        </w:rPr>
      </w:pPr>
      <w:r w:rsidRPr="0085642D">
        <w:rPr>
          <w:i/>
          <w:sz w:val="24"/>
          <w:szCs w:val="24"/>
          <w:lang w:bidi="en-GB"/>
        </w:rPr>
        <w:t xml:space="preserve">Ældre: </w:t>
      </w:r>
      <w:r w:rsidRPr="0085642D">
        <w:rPr>
          <w:sz w:val="24"/>
          <w:szCs w:val="24"/>
        </w:rPr>
        <w:t>Efavirenz/emtricitabin/tenofovirdisoproxil</w:t>
      </w:r>
      <w:r w:rsidRPr="0085642D">
        <w:rPr>
          <w:sz w:val="24"/>
          <w:szCs w:val="24"/>
          <w:lang w:bidi="en-GB"/>
        </w:rPr>
        <w:t xml:space="preserve"> er ikke blevet undersøgt hos patienter over 65 år. Da det er mere sandsynligt, at ældre patienter har nedsat lever- eller nyrefunktion, skal der udvises forsigtighed ved behandling af ældre patienter med Efavirenz/Emtricitabine/Tenofovir disoproxil "Glenmark" (se pkt. 4.2).</w:t>
      </w:r>
    </w:p>
    <w:p w:rsidR="00D25F12" w:rsidRPr="0085642D" w:rsidRDefault="00D25F12" w:rsidP="00D25F12">
      <w:pPr>
        <w:ind w:left="851"/>
        <w:rPr>
          <w:sz w:val="24"/>
          <w:szCs w:val="24"/>
          <w:lang w:bidi="en-GB"/>
        </w:rPr>
      </w:pPr>
    </w:p>
    <w:p w:rsidR="00D25F12" w:rsidRPr="0085642D" w:rsidRDefault="00D25F12" w:rsidP="00D25F12">
      <w:pPr>
        <w:ind w:left="851"/>
        <w:rPr>
          <w:sz w:val="24"/>
          <w:szCs w:val="24"/>
          <w:lang w:bidi="en-GB"/>
        </w:rPr>
      </w:pPr>
      <w:r w:rsidRPr="0085642D">
        <w:rPr>
          <w:i/>
          <w:sz w:val="24"/>
          <w:szCs w:val="24"/>
          <w:lang w:bidi="en-GB"/>
        </w:rPr>
        <w:t xml:space="preserve">Patienter med nedsat nyrefunktion: </w:t>
      </w:r>
      <w:r w:rsidRPr="0085642D">
        <w:rPr>
          <w:sz w:val="24"/>
          <w:szCs w:val="24"/>
          <w:lang w:bidi="en-GB"/>
        </w:rPr>
        <w:t>Da tenofovirdisoproxil kan forårsage nyretoksicitet, anbefales tæt monitorering af nyrefunktionen hos alle patienter med let nedsat nyrefunktion, som behandles med Efavirenz/Emtricitabine/Tenofovir disoproxil "Glenmark" (se pkt. 4.2, 4.4 og 5.2).</w:t>
      </w:r>
    </w:p>
    <w:p w:rsidR="00D25F12" w:rsidRPr="0085642D" w:rsidRDefault="00D25F12" w:rsidP="00D25F12">
      <w:pPr>
        <w:ind w:left="851"/>
        <w:rPr>
          <w:sz w:val="24"/>
          <w:szCs w:val="24"/>
          <w:lang w:bidi="en-GB"/>
        </w:rPr>
      </w:pPr>
    </w:p>
    <w:p w:rsidR="00D25F12" w:rsidRPr="0085642D" w:rsidRDefault="00D25F12" w:rsidP="00D25F12">
      <w:pPr>
        <w:ind w:left="851"/>
        <w:rPr>
          <w:sz w:val="24"/>
          <w:szCs w:val="24"/>
          <w:lang w:bidi="en-GB"/>
        </w:rPr>
      </w:pPr>
      <w:r w:rsidRPr="0085642D">
        <w:rPr>
          <w:i/>
          <w:sz w:val="24"/>
          <w:szCs w:val="24"/>
          <w:lang w:bidi="en-GB"/>
        </w:rPr>
        <w:t xml:space="preserve">Patienter, som samtidigt er inficerede med hiv/HBV eller hiv/HCV: </w:t>
      </w:r>
      <w:r w:rsidRPr="0085642D">
        <w:rPr>
          <w:sz w:val="24"/>
          <w:szCs w:val="24"/>
          <w:lang w:bidi="en-GB"/>
        </w:rPr>
        <w:t>Det var kun et begrænset antal patienter, som samtidigt var inficerede med HBV (n=13) eller HCV (n=26) i studie GS</w:t>
      </w:r>
      <w:r w:rsidRPr="0085642D">
        <w:rPr>
          <w:sz w:val="24"/>
          <w:szCs w:val="24"/>
          <w:lang w:bidi="en-GB"/>
        </w:rPr>
        <w:noBreakHyphen/>
        <w:t>01</w:t>
      </w:r>
      <w:r w:rsidRPr="0085642D">
        <w:rPr>
          <w:sz w:val="24"/>
          <w:szCs w:val="24"/>
          <w:lang w:bidi="en-GB"/>
        </w:rPr>
        <w:noBreakHyphen/>
        <w:t>934. Bivirkningsprofilen for efavirenz, emtricitabin og tenofovirdisoproxil hos patienter, som samtidigt var inficerede med hiv/HBV eller hiv/HCV, lignede den, der observeredes hos patienter, som kun var inficerede med hiv. Som det kunne forventes, forekom ASAT- og ALAT</w:t>
      </w:r>
      <w:r w:rsidRPr="0085642D">
        <w:rPr>
          <w:sz w:val="24"/>
          <w:szCs w:val="24"/>
          <w:lang w:bidi="en-GB"/>
        </w:rPr>
        <w:noBreakHyphen/>
        <w:t xml:space="preserve">forhøjelser imidlertid hyppigere hos denne patientpopulation end hos </w:t>
      </w:r>
      <w:proofErr w:type="gramStart"/>
      <w:r w:rsidRPr="0085642D">
        <w:rPr>
          <w:sz w:val="24"/>
          <w:szCs w:val="24"/>
          <w:lang w:bidi="en-GB"/>
        </w:rPr>
        <w:t>den generelle hiv</w:t>
      </w:r>
      <w:proofErr w:type="gramEnd"/>
      <w:r w:rsidRPr="0085642D">
        <w:rPr>
          <w:sz w:val="24"/>
          <w:szCs w:val="24"/>
          <w:lang w:bidi="en-GB"/>
        </w:rPr>
        <w:noBreakHyphen/>
        <w:t>inficerede population.</w:t>
      </w:r>
    </w:p>
    <w:p w:rsidR="00D25F12" w:rsidRPr="0085642D" w:rsidRDefault="00D25F12" w:rsidP="00D25F12">
      <w:pPr>
        <w:ind w:left="851"/>
        <w:rPr>
          <w:sz w:val="24"/>
          <w:szCs w:val="24"/>
          <w:lang w:bidi="en-GB"/>
        </w:rPr>
      </w:pPr>
    </w:p>
    <w:p w:rsidR="00D25F12" w:rsidRPr="0085642D" w:rsidRDefault="00D25F12" w:rsidP="00D25F12">
      <w:pPr>
        <w:ind w:left="851"/>
        <w:rPr>
          <w:sz w:val="24"/>
          <w:szCs w:val="24"/>
          <w:lang w:bidi="en-GB"/>
        </w:rPr>
      </w:pPr>
      <w:r w:rsidRPr="0085642D">
        <w:rPr>
          <w:i/>
          <w:sz w:val="24"/>
          <w:szCs w:val="24"/>
          <w:lang w:bidi="en-GB"/>
        </w:rPr>
        <w:t xml:space="preserve">Forværring af hepatitis efter seponering af behandling: </w:t>
      </w:r>
      <w:r w:rsidRPr="0085642D">
        <w:rPr>
          <w:sz w:val="24"/>
          <w:szCs w:val="24"/>
          <w:lang w:bidi="en-GB"/>
        </w:rPr>
        <w:t>Hos hiv</w:t>
      </w:r>
      <w:r w:rsidRPr="0085642D">
        <w:rPr>
          <w:sz w:val="24"/>
          <w:szCs w:val="24"/>
          <w:lang w:bidi="en-GB"/>
        </w:rPr>
        <w:noBreakHyphen/>
        <w:t>inficerede patienter, som samtidig er inficeret med HBV, kan der fremkomme klinisk og laboratoriemæssig evidens for hepatitis efter seponering af behandlingen (se pkt. 4.4).</w:t>
      </w:r>
    </w:p>
    <w:p w:rsidR="00D25F12" w:rsidRPr="0085642D" w:rsidRDefault="00D25F12" w:rsidP="00D25F12">
      <w:pPr>
        <w:ind w:left="851"/>
        <w:rPr>
          <w:sz w:val="24"/>
          <w:szCs w:val="24"/>
        </w:rPr>
      </w:pPr>
    </w:p>
    <w:p w:rsidR="00D25F12" w:rsidRPr="0085642D" w:rsidRDefault="00D25F12" w:rsidP="006F5EA6">
      <w:pPr>
        <w:keepNext/>
        <w:autoSpaceDE w:val="0"/>
        <w:autoSpaceDN w:val="0"/>
        <w:adjustRightInd w:val="0"/>
        <w:ind w:left="851"/>
        <w:rPr>
          <w:sz w:val="24"/>
          <w:szCs w:val="24"/>
          <w:u w:val="single"/>
        </w:rPr>
      </w:pPr>
      <w:r w:rsidRPr="0085642D">
        <w:rPr>
          <w:noProof/>
          <w:sz w:val="24"/>
          <w:szCs w:val="24"/>
          <w:u w:val="single"/>
        </w:rPr>
        <w:t>Indberetning af formodede bivirkninger</w:t>
      </w:r>
    </w:p>
    <w:p w:rsidR="00D25F12" w:rsidRDefault="00D25F12" w:rsidP="00D25F12">
      <w:pPr>
        <w:tabs>
          <w:tab w:val="left" w:pos="567"/>
        </w:tabs>
        <w:autoSpaceDE w:val="0"/>
        <w:autoSpaceDN w:val="0"/>
        <w:adjustRightInd w:val="0"/>
        <w:ind w:left="851"/>
        <w:rPr>
          <w:noProof/>
          <w:sz w:val="24"/>
          <w:szCs w:val="24"/>
        </w:rPr>
      </w:pPr>
      <w:r w:rsidRPr="0085642D">
        <w:rPr>
          <w:noProof/>
          <w:sz w:val="24"/>
          <w:szCs w:val="24"/>
        </w:rPr>
        <w:t>Når lægemidlet er godkendt, er indberetning af formodede bivirkninger vigtig.</w:t>
      </w:r>
      <w:r w:rsidRPr="0085642D">
        <w:rPr>
          <w:sz w:val="24"/>
          <w:szCs w:val="24"/>
        </w:rPr>
        <w:t xml:space="preserve"> </w:t>
      </w:r>
      <w:r w:rsidRPr="0085642D">
        <w:rPr>
          <w:noProof/>
          <w:sz w:val="24"/>
          <w:szCs w:val="24"/>
        </w:rPr>
        <w:t>Det muliggør løbende overvågning af benefit/risk-forholdet for lægemidlet.</w:t>
      </w:r>
      <w:r w:rsidRPr="0085642D">
        <w:rPr>
          <w:sz w:val="24"/>
          <w:szCs w:val="24"/>
        </w:rPr>
        <w:t xml:space="preserve"> </w:t>
      </w:r>
      <w:r w:rsidR="000A7D40">
        <w:rPr>
          <w:noProof/>
          <w:sz w:val="24"/>
          <w:szCs w:val="24"/>
        </w:rPr>
        <w:t>S</w:t>
      </w:r>
      <w:r w:rsidRPr="0085642D">
        <w:rPr>
          <w:noProof/>
          <w:sz w:val="24"/>
          <w:szCs w:val="24"/>
        </w:rPr>
        <w:t>undhedspersone</w:t>
      </w:r>
      <w:r w:rsidR="000A7D40">
        <w:rPr>
          <w:noProof/>
          <w:sz w:val="24"/>
          <w:szCs w:val="24"/>
        </w:rPr>
        <w:t xml:space="preserve">r </w:t>
      </w:r>
      <w:r w:rsidRPr="0085642D">
        <w:rPr>
          <w:noProof/>
          <w:sz w:val="24"/>
          <w:szCs w:val="24"/>
        </w:rPr>
        <w:t>anmodes om at indberette alle formodede bivirkninger via</w:t>
      </w:r>
      <w:r w:rsidR="000A7D40">
        <w:rPr>
          <w:noProof/>
          <w:sz w:val="24"/>
          <w:szCs w:val="24"/>
        </w:rPr>
        <w:t>:</w:t>
      </w:r>
    </w:p>
    <w:p w:rsidR="000A7D40" w:rsidRPr="0085642D" w:rsidRDefault="000A7D40" w:rsidP="00D25F12">
      <w:pPr>
        <w:tabs>
          <w:tab w:val="left" w:pos="567"/>
        </w:tabs>
        <w:autoSpaceDE w:val="0"/>
        <w:autoSpaceDN w:val="0"/>
        <w:adjustRightInd w:val="0"/>
        <w:ind w:left="851"/>
        <w:rPr>
          <w:noProof/>
          <w:sz w:val="24"/>
          <w:szCs w:val="24"/>
        </w:rPr>
      </w:pPr>
    </w:p>
    <w:p w:rsidR="00D25F12" w:rsidRPr="0085642D" w:rsidRDefault="00D25F12" w:rsidP="00174313">
      <w:pPr>
        <w:keepNext/>
        <w:tabs>
          <w:tab w:val="left" w:pos="567"/>
        </w:tabs>
        <w:autoSpaceDE w:val="0"/>
        <w:autoSpaceDN w:val="0"/>
        <w:adjustRightInd w:val="0"/>
        <w:ind w:left="851"/>
        <w:rPr>
          <w:noProof/>
          <w:sz w:val="24"/>
          <w:szCs w:val="24"/>
        </w:rPr>
      </w:pPr>
      <w:r w:rsidRPr="0085642D">
        <w:rPr>
          <w:noProof/>
          <w:sz w:val="24"/>
          <w:szCs w:val="24"/>
        </w:rPr>
        <w:t>Lægemiddelstyrelsen</w:t>
      </w:r>
    </w:p>
    <w:p w:rsidR="00D25F12" w:rsidRPr="0085642D" w:rsidRDefault="00D25F12" w:rsidP="00D25F12">
      <w:pPr>
        <w:tabs>
          <w:tab w:val="left" w:pos="567"/>
        </w:tabs>
        <w:autoSpaceDE w:val="0"/>
        <w:autoSpaceDN w:val="0"/>
        <w:adjustRightInd w:val="0"/>
        <w:ind w:left="851"/>
        <w:rPr>
          <w:noProof/>
          <w:sz w:val="24"/>
          <w:szCs w:val="24"/>
        </w:rPr>
      </w:pPr>
      <w:r w:rsidRPr="0085642D">
        <w:rPr>
          <w:noProof/>
          <w:sz w:val="24"/>
          <w:szCs w:val="24"/>
        </w:rPr>
        <w:t>Axel Heides Gade 1</w:t>
      </w:r>
    </w:p>
    <w:p w:rsidR="00D25F12" w:rsidRPr="0085642D" w:rsidRDefault="00D25F12" w:rsidP="00D25F12">
      <w:pPr>
        <w:tabs>
          <w:tab w:val="left" w:pos="567"/>
        </w:tabs>
        <w:autoSpaceDE w:val="0"/>
        <w:autoSpaceDN w:val="0"/>
        <w:adjustRightInd w:val="0"/>
        <w:ind w:left="851"/>
        <w:rPr>
          <w:noProof/>
          <w:sz w:val="24"/>
          <w:szCs w:val="24"/>
        </w:rPr>
      </w:pPr>
      <w:r w:rsidRPr="0085642D">
        <w:rPr>
          <w:noProof/>
          <w:sz w:val="24"/>
          <w:szCs w:val="24"/>
        </w:rPr>
        <w:t>DK-2300 København S</w:t>
      </w:r>
    </w:p>
    <w:p w:rsidR="00D25F12" w:rsidRPr="007D153B" w:rsidRDefault="00D25F12" w:rsidP="00D25F12">
      <w:pPr>
        <w:tabs>
          <w:tab w:val="left" w:pos="567"/>
        </w:tabs>
        <w:autoSpaceDE w:val="0"/>
        <w:autoSpaceDN w:val="0"/>
        <w:adjustRightInd w:val="0"/>
        <w:ind w:left="851"/>
        <w:rPr>
          <w:noProof/>
          <w:sz w:val="24"/>
          <w:szCs w:val="24"/>
        </w:rPr>
      </w:pPr>
      <w:r w:rsidRPr="007D153B">
        <w:rPr>
          <w:noProof/>
          <w:sz w:val="24"/>
          <w:szCs w:val="24"/>
        </w:rPr>
        <w:t xml:space="preserve">Websted: </w:t>
      </w:r>
      <w:hyperlink r:id="rId8" w:history="1">
        <w:r w:rsidRPr="007D153B">
          <w:rPr>
            <w:rStyle w:val="Hyperlink"/>
            <w:noProof/>
            <w:sz w:val="24"/>
            <w:szCs w:val="24"/>
          </w:rPr>
          <w:t>www.meldenbivirkning.dk</w:t>
        </w:r>
      </w:hyperlink>
    </w:p>
    <w:p w:rsidR="00D25F12" w:rsidRPr="007D153B" w:rsidRDefault="00D25F12" w:rsidP="00D25F12">
      <w:pPr>
        <w:pStyle w:val="Sidehoved"/>
        <w:tabs>
          <w:tab w:val="left" w:pos="851"/>
        </w:tabs>
        <w:ind w:left="851"/>
        <w:rPr>
          <w:szCs w:val="24"/>
        </w:rPr>
      </w:pPr>
    </w:p>
    <w:p w:rsidR="00D25F12" w:rsidRPr="0085642D" w:rsidRDefault="00D25F12" w:rsidP="00D25F12">
      <w:pPr>
        <w:tabs>
          <w:tab w:val="left" w:pos="851"/>
        </w:tabs>
        <w:ind w:left="851" w:hanging="851"/>
        <w:rPr>
          <w:b/>
          <w:sz w:val="24"/>
          <w:szCs w:val="24"/>
        </w:rPr>
      </w:pPr>
      <w:r w:rsidRPr="0085642D">
        <w:rPr>
          <w:b/>
          <w:sz w:val="24"/>
          <w:szCs w:val="24"/>
        </w:rPr>
        <w:t>4.9</w:t>
      </w:r>
      <w:r w:rsidRPr="0085642D">
        <w:rPr>
          <w:b/>
          <w:sz w:val="24"/>
          <w:szCs w:val="24"/>
        </w:rPr>
        <w:tab/>
        <w:t>Overdosering</w:t>
      </w:r>
    </w:p>
    <w:p w:rsidR="00D25F12" w:rsidRPr="0085642D" w:rsidRDefault="00D25F12" w:rsidP="00D25F12">
      <w:pPr>
        <w:ind w:left="851"/>
        <w:rPr>
          <w:sz w:val="24"/>
          <w:szCs w:val="24"/>
          <w:lang w:eastAsia="fr-LU" w:bidi="en-GB"/>
        </w:rPr>
      </w:pPr>
      <w:r w:rsidRPr="0085642D">
        <w:rPr>
          <w:sz w:val="24"/>
          <w:szCs w:val="24"/>
          <w:lang w:bidi="en-GB"/>
        </w:rPr>
        <w:t>Nogle patienter, der ved et uheld havde taget 600 mg 2 gange dagligt, rapporterede om forøgede symptomer fra nervesystemet. Én patient oplevede ufrivillige muskelkontraktioner.</w:t>
      </w:r>
    </w:p>
    <w:p w:rsidR="00D25F12" w:rsidRPr="0085642D" w:rsidRDefault="00D25F12" w:rsidP="00D25F12">
      <w:pPr>
        <w:ind w:left="851"/>
        <w:rPr>
          <w:sz w:val="24"/>
          <w:szCs w:val="24"/>
          <w:lang w:bidi="en-GB"/>
        </w:rPr>
      </w:pPr>
    </w:p>
    <w:p w:rsidR="00D25F12" w:rsidRPr="0085642D" w:rsidRDefault="00D25F12" w:rsidP="00D25F12">
      <w:pPr>
        <w:ind w:left="851"/>
        <w:rPr>
          <w:sz w:val="24"/>
          <w:szCs w:val="24"/>
          <w:lang w:bidi="en-GB"/>
        </w:rPr>
      </w:pPr>
      <w:r w:rsidRPr="0085642D">
        <w:rPr>
          <w:sz w:val="24"/>
          <w:szCs w:val="24"/>
          <w:lang w:bidi="en-GB"/>
        </w:rPr>
        <w:t>Hvis overdosering forekommer, skal patienten monitoreres med henblik på tegn på toksicitet (se pkt. 4.8), og standardmæssig, støttende behandling anvendes efter behov.</w:t>
      </w:r>
    </w:p>
    <w:p w:rsidR="00D25F12" w:rsidRPr="0085642D" w:rsidRDefault="00D25F12" w:rsidP="00D25F12">
      <w:pPr>
        <w:ind w:left="851"/>
        <w:rPr>
          <w:sz w:val="24"/>
          <w:szCs w:val="24"/>
          <w:lang w:bidi="en-GB"/>
        </w:rPr>
      </w:pPr>
    </w:p>
    <w:p w:rsidR="00D25F12" w:rsidRPr="0085642D" w:rsidRDefault="00D25F12" w:rsidP="00D25F12">
      <w:pPr>
        <w:ind w:left="851"/>
        <w:rPr>
          <w:sz w:val="24"/>
          <w:szCs w:val="24"/>
          <w:lang w:bidi="en-GB"/>
        </w:rPr>
      </w:pPr>
      <w:r w:rsidRPr="0085642D">
        <w:rPr>
          <w:sz w:val="24"/>
          <w:szCs w:val="24"/>
          <w:lang w:bidi="en-GB"/>
        </w:rPr>
        <w:t>Administration af aktivt kul kan anvendes for at understøtte fjernelse af ikke</w:t>
      </w:r>
      <w:r w:rsidRPr="0085642D">
        <w:rPr>
          <w:sz w:val="24"/>
          <w:szCs w:val="24"/>
          <w:lang w:bidi="en-GB"/>
        </w:rPr>
        <w:noBreakHyphen/>
        <w:t>absorberet efavirenz. Der findes ingen specifik antidot mod overdosering med efavirenz. Da efavirenz har en høj proteinbindingsgrad, er det usandsynligt, at dialyse vil fjerne signifikante mængder af det fra blodet.</w:t>
      </w:r>
    </w:p>
    <w:p w:rsidR="00D25F12" w:rsidRPr="0085642D" w:rsidRDefault="00D25F12" w:rsidP="00D25F12">
      <w:pPr>
        <w:ind w:left="851"/>
        <w:rPr>
          <w:sz w:val="24"/>
          <w:szCs w:val="24"/>
          <w:lang w:bidi="en-GB"/>
        </w:rPr>
      </w:pPr>
    </w:p>
    <w:p w:rsidR="00D25F12" w:rsidRPr="0085642D" w:rsidRDefault="00D25F12" w:rsidP="00D25F12">
      <w:pPr>
        <w:ind w:left="851"/>
        <w:rPr>
          <w:sz w:val="24"/>
          <w:szCs w:val="24"/>
          <w:lang w:bidi="en-GB"/>
        </w:rPr>
      </w:pPr>
      <w:r w:rsidRPr="0085642D">
        <w:rPr>
          <w:sz w:val="24"/>
          <w:szCs w:val="24"/>
          <w:lang w:bidi="en-GB"/>
        </w:rPr>
        <w:t>Op til 30 % af emtricitabindosis og ca. 10 % af tenofovirdosis kan fjernes ved hæmodialyse. Det vides ikke, om emtricitabin eller tenofovir kan fjernes ved peritonealdialyse.</w:t>
      </w:r>
    </w:p>
    <w:p w:rsidR="00D25F12" w:rsidRPr="0085642D" w:rsidRDefault="00D25F12" w:rsidP="00D25F12">
      <w:pPr>
        <w:tabs>
          <w:tab w:val="left" w:pos="851"/>
        </w:tabs>
        <w:ind w:left="851"/>
        <w:rPr>
          <w:sz w:val="24"/>
          <w:szCs w:val="24"/>
        </w:rPr>
      </w:pPr>
    </w:p>
    <w:p w:rsidR="00D25F12" w:rsidRPr="0085642D" w:rsidRDefault="00D25F12" w:rsidP="00FE0330">
      <w:pPr>
        <w:keepNext/>
        <w:tabs>
          <w:tab w:val="left" w:pos="851"/>
        </w:tabs>
        <w:ind w:left="851" w:hanging="851"/>
        <w:rPr>
          <w:b/>
          <w:sz w:val="24"/>
          <w:szCs w:val="24"/>
        </w:rPr>
      </w:pPr>
      <w:r w:rsidRPr="0085642D">
        <w:rPr>
          <w:b/>
          <w:sz w:val="24"/>
          <w:szCs w:val="24"/>
        </w:rPr>
        <w:lastRenderedPageBreak/>
        <w:t>4.10</w:t>
      </w:r>
      <w:r w:rsidRPr="0085642D">
        <w:rPr>
          <w:b/>
          <w:sz w:val="24"/>
          <w:szCs w:val="24"/>
        </w:rPr>
        <w:tab/>
        <w:t>Udlevering</w:t>
      </w:r>
    </w:p>
    <w:p w:rsidR="00D25F12" w:rsidRPr="0085642D" w:rsidRDefault="00D25F12" w:rsidP="00D25F12">
      <w:pPr>
        <w:tabs>
          <w:tab w:val="left" w:pos="851"/>
        </w:tabs>
        <w:ind w:left="851"/>
        <w:rPr>
          <w:sz w:val="24"/>
          <w:szCs w:val="24"/>
        </w:rPr>
      </w:pPr>
      <w:r w:rsidRPr="0085642D">
        <w:rPr>
          <w:sz w:val="24"/>
          <w:szCs w:val="24"/>
        </w:rPr>
        <w:t>BEGR - kun til sygehuse</w:t>
      </w:r>
    </w:p>
    <w:p w:rsidR="00D25F12" w:rsidRPr="0085642D" w:rsidRDefault="00D25F12" w:rsidP="00D25F12">
      <w:pPr>
        <w:tabs>
          <w:tab w:val="left" w:pos="851"/>
        </w:tabs>
        <w:ind w:left="851"/>
        <w:rPr>
          <w:sz w:val="24"/>
          <w:szCs w:val="24"/>
        </w:rPr>
      </w:pPr>
    </w:p>
    <w:p w:rsidR="00D25F12" w:rsidRPr="0085642D" w:rsidRDefault="00D25F12" w:rsidP="00D25F12">
      <w:pPr>
        <w:tabs>
          <w:tab w:val="left" w:pos="851"/>
        </w:tabs>
        <w:ind w:left="851"/>
        <w:rPr>
          <w:sz w:val="24"/>
          <w:szCs w:val="24"/>
        </w:rPr>
      </w:pPr>
    </w:p>
    <w:p w:rsidR="00D25F12" w:rsidRPr="0085642D" w:rsidRDefault="00D25F12" w:rsidP="00D25F12">
      <w:pPr>
        <w:tabs>
          <w:tab w:val="left" w:pos="851"/>
        </w:tabs>
        <w:ind w:left="851" w:hanging="851"/>
        <w:rPr>
          <w:b/>
          <w:sz w:val="24"/>
          <w:szCs w:val="24"/>
        </w:rPr>
      </w:pPr>
      <w:r w:rsidRPr="0085642D">
        <w:rPr>
          <w:b/>
          <w:sz w:val="24"/>
          <w:szCs w:val="24"/>
        </w:rPr>
        <w:t>5.</w:t>
      </w:r>
      <w:r w:rsidRPr="0085642D">
        <w:rPr>
          <w:b/>
          <w:sz w:val="24"/>
          <w:szCs w:val="24"/>
        </w:rPr>
        <w:tab/>
        <w:t>FARMAKOLOGISKE EGENSKABER</w:t>
      </w:r>
    </w:p>
    <w:p w:rsidR="00D25F12" w:rsidRPr="0085642D" w:rsidRDefault="00D25F12" w:rsidP="00D25F12">
      <w:pPr>
        <w:tabs>
          <w:tab w:val="left" w:pos="851"/>
        </w:tabs>
        <w:ind w:left="851"/>
        <w:rPr>
          <w:sz w:val="24"/>
          <w:szCs w:val="24"/>
        </w:rPr>
      </w:pPr>
    </w:p>
    <w:p w:rsidR="00D25F12" w:rsidRPr="0085642D" w:rsidRDefault="00D25F12" w:rsidP="00D25F12">
      <w:pPr>
        <w:tabs>
          <w:tab w:val="num" w:pos="851"/>
        </w:tabs>
        <w:ind w:left="851" w:hanging="851"/>
        <w:rPr>
          <w:b/>
          <w:sz w:val="24"/>
          <w:szCs w:val="24"/>
        </w:rPr>
      </w:pPr>
      <w:r w:rsidRPr="0085642D">
        <w:rPr>
          <w:b/>
          <w:sz w:val="24"/>
          <w:szCs w:val="24"/>
        </w:rPr>
        <w:t>5.1</w:t>
      </w:r>
      <w:r w:rsidRPr="0085642D">
        <w:rPr>
          <w:b/>
          <w:sz w:val="24"/>
          <w:szCs w:val="24"/>
        </w:rPr>
        <w:tab/>
        <w:t>Farmakodynamiske egenskaber</w:t>
      </w:r>
    </w:p>
    <w:p w:rsidR="00D25F12" w:rsidRDefault="00D25F12" w:rsidP="00D25F12">
      <w:pPr>
        <w:suppressAutoHyphens/>
        <w:rPr>
          <w:sz w:val="24"/>
          <w:szCs w:val="24"/>
          <w:u w:val="single"/>
          <w:lang w:bidi="en-GB"/>
        </w:rPr>
      </w:pPr>
    </w:p>
    <w:p w:rsidR="00FE0330" w:rsidRPr="00FE0330" w:rsidRDefault="00FE0330" w:rsidP="00FE0330">
      <w:pPr>
        <w:suppressAutoHyphens/>
        <w:ind w:left="851"/>
        <w:rPr>
          <w:sz w:val="24"/>
          <w:szCs w:val="24"/>
          <w:u w:val="single"/>
          <w:lang w:bidi="en-GB"/>
        </w:rPr>
      </w:pPr>
      <w:r w:rsidRPr="00FE0330">
        <w:rPr>
          <w:sz w:val="24"/>
          <w:szCs w:val="24"/>
        </w:rPr>
        <w:t>Farmaterapeutisk klassifikation</w:t>
      </w:r>
      <w:r>
        <w:rPr>
          <w:sz w:val="24"/>
          <w:szCs w:val="24"/>
        </w:rPr>
        <w:t xml:space="preserve">: </w:t>
      </w:r>
      <w:r w:rsidRPr="0085642D">
        <w:rPr>
          <w:sz w:val="24"/>
          <w:szCs w:val="24"/>
          <w:lang w:bidi="en-GB"/>
        </w:rPr>
        <w:t>Antivirale midler til systemisk brug, Antivirale lægemidler til behandling af hiv</w:t>
      </w:r>
      <w:r w:rsidRPr="0085642D">
        <w:rPr>
          <w:sz w:val="24"/>
          <w:szCs w:val="24"/>
          <w:lang w:bidi="en-GB"/>
        </w:rPr>
        <w:noBreakHyphen/>
        <w:t>infektioner, kombinationer.</w:t>
      </w:r>
      <w:r>
        <w:rPr>
          <w:sz w:val="24"/>
          <w:szCs w:val="24"/>
          <w:lang w:bidi="en-GB"/>
        </w:rPr>
        <w:t xml:space="preserve"> </w:t>
      </w:r>
      <w:r w:rsidRPr="0085642D">
        <w:rPr>
          <w:sz w:val="24"/>
          <w:szCs w:val="24"/>
          <w:lang w:bidi="en-GB"/>
        </w:rPr>
        <w:t>ATC</w:t>
      </w:r>
      <w:r w:rsidRPr="0085642D">
        <w:rPr>
          <w:sz w:val="24"/>
          <w:szCs w:val="24"/>
          <w:lang w:bidi="en-GB"/>
        </w:rPr>
        <w:noBreakHyphen/>
        <w:t>kode: J 05 AR 06.</w:t>
      </w:r>
    </w:p>
    <w:p w:rsidR="00FE0330" w:rsidRPr="0085642D" w:rsidRDefault="00FE0330" w:rsidP="00D25F12">
      <w:pPr>
        <w:suppressAutoHyphens/>
        <w:rPr>
          <w:sz w:val="24"/>
          <w:szCs w:val="24"/>
          <w:u w:val="single"/>
          <w:lang w:bidi="en-GB"/>
        </w:rPr>
      </w:pPr>
    </w:p>
    <w:p w:rsidR="00D25F12" w:rsidRPr="0085642D" w:rsidRDefault="00D25F12" w:rsidP="00D25F12">
      <w:pPr>
        <w:suppressAutoHyphens/>
        <w:ind w:left="851"/>
        <w:rPr>
          <w:sz w:val="24"/>
          <w:szCs w:val="24"/>
          <w:lang w:eastAsia="fr-LU" w:bidi="en-GB"/>
        </w:rPr>
      </w:pPr>
      <w:r w:rsidRPr="0085642D">
        <w:rPr>
          <w:sz w:val="24"/>
          <w:szCs w:val="24"/>
          <w:u w:val="single"/>
          <w:lang w:bidi="en-GB"/>
        </w:rPr>
        <w:t>Virkningsmekanisme og farmakodynamisk virkning</w:t>
      </w:r>
    </w:p>
    <w:p w:rsidR="00D25F12" w:rsidRPr="0085642D" w:rsidRDefault="00D25F12" w:rsidP="00D25F12">
      <w:pPr>
        <w:suppressAutoHyphens/>
        <w:ind w:left="851"/>
        <w:rPr>
          <w:sz w:val="24"/>
          <w:szCs w:val="24"/>
          <w:lang w:bidi="en-GB"/>
        </w:rPr>
      </w:pPr>
      <w:r w:rsidRPr="0085642D">
        <w:rPr>
          <w:sz w:val="24"/>
          <w:szCs w:val="24"/>
          <w:lang w:bidi="en-GB"/>
        </w:rPr>
        <w:t>Efavirenz er en NNRTI af hiv</w:t>
      </w:r>
      <w:r w:rsidRPr="0085642D">
        <w:rPr>
          <w:sz w:val="24"/>
          <w:szCs w:val="24"/>
          <w:lang w:bidi="en-GB"/>
        </w:rPr>
        <w:noBreakHyphen/>
        <w:t>1. Efavirenz er en nonkompetitiv hæmmer af hiv</w:t>
      </w:r>
      <w:r w:rsidRPr="0085642D">
        <w:rPr>
          <w:sz w:val="24"/>
          <w:szCs w:val="24"/>
          <w:lang w:bidi="en-GB"/>
        </w:rPr>
        <w:noBreakHyphen/>
        <w:t>1 revers transkriptase (RT) og hæmmer ikke signifikant human immundeficient virus</w:t>
      </w:r>
      <w:r w:rsidRPr="0085642D">
        <w:rPr>
          <w:sz w:val="24"/>
          <w:szCs w:val="24"/>
          <w:lang w:bidi="en-GB"/>
        </w:rPr>
        <w:noBreakHyphen/>
        <w:t>2 (hiv</w:t>
      </w:r>
      <w:r w:rsidRPr="0085642D">
        <w:rPr>
          <w:sz w:val="24"/>
          <w:szCs w:val="24"/>
          <w:lang w:bidi="en-GB"/>
        </w:rPr>
        <w:noBreakHyphen/>
        <w:t xml:space="preserve">2) RT eller cellulære deoxyribonukleinsyre (dna) polymeraser (α, β, γ eller δ). Emtricitabin er en nukleosidanalog af cytidin. Tenofovirdisoproxil omdannes </w:t>
      </w:r>
      <w:r w:rsidRPr="0085642D">
        <w:rPr>
          <w:i/>
          <w:sz w:val="24"/>
          <w:szCs w:val="24"/>
          <w:lang w:bidi="en-GB"/>
        </w:rPr>
        <w:t xml:space="preserve">in vivo </w:t>
      </w:r>
      <w:r w:rsidRPr="0085642D">
        <w:rPr>
          <w:sz w:val="24"/>
          <w:szCs w:val="24"/>
          <w:lang w:bidi="en-GB"/>
        </w:rPr>
        <w:t>til tenofovir, der er en nukleosidmonophosphat (nukleotid) analog af adenosinmonophosphat.</w:t>
      </w:r>
    </w:p>
    <w:p w:rsidR="00D25F12" w:rsidRPr="0085642D" w:rsidRDefault="00D25F12" w:rsidP="00D25F12">
      <w:pPr>
        <w:suppressAutoHyphens/>
        <w:ind w:left="851"/>
        <w:rPr>
          <w:sz w:val="24"/>
          <w:szCs w:val="24"/>
          <w:lang w:bidi="en-GB"/>
        </w:rPr>
      </w:pPr>
    </w:p>
    <w:p w:rsidR="00D25F12" w:rsidRPr="0085642D" w:rsidRDefault="00D25F12" w:rsidP="00D25F12">
      <w:pPr>
        <w:suppressAutoHyphens/>
        <w:ind w:left="851"/>
        <w:rPr>
          <w:sz w:val="24"/>
          <w:szCs w:val="24"/>
          <w:lang w:bidi="en-GB"/>
        </w:rPr>
      </w:pPr>
      <w:r w:rsidRPr="0085642D">
        <w:rPr>
          <w:sz w:val="24"/>
          <w:szCs w:val="24"/>
          <w:lang w:bidi="en-GB"/>
        </w:rPr>
        <w:t xml:space="preserve">Emtricitabin og tenofovir fosforyleres af celleenzymer til at danne henholdsvis emtricitabintriphosphat og tenofovirdiphosphat. Studier </w:t>
      </w:r>
      <w:r w:rsidRPr="0085642D">
        <w:rPr>
          <w:i/>
          <w:sz w:val="24"/>
          <w:szCs w:val="24"/>
          <w:lang w:bidi="en-GB"/>
        </w:rPr>
        <w:t xml:space="preserve">in vitro </w:t>
      </w:r>
      <w:r w:rsidRPr="0085642D">
        <w:rPr>
          <w:sz w:val="24"/>
          <w:szCs w:val="24"/>
          <w:lang w:bidi="en-GB"/>
        </w:rPr>
        <w:t>har vist, at både emtricitabin og tenofovir kan fosforyleres fuldstændigt, når de kombineres i celler. Emtricitabintriphosphat og tenofovirdiphosphat hæmmer kompetitivt hiv</w:t>
      </w:r>
      <w:r w:rsidRPr="0085642D">
        <w:rPr>
          <w:sz w:val="24"/>
          <w:szCs w:val="24"/>
          <w:lang w:bidi="en-GB"/>
        </w:rPr>
        <w:noBreakHyphen/>
        <w:t>1 revers transkriptase, hvilket resulterer i dna</w:t>
      </w:r>
      <w:r w:rsidRPr="0085642D">
        <w:rPr>
          <w:sz w:val="24"/>
          <w:szCs w:val="24"/>
          <w:lang w:bidi="en-GB"/>
        </w:rPr>
        <w:noBreakHyphen/>
        <w:t>kædeblokering.</w:t>
      </w:r>
    </w:p>
    <w:p w:rsidR="00D25F12" w:rsidRPr="0085642D" w:rsidRDefault="00D25F12" w:rsidP="00D25F12">
      <w:pPr>
        <w:suppressAutoHyphens/>
        <w:ind w:left="851"/>
        <w:rPr>
          <w:sz w:val="24"/>
          <w:szCs w:val="24"/>
          <w:lang w:bidi="en-GB"/>
        </w:rPr>
      </w:pPr>
    </w:p>
    <w:p w:rsidR="00D25F12" w:rsidRPr="0085642D" w:rsidRDefault="00D25F12" w:rsidP="00D25F12">
      <w:pPr>
        <w:suppressAutoHyphens/>
        <w:ind w:left="851"/>
        <w:rPr>
          <w:sz w:val="24"/>
          <w:szCs w:val="24"/>
          <w:lang w:bidi="en-GB"/>
        </w:rPr>
      </w:pPr>
      <w:r w:rsidRPr="0085642D">
        <w:rPr>
          <w:sz w:val="24"/>
          <w:szCs w:val="24"/>
          <w:lang w:bidi="en-GB"/>
        </w:rPr>
        <w:t>Både emtricitabintriphosphat og tenofovirdiphosphat er svage hæmmere af mammale dna</w:t>
      </w:r>
      <w:r w:rsidRPr="0085642D">
        <w:rPr>
          <w:sz w:val="24"/>
          <w:szCs w:val="24"/>
          <w:lang w:bidi="en-GB"/>
        </w:rPr>
        <w:noBreakHyphen/>
        <w:t xml:space="preserve">polymeraser, og der var intet tegn på toksicitet over for mitokondrier </w:t>
      </w:r>
      <w:r w:rsidRPr="0085642D">
        <w:rPr>
          <w:i/>
          <w:sz w:val="24"/>
          <w:szCs w:val="24"/>
          <w:lang w:bidi="en-GB"/>
        </w:rPr>
        <w:t xml:space="preserve">in vitro </w:t>
      </w:r>
      <w:r w:rsidRPr="0085642D">
        <w:rPr>
          <w:sz w:val="24"/>
          <w:szCs w:val="24"/>
          <w:lang w:bidi="en-GB"/>
        </w:rPr>
        <w:t xml:space="preserve">eller </w:t>
      </w:r>
      <w:r w:rsidRPr="0085642D">
        <w:rPr>
          <w:i/>
          <w:sz w:val="24"/>
          <w:szCs w:val="24"/>
          <w:lang w:bidi="en-GB"/>
        </w:rPr>
        <w:t>in vivo</w:t>
      </w:r>
      <w:r w:rsidRPr="0085642D">
        <w:rPr>
          <w:sz w:val="24"/>
          <w:szCs w:val="24"/>
          <w:lang w:bidi="en-GB"/>
        </w:rPr>
        <w:t>.</w:t>
      </w:r>
    </w:p>
    <w:p w:rsidR="00D25F12" w:rsidRPr="0085642D" w:rsidRDefault="00D25F12" w:rsidP="00D25F12">
      <w:pPr>
        <w:suppressAutoHyphens/>
        <w:ind w:left="851"/>
        <w:rPr>
          <w:sz w:val="24"/>
          <w:szCs w:val="24"/>
          <w:lang w:bidi="en-GB"/>
        </w:rPr>
      </w:pPr>
    </w:p>
    <w:p w:rsidR="00D25F12" w:rsidRPr="0085642D" w:rsidRDefault="00D25F12" w:rsidP="00D25F12">
      <w:pPr>
        <w:suppressAutoHyphens/>
        <w:ind w:left="851"/>
        <w:rPr>
          <w:sz w:val="24"/>
          <w:szCs w:val="24"/>
          <w:lang w:bidi="en-GB"/>
        </w:rPr>
      </w:pPr>
      <w:r w:rsidRPr="0085642D">
        <w:rPr>
          <w:sz w:val="24"/>
          <w:szCs w:val="24"/>
          <w:u w:val="single"/>
          <w:lang w:bidi="en-GB"/>
        </w:rPr>
        <w:t>Kardiologisk elektrofysiologi</w:t>
      </w:r>
    </w:p>
    <w:p w:rsidR="00D25F12" w:rsidRPr="0085642D" w:rsidRDefault="00D25F12" w:rsidP="00D25F12">
      <w:pPr>
        <w:suppressAutoHyphens/>
        <w:ind w:left="851"/>
        <w:rPr>
          <w:sz w:val="24"/>
          <w:szCs w:val="24"/>
          <w:lang w:bidi="en-GB"/>
        </w:rPr>
      </w:pPr>
      <w:r w:rsidRPr="0085642D">
        <w:rPr>
          <w:sz w:val="24"/>
          <w:szCs w:val="24"/>
          <w:lang w:bidi="en-GB"/>
        </w:rPr>
        <w:t>Virkningen af efavirenz på QTc-intervallet blev vurderet i et åbent, positivt og placebokontrolleret QT</w:t>
      </w:r>
      <w:r w:rsidRPr="0085642D">
        <w:rPr>
          <w:sz w:val="24"/>
          <w:szCs w:val="24"/>
          <w:lang w:bidi="en-GB"/>
        </w:rPr>
        <w:noBreakHyphen/>
        <w:t>overkrydsningsstudie med faste enkeltsekvenser, 3 perioder, 3 behandlinger, hos 58 raske studiepersoner beriget for CYP2B6 polymorfismer. Middel C</w:t>
      </w:r>
      <w:r w:rsidRPr="0085642D">
        <w:rPr>
          <w:sz w:val="24"/>
          <w:szCs w:val="24"/>
          <w:vertAlign w:val="subscript"/>
          <w:lang w:bidi="en-GB"/>
        </w:rPr>
        <w:t>max</w:t>
      </w:r>
      <w:r w:rsidRPr="0085642D">
        <w:rPr>
          <w:sz w:val="24"/>
          <w:szCs w:val="24"/>
          <w:lang w:bidi="en-GB"/>
        </w:rPr>
        <w:t xml:space="preserve"> for efavirenz hos studiepersoner med CYP2B6 *6/*6 genotype efter administration af en daglig dosis på 600 mg i 14 dage var 2,25 gange middel C</w:t>
      </w:r>
      <w:r w:rsidRPr="0085642D">
        <w:rPr>
          <w:sz w:val="24"/>
          <w:szCs w:val="24"/>
          <w:vertAlign w:val="subscript"/>
          <w:lang w:bidi="en-GB"/>
        </w:rPr>
        <w:t>max</w:t>
      </w:r>
      <w:r w:rsidRPr="0085642D">
        <w:rPr>
          <w:sz w:val="24"/>
          <w:szCs w:val="24"/>
          <w:lang w:bidi="en-GB"/>
        </w:rPr>
        <w:t>, der sås hos studiepersoner med CYP2B6 *1/*1 genotype. Der sås et positivt forhold mellem koncentrationen af efavirenz og forlængelsen af QTc</w:t>
      </w:r>
      <w:r w:rsidRPr="0085642D">
        <w:rPr>
          <w:sz w:val="24"/>
          <w:szCs w:val="24"/>
          <w:lang w:bidi="en-GB"/>
        </w:rPr>
        <w:noBreakHyphen/>
        <w:t>intervallet. På baggrund af forholdet mellem koncentration og QTc</w:t>
      </w:r>
      <w:r w:rsidRPr="0085642D">
        <w:rPr>
          <w:sz w:val="24"/>
          <w:szCs w:val="24"/>
          <w:lang w:bidi="en-GB"/>
        </w:rPr>
        <w:noBreakHyphen/>
        <w:t>interval er den gennemsnitlige forlængelse af QTc</w:t>
      </w:r>
      <w:r w:rsidRPr="0085642D">
        <w:rPr>
          <w:sz w:val="24"/>
          <w:szCs w:val="24"/>
          <w:lang w:bidi="en-GB"/>
        </w:rPr>
        <w:noBreakHyphen/>
        <w:t>intervallet og dets øvre grænse for 90 % konfidensintervallet 8,7 ms og 11,3 ms hos studiepersoner med genotype CYP2B6 *6/*6 efter administration af en daglig dosis på 600 mg i 14 dage (se pkt. 4.5).</w:t>
      </w:r>
    </w:p>
    <w:p w:rsidR="00D25F12" w:rsidRPr="0085642D" w:rsidRDefault="00D25F12" w:rsidP="00D25F12">
      <w:pPr>
        <w:suppressAutoHyphens/>
        <w:ind w:left="851"/>
        <w:rPr>
          <w:sz w:val="24"/>
          <w:szCs w:val="24"/>
          <w:lang w:bidi="en-GB"/>
        </w:rPr>
      </w:pPr>
    </w:p>
    <w:p w:rsidR="00D25F12" w:rsidRPr="0085642D" w:rsidRDefault="00D25F12" w:rsidP="00D25F12">
      <w:pPr>
        <w:suppressAutoHyphens/>
        <w:ind w:left="851"/>
        <w:rPr>
          <w:i/>
          <w:sz w:val="24"/>
          <w:szCs w:val="24"/>
          <w:lang w:bidi="en-GB"/>
        </w:rPr>
      </w:pPr>
      <w:r w:rsidRPr="0085642D">
        <w:rPr>
          <w:sz w:val="24"/>
          <w:szCs w:val="24"/>
          <w:u w:val="single"/>
          <w:lang w:bidi="en-GB"/>
        </w:rPr>
        <w:t xml:space="preserve">Antiviral aktivitet </w:t>
      </w:r>
      <w:r w:rsidRPr="0085642D">
        <w:rPr>
          <w:i/>
          <w:sz w:val="24"/>
          <w:szCs w:val="24"/>
          <w:u w:val="single"/>
          <w:lang w:bidi="en-GB"/>
        </w:rPr>
        <w:t>in vitro</w:t>
      </w:r>
    </w:p>
    <w:p w:rsidR="00D25F12" w:rsidRPr="0085642D" w:rsidRDefault="00D25F12" w:rsidP="00D25F12">
      <w:pPr>
        <w:suppressAutoHyphens/>
        <w:ind w:left="851"/>
        <w:rPr>
          <w:sz w:val="24"/>
          <w:szCs w:val="24"/>
          <w:lang w:bidi="en-GB"/>
        </w:rPr>
      </w:pPr>
      <w:r w:rsidRPr="0085642D">
        <w:rPr>
          <w:sz w:val="24"/>
          <w:szCs w:val="24"/>
          <w:lang w:bidi="en-GB"/>
        </w:rPr>
        <w:t xml:space="preserve">Efavirenz udviste antiviral aktivitet mod de fleste </w:t>
      </w:r>
      <w:proofErr w:type="gramStart"/>
      <w:r w:rsidRPr="0085642D">
        <w:rPr>
          <w:sz w:val="24"/>
          <w:szCs w:val="24"/>
          <w:lang w:bidi="en-GB"/>
        </w:rPr>
        <w:t>nongruppe</w:t>
      </w:r>
      <w:proofErr w:type="gramEnd"/>
      <w:r w:rsidRPr="0085642D">
        <w:rPr>
          <w:sz w:val="24"/>
          <w:szCs w:val="24"/>
          <w:lang w:bidi="en-GB"/>
        </w:rPr>
        <w:noBreakHyphen/>
        <w:t>B isolater (undergrupper A, AE, AG, C, D, F, G, J og N) men havde reduceret antiviral aktivitet mod gruppe</w:t>
      </w:r>
      <w:r w:rsidRPr="0085642D">
        <w:rPr>
          <w:sz w:val="24"/>
          <w:szCs w:val="24"/>
          <w:lang w:bidi="en-GB"/>
        </w:rPr>
        <w:noBreakHyphen/>
        <w:t>O vira. Emtricitabin viste antiviral aktivitet mod hiv</w:t>
      </w:r>
      <w:r w:rsidRPr="0085642D">
        <w:rPr>
          <w:sz w:val="24"/>
          <w:szCs w:val="24"/>
          <w:lang w:bidi="en-GB"/>
        </w:rPr>
        <w:noBreakHyphen/>
        <w:t>1 grupperne A, B, C, D, E, F og G. Tenofovir viste antiviral aktivitet mod hiv</w:t>
      </w:r>
      <w:r w:rsidRPr="0085642D">
        <w:rPr>
          <w:sz w:val="24"/>
          <w:szCs w:val="24"/>
          <w:lang w:bidi="en-GB"/>
        </w:rPr>
        <w:noBreakHyphen/>
        <w:t>1 grupperne A, B, C, D, E, F, G og O. Både emtricitabin og tenofovir viste stammespecifik aktivitet mod hiv</w:t>
      </w:r>
      <w:r w:rsidRPr="0085642D">
        <w:rPr>
          <w:sz w:val="24"/>
          <w:szCs w:val="24"/>
          <w:lang w:bidi="en-GB"/>
        </w:rPr>
        <w:noBreakHyphen/>
        <w:t>2 og antiviral aktivitet mod HBV.</w:t>
      </w:r>
    </w:p>
    <w:p w:rsidR="00D25F12" w:rsidRPr="0085642D" w:rsidRDefault="00D25F12" w:rsidP="00D25F12">
      <w:pPr>
        <w:suppressAutoHyphens/>
        <w:ind w:left="851"/>
        <w:rPr>
          <w:sz w:val="24"/>
          <w:szCs w:val="24"/>
          <w:lang w:bidi="en-GB"/>
        </w:rPr>
      </w:pPr>
    </w:p>
    <w:p w:rsidR="00D25F12" w:rsidRPr="0085642D" w:rsidRDefault="00D25F12" w:rsidP="00D25F12">
      <w:pPr>
        <w:suppressAutoHyphens/>
        <w:ind w:left="851"/>
        <w:rPr>
          <w:sz w:val="24"/>
          <w:szCs w:val="24"/>
          <w:lang w:bidi="en-GB"/>
        </w:rPr>
      </w:pPr>
      <w:r w:rsidRPr="0085642D">
        <w:rPr>
          <w:sz w:val="24"/>
          <w:szCs w:val="24"/>
          <w:lang w:bidi="en-GB"/>
        </w:rPr>
        <w:t xml:space="preserve">Additiv til synergistiske virkninger blev observeret i kombinationsstudier til vurdering af efavirenz’ og emtricitabins samlede antivirale aktivitet </w:t>
      </w:r>
      <w:r w:rsidRPr="0085642D">
        <w:rPr>
          <w:i/>
          <w:sz w:val="24"/>
          <w:szCs w:val="24"/>
          <w:lang w:bidi="en-GB"/>
        </w:rPr>
        <w:t xml:space="preserve">in vitro </w:t>
      </w:r>
      <w:r w:rsidRPr="0085642D">
        <w:rPr>
          <w:sz w:val="24"/>
          <w:szCs w:val="24"/>
          <w:lang w:bidi="en-GB"/>
        </w:rPr>
        <w:t>samt emtricitabins og tenofovirs samlede antivirale aktivitet.</w:t>
      </w:r>
    </w:p>
    <w:p w:rsidR="00D25F12" w:rsidRPr="0085642D" w:rsidRDefault="00D25F12" w:rsidP="00D25F12">
      <w:pPr>
        <w:suppressAutoHyphens/>
        <w:ind w:left="851"/>
        <w:rPr>
          <w:sz w:val="24"/>
          <w:szCs w:val="24"/>
          <w:u w:val="single"/>
          <w:lang w:bidi="en-GB"/>
        </w:rPr>
      </w:pPr>
    </w:p>
    <w:p w:rsidR="00D25F12" w:rsidRPr="0085642D" w:rsidRDefault="00D25F12" w:rsidP="00D25F12">
      <w:pPr>
        <w:suppressAutoHyphens/>
        <w:ind w:left="851"/>
        <w:rPr>
          <w:sz w:val="24"/>
          <w:szCs w:val="24"/>
          <w:lang w:bidi="en-GB"/>
        </w:rPr>
      </w:pPr>
      <w:r w:rsidRPr="0085642D">
        <w:rPr>
          <w:sz w:val="24"/>
          <w:szCs w:val="24"/>
          <w:u w:val="single"/>
          <w:lang w:bidi="en-GB"/>
        </w:rPr>
        <w:t>Resistens</w:t>
      </w:r>
    </w:p>
    <w:p w:rsidR="00D25F12" w:rsidRPr="0085642D" w:rsidRDefault="00D25F12" w:rsidP="00D25F12">
      <w:pPr>
        <w:suppressAutoHyphens/>
        <w:ind w:left="851"/>
        <w:rPr>
          <w:sz w:val="24"/>
          <w:szCs w:val="24"/>
          <w:lang w:bidi="en-GB"/>
        </w:rPr>
      </w:pPr>
      <w:r w:rsidRPr="0085642D">
        <w:rPr>
          <w:sz w:val="24"/>
          <w:szCs w:val="24"/>
          <w:lang w:bidi="en-GB"/>
        </w:rPr>
        <w:t xml:space="preserve">Resistens over for efavirenz kan selekteres </w:t>
      </w:r>
      <w:r w:rsidRPr="0085642D">
        <w:rPr>
          <w:i/>
          <w:sz w:val="24"/>
          <w:szCs w:val="24"/>
          <w:lang w:bidi="en-GB"/>
        </w:rPr>
        <w:t xml:space="preserve">in vitro </w:t>
      </w:r>
      <w:r w:rsidRPr="0085642D">
        <w:rPr>
          <w:sz w:val="24"/>
          <w:szCs w:val="24"/>
          <w:lang w:bidi="en-GB"/>
        </w:rPr>
        <w:t>og resulterede i enkle eller multiple aminosyresubstitutioner i hiv</w:t>
      </w:r>
      <w:r w:rsidRPr="0085642D">
        <w:rPr>
          <w:sz w:val="24"/>
          <w:szCs w:val="24"/>
          <w:lang w:bidi="en-GB"/>
        </w:rPr>
        <w:noBreakHyphen/>
        <w:t>1 RT, herunder L100I, V108I, V179D og Y181C. K103N var den hyppigst observerede RT</w:t>
      </w:r>
      <w:r w:rsidRPr="0085642D">
        <w:rPr>
          <w:sz w:val="24"/>
          <w:szCs w:val="24"/>
          <w:lang w:bidi="en-GB"/>
        </w:rPr>
        <w:noBreakHyphen/>
        <w:t xml:space="preserve">substitution i virale isolater fra patienter, som oplevede </w:t>
      </w:r>
      <w:r w:rsidRPr="0085642D">
        <w:rPr>
          <w:i/>
          <w:sz w:val="24"/>
          <w:szCs w:val="24"/>
          <w:lang w:bidi="en-GB"/>
        </w:rPr>
        <w:t xml:space="preserve">rebound </w:t>
      </w:r>
      <w:r w:rsidRPr="0085642D">
        <w:rPr>
          <w:sz w:val="24"/>
          <w:szCs w:val="24"/>
          <w:lang w:bidi="en-GB"/>
        </w:rPr>
        <w:t>viræmi under de kliniske studier med efavirenz. Substitutioner på RT</w:t>
      </w:r>
      <w:r w:rsidRPr="0085642D">
        <w:rPr>
          <w:sz w:val="24"/>
          <w:szCs w:val="24"/>
          <w:lang w:bidi="en-GB"/>
        </w:rPr>
        <w:noBreakHyphen/>
        <w:t xml:space="preserve">positionerne 98, 100, 101, 108, 138, 188, 190 eller 225 var allerede observeret men i lavere frekvens og ofte i kombination med K103N. Krydsresistensprofilerne for efavirenz, neviparin og delavirdin </w:t>
      </w:r>
      <w:r w:rsidRPr="0085642D">
        <w:rPr>
          <w:i/>
          <w:sz w:val="24"/>
          <w:szCs w:val="24"/>
          <w:lang w:bidi="en-GB"/>
        </w:rPr>
        <w:t xml:space="preserve">in vitro </w:t>
      </w:r>
      <w:r w:rsidRPr="0085642D">
        <w:rPr>
          <w:sz w:val="24"/>
          <w:szCs w:val="24"/>
          <w:lang w:bidi="en-GB"/>
        </w:rPr>
        <w:t>har vist, at K103N</w:t>
      </w:r>
      <w:r w:rsidRPr="0085642D">
        <w:rPr>
          <w:sz w:val="24"/>
          <w:szCs w:val="24"/>
          <w:lang w:bidi="en-GB"/>
        </w:rPr>
        <w:noBreakHyphen/>
        <w:t>substitutionen medfører et tab af følsomhed over for alle tre NNRTI’er.</w:t>
      </w:r>
    </w:p>
    <w:p w:rsidR="00D25F12" w:rsidRPr="0085642D" w:rsidRDefault="00D25F12" w:rsidP="00D25F12">
      <w:pPr>
        <w:suppressAutoHyphens/>
        <w:ind w:left="851"/>
        <w:rPr>
          <w:sz w:val="24"/>
          <w:szCs w:val="24"/>
          <w:lang w:bidi="en-GB"/>
        </w:rPr>
      </w:pPr>
    </w:p>
    <w:p w:rsidR="00D25F12" w:rsidRPr="0085642D" w:rsidRDefault="00D25F12" w:rsidP="00D25F12">
      <w:pPr>
        <w:suppressAutoHyphens/>
        <w:ind w:left="851"/>
        <w:rPr>
          <w:sz w:val="24"/>
          <w:szCs w:val="24"/>
          <w:lang w:bidi="en-GB"/>
        </w:rPr>
      </w:pPr>
      <w:r w:rsidRPr="0085642D">
        <w:rPr>
          <w:sz w:val="24"/>
          <w:szCs w:val="24"/>
          <w:lang w:bidi="en-GB"/>
        </w:rPr>
        <w:t>Risikoen for krydsresistens mellem efavirenz og NRTI’er er lille på grund af de forskellige bindingssteder og virkningsmekanisme. Risikoen for krydsresistens mellem efavirenz og PI’er er lille på grund af de forskellige involverede enzymangrebspunkter.</w:t>
      </w:r>
    </w:p>
    <w:p w:rsidR="00D25F12" w:rsidRPr="0085642D" w:rsidRDefault="00D25F12" w:rsidP="00D25F12">
      <w:pPr>
        <w:suppressAutoHyphens/>
        <w:ind w:left="851"/>
        <w:rPr>
          <w:sz w:val="24"/>
          <w:szCs w:val="24"/>
          <w:lang w:bidi="en-GB"/>
        </w:rPr>
      </w:pPr>
    </w:p>
    <w:p w:rsidR="00D25F12" w:rsidRPr="0085642D" w:rsidRDefault="00D25F12" w:rsidP="00D25F12">
      <w:pPr>
        <w:suppressAutoHyphens/>
        <w:ind w:left="851"/>
        <w:rPr>
          <w:sz w:val="24"/>
          <w:szCs w:val="24"/>
          <w:lang w:bidi="en-GB"/>
        </w:rPr>
      </w:pPr>
      <w:r w:rsidRPr="0085642D">
        <w:rPr>
          <w:sz w:val="24"/>
          <w:szCs w:val="24"/>
          <w:lang w:bidi="en-GB"/>
        </w:rPr>
        <w:t xml:space="preserve">Der er observeret resistens over for emtricitabin og tenofovir </w:t>
      </w:r>
      <w:r w:rsidRPr="0085642D">
        <w:rPr>
          <w:i/>
          <w:sz w:val="24"/>
          <w:szCs w:val="24"/>
          <w:lang w:bidi="en-GB"/>
        </w:rPr>
        <w:t xml:space="preserve">in vitro </w:t>
      </w:r>
      <w:r w:rsidRPr="0085642D">
        <w:rPr>
          <w:sz w:val="24"/>
          <w:szCs w:val="24"/>
          <w:lang w:bidi="en-GB"/>
        </w:rPr>
        <w:t>og hos nogle hiv</w:t>
      </w:r>
      <w:r w:rsidRPr="0085642D">
        <w:rPr>
          <w:sz w:val="24"/>
          <w:szCs w:val="24"/>
          <w:lang w:bidi="en-GB"/>
        </w:rPr>
        <w:noBreakHyphen/>
        <w:t>1-inficerede patienter på grund af udvikling af M184V- eller M184I</w:t>
      </w:r>
      <w:r w:rsidRPr="0085642D">
        <w:rPr>
          <w:sz w:val="24"/>
          <w:szCs w:val="24"/>
          <w:lang w:bidi="en-GB"/>
        </w:rPr>
        <w:noBreakHyphen/>
        <w:t>substitution i RT med emtricitabin eller K65R</w:t>
      </w:r>
      <w:r w:rsidRPr="0085642D">
        <w:rPr>
          <w:sz w:val="24"/>
          <w:szCs w:val="24"/>
          <w:lang w:bidi="en-GB"/>
        </w:rPr>
        <w:noBreakHyphen/>
        <w:t>substitution i RT med tenofovir. Emtricitabinresistente vira med M184V/I</w:t>
      </w:r>
      <w:r w:rsidRPr="0085642D">
        <w:rPr>
          <w:sz w:val="24"/>
          <w:szCs w:val="24"/>
          <w:lang w:bidi="en-GB"/>
        </w:rPr>
        <w:noBreakHyphen/>
        <w:t>mutationen var krydsresistente over for lamivudin, men beholdt følsomhed over for didanosin, stavudin, tenofovir og zidovudin. K65R</w:t>
      </w:r>
      <w:r w:rsidRPr="0085642D">
        <w:rPr>
          <w:sz w:val="24"/>
          <w:szCs w:val="24"/>
          <w:lang w:bidi="en-GB"/>
        </w:rPr>
        <w:noBreakHyphen/>
        <w:t>mutationen kan desuden selekteres ved hjælp af abacavir eller didanosin og forårsager nedsat følsomhed over for disse stoffer samt lamivudin, emtricitabin og tenofovir. Tenofovirdisoproxil bør undgås hos patienter med hiv</w:t>
      </w:r>
      <w:r w:rsidRPr="0085642D">
        <w:rPr>
          <w:sz w:val="24"/>
          <w:szCs w:val="24"/>
          <w:lang w:bidi="en-GB"/>
        </w:rPr>
        <w:noBreakHyphen/>
        <w:t>1 med stammer, som har K65R</w:t>
      </w:r>
      <w:r w:rsidRPr="0085642D">
        <w:rPr>
          <w:sz w:val="24"/>
          <w:szCs w:val="24"/>
          <w:lang w:bidi="en-GB"/>
        </w:rPr>
        <w:noBreakHyphen/>
        <w:t>mutationer. Både K65R- og M184V/I</w:t>
      </w:r>
      <w:r w:rsidRPr="0085642D">
        <w:rPr>
          <w:sz w:val="24"/>
          <w:szCs w:val="24"/>
          <w:lang w:bidi="en-GB"/>
        </w:rPr>
        <w:noBreakHyphen/>
        <w:t>mutationer forbliver fuldt ud følsomme over for efavirenz. Desuden er en K70E</w:t>
      </w:r>
      <w:r w:rsidRPr="0085642D">
        <w:rPr>
          <w:sz w:val="24"/>
          <w:szCs w:val="24"/>
          <w:lang w:bidi="en-GB"/>
        </w:rPr>
        <w:noBreakHyphen/>
        <w:t>substitution i hiv</w:t>
      </w:r>
      <w:r w:rsidRPr="0085642D">
        <w:rPr>
          <w:sz w:val="24"/>
          <w:szCs w:val="24"/>
          <w:lang w:bidi="en-GB"/>
        </w:rPr>
        <w:noBreakHyphen/>
        <w:t>1-RT blevet selekteret af tenofovir, hvilket fører til en nedsat følsomhed for abacavir, emtricitabin, lamivudin og tenofovir på lavt niveau.</w:t>
      </w:r>
    </w:p>
    <w:p w:rsidR="00D25F12" w:rsidRPr="0085642D" w:rsidRDefault="00D25F12" w:rsidP="00D25F12">
      <w:pPr>
        <w:suppressAutoHyphens/>
        <w:ind w:left="851"/>
        <w:rPr>
          <w:sz w:val="24"/>
          <w:szCs w:val="24"/>
          <w:lang w:bidi="en-GB"/>
        </w:rPr>
      </w:pPr>
    </w:p>
    <w:p w:rsidR="00D25F12" w:rsidRPr="0085642D" w:rsidRDefault="00D25F12" w:rsidP="00D25F12">
      <w:pPr>
        <w:suppressAutoHyphens/>
        <w:ind w:left="851"/>
        <w:rPr>
          <w:sz w:val="24"/>
          <w:szCs w:val="24"/>
          <w:lang w:bidi="en-GB"/>
        </w:rPr>
      </w:pPr>
      <w:r w:rsidRPr="0085642D">
        <w:rPr>
          <w:sz w:val="24"/>
          <w:szCs w:val="24"/>
          <w:lang w:bidi="en-GB"/>
        </w:rPr>
        <w:t>Patienter, hvis hiv</w:t>
      </w:r>
      <w:r w:rsidRPr="0085642D">
        <w:rPr>
          <w:sz w:val="24"/>
          <w:szCs w:val="24"/>
          <w:lang w:bidi="en-GB"/>
        </w:rPr>
        <w:noBreakHyphen/>
        <w:t>1 udtrykte 3 eller flere tymidinanalog-forbundne mutationer (TAM’er), som omfattede enten en M41L- eller en L210W</w:t>
      </w:r>
      <w:r w:rsidRPr="0085642D">
        <w:rPr>
          <w:sz w:val="24"/>
          <w:szCs w:val="24"/>
          <w:lang w:bidi="en-GB"/>
        </w:rPr>
        <w:noBreakHyphen/>
        <w:t>substitution i RT, udviste reduceret følsomhed over for tenofovirdisoproxil.</w:t>
      </w:r>
    </w:p>
    <w:p w:rsidR="00D25F12" w:rsidRPr="0085642D" w:rsidRDefault="00D25F12" w:rsidP="00D25F12">
      <w:pPr>
        <w:suppressAutoHyphens/>
        <w:ind w:left="851"/>
        <w:rPr>
          <w:sz w:val="24"/>
          <w:szCs w:val="24"/>
          <w:lang w:bidi="en-GB"/>
        </w:rPr>
      </w:pPr>
    </w:p>
    <w:p w:rsidR="00D25F12" w:rsidRPr="0085642D" w:rsidRDefault="00D25F12" w:rsidP="00D25F12">
      <w:pPr>
        <w:suppressAutoHyphens/>
        <w:ind w:left="851"/>
        <w:rPr>
          <w:sz w:val="24"/>
          <w:szCs w:val="24"/>
          <w:lang w:bidi="en-GB"/>
        </w:rPr>
      </w:pPr>
      <w:r w:rsidRPr="0085642D">
        <w:rPr>
          <w:i/>
          <w:sz w:val="24"/>
          <w:szCs w:val="24"/>
          <w:lang w:bidi="en-GB"/>
        </w:rPr>
        <w:t>In vivo</w:t>
      </w:r>
      <w:r w:rsidRPr="0085642D">
        <w:rPr>
          <w:i/>
          <w:sz w:val="24"/>
          <w:szCs w:val="24"/>
          <w:lang w:bidi="en-GB"/>
        </w:rPr>
        <w:noBreakHyphen/>
        <w:t>resistens (antiretroviral</w:t>
      </w:r>
      <w:r w:rsidRPr="0085642D">
        <w:rPr>
          <w:i/>
          <w:sz w:val="24"/>
          <w:szCs w:val="24"/>
          <w:lang w:bidi="en-GB"/>
        </w:rPr>
        <w:noBreakHyphen/>
        <w:t xml:space="preserve">naive patienter): </w:t>
      </w:r>
      <w:r w:rsidRPr="0085642D">
        <w:rPr>
          <w:sz w:val="24"/>
          <w:szCs w:val="24"/>
          <w:lang w:bidi="en-GB"/>
        </w:rPr>
        <w:t>I et 144</w:t>
      </w:r>
      <w:r w:rsidRPr="0085642D">
        <w:rPr>
          <w:sz w:val="24"/>
          <w:szCs w:val="24"/>
          <w:lang w:bidi="en-GB"/>
        </w:rPr>
        <w:noBreakHyphen/>
        <w:t>ugers åbent, randomiseret, klinisk studie (GS</w:t>
      </w:r>
      <w:r w:rsidRPr="0085642D">
        <w:rPr>
          <w:sz w:val="24"/>
          <w:szCs w:val="24"/>
          <w:lang w:bidi="en-GB"/>
        </w:rPr>
        <w:noBreakHyphen/>
        <w:t>01</w:t>
      </w:r>
      <w:r w:rsidRPr="0085642D">
        <w:rPr>
          <w:sz w:val="24"/>
          <w:szCs w:val="24"/>
          <w:lang w:bidi="en-GB"/>
        </w:rPr>
        <w:noBreakHyphen/>
        <w:t>934) med antiretroviral</w:t>
      </w:r>
      <w:r w:rsidRPr="0085642D">
        <w:rPr>
          <w:sz w:val="24"/>
          <w:szCs w:val="24"/>
          <w:lang w:bidi="en-GB"/>
        </w:rPr>
        <w:noBreakHyphen/>
        <w:t>naive patienter, hvor efavirenz, emtricitabin og tenofovirdisoproxil blev anvendt som individuel formulering (eller som efavirenz og en fast kombination af emtricitabin og tenofovirdisoproxil fra uge 96 til 144), er der foretaget genotypebestemmelser på plasma</w:t>
      </w:r>
      <w:r w:rsidRPr="0085642D">
        <w:rPr>
          <w:sz w:val="24"/>
          <w:szCs w:val="24"/>
          <w:lang w:bidi="en-GB"/>
        </w:rPr>
        <w:noBreakHyphen/>
        <w:t>hiv</w:t>
      </w:r>
      <w:r w:rsidRPr="0085642D">
        <w:rPr>
          <w:sz w:val="24"/>
          <w:szCs w:val="24"/>
          <w:lang w:bidi="en-GB"/>
        </w:rPr>
        <w:noBreakHyphen/>
        <w:t>1</w:t>
      </w:r>
      <w:r w:rsidRPr="0085642D">
        <w:rPr>
          <w:sz w:val="24"/>
          <w:szCs w:val="24"/>
          <w:lang w:bidi="en-GB"/>
        </w:rPr>
        <w:noBreakHyphen/>
        <w:t>isolater fra alle patienter med bekræftet hiv</w:t>
      </w:r>
      <w:r w:rsidRPr="0085642D">
        <w:rPr>
          <w:sz w:val="24"/>
          <w:szCs w:val="24"/>
          <w:lang w:bidi="en-GB"/>
        </w:rPr>
        <w:noBreakHyphen/>
        <w:t>rna &gt; 400 kopier/ml i uge 144 eller tidlig seponering (se afsnittet om Klinisk erfaring). Fra uge 144:</w:t>
      </w:r>
    </w:p>
    <w:p w:rsidR="00D25F12" w:rsidRPr="0085642D" w:rsidRDefault="00D25F12" w:rsidP="00D25F12">
      <w:pPr>
        <w:suppressAutoHyphens/>
        <w:rPr>
          <w:sz w:val="24"/>
          <w:szCs w:val="24"/>
          <w:lang w:bidi="en-GB"/>
        </w:rPr>
      </w:pPr>
    </w:p>
    <w:p w:rsidR="00D25F12" w:rsidRPr="0085642D" w:rsidRDefault="00D25F12" w:rsidP="00D25F12">
      <w:pPr>
        <w:numPr>
          <w:ilvl w:val="0"/>
          <w:numId w:val="12"/>
        </w:numPr>
        <w:suppressAutoHyphens/>
        <w:ind w:left="1276" w:hanging="425"/>
        <w:rPr>
          <w:sz w:val="24"/>
          <w:szCs w:val="24"/>
          <w:lang w:bidi="en-GB"/>
        </w:rPr>
      </w:pPr>
      <w:r w:rsidRPr="0085642D">
        <w:rPr>
          <w:sz w:val="24"/>
          <w:szCs w:val="24"/>
          <w:lang w:bidi="en-GB"/>
        </w:rPr>
        <w:t>M184V/I</w:t>
      </w:r>
      <w:r w:rsidRPr="0085642D">
        <w:rPr>
          <w:sz w:val="24"/>
          <w:szCs w:val="24"/>
          <w:lang w:bidi="en-GB"/>
        </w:rPr>
        <w:noBreakHyphen/>
        <w:t>mutationen udviklede sig hos 2/19 (10,5 %) af de isolater, der blev analyseret fra patienter i efavirenz + emtricitabin + tenofovirdisoproxil</w:t>
      </w:r>
      <w:r w:rsidRPr="0085642D">
        <w:rPr>
          <w:sz w:val="24"/>
          <w:szCs w:val="24"/>
          <w:lang w:bidi="en-GB"/>
        </w:rPr>
        <w:noBreakHyphen/>
        <w:t>gruppen og hos 10/29 (34,5 %) af de isolater, der blev analyseret fra efavirenz + lamivudin/zidovudin</w:t>
      </w:r>
      <w:r w:rsidRPr="0085642D">
        <w:rPr>
          <w:sz w:val="24"/>
          <w:szCs w:val="24"/>
          <w:lang w:bidi="en-GB"/>
        </w:rPr>
        <w:noBreakHyphen/>
        <w:t>gruppen (p</w:t>
      </w:r>
      <w:r w:rsidRPr="0085642D">
        <w:rPr>
          <w:sz w:val="24"/>
          <w:szCs w:val="24"/>
          <w:lang w:bidi="en-GB"/>
        </w:rPr>
        <w:noBreakHyphen/>
        <w:t>værdi &lt; 0,05; Fishers eksakte test, som sammenligner alle patienterne fra henholdsvis emtricitabin + tenofovirdisoproxil</w:t>
      </w:r>
      <w:r w:rsidRPr="0085642D">
        <w:rPr>
          <w:sz w:val="24"/>
          <w:szCs w:val="24"/>
          <w:lang w:bidi="en-GB"/>
        </w:rPr>
        <w:noBreakHyphen/>
        <w:t>gruppen med lamivudin/zidovudin</w:t>
      </w:r>
      <w:r w:rsidRPr="0085642D">
        <w:rPr>
          <w:sz w:val="24"/>
          <w:szCs w:val="24"/>
          <w:lang w:bidi="en-GB"/>
        </w:rPr>
        <w:noBreakHyphen/>
        <w:t>gruppen).</w:t>
      </w:r>
    </w:p>
    <w:p w:rsidR="00D25F12" w:rsidRPr="0085642D" w:rsidRDefault="00D25F12" w:rsidP="00D25F12">
      <w:pPr>
        <w:numPr>
          <w:ilvl w:val="0"/>
          <w:numId w:val="12"/>
        </w:numPr>
        <w:suppressAutoHyphens/>
        <w:ind w:left="1276" w:hanging="425"/>
        <w:rPr>
          <w:sz w:val="24"/>
          <w:szCs w:val="24"/>
          <w:lang w:bidi="en-GB"/>
        </w:rPr>
      </w:pPr>
      <w:r w:rsidRPr="0085642D">
        <w:rPr>
          <w:sz w:val="24"/>
          <w:szCs w:val="24"/>
          <w:lang w:bidi="en-GB"/>
        </w:rPr>
        <w:t>Ingen analyseret virus indeholdt K65R- eller K70E</w:t>
      </w:r>
      <w:r w:rsidRPr="0085642D">
        <w:rPr>
          <w:sz w:val="24"/>
          <w:szCs w:val="24"/>
          <w:lang w:bidi="en-GB"/>
        </w:rPr>
        <w:noBreakHyphen/>
        <w:t>mutationen.</w:t>
      </w:r>
    </w:p>
    <w:p w:rsidR="00D25F12" w:rsidRPr="0085642D" w:rsidRDefault="00D25F12" w:rsidP="00D25F12">
      <w:pPr>
        <w:numPr>
          <w:ilvl w:val="0"/>
          <w:numId w:val="12"/>
        </w:numPr>
        <w:suppressAutoHyphens/>
        <w:ind w:left="1276" w:hanging="425"/>
        <w:rPr>
          <w:sz w:val="24"/>
          <w:szCs w:val="24"/>
          <w:lang w:bidi="en-GB"/>
        </w:rPr>
      </w:pPr>
      <w:r w:rsidRPr="0085642D">
        <w:rPr>
          <w:sz w:val="24"/>
          <w:szCs w:val="24"/>
          <w:lang w:bidi="en-GB"/>
        </w:rPr>
        <w:t>Genotypisk resistens over for efavirenz, overvejende K103N</w:t>
      </w:r>
      <w:r w:rsidRPr="0085642D">
        <w:rPr>
          <w:sz w:val="24"/>
          <w:szCs w:val="24"/>
          <w:lang w:bidi="en-GB"/>
        </w:rPr>
        <w:noBreakHyphen/>
        <w:t>mutationen, udviklede sig i virus fra 13/19 (68 %) af patienterne i efavirenz + emtricitabin + tenofovirdisoproxil</w:t>
      </w:r>
      <w:r w:rsidRPr="0085642D">
        <w:rPr>
          <w:sz w:val="24"/>
          <w:szCs w:val="24"/>
          <w:lang w:bidi="en-GB"/>
        </w:rPr>
        <w:noBreakHyphen/>
        <w:t>gruppen og i virus fra 21/29 (72 %) af patienterne i efavirenz + lamivudin/zidovudin</w:t>
      </w:r>
      <w:r w:rsidRPr="0085642D">
        <w:rPr>
          <w:sz w:val="24"/>
          <w:szCs w:val="24"/>
          <w:lang w:bidi="en-GB"/>
        </w:rPr>
        <w:noBreakHyphen/>
        <w:t>gruppen. Et resumé over udviklingen af resistensmutation findes i tabel 3.</w:t>
      </w:r>
    </w:p>
    <w:p w:rsidR="00D25F12" w:rsidRPr="0085642D" w:rsidRDefault="00D25F12" w:rsidP="00D25F12">
      <w:pPr>
        <w:suppressAutoHyphens/>
        <w:rPr>
          <w:sz w:val="24"/>
          <w:szCs w:val="24"/>
          <w:lang w:bidi="en-GB"/>
        </w:rPr>
      </w:pPr>
    </w:p>
    <w:p w:rsidR="00D25F12" w:rsidRPr="0085642D" w:rsidRDefault="00D25F12" w:rsidP="00D25F12">
      <w:pPr>
        <w:suppressAutoHyphens/>
        <w:rPr>
          <w:b/>
          <w:bCs/>
          <w:sz w:val="24"/>
          <w:szCs w:val="24"/>
          <w:lang w:bidi="en-GB"/>
        </w:rPr>
      </w:pPr>
      <w:r w:rsidRPr="0085642D">
        <w:rPr>
          <w:b/>
          <w:bCs/>
          <w:sz w:val="24"/>
          <w:szCs w:val="24"/>
          <w:lang w:bidi="en-GB"/>
        </w:rPr>
        <w:t>Tabel 3: Resistensudvikling i studie GS</w:t>
      </w:r>
      <w:r w:rsidRPr="0085642D">
        <w:rPr>
          <w:b/>
          <w:bCs/>
          <w:sz w:val="24"/>
          <w:szCs w:val="24"/>
          <w:lang w:bidi="en-GB"/>
        </w:rPr>
        <w:noBreakHyphen/>
        <w:t>01</w:t>
      </w:r>
      <w:r w:rsidRPr="0085642D">
        <w:rPr>
          <w:b/>
          <w:bCs/>
          <w:sz w:val="24"/>
          <w:szCs w:val="24"/>
          <w:lang w:bidi="en-GB"/>
        </w:rPr>
        <w:noBreakHyphen/>
        <w:t>934 til og med uge 144</w:t>
      </w:r>
    </w:p>
    <w:p w:rsidR="00D25F12" w:rsidRPr="0085642D" w:rsidRDefault="00D25F12" w:rsidP="00D25F12">
      <w:pPr>
        <w:suppressAutoHyphens/>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7"/>
        <w:gridCol w:w="1132"/>
        <w:gridCol w:w="1534"/>
        <w:gridCol w:w="1076"/>
        <w:gridCol w:w="1689"/>
      </w:tblGrid>
      <w:tr w:rsidR="00D25F12" w:rsidRPr="0085642D" w:rsidTr="00243EA6">
        <w:tc>
          <w:tcPr>
            <w:tcW w:w="2183" w:type="pct"/>
            <w:tcBorders>
              <w:top w:val="single" w:sz="4" w:space="0" w:color="auto"/>
              <w:left w:val="nil"/>
              <w:bottom w:val="single" w:sz="4" w:space="0" w:color="auto"/>
              <w:right w:val="single" w:sz="4" w:space="0" w:color="auto"/>
            </w:tcBorders>
          </w:tcPr>
          <w:p w:rsidR="00D25F12" w:rsidRPr="0085642D" w:rsidRDefault="00D25F12" w:rsidP="00243EA6">
            <w:pPr>
              <w:suppressAutoHyphens/>
              <w:rPr>
                <w:sz w:val="24"/>
                <w:szCs w:val="24"/>
              </w:rPr>
            </w:pPr>
          </w:p>
        </w:tc>
        <w:tc>
          <w:tcPr>
            <w:tcW w:w="1383" w:type="pct"/>
            <w:gridSpan w:val="2"/>
            <w:tcBorders>
              <w:top w:val="single" w:sz="4" w:space="0" w:color="auto"/>
              <w:left w:val="single" w:sz="4" w:space="0" w:color="auto"/>
              <w:bottom w:val="single" w:sz="4" w:space="0" w:color="auto"/>
              <w:right w:val="single" w:sz="4" w:space="0" w:color="auto"/>
            </w:tcBorders>
            <w:hideMark/>
          </w:tcPr>
          <w:p w:rsidR="00D25F12" w:rsidRPr="0085642D" w:rsidRDefault="00D25F12" w:rsidP="00243EA6">
            <w:pPr>
              <w:suppressAutoHyphens/>
              <w:jc w:val="center"/>
              <w:rPr>
                <w:b/>
                <w:bCs/>
                <w:sz w:val="24"/>
                <w:szCs w:val="24"/>
              </w:rPr>
            </w:pPr>
            <w:r w:rsidRPr="0085642D">
              <w:rPr>
                <w:b/>
                <w:bCs/>
                <w:sz w:val="24"/>
                <w:szCs w:val="24"/>
              </w:rPr>
              <w:t>Efavirenz+ emtricitabin+ tenofovirdisoproxil</w:t>
            </w:r>
          </w:p>
          <w:p w:rsidR="00D25F12" w:rsidRPr="0085642D" w:rsidRDefault="00D25F12" w:rsidP="00243EA6">
            <w:pPr>
              <w:suppressAutoHyphens/>
              <w:jc w:val="center"/>
              <w:rPr>
                <w:sz w:val="24"/>
                <w:szCs w:val="24"/>
              </w:rPr>
            </w:pPr>
            <w:r w:rsidRPr="0085642D">
              <w:rPr>
                <w:b/>
                <w:bCs/>
                <w:sz w:val="24"/>
                <w:szCs w:val="24"/>
              </w:rPr>
              <w:t>(N=244)</w:t>
            </w:r>
          </w:p>
        </w:tc>
        <w:tc>
          <w:tcPr>
            <w:tcW w:w="1434" w:type="pct"/>
            <w:gridSpan w:val="2"/>
            <w:tcBorders>
              <w:top w:val="single" w:sz="4" w:space="0" w:color="auto"/>
              <w:left w:val="single" w:sz="4" w:space="0" w:color="auto"/>
              <w:bottom w:val="single" w:sz="4" w:space="0" w:color="auto"/>
              <w:right w:val="nil"/>
            </w:tcBorders>
            <w:hideMark/>
          </w:tcPr>
          <w:p w:rsidR="00D25F12" w:rsidRPr="0085642D" w:rsidRDefault="00D25F12" w:rsidP="00243EA6">
            <w:pPr>
              <w:suppressAutoHyphens/>
              <w:jc w:val="center"/>
              <w:rPr>
                <w:b/>
                <w:bCs/>
                <w:sz w:val="24"/>
                <w:szCs w:val="24"/>
              </w:rPr>
            </w:pPr>
            <w:r w:rsidRPr="0085642D">
              <w:rPr>
                <w:b/>
                <w:bCs/>
                <w:sz w:val="24"/>
                <w:szCs w:val="24"/>
              </w:rPr>
              <w:t>Efavirenz+ lamivudin/zidovudin</w:t>
            </w:r>
          </w:p>
          <w:p w:rsidR="00D25F12" w:rsidRPr="0085642D" w:rsidRDefault="00D25F12" w:rsidP="00243EA6">
            <w:pPr>
              <w:suppressAutoHyphens/>
              <w:jc w:val="center"/>
              <w:rPr>
                <w:sz w:val="24"/>
                <w:szCs w:val="24"/>
              </w:rPr>
            </w:pPr>
            <w:r w:rsidRPr="0085642D">
              <w:rPr>
                <w:b/>
                <w:bCs/>
                <w:sz w:val="24"/>
                <w:szCs w:val="24"/>
              </w:rPr>
              <w:t>(N=243)</w:t>
            </w:r>
          </w:p>
        </w:tc>
      </w:tr>
      <w:tr w:rsidR="00D25F12" w:rsidRPr="0085642D" w:rsidTr="00243EA6">
        <w:tc>
          <w:tcPr>
            <w:tcW w:w="2183" w:type="pct"/>
            <w:tcBorders>
              <w:top w:val="single" w:sz="4" w:space="0" w:color="auto"/>
              <w:left w:val="nil"/>
              <w:bottom w:val="single" w:sz="4" w:space="0" w:color="auto"/>
              <w:right w:val="single" w:sz="4" w:space="0" w:color="auto"/>
            </w:tcBorders>
            <w:hideMark/>
          </w:tcPr>
          <w:p w:rsidR="00D25F12" w:rsidRPr="0085642D" w:rsidRDefault="00D25F12" w:rsidP="00243EA6">
            <w:pPr>
              <w:suppressAutoHyphens/>
              <w:rPr>
                <w:sz w:val="24"/>
                <w:szCs w:val="24"/>
              </w:rPr>
            </w:pPr>
            <w:r w:rsidRPr="0085642D">
              <w:rPr>
                <w:sz w:val="24"/>
                <w:szCs w:val="24"/>
              </w:rPr>
              <w:t>Resistensanalyse i uge 144</w:t>
            </w:r>
          </w:p>
        </w:tc>
        <w:tc>
          <w:tcPr>
            <w:tcW w:w="587" w:type="pct"/>
            <w:tcBorders>
              <w:top w:val="single" w:sz="4" w:space="0" w:color="auto"/>
              <w:left w:val="single" w:sz="4" w:space="0" w:color="auto"/>
              <w:bottom w:val="single" w:sz="4" w:space="0" w:color="auto"/>
              <w:right w:val="nil"/>
            </w:tcBorders>
          </w:tcPr>
          <w:p w:rsidR="00D25F12" w:rsidRPr="0085642D" w:rsidRDefault="00D25F12" w:rsidP="00243EA6">
            <w:pPr>
              <w:suppressAutoHyphens/>
              <w:jc w:val="center"/>
              <w:rPr>
                <w:sz w:val="24"/>
                <w:szCs w:val="24"/>
              </w:rPr>
            </w:pPr>
          </w:p>
        </w:tc>
        <w:tc>
          <w:tcPr>
            <w:tcW w:w="796" w:type="pct"/>
            <w:tcBorders>
              <w:top w:val="single" w:sz="4" w:space="0" w:color="auto"/>
              <w:left w:val="nil"/>
              <w:bottom w:val="single" w:sz="4" w:space="0" w:color="auto"/>
              <w:right w:val="single" w:sz="4" w:space="0" w:color="auto"/>
            </w:tcBorders>
            <w:hideMark/>
          </w:tcPr>
          <w:p w:rsidR="00D25F12" w:rsidRPr="0085642D" w:rsidRDefault="00D25F12" w:rsidP="00243EA6">
            <w:pPr>
              <w:suppressAutoHyphens/>
              <w:jc w:val="center"/>
              <w:rPr>
                <w:sz w:val="24"/>
                <w:szCs w:val="24"/>
              </w:rPr>
            </w:pPr>
            <w:r w:rsidRPr="0085642D">
              <w:rPr>
                <w:sz w:val="24"/>
                <w:szCs w:val="24"/>
              </w:rPr>
              <w:t>19</w:t>
            </w:r>
          </w:p>
        </w:tc>
        <w:tc>
          <w:tcPr>
            <w:tcW w:w="558" w:type="pct"/>
            <w:tcBorders>
              <w:top w:val="single" w:sz="4" w:space="0" w:color="auto"/>
              <w:left w:val="single" w:sz="4" w:space="0" w:color="auto"/>
              <w:bottom w:val="single" w:sz="4" w:space="0" w:color="auto"/>
              <w:right w:val="nil"/>
            </w:tcBorders>
          </w:tcPr>
          <w:p w:rsidR="00D25F12" w:rsidRPr="0085642D" w:rsidRDefault="00D25F12" w:rsidP="00243EA6">
            <w:pPr>
              <w:suppressAutoHyphens/>
              <w:jc w:val="center"/>
              <w:rPr>
                <w:sz w:val="24"/>
                <w:szCs w:val="24"/>
              </w:rPr>
            </w:pPr>
          </w:p>
        </w:tc>
        <w:tc>
          <w:tcPr>
            <w:tcW w:w="876" w:type="pct"/>
            <w:tcBorders>
              <w:top w:val="single" w:sz="4" w:space="0" w:color="auto"/>
              <w:left w:val="nil"/>
              <w:bottom w:val="single" w:sz="4" w:space="0" w:color="auto"/>
              <w:right w:val="nil"/>
            </w:tcBorders>
            <w:hideMark/>
          </w:tcPr>
          <w:p w:rsidR="00D25F12" w:rsidRPr="0085642D" w:rsidRDefault="00D25F12" w:rsidP="00243EA6">
            <w:pPr>
              <w:suppressAutoHyphens/>
              <w:jc w:val="center"/>
              <w:rPr>
                <w:sz w:val="24"/>
                <w:szCs w:val="24"/>
              </w:rPr>
            </w:pPr>
            <w:r w:rsidRPr="0085642D">
              <w:rPr>
                <w:sz w:val="24"/>
                <w:szCs w:val="24"/>
              </w:rPr>
              <w:t>31</w:t>
            </w:r>
          </w:p>
        </w:tc>
      </w:tr>
      <w:tr w:rsidR="00D25F12" w:rsidRPr="0085642D" w:rsidTr="00243EA6">
        <w:tc>
          <w:tcPr>
            <w:tcW w:w="2183" w:type="pct"/>
            <w:tcBorders>
              <w:top w:val="single" w:sz="4" w:space="0" w:color="auto"/>
              <w:left w:val="nil"/>
              <w:bottom w:val="single" w:sz="4" w:space="0" w:color="auto"/>
              <w:right w:val="single" w:sz="4" w:space="0" w:color="auto"/>
            </w:tcBorders>
            <w:hideMark/>
          </w:tcPr>
          <w:p w:rsidR="00D25F12" w:rsidRPr="0085642D" w:rsidRDefault="00D25F12" w:rsidP="00243EA6">
            <w:pPr>
              <w:suppressAutoHyphens/>
              <w:rPr>
                <w:sz w:val="24"/>
                <w:szCs w:val="24"/>
              </w:rPr>
            </w:pPr>
            <w:r w:rsidRPr="0085642D">
              <w:rPr>
                <w:sz w:val="24"/>
                <w:szCs w:val="24"/>
              </w:rPr>
              <w:t>Behandlingsgenotyper</w:t>
            </w:r>
          </w:p>
        </w:tc>
        <w:tc>
          <w:tcPr>
            <w:tcW w:w="587" w:type="pct"/>
            <w:tcBorders>
              <w:top w:val="single" w:sz="4" w:space="0" w:color="auto"/>
              <w:left w:val="single" w:sz="4" w:space="0" w:color="auto"/>
              <w:bottom w:val="single" w:sz="4" w:space="0" w:color="auto"/>
              <w:right w:val="nil"/>
            </w:tcBorders>
            <w:hideMark/>
          </w:tcPr>
          <w:p w:rsidR="00D25F12" w:rsidRPr="0085642D" w:rsidRDefault="00D25F12" w:rsidP="00243EA6">
            <w:pPr>
              <w:suppressAutoHyphens/>
              <w:jc w:val="center"/>
              <w:rPr>
                <w:sz w:val="24"/>
                <w:szCs w:val="24"/>
              </w:rPr>
            </w:pPr>
            <w:r w:rsidRPr="0085642D">
              <w:rPr>
                <w:sz w:val="24"/>
                <w:szCs w:val="24"/>
              </w:rPr>
              <w:t>19</w:t>
            </w:r>
          </w:p>
        </w:tc>
        <w:tc>
          <w:tcPr>
            <w:tcW w:w="796" w:type="pct"/>
            <w:tcBorders>
              <w:top w:val="single" w:sz="4" w:space="0" w:color="auto"/>
              <w:left w:val="nil"/>
              <w:bottom w:val="single" w:sz="4" w:space="0" w:color="auto"/>
              <w:right w:val="single" w:sz="4" w:space="0" w:color="auto"/>
            </w:tcBorders>
            <w:hideMark/>
          </w:tcPr>
          <w:p w:rsidR="00D25F12" w:rsidRPr="0085642D" w:rsidRDefault="00D25F12" w:rsidP="00243EA6">
            <w:pPr>
              <w:suppressAutoHyphens/>
              <w:jc w:val="center"/>
              <w:rPr>
                <w:sz w:val="24"/>
                <w:szCs w:val="24"/>
              </w:rPr>
            </w:pPr>
            <w:r w:rsidRPr="0085642D">
              <w:rPr>
                <w:sz w:val="24"/>
                <w:szCs w:val="24"/>
              </w:rPr>
              <w:t>(100 %)</w:t>
            </w:r>
          </w:p>
        </w:tc>
        <w:tc>
          <w:tcPr>
            <w:tcW w:w="558" w:type="pct"/>
            <w:tcBorders>
              <w:top w:val="single" w:sz="4" w:space="0" w:color="auto"/>
              <w:left w:val="single" w:sz="4" w:space="0" w:color="auto"/>
              <w:bottom w:val="single" w:sz="4" w:space="0" w:color="auto"/>
              <w:right w:val="nil"/>
            </w:tcBorders>
            <w:hideMark/>
          </w:tcPr>
          <w:p w:rsidR="00D25F12" w:rsidRPr="0085642D" w:rsidRDefault="00D25F12" w:rsidP="00243EA6">
            <w:pPr>
              <w:suppressAutoHyphens/>
              <w:jc w:val="center"/>
              <w:rPr>
                <w:sz w:val="24"/>
                <w:szCs w:val="24"/>
              </w:rPr>
            </w:pPr>
            <w:r w:rsidRPr="0085642D">
              <w:rPr>
                <w:sz w:val="24"/>
                <w:szCs w:val="24"/>
              </w:rPr>
              <w:t>29</w:t>
            </w:r>
          </w:p>
        </w:tc>
        <w:tc>
          <w:tcPr>
            <w:tcW w:w="876" w:type="pct"/>
            <w:tcBorders>
              <w:top w:val="single" w:sz="4" w:space="0" w:color="auto"/>
              <w:left w:val="nil"/>
              <w:bottom w:val="single" w:sz="4" w:space="0" w:color="auto"/>
              <w:right w:val="nil"/>
            </w:tcBorders>
            <w:hideMark/>
          </w:tcPr>
          <w:p w:rsidR="00D25F12" w:rsidRPr="0085642D" w:rsidRDefault="00D25F12" w:rsidP="00243EA6">
            <w:pPr>
              <w:suppressAutoHyphens/>
              <w:jc w:val="center"/>
              <w:rPr>
                <w:sz w:val="24"/>
                <w:szCs w:val="24"/>
              </w:rPr>
            </w:pPr>
            <w:r w:rsidRPr="0085642D">
              <w:rPr>
                <w:sz w:val="24"/>
                <w:szCs w:val="24"/>
              </w:rPr>
              <w:t>(100 %)</w:t>
            </w:r>
          </w:p>
        </w:tc>
      </w:tr>
      <w:tr w:rsidR="00D25F12" w:rsidRPr="0085642D" w:rsidTr="00243EA6">
        <w:tc>
          <w:tcPr>
            <w:tcW w:w="2183" w:type="pct"/>
            <w:tcBorders>
              <w:top w:val="single" w:sz="4" w:space="0" w:color="auto"/>
              <w:left w:val="nil"/>
              <w:bottom w:val="nil"/>
              <w:right w:val="single" w:sz="4" w:space="0" w:color="auto"/>
            </w:tcBorders>
            <w:hideMark/>
          </w:tcPr>
          <w:p w:rsidR="00D25F12" w:rsidRPr="0085642D" w:rsidRDefault="00D25F12" w:rsidP="00243EA6">
            <w:pPr>
              <w:suppressAutoHyphens/>
              <w:rPr>
                <w:sz w:val="24"/>
                <w:szCs w:val="24"/>
              </w:rPr>
            </w:pPr>
            <w:r w:rsidRPr="0085642D">
              <w:rPr>
                <w:sz w:val="24"/>
                <w:szCs w:val="24"/>
              </w:rPr>
              <w:t>Efavirenz resistens</w:t>
            </w:r>
            <w:r w:rsidRPr="0085642D">
              <w:rPr>
                <w:sz w:val="24"/>
                <w:szCs w:val="24"/>
                <w:vertAlign w:val="superscript"/>
              </w:rPr>
              <w:t>1</w:t>
            </w:r>
          </w:p>
        </w:tc>
        <w:tc>
          <w:tcPr>
            <w:tcW w:w="587" w:type="pct"/>
            <w:tcBorders>
              <w:top w:val="single" w:sz="4" w:space="0" w:color="auto"/>
              <w:left w:val="single" w:sz="4" w:space="0" w:color="auto"/>
              <w:bottom w:val="nil"/>
              <w:right w:val="nil"/>
            </w:tcBorders>
            <w:hideMark/>
          </w:tcPr>
          <w:p w:rsidR="00D25F12" w:rsidRPr="0085642D" w:rsidRDefault="00D25F12" w:rsidP="00243EA6">
            <w:pPr>
              <w:suppressAutoHyphens/>
              <w:jc w:val="center"/>
              <w:rPr>
                <w:sz w:val="24"/>
                <w:szCs w:val="24"/>
              </w:rPr>
            </w:pPr>
            <w:r w:rsidRPr="0085642D">
              <w:rPr>
                <w:sz w:val="24"/>
                <w:szCs w:val="24"/>
              </w:rPr>
              <w:t>13</w:t>
            </w:r>
          </w:p>
        </w:tc>
        <w:tc>
          <w:tcPr>
            <w:tcW w:w="796" w:type="pct"/>
            <w:tcBorders>
              <w:top w:val="single" w:sz="4" w:space="0" w:color="auto"/>
              <w:left w:val="nil"/>
              <w:bottom w:val="nil"/>
              <w:right w:val="single" w:sz="4" w:space="0" w:color="auto"/>
            </w:tcBorders>
            <w:hideMark/>
          </w:tcPr>
          <w:p w:rsidR="00D25F12" w:rsidRPr="0085642D" w:rsidRDefault="00D25F12" w:rsidP="00243EA6">
            <w:pPr>
              <w:suppressAutoHyphens/>
              <w:jc w:val="center"/>
              <w:rPr>
                <w:sz w:val="24"/>
                <w:szCs w:val="24"/>
              </w:rPr>
            </w:pPr>
            <w:r w:rsidRPr="0085642D">
              <w:rPr>
                <w:sz w:val="24"/>
                <w:szCs w:val="24"/>
              </w:rPr>
              <w:t>(68 %)</w:t>
            </w:r>
          </w:p>
        </w:tc>
        <w:tc>
          <w:tcPr>
            <w:tcW w:w="558" w:type="pct"/>
            <w:tcBorders>
              <w:top w:val="single" w:sz="4" w:space="0" w:color="auto"/>
              <w:left w:val="single" w:sz="4" w:space="0" w:color="auto"/>
              <w:bottom w:val="nil"/>
              <w:right w:val="nil"/>
            </w:tcBorders>
            <w:hideMark/>
          </w:tcPr>
          <w:p w:rsidR="00D25F12" w:rsidRPr="0085642D" w:rsidRDefault="00D25F12" w:rsidP="00243EA6">
            <w:pPr>
              <w:suppressAutoHyphens/>
              <w:jc w:val="center"/>
              <w:rPr>
                <w:sz w:val="24"/>
                <w:szCs w:val="24"/>
              </w:rPr>
            </w:pPr>
            <w:r w:rsidRPr="0085642D">
              <w:rPr>
                <w:sz w:val="24"/>
                <w:szCs w:val="24"/>
              </w:rPr>
              <w:t>21</w:t>
            </w:r>
          </w:p>
        </w:tc>
        <w:tc>
          <w:tcPr>
            <w:tcW w:w="876" w:type="pct"/>
            <w:tcBorders>
              <w:top w:val="single" w:sz="4" w:space="0" w:color="auto"/>
              <w:left w:val="nil"/>
              <w:bottom w:val="nil"/>
              <w:right w:val="nil"/>
            </w:tcBorders>
            <w:hideMark/>
          </w:tcPr>
          <w:p w:rsidR="00D25F12" w:rsidRPr="0085642D" w:rsidRDefault="00D25F12" w:rsidP="00243EA6">
            <w:pPr>
              <w:suppressAutoHyphens/>
              <w:jc w:val="center"/>
              <w:rPr>
                <w:sz w:val="24"/>
                <w:szCs w:val="24"/>
              </w:rPr>
            </w:pPr>
            <w:r w:rsidRPr="0085642D">
              <w:rPr>
                <w:sz w:val="24"/>
                <w:szCs w:val="24"/>
              </w:rPr>
              <w:t>(72 %)</w:t>
            </w:r>
          </w:p>
        </w:tc>
      </w:tr>
      <w:tr w:rsidR="00D25F12" w:rsidRPr="0085642D" w:rsidTr="00243EA6">
        <w:tc>
          <w:tcPr>
            <w:tcW w:w="2183" w:type="pct"/>
            <w:tcBorders>
              <w:top w:val="nil"/>
              <w:left w:val="nil"/>
              <w:bottom w:val="nil"/>
              <w:right w:val="single" w:sz="4" w:space="0" w:color="auto"/>
            </w:tcBorders>
            <w:hideMark/>
          </w:tcPr>
          <w:p w:rsidR="00D25F12" w:rsidRPr="0085642D" w:rsidRDefault="00D25F12" w:rsidP="00243EA6">
            <w:pPr>
              <w:suppressAutoHyphens/>
              <w:rPr>
                <w:sz w:val="24"/>
                <w:szCs w:val="24"/>
              </w:rPr>
            </w:pPr>
            <w:r w:rsidRPr="0085642D">
              <w:rPr>
                <w:sz w:val="24"/>
                <w:szCs w:val="24"/>
              </w:rPr>
              <w:t xml:space="preserve">   K103N</w:t>
            </w:r>
          </w:p>
        </w:tc>
        <w:tc>
          <w:tcPr>
            <w:tcW w:w="587" w:type="pct"/>
            <w:tcBorders>
              <w:top w:val="nil"/>
              <w:left w:val="single" w:sz="4" w:space="0" w:color="auto"/>
              <w:bottom w:val="nil"/>
              <w:right w:val="nil"/>
            </w:tcBorders>
            <w:hideMark/>
          </w:tcPr>
          <w:p w:rsidR="00D25F12" w:rsidRPr="0085642D" w:rsidRDefault="00D25F12" w:rsidP="00243EA6">
            <w:pPr>
              <w:suppressAutoHyphens/>
              <w:jc w:val="center"/>
              <w:rPr>
                <w:sz w:val="24"/>
                <w:szCs w:val="24"/>
              </w:rPr>
            </w:pPr>
            <w:r w:rsidRPr="0085642D">
              <w:rPr>
                <w:sz w:val="24"/>
                <w:szCs w:val="24"/>
              </w:rPr>
              <w:t>8</w:t>
            </w:r>
          </w:p>
        </w:tc>
        <w:tc>
          <w:tcPr>
            <w:tcW w:w="796" w:type="pct"/>
            <w:tcBorders>
              <w:top w:val="nil"/>
              <w:left w:val="nil"/>
              <w:bottom w:val="nil"/>
              <w:right w:val="single" w:sz="4" w:space="0" w:color="auto"/>
            </w:tcBorders>
            <w:hideMark/>
          </w:tcPr>
          <w:p w:rsidR="00D25F12" w:rsidRPr="0085642D" w:rsidRDefault="00D25F12" w:rsidP="00243EA6">
            <w:pPr>
              <w:suppressAutoHyphens/>
              <w:jc w:val="center"/>
              <w:rPr>
                <w:sz w:val="24"/>
                <w:szCs w:val="24"/>
              </w:rPr>
            </w:pPr>
            <w:r w:rsidRPr="0085642D">
              <w:rPr>
                <w:sz w:val="24"/>
                <w:szCs w:val="24"/>
              </w:rPr>
              <w:t>(42 %)</w:t>
            </w:r>
          </w:p>
        </w:tc>
        <w:tc>
          <w:tcPr>
            <w:tcW w:w="558" w:type="pct"/>
            <w:tcBorders>
              <w:top w:val="nil"/>
              <w:left w:val="single" w:sz="4" w:space="0" w:color="auto"/>
              <w:bottom w:val="nil"/>
              <w:right w:val="nil"/>
            </w:tcBorders>
            <w:hideMark/>
          </w:tcPr>
          <w:p w:rsidR="00D25F12" w:rsidRPr="0085642D" w:rsidRDefault="00D25F12" w:rsidP="00243EA6">
            <w:pPr>
              <w:suppressAutoHyphens/>
              <w:jc w:val="center"/>
              <w:rPr>
                <w:sz w:val="24"/>
                <w:szCs w:val="24"/>
              </w:rPr>
            </w:pPr>
            <w:r w:rsidRPr="0085642D">
              <w:rPr>
                <w:sz w:val="24"/>
                <w:szCs w:val="24"/>
              </w:rPr>
              <w:t>18</w:t>
            </w:r>
            <w:r w:rsidRPr="0085642D">
              <w:rPr>
                <w:sz w:val="24"/>
                <w:szCs w:val="24"/>
                <w:vertAlign w:val="superscript"/>
              </w:rPr>
              <w:t>*</w:t>
            </w:r>
          </w:p>
        </w:tc>
        <w:tc>
          <w:tcPr>
            <w:tcW w:w="876" w:type="pct"/>
            <w:tcBorders>
              <w:top w:val="nil"/>
              <w:left w:val="nil"/>
              <w:bottom w:val="nil"/>
              <w:right w:val="nil"/>
            </w:tcBorders>
            <w:hideMark/>
          </w:tcPr>
          <w:p w:rsidR="00D25F12" w:rsidRPr="0085642D" w:rsidRDefault="00D25F12" w:rsidP="00243EA6">
            <w:pPr>
              <w:suppressAutoHyphens/>
              <w:jc w:val="center"/>
              <w:rPr>
                <w:sz w:val="24"/>
                <w:szCs w:val="24"/>
              </w:rPr>
            </w:pPr>
            <w:r w:rsidRPr="0085642D">
              <w:rPr>
                <w:sz w:val="24"/>
                <w:szCs w:val="24"/>
              </w:rPr>
              <w:t>(62 %)</w:t>
            </w:r>
          </w:p>
        </w:tc>
      </w:tr>
      <w:tr w:rsidR="00D25F12" w:rsidRPr="0085642D" w:rsidTr="00243EA6">
        <w:tc>
          <w:tcPr>
            <w:tcW w:w="2183" w:type="pct"/>
            <w:tcBorders>
              <w:top w:val="nil"/>
              <w:left w:val="nil"/>
              <w:bottom w:val="nil"/>
              <w:right w:val="single" w:sz="4" w:space="0" w:color="auto"/>
            </w:tcBorders>
            <w:hideMark/>
          </w:tcPr>
          <w:p w:rsidR="00D25F12" w:rsidRPr="0085642D" w:rsidRDefault="00D25F12" w:rsidP="00243EA6">
            <w:pPr>
              <w:suppressAutoHyphens/>
              <w:rPr>
                <w:sz w:val="24"/>
                <w:szCs w:val="24"/>
              </w:rPr>
            </w:pPr>
            <w:r w:rsidRPr="0085642D">
              <w:rPr>
                <w:sz w:val="24"/>
                <w:szCs w:val="24"/>
              </w:rPr>
              <w:t xml:space="preserve">   K101E</w:t>
            </w:r>
          </w:p>
        </w:tc>
        <w:tc>
          <w:tcPr>
            <w:tcW w:w="587" w:type="pct"/>
            <w:tcBorders>
              <w:top w:val="nil"/>
              <w:left w:val="single" w:sz="4" w:space="0" w:color="auto"/>
              <w:bottom w:val="nil"/>
              <w:right w:val="nil"/>
            </w:tcBorders>
            <w:hideMark/>
          </w:tcPr>
          <w:p w:rsidR="00D25F12" w:rsidRPr="0085642D" w:rsidRDefault="00D25F12" w:rsidP="00243EA6">
            <w:pPr>
              <w:suppressAutoHyphens/>
              <w:jc w:val="center"/>
              <w:rPr>
                <w:sz w:val="24"/>
                <w:szCs w:val="24"/>
              </w:rPr>
            </w:pPr>
            <w:r w:rsidRPr="0085642D">
              <w:rPr>
                <w:sz w:val="24"/>
                <w:szCs w:val="24"/>
              </w:rPr>
              <w:t>3</w:t>
            </w:r>
          </w:p>
        </w:tc>
        <w:tc>
          <w:tcPr>
            <w:tcW w:w="796" w:type="pct"/>
            <w:tcBorders>
              <w:top w:val="nil"/>
              <w:left w:val="nil"/>
              <w:bottom w:val="nil"/>
              <w:right w:val="single" w:sz="4" w:space="0" w:color="auto"/>
            </w:tcBorders>
            <w:hideMark/>
          </w:tcPr>
          <w:p w:rsidR="00D25F12" w:rsidRPr="0085642D" w:rsidRDefault="00D25F12" w:rsidP="00243EA6">
            <w:pPr>
              <w:suppressAutoHyphens/>
              <w:jc w:val="center"/>
              <w:rPr>
                <w:sz w:val="24"/>
                <w:szCs w:val="24"/>
              </w:rPr>
            </w:pPr>
            <w:r w:rsidRPr="0085642D">
              <w:rPr>
                <w:sz w:val="24"/>
                <w:szCs w:val="24"/>
              </w:rPr>
              <w:t>(16 %)</w:t>
            </w:r>
          </w:p>
        </w:tc>
        <w:tc>
          <w:tcPr>
            <w:tcW w:w="558" w:type="pct"/>
            <w:tcBorders>
              <w:top w:val="nil"/>
              <w:left w:val="single" w:sz="4" w:space="0" w:color="auto"/>
              <w:bottom w:val="nil"/>
              <w:right w:val="nil"/>
            </w:tcBorders>
            <w:hideMark/>
          </w:tcPr>
          <w:p w:rsidR="00D25F12" w:rsidRPr="0085642D" w:rsidRDefault="00D25F12" w:rsidP="00243EA6">
            <w:pPr>
              <w:suppressAutoHyphens/>
              <w:jc w:val="center"/>
              <w:rPr>
                <w:sz w:val="24"/>
                <w:szCs w:val="24"/>
              </w:rPr>
            </w:pPr>
            <w:r w:rsidRPr="0085642D">
              <w:rPr>
                <w:sz w:val="24"/>
                <w:szCs w:val="24"/>
              </w:rPr>
              <w:t>3</w:t>
            </w:r>
          </w:p>
        </w:tc>
        <w:tc>
          <w:tcPr>
            <w:tcW w:w="876" w:type="pct"/>
            <w:tcBorders>
              <w:top w:val="nil"/>
              <w:left w:val="nil"/>
              <w:bottom w:val="nil"/>
              <w:right w:val="nil"/>
            </w:tcBorders>
            <w:hideMark/>
          </w:tcPr>
          <w:p w:rsidR="00D25F12" w:rsidRPr="0085642D" w:rsidRDefault="00D25F12" w:rsidP="00243EA6">
            <w:pPr>
              <w:suppressAutoHyphens/>
              <w:jc w:val="center"/>
              <w:rPr>
                <w:sz w:val="24"/>
                <w:szCs w:val="24"/>
              </w:rPr>
            </w:pPr>
            <w:r w:rsidRPr="0085642D">
              <w:rPr>
                <w:sz w:val="24"/>
                <w:szCs w:val="24"/>
              </w:rPr>
              <w:t>(10 %)</w:t>
            </w:r>
          </w:p>
        </w:tc>
      </w:tr>
      <w:tr w:rsidR="00D25F12" w:rsidRPr="0085642D" w:rsidTr="00243EA6">
        <w:tc>
          <w:tcPr>
            <w:tcW w:w="2183" w:type="pct"/>
            <w:tcBorders>
              <w:top w:val="nil"/>
              <w:left w:val="nil"/>
              <w:bottom w:val="nil"/>
              <w:right w:val="single" w:sz="4" w:space="0" w:color="auto"/>
            </w:tcBorders>
            <w:hideMark/>
          </w:tcPr>
          <w:p w:rsidR="00D25F12" w:rsidRPr="0085642D" w:rsidRDefault="00D25F12" w:rsidP="00243EA6">
            <w:pPr>
              <w:suppressAutoHyphens/>
              <w:rPr>
                <w:sz w:val="24"/>
                <w:szCs w:val="24"/>
              </w:rPr>
            </w:pPr>
            <w:r w:rsidRPr="0085642D">
              <w:rPr>
                <w:sz w:val="24"/>
                <w:szCs w:val="24"/>
              </w:rPr>
              <w:t xml:space="preserve">   G190A/S</w:t>
            </w:r>
          </w:p>
        </w:tc>
        <w:tc>
          <w:tcPr>
            <w:tcW w:w="587" w:type="pct"/>
            <w:tcBorders>
              <w:top w:val="nil"/>
              <w:left w:val="single" w:sz="4" w:space="0" w:color="auto"/>
              <w:bottom w:val="nil"/>
              <w:right w:val="nil"/>
            </w:tcBorders>
            <w:hideMark/>
          </w:tcPr>
          <w:p w:rsidR="00D25F12" w:rsidRPr="0085642D" w:rsidRDefault="00D25F12" w:rsidP="00243EA6">
            <w:pPr>
              <w:suppressAutoHyphens/>
              <w:jc w:val="center"/>
              <w:rPr>
                <w:sz w:val="24"/>
                <w:szCs w:val="24"/>
              </w:rPr>
            </w:pPr>
            <w:r w:rsidRPr="0085642D">
              <w:rPr>
                <w:sz w:val="24"/>
                <w:szCs w:val="24"/>
              </w:rPr>
              <w:t>2</w:t>
            </w:r>
          </w:p>
        </w:tc>
        <w:tc>
          <w:tcPr>
            <w:tcW w:w="796" w:type="pct"/>
            <w:tcBorders>
              <w:top w:val="nil"/>
              <w:left w:val="nil"/>
              <w:bottom w:val="nil"/>
              <w:right w:val="single" w:sz="4" w:space="0" w:color="auto"/>
            </w:tcBorders>
            <w:hideMark/>
          </w:tcPr>
          <w:p w:rsidR="00D25F12" w:rsidRPr="0085642D" w:rsidRDefault="00D25F12" w:rsidP="00243EA6">
            <w:pPr>
              <w:suppressAutoHyphens/>
              <w:jc w:val="center"/>
              <w:rPr>
                <w:sz w:val="24"/>
                <w:szCs w:val="24"/>
              </w:rPr>
            </w:pPr>
            <w:r w:rsidRPr="0085642D">
              <w:rPr>
                <w:sz w:val="24"/>
                <w:szCs w:val="24"/>
              </w:rPr>
              <w:t>(10,5 %)</w:t>
            </w:r>
          </w:p>
        </w:tc>
        <w:tc>
          <w:tcPr>
            <w:tcW w:w="558" w:type="pct"/>
            <w:tcBorders>
              <w:top w:val="nil"/>
              <w:left w:val="single" w:sz="4" w:space="0" w:color="auto"/>
              <w:bottom w:val="nil"/>
              <w:right w:val="nil"/>
            </w:tcBorders>
            <w:hideMark/>
          </w:tcPr>
          <w:p w:rsidR="00D25F12" w:rsidRPr="0085642D" w:rsidRDefault="00D25F12" w:rsidP="00243EA6">
            <w:pPr>
              <w:suppressAutoHyphens/>
              <w:jc w:val="center"/>
              <w:rPr>
                <w:sz w:val="24"/>
                <w:szCs w:val="24"/>
              </w:rPr>
            </w:pPr>
            <w:r w:rsidRPr="0085642D">
              <w:rPr>
                <w:sz w:val="24"/>
                <w:szCs w:val="24"/>
              </w:rPr>
              <w:t>4</w:t>
            </w:r>
          </w:p>
        </w:tc>
        <w:tc>
          <w:tcPr>
            <w:tcW w:w="876" w:type="pct"/>
            <w:tcBorders>
              <w:top w:val="nil"/>
              <w:left w:val="nil"/>
              <w:bottom w:val="nil"/>
              <w:right w:val="nil"/>
            </w:tcBorders>
            <w:hideMark/>
          </w:tcPr>
          <w:p w:rsidR="00D25F12" w:rsidRPr="0085642D" w:rsidRDefault="00D25F12" w:rsidP="00243EA6">
            <w:pPr>
              <w:suppressAutoHyphens/>
              <w:jc w:val="center"/>
              <w:rPr>
                <w:sz w:val="24"/>
                <w:szCs w:val="24"/>
              </w:rPr>
            </w:pPr>
            <w:r w:rsidRPr="0085642D">
              <w:rPr>
                <w:sz w:val="24"/>
                <w:szCs w:val="24"/>
              </w:rPr>
              <w:t>(14 %)</w:t>
            </w:r>
          </w:p>
        </w:tc>
      </w:tr>
      <w:tr w:rsidR="00D25F12" w:rsidRPr="0085642D" w:rsidTr="00243EA6">
        <w:tc>
          <w:tcPr>
            <w:tcW w:w="2183" w:type="pct"/>
            <w:tcBorders>
              <w:top w:val="nil"/>
              <w:left w:val="nil"/>
              <w:bottom w:val="nil"/>
              <w:right w:val="single" w:sz="4" w:space="0" w:color="auto"/>
            </w:tcBorders>
            <w:hideMark/>
          </w:tcPr>
          <w:p w:rsidR="00D25F12" w:rsidRPr="0085642D" w:rsidRDefault="00D25F12" w:rsidP="00243EA6">
            <w:pPr>
              <w:suppressAutoHyphens/>
              <w:rPr>
                <w:sz w:val="24"/>
                <w:szCs w:val="24"/>
              </w:rPr>
            </w:pPr>
            <w:r w:rsidRPr="0085642D">
              <w:rPr>
                <w:sz w:val="24"/>
                <w:szCs w:val="24"/>
              </w:rPr>
              <w:t xml:space="preserve">   Y188C/H</w:t>
            </w:r>
          </w:p>
        </w:tc>
        <w:tc>
          <w:tcPr>
            <w:tcW w:w="587" w:type="pct"/>
            <w:tcBorders>
              <w:top w:val="nil"/>
              <w:left w:val="single" w:sz="4" w:space="0" w:color="auto"/>
              <w:bottom w:val="nil"/>
              <w:right w:val="nil"/>
            </w:tcBorders>
            <w:hideMark/>
          </w:tcPr>
          <w:p w:rsidR="00D25F12" w:rsidRPr="0085642D" w:rsidRDefault="00D25F12" w:rsidP="00243EA6">
            <w:pPr>
              <w:suppressAutoHyphens/>
              <w:jc w:val="center"/>
              <w:rPr>
                <w:sz w:val="24"/>
                <w:szCs w:val="24"/>
              </w:rPr>
            </w:pPr>
            <w:r w:rsidRPr="0085642D">
              <w:rPr>
                <w:sz w:val="24"/>
                <w:szCs w:val="24"/>
              </w:rPr>
              <w:t>1</w:t>
            </w:r>
          </w:p>
        </w:tc>
        <w:tc>
          <w:tcPr>
            <w:tcW w:w="796" w:type="pct"/>
            <w:tcBorders>
              <w:top w:val="nil"/>
              <w:left w:val="nil"/>
              <w:bottom w:val="nil"/>
              <w:right w:val="single" w:sz="4" w:space="0" w:color="auto"/>
            </w:tcBorders>
            <w:hideMark/>
          </w:tcPr>
          <w:p w:rsidR="00D25F12" w:rsidRPr="0085642D" w:rsidRDefault="00D25F12" w:rsidP="00243EA6">
            <w:pPr>
              <w:suppressAutoHyphens/>
              <w:jc w:val="center"/>
              <w:rPr>
                <w:sz w:val="24"/>
                <w:szCs w:val="24"/>
              </w:rPr>
            </w:pPr>
            <w:r w:rsidRPr="0085642D">
              <w:rPr>
                <w:sz w:val="24"/>
                <w:szCs w:val="24"/>
              </w:rPr>
              <w:t>(5 %)</w:t>
            </w:r>
          </w:p>
        </w:tc>
        <w:tc>
          <w:tcPr>
            <w:tcW w:w="558" w:type="pct"/>
            <w:tcBorders>
              <w:top w:val="nil"/>
              <w:left w:val="single" w:sz="4" w:space="0" w:color="auto"/>
              <w:bottom w:val="nil"/>
              <w:right w:val="nil"/>
            </w:tcBorders>
            <w:hideMark/>
          </w:tcPr>
          <w:p w:rsidR="00D25F12" w:rsidRPr="0085642D" w:rsidRDefault="00D25F12" w:rsidP="00243EA6">
            <w:pPr>
              <w:suppressAutoHyphens/>
              <w:jc w:val="center"/>
              <w:rPr>
                <w:sz w:val="24"/>
                <w:szCs w:val="24"/>
              </w:rPr>
            </w:pPr>
            <w:r w:rsidRPr="0085642D">
              <w:rPr>
                <w:sz w:val="24"/>
                <w:szCs w:val="24"/>
              </w:rPr>
              <w:t>2</w:t>
            </w:r>
          </w:p>
        </w:tc>
        <w:tc>
          <w:tcPr>
            <w:tcW w:w="876" w:type="pct"/>
            <w:tcBorders>
              <w:top w:val="nil"/>
              <w:left w:val="nil"/>
              <w:bottom w:val="nil"/>
              <w:right w:val="nil"/>
            </w:tcBorders>
            <w:hideMark/>
          </w:tcPr>
          <w:p w:rsidR="00D25F12" w:rsidRPr="0085642D" w:rsidRDefault="00D25F12" w:rsidP="00243EA6">
            <w:pPr>
              <w:suppressAutoHyphens/>
              <w:jc w:val="center"/>
              <w:rPr>
                <w:sz w:val="24"/>
                <w:szCs w:val="24"/>
              </w:rPr>
            </w:pPr>
            <w:r w:rsidRPr="0085642D">
              <w:rPr>
                <w:sz w:val="24"/>
                <w:szCs w:val="24"/>
              </w:rPr>
              <w:t>(7 %)</w:t>
            </w:r>
          </w:p>
        </w:tc>
      </w:tr>
      <w:tr w:rsidR="00D25F12" w:rsidRPr="0085642D" w:rsidTr="00243EA6">
        <w:tc>
          <w:tcPr>
            <w:tcW w:w="2183" w:type="pct"/>
            <w:tcBorders>
              <w:top w:val="nil"/>
              <w:left w:val="nil"/>
              <w:bottom w:val="nil"/>
              <w:right w:val="single" w:sz="4" w:space="0" w:color="auto"/>
            </w:tcBorders>
            <w:hideMark/>
          </w:tcPr>
          <w:p w:rsidR="00D25F12" w:rsidRPr="0085642D" w:rsidRDefault="00D25F12" w:rsidP="00243EA6">
            <w:pPr>
              <w:suppressAutoHyphens/>
              <w:rPr>
                <w:sz w:val="24"/>
                <w:szCs w:val="24"/>
              </w:rPr>
            </w:pPr>
            <w:r w:rsidRPr="0085642D">
              <w:rPr>
                <w:sz w:val="24"/>
                <w:szCs w:val="24"/>
              </w:rPr>
              <w:t xml:space="preserve">   V108I</w:t>
            </w:r>
          </w:p>
        </w:tc>
        <w:tc>
          <w:tcPr>
            <w:tcW w:w="587" w:type="pct"/>
            <w:tcBorders>
              <w:top w:val="nil"/>
              <w:left w:val="single" w:sz="4" w:space="0" w:color="auto"/>
              <w:bottom w:val="nil"/>
              <w:right w:val="nil"/>
            </w:tcBorders>
            <w:hideMark/>
          </w:tcPr>
          <w:p w:rsidR="00D25F12" w:rsidRPr="0085642D" w:rsidRDefault="00D25F12" w:rsidP="00243EA6">
            <w:pPr>
              <w:suppressAutoHyphens/>
              <w:jc w:val="center"/>
              <w:rPr>
                <w:sz w:val="24"/>
                <w:szCs w:val="24"/>
              </w:rPr>
            </w:pPr>
            <w:r w:rsidRPr="0085642D">
              <w:rPr>
                <w:sz w:val="24"/>
                <w:szCs w:val="24"/>
              </w:rPr>
              <w:t>1</w:t>
            </w:r>
          </w:p>
        </w:tc>
        <w:tc>
          <w:tcPr>
            <w:tcW w:w="796" w:type="pct"/>
            <w:tcBorders>
              <w:top w:val="nil"/>
              <w:left w:val="nil"/>
              <w:bottom w:val="nil"/>
              <w:right w:val="single" w:sz="4" w:space="0" w:color="auto"/>
            </w:tcBorders>
            <w:hideMark/>
          </w:tcPr>
          <w:p w:rsidR="00D25F12" w:rsidRPr="0085642D" w:rsidRDefault="00D25F12" w:rsidP="00243EA6">
            <w:pPr>
              <w:suppressAutoHyphens/>
              <w:jc w:val="center"/>
              <w:rPr>
                <w:sz w:val="24"/>
                <w:szCs w:val="24"/>
              </w:rPr>
            </w:pPr>
            <w:r w:rsidRPr="0085642D">
              <w:rPr>
                <w:sz w:val="24"/>
                <w:szCs w:val="24"/>
              </w:rPr>
              <w:t>(5 %)</w:t>
            </w:r>
          </w:p>
        </w:tc>
        <w:tc>
          <w:tcPr>
            <w:tcW w:w="558" w:type="pct"/>
            <w:tcBorders>
              <w:top w:val="nil"/>
              <w:left w:val="single" w:sz="4" w:space="0" w:color="auto"/>
              <w:bottom w:val="nil"/>
              <w:right w:val="nil"/>
            </w:tcBorders>
            <w:hideMark/>
          </w:tcPr>
          <w:p w:rsidR="00D25F12" w:rsidRPr="0085642D" w:rsidRDefault="00D25F12" w:rsidP="00243EA6">
            <w:pPr>
              <w:suppressAutoHyphens/>
              <w:jc w:val="center"/>
              <w:rPr>
                <w:sz w:val="24"/>
                <w:szCs w:val="24"/>
              </w:rPr>
            </w:pPr>
            <w:r w:rsidRPr="0085642D">
              <w:rPr>
                <w:sz w:val="24"/>
                <w:szCs w:val="24"/>
              </w:rPr>
              <w:t>1</w:t>
            </w:r>
          </w:p>
        </w:tc>
        <w:tc>
          <w:tcPr>
            <w:tcW w:w="876" w:type="pct"/>
            <w:tcBorders>
              <w:top w:val="nil"/>
              <w:left w:val="nil"/>
              <w:bottom w:val="nil"/>
              <w:right w:val="nil"/>
            </w:tcBorders>
            <w:hideMark/>
          </w:tcPr>
          <w:p w:rsidR="00D25F12" w:rsidRPr="0085642D" w:rsidRDefault="00D25F12" w:rsidP="00243EA6">
            <w:pPr>
              <w:suppressAutoHyphens/>
              <w:jc w:val="center"/>
              <w:rPr>
                <w:sz w:val="24"/>
                <w:szCs w:val="24"/>
              </w:rPr>
            </w:pPr>
            <w:r w:rsidRPr="0085642D">
              <w:rPr>
                <w:sz w:val="24"/>
                <w:szCs w:val="24"/>
              </w:rPr>
              <w:t>(3 %)</w:t>
            </w:r>
          </w:p>
        </w:tc>
      </w:tr>
      <w:tr w:rsidR="00D25F12" w:rsidRPr="0085642D" w:rsidTr="00243EA6">
        <w:tc>
          <w:tcPr>
            <w:tcW w:w="2183" w:type="pct"/>
            <w:tcBorders>
              <w:top w:val="nil"/>
              <w:left w:val="nil"/>
              <w:bottom w:val="single" w:sz="4" w:space="0" w:color="auto"/>
              <w:right w:val="single" w:sz="4" w:space="0" w:color="auto"/>
            </w:tcBorders>
            <w:hideMark/>
          </w:tcPr>
          <w:p w:rsidR="00D25F12" w:rsidRPr="0085642D" w:rsidRDefault="00D25F12" w:rsidP="00243EA6">
            <w:pPr>
              <w:suppressAutoHyphens/>
              <w:rPr>
                <w:sz w:val="24"/>
                <w:szCs w:val="24"/>
              </w:rPr>
            </w:pPr>
            <w:r w:rsidRPr="0085642D">
              <w:rPr>
                <w:sz w:val="24"/>
                <w:szCs w:val="24"/>
              </w:rPr>
              <w:t xml:space="preserve">   P225H</w:t>
            </w:r>
          </w:p>
        </w:tc>
        <w:tc>
          <w:tcPr>
            <w:tcW w:w="587" w:type="pct"/>
            <w:tcBorders>
              <w:top w:val="nil"/>
              <w:left w:val="single" w:sz="4" w:space="0" w:color="auto"/>
              <w:bottom w:val="single" w:sz="4" w:space="0" w:color="auto"/>
              <w:right w:val="nil"/>
            </w:tcBorders>
            <w:hideMark/>
          </w:tcPr>
          <w:p w:rsidR="00D25F12" w:rsidRPr="0085642D" w:rsidRDefault="00D25F12" w:rsidP="00243EA6">
            <w:pPr>
              <w:suppressAutoHyphens/>
              <w:jc w:val="center"/>
              <w:rPr>
                <w:sz w:val="24"/>
                <w:szCs w:val="24"/>
              </w:rPr>
            </w:pPr>
            <w:r w:rsidRPr="0085642D">
              <w:rPr>
                <w:sz w:val="24"/>
                <w:szCs w:val="24"/>
              </w:rPr>
              <w:t>0</w:t>
            </w:r>
          </w:p>
        </w:tc>
        <w:tc>
          <w:tcPr>
            <w:tcW w:w="796" w:type="pct"/>
            <w:tcBorders>
              <w:top w:val="nil"/>
              <w:left w:val="nil"/>
              <w:bottom w:val="single" w:sz="4" w:space="0" w:color="auto"/>
              <w:right w:val="single" w:sz="4" w:space="0" w:color="auto"/>
            </w:tcBorders>
          </w:tcPr>
          <w:p w:rsidR="00D25F12" w:rsidRPr="0085642D" w:rsidRDefault="00D25F12" w:rsidP="00243EA6">
            <w:pPr>
              <w:suppressAutoHyphens/>
              <w:jc w:val="center"/>
              <w:rPr>
                <w:sz w:val="24"/>
                <w:szCs w:val="24"/>
              </w:rPr>
            </w:pPr>
          </w:p>
        </w:tc>
        <w:tc>
          <w:tcPr>
            <w:tcW w:w="558" w:type="pct"/>
            <w:tcBorders>
              <w:top w:val="nil"/>
              <w:left w:val="single" w:sz="4" w:space="0" w:color="auto"/>
              <w:bottom w:val="single" w:sz="4" w:space="0" w:color="auto"/>
              <w:right w:val="nil"/>
            </w:tcBorders>
            <w:hideMark/>
          </w:tcPr>
          <w:p w:rsidR="00D25F12" w:rsidRPr="0085642D" w:rsidRDefault="00D25F12" w:rsidP="00243EA6">
            <w:pPr>
              <w:suppressAutoHyphens/>
              <w:jc w:val="center"/>
              <w:rPr>
                <w:sz w:val="24"/>
                <w:szCs w:val="24"/>
              </w:rPr>
            </w:pPr>
            <w:r w:rsidRPr="0085642D">
              <w:rPr>
                <w:sz w:val="24"/>
                <w:szCs w:val="24"/>
              </w:rPr>
              <w:t>2</w:t>
            </w:r>
          </w:p>
        </w:tc>
        <w:tc>
          <w:tcPr>
            <w:tcW w:w="876" w:type="pct"/>
            <w:tcBorders>
              <w:top w:val="nil"/>
              <w:left w:val="nil"/>
              <w:bottom w:val="single" w:sz="4" w:space="0" w:color="auto"/>
              <w:right w:val="nil"/>
            </w:tcBorders>
            <w:hideMark/>
          </w:tcPr>
          <w:p w:rsidR="00D25F12" w:rsidRPr="0085642D" w:rsidRDefault="00D25F12" w:rsidP="00243EA6">
            <w:pPr>
              <w:suppressAutoHyphens/>
              <w:jc w:val="center"/>
              <w:rPr>
                <w:sz w:val="24"/>
                <w:szCs w:val="24"/>
              </w:rPr>
            </w:pPr>
            <w:r w:rsidRPr="0085642D">
              <w:rPr>
                <w:sz w:val="24"/>
                <w:szCs w:val="24"/>
              </w:rPr>
              <w:t>(7 %)</w:t>
            </w:r>
          </w:p>
        </w:tc>
      </w:tr>
      <w:tr w:rsidR="00D25F12" w:rsidRPr="0085642D" w:rsidTr="00243EA6">
        <w:tc>
          <w:tcPr>
            <w:tcW w:w="2183" w:type="pct"/>
            <w:tcBorders>
              <w:top w:val="single" w:sz="4" w:space="0" w:color="auto"/>
              <w:left w:val="nil"/>
              <w:bottom w:val="single" w:sz="4" w:space="0" w:color="auto"/>
              <w:right w:val="single" w:sz="4" w:space="0" w:color="auto"/>
            </w:tcBorders>
            <w:hideMark/>
          </w:tcPr>
          <w:p w:rsidR="00D25F12" w:rsidRPr="0085642D" w:rsidRDefault="00D25F12" w:rsidP="00243EA6">
            <w:pPr>
              <w:suppressAutoHyphens/>
              <w:rPr>
                <w:sz w:val="24"/>
                <w:szCs w:val="24"/>
              </w:rPr>
            </w:pPr>
            <w:r w:rsidRPr="0085642D">
              <w:rPr>
                <w:sz w:val="24"/>
                <w:szCs w:val="24"/>
              </w:rPr>
              <w:t>M184V/I</w:t>
            </w:r>
          </w:p>
        </w:tc>
        <w:tc>
          <w:tcPr>
            <w:tcW w:w="587" w:type="pct"/>
            <w:tcBorders>
              <w:top w:val="single" w:sz="4" w:space="0" w:color="auto"/>
              <w:left w:val="single" w:sz="4" w:space="0" w:color="auto"/>
              <w:bottom w:val="single" w:sz="4" w:space="0" w:color="auto"/>
              <w:right w:val="nil"/>
            </w:tcBorders>
            <w:hideMark/>
          </w:tcPr>
          <w:p w:rsidR="00D25F12" w:rsidRPr="0085642D" w:rsidRDefault="00D25F12" w:rsidP="00243EA6">
            <w:pPr>
              <w:suppressAutoHyphens/>
              <w:jc w:val="center"/>
              <w:rPr>
                <w:sz w:val="24"/>
                <w:szCs w:val="24"/>
              </w:rPr>
            </w:pPr>
            <w:r w:rsidRPr="0085642D">
              <w:rPr>
                <w:sz w:val="24"/>
                <w:szCs w:val="24"/>
              </w:rPr>
              <w:t>2</w:t>
            </w:r>
          </w:p>
        </w:tc>
        <w:tc>
          <w:tcPr>
            <w:tcW w:w="796" w:type="pct"/>
            <w:tcBorders>
              <w:top w:val="single" w:sz="4" w:space="0" w:color="auto"/>
              <w:left w:val="nil"/>
              <w:bottom w:val="single" w:sz="4" w:space="0" w:color="auto"/>
              <w:right w:val="single" w:sz="4" w:space="0" w:color="auto"/>
            </w:tcBorders>
            <w:hideMark/>
          </w:tcPr>
          <w:p w:rsidR="00D25F12" w:rsidRPr="0085642D" w:rsidRDefault="00D25F12" w:rsidP="00243EA6">
            <w:pPr>
              <w:suppressAutoHyphens/>
              <w:jc w:val="center"/>
              <w:rPr>
                <w:sz w:val="24"/>
                <w:szCs w:val="24"/>
              </w:rPr>
            </w:pPr>
            <w:r w:rsidRPr="0085642D">
              <w:rPr>
                <w:sz w:val="24"/>
                <w:szCs w:val="24"/>
              </w:rPr>
              <w:t>(10,5 %)</w:t>
            </w:r>
          </w:p>
        </w:tc>
        <w:tc>
          <w:tcPr>
            <w:tcW w:w="558" w:type="pct"/>
            <w:tcBorders>
              <w:top w:val="single" w:sz="4" w:space="0" w:color="auto"/>
              <w:left w:val="single" w:sz="4" w:space="0" w:color="auto"/>
              <w:bottom w:val="single" w:sz="4" w:space="0" w:color="auto"/>
              <w:right w:val="nil"/>
            </w:tcBorders>
            <w:hideMark/>
          </w:tcPr>
          <w:p w:rsidR="00D25F12" w:rsidRPr="0085642D" w:rsidRDefault="00D25F12" w:rsidP="00243EA6">
            <w:pPr>
              <w:suppressAutoHyphens/>
              <w:jc w:val="center"/>
              <w:rPr>
                <w:sz w:val="24"/>
                <w:szCs w:val="24"/>
              </w:rPr>
            </w:pPr>
            <w:r w:rsidRPr="0085642D">
              <w:rPr>
                <w:sz w:val="24"/>
                <w:szCs w:val="24"/>
              </w:rPr>
              <w:t>10</w:t>
            </w:r>
            <w:r w:rsidRPr="0085642D">
              <w:rPr>
                <w:sz w:val="24"/>
                <w:szCs w:val="24"/>
                <w:vertAlign w:val="superscript"/>
              </w:rPr>
              <w:t>*</w:t>
            </w:r>
          </w:p>
        </w:tc>
        <w:tc>
          <w:tcPr>
            <w:tcW w:w="876" w:type="pct"/>
            <w:tcBorders>
              <w:top w:val="single" w:sz="4" w:space="0" w:color="auto"/>
              <w:left w:val="nil"/>
              <w:bottom w:val="single" w:sz="4" w:space="0" w:color="auto"/>
              <w:right w:val="nil"/>
            </w:tcBorders>
            <w:hideMark/>
          </w:tcPr>
          <w:p w:rsidR="00D25F12" w:rsidRPr="0085642D" w:rsidRDefault="00D25F12" w:rsidP="00243EA6">
            <w:pPr>
              <w:suppressAutoHyphens/>
              <w:jc w:val="center"/>
              <w:rPr>
                <w:sz w:val="24"/>
                <w:szCs w:val="24"/>
              </w:rPr>
            </w:pPr>
            <w:r w:rsidRPr="0085642D">
              <w:rPr>
                <w:sz w:val="24"/>
                <w:szCs w:val="24"/>
              </w:rPr>
              <w:t>(34,5 %)</w:t>
            </w:r>
          </w:p>
        </w:tc>
      </w:tr>
      <w:tr w:rsidR="00D25F12" w:rsidRPr="0085642D" w:rsidTr="00243EA6">
        <w:tc>
          <w:tcPr>
            <w:tcW w:w="2183" w:type="pct"/>
            <w:tcBorders>
              <w:top w:val="single" w:sz="4" w:space="0" w:color="auto"/>
              <w:left w:val="nil"/>
              <w:bottom w:val="single" w:sz="4" w:space="0" w:color="auto"/>
              <w:right w:val="single" w:sz="4" w:space="0" w:color="auto"/>
            </w:tcBorders>
            <w:hideMark/>
          </w:tcPr>
          <w:p w:rsidR="00D25F12" w:rsidRPr="0085642D" w:rsidRDefault="00D25F12" w:rsidP="00243EA6">
            <w:pPr>
              <w:suppressAutoHyphens/>
              <w:rPr>
                <w:sz w:val="24"/>
                <w:szCs w:val="24"/>
              </w:rPr>
            </w:pPr>
            <w:r w:rsidRPr="0085642D">
              <w:rPr>
                <w:sz w:val="24"/>
                <w:szCs w:val="24"/>
              </w:rPr>
              <w:t>K65R</w:t>
            </w:r>
          </w:p>
        </w:tc>
        <w:tc>
          <w:tcPr>
            <w:tcW w:w="587" w:type="pct"/>
            <w:tcBorders>
              <w:top w:val="single" w:sz="4" w:space="0" w:color="auto"/>
              <w:left w:val="single" w:sz="4" w:space="0" w:color="auto"/>
              <w:bottom w:val="single" w:sz="4" w:space="0" w:color="auto"/>
              <w:right w:val="nil"/>
            </w:tcBorders>
            <w:hideMark/>
          </w:tcPr>
          <w:p w:rsidR="00D25F12" w:rsidRPr="0085642D" w:rsidRDefault="00D25F12" w:rsidP="00243EA6">
            <w:pPr>
              <w:suppressAutoHyphens/>
              <w:jc w:val="center"/>
              <w:rPr>
                <w:sz w:val="24"/>
                <w:szCs w:val="24"/>
              </w:rPr>
            </w:pPr>
            <w:r w:rsidRPr="0085642D">
              <w:rPr>
                <w:sz w:val="24"/>
                <w:szCs w:val="24"/>
              </w:rPr>
              <w:t>0</w:t>
            </w:r>
          </w:p>
        </w:tc>
        <w:tc>
          <w:tcPr>
            <w:tcW w:w="796" w:type="pct"/>
            <w:tcBorders>
              <w:top w:val="single" w:sz="4" w:space="0" w:color="auto"/>
              <w:left w:val="nil"/>
              <w:bottom w:val="single" w:sz="4" w:space="0" w:color="auto"/>
              <w:right w:val="single" w:sz="4" w:space="0" w:color="auto"/>
            </w:tcBorders>
          </w:tcPr>
          <w:p w:rsidR="00D25F12" w:rsidRPr="0085642D" w:rsidRDefault="00D25F12" w:rsidP="00243EA6">
            <w:pPr>
              <w:suppressAutoHyphens/>
              <w:jc w:val="center"/>
              <w:rPr>
                <w:sz w:val="24"/>
                <w:szCs w:val="24"/>
              </w:rPr>
            </w:pPr>
          </w:p>
        </w:tc>
        <w:tc>
          <w:tcPr>
            <w:tcW w:w="558" w:type="pct"/>
            <w:tcBorders>
              <w:top w:val="single" w:sz="4" w:space="0" w:color="auto"/>
              <w:left w:val="single" w:sz="4" w:space="0" w:color="auto"/>
              <w:bottom w:val="single" w:sz="4" w:space="0" w:color="auto"/>
              <w:right w:val="nil"/>
            </w:tcBorders>
            <w:hideMark/>
          </w:tcPr>
          <w:p w:rsidR="00D25F12" w:rsidRPr="0085642D" w:rsidRDefault="00D25F12" w:rsidP="00243EA6">
            <w:pPr>
              <w:suppressAutoHyphens/>
              <w:jc w:val="center"/>
              <w:rPr>
                <w:sz w:val="24"/>
                <w:szCs w:val="24"/>
              </w:rPr>
            </w:pPr>
            <w:r w:rsidRPr="0085642D">
              <w:rPr>
                <w:sz w:val="24"/>
                <w:szCs w:val="24"/>
              </w:rPr>
              <w:t>0</w:t>
            </w:r>
          </w:p>
        </w:tc>
        <w:tc>
          <w:tcPr>
            <w:tcW w:w="876" w:type="pct"/>
            <w:tcBorders>
              <w:top w:val="single" w:sz="4" w:space="0" w:color="auto"/>
              <w:left w:val="nil"/>
              <w:bottom w:val="single" w:sz="4" w:space="0" w:color="auto"/>
              <w:right w:val="nil"/>
            </w:tcBorders>
          </w:tcPr>
          <w:p w:rsidR="00D25F12" w:rsidRPr="0085642D" w:rsidRDefault="00D25F12" w:rsidP="00243EA6">
            <w:pPr>
              <w:suppressAutoHyphens/>
              <w:jc w:val="center"/>
              <w:rPr>
                <w:sz w:val="24"/>
                <w:szCs w:val="24"/>
              </w:rPr>
            </w:pPr>
          </w:p>
        </w:tc>
      </w:tr>
      <w:tr w:rsidR="00D25F12" w:rsidRPr="0085642D" w:rsidTr="00243EA6">
        <w:tc>
          <w:tcPr>
            <w:tcW w:w="2183" w:type="pct"/>
            <w:tcBorders>
              <w:top w:val="single" w:sz="4" w:space="0" w:color="auto"/>
              <w:left w:val="nil"/>
              <w:bottom w:val="single" w:sz="4" w:space="0" w:color="auto"/>
              <w:right w:val="single" w:sz="4" w:space="0" w:color="auto"/>
            </w:tcBorders>
            <w:hideMark/>
          </w:tcPr>
          <w:p w:rsidR="00D25F12" w:rsidRPr="0085642D" w:rsidRDefault="00D25F12" w:rsidP="00243EA6">
            <w:pPr>
              <w:suppressAutoHyphens/>
              <w:rPr>
                <w:sz w:val="24"/>
                <w:szCs w:val="24"/>
              </w:rPr>
            </w:pPr>
            <w:r w:rsidRPr="0085642D">
              <w:rPr>
                <w:sz w:val="24"/>
                <w:szCs w:val="24"/>
              </w:rPr>
              <w:t>K70E</w:t>
            </w:r>
          </w:p>
        </w:tc>
        <w:tc>
          <w:tcPr>
            <w:tcW w:w="587" w:type="pct"/>
            <w:tcBorders>
              <w:top w:val="single" w:sz="4" w:space="0" w:color="auto"/>
              <w:left w:val="single" w:sz="4" w:space="0" w:color="auto"/>
              <w:bottom w:val="single" w:sz="4" w:space="0" w:color="auto"/>
              <w:right w:val="nil"/>
            </w:tcBorders>
            <w:hideMark/>
          </w:tcPr>
          <w:p w:rsidR="00D25F12" w:rsidRPr="0085642D" w:rsidRDefault="00D25F12" w:rsidP="00243EA6">
            <w:pPr>
              <w:suppressAutoHyphens/>
              <w:jc w:val="center"/>
              <w:rPr>
                <w:sz w:val="24"/>
                <w:szCs w:val="24"/>
              </w:rPr>
            </w:pPr>
            <w:r w:rsidRPr="0085642D">
              <w:rPr>
                <w:sz w:val="24"/>
                <w:szCs w:val="24"/>
              </w:rPr>
              <w:t>0</w:t>
            </w:r>
          </w:p>
        </w:tc>
        <w:tc>
          <w:tcPr>
            <w:tcW w:w="796" w:type="pct"/>
            <w:tcBorders>
              <w:top w:val="single" w:sz="4" w:space="0" w:color="auto"/>
              <w:left w:val="nil"/>
              <w:bottom w:val="single" w:sz="4" w:space="0" w:color="auto"/>
              <w:right w:val="single" w:sz="4" w:space="0" w:color="auto"/>
            </w:tcBorders>
          </w:tcPr>
          <w:p w:rsidR="00D25F12" w:rsidRPr="0085642D" w:rsidRDefault="00D25F12" w:rsidP="00243EA6">
            <w:pPr>
              <w:suppressAutoHyphens/>
              <w:jc w:val="center"/>
              <w:rPr>
                <w:sz w:val="24"/>
                <w:szCs w:val="24"/>
              </w:rPr>
            </w:pPr>
          </w:p>
        </w:tc>
        <w:tc>
          <w:tcPr>
            <w:tcW w:w="558" w:type="pct"/>
            <w:tcBorders>
              <w:top w:val="single" w:sz="4" w:space="0" w:color="auto"/>
              <w:left w:val="single" w:sz="4" w:space="0" w:color="auto"/>
              <w:bottom w:val="single" w:sz="4" w:space="0" w:color="auto"/>
              <w:right w:val="nil"/>
            </w:tcBorders>
            <w:hideMark/>
          </w:tcPr>
          <w:p w:rsidR="00D25F12" w:rsidRPr="0085642D" w:rsidRDefault="00D25F12" w:rsidP="00243EA6">
            <w:pPr>
              <w:suppressAutoHyphens/>
              <w:jc w:val="center"/>
              <w:rPr>
                <w:sz w:val="24"/>
                <w:szCs w:val="24"/>
              </w:rPr>
            </w:pPr>
            <w:r w:rsidRPr="0085642D">
              <w:rPr>
                <w:sz w:val="24"/>
                <w:szCs w:val="24"/>
              </w:rPr>
              <w:t>0</w:t>
            </w:r>
          </w:p>
        </w:tc>
        <w:tc>
          <w:tcPr>
            <w:tcW w:w="876" w:type="pct"/>
            <w:tcBorders>
              <w:top w:val="single" w:sz="4" w:space="0" w:color="auto"/>
              <w:left w:val="nil"/>
              <w:bottom w:val="single" w:sz="4" w:space="0" w:color="auto"/>
              <w:right w:val="nil"/>
            </w:tcBorders>
          </w:tcPr>
          <w:p w:rsidR="00D25F12" w:rsidRPr="0085642D" w:rsidRDefault="00D25F12" w:rsidP="00243EA6">
            <w:pPr>
              <w:suppressAutoHyphens/>
              <w:jc w:val="center"/>
              <w:rPr>
                <w:sz w:val="24"/>
                <w:szCs w:val="24"/>
              </w:rPr>
            </w:pPr>
          </w:p>
        </w:tc>
      </w:tr>
      <w:tr w:rsidR="00D25F12" w:rsidRPr="0085642D" w:rsidTr="00243EA6">
        <w:tc>
          <w:tcPr>
            <w:tcW w:w="2183" w:type="pct"/>
            <w:tcBorders>
              <w:top w:val="single" w:sz="4" w:space="0" w:color="auto"/>
              <w:left w:val="nil"/>
              <w:bottom w:val="single" w:sz="4" w:space="0" w:color="auto"/>
              <w:right w:val="single" w:sz="4" w:space="0" w:color="auto"/>
            </w:tcBorders>
            <w:hideMark/>
          </w:tcPr>
          <w:p w:rsidR="00D25F12" w:rsidRPr="0085642D" w:rsidRDefault="00D25F12" w:rsidP="00243EA6">
            <w:pPr>
              <w:suppressAutoHyphens/>
              <w:rPr>
                <w:sz w:val="24"/>
                <w:szCs w:val="24"/>
              </w:rPr>
            </w:pPr>
            <w:r w:rsidRPr="0085642D">
              <w:rPr>
                <w:sz w:val="24"/>
                <w:szCs w:val="24"/>
              </w:rPr>
              <w:t>TAMs</w:t>
            </w:r>
            <w:r w:rsidRPr="0085642D">
              <w:rPr>
                <w:sz w:val="24"/>
                <w:szCs w:val="24"/>
                <w:vertAlign w:val="superscript"/>
              </w:rPr>
              <w:t>2</w:t>
            </w:r>
          </w:p>
        </w:tc>
        <w:tc>
          <w:tcPr>
            <w:tcW w:w="587" w:type="pct"/>
            <w:tcBorders>
              <w:top w:val="single" w:sz="4" w:space="0" w:color="auto"/>
              <w:left w:val="single" w:sz="4" w:space="0" w:color="auto"/>
              <w:bottom w:val="single" w:sz="4" w:space="0" w:color="auto"/>
              <w:right w:val="nil"/>
            </w:tcBorders>
            <w:hideMark/>
          </w:tcPr>
          <w:p w:rsidR="00D25F12" w:rsidRPr="0085642D" w:rsidRDefault="00D25F12" w:rsidP="00243EA6">
            <w:pPr>
              <w:suppressAutoHyphens/>
              <w:jc w:val="center"/>
              <w:rPr>
                <w:sz w:val="24"/>
                <w:szCs w:val="24"/>
              </w:rPr>
            </w:pPr>
            <w:r w:rsidRPr="0085642D">
              <w:rPr>
                <w:sz w:val="24"/>
                <w:szCs w:val="24"/>
              </w:rPr>
              <w:t>0</w:t>
            </w:r>
          </w:p>
        </w:tc>
        <w:tc>
          <w:tcPr>
            <w:tcW w:w="796" w:type="pct"/>
            <w:tcBorders>
              <w:top w:val="single" w:sz="4" w:space="0" w:color="auto"/>
              <w:left w:val="nil"/>
              <w:bottom w:val="single" w:sz="4" w:space="0" w:color="auto"/>
              <w:right w:val="single" w:sz="4" w:space="0" w:color="auto"/>
            </w:tcBorders>
          </w:tcPr>
          <w:p w:rsidR="00D25F12" w:rsidRPr="0085642D" w:rsidRDefault="00D25F12" w:rsidP="00243EA6">
            <w:pPr>
              <w:suppressAutoHyphens/>
              <w:jc w:val="center"/>
              <w:rPr>
                <w:sz w:val="24"/>
                <w:szCs w:val="24"/>
              </w:rPr>
            </w:pPr>
          </w:p>
        </w:tc>
        <w:tc>
          <w:tcPr>
            <w:tcW w:w="558" w:type="pct"/>
            <w:tcBorders>
              <w:top w:val="single" w:sz="4" w:space="0" w:color="auto"/>
              <w:left w:val="single" w:sz="4" w:space="0" w:color="auto"/>
              <w:bottom w:val="single" w:sz="4" w:space="0" w:color="auto"/>
              <w:right w:val="nil"/>
            </w:tcBorders>
            <w:hideMark/>
          </w:tcPr>
          <w:p w:rsidR="00D25F12" w:rsidRPr="0085642D" w:rsidRDefault="00D25F12" w:rsidP="00243EA6">
            <w:pPr>
              <w:suppressAutoHyphens/>
              <w:jc w:val="center"/>
              <w:rPr>
                <w:sz w:val="24"/>
                <w:szCs w:val="24"/>
              </w:rPr>
            </w:pPr>
            <w:r w:rsidRPr="0085642D">
              <w:rPr>
                <w:sz w:val="24"/>
                <w:szCs w:val="24"/>
              </w:rPr>
              <w:t>2</w:t>
            </w:r>
          </w:p>
        </w:tc>
        <w:tc>
          <w:tcPr>
            <w:tcW w:w="876" w:type="pct"/>
            <w:tcBorders>
              <w:top w:val="single" w:sz="4" w:space="0" w:color="auto"/>
              <w:left w:val="nil"/>
              <w:bottom w:val="single" w:sz="4" w:space="0" w:color="auto"/>
              <w:right w:val="nil"/>
            </w:tcBorders>
            <w:hideMark/>
          </w:tcPr>
          <w:p w:rsidR="00D25F12" w:rsidRPr="0085642D" w:rsidRDefault="00D25F12" w:rsidP="00243EA6">
            <w:pPr>
              <w:suppressAutoHyphens/>
              <w:jc w:val="center"/>
              <w:rPr>
                <w:sz w:val="24"/>
                <w:szCs w:val="24"/>
              </w:rPr>
            </w:pPr>
            <w:r w:rsidRPr="0085642D">
              <w:rPr>
                <w:sz w:val="24"/>
                <w:szCs w:val="24"/>
              </w:rPr>
              <w:t>(7 %)</w:t>
            </w:r>
          </w:p>
        </w:tc>
      </w:tr>
    </w:tbl>
    <w:p w:rsidR="00D25F12" w:rsidRPr="0085642D" w:rsidRDefault="00D25F12" w:rsidP="00D25F12">
      <w:pPr>
        <w:tabs>
          <w:tab w:val="left" w:pos="284"/>
        </w:tabs>
        <w:suppressAutoHyphens/>
        <w:ind w:left="284" w:hanging="284"/>
        <w:rPr>
          <w:sz w:val="24"/>
          <w:szCs w:val="24"/>
          <w:lang w:eastAsia="fr-LU" w:bidi="en-GB"/>
        </w:rPr>
      </w:pPr>
      <w:r w:rsidRPr="0085642D">
        <w:rPr>
          <w:sz w:val="24"/>
          <w:szCs w:val="24"/>
          <w:lang w:bidi="en-GB"/>
        </w:rPr>
        <w:t>*</w:t>
      </w:r>
      <w:r w:rsidRPr="0085642D">
        <w:rPr>
          <w:sz w:val="24"/>
          <w:szCs w:val="24"/>
          <w:lang w:bidi="en-GB"/>
        </w:rPr>
        <w:tab/>
        <w:t>p</w:t>
      </w:r>
      <w:r w:rsidRPr="0085642D">
        <w:rPr>
          <w:sz w:val="24"/>
          <w:szCs w:val="24"/>
          <w:lang w:bidi="en-GB"/>
        </w:rPr>
        <w:noBreakHyphen/>
        <w:t>værdi &lt; 0,05, Fishers eksakte test, som sammenligner efavirenz + emtricitabin + tenofovirdisoproxil</w:t>
      </w:r>
      <w:r w:rsidRPr="0085642D">
        <w:rPr>
          <w:sz w:val="24"/>
          <w:szCs w:val="24"/>
          <w:lang w:bidi="en-GB"/>
        </w:rPr>
        <w:noBreakHyphen/>
        <w:t>gruppen med efavirenz + lamivudin/zidovudin-gruppen blandt alle patienter.</w:t>
      </w:r>
    </w:p>
    <w:p w:rsidR="00D25F12" w:rsidRPr="0085642D" w:rsidRDefault="00D25F12" w:rsidP="00D25F12">
      <w:pPr>
        <w:tabs>
          <w:tab w:val="left" w:pos="284"/>
        </w:tabs>
        <w:suppressAutoHyphens/>
        <w:ind w:left="284" w:hanging="284"/>
        <w:rPr>
          <w:sz w:val="24"/>
          <w:szCs w:val="24"/>
          <w:lang w:bidi="en-GB"/>
        </w:rPr>
      </w:pPr>
      <w:r w:rsidRPr="0085642D">
        <w:rPr>
          <w:sz w:val="24"/>
          <w:szCs w:val="24"/>
          <w:vertAlign w:val="superscript"/>
          <w:lang w:bidi="en-GB"/>
        </w:rPr>
        <w:t>1</w:t>
      </w:r>
      <w:r w:rsidRPr="0085642D">
        <w:rPr>
          <w:sz w:val="24"/>
          <w:szCs w:val="24"/>
          <w:vertAlign w:val="superscript"/>
          <w:lang w:bidi="en-GB"/>
        </w:rPr>
        <w:tab/>
      </w:r>
      <w:r w:rsidRPr="0085642D">
        <w:rPr>
          <w:sz w:val="24"/>
          <w:szCs w:val="24"/>
          <w:lang w:bidi="en-GB"/>
        </w:rPr>
        <w:t>Andre efavirenz resistensmutationer omfattede A98G (n=1), K103E (n=1), V179D (n=1), og M230L (n=1).</w:t>
      </w:r>
    </w:p>
    <w:p w:rsidR="00D25F12" w:rsidRPr="0085642D" w:rsidRDefault="00D25F12" w:rsidP="00D25F12">
      <w:pPr>
        <w:tabs>
          <w:tab w:val="left" w:pos="284"/>
        </w:tabs>
        <w:suppressAutoHyphens/>
        <w:rPr>
          <w:sz w:val="24"/>
          <w:szCs w:val="24"/>
          <w:lang w:bidi="en-GB"/>
        </w:rPr>
      </w:pPr>
      <w:r w:rsidRPr="0085642D">
        <w:rPr>
          <w:sz w:val="24"/>
          <w:szCs w:val="24"/>
          <w:vertAlign w:val="superscript"/>
          <w:lang w:bidi="en-GB"/>
        </w:rPr>
        <w:t>2</w:t>
      </w:r>
      <w:r w:rsidRPr="0085642D">
        <w:rPr>
          <w:sz w:val="24"/>
          <w:szCs w:val="24"/>
          <w:vertAlign w:val="superscript"/>
          <w:lang w:bidi="en-GB"/>
        </w:rPr>
        <w:tab/>
      </w:r>
      <w:r w:rsidRPr="0085642D">
        <w:rPr>
          <w:sz w:val="24"/>
          <w:szCs w:val="24"/>
          <w:lang w:bidi="en-GB"/>
        </w:rPr>
        <w:t>Thymidin</w:t>
      </w:r>
      <w:r w:rsidRPr="0085642D">
        <w:rPr>
          <w:sz w:val="24"/>
          <w:szCs w:val="24"/>
          <w:lang w:bidi="en-GB"/>
        </w:rPr>
        <w:noBreakHyphen/>
        <w:t>analogassocierede mutationer omfattede D67N (n=1) og K70R (n=1).</w:t>
      </w:r>
    </w:p>
    <w:p w:rsidR="00D25F12" w:rsidRPr="0085642D" w:rsidRDefault="00D25F12" w:rsidP="00D25F12">
      <w:pPr>
        <w:suppressAutoHyphens/>
        <w:rPr>
          <w:sz w:val="24"/>
          <w:szCs w:val="24"/>
        </w:rPr>
      </w:pPr>
    </w:p>
    <w:p w:rsidR="00D25F12" w:rsidRPr="0085642D" w:rsidRDefault="00D25F12" w:rsidP="00D25F12">
      <w:pPr>
        <w:suppressAutoHyphens/>
        <w:ind w:left="851"/>
        <w:rPr>
          <w:sz w:val="24"/>
          <w:szCs w:val="24"/>
          <w:lang w:bidi="en-GB"/>
        </w:rPr>
      </w:pPr>
      <w:r w:rsidRPr="0085642D">
        <w:rPr>
          <w:sz w:val="24"/>
          <w:szCs w:val="24"/>
          <w:lang w:bidi="en-GB"/>
        </w:rPr>
        <w:t>I den åbne forlængelsesfase af studie GS</w:t>
      </w:r>
      <w:r w:rsidRPr="0085642D">
        <w:rPr>
          <w:sz w:val="24"/>
          <w:szCs w:val="24"/>
          <w:lang w:bidi="en-GB"/>
        </w:rPr>
        <w:noBreakHyphen/>
        <w:t>01</w:t>
      </w:r>
      <w:r w:rsidRPr="0085642D">
        <w:rPr>
          <w:sz w:val="24"/>
          <w:szCs w:val="24"/>
          <w:lang w:bidi="en-GB"/>
        </w:rPr>
        <w:noBreakHyphen/>
        <w:t xml:space="preserve">934, hvor patienterne fik </w:t>
      </w:r>
      <w:r w:rsidRPr="0085642D">
        <w:rPr>
          <w:sz w:val="24"/>
          <w:szCs w:val="24"/>
        </w:rPr>
        <w:t>efavirenz/emtricitabin/tenofovirdisoproxil</w:t>
      </w:r>
      <w:r w:rsidRPr="0085642D">
        <w:rPr>
          <w:sz w:val="24"/>
          <w:szCs w:val="24"/>
          <w:lang w:bidi="en-GB"/>
        </w:rPr>
        <w:t xml:space="preserve"> på tom mave, blev der observeret yderligere 3 tilfælde af resistens. Alle 3 patienter havde fået en fastdosis</w:t>
      </w:r>
      <w:r w:rsidRPr="0085642D">
        <w:rPr>
          <w:sz w:val="24"/>
          <w:szCs w:val="24"/>
          <w:lang w:bidi="en-GB"/>
        </w:rPr>
        <w:noBreakHyphen/>
        <w:t xml:space="preserve">kombination af lamivudin og zidovudin og efavirenz i 144 uger og skiftede derefter til </w:t>
      </w:r>
      <w:r w:rsidRPr="0085642D">
        <w:rPr>
          <w:sz w:val="24"/>
          <w:szCs w:val="24"/>
        </w:rPr>
        <w:t>efavirenz/emtricitabin/teno</w:t>
      </w:r>
      <w:r w:rsidRPr="0085642D">
        <w:rPr>
          <w:sz w:val="24"/>
          <w:szCs w:val="24"/>
        </w:rPr>
        <w:softHyphen/>
        <w:t>fovirdisoproxil</w:t>
      </w:r>
      <w:r w:rsidRPr="0085642D">
        <w:rPr>
          <w:sz w:val="24"/>
          <w:szCs w:val="24"/>
          <w:lang w:bidi="en-GB"/>
        </w:rPr>
        <w:t xml:space="preserve">. To patienter med bekræftet virologisk </w:t>
      </w:r>
      <w:r w:rsidRPr="0085642D">
        <w:rPr>
          <w:i/>
          <w:sz w:val="24"/>
          <w:szCs w:val="24"/>
          <w:lang w:bidi="en-GB"/>
        </w:rPr>
        <w:t xml:space="preserve">rebound </w:t>
      </w:r>
      <w:r w:rsidRPr="0085642D">
        <w:rPr>
          <w:sz w:val="24"/>
          <w:szCs w:val="24"/>
          <w:lang w:bidi="en-GB"/>
        </w:rPr>
        <w:t>udviklede NNRTI</w:t>
      </w:r>
      <w:r w:rsidRPr="0085642D">
        <w:rPr>
          <w:sz w:val="24"/>
          <w:szCs w:val="24"/>
          <w:lang w:bidi="en-GB"/>
        </w:rPr>
        <w:noBreakHyphen/>
        <w:t>resistens-associerede substitutioner over for efavirenz, herunder K103N-, V106V/I/M- og Y188Y/C</w:t>
      </w:r>
      <w:r w:rsidRPr="0085642D">
        <w:rPr>
          <w:sz w:val="24"/>
          <w:szCs w:val="24"/>
          <w:lang w:bidi="en-GB"/>
        </w:rPr>
        <w:noBreakHyphen/>
        <w:t>revers transkriptase</w:t>
      </w:r>
      <w:r w:rsidRPr="0085642D">
        <w:rPr>
          <w:sz w:val="24"/>
          <w:szCs w:val="24"/>
          <w:lang w:bidi="en-GB"/>
        </w:rPr>
        <w:noBreakHyphen/>
        <w:t xml:space="preserve">substitutioner ved uge 240 (96 uger på </w:t>
      </w:r>
      <w:r w:rsidRPr="0085642D">
        <w:rPr>
          <w:sz w:val="24"/>
          <w:szCs w:val="24"/>
        </w:rPr>
        <w:t>efavirenz/emtricitabin/tenofovirdisoproxil</w:t>
      </w:r>
      <w:r w:rsidRPr="0085642D">
        <w:rPr>
          <w:sz w:val="24"/>
          <w:szCs w:val="24"/>
          <w:lang w:bidi="en-GB"/>
        </w:rPr>
        <w:t xml:space="preserve">) og ved uge 204 (60 uger på </w:t>
      </w:r>
      <w:r w:rsidRPr="0085642D">
        <w:rPr>
          <w:sz w:val="24"/>
          <w:szCs w:val="24"/>
        </w:rPr>
        <w:t>efavirenz/emtricitabin/tenofovirdisoproxil</w:t>
      </w:r>
      <w:r w:rsidRPr="0085642D">
        <w:rPr>
          <w:sz w:val="24"/>
          <w:szCs w:val="24"/>
          <w:lang w:bidi="en-GB"/>
        </w:rPr>
        <w:t>). En tredje patient havde præ</w:t>
      </w:r>
      <w:r w:rsidRPr="0085642D">
        <w:rPr>
          <w:sz w:val="24"/>
          <w:szCs w:val="24"/>
          <w:lang w:bidi="en-GB"/>
        </w:rPr>
        <w:noBreakHyphen/>
        <w:t>eksisterende NNRTI</w:t>
      </w:r>
      <w:r w:rsidRPr="0085642D">
        <w:rPr>
          <w:sz w:val="24"/>
          <w:szCs w:val="24"/>
          <w:lang w:bidi="en-GB"/>
        </w:rPr>
        <w:noBreakHyphen/>
        <w:t>resistens</w:t>
      </w:r>
      <w:r w:rsidRPr="0085642D">
        <w:rPr>
          <w:sz w:val="24"/>
          <w:szCs w:val="24"/>
          <w:lang w:bidi="en-GB"/>
        </w:rPr>
        <w:noBreakHyphen/>
        <w:t>associerede substitutioner over for efavirenz og M184V</w:t>
      </w:r>
      <w:r w:rsidRPr="0085642D">
        <w:rPr>
          <w:sz w:val="24"/>
          <w:szCs w:val="24"/>
          <w:lang w:bidi="en-GB"/>
        </w:rPr>
        <w:noBreakHyphen/>
        <w:t>revers transkriptase</w:t>
      </w:r>
      <w:r w:rsidRPr="0085642D">
        <w:rPr>
          <w:sz w:val="24"/>
          <w:szCs w:val="24"/>
          <w:lang w:bidi="en-GB"/>
        </w:rPr>
        <w:noBreakHyphen/>
        <w:t xml:space="preserve">substitutionen associeret med resistens over for emtricitabin ved inklusionen i den forlængede fase med </w:t>
      </w:r>
      <w:r w:rsidRPr="0085642D">
        <w:rPr>
          <w:sz w:val="24"/>
          <w:szCs w:val="24"/>
        </w:rPr>
        <w:t>efavirenz/emtricitabin/tenofovirdisoproxil</w:t>
      </w:r>
      <w:r w:rsidRPr="0085642D">
        <w:rPr>
          <w:sz w:val="24"/>
          <w:szCs w:val="24"/>
          <w:lang w:bidi="en-GB"/>
        </w:rPr>
        <w:t xml:space="preserve"> og oplevede et suboptimalt virologisk respons og udviklede K65K/R-, S68N- og K70K/E</w:t>
      </w:r>
      <w:r w:rsidRPr="0085642D">
        <w:rPr>
          <w:sz w:val="24"/>
          <w:szCs w:val="24"/>
          <w:lang w:bidi="en-GB"/>
        </w:rPr>
        <w:noBreakHyphen/>
        <w:t xml:space="preserve">substitutioner associeret med resistens over for NRTI ved uge 180 (36 uger på </w:t>
      </w:r>
      <w:r w:rsidRPr="0085642D">
        <w:rPr>
          <w:sz w:val="24"/>
          <w:szCs w:val="24"/>
        </w:rPr>
        <w:t>efavirenz/emtricitabin/tenofovirdisoproxil</w:t>
      </w:r>
      <w:r w:rsidRPr="0085642D">
        <w:rPr>
          <w:sz w:val="24"/>
          <w:szCs w:val="24"/>
          <w:lang w:bidi="en-GB"/>
        </w:rPr>
        <w:t>).</w:t>
      </w:r>
    </w:p>
    <w:p w:rsidR="00D25F12" w:rsidRPr="0085642D" w:rsidRDefault="00D25F12" w:rsidP="00D25F12">
      <w:pPr>
        <w:suppressAutoHyphens/>
        <w:ind w:left="851"/>
        <w:rPr>
          <w:sz w:val="24"/>
          <w:szCs w:val="24"/>
          <w:lang w:bidi="en-GB"/>
        </w:rPr>
      </w:pPr>
    </w:p>
    <w:p w:rsidR="00D25F12" w:rsidRPr="0085642D" w:rsidRDefault="00D25F12" w:rsidP="00D25F12">
      <w:pPr>
        <w:suppressAutoHyphens/>
        <w:ind w:left="851"/>
        <w:rPr>
          <w:sz w:val="24"/>
          <w:szCs w:val="24"/>
          <w:lang w:bidi="en-GB"/>
        </w:rPr>
      </w:pPr>
      <w:r w:rsidRPr="0085642D">
        <w:rPr>
          <w:sz w:val="24"/>
          <w:szCs w:val="24"/>
          <w:lang w:bidi="en-GB"/>
        </w:rPr>
        <w:t xml:space="preserve">For yderligere information, se produktresuméerne for de individuelle komponenter med henblik på </w:t>
      </w:r>
      <w:r w:rsidRPr="0085642D">
        <w:rPr>
          <w:i/>
          <w:sz w:val="24"/>
          <w:szCs w:val="24"/>
          <w:lang w:bidi="en-GB"/>
        </w:rPr>
        <w:t>in vivo</w:t>
      </w:r>
      <w:r w:rsidRPr="0085642D">
        <w:rPr>
          <w:sz w:val="24"/>
          <w:szCs w:val="24"/>
          <w:lang w:bidi="en-GB"/>
        </w:rPr>
        <w:noBreakHyphen/>
        <w:t>resistens i forbindelse med disse lægemidler.</w:t>
      </w:r>
    </w:p>
    <w:p w:rsidR="00D25F12" w:rsidRPr="0085642D" w:rsidRDefault="00D25F12" w:rsidP="00D25F12">
      <w:pPr>
        <w:suppressAutoHyphens/>
        <w:ind w:left="851"/>
        <w:rPr>
          <w:sz w:val="24"/>
          <w:szCs w:val="24"/>
          <w:lang w:bidi="en-GB"/>
        </w:rPr>
      </w:pPr>
    </w:p>
    <w:p w:rsidR="00D25F12" w:rsidRPr="0085642D" w:rsidRDefault="00D25F12" w:rsidP="00FE0330">
      <w:pPr>
        <w:keepNext/>
        <w:suppressAutoHyphens/>
        <w:ind w:left="851"/>
        <w:rPr>
          <w:sz w:val="24"/>
          <w:szCs w:val="24"/>
          <w:lang w:bidi="en-GB"/>
        </w:rPr>
      </w:pPr>
      <w:r w:rsidRPr="0085642D">
        <w:rPr>
          <w:sz w:val="24"/>
          <w:szCs w:val="24"/>
          <w:u w:val="single"/>
          <w:lang w:bidi="en-GB"/>
        </w:rPr>
        <w:t>Klinisk virkning og sikkerhed</w:t>
      </w:r>
    </w:p>
    <w:p w:rsidR="00D25F12" w:rsidRPr="0085642D" w:rsidRDefault="00D25F12" w:rsidP="00D25F12">
      <w:pPr>
        <w:suppressAutoHyphens/>
        <w:ind w:left="851"/>
        <w:rPr>
          <w:sz w:val="24"/>
          <w:szCs w:val="24"/>
          <w:lang w:bidi="en-GB"/>
        </w:rPr>
      </w:pPr>
      <w:r w:rsidRPr="0085642D">
        <w:rPr>
          <w:sz w:val="24"/>
          <w:szCs w:val="24"/>
          <w:lang w:bidi="en-GB"/>
        </w:rPr>
        <w:t>I et 144</w:t>
      </w:r>
      <w:r w:rsidRPr="0085642D">
        <w:rPr>
          <w:sz w:val="24"/>
          <w:szCs w:val="24"/>
          <w:lang w:bidi="en-GB"/>
        </w:rPr>
        <w:noBreakHyphen/>
        <w:t>ugers åbent, randomiseret, klinisk studie (GS</w:t>
      </w:r>
      <w:r w:rsidRPr="0085642D">
        <w:rPr>
          <w:sz w:val="24"/>
          <w:szCs w:val="24"/>
          <w:lang w:bidi="en-GB"/>
        </w:rPr>
        <w:noBreakHyphen/>
        <w:t>01</w:t>
      </w:r>
      <w:r w:rsidRPr="0085642D">
        <w:rPr>
          <w:sz w:val="24"/>
          <w:szCs w:val="24"/>
          <w:lang w:bidi="en-GB"/>
        </w:rPr>
        <w:noBreakHyphen/>
        <w:t>934), hvor antiretro</w:t>
      </w:r>
      <w:r>
        <w:rPr>
          <w:sz w:val="24"/>
          <w:szCs w:val="24"/>
          <w:lang w:bidi="en-GB"/>
        </w:rPr>
        <w:softHyphen/>
      </w:r>
      <w:r w:rsidRPr="0085642D">
        <w:rPr>
          <w:sz w:val="24"/>
          <w:szCs w:val="24"/>
          <w:lang w:bidi="en-GB"/>
        </w:rPr>
        <w:t>viralt</w:t>
      </w:r>
      <w:r w:rsidRPr="0085642D">
        <w:rPr>
          <w:sz w:val="24"/>
          <w:szCs w:val="24"/>
          <w:lang w:bidi="en-GB"/>
        </w:rPr>
        <w:noBreakHyphen/>
        <w:t>behandlings</w:t>
      </w:r>
      <w:r>
        <w:rPr>
          <w:sz w:val="24"/>
          <w:szCs w:val="24"/>
          <w:lang w:bidi="en-GB"/>
        </w:rPr>
        <w:softHyphen/>
      </w:r>
      <w:r w:rsidRPr="0085642D">
        <w:rPr>
          <w:sz w:val="24"/>
          <w:szCs w:val="24"/>
          <w:lang w:bidi="en-GB"/>
        </w:rPr>
        <w:t>naive hiv</w:t>
      </w:r>
      <w:r w:rsidRPr="0085642D">
        <w:rPr>
          <w:sz w:val="24"/>
          <w:szCs w:val="24"/>
          <w:lang w:bidi="en-GB"/>
        </w:rPr>
        <w:noBreakHyphen/>
        <w:t>1</w:t>
      </w:r>
      <w:r w:rsidRPr="0085642D">
        <w:rPr>
          <w:sz w:val="24"/>
          <w:szCs w:val="24"/>
          <w:lang w:bidi="en-GB"/>
        </w:rPr>
        <w:noBreakHyphen/>
        <w:t xml:space="preserve">inficerede patienter enten fik et efavirenzregime en gang dagligt, emtricitabin og tenofovirdisoproxil eller en fast kombination af lamivudin og zidovudin, som blev givet to gange dagligt og efavirenz en gang dagligt (se produktresuméet for </w:t>
      </w:r>
      <w:r w:rsidRPr="0085642D">
        <w:rPr>
          <w:sz w:val="24"/>
          <w:szCs w:val="24"/>
        </w:rPr>
        <w:t>efavirenz/emtricitabin/tenofovirdisoproxil</w:t>
      </w:r>
      <w:r w:rsidRPr="0085642D">
        <w:rPr>
          <w:sz w:val="24"/>
          <w:szCs w:val="24"/>
          <w:lang w:bidi="en-GB"/>
        </w:rPr>
        <w:t xml:space="preserve">). Patienter, som fuldførte </w:t>
      </w:r>
      <w:r w:rsidRPr="0085642D">
        <w:rPr>
          <w:sz w:val="24"/>
          <w:szCs w:val="24"/>
          <w:lang w:bidi="en-GB"/>
        </w:rPr>
        <w:lastRenderedPageBreak/>
        <w:t>144 ugers behandling med enten den ene eller den anden af behandlingsarmene i GS</w:t>
      </w:r>
      <w:r w:rsidRPr="0085642D">
        <w:rPr>
          <w:sz w:val="24"/>
          <w:szCs w:val="24"/>
          <w:lang w:bidi="en-GB"/>
        </w:rPr>
        <w:noBreakHyphen/>
        <w:t>01</w:t>
      </w:r>
      <w:r w:rsidRPr="0085642D">
        <w:rPr>
          <w:sz w:val="24"/>
          <w:szCs w:val="24"/>
          <w:lang w:bidi="en-GB"/>
        </w:rPr>
        <w:noBreakHyphen/>
        <w:t xml:space="preserve">934, fik mulighed for at fortsætte i en åben forlængelsesfase af studiet med </w:t>
      </w:r>
      <w:r w:rsidRPr="0085642D">
        <w:rPr>
          <w:sz w:val="24"/>
          <w:szCs w:val="24"/>
        </w:rPr>
        <w:t>efavirenz/emtricitabin/tenofovirdisoproxil</w:t>
      </w:r>
      <w:r w:rsidRPr="0085642D">
        <w:rPr>
          <w:sz w:val="24"/>
          <w:szCs w:val="24"/>
          <w:lang w:bidi="en-GB"/>
        </w:rPr>
        <w:t xml:space="preserve"> på tom mave. Data er tilgængelige fra 286 patienter, der skiftede til </w:t>
      </w:r>
      <w:r w:rsidRPr="0085642D">
        <w:rPr>
          <w:sz w:val="24"/>
          <w:szCs w:val="24"/>
        </w:rPr>
        <w:t>efavirenz/emtricitabin/tenofovirdisoproxil</w:t>
      </w:r>
      <w:r w:rsidRPr="0085642D">
        <w:rPr>
          <w:sz w:val="24"/>
          <w:szCs w:val="24"/>
          <w:lang w:bidi="en-GB"/>
        </w:rPr>
        <w:t xml:space="preserve">: 160 havde tidligere fået efavirenz, emtricitabin og tenofovirdisoproxil, og 126 havde tidligere fået Combivir og efavirenz. Høje rater af virologisk suppression blev opretholdt af patienterne fra begge de initiale behandlingsgrupper, der så fik </w:t>
      </w:r>
      <w:r w:rsidRPr="0085642D">
        <w:rPr>
          <w:sz w:val="24"/>
          <w:szCs w:val="24"/>
        </w:rPr>
        <w:t>efavirenz/emtricitabin/tenofovir</w:t>
      </w:r>
      <w:r w:rsidRPr="0085642D">
        <w:rPr>
          <w:sz w:val="24"/>
          <w:szCs w:val="24"/>
        </w:rPr>
        <w:softHyphen/>
        <w:t>disoproxil</w:t>
      </w:r>
      <w:r w:rsidRPr="0085642D">
        <w:rPr>
          <w:sz w:val="24"/>
          <w:szCs w:val="24"/>
          <w:lang w:bidi="en-GB"/>
        </w:rPr>
        <w:t xml:space="preserve"> i den åbne forlængelsesfase af studiet. Efter 96 uger med </w:t>
      </w:r>
      <w:r w:rsidRPr="0085642D">
        <w:rPr>
          <w:sz w:val="24"/>
          <w:szCs w:val="24"/>
        </w:rPr>
        <w:t>efavirenz/emtricitabin/tenofovirdisoproxil</w:t>
      </w:r>
      <w:r w:rsidRPr="0085642D">
        <w:rPr>
          <w:sz w:val="24"/>
          <w:szCs w:val="24"/>
          <w:lang w:bidi="en-GB"/>
        </w:rPr>
        <w:noBreakHyphen/>
        <w:t>behandling forblev hiv</w:t>
      </w:r>
      <w:r w:rsidRPr="0085642D">
        <w:rPr>
          <w:sz w:val="24"/>
          <w:szCs w:val="24"/>
          <w:lang w:bidi="en-GB"/>
        </w:rPr>
        <w:noBreakHyphen/>
        <w:t>1</w:t>
      </w:r>
      <w:r w:rsidRPr="0085642D">
        <w:rPr>
          <w:sz w:val="24"/>
          <w:szCs w:val="24"/>
          <w:lang w:bidi="en-GB"/>
        </w:rPr>
        <w:noBreakHyphen/>
        <w:t>rna</w:t>
      </w:r>
      <w:r w:rsidRPr="0085642D">
        <w:rPr>
          <w:sz w:val="24"/>
          <w:szCs w:val="24"/>
          <w:lang w:bidi="en-GB"/>
        </w:rPr>
        <w:noBreakHyphen/>
        <w:t>plasma</w:t>
      </w:r>
      <w:r w:rsidRPr="0085642D">
        <w:rPr>
          <w:sz w:val="24"/>
          <w:szCs w:val="24"/>
          <w:lang w:bidi="en-GB"/>
        </w:rPr>
        <w:softHyphen/>
        <w:t>koncentrationerne &lt; 50 kopier/ml hos 82 % af patienterne, og &lt; 400 kopier/ml hos 85 % af patienterne (</w:t>
      </w:r>
      <w:r w:rsidRPr="0085642D">
        <w:rPr>
          <w:i/>
          <w:sz w:val="24"/>
          <w:szCs w:val="24"/>
          <w:lang w:bidi="en-GB"/>
        </w:rPr>
        <w:t>intention to treat</w:t>
      </w:r>
      <w:r w:rsidRPr="0085642D">
        <w:rPr>
          <w:sz w:val="24"/>
          <w:szCs w:val="24"/>
          <w:lang w:bidi="en-GB"/>
        </w:rPr>
        <w:noBreakHyphen/>
        <w:t>analyse (ITT), missing=failure).</w:t>
      </w:r>
    </w:p>
    <w:p w:rsidR="00D25F12" w:rsidRPr="0085642D" w:rsidRDefault="00D25F12" w:rsidP="00D25F12">
      <w:pPr>
        <w:suppressAutoHyphens/>
        <w:ind w:left="851"/>
        <w:rPr>
          <w:sz w:val="24"/>
          <w:szCs w:val="24"/>
          <w:lang w:bidi="en-GB"/>
        </w:rPr>
      </w:pPr>
    </w:p>
    <w:p w:rsidR="00D25F12" w:rsidRPr="0085642D" w:rsidRDefault="00D25F12" w:rsidP="00D25F12">
      <w:pPr>
        <w:suppressAutoHyphens/>
        <w:ind w:left="851"/>
        <w:rPr>
          <w:sz w:val="24"/>
          <w:szCs w:val="24"/>
          <w:lang w:bidi="en-GB"/>
        </w:rPr>
      </w:pPr>
      <w:r w:rsidRPr="0085642D">
        <w:rPr>
          <w:sz w:val="24"/>
          <w:szCs w:val="24"/>
          <w:lang w:bidi="en-GB"/>
        </w:rPr>
        <w:t>Studie AI266073 var et 48</w:t>
      </w:r>
      <w:r w:rsidRPr="0085642D">
        <w:rPr>
          <w:sz w:val="24"/>
          <w:szCs w:val="24"/>
          <w:lang w:bidi="en-GB"/>
        </w:rPr>
        <w:noBreakHyphen/>
        <w:t>ugers åbent, randomiseret, klinisk studie af hiv</w:t>
      </w:r>
      <w:r w:rsidRPr="0085642D">
        <w:rPr>
          <w:sz w:val="24"/>
          <w:szCs w:val="24"/>
          <w:lang w:bidi="en-GB"/>
        </w:rPr>
        <w:noBreakHyphen/>
        <w:t xml:space="preserve">inficerede patienter. Studiet sammenligner </w:t>
      </w:r>
      <w:r w:rsidRPr="0085642D">
        <w:rPr>
          <w:sz w:val="24"/>
          <w:szCs w:val="24"/>
        </w:rPr>
        <w:t>efavirenz/emtricitabin/tenofovirdisoproxils</w:t>
      </w:r>
      <w:r w:rsidRPr="0085642D">
        <w:rPr>
          <w:sz w:val="24"/>
          <w:szCs w:val="24"/>
          <w:lang w:bidi="en-GB"/>
        </w:rPr>
        <w:t xml:space="preserve"> virkning med antiretroviral behandling bestående af mindst to nukleosid- eller nukleotid</w:t>
      </w:r>
      <w:r w:rsidRPr="0085642D">
        <w:rPr>
          <w:sz w:val="24"/>
          <w:szCs w:val="24"/>
          <w:lang w:bidi="en-GB"/>
        </w:rPr>
        <w:noBreakHyphen/>
        <w:t>revers transkriptase</w:t>
      </w:r>
      <w:r w:rsidRPr="0085642D">
        <w:rPr>
          <w:sz w:val="24"/>
          <w:szCs w:val="24"/>
          <w:lang w:bidi="en-GB"/>
        </w:rPr>
        <w:noBreakHyphen/>
        <w:t>hæmmere (NRTI’er) i kombination med en proteasehæmmer eller en non</w:t>
      </w:r>
      <w:r w:rsidRPr="0085642D">
        <w:rPr>
          <w:sz w:val="24"/>
          <w:szCs w:val="24"/>
          <w:lang w:bidi="en-GB"/>
        </w:rPr>
        <w:noBreakHyphen/>
        <w:t>nukleosid</w:t>
      </w:r>
      <w:r w:rsidRPr="0085642D">
        <w:rPr>
          <w:sz w:val="24"/>
          <w:szCs w:val="24"/>
          <w:lang w:bidi="en-GB"/>
        </w:rPr>
        <w:noBreakHyphen/>
        <w:t>revers transkriptase</w:t>
      </w:r>
      <w:r w:rsidRPr="0085642D">
        <w:rPr>
          <w:sz w:val="24"/>
          <w:szCs w:val="24"/>
          <w:lang w:bidi="en-GB"/>
        </w:rPr>
        <w:noBreakHyphen/>
        <w:t xml:space="preserve">hæmmer; dog ikke en behandling, der indeholder alle </w:t>
      </w:r>
      <w:r w:rsidRPr="0085642D">
        <w:rPr>
          <w:sz w:val="24"/>
          <w:szCs w:val="24"/>
        </w:rPr>
        <w:t>efavirenz/emtricitabin/tenofovirdisoproxil</w:t>
      </w:r>
      <w:r w:rsidRPr="0085642D">
        <w:rPr>
          <w:sz w:val="24"/>
          <w:szCs w:val="24"/>
          <w:lang w:bidi="en-GB"/>
        </w:rPr>
        <w:noBreakHyphen/>
        <w:t xml:space="preserve">komponenterne (efavirenz, emtricitabin og tenofovirdisoprozil). </w:t>
      </w:r>
      <w:r w:rsidRPr="0085642D">
        <w:rPr>
          <w:sz w:val="24"/>
          <w:szCs w:val="24"/>
        </w:rPr>
        <w:t>Efavirenz/emtricitabin/tenofovirdisoproxil</w:t>
      </w:r>
      <w:r w:rsidRPr="0085642D">
        <w:rPr>
          <w:sz w:val="24"/>
          <w:szCs w:val="24"/>
          <w:lang w:bidi="en-GB"/>
        </w:rPr>
        <w:t xml:space="preserve"> blev administreret på tom mave (se pkt. 4.2). Patienterne have aldrig oplevet virologisk svigt i forbindelse med tidligere antiretroviral behandling, havde ingen kendte hiv</w:t>
      </w:r>
      <w:r w:rsidRPr="0085642D">
        <w:rPr>
          <w:sz w:val="24"/>
          <w:szCs w:val="24"/>
          <w:lang w:bidi="en-GB"/>
        </w:rPr>
        <w:noBreakHyphen/>
        <w:t>1</w:t>
      </w:r>
      <w:r w:rsidRPr="0085642D">
        <w:rPr>
          <w:sz w:val="24"/>
          <w:szCs w:val="24"/>
          <w:lang w:bidi="en-GB"/>
        </w:rPr>
        <w:noBreakHyphen/>
        <w:t xml:space="preserve">mutationer, som giver resistens over for en eller flere af komponenterne i </w:t>
      </w:r>
      <w:r w:rsidRPr="0085642D">
        <w:rPr>
          <w:sz w:val="24"/>
          <w:szCs w:val="24"/>
        </w:rPr>
        <w:t>efavirenz/emtricitabin/tenofovir</w:t>
      </w:r>
      <w:r w:rsidRPr="0085642D">
        <w:rPr>
          <w:sz w:val="24"/>
          <w:szCs w:val="24"/>
        </w:rPr>
        <w:softHyphen/>
        <w:t>disoproxil</w:t>
      </w:r>
      <w:r w:rsidRPr="0085642D">
        <w:rPr>
          <w:sz w:val="24"/>
          <w:szCs w:val="24"/>
          <w:lang w:bidi="en-GB"/>
        </w:rPr>
        <w:t xml:space="preserve"> og havde været virologisk supprimeret i mindst tre måneder ved </w:t>
      </w:r>
      <w:r w:rsidRPr="0085642D">
        <w:rPr>
          <w:i/>
          <w:sz w:val="24"/>
          <w:szCs w:val="24"/>
          <w:lang w:bidi="en-GB"/>
        </w:rPr>
        <w:t>baseline</w:t>
      </w:r>
      <w:r w:rsidRPr="0085642D">
        <w:rPr>
          <w:sz w:val="24"/>
          <w:szCs w:val="24"/>
          <w:lang w:bidi="en-GB"/>
        </w:rPr>
        <w:t xml:space="preserve">. Patienterne blev enten skiftet til </w:t>
      </w:r>
      <w:r w:rsidRPr="0085642D">
        <w:rPr>
          <w:sz w:val="24"/>
          <w:szCs w:val="24"/>
        </w:rPr>
        <w:t>efavirenz/emtricitabin/tenofovirdisoproxil</w:t>
      </w:r>
      <w:r w:rsidRPr="0085642D">
        <w:rPr>
          <w:sz w:val="24"/>
          <w:szCs w:val="24"/>
          <w:lang w:bidi="en-GB"/>
        </w:rPr>
        <w:t xml:space="preserve"> (n=203) eller fortsatte med deres oprindelige antiretrovirale behandlingsregime (n=97). 48</w:t>
      </w:r>
      <w:r w:rsidRPr="0085642D">
        <w:rPr>
          <w:sz w:val="24"/>
          <w:szCs w:val="24"/>
          <w:lang w:bidi="en-GB"/>
        </w:rPr>
        <w:noBreakHyphen/>
        <w:t xml:space="preserve">ugers data viste, at høje niveauer af virologisk suppression, som var sammenlignelige med det oprindelige behandlingsregime, blev opretholdt hos patienter, som blev randomiseret til at skifte til </w:t>
      </w:r>
      <w:r w:rsidRPr="0085642D">
        <w:rPr>
          <w:sz w:val="24"/>
          <w:szCs w:val="24"/>
        </w:rPr>
        <w:t>efavirenz/emtricitabin/tenofovirdisoproxil</w:t>
      </w:r>
      <w:r w:rsidRPr="0085642D">
        <w:rPr>
          <w:sz w:val="24"/>
          <w:szCs w:val="24"/>
          <w:lang w:bidi="en-GB"/>
        </w:rPr>
        <w:t xml:space="preserve"> (se tabel 4).</w:t>
      </w:r>
    </w:p>
    <w:p w:rsidR="00D25F12" w:rsidRPr="0085642D" w:rsidRDefault="00D25F12" w:rsidP="00D25F12">
      <w:pPr>
        <w:suppressAutoHyphens/>
        <w:rPr>
          <w:sz w:val="24"/>
          <w:szCs w:val="24"/>
          <w:lang w:bidi="en-GB"/>
        </w:rPr>
      </w:pPr>
    </w:p>
    <w:p w:rsidR="00D25F12" w:rsidRPr="0085642D" w:rsidRDefault="00D25F12" w:rsidP="00D25F12">
      <w:pPr>
        <w:suppressAutoHyphens/>
        <w:rPr>
          <w:b/>
          <w:bCs/>
          <w:sz w:val="24"/>
          <w:szCs w:val="24"/>
          <w:lang w:bidi="en-GB"/>
        </w:rPr>
      </w:pPr>
      <w:r w:rsidRPr="0085642D">
        <w:rPr>
          <w:b/>
          <w:bCs/>
          <w:sz w:val="24"/>
          <w:szCs w:val="24"/>
          <w:lang w:bidi="en-GB"/>
        </w:rPr>
        <w:t>Tabel 4: 48</w:t>
      </w:r>
      <w:r w:rsidRPr="0085642D">
        <w:rPr>
          <w:b/>
          <w:bCs/>
          <w:sz w:val="24"/>
          <w:szCs w:val="24"/>
          <w:lang w:bidi="en-GB"/>
        </w:rPr>
        <w:noBreakHyphen/>
        <w:t xml:space="preserve">ugers virkningdata fra studie AI266073, hvor </w:t>
      </w:r>
      <w:r w:rsidRPr="0085642D">
        <w:rPr>
          <w:b/>
          <w:sz w:val="24"/>
          <w:szCs w:val="24"/>
        </w:rPr>
        <w:t>efavirenz/emtricitabin/tenofovir</w:t>
      </w:r>
      <w:r>
        <w:rPr>
          <w:b/>
          <w:sz w:val="24"/>
          <w:szCs w:val="24"/>
        </w:rPr>
        <w:softHyphen/>
      </w:r>
      <w:r w:rsidRPr="0085642D">
        <w:rPr>
          <w:b/>
          <w:sz w:val="24"/>
          <w:szCs w:val="24"/>
        </w:rPr>
        <w:t>disoproxil</w:t>
      </w:r>
      <w:r w:rsidRPr="0085642D">
        <w:rPr>
          <w:b/>
          <w:bCs/>
          <w:sz w:val="24"/>
          <w:szCs w:val="24"/>
          <w:lang w:bidi="en-GB"/>
        </w:rPr>
        <w:t xml:space="preserve"> blev administreret til virologisk supprimerede patienter i antiretroviral kombinationsbehandling.</w:t>
      </w:r>
    </w:p>
    <w:p w:rsidR="00D25F12" w:rsidRPr="0085642D" w:rsidRDefault="00D25F12" w:rsidP="00D25F12">
      <w:pPr>
        <w:suppressAutoHyphens/>
        <w:rPr>
          <w:sz w:val="24"/>
          <w:szCs w:val="24"/>
        </w:rPr>
      </w:pPr>
    </w:p>
    <w:tbl>
      <w:tblPr>
        <w:tblW w:w="5000" w:type="pct"/>
        <w:tblCellMar>
          <w:left w:w="0" w:type="dxa"/>
          <w:right w:w="0" w:type="dxa"/>
        </w:tblCellMar>
        <w:tblLook w:val="04A0" w:firstRow="1" w:lastRow="0" w:firstColumn="1" w:lastColumn="0" w:noHBand="0" w:noVBand="1"/>
      </w:tblPr>
      <w:tblGrid>
        <w:gridCol w:w="1573"/>
        <w:gridCol w:w="2166"/>
        <w:gridCol w:w="2524"/>
        <w:gridCol w:w="3375"/>
      </w:tblGrid>
      <w:tr w:rsidR="00D25F12" w:rsidRPr="0085642D" w:rsidTr="00243EA6">
        <w:trPr>
          <w:trHeight w:val="20"/>
          <w:tblHeader/>
        </w:trPr>
        <w:tc>
          <w:tcPr>
            <w:tcW w:w="0" w:type="auto"/>
            <w:vMerge w:val="restart"/>
            <w:tcBorders>
              <w:top w:val="single" w:sz="12" w:space="0" w:color="000000"/>
              <w:left w:val="nil"/>
              <w:bottom w:val="single" w:sz="12" w:space="0" w:color="000000"/>
              <w:right w:val="single" w:sz="6" w:space="0" w:color="000000"/>
            </w:tcBorders>
          </w:tcPr>
          <w:p w:rsidR="00D25F12" w:rsidRPr="0085642D" w:rsidRDefault="00D25F12" w:rsidP="00243EA6">
            <w:pPr>
              <w:suppressAutoHyphens/>
              <w:rPr>
                <w:b/>
                <w:bCs/>
                <w:sz w:val="22"/>
                <w:szCs w:val="22"/>
              </w:rPr>
            </w:pPr>
          </w:p>
          <w:p w:rsidR="00D25F12" w:rsidRPr="0085642D" w:rsidRDefault="00D25F12" w:rsidP="00243EA6">
            <w:pPr>
              <w:suppressAutoHyphens/>
              <w:rPr>
                <w:sz w:val="22"/>
                <w:szCs w:val="22"/>
              </w:rPr>
            </w:pPr>
            <w:r w:rsidRPr="0085642D">
              <w:rPr>
                <w:b/>
                <w:bCs/>
                <w:sz w:val="22"/>
                <w:szCs w:val="22"/>
              </w:rPr>
              <w:t>Endepunkt</w:t>
            </w:r>
          </w:p>
        </w:tc>
        <w:tc>
          <w:tcPr>
            <w:tcW w:w="0" w:type="auto"/>
            <w:gridSpan w:val="2"/>
            <w:tcBorders>
              <w:top w:val="single" w:sz="12" w:space="0" w:color="000000"/>
              <w:left w:val="single" w:sz="6" w:space="0" w:color="000000"/>
              <w:bottom w:val="single" w:sz="4" w:space="0" w:color="000000"/>
              <w:right w:val="single" w:sz="6" w:space="0" w:color="000000"/>
            </w:tcBorders>
            <w:hideMark/>
          </w:tcPr>
          <w:p w:rsidR="00D25F12" w:rsidRPr="0085642D" w:rsidRDefault="00D25F12" w:rsidP="00243EA6">
            <w:pPr>
              <w:suppressAutoHyphens/>
              <w:jc w:val="center"/>
              <w:rPr>
                <w:sz w:val="22"/>
                <w:szCs w:val="22"/>
              </w:rPr>
            </w:pPr>
            <w:r w:rsidRPr="0085642D">
              <w:rPr>
                <w:b/>
                <w:bCs/>
                <w:sz w:val="22"/>
                <w:szCs w:val="22"/>
              </w:rPr>
              <w:t>Behandlingsgruppe</w:t>
            </w:r>
          </w:p>
        </w:tc>
        <w:tc>
          <w:tcPr>
            <w:tcW w:w="0" w:type="auto"/>
            <w:tcBorders>
              <w:top w:val="single" w:sz="12" w:space="0" w:color="000000"/>
              <w:left w:val="single" w:sz="6" w:space="0" w:color="000000"/>
              <w:bottom w:val="single" w:sz="4" w:space="0" w:color="000000"/>
              <w:right w:val="nil"/>
            </w:tcBorders>
          </w:tcPr>
          <w:p w:rsidR="00D25F12" w:rsidRPr="0085642D" w:rsidRDefault="00D25F12" w:rsidP="00243EA6">
            <w:pPr>
              <w:suppressAutoHyphens/>
              <w:jc w:val="center"/>
              <w:rPr>
                <w:sz w:val="22"/>
                <w:szCs w:val="22"/>
              </w:rPr>
            </w:pPr>
          </w:p>
        </w:tc>
      </w:tr>
      <w:tr w:rsidR="00D25F12" w:rsidRPr="0085642D" w:rsidTr="00243EA6">
        <w:trPr>
          <w:trHeight w:val="20"/>
          <w:tblHeader/>
        </w:trPr>
        <w:tc>
          <w:tcPr>
            <w:tcW w:w="0" w:type="auto"/>
            <w:vMerge/>
            <w:tcBorders>
              <w:top w:val="single" w:sz="12" w:space="0" w:color="000000"/>
              <w:left w:val="nil"/>
              <w:bottom w:val="single" w:sz="12" w:space="0" w:color="000000"/>
              <w:right w:val="single" w:sz="6" w:space="0" w:color="000000"/>
            </w:tcBorders>
            <w:vAlign w:val="center"/>
            <w:hideMark/>
          </w:tcPr>
          <w:p w:rsidR="00D25F12" w:rsidRPr="0085642D" w:rsidRDefault="00D25F12" w:rsidP="00243EA6">
            <w:pPr>
              <w:rPr>
                <w:sz w:val="22"/>
                <w:szCs w:val="22"/>
                <w:lang w:eastAsia="fr-LU"/>
              </w:rPr>
            </w:pPr>
          </w:p>
        </w:tc>
        <w:tc>
          <w:tcPr>
            <w:tcW w:w="0" w:type="auto"/>
            <w:tcBorders>
              <w:top w:val="single" w:sz="4" w:space="0" w:color="000000"/>
              <w:left w:val="single" w:sz="6" w:space="0" w:color="000000"/>
              <w:bottom w:val="single" w:sz="12" w:space="0" w:color="000000"/>
              <w:right w:val="single" w:sz="6" w:space="0" w:color="000000"/>
            </w:tcBorders>
            <w:hideMark/>
          </w:tcPr>
          <w:p w:rsidR="00D25F12" w:rsidRPr="003D74CB" w:rsidRDefault="00D25F12" w:rsidP="00243EA6">
            <w:pPr>
              <w:suppressAutoHyphens/>
              <w:jc w:val="center"/>
              <w:rPr>
                <w:b/>
                <w:bCs/>
                <w:sz w:val="22"/>
                <w:szCs w:val="22"/>
                <w:lang w:val="es-ES"/>
              </w:rPr>
            </w:pPr>
            <w:r w:rsidRPr="003D74CB">
              <w:rPr>
                <w:b/>
                <w:bCs/>
                <w:sz w:val="22"/>
                <w:szCs w:val="22"/>
                <w:lang w:val="es-ES"/>
              </w:rPr>
              <w:t>efavirenz/emtricitabin/</w:t>
            </w:r>
          </w:p>
          <w:p w:rsidR="00D25F12" w:rsidRPr="003D74CB" w:rsidRDefault="00D25F12" w:rsidP="00243EA6">
            <w:pPr>
              <w:suppressAutoHyphens/>
              <w:jc w:val="center"/>
              <w:rPr>
                <w:b/>
                <w:bCs/>
                <w:sz w:val="22"/>
                <w:szCs w:val="22"/>
                <w:lang w:val="es-ES"/>
              </w:rPr>
            </w:pPr>
            <w:r w:rsidRPr="003D74CB">
              <w:rPr>
                <w:b/>
                <w:bCs/>
                <w:sz w:val="22"/>
                <w:szCs w:val="22"/>
                <w:lang w:val="es-ES"/>
              </w:rPr>
              <w:t>tenofovirdisoproxil</w:t>
            </w:r>
          </w:p>
          <w:p w:rsidR="00D25F12" w:rsidRPr="003D74CB" w:rsidRDefault="00D25F12" w:rsidP="00243EA6">
            <w:pPr>
              <w:suppressAutoHyphens/>
              <w:jc w:val="center"/>
              <w:rPr>
                <w:sz w:val="22"/>
                <w:szCs w:val="22"/>
                <w:lang w:val="es-ES"/>
              </w:rPr>
            </w:pPr>
            <w:r w:rsidRPr="003D74CB">
              <w:rPr>
                <w:b/>
                <w:bCs/>
                <w:sz w:val="22"/>
                <w:szCs w:val="22"/>
                <w:lang w:val="es-ES"/>
              </w:rPr>
              <w:t>(N=203) n/N (%)</w:t>
            </w:r>
          </w:p>
        </w:tc>
        <w:tc>
          <w:tcPr>
            <w:tcW w:w="0" w:type="auto"/>
            <w:tcBorders>
              <w:top w:val="single" w:sz="4" w:space="0" w:color="000000"/>
              <w:left w:val="single" w:sz="6" w:space="0" w:color="000000"/>
              <w:bottom w:val="single" w:sz="12" w:space="0" w:color="000000"/>
              <w:right w:val="single" w:sz="6" w:space="0" w:color="000000"/>
            </w:tcBorders>
            <w:hideMark/>
          </w:tcPr>
          <w:p w:rsidR="00D25F12" w:rsidRPr="0085642D" w:rsidRDefault="00D25F12" w:rsidP="00243EA6">
            <w:pPr>
              <w:suppressAutoHyphens/>
              <w:jc w:val="center"/>
              <w:rPr>
                <w:b/>
                <w:bCs/>
                <w:sz w:val="22"/>
                <w:szCs w:val="22"/>
              </w:rPr>
            </w:pPr>
            <w:r w:rsidRPr="0085642D">
              <w:rPr>
                <w:b/>
                <w:bCs/>
                <w:sz w:val="22"/>
                <w:szCs w:val="22"/>
              </w:rPr>
              <w:t>Blev i originalt behandlingsregime (N=97)</w:t>
            </w:r>
          </w:p>
          <w:p w:rsidR="00D25F12" w:rsidRPr="0085642D" w:rsidRDefault="00D25F12" w:rsidP="00243EA6">
            <w:pPr>
              <w:suppressAutoHyphens/>
              <w:jc w:val="center"/>
              <w:rPr>
                <w:sz w:val="22"/>
                <w:szCs w:val="22"/>
              </w:rPr>
            </w:pPr>
            <w:r w:rsidRPr="0085642D">
              <w:rPr>
                <w:b/>
                <w:bCs/>
                <w:sz w:val="22"/>
                <w:szCs w:val="22"/>
              </w:rPr>
              <w:t>n/N (%)</w:t>
            </w:r>
          </w:p>
        </w:tc>
        <w:tc>
          <w:tcPr>
            <w:tcW w:w="0" w:type="auto"/>
            <w:tcBorders>
              <w:top w:val="single" w:sz="4" w:space="0" w:color="000000"/>
              <w:left w:val="single" w:sz="6" w:space="0" w:color="000000"/>
              <w:bottom w:val="single" w:sz="12" w:space="0" w:color="000000"/>
              <w:right w:val="nil"/>
            </w:tcBorders>
            <w:hideMark/>
          </w:tcPr>
          <w:p w:rsidR="00D25F12" w:rsidRPr="0085642D" w:rsidRDefault="00D25F12" w:rsidP="00243EA6">
            <w:pPr>
              <w:suppressAutoHyphens/>
              <w:jc w:val="center"/>
              <w:rPr>
                <w:b/>
                <w:bCs/>
                <w:sz w:val="22"/>
                <w:szCs w:val="22"/>
              </w:rPr>
            </w:pPr>
            <w:r w:rsidRPr="0085642D">
              <w:rPr>
                <w:b/>
                <w:bCs/>
                <w:sz w:val="22"/>
                <w:szCs w:val="22"/>
              </w:rPr>
              <w:t>Forskel mellem efavirenz/emtricitabin/</w:t>
            </w:r>
          </w:p>
          <w:p w:rsidR="00D25F12" w:rsidRPr="0085642D" w:rsidRDefault="00D25F12" w:rsidP="00243EA6">
            <w:pPr>
              <w:suppressAutoHyphens/>
              <w:jc w:val="center"/>
              <w:rPr>
                <w:sz w:val="22"/>
                <w:szCs w:val="22"/>
              </w:rPr>
            </w:pPr>
            <w:r w:rsidRPr="0085642D">
              <w:rPr>
                <w:b/>
                <w:bCs/>
                <w:sz w:val="22"/>
                <w:szCs w:val="22"/>
              </w:rPr>
              <w:t>tenofovirdisoproxil og originalt behandlingsregime (95 % CI)</w:t>
            </w:r>
          </w:p>
        </w:tc>
      </w:tr>
      <w:tr w:rsidR="00D25F12" w:rsidRPr="00554C44" w:rsidTr="00243EA6">
        <w:trPr>
          <w:trHeight w:val="20"/>
        </w:trPr>
        <w:tc>
          <w:tcPr>
            <w:tcW w:w="0" w:type="auto"/>
            <w:tcBorders>
              <w:top w:val="single" w:sz="12" w:space="0" w:color="000000"/>
              <w:left w:val="nil"/>
              <w:bottom w:val="single" w:sz="12" w:space="0" w:color="000000"/>
              <w:right w:val="single" w:sz="6" w:space="0" w:color="000000"/>
            </w:tcBorders>
          </w:tcPr>
          <w:p w:rsidR="00D25F12" w:rsidRPr="0085642D" w:rsidRDefault="00D25F12" w:rsidP="00243EA6">
            <w:pPr>
              <w:suppressAutoHyphens/>
              <w:rPr>
                <w:sz w:val="22"/>
                <w:szCs w:val="22"/>
              </w:rPr>
            </w:pPr>
          </w:p>
        </w:tc>
        <w:tc>
          <w:tcPr>
            <w:tcW w:w="0" w:type="auto"/>
            <w:gridSpan w:val="3"/>
            <w:tcBorders>
              <w:top w:val="single" w:sz="12" w:space="0" w:color="000000"/>
              <w:left w:val="single" w:sz="6" w:space="0" w:color="000000"/>
              <w:bottom w:val="single" w:sz="12" w:space="0" w:color="000000"/>
              <w:right w:val="nil"/>
            </w:tcBorders>
            <w:hideMark/>
          </w:tcPr>
          <w:p w:rsidR="00D25F12" w:rsidRPr="003D74CB" w:rsidRDefault="00D25F12" w:rsidP="00243EA6">
            <w:pPr>
              <w:suppressAutoHyphens/>
              <w:jc w:val="center"/>
              <w:rPr>
                <w:sz w:val="22"/>
                <w:szCs w:val="22"/>
                <w:lang w:val="sv-SE"/>
              </w:rPr>
            </w:pPr>
            <w:r w:rsidRPr="003D74CB">
              <w:rPr>
                <w:b/>
                <w:bCs/>
                <w:sz w:val="22"/>
                <w:szCs w:val="22"/>
                <w:lang w:val="sv-SE"/>
              </w:rPr>
              <w:t>patienter med hiv</w:t>
            </w:r>
            <w:r w:rsidRPr="003D74CB">
              <w:rPr>
                <w:b/>
                <w:bCs/>
                <w:sz w:val="22"/>
                <w:szCs w:val="22"/>
                <w:lang w:val="sv-SE"/>
              </w:rPr>
              <w:noBreakHyphen/>
              <w:t>1</w:t>
            </w:r>
            <w:r w:rsidRPr="003D74CB">
              <w:rPr>
                <w:b/>
                <w:bCs/>
                <w:sz w:val="22"/>
                <w:szCs w:val="22"/>
                <w:lang w:val="sv-SE"/>
              </w:rPr>
              <w:noBreakHyphen/>
              <w:t xml:space="preserve">rna </w:t>
            </w:r>
            <w:proofErr w:type="gramStart"/>
            <w:r w:rsidRPr="003D74CB">
              <w:rPr>
                <w:b/>
                <w:bCs/>
                <w:sz w:val="22"/>
                <w:szCs w:val="22"/>
                <w:lang w:val="sv-SE"/>
              </w:rPr>
              <w:t>&lt; 50</w:t>
            </w:r>
            <w:proofErr w:type="gramEnd"/>
            <w:r w:rsidRPr="003D74CB">
              <w:rPr>
                <w:b/>
                <w:bCs/>
                <w:sz w:val="22"/>
                <w:szCs w:val="22"/>
                <w:lang w:val="sv-SE"/>
              </w:rPr>
              <w:t> kopier/ml</w:t>
            </w:r>
          </w:p>
        </w:tc>
      </w:tr>
      <w:tr w:rsidR="00D25F12" w:rsidRPr="0085642D" w:rsidTr="00243EA6">
        <w:trPr>
          <w:trHeight w:val="20"/>
        </w:trPr>
        <w:tc>
          <w:tcPr>
            <w:tcW w:w="0" w:type="auto"/>
            <w:tcBorders>
              <w:top w:val="single" w:sz="12" w:space="0" w:color="000000"/>
              <w:left w:val="nil"/>
              <w:bottom w:val="single" w:sz="6" w:space="0" w:color="000000"/>
              <w:right w:val="single" w:sz="6" w:space="0" w:color="000000"/>
            </w:tcBorders>
            <w:hideMark/>
          </w:tcPr>
          <w:p w:rsidR="00D25F12" w:rsidRPr="0085642D" w:rsidRDefault="00D25F12" w:rsidP="00243EA6">
            <w:pPr>
              <w:suppressAutoHyphens/>
              <w:rPr>
                <w:sz w:val="22"/>
                <w:szCs w:val="22"/>
              </w:rPr>
            </w:pPr>
            <w:r w:rsidRPr="0085642D">
              <w:rPr>
                <w:sz w:val="22"/>
                <w:szCs w:val="22"/>
              </w:rPr>
              <w:t>PVR (KM)</w:t>
            </w:r>
          </w:p>
        </w:tc>
        <w:tc>
          <w:tcPr>
            <w:tcW w:w="0" w:type="auto"/>
            <w:tcBorders>
              <w:top w:val="single" w:sz="12" w:space="0" w:color="000000"/>
              <w:left w:val="single" w:sz="6" w:space="0" w:color="000000"/>
              <w:bottom w:val="single" w:sz="6" w:space="0" w:color="000000"/>
              <w:right w:val="single" w:sz="6" w:space="0" w:color="000000"/>
            </w:tcBorders>
            <w:hideMark/>
          </w:tcPr>
          <w:p w:rsidR="00D25F12" w:rsidRPr="0085642D" w:rsidRDefault="00D25F12" w:rsidP="00243EA6">
            <w:pPr>
              <w:suppressAutoHyphens/>
              <w:jc w:val="center"/>
              <w:rPr>
                <w:sz w:val="22"/>
                <w:szCs w:val="22"/>
              </w:rPr>
            </w:pPr>
            <w:r w:rsidRPr="0085642D">
              <w:rPr>
                <w:sz w:val="22"/>
                <w:szCs w:val="22"/>
              </w:rPr>
              <w:t>94,5 %</w:t>
            </w:r>
          </w:p>
        </w:tc>
        <w:tc>
          <w:tcPr>
            <w:tcW w:w="0" w:type="auto"/>
            <w:tcBorders>
              <w:top w:val="single" w:sz="12" w:space="0" w:color="000000"/>
              <w:left w:val="single" w:sz="6" w:space="0" w:color="000000"/>
              <w:bottom w:val="single" w:sz="6" w:space="0" w:color="000000"/>
              <w:right w:val="single" w:sz="6" w:space="0" w:color="000000"/>
            </w:tcBorders>
            <w:hideMark/>
          </w:tcPr>
          <w:p w:rsidR="00D25F12" w:rsidRPr="0085642D" w:rsidRDefault="00D25F12" w:rsidP="00243EA6">
            <w:pPr>
              <w:suppressAutoHyphens/>
              <w:jc w:val="center"/>
              <w:rPr>
                <w:sz w:val="22"/>
                <w:szCs w:val="22"/>
              </w:rPr>
            </w:pPr>
            <w:r w:rsidRPr="0085642D">
              <w:rPr>
                <w:sz w:val="22"/>
                <w:szCs w:val="22"/>
              </w:rPr>
              <w:t>85,5 %</w:t>
            </w:r>
          </w:p>
        </w:tc>
        <w:tc>
          <w:tcPr>
            <w:tcW w:w="0" w:type="auto"/>
            <w:tcBorders>
              <w:top w:val="single" w:sz="12" w:space="0" w:color="000000"/>
              <w:left w:val="single" w:sz="6" w:space="0" w:color="000000"/>
              <w:bottom w:val="single" w:sz="6" w:space="0" w:color="000000"/>
              <w:right w:val="nil"/>
            </w:tcBorders>
            <w:hideMark/>
          </w:tcPr>
          <w:p w:rsidR="00D25F12" w:rsidRPr="0085642D" w:rsidRDefault="00D25F12" w:rsidP="00243EA6">
            <w:pPr>
              <w:suppressAutoHyphens/>
              <w:jc w:val="center"/>
              <w:rPr>
                <w:sz w:val="22"/>
                <w:szCs w:val="22"/>
              </w:rPr>
            </w:pPr>
            <w:r w:rsidRPr="0085642D">
              <w:rPr>
                <w:sz w:val="22"/>
                <w:szCs w:val="22"/>
              </w:rPr>
              <w:t>8,9 % (-7,7 % til 25,6 %)</w:t>
            </w:r>
          </w:p>
        </w:tc>
      </w:tr>
      <w:tr w:rsidR="00D25F12" w:rsidRPr="0085642D" w:rsidTr="00243EA6">
        <w:trPr>
          <w:trHeight w:val="20"/>
        </w:trPr>
        <w:tc>
          <w:tcPr>
            <w:tcW w:w="0" w:type="auto"/>
            <w:tcBorders>
              <w:top w:val="single" w:sz="6" w:space="0" w:color="000000"/>
              <w:left w:val="nil"/>
              <w:bottom w:val="single" w:sz="6" w:space="0" w:color="000000"/>
              <w:right w:val="single" w:sz="6" w:space="0" w:color="000000"/>
            </w:tcBorders>
            <w:hideMark/>
          </w:tcPr>
          <w:p w:rsidR="00D25F12" w:rsidRPr="0085642D" w:rsidRDefault="00D25F12" w:rsidP="00243EA6">
            <w:pPr>
              <w:suppressAutoHyphens/>
              <w:rPr>
                <w:sz w:val="22"/>
                <w:szCs w:val="22"/>
              </w:rPr>
            </w:pPr>
            <w:r w:rsidRPr="0085642D">
              <w:rPr>
                <w:sz w:val="22"/>
                <w:szCs w:val="22"/>
              </w:rPr>
              <w:t>M=Ekskluderede</w:t>
            </w:r>
          </w:p>
        </w:tc>
        <w:tc>
          <w:tcPr>
            <w:tcW w:w="0" w:type="auto"/>
            <w:tcBorders>
              <w:top w:val="single" w:sz="6" w:space="0" w:color="000000"/>
              <w:left w:val="single" w:sz="6" w:space="0" w:color="000000"/>
              <w:bottom w:val="single" w:sz="6" w:space="0" w:color="000000"/>
              <w:right w:val="single" w:sz="6" w:space="0" w:color="000000"/>
            </w:tcBorders>
            <w:hideMark/>
          </w:tcPr>
          <w:p w:rsidR="00D25F12" w:rsidRPr="0085642D" w:rsidRDefault="00D25F12" w:rsidP="00243EA6">
            <w:pPr>
              <w:suppressAutoHyphens/>
              <w:jc w:val="center"/>
              <w:rPr>
                <w:sz w:val="22"/>
                <w:szCs w:val="22"/>
              </w:rPr>
            </w:pPr>
            <w:r w:rsidRPr="0085642D">
              <w:rPr>
                <w:sz w:val="22"/>
                <w:szCs w:val="22"/>
              </w:rPr>
              <w:t>179/181 (98,9 %)</w:t>
            </w:r>
          </w:p>
        </w:tc>
        <w:tc>
          <w:tcPr>
            <w:tcW w:w="0" w:type="auto"/>
            <w:tcBorders>
              <w:top w:val="single" w:sz="6" w:space="0" w:color="000000"/>
              <w:left w:val="single" w:sz="6" w:space="0" w:color="000000"/>
              <w:bottom w:val="single" w:sz="6" w:space="0" w:color="000000"/>
              <w:right w:val="single" w:sz="6" w:space="0" w:color="000000"/>
            </w:tcBorders>
            <w:hideMark/>
          </w:tcPr>
          <w:p w:rsidR="00D25F12" w:rsidRPr="0085642D" w:rsidRDefault="00D25F12" w:rsidP="00243EA6">
            <w:pPr>
              <w:suppressAutoHyphens/>
              <w:jc w:val="center"/>
              <w:rPr>
                <w:sz w:val="22"/>
                <w:szCs w:val="22"/>
              </w:rPr>
            </w:pPr>
            <w:r w:rsidRPr="0085642D">
              <w:rPr>
                <w:sz w:val="22"/>
                <w:szCs w:val="22"/>
              </w:rPr>
              <w:t>85/87 (97,7 %)</w:t>
            </w:r>
          </w:p>
        </w:tc>
        <w:tc>
          <w:tcPr>
            <w:tcW w:w="0" w:type="auto"/>
            <w:tcBorders>
              <w:top w:val="single" w:sz="6" w:space="0" w:color="000000"/>
              <w:left w:val="single" w:sz="6" w:space="0" w:color="000000"/>
              <w:bottom w:val="single" w:sz="6" w:space="0" w:color="000000"/>
              <w:right w:val="nil"/>
            </w:tcBorders>
            <w:hideMark/>
          </w:tcPr>
          <w:p w:rsidR="00D25F12" w:rsidRPr="0085642D" w:rsidRDefault="00D25F12" w:rsidP="00243EA6">
            <w:pPr>
              <w:suppressAutoHyphens/>
              <w:jc w:val="center"/>
              <w:rPr>
                <w:sz w:val="22"/>
                <w:szCs w:val="22"/>
              </w:rPr>
            </w:pPr>
            <w:r w:rsidRPr="0085642D">
              <w:rPr>
                <w:sz w:val="22"/>
                <w:szCs w:val="22"/>
              </w:rPr>
              <w:t>1,2 % (-2,3 % til 6, %)</w:t>
            </w:r>
          </w:p>
        </w:tc>
      </w:tr>
      <w:tr w:rsidR="00D25F12" w:rsidRPr="0085642D" w:rsidTr="00243EA6">
        <w:trPr>
          <w:trHeight w:val="20"/>
        </w:trPr>
        <w:tc>
          <w:tcPr>
            <w:tcW w:w="0" w:type="auto"/>
            <w:tcBorders>
              <w:top w:val="single" w:sz="6" w:space="0" w:color="000000"/>
              <w:left w:val="nil"/>
              <w:bottom w:val="single" w:sz="4" w:space="0" w:color="000000"/>
              <w:right w:val="single" w:sz="6" w:space="0" w:color="000000"/>
            </w:tcBorders>
            <w:hideMark/>
          </w:tcPr>
          <w:p w:rsidR="00D25F12" w:rsidRPr="0085642D" w:rsidRDefault="00D25F12" w:rsidP="00243EA6">
            <w:pPr>
              <w:suppressAutoHyphens/>
              <w:rPr>
                <w:sz w:val="22"/>
                <w:szCs w:val="22"/>
              </w:rPr>
            </w:pPr>
            <w:r w:rsidRPr="0085642D">
              <w:rPr>
                <w:sz w:val="22"/>
                <w:szCs w:val="22"/>
              </w:rPr>
              <w:t>M=Failure</w:t>
            </w:r>
          </w:p>
        </w:tc>
        <w:tc>
          <w:tcPr>
            <w:tcW w:w="0" w:type="auto"/>
            <w:tcBorders>
              <w:top w:val="single" w:sz="6" w:space="0" w:color="000000"/>
              <w:left w:val="single" w:sz="6" w:space="0" w:color="000000"/>
              <w:bottom w:val="single" w:sz="6" w:space="0" w:color="000000"/>
              <w:right w:val="single" w:sz="6" w:space="0" w:color="000000"/>
            </w:tcBorders>
            <w:hideMark/>
          </w:tcPr>
          <w:p w:rsidR="00D25F12" w:rsidRPr="0085642D" w:rsidRDefault="00D25F12" w:rsidP="00243EA6">
            <w:pPr>
              <w:suppressAutoHyphens/>
              <w:jc w:val="center"/>
              <w:rPr>
                <w:sz w:val="22"/>
                <w:szCs w:val="22"/>
              </w:rPr>
            </w:pPr>
            <w:r w:rsidRPr="0085642D">
              <w:rPr>
                <w:sz w:val="22"/>
                <w:szCs w:val="22"/>
              </w:rPr>
              <w:t>179/203 (88,2 %)</w:t>
            </w:r>
          </w:p>
        </w:tc>
        <w:tc>
          <w:tcPr>
            <w:tcW w:w="0" w:type="auto"/>
            <w:tcBorders>
              <w:top w:val="single" w:sz="6" w:space="0" w:color="000000"/>
              <w:left w:val="single" w:sz="6" w:space="0" w:color="000000"/>
              <w:bottom w:val="single" w:sz="6" w:space="0" w:color="000000"/>
              <w:right w:val="single" w:sz="6" w:space="0" w:color="000000"/>
            </w:tcBorders>
            <w:hideMark/>
          </w:tcPr>
          <w:p w:rsidR="00D25F12" w:rsidRPr="0085642D" w:rsidRDefault="00D25F12" w:rsidP="00243EA6">
            <w:pPr>
              <w:suppressAutoHyphens/>
              <w:jc w:val="center"/>
              <w:rPr>
                <w:sz w:val="22"/>
                <w:szCs w:val="22"/>
              </w:rPr>
            </w:pPr>
            <w:r w:rsidRPr="0085642D">
              <w:rPr>
                <w:sz w:val="22"/>
                <w:szCs w:val="22"/>
              </w:rPr>
              <w:t>85/97 (87,6 %)</w:t>
            </w:r>
          </w:p>
        </w:tc>
        <w:tc>
          <w:tcPr>
            <w:tcW w:w="0" w:type="auto"/>
            <w:tcBorders>
              <w:top w:val="single" w:sz="6" w:space="0" w:color="000000"/>
              <w:left w:val="single" w:sz="6" w:space="0" w:color="000000"/>
              <w:bottom w:val="single" w:sz="6" w:space="0" w:color="000000"/>
              <w:right w:val="nil"/>
            </w:tcBorders>
            <w:hideMark/>
          </w:tcPr>
          <w:p w:rsidR="00D25F12" w:rsidRPr="0085642D" w:rsidRDefault="00D25F12" w:rsidP="00243EA6">
            <w:pPr>
              <w:suppressAutoHyphens/>
              <w:jc w:val="center"/>
              <w:rPr>
                <w:sz w:val="22"/>
                <w:szCs w:val="22"/>
              </w:rPr>
            </w:pPr>
            <w:r w:rsidRPr="0085642D">
              <w:rPr>
                <w:sz w:val="22"/>
                <w:szCs w:val="22"/>
              </w:rPr>
              <w:t>0,5 % (-7,0 % til 9,3 %)</w:t>
            </w:r>
          </w:p>
        </w:tc>
      </w:tr>
      <w:tr w:rsidR="00D25F12" w:rsidRPr="0085642D" w:rsidTr="00243EA6">
        <w:trPr>
          <w:trHeight w:val="20"/>
        </w:trPr>
        <w:tc>
          <w:tcPr>
            <w:tcW w:w="0" w:type="auto"/>
            <w:tcBorders>
              <w:top w:val="single" w:sz="4" w:space="0" w:color="000000"/>
              <w:left w:val="nil"/>
              <w:bottom w:val="single" w:sz="12" w:space="0" w:color="000000"/>
              <w:right w:val="single" w:sz="6" w:space="0" w:color="000000"/>
            </w:tcBorders>
            <w:hideMark/>
          </w:tcPr>
          <w:p w:rsidR="00D25F12" w:rsidRPr="0085642D" w:rsidRDefault="00D25F12" w:rsidP="00243EA6">
            <w:pPr>
              <w:suppressAutoHyphens/>
              <w:rPr>
                <w:sz w:val="22"/>
                <w:szCs w:val="22"/>
              </w:rPr>
            </w:pPr>
            <w:r w:rsidRPr="0085642D">
              <w:rPr>
                <w:sz w:val="22"/>
                <w:szCs w:val="22"/>
              </w:rPr>
              <w:t>Modificeret LOCF</w:t>
            </w:r>
          </w:p>
        </w:tc>
        <w:tc>
          <w:tcPr>
            <w:tcW w:w="0" w:type="auto"/>
            <w:tcBorders>
              <w:top w:val="single" w:sz="6" w:space="0" w:color="000000"/>
              <w:left w:val="single" w:sz="6" w:space="0" w:color="000000"/>
              <w:bottom w:val="single" w:sz="12" w:space="0" w:color="000000"/>
              <w:right w:val="single" w:sz="6" w:space="0" w:color="000000"/>
            </w:tcBorders>
            <w:hideMark/>
          </w:tcPr>
          <w:p w:rsidR="00D25F12" w:rsidRPr="0085642D" w:rsidRDefault="00D25F12" w:rsidP="00243EA6">
            <w:pPr>
              <w:suppressAutoHyphens/>
              <w:jc w:val="center"/>
              <w:rPr>
                <w:sz w:val="22"/>
                <w:szCs w:val="22"/>
              </w:rPr>
            </w:pPr>
            <w:r w:rsidRPr="0085642D">
              <w:rPr>
                <w:sz w:val="22"/>
                <w:szCs w:val="22"/>
              </w:rPr>
              <w:t>190/203 (93,6 %)</w:t>
            </w:r>
          </w:p>
        </w:tc>
        <w:tc>
          <w:tcPr>
            <w:tcW w:w="0" w:type="auto"/>
            <w:tcBorders>
              <w:top w:val="single" w:sz="6" w:space="0" w:color="000000"/>
              <w:left w:val="single" w:sz="6" w:space="0" w:color="000000"/>
              <w:bottom w:val="single" w:sz="12" w:space="0" w:color="000000"/>
              <w:right w:val="single" w:sz="6" w:space="0" w:color="000000"/>
            </w:tcBorders>
            <w:hideMark/>
          </w:tcPr>
          <w:p w:rsidR="00D25F12" w:rsidRPr="0085642D" w:rsidRDefault="00D25F12" w:rsidP="00243EA6">
            <w:pPr>
              <w:suppressAutoHyphens/>
              <w:jc w:val="center"/>
              <w:rPr>
                <w:sz w:val="22"/>
                <w:szCs w:val="22"/>
              </w:rPr>
            </w:pPr>
            <w:r w:rsidRPr="0085642D">
              <w:rPr>
                <w:sz w:val="22"/>
                <w:szCs w:val="22"/>
              </w:rPr>
              <w:t>94/97 (96,9 %)</w:t>
            </w:r>
          </w:p>
        </w:tc>
        <w:tc>
          <w:tcPr>
            <w:tcW w:w="0" w:type="auto"/>
            <w:tcBorders>
              <w:top w:val="single" w:sz="6" w:space="0" w:color="000000"/>
              <w:left w:val="single" w:sz="6" w:space="0" w:color="000000"/>
              <w:bottom w:val="single" w:sz="12" w:space="0" w:color="000000"/>
              <w:right w:val="nil"/>
            </w:tcBorders>
            <w:hideMark/>
          </w:tcPr>
          <w:p w:rsidR="00D25F12" w:rsidRPr="0085642D" w:rsidRDefault="00D25F12" w:rsidP="00243EA6">
            <w:pPr>
              <w:suppressAutoHyphens/>
              <w:jc w:val="center"/>
              <w:rPr>
                <w:sz w:val="22"/>
                <w:szCs w:val="22"/>
              </w:rPr>
            </w:pPr>
            <w:r w:rsidRPr="0085642D">
              <w:rPr>
                <w:sz w:val="22"/>
                <w:szCs w:val="22"/>
              </w:rPr>
              <w:t>-3,3 (-8,3 % til 2,7 %)</w:t>
            </w:r>
          </w:p>
        </w:tc>
      </w:tr>
      <w:tr w:rsidR="00D25F12" w:rsidRPr="00554C44" w:rsidTr="00243EA6">
        <w:trPr>
          <w:trHeight w:val="20"/>
        </w:trPr>
        <w:tc>
          <w:tcPr>
            <w:tcW w:w="0" w:type="auto"/>
            <w:tcBorders>
              <w:top w:val="single" w:sz="12" w:space="0" w:color="000000"/>
              <w:left w:val="nil"/>
              <w:bottom w:val="single" w:sz="12" w:space="0" w:color="000000"/>
              <w:right w:val="single" w:sz="6" w:space="0" w:color="000000"/>
            </w:tcBorders>
          </w:tcPr>
          <w:p w:rsidR="00D25F12" w:rsidRPr="0085642D" w:rsidRDefault="00D25F12" w:rsidP="00243EA6">
            <w:pPr>
              <w:suppressAutoHyphens/>
              <w:rPr>
                <w:sz w:val="22"/>
                <w:szCs w:val="22"/>
              </w:rPr>
            </w:pPr>
          </w:p>
        </w:tc>
        <w:tc>
          <w:tcPr>
            <w:tcW w:w="0" w:type="auto"/>
            <w:gridSpan w:val="3"/>
            <w:tcBorders>
              <w:top w:val="single" w:sz="12" w:space="0" w:color="000000"/>
              <w:left w:val="single" w:sz="6" w:space="0" w:color="000000"/>
              <w:bottom w:val="single" w:sz="12" w:space="0" w:color="000000"/>
              <w:right w:val="nil"/>
            </w:tcBorders>
            <w:hideMark/>
          </w:tcPr>
          <w:p w:rsidR="00D25F12" w:rsidRPr="003D74CB" w:rsidRDefault="00D25F12" w:rsidP="00243EA6">
            <w:pPr>
              <w:suppressAutoHyphens/>
              <w:jc w:val="center"/>
              <w:rPr>
                <w:sz w:val="22"/>
                <w:szCs w:val="22"/>
                <w:lang w:val="sv-SE"/>
              </w:rPr>
            </w:pPr>
            <w:r w:rsidRPr="003D74CB">
              <w:rPr>
                <w:b/>
                <w:bCs/>
                <w:sz w:val="22"/>
                <w:szCs w:val="22"/>
                <w:lang w:val="sv-SE"/>
              </w:rPr>
              <w:t>patienter med hiv</w:t>
            </w:r>
            <w:r w:rsidRPr="003D74CB">
              <w:rPr>
                <w:b/>
                <w:bCs/>
                <w:sz w:val="22"/>
                <w:szCs w:val="22"/>
                <w:lang w:val="sv-SE"/>
              </w:rPr>
              <w:noBreakHyphen/>
              <w:t>1</w:t>
            </w:r>
            <w:r w:rsidRPr="003D74CB">
              <w:rPr>
                <w:b/>
                <w:bCs/>
                <w:sz w:val="22"/>
                <w:szCs w:val="22"/>
                <w:lang w:val="sv-SE"/>
              </w:rPr>
              <w:noBreakHyphen/>
              <w:t xml:space="preserve">rna </w:t>
            </w:r>
            <w:proofErr w:type="gramStart"/>
            <w:r w:rsidRPr="003D74CB">
              <w:rPr>
                <w:b/>
                <w:bCs/>
                <w:sz w:val="22"/>
                <w:szCs w:val="22"/>
                <w:lang w:val="sv-SE"/>
              </w:rPr>
              <w:t>&lt; 200</w:t>
            </w:r>
            <w:proofErr w:type="gramEnd"/>
            <w:r w:rsidRPr="003D74CB">
              <w:rPr>
                <w:b/>
                <w:bCs/>
                <w:sz w:val="22"/>
                <w:szCs w:val="22"/>
                <w:lang w:val="sv-SE"/>
              </w:rPr>
              <w:t> kopier/ml</w:t>
            </w:r>
          </w:p>
        </w:tc>
      </w:tr>
      <w:tr w:rsidR="00D25F12" w:rsidRPr="0085642D" w:rsidTr="00243EA6">
        <w:trPr>
          <w:trHeight w:val="20"/>
        </w:trPr>
        <w:tc>
          <w:tcPr>
            <w:tcW w:w="0" w:type="auto"/>
            <w:tcBorders>
              <w:top w:val="single" w:sz="12" w:space="0" w:color="000000"/>
              <w:left w:val="nil"/>
              <w:bottom w:val="single" w:sz="6" w:space="0" w:color="000000"/>
              <w:right w:val="single" w:sz="6" w:space="0" w:color="000000"/>
            </w:tcBorders>
            <w:hideMark/>
          </w:tcPr>
          <w:p w:rsidR="00D25F12" w:rsidRPr="0085642D" w:rsidRDefault="00D25F12" w:rsidP="00243EA6">
            <w:pPr>
              <w:suppressAutoHyphens/>
              <w:rPr>
                <w:sz w:val="22"/>
                <w:szCs w:val="22"/>
              </w:rPr>
            </w:pPr>
            <w:r w:rsidRPr="0085642D">
              <w:rPr>
                <w:sz w:val="22"/>
                <w:szCs w:val="22"/>
              </w:rPr>
              <w:t>PVR (KM)</w:t>
            </w:r>
          </w:p>
        </w:tc>
        <w:tc>
          <w:tcPr>
            <w:tcW w:w="0" w:type="auto"/>
            <w:tcBorders>
              <w:top w:val="single" w:sz="12" w:space="0" w:color="000000"/>
              <w:left w:val="single" w:sz="6" w:space="0" w:color="000000"/>
              <w:bottom w:val="single" w:sz="6" w:space="0" w:color="000000"/>
              <w:right w:val="single" w:sz="6" w:space="0" w:color="000000"/>
            </w:tcBorders>
            <w:hideMark/>
          </w:tcPr>
          <w:p w:rsidR="00D25F12" w:rsidRPr="0085642D" w:rsidRDefault="00D25F12" w:rsidP="00243EA6">
            <w:pPr>
              <w:suppressAutoHyphens/>
              <w:jc w:val="center"/>
              <w:rPr>
                <w:sz w:val="22"/>
                <w:szCs w:val="22"/>
              </w:rPr>
            </w:pPr>
            <w:r w:rsidRPr="0085642D">
              <w:rPr>
                <w:sz w:val="22"/>
                <w:szCs w:val="22"/>
              </w:rPr>
              <w:t>98,4 %</w:t>
            </w:r>
          </w:p>
        </w:tc>
        <w:tc>
          <w:tcPr>
            <w:tcW w:w="0" w:type="auto"/>
            <w:tcBorders>
              <w:top w:val="single" w:sz="12" w:space="0" w:color="000000"/>
              <w:left w:val="single" w:sz="6" w:space="0" w:color="000000"/>
              <w:bottom w:val="single" w:sz="6" w:space="0" w:color="000000"/>
              <w:right w:val="single" w:sz="6" w:space="0" w:color="000000"/>
            </w:tcBorders>
            <w:hideMark/>
          </w:tcPr>
          <w:p w:rsidR="00D25F12" w:rsidRPr="0085642D" w:rsidRDefault="00D25F12" w:rsidP="00243EA6">
            <w:pPr>
              <w:suppressAutoHyphens/>
              <w:jc w:val="center"/>
              <w:rPr>
                <w:sz w:val="22"/>
                <w:szCs w:val="22"/>
              </w:rPr>
            </w:pPr>
            <w:r w:rsidRPr="0085642D">
              <w:rPr>
                <w:sz w:val="22"/>
                <w:szCs w:val="22"/>
              </w:rPr>
              <w:t>98,9 %</w:t>
            </w:r>
          </w:p>
        </w:tc>
        <w:tc>
          <w:tcPr>
            <w:tcW w:w="0" w:type="auto"/>
            <w:tcBorders>
              <w:top w:val="single" w:sz="12" w:space="0" w:color="000000"/>
              <w:left w:val="single" w:sz="6" w:space="0" w:color="000000"/>
              <w:bottom w:val="single" w:sz="6" w:space="0" w:color="000000"/>
              <w:right w:val="nil"/>
            </w:tcBorders>
            <w:hideMark/>
          </w:tcPr>
          <w:p w:rsidR="00D25F12" w:rsidRPr="0085642D" w:rsidRDefault="00D25F12" w:rsidP="00243EA6">
            <w:pPr>
              <w:suppressAutoHyphens/>
              <w:jc w:val="center"/>
              <w:rPr>
                <w:sz w:val="22"/>
                <w:szCs w:val="22"/>
              </w:rPr>
            </w:pPr>
            <w:r w:rsidRPr="0085642D">
              <w:rPr>
                <w:sz w:val="22"/>
                <w:szCs w:val="22"/>
              </w:rPr>
              <w:t>-0,5 % (-3,2 % til 2,2 %)</w:t>
            </w:r>
          </w:p>
        </w:tc>
      </w:tr>
      <w:tr w:rsidR="00D25F12" w:rsidRPr="0085642D" w:rsidTr="00243EA6">
        <w:trPr>
          <w:trHeight w:val="20"/>
        </w:trPr>
        <w:tc>
          <w:tcPr>
            <w:tcW w:w="0" w:type="auto"/>
            <w:tcBorders>
              <w:top w:val="single" w:sz="6" w:space="0" w:color="000000"/>
              <w:left w:val="nil"/>
              <w:bottom w:val="single" w:sz="6" w:space="0" w:color="000000"/>
              <w:right w:val="single" w:sz="6" w:space="0" w:color="000000"/>
            </w:tcBorders>
            <w:hideMark/>
          </w:tcPr>
          <w:p w:rsidR="00D25F12" w:rsidRPr="0085642D" w:rsidRDefault="00D25F12" w:rsidP="00243EA6">
            <w:pPr>
              <w:suppressAutoHyphens/>
              <w:rPr>
                <w:sz w:val="22"/>
                <w:szCs w:val="22"/>
              </w:rPr>
            </w:pPr>
            <w:r w:rsidRPr="0085642D">
              <w:rPr>
                <w:sz w:val="22"/>
                <w:szCs w:val="22"/>
              </w:rPr>
              <w:t>M=Ekskluderede</w:t>
            </w:r>
          </w:p>
        </w:tc>
        <w:tc>
          <w:tcPr>
            <w:tcW w:w="0" w:type="auto"/>
            <w:tcBorders>
              <w:top w:val="single" w:sz="6" w:space="0" w:color="000000"/>
              <w:left w:val="single" w:sz="6" w:space="0" w:color="000000"/>
              <w:bottom w:val="single" w:sz="6" w:space="0" w:color="000000"/>
              <w:right w:val="single" w:sz="6" w:space="0" w:color="000000"/>
            </w:tcBorders>
            <w:hideMark/>
          </w:tcPr>
          <w:p w:rsidR="00D25F12" w:rsidRPr="0085642D" w:rsidRDefault="00D25F12" w:rsidP="00243EA6">
            <w:pPr>
              <w:suppressAutoHyphens/>
              <w:jc w:val="center"/>
              <w:rPr>
                <w:sz w:val="22"/>
                <w:szCs w:val="22"/>
              </w:rPr>
            </w:pPr>
            <w:r w:rsidRPr="0085642D">
              <w:rPr>
                <w:sz w:val="22"/>
                <w:szCs w:val="22"/>
              </w:rPr>
              <w:t>181/181 (100 %)</w:t>
            </w:r>
          </w:p>
        </w:tc>
        <w:tc>
          <w:tcPr>
            <w:tcW w:w="0" w:type="auto"/>
            <w:tcBorders>
              <w:top w:val="single" w:sz="6" w:space="0" w:color="000000"/>
              <w:left w:val="single" w:sz="6" w:space="0" w:color="000000"/>
              <w:bottom w:val="single" w:sz="6" w:space="0" w:color="000000"/>
              <w:right w:val="single" w:sz="6" w:space="0" w:color="000000"/>
            </w:tcBorders>
            <w:hideMark/>
          </w:tcPr>
          <w:p w:rsidR="00D25F12" w:rsidRPr="0085642D" w:rsidRDefault="00D25F12" w:rsidP="00243EA6">
            <w:pPr>
              <w:suppressAutoHyphens/>
              <w:jc w:val="center"/>
              <w:rPr>
                <w:sz w:val="22"/>
                <w:szCs w:val="22"/>
              </w:rPr>
            </w:pPr>
            <w:r w:rsidRPr="0085642D">
              <w:rPr>
                <w:sz w:val="22"/>
                <w:szCs w:val="22"/>
              </w:rPr>
              <w:t>87/87 (100 %)</w:t>
            </w:r>
          </w:p>
        </w:tc>
        <w:tc>
          <w:tcPr>
            <w:tcW w:w="0" w:type="auto"/>
            <w:tcBorders>
              <w:top w:val="single" w:sz="6" w:space="0" w:color="000000"/>
              <w:left w:val="single" w:sz="6" w:space="0" w:color="000000"/>
              <w:bottom w:val="single" w:sz="6" w:space="0" w:color="000000"/>
              <w:right w:val="nil"/>
            </w:tcBorders>
            <w:hideMark/>
          </w:tcPr>
          <w:p w:rsidR="00D25F12" w:rsidRPr="0085642D" w:rsidRDefault="00D25F12" w:rsidP="00243EA6">
            <w:pPr>
              <w:suppressAutoHyphens/>
              <w:jc w:val="center"/>
              <w:rPr>
                <w:sz w:val="22"/>
                <w:szCs w:val="22"/>
              </w:rPr>
            </w:pPr>
            <w:r w:rsidRPr="0085642D">
              <w:rPr>
                <w:sz w:val="22"/>
                <w:szCs w:val="22"/>
              </w:rPr>
              <w:t>0 % (-2,4 % til 4,2 %)</w:t>
            </w:r>
          </w:p>
        </w:tc>
      </w:tr>
      <w:tr w:rsidR="00D25F12" w:rsidRPr="0085642D" w:rsidTr="00243EA6">
        <w:trPr>
          <w:trHeight w:val="20"/>
        </w:trPr>
        <w:tc>
          <w:tcPr>
            <w:tcW w:w="0" w:type="auto"/>
            <w:tcBorders>
              <w:top w:val="single" w:sz="6" w:space="0" w:color="000000"/>
              <w:left w:val="nil"/>
              <w:bottom w:val="single" w:sz="12" w:space="0" w:color="000000"/>
              <w:right w:val="single" w:sz="6" w:space="0" w:color="000000"/>
            </w:tcBorders>
            <w:hideMark/>
          </w:tcPr>
          <w:p w:rsidR="00D25F12" w:rsidRPr="0085642D" w:rsidRDefault="00D25F12" w:rsidP="00243EA6">
            <w:pPr>
              <w:suppressAutoHyphens/>
              <w:rPr>
                <w:sz w:val="22"/>
                <w:szCs w:val="22"/>
              </w:rPr>
            </w:pPr>
            <w:r w:rsidRPr="0085642D">
              <w:rPr>
                <w:sz w:val="22"/>
                <w:szCs w:val="22"/>
              </w:rPr>
              <w:t>M=Failure</w:t>
            </w:r>
          </w:p>
        </w:tc>
        <w:tc>
          <w:tcPr>
            <w:tcW w:w="0" w:type="auto"/>
            <w:tcBorders>
              <w:top w:val="single" w:sz="6" w:space="0" w:color="000000"/>
              <w:left w:val="single" w:sz="6" w:space="0" w:color="000000"/>
              <w:bottom w:val="single" w:sz="12" w:space="0" w:color="000000"/>
              <w:right w:val="single" w:sz="6" w:space="0" w:color="000000"/>
            </w:tcBorders>
            <w:hideMark/>
          </w:tcPr>
          <w:p w:rsidR="00D25F12" w:rsidRPr="0085642D" w:rsidRDefault="00D25F12" w:rsidP="00243EA6">
            <w:pPr>
              <w:suppressAutoHyphens/>
              <w:jc w:val="center"/>
              <w:rPr>
                <w:sz w:val="22"/>
                <w:szCs w:val="22"/>
              </w:rPr>
            </w:pPr>
            <w:r w:rsidRPr="0085642D">
              <w:rPr>
                <w:sz w:val="22"/>
                <w:szCs w:val="22"/>
              </w:rPr>
              <w:t>181/203 (89,2 %)</w:t>
            </w:r>
          </w:p>
        </w:tc>
        <w:tc>
          <w:tcPr>
            <w:tcW w:w="0" w:type="auto"/>
            <w:tcBorders>
              <w:top w:val="single" w:sz="6" w:space="0" w:color="000000"/>
              <w:left w:val="single" w:sz="6" w:space="0" w:color="000000"/>
              <w:bottom w:val="single" w:sz="12" w:space="0" w:color="000000"/>
              <w:right w:val="single" w:sz="6" w:space="0" w:color="000000"/>
            </w:tcBorders>
            <w:hideMark/>
          </w:tcPr>
          <w:p w:rsidR="00D25F12" w:rsidRPr="0085642D" w:rsidRDefault="00D25F12" w:rsidP="00243EA6">
            <w:pPr>
              <w:suppressAutoHyphens/>
              <w:jc w:val="center"/>
              <w:rPr>
                <w:sz w:val="22"/>
                <w:szCs w:val="22"/>
              </w:rPr>
            </w:pPr>
            <w:r w:rsidRPr="0085642D">
              <w:rPr>
                <w:sz w:val="22"/>
                <w:szCs w:val="22"/>
              </w:rPr>
              <w:t>87/97 (89,7 %)</w:t>
            </w:r>
          </w:p>
        </w:tc>
        <w:tc>
          <w:tcPr>
            <w:tcW w:w="0" w:type="auto"/>
            <w:tcBorders>
              <w:top w:val="single" w:sz="6" w:space="0" w:color="000000"/>
              <w:left w:val="single" w:sz="6" w:space="0" w:color="000000"/>
              <w:bottom w:val="single" w:sz="12" w:space="0" w:color="000000"/>
              <w:right w:val="nil"/>
            </w:tcBorders>
            <w:hideMark/>
          </w:tcPr>
          <w:p w:rsidR="00D25F12" w:rsidRPr="0085642D" w:rsidRDefault="00D25F12" w:rsidP="00243EA6">
            <w:pPr>
              <w:suppressAutoHyphens/>
              <w:jc w:val="center"/>
              <w:rPr>
                <w:sz w:val="22"/>
                <w:szCs w:val="22"/>
              </w:rPr>
            </w:pPr>
            <w:r w:rsidRPr="0085642D">
              <w:rPr>
                <w:sz w:val="22"/>
                <w:szCs w:val="22"/>
              </w:rPr>
              <w:t>-0,5 % (-7,6 % til 7,9 %)</w:t>
            </w:r>
          </w:p>
        </w:tc>
      </w:tr>
    </w:tbl>
    <w:p w:rsidR="00D25F12" w:rsidRPr="0085642D" w:rsidRDefault="00D25F12" w:rsidP="00D25F12">
      <w:pPr>
        <w:suppressAutoHyphens/>
        <w:rPr>
          <w:sz w:val="24"/>
          <w:szCs w:val="24"/>
          <w:lang w:eastAsia="fr-LU" w:bidi="en-GB"/>
        </w:rPr>
      </w:pPr>
      <w:r w:rsidRPr="0085642D">
        <w:rPr>
          <w:sz w:val="24"/>
          <w:szCs w:val="24"/>
          <w:lang w:bidi="en-GB"/>
        </w:rPr>
        <w:t>PVR (KM): Rent virologisk respons vurderet ved hjælp af Kaplan Meier (KM) metoden</w:t>
      </w:r>
    </w:p>
    <w:p w:rsidR="00D25F12" w:rsidRPr="0085642D" w:rsidRDefault="00D25F12" w:rsidP="00D25F12">
      <w:pPr>
        <w:suppressAutoHyphens/>
        <w:rPr>
          <w:sz w:val="24"/>
          <w:szCs w:val="24"/>
          <w:lang w:bidi="en-GB"/>
        </w:rPr>
      </w:pPr>
      <w:r w:rsidRPr="0085642D">
        <w:rPr>
          <w:sz w:val="24"/>
          <w:szCs w:val="24"/>
          <w:lang w:bidi="en-GB"/>
        </w:rPr>
        <w:t>M: Mangler</w:t>
      </w:r>
    </w:p>
    <w:p w:rsidR="00D25F12" w:rsidRPr="0085642D" w:rsidRDefault="00D25F12" w:rsidP="00D25F12">
      <w:pPr>
        <w:suppressAutoHyphens/>
        <w:rPr>
          <w:sz w:val="24"/>
          <w:szCs w:val="24"/>
          <w:lang w:bidi="en-GB"/>
        </w:rPr>
      </w:pPr>
      <w:r w:rsidRPr="0085642D">
        <w:rPr>
          <w:sz w:val="24"/>
          <w:szCs w:val="24"/>
          <w:lang w:bidi="en-GB"/>
        </w:rPr>
        <w:lastRenderedPageBreak/>
        <w:t>Modificeret LOCF: Post</w:t>
      </w:r>
      <w:r w:rsidRPr="0085642D">
        <w:rPr>
          <w:sz w:val="24"/>
          <w:szCs w:val="24"/>
          <w:lang w:bidi="en-GB"/>
        </w:rPr>
        <w:noBreakHyphen/>
        <w:t>hoc</w:t>
      </w:r>
      <w:r w:rsidRPr="0085642D">
        <w:rPr>
          <w:sz w:val="24"/>
          <w:szCs w:val="24"/>
          <w:lang w:bidi="en-GB"/>
        </w:rPr>
        <w:noBreakHyphen/>
        <w:t xml:space="preserve">analyse, hvor patienterne med virologisk </w:t>
      </w:r>
      <w:r>
        <w:rPr>
          <w:sz w:val="24"/>
          <w:szCs w:val="24"/>
          <w:lang w:bidi="en-GB"/>
        </w:rPr>
        <w:t>"</w:t>
      </w:r>
      <w:r w:rsidRPr="0085642D">
        <w:rPr>
          <w:sz w:val="24"/>
          <w:szCs w:val="24"/>
          <w:lang w:bidi="en-GB"/>
        </w:rPr>
        <w:t>failure</w:t>
      </w:r>
      <w:r>
        <w:rPr>
          <w:sz w:val="24"/>
          <w:szCs w:val="24"/>
          <w:lang w:bidi="en-GB"/>
        </w:rPr>
        <w:t>"</w:t>
      </w:r>
      <w:r w:rsidRPr="0085642D">
        <w:rPr>
          <w:sz w:val="24"/>
          <w:szCs w:val="24"/>
          <w:lang w:bidi="en-GB"/>
        </w:rPr>
        <w:t xml:space="preserve"> eller som afsluttede pga. bivirkninger, blev behandlet som </w:t>
      </w:r>
      <w:r>
        <w:rPr>
          <w:sz w:val="24"/>
          <w:szCs w:val="24"/>
          <w:lang w:bidi="en-GB"/>
        </w:rPr>
        <w:t>"</w:t>
      </w:r>
      <w:r w:rsidRPr="0085642D">
        <w:rPr>
          <w:sz w:val="24"/>
          <w:szCs w:val="24"/>
          <w:lang w:bidi="en-GB"/>
        </w:rPr>
        <w:t>failures</w:t>
      </w:r>
      <w:r>
        <w:rPr>
          <w:sz w:val="24"/>
          <w:szCs w:val="24"/>
          <w:lang w:bidi="en-GB"/>
        </w:rPr>
        <w:t>"</w:t>
      </w:r>
      <w:r w:rsidRPr="0085642D">
        <w:rPr>
          <w:sz w:val="24"/>
          <w:szCs w:val="24"/>
          <w:lang w:bidi="en-GB"/>
        </w:rPr>
        <w:t xml:space="preserve">; for andre </w:t>
      </w:r>
      <w:r>
        <w:rPr>
          <w:sz w:val="24"/>
          <w:szCs w:val="24"/>
          <w:lang w:bidi="en-GB"/>
        </w:rPr>
        <w:t>"</w:t>
      </w:r>
      <w:r w:rsidRPr="0085642D">
        <w:rPr>
          <w:sz w:val="24"/>
          <w:szCs w:val="24"/>
          <w:lang w:bidi="en-GB"/>
        </w:rPr>
        <w:t>drop</w:t>
      </w:r>
      <w:r w:rsidRPr="0085642D">
        <w:rPr>
          <w:sz w:val="24"/>
          <w:szCs w:val="24"/>
          <w:lang w:bidi="en-GB"/>
        </w:rPr>
        <w:noBreakHyphen/>
        <w:t>outs</w:t>
      </w:r>
      <w:r>
        <w:rPr>
          <w:sz w:val="24"/>
          <w:szCs w:val="24"/>
          <w:lang w:bidi="en-GB"/>
        </w:rPr>
        <w:t>"</w:t>
      </w:r>
      <w:r w:rsidRPr="0085642D">
        <w:rPr>
          <w:sz w:val="24"/>
          <w:szCs w:val="24"/>
          <w:lang w:bidi="en-GB"/>
        </w:rPr>
        <w:t xml:space="preserve"> blev LOCF-metoden </w:t>
      </w:r>
      <w:r w:rsidRPr="0085642D">
        <w:rPr>
          <w:i/>
          <w:sz w:val="24"/>
          <w:szCs w:val="24"/>
          <w:lang w:bidi="en-GB"/>
        </w:rPr>
        <w:t xml:space="preserve">(last observation carried forward) </w:t>
      </w:r>
      <w:r w:rsidRPr="0085642D">
        <w:rPr>
          <w:sz w:val="24"/>
          <w:szCs w:val="24"/>
          <w:lang w:bidi="en-GB"/>
        </w:rPr>
        <w:t>brugt.</w:t>
      </w:r>
    </w:p>
    <w:p w:rsidR="00D25F12" w:rsidRPr="0085642D" w:rsidRDefault="00D25F12" w:rsidP="00D25F12">
      <w:pPr>
        <w:suppressAutoHyphens/>
        <w:rPr>
          <w:sz w:val="24"/>
          <w:szCs w:val="24"/>
          <w:lang w:bidi="en-GB"/>
        </w:rPr>
      </w:pPr>
    </w:p>
    <w:p w:rsidR="00D25F12" w:rsidRPr="0085642D" w:rsidRDefault="00D25F12" w:rsidP="00D25F12">
      <w:pPr>
        <w:suppressAutoHyphens/>
        <w:ind w:left="851"/>
        <w:rPr>
          <w:sz w:val="24"/>
          <w:szCs w:val="24"/>
          <w:lang w:bidi="en-GB"/>
        </w:rPr>
      </w:pPr>
      <w:r w:rsidRPr="0085642D">
        <w:rPr>
          <w:sz w:val="24"/>
          <w:szCs w:val="24"/>
          <w:lang w:bidi="en-GB"/>
        </w:rPr>
        <w:t>Når de to strata blev analyseret separat, var responsraterne i det stratum med tidligere proteasehæmmer</w:t>
      </w:r>
      <w:r w:rsidRPr="0085642D">
        <w:rPr>
          <w:sz w:val="24"/>
          <w:szCs w:val="24"/>
          <w:lang w:bidi="en-GB"/>
        </w:rPr>
        <w:noBreakHyphen/>
        <w:t xml:space="preserve">behandling numerisk lavere for de patienter, der skiftede til </w:t>
      </w:r>
      <w:r w:rsidRPr="0085642D">
        <w:rPr>
          <w:sz w:val="24"/>
          <w:szCs w:val="24"/>
        </w:rPr>
        <w:t>efavirenz/emtricitabin/tenofovirdisoproxil</w:t>
      </w:r>
      <w:r w:rsidRPr="0085642D">
        <w:rPr>
          <w:sz w:val="24"/>
          <w:szCs w:val="24"/>
          <w:lang w:bidi="en-GB"/>
        </w:rPr>
        <w:t xml:space="preserve"> [92,4 %</w:t>
      </w:r>
      <w:r w:rsidRPr="0085642D">
        <w:rPr>
          <w:i/>
          <w:sz w:val="24"/>
          <w:szCs w:val="24"/>
          <w:lang w:bidi="en-GB"/>
        </w:rPr>
        <w:t xml:space="preserve"> versus</w:t>
      </w:r>
      <w:r w:rsidRPr="0085642D">
        <w:rPr>
          <w:sz w:val="24"/>
          <w:szCs w:val="24"/>
          <w:lang w:bidi="en-GB"/>
        </w:rPr>
        <w:t xml:space="preserve"> 94,0 % for PVR (sensitivitetsanalyse) for henholdsvis </w:t>
      </w:r>
      <w:r w:rsidRPr="0085642D">
        <w:rPr>
          <w:sz w:val="24"/>
          <w:szCs w:val="24"/>
        </w:rPr>
        <w:t>efavirenz/emtricitabin/tenofovirdisoproxil</w:t>
      </w:r>
      <w:r w:rsidRPr="0085642D">
        <w:rPr>
          <w:sz w:val="24"/>
          <w:szCs w:val="24"/>
          <w:lang w:bidi="en-GB"/>
        </w:rPr>
        <w:t>- og SBR</w:t>
      </w:r>
      <w:r w:rsidRPr="0085642D">
        <w:rPr>
          <w:sz w:val="24"/>
          <w:szCs w:val="24"/>
          <w:lang w:bidi="en-GB"/>
        </w:rPr>
        <w:noBreakHyphen/>
        <w:t xml:space="preserve">patienter </w:t>
      </w:r>
      <w:r w:rsidRPr="0085642D">
        <w:rPr>
          <w:i/>
          <w:sz w:val="24"/>
          <w:szCs w:val="24"/>
          <w:lang w:bidi="en-GB"/>
        </w:rPr>
        <w:t>(SBR, stayed on their baseline regimen)</w:t>
      </w:r>
      <w:r w:rsidRPr="0085642D">
        <w:rPr>
          <w:sz w:val="24"/>
          <w:szCs w:val="24"/>
          <w:lang w:bidi="en-GB"/>
        </w:rPr>
        <w:t>; en forskel (95 % CI) på -1,6 % (-10,0 %; 6,7 %). I før</w:t>
      </w:r>
      <w:r w:rsidRPr="0085642D">
        <w:rPr>
          <w:sz w:val="24"/>
          <w:szCs w:val="24"/>
          <w:lang w:bidi="en-GB"/>
        </w:rPr>
        <w:noBreakHyphen/>
        <w:t>NNRTI</w:t>
      </w:r>
      <w:r w:rsidRPr="0085642D">
        <w:rPr>
          <w:sz w:val="24"/>
          <w:szCs w:val="24"/>
          <w:lang w:bidi="en-GB"/>
        </w:rPr>
        <w:noBreakHyphen/>
        <w:t xml:space="preserve">stratummet var responsraten 98,9 % </w:t>
      </w:r>
      <w:r w:rsidRPr="0085642D">
        <w:rPr>
          <w:i/>
          <w:sz w:val="24"/>
          <w:szCs w:val="24"/>
          <w:lang w:bidi="en-GB"/>
        </w:rPr>
        <w:t>versus</w:t>
      </w:r>
      <w:r w:rsidRPr="0085642D">
        <w:rPr>
          <w:sz w:val="24"/>
          <w:szCs w:val="24"/>
          <w:lang w:bidi="en-GB"/>
        </w:rPr>
        <w:t xml:space="preserve"> 97,4 % for henholdsvis </w:t>
      </w:r>
      <w:r w:rsidRPr="0085642D">
        <w:rPr>
          <w:sz w:val="24"/>
          <w:szCs w:val="24"/>
        </w:rPr>
        <w:t>efavirenz/emtricitabin/tenofovirdisoproxil</w:t>
      </w:r>
      <w:r w:rsidRPr="0085642D">
        <w:rPr>
          <w:sz w:val="24"/>
          <w:szCs w:val="24"/>
          <w:lang w:bidi="en-GB"/>
        </w:rPr>
        <w:t>- og SBR</w:t>
      </w:r>
      <w:r w:rsidRPr="0085642D">
        <w:rPr>
          <w:sz w:val="24"/>
          <w:szCs w:val="24"/>
          <w:lang w:bidi="en-GB"/>
        </w:rPr>
        <w:noBreakHyphen/>
        <w:t>patienterne; en forskel (95 % CI) på 1,4 % (-4,0 %; 6,9 %)].</w:t>
      </w:r>
    </w:p>
    <w:p w:rsidR="00D25F12" w:rsidRPr="0085642D" w:rsidRDefault="00D25F12" w:rsidP="00D25F12">
      <w:pPr>
        <w:suppressAutoHyphens/>
        <w:ind w:left="851"/>
        <w:rPr>
          <w:sz w:val="24"/>
          <w:szCs w:val="24"/>
          <w:lang w:bidi="en-GB"/>
        </w:rPr>
      </w:pPr>
    </w:p>
    <w:p w:rsidR="00D25F12" w:rsidRPr="0085642D" w:rsidRDefault="00D25F12" w:rsidP="00D25F12">
      <w:pPr>
        <w:suppressAutoHyphens/>
        <w:ind w:left="851"/>
        <w:rPr>
          <w:sz w:val="24"/>
          <w:szCs w:val="24"/>
          <w:lang w:bidi="en-GB"/>
        </w:rPr>
      </w:pPr>
      <w:r w:rsidRPr="0085642D">
        <w:rPr>
          <w:sz w:val="24"/>
          <w:szCs w:val="24"/>
          <w:lang w:bidi="en-GB"/>
        </w:rPr>
        <w:t>En lignende tendens blev observeret i en undergruppeanalyse af behandlingserfarne patienter med hiv</w:t>
      </w:r>
      <w:r w:rsidRPr="0085642D">
        <w:rPr>
          <w:sz w:val="24"/>
          <w:szCs w:val="24"/>
          <w:lang w:bidi="en-GB"/>
        </w:rPr>
        <w:noBreakHyphen/>
        <w:t>1</w:t>
      </w:r>
      <w:r w:rsidRPr="0085642D">
        <w:rPr>
          <w:sz w:val="24"/>
          <w:szCs w:val="24"/>
          <w:lang w:bidi="en-GB"/>
        </w:rPr>
        <w:noBreakHyphen/>
        <w:t xml:space="preserve">rna &lt; 75 kopier/ml ved </w:t>
      </w:r>
      <w:r w:rsidRPr="0085642D">
        <w:rPr>
          <w:i/>
          <w:sz w:val="24"/>
          <w:szCs w:val="24"/>
          <w:lang w:bidi="en-GB"/>
        </w:rPr>
        <w:t xml:space="preserve">baseline </w:t>
      </w:r>
      <w:r w:rsidRPr="0085642D">
        <w:rPr>
          <w:sz w:val="24"/>
          <w:szCs w:val="24"/>
          <w:lang w:bidi="en-GB"/>
        </w:rPr>
        <w:t xml:space="preserve">fra </w:t>
      </w:r>
      <w:proofErr w:type="gramStart"/>
      <w:r w:rsidRPr="0085642D">
        <w:rPr>
          <w:sz w:val="24"/>
          <w:szCs w:val="24"/>
          <w:lang w:bidi="en-GB"/>
        </w:rPr>
        <w:t>et retrospektivt kohorte</w:t>
      </w:r>
      <w:proofErr w:type="gramEnd"/>
      <w:r w:rsidRPr="0085642D">
        <w:rPr>
          <w:sz w:val="24"/>
          <w:szCs w:val="24"/>
          <w:lang w:bidi="en-GB"/>
        </w:rPr>
        <w:noBreakHyphen/>
        <w:t>studie (data indsamlet i løbet af 20 måneder, se tabel 5).</w:t>
      </w:r>
    </w:p>
    <w:p w:rsidR="003630D4" w:rsidRDefault="003630D4">
      <w:pPr>
        <w:rPr>
          <w:b/>
          <w:bCs/>
          <w:sz w:val="24"/>
          <w:szCs w:val="24"/>
          <w:lang w:bidi="en-GB"/>
        </w:rPr>
      </w:pPr>
    </w:p>
    <w:p w:rsidR="00D25F12" w:rsidRPr="0085642D" w:rsidRDefault="00D25F12" w:rsidP="00D25F12">
      <w:pPr>
        <w:suppressAutoHyphens/>
        <w:rPr>
          <w:b/>
          <w:bCs/>
          <w:sz w:val="24"/>
          <w:szCs w:val="24"/>
          <w:lang w:bidi="en-GB"/>
        </w:rPr>
      </w:pPr>
      <w:r w:rsidRPr="0085642D">
        <w:rPr>
          <w:b/>
          <w:bCs/>
          <w:sz w:val="24"/>
          <w:szCs w:val="24"/>
          <w:lang w:bidi="en-GB"/>
        </w:rPr>
        <w:t>Tabel 5: Opretholdelse af rent virologisk respons (Kaplan Meier % (standardfejl) [95 % CI]) i uge 48 hos behandlingserfarne patienter med hiv</w:t>
      </w:r>
      <w:r w:rsidRPr="0085642D">
        <w:rPr>
          <w:b/>
          <w:bCs/>
          <w:sz w:val="24"/>
          <w:szCs w:val="24"/>
          <w:lang w:bidi="en-GB"/>
        </w:rPr>
        <w:noBreakHyphen/>
        <w:t>1</w:t>
      </w:r>
      <w:r w:rsidRPr="0085642D">
        <w:rPr>
          <w:b/>
          <w:bCs/>
          <w:sz w:val="24"/>
          <w:szCs w:val="24"/>
          <w:lang w:bidi="en-GB"/>
        </w:rPr>
        <w:noBreakHyphen/>
        <w:t xml:space="preserve">rna &lt; 75 kopier/ml ved </w:t>
      </w:r>
      <w:r w:rsidRPr="0085642D">
        <w:rPr>
          <w:b/>
          <w:bCs/>
          <w:i/>
          <w:sz w:val="24"/>
          <w:szCs w:val="24"/>
          <w:lang w:bidi="en-GB"/>
        </w:rPr>
        <w:t>baseline</w:t>
      </w:r>
      <w:r w:rsidRPr="0085642D">
        <w:rPr>
          <w:b/>
          <w:bCs/>
          <w:sz w:val="24"/>
          <w:szCs w:val="24"/>
          <w:lang w:bidi="en-GB"/>
        </w:rPr>
        <w:t xml:space="preserve">, som skiftede behandling til </w:t>
      </w:r>
      <w:r w:rsidRPr="0085642D">
        <w:rPr>
          <w:b/>
          <w:sz w:val="24"/>
          <w:szCs w:val="24"/>
        </w:rPr>
        <w:t>efavirenz/emtricitabin/tenofovirdisoproxil</w:t>
      </w:r>
      <w:r w:rsidRPr="0085642D">
        <w:rPr>
          <w:b/>
          <w:bCs/>
          <w:sz w:val="24"/>
          <w:szCs w:val="24"/>
          <w:lang w:bidi="en-GB"/>
        </w:rPr>
        <w:t xml:space="preserve"> ifølge typen af tidligere antiretroviral behandling (</w:t>
      </w:r>
      <w:r w:rsidRPr="0085642D">
        <w:rPr>
          <w:b/>
          <w:bCs/>
          <w:i/>
          <w:sz w:val="24"/>
          <w:szCs w:val="24"/>
          <w:lang w:bidi="en-GB"/>
        </w:rPr>
        <w:t>Kaiser Permanente patient database</w:t>
      </w:r>
      <w:r w:rsidRPr="0085642D">
        <w:rPr>
          <w:b/>
          <w:bCs/>
          <w:sz w:val="24"/>
          <w:szCs w:val="24"/>
          <w:lang w:bidi="en-GB"/>
        </w:rPr>
        <w:t>)</w:t>
      </w:r>
    </w:p>
    <w:p w:rsidR="00D25F12" w:rsidRPr="0085642D" w:rsidRDefault="00D25F12" w:rsidP="00D25F12">
      <w:pPr>
        <w:suppressAutoHyphens/>
        <w:rPr>
          <w:sz w:val="24"/>
          <w:szCs w:val="24"/>
        </w:rPr>
      </w:pPr>
    </w:p>
    <w:tbl>
      <w:tblPr>
        <w:tblW w:w="5000" w:type="pct"/>
        <w:tblCellMar>
          <w:left w:w="0" w:type="dxa"/>
          <w:right w:w="0" w:type="dxa"/>
        </w:tblCellMar>
        <w:tblLook w:val="04A0" w:firstRow="1" w:lastRow="0" w:firstColumn="1" w:lastColumn="0" w:noHBand="0" w:noVBand="1"/>
      </w:tblPr>
      <w:tblGrid>
        <w:gridCol w:w="3222"/>
        <w:gridCol w:w="3189"/>
        <w:gridCol w:w="3207"/>
      </w:tblGrid>
      <w:tr w:rsidR="00D25F12" w:rsidRPr="0085642D" w:rsidTr="003630D4">
        <w:tc>
          <w:tcPr>
            <w:tcW w:w="1675" w:type="pct"/>
            <w:tcBorders>
              <w:top w:val="single" w:sz="8" w:space="0" w:color="000000"/>
              <w:left w:val="single" w:sz="8" w:space="0" w:color="000000"/>
              <w:bottom w:val="single" w:sz="8" w:space="0" w:color="000000"/>
              <w:right w:val="single" w:sz="8" w:space="0" w:color="000000"/>
            </w:tcBorders>
            <w:hideMark/>
          </w:tcPr>
          <w:p w:rsidR="00D25F12" w:rsidRPr="0085642D" w:rsidRDefault="00D25F12" w:rsidP="00243EA6">
            <w:pPr>
              <w:suppressAutoHyphens/>
              <w:jc w:val="center"/>
              <w:rPr>
                <w:b/>
                <w:bCs/>
                <w:sz w:val="24"/>
                <w:szCs w:val="24"/>
              </w:rPr>
            </w:pPr>
            <w:r w:rsidRPr="0085642D">
              <w:rPr>
                <w:b/>
                <w:bCs/>
                <w:sz w:val="24"/>
                <w:szCs w:val="24"/>
              </w:rPr>
              <w:t>Tidligere efavirenz/emtricitabin/</w:t>
            </w:r>
          </w:p>
          <w:p w:rsidR="00D25F12" w:rsidRPr="0085642D" w:rsidRDefault="00D25F12" w:rsidP="00243EA6">
            <w:pPr>
              <w:suppressAutoHyphens/>
              <w:jc w:val="center"/>
              <w:rPr>
                <w:b/>
                <w:bCs/>
                <w:sz w:val="24"/>
                <w:szCs w:val="24"/>
              </w:rPr>
            </w:pPr>
            <w:r w:rsidRPr="0085642D">
              <w:rPr>
                <w:b/>
                <w:bCs/>
                <w:sz w:val="24"/>
                <w:szCs w:val="24"/>
              </w:rPr>
              <w:t>tenofovirdisoproxil komponenter</w:t>
            </w:r>
          </w:p>
          <w:p w:rsidR="00D25F12" w:rsidRPr="0085642D" w:rsidRDefault="00D25F12" w:rsidP="00243EA6">
            <w:pPr>
              <w:suppressAutoHyphens/>
              <w:jc w:val="center"/>
              <w:rPr>
                <w:sz w:val="24"/>
                <w:szCs w:val="24"/>
              </w:rPr>
            </w:pPr>
            <w:r w:rsidRPr="0085642D">
              <w:rPr>
                <w:b/>
                <w:bCs/>
                <w:sz w:val="24"/>
                <w:szCs w:val="24"/>
              </w:rPr>
              <w:t>(N=299)</w:t>
            </w:r>
          </w:p>
        </w:tc>
        <w:tc>
          <w:tcPr>
            <w:tcW w:w="1658" w:type="pct"/>
            <w:tcBorders>
              <w:top w:val="single" w:sz="8" w:space="0" w:color="000000"/>
              <w:left w:val="single" w:sz="8" w:space="0" w:color="000000"/>
              <w:bottom w:val="single" w:sz="8" w:space="0" w:color="000000"/>
              <w:right w:val="single" w:sz="8" w:space="0" w:color="000000"/>
            </w:tcBorders>
            <w:hideMark/>
          </w:tcPr>
          <w:p w:rsidR="00D25F12" w:rsidRPr="0085642D" w:rsidRDefault="00D25F12" w:rsidP="00243EA6">
            <w:pPr>
              <w:suppressAutoHyphens/>
              <w:jc w:val="center"/>
              <w:rPr>
                <w:sz w:val="24"/>
                <w:szCs w:val="24"/>
              </w:rPr>
            </w:pPr>
            <w:r w:rsidRPr="0085642D">
              <w:rPr>
                <w:b/>
                <w:bCs/>
                <w:sz w:val="24"/>
                <w:szCs w:val="24"/>
              </w:rPr>
              <w:t>Tidligere NNRTI-baseret behandling (N=104)</w:t>
            </w:r>
          </w:p>
        </w:tc>
        <w:tc>
          <w:tcPr>
            <w:tcW w:w="1667" w:type="pct"/>
            <w:tcBorders>
              <w:top w:val="single" w:sz="8" w:space="0" w:color="000000"/>
              <w:left w:val="single" w:sz="8" w:space="0" w:color="000000"/>
              <w:bottom w:val="single" w:sz="8" w:space="0" w:color="000000"/>
              <w:right w:val="single" w:sz="8" w:space="0" w:color="000000"/>
            </w:tcBorders>
            <w:hideMark/>
          </w:tcPr>
          <w:p w:rsidR="00D25F12" w:rsidRPr="0085642D" w:rsidRDefault="00D25F12" w:rsidP="00243EA6">
            <w:pPr>
              <w:suppressAutoHyphens/>
              <w:jc w:val="center"/>
              <w:rPr>
                <w:sz w:val="24"/>
                <w:szCs w:val="24"/>
              </w:rPr>
            </w:pPr>
            <w:r w:rsidRPr="0085642D">
              <w:rPr>
                <w:b/>
                <w:bCs/>
                <w:sz w:val="24"/>
                <w:szCs w:val="24"/>
              </w:rPr>
              <w:t>Tidligere PI-baseret behandling (N=34)</w:t>
            </w:r>
          </w:p>
        </w:tc>
      </w:tr>
      <w:tr w:rsidR="00D25F12" w:rsidRPr="0085642D" w:rsidTr="003630D4">
        <w:tc>
          <w:tcPr>
            <w:tcW w:w="1675" w:type="pct"/>
            <w:tcBorders>
              <w:top w:val="single" w:sz="8" w:space="0" w:color="000000"/>
              <w:left w:val="single" w:sz="8" w:space="0" w:color="000000"/>
              <w:bottom w:val="single" w:sz="8" w:space="0" w:color="000000"/>
              <w:right w:val="single" w:sz="8" w:space="0" w:color="000000"/>
            </w:tcBorders>
            <w:hideMark/>
          </w:tcPr>
          <w:p w:rsidR="00D25F12" w:rsidRPr="0085642D" w:rsidRDefault="00D25F12" w:rsidP="00243EA6">
            <w:pPr>
              <w:suppressAutoHyphens/>
              <w:jc w:val="center"/>
              <w:rPr>
                <w:sz w:val="24"/>
                <w:szCs w:val="24"/>
              </w:rPr>
            </w:pPr>
            <w:r w:rsidRPr="0085642D">
              <w:rPr>
                <w:sz w:val="24"/>
                <w:szCs w:val="24"/>
              </w:rPr>
              <w:t>98,9 % (0,6 %)</w:t>
            </w:r>
          </w:p>
          <w:p w:rsidR="00D25F12" w:rsidRPr="0085642D" w:rsidRDefault="00D25F12" w:rsidP="00243EA6">
            <w:pPr>
              <w:suppressAutoHyphens/>
              <w:jc w:val="center"/>
              <w:rPr>
                <w:sz w:val="24"/>
                <w:szCs w:val="24"/>
              </w:rPr>
            </w:pPr>
            <w:r w:rsidRPr="0085642D">
              <w:rPr>
                <w:sz w:val="24"/>
                <w:szCs w:val="24"/>
              </w:rPr>
              <w:t>[96,8 %, 99,7 %]</w:t>
            </w:r>
          </w:p>
        </w:tc>
        <w:tc>
          <w:tcPr>
            <w:tcW w:w="1658" w:type="pct"/>
            <w:tcBorders>
              <w:top w:val="single" w:sz="8" w:space="0" w:color="000000"/>
              <w:left w:val="single" w:sz="8" w:space="0" w:color="000000"/>
              <w:bottom w:val="single" w:sz="8" w:space="0" w:color="000000"/>
              <w:right w:val="single" w:sz="8" w:space="0" w:color="000000"/>
            </w:tcBorders>
            <w:hideMark/>
          </w:tcPr>
          <w:p w:rsidR="00D25F12" w:rsidRPr="0085642D" w:rsidRDefault="00D25F12" w:rsidP="00243EA6">
            <w:pPr>
              <w:suppressAutoHyphens/>
              <w:jc w:val="center"/>
              <w:rPr>
                <w:sz w:val="24"/>
                <w:szCs w:val="24"/>
              </w:rPr>
            </w:pPr>
            <w:r w:rsidRPr="0085642D">
              <w:rPr>
                <w:sz w:val="24"/>
                <w:szCs w:val="24"/>
              </w:rPr>
              <w:t>98,0 % (1,4 %)</w:t>
            </w:r>
          </w:p>
          <w:p w:rsidR="00D25F12" w:rsidRPr="0085642D" w:rsidRDefault="00D25F12" w:rsidP="00243EA6">
            <w:pPr>
              <w:suppressAutoHyphens/>
              <w:jc w:val="center"/>
              <w:rPr>
                <w:sz w:val="24"/>
                <w:szCs w:val="24"/>
              </w:rPr>
            </w:pPr>
            <w:r w:rsidRPr="0085642D">
              <w:rPr>
                <w:sz w:val="24"/>
                <w:szCs w:val="24"/>
              </w:rPr>
              <w:t>[92,3 %, 99,5 %]</w:t>
            </w:r>
          </w:p>
        </w:tc>
        <w:tc>
          <w:tcPr>
            <w:tcW w:w="1667" w:type="pct"/>
            <w:tcBorders>
              <w:top w:val="single" w:sz="8" w:space="0" w:color="000000"/>
              <w:left w:val="single" w:sz="8" w:space="0" w:color="000000"/>
              <w:bottom w:val="single" w:sz="8" w:space="0" w:color="000000"/>
              <w:right w:val="single" w:sz="8" w:space="0" w:color="000000"/>
            </w:tcBorders>
            <w:hideMark/>
          </w:tcPr>
          <w:p w:rsidR="00D25F12" w:rsidRPr="0085642D" w:rsidRDefault="00D25F12" w:rsidP="00243EA6">
            <w:pPr>
              <w:suppressAutoHyphens/>
              <w:jc w:val="center"/>
              <w:rPr>
                <w:sz w:val="24"/>
                <w:szCs w:val="24"/>
              </w:rPr>
            </w:pPr>
            <w:r w:rsidRPr="0085642D">
              <w:rPr>
                <w:sz w:val="24"/>
                <w:szCs w:val="24"/>
              </w:rPr>
              <w:t>93,4 % (4,5 %)</w:t>
            </w:r>
          </w:p>
          <w:p w:rsidR="00D25F12" w:rsidRPr="0085642D" w:rsidRDefault="00D25F12" w:rsidP="00243EA6">
            <w:pPr>
              <w:suppressAutoHyphens/>
              <w:jc w:val="center"/>
              <w:rPr>
                <w:sz w:val="24"/>
                <w:szCs w:val="24"/>
              </w:rPr>
            </w:pPr>
            <w:r w:rsidRPr="0085642D">
              <w:rPr>
                <w:sz w:val="24"/>
                <w:szCs w:val="24"/>
              </w:rPr>
              <w:t>[76,2 %, 98,3 %]</w:t>
            </w:r>
          </w:p>
        </w:tc>
      </w:tr>
    </w:tbl>
    <w:p w:rsidR="00D25F12" w:rsidRPr="0085642D" w:rsidRDefault="00D25F12" w:rsidP="00D25F12">
      <w:pPr>
        <w:suppressAutoHyphens/>
        <w:rPr>
          <w:sz w:val="24"/>
          <w:szCs w:val="24"/>
          <w:lang w:eastAsia="fr-LU"/>
        </w:rPr>
      </w:pPr>
    </w:p>
    <w:p w:rsidR="00D25F12" w:rsidRPr="0085642D" w:rsidRDefault="00D25F12" w:rsidP="00D25F12">
      <w:pPr>
        <w:suppressAutoHyphens/>
        <w:ind w:left="851"/>
        <w:rPr>
          <w:sz w:val="24"/>
          <w:szCs w:val="24"/>
          <w:lang w:bidi="en-GB"/>
        </w:rPr>
      </w:pPr>
      <w:r w:rsidRPr="0085642D">
        <w:rPr>
          <w:sz w:val="24"/>
          <w:szCs w:val="24"/>
          <w:lang w:bidi="en-GB"/>
        </w:rPr>
        <w:t xml:space="preserve">Der er på nuværende tidspunkt ingen tilgængelige data fra kliniske studier med </w:t>
      </w:r>
      <w:r w:rsidRPr="0085642D">
        <w:rPr>
          <w:sz w:val="24"/>
          <w:szCs w:val="24"/>
        </w:rPr>
        <w:t>efavirenz/emtricitabin/tenofovirdisoproxil</w:t>
      </w:r>
      <w:r w:rsidRPr="0085642D">
        <w:rPr>
          <w:sz w:val="24"/>
          <w:szCs w:val="24"/>
          <w:lang w:bidi="en-GB"/>
        </w:rPr>
        <w:t xml:space="preserve"> til behandlingsnaive patienter eller til patienter, der tidligere har været i massiv behandling. Der er ingen klinisk erfaring med </w:t>
      </w:r>
      <w:r w:rsidRPr="0085642D">
        <w:rPr>
          <w:sz w:val="24"/>
          <w:szCs w:val="24"/>
        </w:rPr>
        <w:t>efavirenz/emtricitabin/tenofovirdisoproxil</w:t>
      </w:r>
      <w:r w:rsidRPr="0085642D">
        <w:rPr>
          <w:sz w:val="24"/>
          <w:szCs w:val="24"/>
          <w:lang w:bidi="en-GB"/>
        </w:rPr>
        <w:t xml:space="preserve"> til patienter, som har oplevet virologisk svigt i et </w:t>
      </w:r>
      <w:r w:rsidRPr="0085642D">
        <w:rPr>
          <w:i/>
          <w:sz w:val="24"/>
          <w:szCs w:val="24"/>
          <w:lang w:bidi="en-GB"/>
        </w:rPr>
        <w:t>first</w:t>
      </w:r>
      <w:r w:rsidRPr="0085642D">
        <w:rPr>
          <w:i/>
          <w:sz w:val="24"/>
          <w:szCs w:val="24"/>
          <w:lang w:bidi="en-GB"/>
        </w:rPr>
        <w:noBreakHyphen/>
        <w:t>line</w:t>
      </w:r>
      <w:r w:rsidRPr="0085642D">
        <w:rPr>
          <w:sz w:val="24"/>
          <w:szCs w:val="24"/>
          <w:lang w:bidi="en-GB"/>
        </w:rPr>
        <w:t xml:space="preserve"> antiretroviralt regime eller i kombination med andre antiretrovirale lægemidler.</w:t>
      </w:r>
    </w:p>
    <w:p w:rsidR="00D25F12" w:rsidRPr="0085642D" w:rsidRDefault="00D25F12" w:rsidP="00D25F12">
      <w:pPr>
        <w:suppressAutoHyphens/>
        <w:ind w:left="851"/>
        <w:rPr>
          <w:sz w:val="24"/>
          <w:szCs w:val="24"/>
          <w:lang w:bidi="en-GB"/>
        </w:rPr>
      </w:pPr>
    </w:p>
    <w:p w:rsidR="00D25F12" w:rsidRPr="0085642D" w:rsidRDefault="00D25F12" w:rsidP="00D25F12">
      <w:pPr>
        <w:suppressAutoHyphens/>
        <w:ind w:left="851"/>
        <w:rPr>
          <w:sz w:val="24"/>
          <w:szCs w:val="24"/>
          <w:lang w:bidi="en-GB"/>
        </w:rPr>
      </w:pPr>
      <w:r w:rsidRPr="0085642D">
        <w:rPr>
          <w:sz w:val="24"/>
          <w:szCs w:val="24"/>
          <w:u w:val="single"/>
          <w:lang w:bidi="en-GB"/>
        </w:rPr>
        <w:t>Patienter som samtidigt er inficerede med hiv og HBV</w:t>
      </w:r>
    </w:p>
    <w:p w:rsidR="00D25F12" w:rsidRPr="0085642D" w:rsidRDefault="00D25F12" w:rsidP="00D25F12">
      <w:pPr>
        <w:suppressAutoHyphens/>
        <w:ind w:left="851"/>
        <w:rPr>
          <w:sz w:val="24"/>
          <w:szCs w:val="24"/>
          <w:lang w:bidi="en-GB"/>
        </w:rPr>
      </w:pPr>
      <w:r w:rsidRPr="0085642D">
        <w:rPr>
          <w:sz w:val="24"/>
          <w:szCs w:val="24"/>
          <w:lang w:bidi="en-GB"/>
        </w:rPr>
        <w:t>Begrænset klinisk erfaring hos patienter, der samtidigt er inficerede med hiv og HBV, tyder på, at behandling med emtricitabin eller tenofovirdisoproxil i antiretroviral kombinationsbehandling til kontrol af hiv</w:t>
      </w:r>
      <w:r w:rsidRPr="0085642D">
        <w:rPr>
          <w:sz w:val="24"/>
          <w:szCs w:val="24"/>
          <w:lang w:bidi="en-GB"/>
        </w:rPr>
        <w:noBreakHyphen/>
        <w:t>infektion også resulterer i reduktion af HBV</w:t>
      </w:r>
      <w:r w:rsidRPr="0085642D">
        <w:rPr>
          <w:sz w:val="24"/>
          <w:szCs w:val="24"/>
          <w:lang w:bidi="en-GB"/>
        </w:rPr>
        <w:noBreakHyphen/>
        <w:t>dna (henholdsvis 3 log</w:t>
      </w:r>
      <w:r w:rsidRPr="0085642D">
        <w:rPr>
          <w:sz w:val="24"/>
          <w:szCs w:val="24"/>
          <w:vertAlign w:val="subscript"/>
          <w:lang w:bidi="en-GB"/>
        </w:rPr>
        <w:t>10</w:t>
      </w:r>
      <w:r w:rsidRPr="0085642D">
        <w:rPr>
          <w:sz w:val="24"/>
          <w:szCs w:val="24"/>
          <w:lang w:bidi="en-GB"/>
        </w:rPr>
        <w:t xml:space="preserve"> reduktion eller 4</w:t>
      </w:r>
      <w:r w:rsidRPr="0085642D">
        <w:rPr>
          <w:sz w:val="24"/>
          <w:szCs w:val="24"/>
          <w:lang w:bidi="en-GB"/>
        </w:rPr>
        <w:noBreakHyphen/>
        <w:t>5 log</w:t>
      </w:r>
      <w:r w:rsidRPr="0085642D">
        <w:rPr>
          <w:sz w:val="24"/>
          <w:szCs w:val="24"/>
          <w:vertAlign w:val="subscript"/>
          <w:lang w:bidi="en-GB"/>
        </w:rPr>
        <w:t>10</w:t>
      </w:r>
      <w:r w:rsidRPr="0085642D">
        <w:rPr>
          <w:sz w:val="24"/>
          <w:szCs w:val="24"/>
          <w:lang w:bidi="en-GB"/>
        </w:rPr>
        <w:t xml:space="preserve"> reduktion) (se pkt. 4.4).</w:t>
      </w:r>
    </w:p>
    <w:p w:rsidR="00D25F12" w:rsidRPr="0085642D" w:rsidRDefault="00D25F12" w:rsidP="00D25F12">
      <w:pPr>
        <w:suppressAutoHyphens/>
        <w:ind w:left="851"/>
        <w:rPr>
          <w:sz w:val="24"/>
          <w:szCs w:val="24"/>
        </w:rPr>
      </w:pPr>
    </w:p>
    <w:p w:rsidR="00D25F12" w:rsidRPr="0085642D" w:rsidRDefault="00D25F12" w:rsidP="00D25F12">
      <w:pPr>
        <w:suppressAutoHyphens/>
        <w:ind w:left="851"/>
        <w:rPr>
          <w:sz w:val="24"/>
          <w:szCs w:val="24"/>
          <w:lang w:bidi="en-GB"/>
        </w:rPr>
      </w:pPr>
      <w:r w:rsidRPr="0085642D">
        <w:rPr>
          <w:sz w:val="24"/>
          <w:szCs w:val="24"/>
          <w:u w:val="single"/>
          <w:lang w:bidi="en-GB"/>
        </w:rPr>
        <w:t>Pædiatrisk population</w:t>
      </w:r>
    </w:p>
    <w:p w:rsidR="00D25F12" w:rsidRPr="0085642D" w:rsidRDefault="00D25F12" w:rsidP="00D25F12">
      <w:pPr>
        <w:suppressAutoHyphens/>
        <w:ind w:left="851"/>
        <w:rPr>
          <w:sz w:val="24"/>
          <w:szCs w:val="24"/>
          <w:lang w:bidi="en-GB"/>
        </w:rPr>
      </w:pPr>
      <w:r w:rsidRPr="0085642D">
        <w:rPr>
          <w:sz w:val="24"/>
          <w:szCs w:val="24"/>
        </w:rPr>
        <w:t>Efavirenz/emtricitabin/tenofovirdisoproxils</w:t>
      </w:r>
      <w:r w:rsidRPr="0085642D">
        <w:rPr>
          <w:sz w:val="24"/>
          <w:szCs w:val="24"/>
          <w:lang w:bidi="en-GB"/>
        </w:rPr>
        <w:t xml:space="preserve"> sikkerhed og virkning hos børn og unge under 18 år er ikke klarlagt.</w:t>
      </w:r>
    </w:p>
    <w:p w:rsidR="00D25F12" w:rsidRPr="0085642D" w:rsidRDefault="00D25F12" w:rsidP="00D25F12">
      <w:pPr>
        <w:tabs>
          <w:tab w:val="left" w:pos="851"/>
        </w:tabs>
        <w:ind w:left="851"/>
        <w:rPr>
          <w:sz w:val="24"/>
          <w:szCs w:val="24"/>
        </w:rPr>
      </w:pPr>
    </w:p>
    <w:p w:rsidR="00D25F12" w:rsidRPr="0085642D" w:rsidRDefault="00D25F12" w:rsidP="00D25F12">
      <w:pPr>
        <w:tabs>
          <w:tab w:val="left" w:pos="851"/>
        </w:tabs>
        <w:ind w:left="851" w:hanging="851"/>
        <w:rPr>
          <w:b/>
          <w:sz w:val="24"/>
          <w:szCs w:val="24"/>
        </w:rPr>
      </w:pPr>
      <w:r w:rsidRPr="0085642D">
        <w:rPr>
          <w:b/>
          <w:sz w:val="24"/>
          <w:szCs w:val="24"/>
        </w:rPr>
        <w:t>5.2</w:t>
      </w:r>
      <w:r w:rsidRPr="0085642D">
        <w:rPr>
          <w:b/>
          <w:sz w:val="24"/>
          <w:szCs w:val="24"/>
        </w:rPr>
        <w:tab/>
        <w:t>Farmakokinetiske egenskaber</w:t>
      </w:r>
    </w:p>
    <w:p w:rsidR="00D25F12" w:rsidRPr="0085642D" w:rsidRDefault="00D25F12" w:rsidP="00D25F12">
      <w:pPr>
        <w:suppressAutoHyphens/>
        <w:ind w:left="851"/>
        <w:rPr>
          <w:sz w:val="24"/>
          <w:szCs w:val="24"/>
          <w:lang w:eastAsia="fr-LU" w:bidi="en-GB"/>
        </w:rPr>
      </w:pPr>
      <w:r w:rsidRPr="0085642D">
        <w:rPr>
          <w:sz w:val="24"/>
          <w:szCs w:val="24"/>
          <w:lang w:bidi="en-GB"/>
        </w:rPr>
        <w:t>De separate farmaceutiske former af efavirenz, emtricitabin og tenofovirdisoproxil blev anvendt til at bestemme farmakokinetikken af efavirenz, emtricitabin og tenofovirdisoproxil, når disse blev givet separat til hiv</w:t>
      </w:r>
      <w:r w:rsidRPr="0085642D">
        <w:rPr>
          <w:sz w:val="24"/>
          <w:szCs w:val="24"/>
          <w:lang w:bidi="en-GB"/>
        </w:rPr>
        <w:noBreakHyphen/>
        <w:t xml:space="preserve">inficerede patienter. Bioækvalensen af en </w:t>
      </w:r>
      <w:r>
        <w:rPr>
          <w:sz w:val="24"/>
          <w:szCs w:val="24"/>
          <w:lang w:bidi="en-GB"/>
        </w:rPr>
        <w:t>filmovertrukket</w:t>
      </w:r>
      <w:r w:rsidRPr="0085642D">
        <w:rPr>
          <w:sz w:val="24"/>
          <w:szCs w:val="24"/>
          <w:lang w:bidi="en-GB"/>
        </w:rPr>
        <w:t xml:space="preserve"> </w:t>
      </w:r>
      <w:r w:rsidRPr="0085642D">
        <w:rPr>
          <w:sz w:val="24"/>
          <w:szCs w:val="24"/>
        </w:rPr>
        <w:t>efavirenz/emtricitabin/tenofovirdisoproxil</w:t>
      </w:r>
      <w:r w:rsidRPr="0085642D">
        <w:rPr>
          <w:sz w:val="24"/>
          <w:szCs w:val="24"/>
          <w:lang w:bidi="en-GB"/>
        </w:rPr>
        <w:noBreakHyphen/>
        <w:t xml:space="preserve">tablet sammen med en </w:t>
      </w:r>
      <w:r w:rsidRPr="0085642D">
        <w:rPr>
          <w:sz w:val="24"/>
          <w:szCs w:val="24"/>
          <w:lang w:bidi="en-GB"/>
        </w:rPr>
        <w:lastRenderedPageBreak/>
        <w:t xml:space="preserve">600 mg </w:t>
      </w:r>
      <w:r>
        <w:rPr>
          <w:sz w:val="24"/>
          <w:szCs w:val="24"/>
          <w:lang w:bidi="en-GB"/>
        </w:rPr>
        <w:t>filmovertrukket</w:t>
      </w:r>
      <w:r w:rsidRPr="0085642D">
        <w:rPr>
          <w:sz w:val="24"/>
          <w:szCs w:val="24"/>
          <w:lang w:bidi="en-GB"/>
        </w:rPr>
        <w:t xml:space="preserve"> efavirenz</w:t>
      </w:r>
      <w:r w:rsidRPr="0085642D">
        <w:rPr>
          <w:sz w:val="24"/>
          <w:szCs w:val="24"/>
          <w:lang w:bidi="en-GB"/>
        </w:rPr>
        <w:noBreakHyphen/>
        <w:t>tablet plus en 200</w:t>
      </w:r>
      <w:r w:rsidRPr="0085642D">
        <w:rPr>
          <w:sz w:val="24"/>
          <w:szCs w:val="24"/>
          <w:lang w:bidi="en-GB"/>
        </w:rPr>
        <w:noBreakHyphen/>
        <w:t xml:space="preserve">mg hård kapsel emtricitabin plus en 245 mg </w:t>
      </w:r>
      <w:r>
        <w:rPr>
          <w:sz w:val="24"/>
          <w:szCs w:val="24"/>
          <w:lang w:bidi="en-GB"/>
        </w:rPr>
        <w:t>filmovertrukket</w:t>
      </w:r>
      <w:r w:rsidRPr="0085642D">
        <w:rPr>
          <w:sz w:val="24"/>
          <w:szCs w:val="24"/>
          <w:lang w:bidi="en-GB"/>
        </w:rPr>
        <w:t xml:space="preserve"> tenofovirdisoproxil</w:t>
      </w:r>
      <w:r w:rsidRPr="0085642D">
        <w:rPr>
          <w:sz w:val="24"/>
          <w:szCs w:val="24"/>
          <w:lang w:bidi="en-GB"/>
        </w:rPr>
        <w:noBreakHyphen/>
        <w:t>tablet (svarende til 300 mg tenofovirdisoproxilfumarat) administreret samtidigt blev etableret efter administration af en enkelt dosis til raske fastende deltagere i studie GS</w:t>
      </w:r>
      <w:r w:rsidRPr="0085642D">
        <w:rPr>
          <w:sz w:val="24"/>
          <w:szCs w:val="24"/>
          <w:lang w:bidi="en-GB"/>
        </w:rPr>
        <w:noBreakHyphen/>
        <w:t>US</w:t>
      </w:r>
      <w:r w:rsidRPr="0085642D">
        <w:rPr>
          <w:sz w:val="24"/>
          <w:szCs w:val="24"/>
          <w:lang w:bidi="en-GB"/>
        </w:rPr>
        <w:noBreakHyphen/>
        <w:t>177</w:t>
      </w:r>
      <w:r w:rsidRPr="0085642D">
        <w:rPr>
          <w:sz w:val="24"/>
          <w:szCs w:val="24"/>
          <w:lang w:bidi="en-GB"/>
        </w:rPr>
        <w:noBreakHyphen/>
        <w:t>0105 (se tabel 6).</w:t>
      </w:r>
    </w:p>
    <w:p w:rsidR="003630D4" w:rsidRDefault="003630D4">
      <w:pPr>
        <w:rPr>
          <w:b/>
          <w:bCs/>
          <w:sz w:val="24"/>
          <w:szCs w:val="24"/>
          <w:lang w:bidi="en-GB"/>
        </w:rPr>
      </w:pPr>
    </w:p>
    <w:p w:rsidR="00D25F12" w:rsidRPr="0085642D" w:rsidRDefault="00D25F12" w:rsidP="00D25F12">
      <w:pPr>
        <w:suppressAutoHyphens/>
        <w:ind w:left="567" w:hanging="567"/>
        <w:rPr>
          <w:b/>
          <w:bCs/>
          <w:sz w:val="24"/>
          <w:szCs w:val="24"/>
          <w:lang w:bidi="en-GB"/>
        </w:rPr>
      </w:pPr>
      <w:r w:rsidRPr="0085642D">
        <w:rPr>
          <w:b/>
          <w:bCs/>
          <w:sz w:val="24"/>
          <w:szCs w:val="24"/>
          <w:lang w:bidi="en-GB"/>
        </w:rPr>
        <w:t>Tabel 6: Oversigt over farmakokinetiske data fra studie GS</w:t>
      </w:r>
      <w:r w:rsidRPr="0085642D">
        <w:rPr>
          <w:b/>
          <w:bCs/>
          <w:sz w:val="24"/>
          <w:szCs w:val="24"/>
          <w:lang w:bidi="en-GB"/>
        </w:rPr>
        <w:noBreakHyphen/>
        <w:t>US</w:t>
      </w:r>
      <w:r w:rsidRPr="0085642D">
        <w:rPr>
          <w:b/>
          <w:bCs/>
          <w:sz w:val="24"/>
          <w:szCs w:val="24"/>
          <w:lang w:bidi="en-GB"/>
        </w:rPr>
        <w:noBreakHyphen/>
        <w:t>177</w:t>
      </w:r>
      <w:r w:rsidRPr="0085642D">
        <w:rPr>
          <w:b/>
          <w:bCs/>
          <w:sz w:val="24"/>
          <w:szCs w:val="24"/>
          <w:lang w:bidi="en-GB"/>
        </w:rPr>
        <w:noBreakHyphen/>
        <w:t>0105</w:t>
      </w:r>
    </w:p>
    <w:p w:rsidR="00D25F12" w:rsidRPr="0085642D" w:rsidRDefault="00D25F12" w:rsidP="00D25F12">
      <w:pPr>
        <w:suppressAutoHyphens/>
        <w:ind w:left="567" w:hanging="567"/>
        <w:rPr>
          <w:sz w:val="24"/>
          <w:szCs w:val="24"/>
        </w:rPr>
      </w:pPr>
    </w:p>
    <w:tbl>
      <w:tblPr>
        <w:tblW w:w="5000" w:type="pct"/>
        <w:jc w:val="center"/>
        <w:tblCellMar>
          <w:left w:w="0" w:type="dxa"/>
          <w:right w:w="0" w:type="dxa"/>
        </w:tblCellMar>
        <w:tblLook w:val="04A0" w:firstRow="1" w:lastRow="0" w:firstColumn="1" w:lastColumn="0" w:noHBand="0" w:noVBand="1"/>
      </w:tblPr>
      <w:tblGrid>
        <w:gridCol w:w="1690"/>
        <w:gridCol w:w="890"/>
        <w:gridCol w:w="951"/>
        <w:gridCol w:w="915"/>
        <w:gridCol w:w="780"/>
        <w:gridCol w:w="951"/>
        <w:gridCol w:w="915"/>
        <w:gridCol w:w="670"/>
        <w:gridCol w:w="951"/>
        <w:gridCol w:w="915"/>
      </w:tblGrid>
      <w:tr w:rsidR="00D25F12" w:rsidRPr="0085642D" w:rsidTr="00243EA6">
        <w:trPr>
          <w:trHeight w:val="20"/>
          <w:tblHeader/>
          <w:jc w:val="center"/>
        </w:trPr>
        <w:tc>
          <w:tcPr>
            <w:tcW w:w="914" w:type="pct"/>
            <w:vMerge w:val="restar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suppressAutoHyphens/>
              <w:ind w:left="567" w:hanging="567"/>
              <w:rPr>
                <w:b/>
                <w:bCs/>
                <w:sz w:val="22"/>
                <w:szCs w:val="22"/>
              </w:rPr>
            </w:pPr>
          </w:p>
          <w:p w:rsidR="00D25F12" w:rsidRPr="0085642D" w:rsidRDefault="00D25F12" w:rsidP="00243EA6">
            <w:pPr>
              <w:suppressAutoHyphens/>
              <w:ind w:left="567" w:hanging="567"/>
              <w:rPr>
                <w:b/>
                <w:bCs/>
                <w:sz w:val="22"/>
                <w:szCs w:val="22"/>
              </w:rPr>
            </w:pPr>
          </w:p>
          <w:p w:rsidR="00D25F12" w:rsidRPr="0085642D" w:rsidRDefault="00D25F12" w:rsidP="00243EA6">
            <w:pPr>
              <w:suppressAutoHyphens/>
              <w:ind w:left="567" w:hanging="567"/>
              <w:jc w:val="center"/>
              <w:rPr>
                <w:sz w:val="22"/>
                <w:szCs w:val="22"/>
              </w:rPr>
            </w:pPr>
            <w:r w:rsidRPr="0085642D">
              <w:rPr>
                <w:b/>
                <w:bCs/>
                <w:sz w:val="22"/>
                <w:szCs w:val="22"/>
              </w:rPr>
              <w:t>Parametre</w:t>
            </w:r>
          </w:p>
        </w:tc>
        <w:tc>
          <w:tcPr>
            <w:tcW w:w="1420" w:type="pct"/>
            <w:gridSpan w:val="3"/>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suppressAutoHyphens/>
              <w:ind w:left="567" w:hanging="567"/>
              <w:jc w:val="center"/>
              <w:rPr>
                <w:b/>
                <w:bCs/>
                <w:sz w:val="22"/>
                <w:szCs w:val="22"/>
              </w:rPr>
            </w:pPr>
            <w:r w:rsidRPr="0085642D">
              <w:rPr>
                <w:b/>
                <w:bCs/>
                <w:sz w:val="22"/>
                <w:szCs w:val="22"/>
              </w:rPr>
              <w:t>Efavirenz</w:t>
            </w:r>
          </w:p>
          <w:p w:rsidR="00D25F12" w:rsidRPr="0085642D" w:rsidRDefault="00D25F12" w:rsidP="00243EA6">
            <w:pPr>
              <w:suppressAutoHyphens/>
              <w:ind w:left="567" w:hanging="567"/>
              <w:jc w:val="center"/>
              <w:rPr>
                <w:sz w:val="22"/>
                <w:szCs w:val="22"/>
              </w:rPr>
            </w:pPr>
            <w:r w:rsidRPr="0085642D">
              <w:rPr>
                <w:b/>
                <w:bCs/>
                <w:sz w:val="22"/>
                <w:szCs w:val="22"/>
              </w:rPr>
              <w:t>(n=45)</w:t>
            </w:r>
          </w:p>
        </w:tc>
        <w:tc>
          <w:tcPr>
            <w:tcW w:w="1357" w:type="pct"/>
            <w:gridSpan w:val="3"/>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suppressAutoHyphens/>
              <w:ind w:left="567" w:hanging="567"/>
              <w:jc w:val="center"/>
              <w:rPr>
                <w:b/>
                <w:bCs/>
                <w:sz w:val="22"/>
                <w:szCs w:val="22"/>
              </w:rPr>
            </w:pPr>
            <w:r w:rsidRPr="0085642D">
              <w:rPr>
                <w:b/>
                <w:bCs/>
                <w:sz w:val="22"/>
                <w:szCs w:val="22"/>
              </w:rPr>
              <w:t>Emtricitabin</w:t>
            </w:r>
          </w:p>
          <w:p w:rsidR="00D25F12" w:rsidRPr="0085642D" w:rsidRDefault="00D25F12" w:rsidP="00243EA6">
            <w:pPr>
              <w:suppressAutoHyphens/>
              <w:ind w:left="567" w:hanging="567"/>
              <w:jc w:val="center"/>
              <w:rPr>
                <w:sz w:val="22"/>
                <w:szCs w:val="22"/>
              </w:rPr>
            </w:pPr>
            <w:r w:rsidRPr="0085642D">
              <w:rPr>
                <w:b/>
                <w:bCs/>
                <w:sz w:val="22"/>
                <w:szCs w:val="22"/>
              </w:rPr>
              <w:t>(n=45)</w:t>
            </w:r>
          </w:p>
        </w:tc>
        <w:tc>
          <w:tcPr>
            <w:tcW w:w="1308" w:type="pct"/>
            <w:gridSpan w:val="3"/>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suppressAutoHyphens/>
              <w:ind w:left="567" w:hanging="567"/>
              <w:jc w:val="center"/>
              <w:rPr>
                <w:b/>
                <w:bCs/>
                <w:sz w:val="22"/>
                <w:szCs w:val="22"/>
              </w:rPr>
            </w:pPr>
            <w:r w:rsidRPr="0085642D">
              <w:rPr>
                <w:b/>
                <w:bCs/>
                <w:sz w:val="22"/>
                <w:szCs w:val="22"/>
              </w:rPr>
              <w:t>Tenofovirdisoproxil</w:t>
            </w:r>
          </w:p>
          <w:p w:rsidR="00D25F12" w:rsidRPr="0085642D" w:rsidRDefault="00D25F12" w:rsidP="00243EA6">
            <w:pPr>
              <w:suppressAutoHyphens/>
              <w:ind w:left="567" w:hanging="567"/>
              <w:jc w:val="center"/>
              <w:rPr>
                <w:sz w:val="22"/>
                <w:szCs w:val="22"/>
              </w:rPr>
            </w:pPr>
            <w:r w:rsidRPr="0085642D">
              <w:rPr>
                <w:b/>
                <w:bCs/>
                <w:sz w:val="22"/>
                <w:szCs w:val="22"/>
              </w:rPr>
              <w:t>(n=45)</w:t>
            </w:r>
          </w:p>
        </w:tc>
      </w:tr>
      <w:tr w:rsidR="00D25F12" w:rsidRPr="0085642D" w:rsidTr="00243EA6">
        <w:trPr>
          <w:trHeight w:val="20"/>
          <w:tblHeader/>
          <w:jc w:val="center"/>
        </w:trPr>
        <w:tc>
          <w:tcPr>
            <w:tcW w:w="914" w:type="pct"/>
            <w:vMerge/>
            <w:tcBorders>
              <w:top w:val="single" w:sz="4" w:space="0" w:color="000000"/>
              <w:left w:val="single" w:sz="4" w:space="0" w:color="000000"/>
              <w:bottom w:val="single" w:sz="4" w:space="0" w:color="000000"/>
              <w:right w:val="single" w:sz="4" w:space="0" w:color="000000"/>
            </w:tcBorders>
            <w:vAlign w:val="center"/>
            <w:hideMark/>
          </w:tcPr>
          <w:p w:rsidR="00D25F12" w:rsidRPr="0085642D" w:rsidRDefault="00D25F12" w:rsidP="00243EA6">
            <w:pPr>
              <w:rPr>
                <w:sz w:val="22"/>
                <w:szCs w:val="22"/>
                <w:lang w:eastAsia="fr-LU"/>
              </w:rPr>
            </w:pPr>
          </w:p>
        </w:tc>
        <w:tc>
          <w:tcPr>
            <w:tcW w:w="456" w:type="pc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suppressAutoHyphens/>
              <w:ind w:left="567" w:hanging="567"/>
              <w:jc w:val="center"/>
              <w:rPr>
                <w:b/>
                <w:bCs/>
                <w:sz w:val="22"/>
                <w:szCs w:val="22"/>
              </w:rPr>
            </w:pPr>
          </w:p>
          <w:p w:rsidR="00D25F12" w:rsidRPr="0085642D" w:rsidRDefault="00D25F12" w:rsidP="00243EA6">
            <w:pPr>
              <w:suppressAutoHyphens/>
              <w:ind w:left="567" w:hanging="567"/>
              <w:jc w:val="center"/>
              <w:rPr>
                <w:sz w:val="22"/>
                <w:szCs w:val="22"/>
              </w:rPr>
            </w:pPr>
            <w:r w:rsidRPr="0085642D">
              <w:rPr>
                <w:b/>
                <w:bCs/>
                <w:sz w:val="22"/>
                <w:szCs w:val="22"/>
              </w:rPr>
              <w:t>Test</w:t>
            </w:r>
          </w:p>
        </w:tc>
        <w:tc>
          <w:tcPr>
            <w:tcW w:w="495" w:type="pc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suppressAutoHyphens/>
              <w:ind w:left="567" w:hanging="567"/>
              <w:jc w:val="center"/>
              <w:rPr>
                <w:b/>
                <w:bCs/>
                <w:sz w:val="22"/>
                <w:szCs w:val="22"/>
              </w:rPr>
            </w:pPr>
          </w:p>
          <w:p w:rsidR="00D25F12" w:rsidRPr="0085642D" w:rsidRDefault="00D25F12" w:rsidP="00243EA6">
            <w:pPr>
              <w:suppressAutoHyphens/>
              <w:ind w:left="567" w:hanging="567"/>
              <w:jc w:val="center"/>
              <w:rPr>
                <w:sz w:val="22"/>
                <w:szCs w:val="22"/>
              </w:rPr>
            </w:pPr>
            <w:r w:rsidRPr="0085642D">
              <w:rPr>
                <w:b/>
                <w:bCs/>
                <w:sz w:val="22"/>
                <w:szCs w:val="22"/>
              </w:rPr>
              <w:t>Reference</w:t>
            </w:r>
          </w:p>
        </w:tc>
        <w:tc>
          <w:tcPr>
            <w:tcW w:w="46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suppressAutoHyphens/>
              <w:ind w:left="567" w:hanging="567"/>
              <w:jc w:val="center"/>
              <w:rPr>
                <w:b/>
                <w:bCs/>
                <w:sz w:val="22"/>
                <w:szCs w:val="22"/>
              </w:rPr>
            </w:pPr>
            <w:proofErr w:type="gramStart"/>
            <w:r w:rsidRPr="0085642D">
              <w:rPr>
                <w:b/>
                <w:bCs/>
                <w:sz w:val="22"/>
                <w:szCs w:val="22"/>
              </w:rPr>
              <w:t>GMR(</w:t>
            </w:r>
            <w:proofErr w:type="gramEnd"/>
            <w:r w:rsidRPr="0085642D">
              <w:rPr>
                <w:b/>
                <w:bCs/>
                <w:sz w:val="22"/>
                <w:szCs w:val="22"/>
              </w:rPr>
              <w:t>%)</w:t>
            </w:r>
          </w:p>
          <w:p w:rsidR="00D25F12" w:rsidRPr="0085642D" w:rsidRDefault="00D25F12" w:rsidP="00243EA6">
            <w:pPr>
              <w:suppressAutoHyphens/>
              <w:ind w:left="567" w:hanging="567"/>
              <w:jc w:val="center"/>
              <w:rPr>
                <w:sz w:val="22"/>
                <w:szCs w:val="22"/>
              </w:rPr>
            </w:pPr>
            <w:r w:rsidRPr="0085642D">
              <w:rPr>
                <w:b/>
                <w:bCs/>
                <w:sz w:val="22"/>
                <w:szCs w:val="22"/>
              </w:rPr>
              <w:t>90 % CI</w:t>
            </w:r>
          </w:p>
        </w:tc>
        <w:tc>
          <w:tcPr>
            <w:tcW w:w="407" w:type="pc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suppressAutoHyphens/>
              <w:ind w:left="567" w:hanging="567"/>
              <w:jc w:val="center"/>
              <w:rPr>
                <w:b/>
                <w:bCs/>
                <w:sz w:val="22"/>
                <w:szCs w:val="22"/>
              </w:rPr>
            </w:pPr>
          </w:p>
          <w:p w:rsidR="00D25F12" w:rsidRPr="0085642D" w:rsidRDefault="00D25F12" w:rsidP="00243EA6">
            <w:pPr>
              <w:suppressAutoHyphens/>
              <w:ind w:left="567" w:hanging="567"/>
              <w:jc w:val="center"/>
              <w:rPr>
                <w:sz w:val="22"/>
                <w:szCs w:val="22"/>
              </w:rPr>
            </w:pPr>
            <w:r w:rsidRPr="0085642D">
              <w:rPr>
                <w:b/>
                <w:bCs/>
                <w:sz w:val="22"/>
                <w:szCs w:val="22"/>
              </w:rPr>
              <w:t>Test</w:t>
            </w:r>
          </w:p>
        </w:tc>
        <w:tc>
          <w:tcPr>
            <w:tcW w:w="479" w:type="pc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suppressAutoHyphens/>
              <w:ind w:left="567" w:hanging="567"/>
              <w:jc w:val="center"/>
              <w:rPr>
                <w:b/>
                <w:bCs/>
                <w:sz w:val="22"/>
                <w:szCs w:val="22"/>
              </w:rPr>
            </w:pPr>
          </w:p>
          <w:p w:rsidR="00D25F12" w:rsidRPr="0085642D" w:rsidRDefault="00D25F12" w:rsidP="00243EA6">
            <w:pPr>
              <w:suppressAutoHyphens/>
              <w:ind w:left="567" w:hanging="567"/>
              <w:jc w:val="center"/>
              <w:rPr>
                <w:sz w:val="22"/>
                <w:szCs w:val="22"/>
              </w:rPr>
            </w:pPr>
            <w:r w:rsidRPr="0085642D">
              <w:rPr>
                <w:b/>
                <w:bCs/>
                <w:sz w:val="22"/>
                <w:szCs w:val="22"/>
              </w:rPr>
              <w:t>Reference</w:t>
            </w:r>
          </w:p>
        </w:tc>
        <w:tc>
          <w:tcPr>
            <w:tcW w:w="471"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suppressAutoHyphens/>
              <w:ind w:left="567" w:hanging="567"/>
              <w:jc w:val="center"/>
              <w:rPr>
                <w:b/>
                <w:bCs/>
                <w:sz w:val="22"/>
                <w:szCs w:val="22"/>
              </w:rPr>
            </w:pPr>
            <w:proofErr w:type="gramStart"/>
            <w:r w:rsidRPr="0085642D">
              <w:rPr>
                <w:b/>
                <w:bCs/>
                <w:sz w:val="22"/>
                <w:szCs w:val="22"/>
              </w:rPr>
              <w:t>GMR(</w:t>
            </w:r>
            <w:proofErr w:type="gramEnd"/>
            <w:r w:rsidRPr="0085642D">
              <w:rPr>
                <w:b/>
                <w:bCs/>
                <w:sz w:val="22"/>
                <w:szCs w:val="22"/>
              </w:rPr>
              <w:t>%)</w:t>
            </w:r>
          </w:p>
          <w:p w:rsidR="00D25F12" w:rsidRPr="0085642D" w:rsidRDefault="00D25F12" w:rsidP="00243EA6">
            <w:pPr>
              <w:suppressAutoHyphens/>
              <w:ind w:left="567" w:hanging="567"/>
              <w:jc w:val="center"/>
              <w:rPr>
                <w:sz w:val="22"/>
                <w:szCs w:val="22"/>
              </w:rPr>
            </w:pPr>
            <w:r w:rsidRPr="0085642D">
              <w:rPr>
                <w:b/>
                <w:bCs/>
                <w:sz w:val="22"/>
                <w:szCs w:val="22"/>
              </w:rPr>
              <w:t>90 % CI</w:t>
            </w:r>
          </w:p>
        </w:tc>
        <w:tc>
          <w:tcPr>
            <w:tcW w:w="357" w:type="pc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suppressAutoHyphens/>
              <w:ind w:left="567" w:hanging="567"/>
              <w:jc w:val="center"/>
              <w:rPr>
                <w:b/>
                <w:bCs/>
                <w:sz w:val="22"/>
                <w:szCs w:val="22"/>
              </w:rPr>
            </w:pPr>
          </w:p>
          <w:p w:rsidR="00D25F12" w:rsidRPr="0085642D" w:rsidRDefault="00D25F12" w:rsidP="00243EA6">
            <w:pPr>
              <w:suppressAutoHyphens/>
              <w:ind w:left="567" w:hanging="567"/>
              <w:jc w:val="center"/>
              <w:rPr>
                <w:sz w:val="22"/>
                <w:szCs w:val="22"/>
              </w:rPr>
            </w:pPr>
            <w:r w:rsidRPr="0085642D">
              <w:rPr>
                <w:b/>
                <w:bCs/>
                <w:sz w:val="22"/>
                <w:szCs w:val="22"/>
              </w:rPr>
              <w:t>Test</w:t>
            </w:r>
          </w:p>
        </w:tc>
        <w:tc>
          <w:tcPr>
            <w:tcW w:w="467" w:type="pc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suppressAutoHyphens/>
              <w:ind w:left="567" w:hanging="567"/>
              <w:jc w:val="center"/>
              <w:rPr>
                <w:b/>
                <w:bCs/>
                <w:sz w:val="22"/>
                <w:szCs w:val="22"/>
              </w:rPr>
            </w:pPr>
          </w:p>
          <w:p w:rsidR="00D25F12" w:rsidRPr="0085642D" w:rsidRDefault="00D25F12" w:rsidP="00243EA6">
            <w:pPr>
              <w:suppressAutoHyphens/>
              <w:ind w:left="567" w:hanging="567"/>
              <w:jc w:val="center"/>
              <w:rPr>
                <w:sz w:val="22"/>
                <w:szCs w:val="22"/>
              </w:rPr>
            </w:pPr>
            <w:r w:rsidRPr="0085642D">
              <w:rPr>
                <w:b/>
                <w:bCs/>
                <w:sz w:val="22"/>
                <w:szCs w:val="22"/>
              </w:rPr>
              <w:t>Reference</w:t>
            </w:r>
          </w:p>
        </w:tc>
        <w:tc>
          <w:tcPr>
            <w:tcW w:w="484"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suppressAutoHyphens/>
              <w:ind w:left="567" w:hanging="567"/>
              <w:jc w:val="center"/>
              <w:rPr>
                <w:b/>
                <w:bCs/>
                <w:sz w:val="22"/>
                <w:szCs w:val="22"/>
              </w:rPr>
            </w:pPr>
            <w:proofErr w:type="gramStart"/>
            <w:r w:rsidRPr="0085642D">
              <w:rPr>
                <w:b/>
                <w:bCs/>
                <w:sz w:val="22"/>
                <w:szCs w:val="22"/>
              </w:rPr>
              <w:t>GMR(</w:t>
            </w:r>
            <w:proofErr w:type="gramEnd"/>
            <w:r w:rsidRPr="0085642D">
              <w:rPr>
                <w:b/>
                <w:bCs/>
                <w:sz w:val="22"/>
                <w:szCs w:val="22"/>
              </w:rPr>
              <w:t>%)</w:t>
            </w:r>
          </w:p>
          <w:p w:rsidR="00D25F12" w:rsidRPr="0085642D" w:rsidRDefault="00D25F12" w:rsidP="00243EA6">
            <w:pPr>
              <w:suppressAutoHyphens/>
              <w:ind w:left="567" w:hanging="567"/>
              <w:jc w:val="center"/>
              <w:rPr>
                <w:sz w:val="22"/>
                <w:szCs w:val="22"/>
              </w:rPr>
            </w:pPr>
            <w:r w:rsidRPr="0085642D">
              <w:rPr>
                <w:b/>
                <w:bCs/>
                <w:sz w:val="22"/>
                <w:szCs w:val="22"/>
              </w:rPr>
              <w:t>90 % CI</w:t>
            </w:r>
          </w:p>
        </w:tc>
      </w:tr>
      <w:tr w:rsidR="00D25F12" w:rsidRPr="0085642D" w:rsidTr="00243EA6">
        <w:trPr>
          <w:trHeight w:val="20"/>
          <w:jc w:val="center"/>
        </w:trPr>
        <w:tc>
          <w:tcPr>
            <w:tcW w:w="914" w:type="pc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suppressAutoHyphens/>
              <w:ind w:left="567" w:hanging="567"/>
              <w:jc w:val="center"/>
              <w:rPr>
                <w:b/>
                <w:bCs/>
                <w:sz w:val="22"/>
                <w:szCs w:val="22"/>
              </w:rPr>
            </w:pPr>
          </w:p>
          <w:p w:rsidR="00D25F12" w:rsidRPr="0085642D" w:rsidRDefault="00D25F12" w:rsidP="00243EA6">
            <w:pPr>
              <w:suppressAutoHyphens/>
              <w:ind w:left="567" w:hanging="567"/>
              <w:jc w:val="center"/>
              <w:rPr>
                <w:b/>
                <w:bCs/>
                <w:sz w:val="22"/>
                <w:szCs w:val="22"/>
              </w:rPr>
            </w:pPr>
            <w:r w:rsidRPr="0085642D">
              <w:rPr>
                <w:b/>
                <w:bCs/>
                <w:sz w:val="22"/>
                <w:szCs w:val="22"/>
              </w:rPr>
              <w:t>C</w:t>
            </w:r>
            <w:r w:rsidRPr="0085642D">
              <w:rPr>
                <w:b/>
                <w:bCs/>
                <w:sz w:val="22"/>
                <w:szCs w:val="22"/>
                <w:vertAlign w:val="subscript"/>
              </w:rPr>
              <w:t>max</w:t>
            </w:r>
            <w:r w:rsidRPr="0085642D">
              <w:rPr>
                <w:b/>
                <w:bCs/>
                <w:sz w:val="22"/>
                <w:szCs w:val="22"/>
              </w:rPr>
              <w:t xml:space="preserve"> </w:t>
            </w:r>
          </w:p>
          <w:p w:rsidR="00D25F12" w:rsidRPr="0085642D" w:rsidRDefault="00D25F12" w:rsidP="00243EA6">
            <w:pPr>
              <w:suppressAutoHyphens/>
              <w:ind w:left="567" w:hanging="567"/>
              <w:jc w:val="center"/>
              <w:rPr>
                <w:sz w:val="22"/>
                <w:szCs w:val="22"/>
              </w:rPr>
            </w:pPr>
            <w:r w:rsidRPr="0085642D">
              <w:rPr>
                <w:b/>
                <w:bCs/>
                <w:sz w:val="22"/>
                <w:szCs w:val="22"/>
              </w:rPr>
              <w:t>(ng/ml)</w:t>
            </w:r>
          </w:p>
        </w:tc>
        <w:tc>
          <w:tcPr>
            <w:tcW w:w="456"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suppressAutoHyphens/>
              <w:ind w:left="567" w:hanging="567"/>
              <w:jc w:val="center"/>
              <w:rPr>
                <w:sz w:val="22"/>
                <w:szCs w:val="22"/>
              </w:rPr>
            </w:pPr>
            <w:r w:rsidRPr="0085642D">
              <w:rPr>
                <w:sz w:val="22"/>
                <w:szCs w:val="22"/>
              </w:rPr>
              <w:t>2.264,3</w:t>
            </w:r>
          </w:p>
          <w:p w:rsidR="00D25F12" w:rsidRPr="0085642D" w:rsidRDefault="00D25F12" w:rsidP="00243EA6">
            <w:pPr>
              <w:suppressAutoHyphens/>
              <w:ind w:left="567" w:hanging="567"/>
              <w:jc w:val="center"/>
              <w:rPr>
                <w:sz w:val="22"/>
                <w:szCs w:val="22"/>
              </w:rPr>
            </w:pPr>
            <w:r w:rsidRPr="0085642D">
              <w:rPr>
                <w:sz w:val="22"/>
                <w:szCs w:val="22"/>
              </w:rPr>
              <w:t>(26,8)</w:t>
            </w:r>
          </w:p>
        </w:tc>
        <w:tc>
          <w:tcPr>
            <w:tcW w:w="495"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suppressAutoHyphens/>
              <w:ind w:left="567" w:hanging="567"/>
              <w:jc w:val="center"/>
              <w:rPr>
                <w:sz w:val="22"/>
                <w:szCs w:val="22"/>
              </w:rPr>
            </w:pPr>
            <w:r w:rsidRPr="0085642D">
              <w:rPr>
                <w:sz w:val="22"/>
                <w:szCs w:val="22"/>
              </w:rPr>
              <w:t>2.308,6</w:t>
            </w:r>
          </w:p>
          <w:p w:rsidR="00D25F12" w:rsidRPr="0085642D" w:rsidRDefault="00D25F12" w:rsidP="00243EA6">
            <w:pPr>
              <w:suppressAutoHyphens/>
              <w:ind w:left="567" w:hanging="567"/>
              <w:jc w:val="center"/>
              <w:rPr>
                <w:sz w:val="22"/>
                <w:szCs w:val="22"/>
              </w:rPr>
            </w:pPr>
            <w:r w:rsidRPr="0085642D">
              <w:rPr>
                <w:sz w:val="22"/>
                <w:szCs w:val="22"/>
              </w:rPr>
              <w:t>(30,3)</w:t>
            </w:r>
          </w:p>
        </w:tc>
        <w:tc>
          <w:tcPr>
            <w:tcW w:w="46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suppressAutoHyphens/>
              <w:ind w:left="567" w:hanging="567"/>
              <w:jc w:val="center"/>
              <w:rPr>
                <w:sz w:val="22"/>
                <w:szCs w:val="22"/>
              </w:rPr>
            </w:pPr>
            <w:r w:rsidRPr="0085642D">
              <w:rPr>
                <w:sz w:val="22"/>
                <w:szCs w:val="22"/>
              </w:rPr>
              <w:t>98,79</w:t>
            </w:r>
          </w:p>
          <w:p w:rsidR="00D25F12" w:rsidRPr="0085642D" w:rsidRDefault="00D25F12" w:rsidP="00243EA6">
            <w:pPr>
              <w:suppressAutoHyphens/>
              <w:ind w:left="567" w:hanging="567"/>
              <w:jc w:val="center"/>
              <w:rPr>
                <w:sz w:val="22"/>
                <w:szCs w:val="22"/>
              </w:rPr>
            </w:pPr>
            <w:r w:rsidRPr="0085642D">
              <w:rPr>
                <w:sz w:val="22"/>
                <w:szCs w:val="22"/>
              </w:rPr>
              <w:t>(92,28;</w:t>
            </w:r>
          </w:p>
          <w:p w:rsidR="00D25F12" w:rsidRPr="0085642D" w:rsidRDefault="00D25F12" w:rsidP="00243EA6">
            <w:pPr>
              <w:suppressAutoHyphens/>
              <w:ind w:left="567" w:hanging="567"/>
              <w:jc w:val="center"/>
              <w:rPr>
                <w:sz w:val="22"/>
                <w:szCs w:val="22"/>
              </w:rPr>
            </w:pPr>
            <w:r w:rsidRPr="0085642D">
              <w:rPr>
                <w:sz w:val="22"/>
                <w:szCs w:val="22"/>
              </w:rPr>
              <w:t>105,76)</w:t>
            </w:r>
          </w:p>
        </w:tc>
        <w:tc>
          <w:tcPr>
            <w:tcW w:w="407"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suppressAutoHyphens/>
              <w:ind w:left="567" w:hanging="567"/>
              <w:jc w:val="center"/>
              <w:rPr>
                <w:sz w:val="22"/>
                <w:szCs w:val="22"/>
              </w:rPr>
            </w:pPr>
            <w:r w:rsidRPr="0085642D">
              <w:rPr>
                <w:sz w:val="22"/>
                <w:szCs w:val="22"/>
              </w:rPr>
              <w:t>2.130,6</w:t>
            </w:r>
          </w:p>
          <w:p w:rsidR="00D25F12" w:rsidRPr="0085642D" w:rsidRDefault="00D25F12" w:rsidP="00243EA6">
            <w:pPr>
              <w:suppressAutoHyphens/>
              <w:ind w:left="567" w:hanging="567"/>
              <w:jc w:val="center"/>
              <w:rPr>
                <w:sz w:val="22"/>
                <w:szCs w:val="22"/>
              </w:rPr>
            </w:pPr>
            <w:r w:rsidRPr="0085642D">
              <w:rPr>
                <w:sz w:val="22"/>
                <w:szCs w:val="22"/>
              </w:rPr>
              <w:t>(25,3)</w:t>
            </w:r>
          </w:p>
        </w:tc>
        <w:tc>
          <w:tcPr>
            <w:tcW w:w="47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suppressAutoHyphens/>
              <w:ind w:left="567" w:hanging="567"/>
              <w:jc w:val="center"/>
              <w:rPr>
                <w:sz w:val="22"/>
                <w:szCs w:val="22"/>
              </w:rPr>
            </w:pPr>
            <w:r w:rsidRPr="0085642D">
              <w:rPr>
                <w:sz w:val="22"/>
                <w:szCs w:val="22"/>
              </w:rPr>
              <w:t>2.384,4</w:t>
            </w:r>
          </w:p>
          <w:p w:rsidR="00D25F12" w:rsidRPr="0085642D" w:rsidRDefault="00D25F12" w:rsidP="00243EA6">
            <w:pPr>
              <w:suppressAutoHyphens/>
              <w:ind w:left="567" w:hanging="567"/>
              <w:jc w:val="center"/>
              <w:rPr>
                <w:sz w:val="22"/>
                <w:szCs w:val="22"/>
              </w:rPr>
            </w:pPr>
            <w:r w:rsidRPr="0085642D">
              <w:rPr>
                <w:sz w:val="22"/>
                <w:szCs w:val="22"/>
              </w:rPr>
              <w:t>(20,4)</w:t>
            </w:r>
          </w:p>
        </w:tc>
        <w:tc>
          <w:tcPr>
            <w:tcW w:w="471"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suppressAutoHyphens/>
              <w:ind w:left="567" w:hanging="567"/>
              <w:jc w:val="center"/>
              <w:rPr>
                <w:sz w:val="22"/>
                <w:szCs w:val="22"/>
              </w:rPr>
            </w:pPr>
            <w:r w:rsidRPr="0085642D">
              <w:rPr>
                <w:sz w:val="22"/>
                <w:szCs w:val="22"/>
              </w:rPr>
              <w:t>88,84</w:t>
            </w:r>
          </w:p>
          <w:p w:rsidR="00D25F12" w:rsidRPr="0085642D" w:rsidRDefault="00D25F12" w:rsidP="00243EA6">
            <w:pPr>
              <w:suppressAutoHyphens/>
              <w:ind w:left="567" w:hanging="567"/>
              <w:jc w:val="center"/>
              <w:rPr>
                <w:sz w:val="22"/>
                <w:szCs w:val="22"/>
              </w:rPr>
            </w:pPr>
            <w:r w:rsidRPr="0085642D">
              <w:rPr>
                <w:sz w:val="22"/>
                <w:szCs w:val="22"/>
              </w:rPr>
              <w:t>(84,02;</w:t>
            </w:r>
          </w:p>
          <w:p w:rsidR="00D25F12" w:rsidRPr="0085642D" w:rsidRDefault="00D25F12" w:rsidP="00243EA6">
            <w:pPr>
              <w:suppressAutoHyphens/>
              <w:ind w:left="567" w:hanging="567"/>
              <w:jc w:val="center"/>
              <w:rPr>
                <w:sz w:val="22"/>
                <w:szCs w:val="22"/>
              </w:rPr>
            </w:pPr>
            <w:r w:rsidRPr="0085642D">
              <w:rPr>
                <w:sz w:val="22"/>
                <w:szCs w:val="22"/>
              </w:rPr>
              <w:t>93,94)</w:t>
            </w:r>
          </w:p>
        </w:tc>
        <w:tc>
          <w:tcPr>
            <w:tcW w:w="357"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suppressAutoHyphens/>
              <w:ind w:left="567" w:hanging="567"/>
              <w:jc w:val="center"/>
              <w:rPr>
                <w:sz w:val="22"/>
                <w:szCs w:val="22"/>
              </w:rPr>
            </w:pPr>
            <w:r w:rsidRPr="0085642D">
              <w:rPr>
                <w:sz w:val="22"/>
                <w:szCs w:val="22"/>
              </w:rPr>
              <w:t>325,1</w:t>
            </w:r>
          </w:p>
          <w:p w:rsidR="00D25F12" w:rsidRPr="0085642D" w:rsidRDefault="00D25F12" w:rsidP="00243EA6">
            <w:pPr>
              <w:suppressAutoHyphens/>
              <w:ind w:left="567" w:hanging="567"/>
              <w:jc w:val="center"/>
              <w:rPr>
                <w:sz w:val="22"/>
                <w:szCs w:val="22"/>
              </w:rPr>
            </w:pPr>
            <w:r w:rsidRPr="0085642D">
              <w:rPr>
                <w:sz w:val="22"/>
                <w:szCs w:val="22"/>
              </w:rPr>
              <w:t>(34,2)</w:t>
            </w:r>
          </w:p>
        </w:tc>
        <w:tc>
          <w:tcPr>
            <w:tcW w:w="467"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suppressAutoHyphens/>
              <w:ind w:left="567" w:hanging="567"/>
              <w:jc w:val="center"/>
              <w:rPr>
                <w:sz w:val="22"/>
                <w:szCs w:val="22"/>
              </w:rPr>
            </w:pPr>
            <w:r w:rsidRPr="0085642D">
              <w:rPr>
                <w:sz w:val="22"/>
                <w:szCs w:val="22"/>
              </w:rPr>
              <w:t>352,9</w:t>
            </w:r>
          </w:p>
          <w:p w:rsidR="00D25F12" w:rsidRPr="0085642D" w:rsidRDefault="00D25F12" w:rsidP="00243EA6">
            <w:pPr>
              <w:suppressAutoHyphens/>
              <w:ind w:left="567" w:hanging="567"/>
              <w:jc w:val="center"/>
              <w:rPr>
                <w:sz w:val="22"/>
                <w:szCs w:val="22"/>
              </w:rPr>
            </w:pPr>
            <w:r w:rsidRPr="0085642D">
              <w:rPr>
                <w:sz w:val="22"/>
                <w:szCs w:val="22"/>
              </w:rPr>
              <w:t>(29,6)</w:t>
            </w:r>
          </w:p>
        </w:tc>
        <w:tc>
          <w:tcPr>
            <w:tcW w:w="484"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suppressAutoHyphens/>
              <w:ind w:left="567" w:hanging="567"/>
              <w:jc w:val="center"/>
              <w:rPr>
                <w:sz w:val="22"/>
                <w:szCs w:val="22"/>
              </w:rPr>
            </w:pPr>
            <w:r w:rsidRPr="0085642D">
              <w:rPr>
                <w:sz w:val="22"/>
                <w:szCs w:val="22"/>
              </w:rPr>
              <w:t>91,46</w:t>
            </w:r>
          </w:p>
          <w:p w:rsidR="00D25F12" w:rsidRPr="0085642D" w:rsidRDefault="00D25F12" w:rsidP="00243EA6">
            <w:pPr>
              <w:suppressAutoHyphens/>
              <w:ind w:left="567" w:hanging="567"/>
              <w:jc w:val="center"/>
              <w:rPr>
                <w:sz w:val="22"/>
                <w:szCs w:val="22"/>
              </w:rPr>
            </w:pPr>
            <w:r w:rsidRPr="0085642D">
              <w:rPr>
                <w:sz w:val="22"/>
                <w:szCs w:val="22"/>
              </w:rPr>
              <w:t>(84,64;</w:t>
            </w:r>
          </w:p>
          <w:p w:rsidR="00D25F12" w:rsidRPr="0085642D" w:rsidRDefault="00D25F12" w:rsidP="00243EA6">
            <w:pPr>
              <w:suppressAutoHyphens/>
              <w:ind w:left="567" w:hanging="567"/>
              <w:jc w:val="center"/>
              <w:rPr>
                <w:sz w:val="22"/>
                <w:szCs w:val="22"/>
              </w:rPr>
            </w:pPr>
            <w:r w:rsidRPr="0085642D">
              <w:rPr>
                <w:sz w:val="22"/>
                <w:szCs w:val="22"/>
              </w:rPr>
              <w:t>98,83)</w:t>
            </w:r>
          </w:p>
        </w:tc>
      </w:tr>
      <w:tr w:rsidR="00D25F12" w:rsidRPr="0085642D" w:rsidTr="00243EA6">
        <w:trPr>
          <w:trHeight w:val="20"/>
          <w:jc w:val="center"/>
        </w:trPr>
        <w:tc>
          <w:tcPr>
            <w:tcW w:w="914"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suppressAutoHyphens/>
              <w:ind w:left="567" w:hanging="567"/>
              <w:jc w:val="center"/>
              <w:rPr>
                <w:b/>
                <w:bCs/>
                <w:sz w:val="22"/>
                <w:szCs w:val="22"/>
              </w:rPr>
            </w:pPr>
            <w:r w:rsidRPr="0085642D">
              <w:rPr>
                <w:b/>
                <w:bCs/>
                <w:sz w:val="22"/>
                <w:szCs w:val="22"/>
              </w:rPr>
              <w:t>AUC</w:t>
            </w:r>
            <w:r w:rsidRPr="0085642D">
              <w:rPr>
                <w:b/>
                <w:bCs/>
                <w:sz w:val="22"/>
                <w:szCs w:val="22"/>
                <w:vertAlign w:val="subscript"/>
              </w:rPr>
              <w:t>0-t</w:t>
            </w:r>
          </w:p>
          <w:p w:rsidR="00D25F12" w:rsidRPr="0085642D" w:rsidRDefault="00D25F12" w:rsidP="00243EA6">
            <w:pPr>
              <w:suppressAutoHyphens/>
              <w:ind w:left="567" w:hanging="567"/>
              <w:jc w:val="center"/>
              <w:rPr>
                <w:sz w:val="22"/>
                <w:szCs w:val="22"/>
              </w:rPr>
            </w:pPr>
            <w:r w:rsidRPr="0085642D">
              <w:rPr>
                <w:b/>
                <w:bCs/>
                <w:sz w:val="22"/>
                <w:szCs w:val="22"/>
              </w:rPr>
              <w:t>(ng∙t/ml)</w:t>
            </w:r>
          </w:p>
        </w:tc>
        <w:tc>
          <w:tcPr>
            <w:tcW w:w="456"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suppressAutoHyphens/>
              <w:ind w:left="567" w:hanging="567"/>
              <w:jc w:val="center"/>
              <w:rPr>
                <w:sz w:val="22"/>
                <w:szCs w:val="22"/>
              </w:rPr>
            </w:pPr>
            <w:r w:rsidRPr="0085642D">
              <w:rPr>
                <w:sz w:val="22"/>
                <w:szCs w:val="22"/>
              </w:rPr>
              <w:t>125.623,6</w:t>
            </w:r>
          </w:p>
          <w:p w:rsidR="00D25F12" w:rsidRPr="0085642D" w:rsidRDefault="00D25F12" w:rsidP="00243EA6">
            <w:pPr>
              <w:suppressAutoHyphens/>
              <w:ind w:left="567" w:hanging="567"/>
              <w:jc w:val="center"/>
              <w:rPr>
                <w:sz w:val="22"/>
                <w:szCs w:val="22"/>
              </w:rPr>
            </w:pPr>
            <w:r w:rsidRPr="0085642D">
              <w:rPr>
                <w:sz w:val="22"/>
                <w:szCs w:val="22"/>
              </w:rPr>
              <w:t>(25,7)</w:t>
            </w:r>
          </w:p>
        </w:tc>
        <w:tc>
          <w:tcPr>
            <w:tcW w:w="495"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suppressAutoHyphens/>
              <w:ind w:left="567" w:hanging="567"/>
              <w:jc w:val="center"/>
              <w:rPr>
                <w:sz w:val="22"/>
                <w:szCs w:val="22"/>
              </w:rPr>
            </w:pPr>
            <w:r w:rsidRPr="0085642D">
              <w:rPr>
                <w:sz w:val="22"/>
                <w:szCs w:val="22"/>
              </w:rPr>
              <w:t>132.795,7</w:t>
            </w:r>
          </w:p>
          <w:p w:rsidR="00D25F12" w:rsidRPr="0085642D" w:rsidRDefault="00D25F12" w:rsidP="00243EA6">
            <w:pPr>
              <w:suppressAutoHyphens/>
              <w:ind w:left="567" w:hanging="567"/>
              <w:jc w:val="center"/>
              <w:rPr>
                <w:sz w:val="22"/>
                <w:szCs w:val="22"/>
              </w:rPr>
            </w:pPr>
            <w:r w:rsidRPr="0085642D">
              <w:rPr>
                <w:sz w:val="22"/>
                <w:szCs w:val="22"/>
              </w:rPr>
              <w:t>(27,0)</w:t>
            </w:r>
          </w:p>
        </w:tc>
        <w:tc>
          <w:tcPr>
            <w:tcW w:w="46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suppressAutoHyphens/>
              <w:ind w:left="567" w:hanging="567"/>
              <w:jc w:val="center"/>
              <w:rPr>
                <w:sz w:val="22"/>
                <w:szCs w:val="22"/>
              </w:rPr>
            </w:pPr>
            <w:r w:rsidRPr="0085642D">
              <w:rPr>
                <w:sz w:val="22"/>
                <w:szCs w:val="22"/>
              </w:rPr>
              <w:t>95,84</w:t>
            </w:r>
          </w:p>
          <w:p w:rsidR="00D25F12" w:rsidRPr="0085642D" w:rsidRDefault="00D25F12" w:rsidP="00243EA6">
            <w:pPr>
              <w:suppressAutoHyphens/>
              <w:ind w:left="567" w:hanging="567"/>
              <w:jc w:val="center"/>
              <w:rPr>
                <w:sz w:val="22"/>
                <w:szCs w:val="22"/>
              </w:rPr>
            </w:pPr>
            <w:r w:rsidRPr="0085642D">
              <w:rPr>
                <w:sz w:val="22"/>
                <w:szCs w:val="22"/>
              </w:rPr>
              <w:t>(90,73;</w:t>
            </w:r>
          </w:p>
          <w:p w:rsidR="00D25F12" w:rsidRPr="0085642D" w:rsidRDefault="00D25F12" w:rsidP="00243EA6">
            <w:pPr>
              <w:suppressAutoHyphens/>
              <w:ind w:left="567" w:hanging="567"/>
              <w:jc w:val="center"/>
              <w:rPr>
                <w:sz w:val="22"/>
                <w:szCs w:val="22"/>
              </w:rPr>
            </w:pPr>
            <w:r w:rsidRPr="0085642D">
              <w:rPr>
                <w:sz w:val="22"/>
                <w:szCs w:val="22"/>
              </w:rPr>
              <w:t>101,23)</w:t>
            </w:r>
          </w:p>
        </w:tc>
        <w:tc>
          <w:tcPr>
            <w:tcW w:w="407"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suppressAutoHyphens/>
              <w:ind w:left="567" w:hanging="567"/>
              <w:jc w:val="center"/>
              <w:rPr>
                <w:sz w:val="22"/>
                <w:szCs w:val="22"/>
              </w:rPr>
            </w:pPr>
            <w:r w:rsidRPr="0085642D">
              <w:rPr>
                <w:sz w:val="22"/>
                <w:szCs w:val="22"/>
              </w:rPr>
              <w:t>10.682,6</w:t>
            </w:r>
          </w:p>
          <w:p w:rsidR="00D25F12" w:rsidRPr="0085642D" w:rsidRDefault="00D25F12" w:rsidP="00243EA6">
            <w:pPr>
              <w:suppressAutoHyphens/>
              <w:ind w:left="567" w:hanging="567"/>
              <w:jc w:val="center"/>
              <w:rPr>
                <w:sz w:val="22"/>
                <w:szCs w:val="22"/>
              </w:rPr>
            </w:pPr>
            <w:r w:rsidRPr="0085642D">
              <w:rPr>
                <w:sz w:val="22"/>
                <w:szCs w:val="22"/>
              </w:rPr>
              <w:t>(18,1)</w:t>
            </w:r>
          </w:p>
        </w:tc>
        <w:tc>
          <w:tcPr>
            <w:tcW w:w="47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suppressAutoHyphens/>
              <w:ind w:left="567" w:hanging="567"/>
              <w:jc w:val="center"/>
              <w:rPr>
                <w:sz w:val="22"/>
                <w:szCs w:val="22"/>
              </w:rPr>
            </w:pPr>
            <w:r w:rsidRPr="0085642D">
              <w:rPr>
                <w:sz w:val="22"/>
                <w:szCs w:val="22"/>
              </w:rPr>
              <w:t>10.874,4</w:t>
            </w:r>
          </w:p>
          <w:p w:rsidR="00D25F12" w:rsidRPr="0085642D" w:rsidRDefault="00D25F12" w:rsidP="00243EA6">
            <w:pPr>
              <w:suppressAutoHyphens/>
              <w:ind w:left="567" w:hanging="567"/>
              <w:jc w:val="center"/>
              <w:rPr>
                <w:sz w:val="22"/>
                <w:szCs w:val="22"/>
              </w:rPr>
            </w:pPr>
            <w:r w:rsidRPr="0085642D">
              <w:rPr>
                <w:sz w:val="22"/>
                <w:szCs w:val="22"/>
              </w:rPr>
              <w:t>(14,9)</w:t>
            </w:r>
          </w:p>
        </w:tc>
        <w:tc>
          <w:tcPr>
            <w:tcW w:w="471"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suppressAutoHyphens/>
              <w:ind w:left="567" w:hanging="567"/>
              <w:jc w:val="center"/>
              <w:rPr>
                <w:sz w:val="22"/>
                <w:szCs w:val="22"/>
              </w:rPr>
            </w:pPr>
            <w:r w:rsidRPr="0085642D">
              <w:rPr>
                <w:sz w:val="22"/>
                <w:szCs w:val="22"/>
              </w:rPr>
              <w:t>97,98</w:t>
            </w:r>
          </w:p>
          <w:p w:rsidR="00D25F12" w:rsidRPr="0085642D" w:rsidRDefault="00D25F12" w:rsidP="00243EA6">
            <w:pPr>
              <w:suppressAutoHyphens/>
              <w:ind w:left="567" w:hanging="567"/>
              <w:jc w:val="center"/>
              <w:rPr>
                <w:sz w:val="22"/>
                <w:szCs w:val="22"/>
              </w:rPr>
            </w:pPr>
            <w:r w:rsidRPr="0085642D">
              <w:rPr>
                <w:sz w:val="22"/>
                <w:szCs w:val="22"/>
              </w:rPr>
              <w:t>(94,90;</w:t>
            </w:r>
          </w:p>
          <w:p w:rsidR="00D25F12" w:rsidRPr="0085642D" w:rsidRDefault="00D25F12" w:rsidP="00243EA6">
            <w:pPr>
              <w:suppressAutoHyphens/>
              <w:ind w:left="567" w:hanging="567"/>
              <w:jc w:val="center"/>
              <w:rPr>
                <w:sz w:val="22"/>
                <w:szCs w:val="22"/>
              </w:rPr>
            </w:pPr>
            <w:r w:rsidRPr="0085642D">
              <w:rPr>
                <w:sz w:val="22"/>
                <w:szCs w:val="22"/>
              </w:rPr>
              <w:t>101,16)</w:t>
            </w:r>
          </w:p>
        </w:tc>
        <w:tc>
          <w:tcPr>
            <w:tcW w:w="357"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suppressAutoHyphens/>
              <w:ind w:left="567" w:hanging="567"/>
              <w:jc w:val="center"/>
              <w:rPr>
                <w:sz w:val="22"/>
                <w:szCs w:val="22"/>
              </w:rPr>
            </w:pPr>
            <w:r w:rsidRPr="0085642D">
              <w:rPr>
                <w:sz w:val="22"/>
                <w:szCs w:val="22"/>
              </w:rPr>
              <w:t>1.948,8</w:t>
            </w:r>
          </w:p>
          <w:p w:rsidR="00D25F12" w:rsidRPr="0085642D" w:rsidRDefault="00D25F12" w:rsidP="00243EA6">
            <w:pPr>
              <w:suppressAutoHyphens/>
              <w:ind w:left="567" w:hanging="567"/>
              <w:jc w:val="center"/>
              <w:rPr>
                <w:sz w:val="22"/>
                <w:szCs w:val="22"/>
              </w:rPr>
            </w:pPr>
            <w:r w:rsidRPr="0085642D">
              <w:rPr>
                <w:sz w:val="22"/>
                <w:szCs w:val="22"/>
              </w:rPr>
              <w:t>(32,9)</w:t>
            </w:r>
          </w:p>
        </w:tc>
        <w:tc>
          <w:tcPr>
            <w:tcW w:w="467"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suppressAutoHyphens/>
              <w:ind w:left="567" w:hanging="567"/>
              <w:jc w:val="center"/>
              <w:rPr>
                <w:sz w:val="22"/>
                <w:szCs w:val="22"/>
              </w:rPr>
            </w:pPr>
            <w:r w:rsidRPr="0085642D">
              <w:rPr>
                <w:sz w:val="22"/>
                <w:szCs w:val="22"/>
              </w:rPr>
              <w:t>1.969,0</w:t>
            </w:r>
          </w:p>
          <w:p w:rsidR="00D25F12" w:rsidRPr="0085642D" w:rsidRDefault="00D25F12" w:rsidP="00243EA6">
            <w:pPr>
              <w:suppressAutoHyphens/>
              <w:ind w:left="567" w:hanging="567"/>
              <w:jc w:val="center"/>
              <w:rPr>
                <w:sz w:val="22"/>
                <w:szCs w:val="22"/>
              </w:rPr>
            </w:pPr>
            <w:r w:rsidRPr="0085642D">
              <w:rPr>
                <w:sz w:val="22"/>
                <w:szCs w:val="22"/>
              </w:rPr>
              <w:t>(32,8)</w:t>
            </w:r>
          </w:p>
        </w:tc>
        <w:tc>
          <w:tcPr>
            <w:tcW w:w="484"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suppressAutoHyphens/>
              <w:ind w:left="567" w:hanging="567"/>
              <w:jc w:val="center"/>
              <w:rPr>
                <w:sz w:val="22"/>
                <w:szCs w:val="22"/>
              </w:rPr>
            </w:pPr>
            <w:r w:rsidRPr="0085642D">
              <w:rPr>
                <w:sz w:val="22"/>
                <w:szCs w:val="22"/>
              </w:rPr>
              <w:t>99,29</w:t>
            </w:r>
          </w:p>
          <w:p w:rsidR="00D25F12" w:rsidRPr="0085642D" w:rsidRDefault="00D25F12" w:rsidP="00243EA6">
            <w:pPr>
              <w:suppressAutoHyphens/>
              <w:ind w:left="567" w:hanging="567"/>
              <w:jc w:val="center"/>
              <w:rPr>
                <w:sz w:val="22"/>
                <w:szCs w:val="22"/>
              </w:rPr>
            </w:pPr>
            <w:r w:rsidRPr="0085642D">
              <w:rPr>
                <w:sz w:val="22"/>
                <w:szCs w:val="22"/>
              </w:rPr>
              <w:t>(91,02;</w:t>
            </w:r>
          </w:p>
          <w:p w:rsidR="00D25F12" w:rsidRPr="0085642D" w:rsidRDefault="00D25F12" w:rsidP="00243EA6">
            <w:pPr>
              <w:suppressAutoHyphens/>
              <w:ind w:left="567" w:hanging="567"/>
              <w:jc w:val="center"/>
              <w:rPr>
                <w:sz w:val="22"/>
                <w:szCs w:val="22"/>
              </w:rPr>
            </w:pPr>
            <w:r w:rsidRPr="0085642D">
              <w:rPr>
                <w:sz w:val="22"/>
                <w:szCs w:val="22"/>
              </w:rPr>
              <w:t>108,32)</w:t>
            </w:r>
          </w:p>
        </w:tc>
      </w:tr>
      <w:tr w:rsidR="00D25F12" w:rsidRPr="0085642D" w:rsidTr="00243EA6">
        <w:trPr>
          <w:trHeight w:val="20"/>
          <w:jc w:val="center"/>
        </w:trPr>
        <w:tc>
          <w:tcPr>
            <w:tcW w:w="914"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suppressAutoHyphens/>
              <w:ind w:left="567" w:hanging="567"/>
              <w:jc w:val="center"/>
              <w:rPr>
                <w:b/>
                <w:bCs/>
                <w:sz w:val="22"/>
                <w:szCs w:val="22"/>
              </w:rPr>
            </w:pPr>
            <w:r w:rsidRPr="0085642D">
              <w:rPr>
                <w:b/>
                <w:bCs/>
                <w:sz w:val="22"/>
                <w:szCs w:val="22"/>
              </w:rPr>
              <w:t>AUC</w:t>
            </w:r>
            <w:r w:rsidRPr="0085642D">
              <w:rPr>
                <w:b/>
                <w:bCs/>
                <w:sz w:val="22"/>
                <w:szCs w:val="22"/>
                <w:vertAlign w:val="subscript"/>
              </w:rPr>
              <w:t>in</w:t>
            </w:r>
          </w:p>
          <w:p w:rsidR="00D25F12" w:rsidRPr="0085642D" w:rsidRDefault="00D25F12" w:rsidP="00243EA6">
            <w:pPr>
              <w:suppressAutoHyphens/>
              <w:ind w:left="567" w:hanging="567"/>
              <w:jc w:val="center"/>
              <w:rPr>
                <w:sz w:val="22"/>
                <w:szCs w:val="22"/>
              </w:rPr>
            </w:pPr>
            <w:r w:rsidRPr="0085642D">
              <w:rPr>
                <w:b/>
                <w:bCs/>
                <w:sz w:val="22"/>
                <w:szCs w:val="22"/>
              </w:rPr>
              <w:t>(ng∙t/ml)</w:t>
            </w:r>
          </w:p>
        </w:tc>
        <w:tc>
          <w:tcPr>
            <w:tcW w:w="456"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suppressAutoHyphens/>
              <w:ind w:left="567" w:hanging="567"/>
              <w:jc w:val="center"/>
              <w:rPr>
                <w:sz w:val="22"/>
                <w:szCs w:val="22"/>
              </w:rPr>
            </w:pPr>
            <w:r w:rsidRPr="0085642D">
              <w:rPr>
                <w:sz w:val="22"/>
                <w:szCs w:val="22"/>
              </w:rPr>
              <w:t>146.074,9</w:t>
            </w:r>
          </w:p>
          <w:p w:rsidR="00D25F12" w:rsidRPr="0085642D" w:rsidRDefault="00D25F12" w:rsidP="00243EA6">
            <w:pPr>
              <w:suppressAutoHyphens/>
              <w:ind w:left="567" w:hanging="567"/>
              <w:jc w:val="center"/>
              <w:rPr>
                <w:sz w:val="22"/>
                <w:szCs w:val="22"/>
              </w:rPr>
            </w:pPr>
            <w:r w:rsidRPr="0085642D">
              <w:rPr>
                <w:sz w:val="22"/>
                <w:szCs w:val="22"/>
              </w:rPr>
              <w:t>(33,1)</w:t>
            </w:r>
          </w:p>
        </w:tc>
        <w:tc>
          <w:tcPr>
            <w:tcW w:w="495"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suppressAutoHyphens/>
              <w:ind w:left="567" w:hanging="567"/>
              <w:jc w:val="center"/>
              <w:rPr>
                <w:sz w:val="22"/>
                <w:szCs w:val="22"/>
              </w:rPr>
            </w:pPr>
            <w:r w:rsidRPr="0085642D">
              <w:rPr>
                <w:sz w:val="22"/>
                <w:szCs w:val="22"/>
              </w:rPr>
              <w:t>155.518,6</w:t>
            </w:r>
          </w:p>
          <w:p w:rsidR="00D25F12" w:rsidRPr="0085642D" w:rsidRDefault="00D25F12" w:rsidP="00243EA6">
            <w:pPr>
              <w:suppressAutoHyphens/>
              <w:ind w:left="567" w:hanging="567"/>
              <w:jc w:val="center"/>
              <w:rPr>
                <w:sz w:val="22"/>
                <w:szCs w:val="22"/>
              </w:rPr>
            </w:pPr>
            <w:r w:rsidRPr="0085642D">
              <w:rPr>
                <w:sz w:val="22"/>
                <w:szCs w:val="22"/>
              </w:rPr>
              <w:t>(34,6)</w:t>
            </w:r>
          </w:p>
        </w:tc>
        <w:tc>
          <w:tcPr>
            <w:tcW w:w="46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suppressAutoHyphens/>
              <w:ind w:left="567" w:hanging="567"/>
              <w:jc w:val="center"/>
              <w:rPr>
                <w:sz w:val="22"/>
                <w:szCs w:val="22"/>
              </w:rPr>
            </w:pPr>
            <w:r w:rsidRPr="0085642D">
              <w:rPr>
                <w:sz w:val="22"/>
                <w:szCs w:val="22"/>
              </w:rPr>
              <w:t>95,87</w:t>
            </w:r>
          </w:p>
          <w:p w:rsidR="00D25F12" w:rsidRPr="0085642D" w:rsidRDefault="00D25F12" w:rsidP="00243EA6">
            <w:pPr>
              <w:suppressAutoHyphens/>
              <w:ind w:left="567" w:hanging="567"/>
              <w:jc w:val="center"/>
              <w:rPr>
                <w:sz w:val="22"/>
                <w:szCs w:val="22"/>
              </w:rPr>
            </w:pPr>
            <w:r w:rsidRPr="0085642D">
              <w:rPr>
                <w:sz w:val="22"/>
                <w:szCs w:val="22"/>
              </w:rPr>
              <w:t>(89,63;</w:t>
            </w:r>
          </w:p>
          <w:p w:rsidR="00D25F12" w:rsidRPr="0085642D" w:rsidRDefault="00D25F12" w:rsidP="00243EA6">
            <w:pPr>
              <w:suppressAutoHyphens/>
              <w:ind w:left="567" w:hanging="567"/>
              <w:jc w:val="center"/>
              <w:rPr>
                <w:sz w:val="22"/>
                <w:szCs w:val="22"/>
              </w:rPr>
            </w:pPr>
            <w:r w:rsidRPr="0085642D">
              <w:rPr>
                <w:sz w:val="22"/>
                <w:szCs w:val="22"/>
              </w:rPr>
              <w:t>102,55)</w:t>
            </w:r>
          </w:p>
        </w:tc>
        <w:tc>
          <w:tcPr>
            <w:tcW w:w="407"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suppressAutoHyphens/>
              <w:ind w:left="567" w:hanging="567"/>
              <w:jc w:val="center"/>
              <w:rPr>
                <w:sz w:val="22"/>
                <w:szCs w:val="22"/>
              </w:rPr>
            </w:pPr>
            <w:r w:rsidRPr="0085642D">
              <w:rPr>
                <w:sz w:val="22"/>
                <w:szCs w:val="22"/>
              </w:rPr>
              <w:t>10.854,9</w:t>
            </w:r>
          </w:p>
          <w:p w:rsidR="00D25F12" w:rsidRPr="0085642D" w:rsidRDefault="00D25F12" w:rsidP="00243EA6">
            <w:pPr>
              <w:suppressAutoHyphens/>
              <w:ind w:left="567" w:hanging="567"/>
              <w:jc w:val="center"/>
              <w:rPr>
                <w:sz w:val="22"/>
                <w:szCs w:val="22"/>
              </w:rPr>
            </w:pPr>
            <w:r w:rsidRPr="0085642D">
              <w:rPr>
                <w:sz w:val="22"/>
                <w:szCs w:val="22"/>
              </w:rPr>
              <w:t>(17,9)</w:t>
            </w:r>
          </w:p>
        </w:tc>
        <w:tc>
          <w:tcPr>
            <w:tcW w:w="479"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suppressAutoHyphens/>
              <w:ind w:left="567" w:hanging="567"/>
              <w:jc w:val="center"/>
              <w:rPr>
                <w:sz w:val="22"/>
                <w:szCs w:val="22"/>
              </w:rPr>
            </w:pPr>
            <w:r w:rsidRPr="0085642D">
              <w:rPr>
                <w:sz w:val="22"/>
                <w:szCs w:val="22"/>
              </w:rPr>
              <w:t>11.054,3</w:t>
            </w:r>
          </w:p>
          <w:p w:rsidR="00D25F12" w:rsidRPr="0085642D" w:rsidRDefault="00D25F12" w:rsidP="00243EA6">
            <w:pPr>
              <w:suppressAutoHyphens/>
              <w:ind w:left="567" w:hanging="567"/>
              <w:jc w:val="center"/>
              <w:rPr>
                <w:sz w:val="22"/>
                <w:szCs w:val="22"/>
              </w:rPr>
            </w:pPr>
            <w:r w:rsidRPr="0085642D">
              <w:rPr>
                <w:sz w:val="22"/>
                <w:szCs w:val="22"/>
              </w:rPr>
              <w:t>(14,9)</w:t>
            </w:r>
          </w:p>
        </w:tc>
        <w:tc>
          <w:tcPr>
            <w:tcW w:w="471"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suppressAutoHyphens/>
              <w:ind w:left="567" w:hanging="567"/>
              <w:jc w:val="center"/>
              <w:rPr>
                <w:sz w:val="22"/>
                <w:szCs w:val="22"/>
              </w:rPr>
            </w:pPr>
            <w:r w:rsidRPr="0085642D">
              <w:rPr>
                <w:sz w:val="22"/>
                <w:szCs w:val="22"/>
              </w:rPr>
              <w:t>97,96</w:t>
            </w:r>
          </w:p>
          <w:p w:rsidR="00D25F12" w:rsidRPr="0085642D" w:rsidRDefault="00D25F12" w:rsidP="00243EA6">
            <w:pPr>
              <w:suppressAutoHyphens/>
              <w:ind w:left="567" w:hanging="567"/>
              <w:jc w:val="center"/>
              <w:rPr>
                <w:sz w:val="22"/>
                <w:szCs w:val="22"/>
              </w:rPr>
            </w:pPr>
            <w:r w:rsidRPr="0085642D">
              <w:rPr>
                <w:sz w:val="22"/>
                <w:szCs w:val="22"/>
              </w:rPr>
              <w:t>(94,86;</w:t>
            </w:r>
          </w:p>
          <w:p w:rsidR="00D25F12" w:rsidRPr="0085642D" w:rsidRDefault="00D25F12" w:rsidP="00243EA6">
            <w:pPr>
              <w:suppressAutoHyphens/>
              <w:ind w:left="567" w:hanging="567"/>
              <w:jc w:val="center"/>
              <w:rPr>
                <w:sz w:val="22"/>
                <w:szCs w:val="22"/>
              </w:rPr>
            </w:pPr>
            <w:r w:rsidRPr="0085642D">
              <w:rPr>
                <w:sz w:val="22"/>
                <w:szCs w:val="22"/>
              </w:rPr>
              <w:t>101,16)</w:t>
            </w:r>
          </w:p>
        </w:tc>
        <w:tc>
          <w:tcPr>
            <w:tcW w:w="357"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suppressAutoHyphens/>
              <w:ind w:left="567" w:hanging="567"/>
              <w:jc w:val="center"/>
              <w:rPr>
                <w:sz w:val="22"/>
                <w:szCs w:val="22"/>
              </w:rPr>
            </w:pPr>
            <w:r w:rsidRPr="0085642D">
              <w:rPr>
                <w:sz w:val="22"/>
                <w:szCs w:val="22"/>
              </w:rPr>
              <w:t>2.314,0</w:t>
            </w:r>
          </w:p>
          <w:p w:rsidR="00D25F12" w:rsidRPr="0085642D" w:rsidRDefault="00D25F12" w:rsidP="00243EA6">
            <w:pPr>
              <w:suppressAutoHyphens/>
              <w:ind w:left="567" w:hanging="567"/>
              <w:jc w:val="center"/>
              <w:rPr>
                <w:sz w:val="22"/>
                <w:szCs w:val="22"/>
              </w:rPr>
            </w:pPr>
            <w:r w:rsidRPr="0085642D">
              <w:rPr>
                <w:sz w:val="22"/>
                <w:szCs w:val="22"/>
              </w:rPr>
              <w:t>(29,2)</w:t>
            </w:r>
          </w:p>
        </w:tc>
        <w:tc>
          <w:tcPr>
            <w:tcW w:w="467"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suppressAutoHyphens/>
              <w:ind w:left="567" w:hanging="567"/>
              <w:jc w:val="center"/>
              <w:rPr>
                <w:sz w:val="22"/>
                <w:szCs w:val="22"/>
              </w:rPr>
            </w:pPr>
            <w:r w:rsidRPr="0085642D">
              <w:rPr>
                <w:sz w:val="22"/>
                <w:szCs w:val="22"/>
              </w:rPr>
              <w:t>2.319,4</w:t>
            </w:r>
          </w:p>
          <w:p w:rsidR="00D25F12" w:rsidRPr="0085642D" w:rsidRDefault="00D25F12" w:rsidP="00243EA6">
            <w:pPr>
              <w:suppressAutoHyphens/>
              <w:ind w:left="567" w:hanging="567"/>
              <w:jc w:val="center"/>
              <w:rPr>
                <w:sz w:val="22"/>
                <w:szCs w:val="22"/>
              </w:rPr>
            </w:pPr>
            <w:r w:rsidRPr="0085642D">
              <w:rPr>
                <w:sz w:val="22"/>
                <w:szCs w:val="22"/>
              </w:rPr>
              <w:t>(30,3)</w:t>
            </w:r>
          </w:p>
        </w:tc>
        <w:tc>
          <w:tcPr>
            <w:tcW w:w="484" w:type="pct"/>
            <w:tcBorders>
              <w:top w:val="single" w:sz="4" w:space="0" w:color="000000"/>
              <w:left w:val="single" w:sz="4" w:space="0" w:color="000000"/>
              <w:bottom w:val="single" w:sz="4" w:space="0" w:color="000000"/>
              <w:right w:val="single" w:sz="4" w:space="0" w:color="000000"/>
            </w:tcBorders>
            <w:hideMark/>
          </w:tcPr>
          <w:p w:rsidR="00D25F12" w:rsidRPr="0085642D" w:rsidRDefault="00D25F12" w:rsidP="00243EA6">
            <w:pPr>
              <w:suppressAutoHyphens/>
              <w:ind w:left="567" w:hanging="567"/>
              <w:jc w:val="center"/>
              <w:rPr>
                <w:sz w:val="22"/>
                <w:szCs w:val="22"/>
              </w:rPr>
            </w:pPr>
            <w:r w:rsidRPr="0085642D">
              <w:rPr>
                <w:sz w:val="22"/>
                <w:szCs w:val="22"/>
              </w:rPr>
              <w:t>100,45</w:t>
            </w:r>
          </w:p>
          <w:p w:rsidR="00D25F12" w:rsidRPr="0085642D" w:rsidRDefault="00D25F12" w:rsidP="00243EA6">
            <w:pPr>
              <w:suppressAutoHyphens/>
              <w:ind w:left="567" w:hanging="567"/>
              <w:jc w:val="center"/>
              <w:rPr>
                <w:sz w:val="22"/>
                <w:szCs w:val="22"/>
              </w:rPr>
            </w:pPr>
            <w:r w:rsidRPr="0085642D">
              <w:rPr>
                <w:sz w:val="22"/>
                <w:szCs w:val="22"/>
              </w:rPr>
              <w:t>(93,22;</w:t>
            </w:r>
          </w:p>
          <w:p w:rsidR="00D25F12" w:rsidRPr="0085642D" w:rsidRDefault="00D25F12" w:rsidP="00243EA6">
            <w:pPr>
              <w:suppressAutoHyphens/>
              <w:ind w:left="567" w:hanging="567"/>
              <w:jc w:val="center"/>
              <w:rPr>
                <w:sz w:val="22"/>
                <w:szCs w:val="22"/>
              </w:rPr>
            </w:pPr>
            <w:r w:rsidRPr="0085642D">
              <w:rPr>
                <w:sz w:val="22"/>
                <w:szCs w:val="22"/>
              </w:rPr>
              <w:t>108,23)</w:t>
            </w:r>
          </w:p>
        </w:tc>
      </w:tr>
      <w:tr w:rsidR="00D25F12" w:rsidRPr="0085642D" w:rsidTr="00243EA6">
        <w:trPr>
          <w:trHeight w:val="20"/>
          <w:jc w:val="center"/>
        </w:trPr>
        <w:tc>
          <w:tcPr>
            <w:tcW w:w="914" w:type="pct"/>
            <w:tcBorders>
              <w:top w:val="single" w:sz="4" w:space="0" w:color="000000"/>
              <w:left w:val="single" w:sz="4" w:space="0" w:color="000000"/>
              <w:bottom w:val="nil"/>
              <w:right w:val="single" w:sz="4" w:space="0" w:color="000000"/>
            </w:tcBorders>
            <w:hideMark/>
          </w:tcPr>
          <w:p w:rsidR="00D25F12" w:rsidRPr="0085642D" w:rsidRDefault="00D25F12" w:rsidP="00243EA6">
            <w:pPr>
              <w:suppressAutoHyphens/>
              <w:ind w:left="567" w:hanging="567"/>
              <w:jc w:val="center"/>
              <w:rPr>
                <w:sz w:val="22"/>
                <w:szCs w:val="22"/>
              </w:rPr>
            </w:pPr>
            <w:r w:rsidRPr="0085642D">
              <w:rPr>
                <w:b/>
                <w:bCs/>
                <w:sz w:val="22"/>
                <w:szCs w:val="22"/>
              </w:rPr>
              <w:t>T</w:t>
            </w:r>
            <w:r w:rsidRPr="0085642D">
              <w:rPr>
                <w:b/>
                <w:bCs/>
                <w:sz w:val="22"/>
                <w:szCs w:val="22"/>
                <w:vertAlign w:val="subscript"/>
              </w:rPr>
              <w:t>1/2</w:t>
            </w:r>
          </w:p>
        </w:tc>
        <w:tc>
          <w:tcPr>
            <w:tcW w:w="456" w:type="pct"/>
            <w:tcBorders>
              <w:top w:val="single" w:sz="4" w:space="0" w:color="000000"/>
              <w:left w:val="single" w:sz="4" w:space="0" w:color="000000"/>
              <w:bottom w:val="nil"/>
              <w:right w:val="single" w:sz="4" w:space="0" w:color="000000"/>
            </w:tcBorders>
            <w:hideMark/>
          </w:tcPr>
          <w:p w:rsidR="00D25F12" w:rsidRPr="0085642D" w:rsidRDefault="00D25F12" w:rsidP="00243EA6">
            <w:pPr>
              <w:suppressAutoHyphens/>
              <w:ind w:left="567" w:hanging="567"/>
              <w:jc w:val="center"/>
              <w:rPr>
                <w:sz w:val="22"/>
                <w:szCs w:val="22"/>
              </w:rPr>
            </w:pPr>
            <w:r w:rsidRPr="0085642D">
              <w:rPr>
                <w:sz w:val="22"/>
                <w:szCs w:val="22"/>
              </w:rPr>
              <w:t>180,6</w:t>
            </w:r>
          </w:p>
        </w:tc>
        <w:tc>
          <w:tcPr>
            <w:tcW w:w="495" w:type="pct"/>
            <w:tcBorders>
              <w:top w:val="single" w:sz="4" w:space="0" w:color="000000"/>
              <w:left w:val="single" w:sz="4" w:space="0" w:color="000000"/>
              <w:bottom w:val="nil"/>
              <w:right w:val="single" w:sz="4" w:space="0" w:color="000000"/>
            </w:tcBorders>
            <w:hideMark/>
          </w:tcPr>
          <w:p w:rsidR="00D25F12" w:rsidRPr="0085642D" w:rsidRDefault="00D25F12" w:rsidP="00243EA6">
            <w:pPr>
              <w:suppressAutoHyphens/>
              <w:ind w:left="567" w:hanging="567"/>
              <w:jc w:val="center"/>
              <w:rPr>
                <w:sz w:val="22"/>
                <w:szCs w:val="22"/>
              </w:rPr>
            </w:pPr>
            <w:r w:rsidRPr="0085642D">
              <w:rPr>
                <w:sz w:val="22"/>
                <w:szCs w:val="22"/>
              </w:rPr>
              <w:t>182,5</w:t>
            </w:r>
          </w:p>
        </w:tc>
        <w:tc>
          <w:tcPr>
            <w:tcW w:w="469" w:type="pct"/>
            <w:vMerge w:val="restar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suppressAutoHyphens/>
              <w:ind w:left="567" w:hanging="567"/>
              <w:jc w:val="center"/>
              <w:rPr>
                <w:sz w:val="22"/>
                <w:szCs w:val="22"/>
              </w:rPr>
            </w:pPr>
          </w:p>
        </w:tc>
        <w:tc>
          <w:tcPr>
            <w:tcW w:w="407" w:type="pct"/>
            <w:tcBorders>
              <w:top w:val="single" w:sz="4" w:space="0" w:color="000000"/>
              <w:left w:val="single" w:sz="4" w:space="0" w:color="000000"/>
              <w:bottom w:val="nil"/>
              <w:right w:val="single" w:sz="4" w:space="0" w:color="000000"/>
            </w:tcBorders>
            <w:hideMark/>
          </w:tcPr>
          <w:p w:rsidR="00D25F12" w:rsidRPr="0085642D" w:rsidRDefault="00D25F12" w:rsidP="00243EA6">
            <w:pPr>
              <w:suppressAutoHyphens/>
              <w:ind w:left="567" w:hanging="567"/>
              <w:jc w:val="center"/>
              <w:rPr>
                <w:sz w:val="22"/>
                <w:szCs w:val="22"/>
              </w:rPr>
            </w:pPr>
            <w:r w:rsidRPr="0085642D">
              <w:rPr>
                <w:sz w:val="22"/>
                <w:szCs w:val="22"/>
              </w:rPr>
              <w:t>14,5</w:t>
            </w:r>
          </w:p>
        </w:tc>
        <w:tc>
          <w:tcPr>
            <w:tcW w:w="479" w:type="pct"/>
            <w:tcBorders>
              <w:top w:val="single" w:sz="4" w:space="0" w:color="000000"/>
              <w:left w:val="single" w:sz="4" w:space="0" w:color="000000"/>
              <w:bottom w:val="nil"/>
              <w:right w:val="single" w:sz="4" w:space="0" w:color="000000"/>
            </w:tcBorders>
            <w:hideMark/>
          </w:tcPr>
          <w:p w:rsidR="00D25F12" w:rsidRPr="0085642D" w:rsidRDefault="00D25F12" w:rsidP="00243EA6">
            <w:pPr>
              <w:suppressAutoHyphens/>
              <w:ind w:left="567" w:hanging="567"/>
              <w:jc w:val="center"/>
              <w:rPr>
                <w:sz w:val="22"/>
                <w:szCs w:val="22"/>
              </w:rPr>
            </w:pPr>
            <w:r w:rsidRPr="0085642D">
              <w:rPr>
                <w:sz w:val="22"/>
                <w:szCs w:val="22"/>
              </w:rPr>
              <w:t>14,6</w:t>
            </w:r>
          </w:p>
        </w:tc>
        <w:tc>
          <w:tcPr>
            <w:tcW w:w="471" w:type="pct"/>
            <w:vMerge w:val="restar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suppressAutoHyphens/>
              <w:ind w:left="567" w:hanging="567"/>
              <w:jc w:val="center"/>
              <w:rPr>
                <w:sz w:val="22"/>
                <w:szCs w:val="22"/>
              </w:rPr>
            </w:pPr>
          </w:p>
        </w:tc>
        <w:tc>
          <w:tcPr>
            <w:tcW w:w="357" w:type="pct"/>
            <w:tcBorders>
              <w:top w:val="single" w:sz="4" w:space="0" w:color="000000"/>
              <w:left w:val="single" w:sz="4" w:space="0" w:color="000000"/>
              <w:bottom w:val="nil"/>
              <w:right w:val="single" w:sz="4" w:space="0" w:color="000000"/>
            </w:tcBorders>
            <w:hideMark/>
          </w:tcPr>
          <w:p w:rsidR="00D25F12" w:rsidRPr="0085642D" w:rsidRDefault="00D25F12" w:rsidP="00243EA6">
            <w:pPr>
              <w:suppressAutoHyphens/>
              <w:ind w:left="567" w:hanging="567"/>
              <w:jc w:val="center"/>
              <w:rPr>
                <w:sz w:val="22"/>
                <w:szCs w:val="22"/>
              </w:rPr>
            </w:pPr>
            <w:r w:rsidRPr="0085642D">
              <w:rPr>
                <w:sz w:val="22"/>
                <w:szCs w:val="22"/>
              </w:rPr>
              <w:t>18,9</w:t>
            </w:r>
          </w:p>
        </w:tc>
        <w:tc>
          <w:tcPr>
            <w:tcW w:w="467" w:type="pct"/>
            <w:tcBorders>
              <w:top w:val="single" w:sz="4" w:space="0" w:color="000000"/>
              <w:left w:val="single" w:sz="4" w:space="0" w:color="000000"/>
              <w:bottom w:val="nil"/>
              <w:right w:val="single" w:sz="4" w:space="0" w:color="000000"/>
            </w:tcBorders>
            <w:hideMark/>
          </w:tcPr>
          <w:p w:rsidR="00D25F12" w:rsidRPr="0085642D" w:rsidRDefault="00D25F12" w:rsidP="00243EA6">
            <w:pPr>
              <w:suppressAutoHyphens/>
              <w:ind w:left="567" w:hanging="567"/>
              <w:jc w:val="center"/>
              <w:rPr>
                <w:sz w:val="22"/>
                <w:szCs w:val="22"/>
              </w:rPr>
            </w:pPr>
            <w:r w:rsidRPr="0085642D">
              <w:rPr>
                <w:sz w:val="22"/>
                <w:szCs w:val="22"/>
              </w:rPr>
              <w:t>17,8</w:t>
            </w:r>
          </w:p>
        </w:tc>
        <w:tc>
          <w:tcPr>
            <w:tcW w:w="484" w:type="pct"/>
            <w:vMerge w:val="restart"/>
            <w:tcBorders>
              <w:top w:val="single" w:sz="4" w:space="0" w:color="000000"/>
              <w:left w:val="single" w:sz="4" w:space="0" w:color="000000"/>
              <w:bottom w:val="single" w:sz="4" w:space="0" w:color="000000"/>
              <w:right w:val="single" w:sz="4" w:space="0" w:color="000000"/>
            </w:tcBorders>
          </w:tcPr>
          <w:p w:rsidR="00D25F12" w:rsidRPr="0085642D" w:rsidRDefault="00D25F12" w:rsidP="00243EA6">
            <w:pPr>
              <w:suppressAutoHyphens/>
              <w:ind w:left="567" w:hanging="567"/>
              <w:jc w:val="center"/>
              <w:rPr>
                <w:sz w:val="22"/>
                <w:szCs w:val="22"/>
              </w:rPr>
            </w:pPr>
          </w:p>
        </w:tc>
      </w:tr>
      <w:tr w:rsidR="00D25F12" w:rsidRPr="0085642D" w:rsidTr="00243EA6">
        <w:trPr>
          <w:trHeight w:val="20"/>
          <w:jc w:val="center"/>
        </w:trPr>
        <w:tc>
          <w:tcPr>
            <w:tcW w:w="914" w:type="pct"/>
            <w:tcBorders>
              <w:top w:val="nil"/>
              <w:left w:val="single" w:sz="4" w:space="0" w:color="000000"/>
              <w:bottom w:val="single" w:sz="4" w:space="0" w:color="000000"/>
              <w:right w:val="single" w:sz="4" w:space="0" w:color="000000"/>
            </w:tcBorders>
            <w:hideMark/>
          </w:tcPr>
          <w:p w:rsidR="00D25F12" w:rsidRPr="0085642D" w:rsidRDefault="00D25F12" w:rsidP="00243EA6">
            <w:pPr>
              <w:suppressAutoHyphens/>
              <w:ind w:left="567" w:hanging="567"/>
              <w:jc w:val="center"/>
              <w:rPr>
                <w:sz w:val="22"/>
                <w:szCs w:val="22"/>
              </w:rPr>
            </w:pPr>
            <w:r w:rsidRPr="0085642D">
              <w:rPr>
                <w:b/>
                <w:bCs/>
                <w:sz w:val="22"/>
                <w:szCs w:val="22"/>
              </w:rPr>
              <w:t>(t)</w:t>
            </w:r>
          </w:p>
        </w:tc>
        <w:tc>
          <w:tcPr>
            <w:tcW w:w="456" w:type="pct"/>
            <w:tcBorders>
              <w:top w:val="nil"/>
              <w:left w:val="single" w:sz="4" w:space="0" w:color="000000"/>
              <w:bottom w:val="single" w:sz="4" w:space="0" w:color="000000"/>
              <w:right w:val="single" w:sz="4" w:space="0" w:color="000000"/>
            </w:tcBorders>
            <w:hideMark/>
          </w:tcPr>
          <w:p w:rsidR="00D25F12" w:rsidRPr="0085642D" w:rsidRDefault="00D25F12" w:rsidP="00243EA6">
            <w:pPr>
              <w:suppressAutoHyphens/>
              <w:ind w:left="567" w:hanging="567"/>
              <w:jc w:val="center"/>
              <w:rPr>
                <w:sz w:val="22"/>
                <w:szCs w:val="22"/>
              </w:rPr>
            </w:pPr>
            <w:r w:rsidRPr="0085642D">
              <w:rPr>
                <w:sz w:val="22"/>
                <w:szCs w:val="22"/>
              </w:rPr>
              <w:t>(45,3)</w:t>
            </w:r>
          </w:p>
        </w:tc>
        <w:tc>
          <w:tcPr>
            <w:tcW w:w="495" w:type="pct"/>
            <w:tcBorders>
              <w:top w:val="nil"/>
              <w:left w:val="single" w:sz="4" w:space="0" w:color="000000"/>
              <w:bottom w:val="single" w:sz="4" w:space="0" w:color="000000"/>
              <w:right w:val="single" w:sz="4" w:space="0" w:color="000000"/>
            </w:tcBorders>
            <w:hideMark/>
          </w:tcPr>
          <w:p w:rsidR="00D25F12" w:rsidRPr="0085642D" w:rsidRDefault="00D25F12" w:rsidP="00243EA6">
            <w:pPr>
              <w:suppressAutoHyphens/>
              <w:ind w:left="567" w:hanging="567"/>
              <w:jc w:val="center"/>
              <w:rPr>
                <w:sz w:val="22"/>
                <w:szCs w:val="22"/>
              </w:rPr>
            </w:pPr>
            <w:r w:rsidRPr="0085642D">
              <w:rPr>
                <w:sz w:val="22"/>
                <w:szCs w:val="22"/>
              </w:rPr>
              <w:t>(38,3)</w:t>
            </w:r>
          </w:p>
        </w:tc>
        <w:tc>
          <w:tcPr>
            <w:tcW w:w="469" w:type="pct"/>
            <w:vMerge/>
            <w:tcBorders>
              <w:top w:val="single" w:sz="4" w:space="0" w:color="000000"/>
              <w:left w:val="single" w:sz="4" w:space="0" w:color="000000"/>
              <w:bottom w:val="single" w:sz="4" w:space="0" w:color="000000"/>
              <w:right w:val="single" w:sz="4" w:space="0" w:color="000000"/>
            </w:tcBorders>
            <w:vAlign w:val="center"/>
            <w:hideMark/>
          </w:tcPr>
          <w:p w:rsidR="00D25F12" w:rsidRPr="0085642D" w:rsidRDefault="00D25F12" w:rsidP="00243EA6">
            <w:pPr>
              <w:rPr>
                <w:sz w:val="22"/>
                <w:szCs w:val="22"/>
                <w:lang w:eastAsia="fr-LU"/>
              </w:rPr>
            </w:pPr>
          </w:p>
        </w:tc>
        <w:tc>
          <w:tcPr>
            <w:tcW w:w="407" w:type="pct"/>
            <w:tcBorders>
              <w:top w:val="nil"/>
              <w:left w:val="single" w:sz="4" w:space="0" w:color="000000"/>
              <w:bottom w:val="single" w:sz="4" w:space="0" w:color="000000"/>
              <w:right w:val="single" w:sz="4" w:space="0" w:color="000000"/>
            </w:tcBorders>
            <w:hideMark/>
          </w:tcPr>
          <w:p w:rsidR="00D25F12" w:rsidRPr="0085642D" w:rsidRDefault="00D25F12" w:rsidP="00243EA6">
            <w:pPr>
              <w:suppressAutoHyphens/>
              <w:ind w:left="567" w:hanging="567"/>
              <w:jc w:val="center"/>
              <w:rPr>
                <w:sz w:val="22"/>
                <w:szCs w:val="22"/>
              </w:rPr>
            </w:pPr>
            <w:r w:rsidRPr="0085642D">
              <w:rPr>
                <w:sz w:val="22"/>
                <w:szCs w:val="22"/>
              </w:rPr>
              <w:t>(53,8)</w:t>
            </w:r>
          </w:p>
        </w:tc>
        <w:tc>
          <w:tcPr>
            <w:tcW w:w="479" w:type="pct"/>
            <w:tcBorders>
              <w:top w:val="nil"/>
              <w:left w:val="single" w:sz="4" w:space="0" w:color="000000"/>
              <w:bottom w:val="single" w:sz="4" w:space="0" w:color="000000"/>
              <w:right w:val="single" w:sz="4" w:space="0" w:color="000000"/>
            </w:tcBorders>
            <w:hideMark/>
          </w:tcPr>
          <w:p w:rsidR="00D25F12" w:rsidRPr="0085642D" w:rsidRDefault="00D25F12" w:rsidP="00243EA6">
            <w:pPr>
              <w:suppressAutoHyphens/>
              <w:ind w:left="567" w:hanging="567"/>
              <w:jc w:val="center"/>
              <w:rPr>
                <w:sz w:val="22"/>
                <w:szCs w:val="22"/>
              </w:rPr>
            </w:pPr>
            <w:r w:rsidRPr="0085642D">
              <w:rPr>
                <w:sz w:val="22"/>
                <w:szCs w:val="22"/>
              </w:rPr>
              <w:t>(47,8)</w:t>
            </w:r>
          </w:p>
        </w:tc>
        <w:tc>
          <w:tcPr>
            <w:tcW w:w="471" w:type="pct"/>
            <w:vMerge/>
            <w:tcBorders>
              <w:top w:val="single" w:sz="4" w:space="0" w:color="000000"/>
              <w:left w:val="single" w:sz="4" w:space="0" w:color="000000"/>
              <w:bottom w:val="single" w:sz="4" w:space="0" w:color="000000"/>
              <w:right w:val="single" w:sz="4" w:space="0" w:color="000000"/>
            </w:tcBorders>
            <w:vAlign w:val="center"/>
            <w:hideMark/>
          </w:tcPr>
          <w:p w:rsidR="00D25F12" w:rsidRPr="0085642D" w:rsidRDefault="00D25F12" w:rsidP="00243EA6">
            <w:pPr>
              <w:rPr>
                <w:sz w:val="22"/>
                <w:szCs w:val="22"/>
                <w:lang w:eastAsia="fr-LU"/>
              </w:rPr>
            </w:pPr>
          </w:p>
        </w:tc>
        <w:tc>
          <w:tcPr>
            <w:tcW w:w="357" w:type="pct"/>
            <w:tcBorders>
              <w:top w:val="nil"/>
              <w:left w:val="single" w:sz="4" w:space="0" w:color="000000"/>
              <w:bottom w:val="single" w:sz="4" w:space="0" w:color="000000"/>
              <w:right w:val="single" w:sz="4" w:space="0" w:color="000000"/>
            </w:tcBorders>
            <w:hideMark/>
          </w:tcPr>
          <w:p w:rsidR="00D25F12" w:rsidRPr="0085642D" w:rsidRDefault="00D25F12" w:rsidP="00243EA6">
            <w:pPr>
              <w:suppressAutoHyphens/>
              <w:ind w:left="567" w:hanging="567"/>
              <w:jc w:val="center"/>
              <w:rPr>
                <w:sz w:val="22"/>
                <w:szCs w:val="22"/>
              </w:rPr>
            </w:pPr>
            <w:r w:rsidRPr="0085642D">
              <w:rPr>
                <w:sz w:val="22"/>
                <w:szCs w:val="22"/>
              </w:rPr>
              <w:t>(20,8)</w:t>
            </w:r>
          </w:p>
        </w:tc>
        <w:tc>
          <w:tcPr>
            <w:tcW w:w="467" w:type="pct"/>
            <w:tcBorders>
              <w:top w:val="nil"/>
              <w:left w:val="single" w:sz="4" w:space="0" w:color="000000"/>
              <w:bottom w:val="single" w:sz="4" w:space="0" w:color="000000"/>
              <w:right w:val="single" w:sz="4" w:space="0" w:color="000000"/>
            </w:tcBorders>
            <w:hideMark/>
          </w:tcPr>
          <w:p w:rsidR="00D25F12" w:rsidRPr="0085642D" w:rsidRDefault="00D25F12" w:rsidP="00243EA6">
            <w:pPr>
              <w:suppressAutoHyphens/>
              <w:ind w:left="567" w:hanging="567"/>
              <w:jc w:val="center"/>
              <w:rPr>
                <w:sz w:val="22"/>
                <w:szCs w:val="22"/>
              </w:rPr>
            </w:pPr>
            <w:r w:rsidRPr="0085642D">
              <w:rPr>
                <w:sz w:val="22"/>
                <w:szCs w:val="22"/>
              </w:rPr>
              <w:t>(22,6)</w:t>
            </w:r>
          </w:p>
        </w:tc>
        <w:tc>
          <w:tcPr>
            <w:tcW w:w="484" w:type="pct"/>
            <w:vMerge/>
            <w:tcBorders>
              <w:top w:val="single" w:sz="4" w:space="0" w:color="000000"/>
              <w:left w:val="single" w:sz="4" w:space="0" w:color="000000"/>
              <w:bottom w:val="single" w:sz="4" w:space="0" w:color="000000"/>
              <w:right w:val="single" w:sz="4" w:space="0" w:color="000000"/>
            </w:tcBorders>
            <w:vAlign w:val="center"/>
            <w:hideMark/>
          </w:tcPr>
          <w:p w:rsidR="00D25F12" w:rsidRPr="0085642D" w:rsidRDefault="00D25F12" w:rsidP="00243EA6">
            <w:pPr>
              <w:rPr>
                <w:sz w:val="22"/>
                <w:szCs w:val="22"/>
                <w:lang w:eastAsia="fr-LU"/>
              </w:rPr>
            </w:pPr>
          </w:p>
        </w:tc>
      </w:tr>
    </w:tbl>
    <w:p w:rsidR="00D25F12" w:rsidRPr="0085642D" w:rsidRDefault="00D25F12" w:rsidP="00D25F12">
      <w:pPr>
        <w:suppressAutoHyphens/>
        <w:rPr>
          <w:sz w:val="24"/>
          <w:szCs w:val="24"/>
          <w:lang w:eastAsia="fr-LU" w:bidi="en-GB"/>
        </w:rPr>
      </w:pPr>
      <w:r w:rsidRPr="0085642D">
        <w:rPr>
          <w:sz w:val="24"/>
          <w:szCs w:val="24"/>
          <w:lang w:bidi="en-GB"/>
        </w:rPr>
        <w:t>Test: Enkelt fastdosis</w:t>
      </w:r>
      <w:r w:rsidRPr="0085642D">
        <w:rPr>
          <w:sz w:val="24"/>
          <w:szCs w:val="24"/>
          <w:lang w:bidi="en-GB"/>
        </w:rPr>
        <w:noBreakHyphen/>
        <w:t>kombinationstablet taget under faste.</w:t>
      </w:r>
    </w:p>
    <w:p w:rsidR="00D25F12" w:rsidRPr="0085642D" w:rsidRDefault="00D25F12" w:rsidP="00D25F12">
      <w:pPr>
        <w:suppressAutoHyphens/>
        <w:rPr>
          <w:sz w:val="24"/>
          <w:szCs w:val="24"/>
          <w:lang w:bidi="en-GB"/>
        </w:rPr>
      </w:pPr>
      <w:r w:rsidRPr="0085642D">
        <w:rPr>
          <w:sz w:val="24"/>
          <w:szCs w:val="24"/>
          <w:lang w:bidi="en-GB"/>
        </w:rPr>
        <w:t>Reference: Enkeltdosis 600 mg efavirenztablet, 200 mg emtricitabinkapsel og 300 mg tenofovirdisoproxiltablet taget under faste.</w:t>
      </w:r>
    </w:p>
    <w:p w:rsidR="00D25F12" w:rsidRPr="0085642D" w:rsidRDefault="00D25F12" w:rsidP="00D25F12">
      <w:pPr>
        <w:suppressAutoHyphens/>
        <w:rPr>
          <w:sz w:val="24"/>
          <w:szCs w:val="24"/>
          <w:lang w:bidi="en-GB"/>
        </w:rPr>
      </w:pPr>
      <w:r w:rsidRPr="0085642D">
        <w:rPr>
          <w:sz w:val="24"/>
          <w:szCs w:val="24"/>
          <w:lang w:bidi="en-GB"/>
        </w:rPr>
        <w:t>Værdierne for Test og Reference er gennemsnitlige (% variationskoefficient)</w:t>
      </w:r>
    </w:p>
    <w:p w:rsidR="00D25F12" w:rsidRPr="0085642D" w:rsidRDefault="00D25F12" w:rsidP="00D25F12">
      <w:pPr>
        <w:suppressAutoHyphens/>
        <w:rPr>
          <w:sz w:val="24"/>
          <w:szCs w:val="24"/>
          <w:lang w:bidi="en-GB"/>
        </w:rPr>
      </w:pPr>
      <w:r w:rsidRPr="0085642D">
        <w:rPr>
          <w:sz w:val="24"/>
          <w:szCs w:val="24"/>
          <w:lang w:bidi="en-GB"/>
        </w:rPr>
        <w:t>GMR: Ratio af middelværdi fundet ved Geometriske mindste kvadraters metode, CI=konfidensinterval</w:t>
      </w:r>
    </w:p>
    <w:p w:rsidR="00D25F12" w:rsidRPr="0085642D" w:rsidRDefault="00D25F12" w:rsidP="00D25F12">
      <w:pPr>
        <w:suppressAutoHyphens/>
        <w:ind w:left="567" w:hanging="567"/>
        <w:rPr>
          <w:sz w:val="24"/>
          <w:szCs w:val="24"/>
          <w:lang w:bidi="en-GB"/>
        </w:rPr>
      </w:pPr>
    </w:p>
    <w:p w:rsidR="00D25F12" w:rsidRPr="0085642D" w:rsidRDefault="00D25F12" w:rsidP="00D25F12">
      <w:pPr>
        <w:suppressAutoHyphens/>
        <w:ind w:left="851"/>
        <w:rPr>
          <w:sz w:val="24"/>
          <w:szCs w:val="24"/>
          <w:lang w:bidi="en-GB"/>
        </w:rPr>
      </w:pPr>
      <w:r w:rsidRPr="0085642D">
        <w:rPr>
          <w:sz w:val="24"/>
          <w:szCs w:val="24"/>
          <w:u w:val="single"/>
          <w:lang w:bidi="en-GB"/>
        </w:rPr>
        <w:t>Absorption</w:t>
      </w:r>
    </w:p>
    <w:p w:rsidR="00D25F12" w:rsidRPr="0085642D" w:rsidRDefault="00D25F12" w:rsidP="00D25F12">
      <w:pPr>
        <w:suppressAutoHyphens/>
        <w:ind w:left="851"/>
        <w:rPr>
          <w:sz w:val="24"/>
          <w:szCs w:val="24"/>
          <w:lang w:bidi="en-GB"/>
        </w:rPr>
      </w:pPr>
      <w:r w:rsidRPr="0085642D">
        <w:rPr>
          <w:sz w:val="24"/>
          <w:szCs w:val="24"/>
          <w:lang w:bidi="en-GB"/>
        </w:rPr>
        <w:t>De højeste efavirenz</w:t>
      </w:r>
      <w:r w:rsidRPr="0085642D">
        <w:rPr>
          <w:sz w:val="24"/>
          <w:szCs w:val="24"/>
          <w:lang w:bidi="en-GB"/>
        </w:rPr>
        <w:noBreakHyphen/>
        <w:t>plasmakoncentrationer hos hiv</w:t>
      </w:r>
      <w:r w:rsidRPr="0085642D">
        <w:rPr>
          <w:sz w:val="24"/>
          <w:szCs w:val="24"/>
          <w:lang w:bidi="en-GB"/>
        </w:rPr>
        <w:noBreakHyphen/>
        <w:t xml:space="preserve">inficerede patienter blev opnået efter 5 timer og </w:t>
      </w:r>
      <w:r w:rsidRPr="0085642D">
        <w:rPr>
          <w:i/>
          <w:sz w:val="24"/>
          <w:szCs w:val="24"/>
          <w:lang w:bidi="en-GB"/>
        </w:rPr>
        <w:t>steady</w:t>
      </w:r>
      <w:r w:rsidRPr="0085642D">
        <w:rPr>
          <w:i/>
          <w:sz w:val="24"/>
          <w:szCs w:val="24"/>
          <w:lang w:bidi="en-GB"/>
        </w:rPr>
        <w:noBreakHyphen/>
        <w:t>state</w:t>
      </w:r>
      <w:r w:rsidRPr="0085642D">
        <w:rPr>
          <w:sz w:val="24"/>
          <w:szCs w:val="24"/>
          <w:lang w:bidi="en-GB"/>
        </w:rPr>
        <w:t>-koncentrationerne blev nået på 6</w:t>
      </w:r>
      <w:r w:rsidRPr="0085642D">
        <w:rPr>
          <w:sz w:val="24"/>
          <w:szCs w:val="24"/>
          <w:lang w:bidi="en-GB"/>
        </w:rPr>
        <w:noBreakHyphen/>
        <w:t xml:space="preserve">7 dage. Hos 35 patienter, der fik 600 mg efavirenz en gang dagligt, var den højeste </w:t>
      </w:r>
      <w:r w:rsidRPr="0085642D">
        <w:rPr>
          <w:i/>
          <w:sz w:val="24"/>
          <w:szCs w:val="24"/>
          <w:lang w:bidi="en-GB"/>
        </w:rPr>
        <w:t>steady</w:t>
      </w:r>
      <w:r w:rsidRPr="0085642D">
        <w:rPr>
          <w:i/>
          <w:sz w:val="24"/>
          <w:szCs w:val="24"/>
          <w:lang w:bidi="en-GB"/>
        </w:rPr>
        <w:noBreakHyphen/>
        <w:t>state</w:t>
      </w:r>
      <w:r w:rsidRPr="0085642D">
        <w:rPr>
          <w:sz w:val="24"/>
          <w:szCs w:val="24"/>
          <w:lang w:bidi="en-GB"/>
        </w:rPr>
        <w:noBreakHyphen/>
        <w:t>koncentration (C</w:t>
      </w:r>
      <w:r w:rsidRPr="0085642D">
        <w:rPr>
          <w:sz w:val="24"/>
          <w:szCs w:val="24"/>
          <w:vertAlign w:val="subscript"/>
          <w:lang w:bidi="en-GB"/>
        </w:rPr>
        <w:t>max</w:t>
      </w:r>
      <w:r w:rsidRPr="0085642D">
        <w:rPr>
          <w:sz w:val="24"/>
          <w:szCs w:val="24"/>
          <w:lang w:bidi="en-GB"/>
        </w:rPr>
        <w:t xml:space="preserve">) 12,9 ± 3,7 µM (29 %) [middel ± standarddeviation (S.D.) (variationskoefficient (%CV))], </w:t>
      </w:r>
      <w:r w:rsidRPr="0085642D">
        <w:rPr>
          <w:i/>
          <w:sz w:val="24"/>
          <w:szCs w:val="24"/>
          <w:lang w:bidi="en-GB"/>
        </w:rPr>
        <w:t>steady</w:t>
      </w:r>
      <w:r w:rsidRPr="0085642D">
        <w:rPr>
          <w:i/>
          <w:sz w:val="24"/>
          <w:szCs w:val="24"/>
          <w:lang w:bidi="en-GB"/>
        </w:rPr>
        <w:noBreakHyphen/>
        <w:t xml:space="preserve">state </w:t>
      </w:r>
      <w:r w:rsidRPr="0085642D">
        <w:rPr>
          <w:sz w:val="24"/>
          <w:szCs w:val="24"/>
          <w:lang w:bidi="en-GB"/>
        </w:rPr>
        <w:t>C</w:t>
      </w:r>
      <w:r w:rsidRPr="0085642D">
        <w:rPr>
          <w:sz w:val="24"/>
          <w:szCs w:val="24"/>
          <w:vertAlign w:val="subscript"/>
          <w:lang w:bidi="en-GB"/>
        </w:rPr>
        <w:t>min</w:t>
      </w:r>
      <w:r w:rsidRPr="0085642D">
        <w:rPr>
          <w:sz w:val="24"/>
          <w:szCs w:val="24"/>
          <w:lang w:bidi="en-GB"/>
        </w:rPr>
        <w:t xml:space="preserve"> var 5,6 ± 3,2 µM (57 %) og AUC var 184 ± 73 µM·t (40 %).</w:t>
      </w:r>
    </w:p>
    <w:p w:rsidR="00D25F12" w:rsidRPr="0085642D" w:rsidRDefault="00D25F12" w:rsidP="00D25F12">
      <w:pPr>
        <w:suppressAutoHyphens/>
        <w:ind w:left="851"/>
        <w:rPr>
          <w:sz w:val="24"/>
          <w:szCs w:val="24"/>
          <w:lang w:bidi="en-GB"/>
        </w:rPr>
      </w:pPr>
    </w:p>
    <w:p w:rsidR="00D25F12" w:rsidRPr="0085642D" w:rsidRDefault="00D25F12" w:rsidP="00D25F12">
      <w:pPr>
        <w:suppressAutoHyphens/>
        <w:ind w:left="851"/>
        <w:rPr>
          <w:sz w:val="24"/>
          <w:szCs w:val="24"/>
          <w:lang w:bidi="en-GB"/>
        </w:rPr>
      </w:pPr>
      <w:r w:rsidRPr="0085642D">
        <w:rPr>
          <w:sz w:val="24"/>
          <w:szCs w:val="24"/>
          <w:lang w:bidi="en-GB"/>
        </w:rPr>
        <w:t>Emtricitabin absorberes hurtigt, og de højeste plasmakoncentrationer forekom 1</w:t>
      </w:r>
      <w:r w:rsidRPr="0085642D">
        <w:rPr>
          <w:sz w:val="24"/>
          <w:szCs w:val="24"/>
          <w:lang w:bidi="en-GB"/>
        </w:rPr>
        <w:noBreakHyphen/>
        <w:t>2 timer efter dosering. Efter oral administration af multiple emtricitabindoser til 20 hiv</w:t>
      </w:r>
      <w:r w:rsidRPr="0085642D">
        <w:rPr>
          <w:sz w:val="24"/>
          <w:szCs w:val="24"/>
          <w:lang w:bidi="en-GB"/>
        </w:rPr>
        <w:noBreakHyphen/>
        <w:t xml:space="preserve">inficerede patienter var </w:t>
      </w:r>
      <w:r w:rsidRPr="0085642D">
        <w:rPr>
          <w:i/>
          <w:sz w:val="24"/>
          <w:szCs w:val="24"/>
          <w:lang w:bidi="en-GB"/>
        </w:rPr>
        <w:t>steady</w:t>
      </w:r>
      <w:r w:rsidRPr="0085642D">
        <w:rPr>
          <w:i/>
          <w:sz w:val="24"/>
          <w:szCs w:val="24"/>
          <w:lang w:bidi="en-GB"/>
        </w:rPr>
        <w:noBreakHyphen/>
        <w:t xml:space="preserve">state </w:t>
      </w:r>
      <w:r w:rsidRPr="0085642D">
        <w:rPr>
          <w:sz w:val="24"/>
          <w:szCs w:val="24"/>
          <w:lang w:bidi="en-GB"/>
        </w:rPr>
        <w:t>C</w:t>
      </w:r>
      <w:r w:rsidRPr="0085642D">
        <w:rPr>
          <w:sz w:val="24"/>
          <w:szCs w:val="24"/>
          <w:vertAlign w:val="subscript"/>
          <w:lang w:bidi="en-GB"/>
        </w:rPr>
        <w:t>max</w:t>
      </w:r>
      <w:r w:rsidRPr="0085642D">
        <w:rPr>
          <w:sz w:val="24"/>
          <w:szCs w:val="24"/>
          <w:lang w:bidi="en-GB"/>
        </w:rPr>
        <w:t xml:space="preserve"> 1,8 ± 0,7 µg/ml (middel ± S.D.) (39 % CV), </w:t>
      </w:r>
      <w:r w:rsidRPr="0085642D">
        <w:rPr>
          <w:i/>
          <w:sz w:val="24"/>
          <w:szCs w:val="24"/>
          <w:lang w:bidi="en-GB"/>
        </w:rPr>
        <w:t>steady</w:t>
      </w:r>
      <w:r w:rsidRPr="0085642D">
        <w:rPr>
          <w:i/>
          <w:sz w:val="24"/>
          <w:szCs w:val="24"/>
          <w:lang w:bidi="en-GB"/>
        </w:rPr>
        <w:noBreakHyphen/>
        <w:t xml:space="preserve">state </w:t>
      </w:r>
      <w:r w:rsidRPr="0085642D">
        <w:rPr>
          <w:sz w:val="24"/>
          <w:szCs w:val="24"/>
          <w:lang w:bidi="en-GB"/>
        </w:rPr>
        <w:t>C</w:t>
      </w:r>
      <w:r w:rsidRPr="0085642D">
        <w:rPr>
          <w:sz w:val="24"/>
          <w:szCs w:val="24"/>
          <w:vertAlign w:val="subscript"/>
          <w:lang w:bidi="en-GB"/>
        </w:rPr>
        <w:t>min</w:t>
      </w:r>
      <w:r w:rsidRPr="0085642D">
        <w:rPr>
          <w:sz w:val="24"/>
          <w:szCs w:val="24"/>
          <w:lang w:bidi="en-GB"/>
        </w:rPr>
        <w:t xml:space="preserve"> var 0,09 ± 0,07 µg/ml (80 %) og AUC var 10,0 ± 3,1 µg·t/ml (31 %) i løbet af et 24</w:t>
      </w:r>
      <w:r w:rsidRPr="0085642D">
        <w:rPr>
          <w:sz w:val="24"/>
          <w:szCs w:val="24"/>
          <w:lang w:bidi="en-GB"/>
        </w:rPr>
        <w:noBreakHyphen/>
        <w:t>timers doseringsinterval.</w:t>
      </w:r>
    </w:p>
    <w:p w:rsidR="00D25F12" w:rsidRPr="0085642D" w:rsidRDefault="00D25F12" w:rsidP="00D25F12">
      <w:pPr>
        <w:suppressAutoHyphens/>
        <w:ind w:left="851"/>
        <w:rPr>
          <w:sz w:val="24"/>
          <w:szCs w:val="24"/>
          <w:lang w:bidi="en-GB"/>
        </w:rPr>
      </w:pPr>
    </w:p>
    <w:p w:rsidR="00D25F12" w:rsidRPr="0085642D" w:rsidRDefault="00D25F12" w:rsidP="00D25F12">
      <w:pPr>
        <w:suppressAutoHyphens/>
        <w:ind w:left="851"/>
        <w:rPr>
          <w:sz w:val="24"/>
          <w:szCs w:val="24"/>
          <w:lang w:bidi="en-GB"/>
        </w:rPr>
      </w:pPr>
      <w:r w:rsidRPr="0085642D">
        <w:rPr>
          <w:sz w:val="24"/>
          <w:szCs w:val="24"/>
          <w:lang w:bidi="en-GB"/>
        </w:rPr>
        <w:t xml:space="preserve">Efter oral administration af en enkelt dosis tenofovirdisoproxil </w:t>
      </w:r>
      <w:r w:rsidR="00167DD1">
        <w:rPr>
          <w:sz w:val="24"/>
          <w:szCs w:val="24"/>
          <w:lang w:bidi="en-GB"/>
        </w:rPr>
        <w:t>300</w:t>
      </w:r>
      <w:r w:rsidR="00167DD1" w:rsidRPr="0085642D">
        <w:rPr>
          <w:sz w:val="24"/>
          <w:szCs w:val="24"/>
          <w:lang w:bidi="en-GB"/>
        </w:rPr>
        <w:t xml:space="preserve"> mg </w:t>
      </w:r>
      <w:r w:rsidRPr="0085642D">
        <w:rPr>
          <w:sz w:val="24"/>
          <w:szCs w:val="24"/>
          <w:lang w:bidi="en-GB"/>
        </w:rPr>
        <w:t>til hiv</w:t>
      </w:r>
      <w:r w:rsidRPr="0085642D">
        <w:rPr>
          <w:sz w:val="24"/>
          <w:szCs w:val="24"/>
          <w:lang w:bidi="en-GB"/>
        </w:rPr>
        <w:noBreakHyphen/>
        <w:t>1</w:t>
      </w:r>
      <w:r w:rsidRPr="0085642D">
        <w:rPr>
          <w:sz w:val="24"/>
          <w:szCs w:val="24"/>
          <w:lang w:bidi="en-GB"/>
        </w:rPr>
        <w:noBreakHyphen/>
        <w:t>inficerede patienter i faste opnåedes maksimal tenofovirkoncentration inden for en time og C</w:t>
      </w:r>
      <w:r w:rsidRPr="0085642D">
        <w:rPr>
          <w:sz w:val="24"/>
          <w:szCs w:val="24"/>
          <w:vertAlign w:val="subscript"/>
          <w:lang w:bidi="en-GB"/>
        </w:rPr>
        <w:t>max</w:t>
      </w:r>
      <w:r w:rsidRPr="0085642D">
        <w:rPr>
          <w:sz w:val="24"/>
          <w:szCs w:val="24"/>
          <w:lang w:bidi="en-GB"/>
        </w:rPr>
        <w:t xml:space="preserve"> og AUC (middel ± S.D.) (% CV) værdierne var henholdsvis 296 ± 90 ng/ml (30 %) og 2.287 ± 685 ng·t/ml (30 %). Tenofovirs orale biotilgængelighed fra tenofovirdisoproxil hos patienter i faste var ca. 25 %.</w:t>
      </w:r>
    </w:p>
    <w:p w:rsidR="00D25F12" w:rsidRPr="0085642D" w:rsidRDefault="00D25F12" w:rsidP="00D25F12">
      <w:pPr>
        <w:suppressAutoHyphens/>
        <w:ind w:left="851"/>
        <w:rPr>
          <w:sz w:val="24"/>
          <w:szCs w:val="24"/>
          <w:lang w:bidi="en-GB"/>
        </w:rPr>
      </w:pPr>
    </w:p>
    <w:p w:rsidR="00D25F12" w:rsidRPr="0085642D" w:rsidRDefault="00D25F12" w:rsidP="00D25F12">
      <w:pPr>
        <w:suppressAutoHyphens/>
        <w:ind w:left="851"/>
        <w:rPr>
          <w:sz w:val="24"/>
          <w:szCs w:val="24"/>
          <w:lang w:bidi="en-GB"/>
        </w:rPr>
      </w:pPr>
      <w:r w:rsidRPr="0085642D">
        <w:rPr>
          <w:sz w:val="24"/>
          <w:szCs w:val="24"/>
          <w:u w:val="single"/>
          <w:lang w:bidi="en-GB"/>
        </w:rPr>
        <w:t>Virkning af mad</w:t>
      </w:r>
    </w:p>
    <w:p w:rsidR="00D25F12" w:rsidRPr="0085642D" w:rsidRDefault="00D25F12" w:rsidP="00D25F12">
      <w:pPr>
        <w:suppressAutoHyphens/>
        <w:ind w:left="851"/>
        <w:rPr>
          <w:sz w:val="24"/>
          <w:szCs w:val="24"/>
          <w:lang w:bidi="en-GB"/>
        </w:rPr>
      </w:pPr>
      <w:r w:rsidRPr="0085642D">
        <w:rPr>
          <w:sz w:val="24"/>
          <w:szCs w:val="24"/>
        </w:rPr>
        <w:t>Efavirenz/emtricitabin/tenofovirdisoproxil</w:t>
      </w:r>
      <w:r w:rsidRPr="0085642D">
        <w:rPr>
          <w:sz w:val="24"/>
          <w:szCs w:val="24"/>
          <w:lang w:bidi="en-GB"/>
        </w:rPr>
        <w:t xml:space="preserve"> er ikke blevet vurderet sammen med mad.</w:t>
      </w:r>
    </w:p>
    <w:p w:rsidR="00D25F12" w:rsidRPr="0085642D" w:rsidRDefault="00D25F12" w:rsidP="00D25F12">
      <w:pPr>
        <w:suppressAutoHyphens/>
        <w:ind w:left="851"/>
        <w:rPr>
          <w:sz w:val="24"/>
          <w:szCs w:val="24"/>
          <w:lang w:bidi="en-GB"/>
        </w:rPr>
      </w:pPr>
    </w:p>
    <w:p w:rsidR="00D25F12" w:rsidRPr="0085642D" w:rsidRDefault="00D25F12" w:rsidP="00D25F12">
      <w:pPr>
        <w:suppressAutoHyphens/>
        <w:ind w:left="851"/>
        <w:rPr>
          <w:sz w:val="24"/>
          <w:szCs w:val="24"/>
          <w:lang w:bidi="en-GB"/>
        </w:rPr>
      </w:pPr>
      <w:r w:rsidRPr="0085642D">
        <w:rPr>
          <w:sz w:val="24"/>
          <w:szCs w:val="24"/>
          <w:lang w:bidi="en-GB"/>
        </w:rPr>
        <w:lastRenderedPageBreak/>
        <w:t>Administration af efavirenzkapsler sammen med et måltid med stort fedtindhold forhøjede gennemsnitligt AUC og C</w:t>
      </w:r>
      <w:r w:rsidRPr="0085642D">
        <w:rPr>
          <w:sz w:val="24"/>
          <w:szCs w:val="24"/>
          <w:vertAlign w:val="subscript"/>
          <w:lang w:bidi="en-GB"/>
        </w:rPr>
        <w:t>max</w:t>
      </w:r>
      <w:r w:rsidRPr="0085642D">
        <w:rPr>
          <w:sz w:val="24"/>
          <w:szCs w:val="24"/>
          <w:lang w:bidi="en-GB"/>
        </w:rPr>
        <w:t xml:space="preserve"> af efavirenz med henholdsvis 28 % og 79 % sammenlignet med administration under faste. Sammenlignet med administration under faste blev tenofovirs gennemsnitlige AUC forhøjet med henholdsvis 43,6</w:t>
      </w:r>
      <w:r w:rsidRPr="0085642D">
        <w:rPr>
          <w:sz w:val="24"/>
          <w:szCs w:val="24"/>
        </w:rPr>
        <w:t> </w:t>
      </w:r>
      <w:r w:rsidRPr="0085642D">
        <w:rPr>
          <w:sz w:val="24"/>
          <w:szCs w:val="24"/>
          <w:lang w:bidi="en-GB"/>
        </w:rPr>
        <w:t>% og 40,5 % og C</w:t>
      </w:r>
      <w:r w:rsidRPr="0085642D">
        <w:rPr>
          <w:sz w:val="24"/>
          <w:szCs w:val="24"/>
          <w:vertAlign w:val="subscript"/>
          <w:lang w:bidi="en-GB"/>
        </w:rPr>
        <w:t>max</w:t>
      </w:r>
      <w:r w:rsidRPr="0085642D">
        <w:rPr>
          <w:sz w:val="24"/>
          <w:szCs w:val="24"/>
          <w:lang w:bidi="en-GB"/>
        </w:rPr>
        <w:t xml:space="preserve"> med 16 % og 13,5 % ved dosering af tenofovirdisoproxil og emtricitabin i kombination med enten et fedtrigt eller et let måltid uden at påvirke emtricitabin</w:t>
      </w:r>
      <w:r w:rsidRPr="0085642D">
        <w:rPr>
          <w:sz w:val="24"/>
          <w:szCs w:val="24"/>
          <w:lang w:bidi="en-GB"/>
        </w:rPr>
        <w:noBreakHyphen/>
        <w:t>eksponeringen.</w:t>
      </w:r>
    </w:p>
    <w:p w:rsidR="00D25F12" w:rsidRPr="0085642D" w:rsidRDefault="00D25F12" w:rsidP="00D25F12">
      <w:pPr>
        <w:suppressAutoHyphens/>
        <w:ind w:left="851"/>
        <w:rPr>
          <w:sz w:val="24"/>
          <w:szCs w:val="24"/>
          <w:lang w:bidi="en-GB"/>
        </w:rPr>
      </w:pPr>
    </w:p>
    <w:p w:rsidR="00D25F12" w:rsidRPr="0085642D" w:rsidRDefault="00D25F12" w:rsidP="00D25F12">
      <w:pPr>
        <w:suppressAutoHyphens/>
        <w:ind w:left="851"/>
        <w:rPr>
          <w:sz w:val="24"/>
          <w:szCs w:val="24"/>
          <w:lang w:bidi="en-GB"/>
        </w:rPr>
      </w:pPr>
      <w:r w:rsidRPr="0085642D">
        <w:rPr>
          <w:sz w:val="24"/>
          <w:szCs w:val="24"/>
        </w:rPr>
        <w:t>Efavirenz/emtricitabin/tenofovirdisoproxil</w:t>
      </w:r>
      <w:r w:rsidRPr="0085642D">
        <w:rPr>
          <w:sz w:val="24"/>
          <w:szCs w:val="24"/>
          <w:lang w:bidi="en-GB"/>
        </w:rPr>
        <w:t xml:space="preserve"> anbefales til administration på tom mave, da mad kan øge efavirenz</w:t>
      </w:r>
      <w:r w:rsidRPr="0085642D">
        <w:rPr>
          <w:sz w:val="24"/>
          <w:szCs w:val="24"/>
          <w:lang w:bidi="en-GB"/>
        </w:rPr>
        <w:noBreakHyphen/>
        <w:t>eksponeringen og kan føre til en øget frekvens af bivirkninger (se pkt. 4.4 og 4.8). Det forventes, at tenofovir</w:t>
      </w:r>
      <w:r w:rsidRPr="0085642D">
        <w:rPr>
          <w:sz w:val="24"/>
          <w:szCs w:val="24"/>
          <w:lang w:bidi="en-GB"/>
        </w:rPr>
        <w:noBreakHyphen/>
        <w:t xml:space="preserve">eksponeringen (AUC) vil være ca. 30 % lavere efter administration af </w:t>
      </w:r>
      <w:r w:rsidRPr="0085642D">
        <w:rPr>
          <w:sz w:val="24"/>
          <w:szCs w:val="24"/>
        </w:rPr>
        <w:t>efavirenz/emtricitabin/tenofovirdisoproxil</w:t>
      </w:r>
      <w:r w:rsidRPr="0085642D">
        <w:rPr>
          <w:sz w:val="24"/>
          <w:szCs w:val="24"/>
          <w:lang w:bidi="en-GB"/>
        </w:rPr>
        <w:t xml:space="preserve"> på tom mave sammenlignet med tenofovirdisoproxil, når denne tages som individuel komponent sammen med mad (se pkt. 5.1).</w:t>
      </w:r>
    </w:p>
    <w:p w:rsidR="00D25F12" w:rsidRPr="0085642D" w:rsidRDefault="00D25F12" w:rsidP="00D25F12">
      <w:pPr>
        <w:suppressAutoHyphens/>
        <w:ind w:left="851"/>
        <w:rPr>
          <w:sz w:val="24"/>
          <w:szCs w:val="24"/>
          <w:lang w:bidi="en-GB"/>
        </w:rPr>
      </w:pPr>
    </w:p>
    <w:p w:rsidR="00D25F12" w:rsidRPr="0085642D" w:rsidRDefault="00D25F12" w:rsidP="003630D4">
      <w:pPr>
        <w:keepNext/>
        <w:suppressAutoHyphens/>
        <w:ind w:left="851"/>
        <w:rPr>
          <w:sz w:val="24"/>
          <w:szCs w:val="24"/>
          <w:lang w:bidi="en-GB"/>
        </w:rPr>
      </w:pPr>
      <w:r w:rsidRPr="0085642D">
        <w:rPr>
          <w:sz w:val="24"/>
          <w:szCs w:val="24"/>
          <w:u w:val="single"/>
          <w:lang w:bidi="en-GB"/>
        </w:rPr>
        <w:t>Fordeling</w:t>
      </w:r>
    </w:p>
    <w:p w:rsidR="00D25F12" w:rsidRPr="0085642D" w:rsidRDefault="00D25F12" w:rsidP="00D25F12">
      <w:pPr>
        <w:suppressAutoHyphens/>
        <w:ind w:left="851"/>
        <w:rPr>
          <w:sz w:val="24"/>
          <w:szCs w:val="24"/>
          <w:lang w:bidi="en-GB"/>
        </w:rPr>
      </w:pPr>
      <w:r w:rsidRPr="0085642D">
        <w:rPr>
          <w:sz w:val="24"/>
          <w:szCs w:val="24"/>
          <w:lang w:bidi="en-GB"/>
        </w:rPr>
        <w:t>Efavirenz har en høj bindingsgrad (&gt; 99 %) til humane plasmaproteiner, fortrinsvis albumin.</w:t>
      </w:r>
    </w:p>
    <w:p w:rsidR="00D25F12" w:rsidRPr="0085642D" w:rsidRDefault="00D25F12" w:rsidP="00D25F12">
      <w:pPr>
        <w:suppressAutoHyphens/>
        <w:ind w:left="851"/>
        <w:rPr>
          <w:sz w:val="24"/>
          <w:szCs w:val="24"/>
          <w:lang w:bidi="en-GB"/>
        </w:rPr>
      </w:pPr>
    </w:p>
    <w:p w:rsidR="00D25F12" w:rsidRPr="0085642D" w:rsidRDefault="00D25F12" w:rsidP="00D25F12">
      <w:pPr>
        <w:suppressAutoHyphens/>
        <w:ind w:left="851"/>
        <w:rPr>
          <w:sz w:val="24"/>
          <w:szCs w:val="24"/>
          <w:lang w:bidi="en-GB"/>
        </w:rPr>
      </w:pPr>
      <w:r w:rsidRPr="0085642D">
        <w:rPr>
          <w:i/>
          <w:sz w:val="24"/>
          <w:szCs w:val="24"/>
          <w:lang w:bidi="en-GB"/>
        </w:rPr>
        <w:t>In vitro</w:t>
      </w:r>
      <w:r w:rsidRPr="0085642D">
        <w:rPr>
          <w:sz w:val="24"/>
          <w:szCs w:val="24"/>
          <w:lang w:bidi="en-GB"/>
        </w:rPr>
        <w:noBreakHyphen/>
        <w:t xml:space="preserve">binding af emtricitabin til humane plasmaproteiner er &lt; 4 % og uafhængig af koncentrationer i området 0,02 til 200 µg/ml. Efter intravenøs administration var emtricitabins fordelingsvolumen ca. 1,4 l/kg. Efter oral administration fordeles emtricitabin bredt i hele kroppen. Den gennemsnitlige </w:t>
      </w:r>
      <w:proofErr w:type="gramStart"/>
      <w:r w:rsidRPr="0085642D">
        <w:rPr>
          <w:sz w:val="24"/>
          <w:szCs w:val="24"/>
          <w:lang w:bidi="en-GB"/>
        </w:rPr>
        <w:t>plasma/blod koncentrationsratio</w:t>
      </w:r>
      <w:proofErr w:type="gramEnd"/>
      <w:r w:rsidRPr="0085642D">
        <w:rPr>
          <w:sz w:val="24"/>
          <w:szCs w:val="24"/>
          <w:lang w:bidi="en-GB"/>
        </w:rPr>
        <w:t xml:space="preserve"> var ca. 1,0 og den gennemsnitlige sæd/plasma koncentrationsratio var ca. 4,0.</w:t>
      </w:r>
    </w:p>
    <w:p w:rsidR="00D25F12" w:rsidRPr="0085642D" w:rsidRDefault="00D25F12" w:rsidP="00D25F12">
      <w:pPr>
        <w:suppressAutoHyphens/>
        <w:ind w:left="851"/>
        <w:rPr>
          <w:sz w:val="24"/>
          <w:szCs w:val="24"/>
          <w:lang w:bidi="en-GB"/>
        </w:rPr>
      </w:pPr>
    </w:p>
    <w:p w:rsidR="00D25F12" w:rsidRPr="0085642D" w:rsidRDefault="00D25F12" w:rsidP="00D25F12">
      <w:pPr>
        <w:suppressAutoHyphens/>
        <w:ind w:left="851"/>
        <w:rPr>
          <w:sz w:val="24"/>
          <w:szCs w:val="24"/>
          <w:lang w:bidi="en-GB"/>
        </w:rPr>
      </w:pPr>
      <w:r w:rsidRPr="0085642D">
        <w:rPr>
          <w:i/>
          <w:sz w:val="24"/>
          <w:szCs w:val="24"/>
          <w:lang w:bidi="en-GB"/>
        </w:rPr>
        <w:t>In vitro</w:t>
      </w:r>
      <w:r w:rsidRPr="0085642D">
        <w:rPr>
          <w:i/>
          <w:sz w:val="24"/>
          <w:szCs w:val="24"/>
          <w:lang w:bidi="en-GB"/>
        </w:rPr>
        <w:noBreakHyphen/>
      </w:r>
      <w:r w:rsidRPr="0085642D">
        <w:rPr>
          <w:sz w:val="24"/>
          <w:szCs w:val="24"/>
          <w:lang w:bidi="en-GB"/>
        </w:rPr>
        <w:t>binding af tenofovir til humane plasma- eller serumproteiner ligger henholdsvis &lt; 0,7 % og 7,2 % over tenofovirs koncentrationsområde på 0,01 til 25 µg/ml. Efter intravenøs administration var tenofovirs fordelingsvolumen ca. 800 ml/kg. Efter oral administration fordeles tenofovir bredt i hele kroppen.</w:t>
      </w:r>
    </w:p>
    <w:p w:rsidR="00D25F12" w:rsidRPr="0085642D" w:rsidRDefault="00D25F12" w:rsidP="00D25F12">
      <w:pPr>
        <w:suppressAutoHyphens/>
        <w:ind w:left="851"/>
        <w:rPr>
          <w:sz w:val="24"/>
          <w:szCs w:val="24"/>
          <w:lang w:bidi="en-GB"/>
        </w:rPr>
      </w:pPr>
    </w:p>
    <w:p w:rsidR="00D25F12" w:rsidRPr="0085642D" w:rsidRDefault="00D25F12" w:rsidP="00D25F12">
      <w:pPr>
        <w:suppressAutoHyphens/>
        <w:ind w:left="851"/>
        <w:rPr>
          <w:sz w:val="24"/>
          <w:szCs w:val="24"/>
          <w:lang w:bidi="en-GB"/>
        </w:rPr>
      </w:pPr>
      <w:r w:rsidRPr="0085642D">
        <w:rPr>
          <w:sz w:val="24"/>
          <w:szCs w:val="24"/>
          <w:u w:val="single"/>
          <w:lang w:bidi="en-GB"/>
        </w:rPr>
        <w:t>Biotransformation</w:t>
      </w:r>
    </w:p>
    <w:p w:rsidR="00D25F12" w:rsidRPr="0085642D" w:rsidRDefault="00D25F12" w:rsidP="00D25F12">
      <w:pPr>
        <w:suppressAutoHyphens/>
        <w:ind w:left="851"/>
        <w:rPr>
          <w:sz w:val="24"/>
          <w:szCs w:val="24"/>
          <w:lang w:bidi="en-GB"/>
        </w:rPr>
      </w:pPr>
      <w:r w:rsidRPr="0085642D">
        <w:rPr>
          <w:sz w:val="24"/>
          <w:szCs w:val="24"/>
          <w:lang w:bidi="en-GB"/>
        </w:rPr>
        <w:t xml:space="preserve">Humane studier og </w:t>
      </w:r>
      <w:r w:rsidRPr="0085642D">
        <w:rPr>
          <w:i/>
          <w:sz w:val="24"/>
          <w:szCs w:val="24"/>
          <w:lang w:bidi="en-GB"/>
        </w:rPr>
        <w:t>in vitro</w:t>
      </w:r>
      <w:r w:rsidRPr="0085642D">
        <w:rPr>
          <w:i/>
          <w:sz w:val="24"/>
          <w:szCs w:val="24"/>
          <w:lang w:bidi="en-GB"/>
        </w:rPr>
        <w:noBreakHyphen/>
      </w:r>
      <w:r w:rsidRPr="0085642D">
        <w:rPr>
          <w:sz w:val="24"/>
          <w:szCs w:val="24"/>
          <w:lang w:bidi="en-GB"/>
        </w:rPr>
        <w:t>studier med anvendelse af humane levermikrosomer har vist, at efavirenz hovedsageligt metaboliseres til hydroxylerede metabolitter af CYP</w:t>
      </w:r>
      <w:r w:rsidRPr="0085642D">
        <w:rPr>
          <w:sz w:val="24"/>
          <w:szCs w:val="24"/>
          <w:lang w:bidi="en-GB"/>
        </w:rPr>
        <w:noBreakHyphen/>
        <w:t>systemet med efterfølgende glukuronidering af disse hydroxylerede metabolitter. Disse metabolitter er stort set inaktive over for hiv</w:t>
      </w:r>
      <w:r w:rsidRPr="0085642D">
        <w:rPr>
          <w:sz w:val="24"/>
          <w:szCs w:val="24"/>
          <w:lang w:bidi="en-GB"/>
        </w:rPr>
        <w:noBreakHyphen/>
        <w:t xml:space="preserve">1. </w:t>
      </w:r>
      <w:r w:rsidRPr="0085642D">
        <w:rPr>
          <w:i/>
          <w:sz w:val="24"/>
          <w:szCs w:val="24"/>
          <w:lang w:bidi="en-GB"/>
        </w:rPr>
        <w:t>In vitro</w:t>
      </w:r>
      <w:r w:rsidRPr="0085642D">
        <w:rPr>
          <w:i/>
          <w:sz w:val="24"/>
          <w:szCs w:val="24"/>
          <w:lang w:bidi="en-GB"/>
        </w:rPr>
        <w:noBreakHyphen/>
      </w:r>
      <w:r w:rsidRPr="0085642D">
        <w:rPr>
          <w:sz w:val="24"/>
          <w:szCs w:val="24"/>
          <w:lang w:bidi="en-GB"/>
        </w:rPr>
        <w:t>studierne tyder på, at CYP3A4 og CYP2B6 er de isozymer, der hovedsageligt er ansvarlige for efavirenz</w:t>
      </w:r>
      <w:r w:rsidRPr="0085642D">
        <w:rPr>
          <w:sz w:val="24"/>
          <w:szCs w:val="24"/>
          <w:lang w:bidi="en-GB"/>
        </w:rPr>
        <w:noBreakHyphen/>
        <w:t>metaboliseringen, og at det hæmmer CYP</w:t>
      </w:r>
      <w:r w:rsidRPr="0085642D">
        <w:rPr>
          <w:sz w:val="24"/>
          <w:szCs w:val="24"/>
          <w:lang w:bidi="en-GB"/>
        </w:rPr>
        <w:noBreakHyphen/>
        <w:t xml:space="preserve">isozymerne 2C9, 2C19 og 3A4. I </w:t>
      </w:r>
      <w:r w:rsidRPr="0085642D">
        <w:rPr>
          <w:i/>
          <w:sz w:val="24"/>
          <w:szCs w:val="24"/>
          <w:lang w:bidi="en-GB"/>
        </w:rPr>
        <w:t>in vitro</w:t>
      </w:r>
      <w:r w:rsidRPr="0085642D">
        <w:rPr>
          <w:i/>
          <w:sz w:val="24"/>
          <w:szCs w:val="24"/>
          <w:lang w:bidi="en-GB"/>
        </w:rPr>
        <w:noBreakHyphen/>
      </w:r>
      <w:r w:rsidRPr="0085642D">
        <w:rPr>
          <w:sz w:val="24"/>
          <w:szCs w:val="24"/>
          <w:lang w:bidi="en-GB"/>
        </w:rPr>
        <w:t>studierne hæmmede efavirenz ikke CYP2E1og hæmmede kun CYP2D6 og CYP1A2 ved koncentrationer, der lå langt over de klinisk opnåede.</w:t>
      </w:r>
    </w:p>
    <w:p w:rsidR="00D25F12" w:rsidRPr="0085642D" w:rsidRDefault="00D25F12" w:rsidP="00D25F12">
      <w:pPr>
        <w:suppressAutoHyphens/>
        <w:ind w:left="851"/>
        <w:rPr>
          <w:sz w:val="24"/>
          <w:szCs w:val="24"/>
          <w:lang w:bidi="en-GB"/>
        </w:rPr>
      </w:pPr>
    </w:p>
    <w:p w:rsidR="00D25F12" w:rsidRPr="0085642D" w:rsidRDefault="00D25F12" w:rsidP="00D25F12">
      <w:pPr>
        <w:suppressAutoHyphens/>
        <w:ind w:left="851"/>
        <w:rPr>
          <w:sz w:val="24"/>
          <w:szCs w:val="24"/>
          <w:lang w:bidi="en-GB"/>
        </w:rPr>
      </w:pPr>
      <w:r w:rsidRPr="0085642D">
        <w:rPr>
          <w:sz w:val="24"/>
          <w:szCs w:val="24"/>
          <w:lang w:bidi="en-GB"/>
        </w:rPr>
        <w:t>Efavirenz plasmaeksponering kan øges hos patienter med homozygot</w:t>
      </w:r>
      <w:r w:rsidRPr="0085642D">
        <w:rPr>
          <w:sz w:val="24"/>
          <w:szCs w:val="24"/>
          <w:lang w:bidi="en-GB"/>
        </w:rPr>
        <w:noBreakHyphen/>
        <w:t>G516T, der er en genetisk variant af CYP2B6</w:t>
      </w:r>
      <w:r w:rsidRPr="0085642D">
        <w:rPr>
          <w:sz w:val="24"/>
          <w:szCs w:val="24"/>
          <w:lang w:bidi="en-GB"/>
        </w:rPr>
        <w:noBreakHyphen/>
        <w:t>isozymet. De kliniske implikationer af en sådan forbindelse er ukendte; muligheden for øget hyppighed af efavirenzassocierede bivirkninger kan dog ikke udelukkes, ligesom sværhedsgraden af disse ikke er kendt.</w:t>
      </w:r>
    </w:p>
    <w:p w:rsidR="00D25F12" w:rsidRPr="0085642D" w:rsidRDefault="00D25F12" w:rsidP="00D25F12">
      <w:pPr>
        <w:suppressAutoHyphens/>
        <w:ind w:left="851"/>
        <w:rPr>
          <w:sz w:val="24"/>
          <w:szCs w:val="24"/>
          <w:lang w:bidi="en-GB"/>
        </w:rPr>
      </w:pPr>
    </w:p>
    <w:p w:rsidR="00D25F12" w:rsidRPr="0085642D" w:rsidRDefault="00D25F12" w:rsidP="00D25F12">
      <w:pPr>
        <w:suppressAutoHyphens/>
        <w:ind w:left="851"/>
        <w:rPr>
          <w:sz w:val="24"/>
          <w:szCs w:val="24"/>
          <w:lang w:bidi="en-GB"/>
        </w:rPr>
      </w:pPr>
      <w:r w:rsidRPr="0085642D">
        <w:rPr>
          <w:sz w:val="24"/>
          <w:szCs w:val="24"/>
          <w:lang w:bidi="en-GB"/>
        </w:rPr>
        <w:t>Det er påvist, at efavirenz inducerer CYP3A4 og CYP2B6, hvilket medfører induktion af dets egen metabolisme og kan være klinisk relevant hos nogle patienter. Hos ikke</w:t>
      </w:r>
      <w:r w:rsidRPr="0085642D">
        <w:rPr>
          <w:sz w:val="24"/>
          <w:szCs w:val="24"/>
          <w:lang w:bidi="en-GB"/>
        </w:rPr>
        <w:noBreakHyphen/>
        <w:t>inficerede frivillige resulterede multiple doser på 200</w:t>
      </w:r>
      <w:r w:rsidRPr="0085642D">
        <w:rPr>
          <w:sz w:val="24"/>
          <w:szCs w:val="24"/>
          <w:lang w:bidi="en-GB"/>
        </w:rPr>
        <w:noBreakHyphen/>
        <w:t>400 mg per dag i 10 dage i en lavere grad af akkumulation (22</w:t>
      </w:r>
      <w:r w:rsidRPr="0085642D">
        <w:rPr>
          <w:sz w:val="24"/>
          <w:szCs w:val="24"/>
          <w:lang w:bidi="en-GB"/>
        </w:rPr>
        <w:noBreakHyphen/>
        <w:t>42 % lavere) end forudset samt kortere terminal halveringstid på 40</w:t>
      </w:r>
      <w:r w:rsidRPr="0085642D">
        <w:rPr>
          <w:sz w:val="24"/>
          <w:szCs w:val="24"/>
          <w:lang w:bidi="en-GB"/>
        </w:rPr>
        <w:noBreakHyphen/>
        <w:t>55 timer (halveringstid for enkeltdosis 52</w:t>
      </w:r>
      <w:r w:rsidRPr="0085642D">
        <w:rPr>
          <w:sz w:val="24"/>
          <w:szCs w:val="24"/>
          <w:lang w:bidi="en-GB"/>
        </w:rPr>
        <w:noBreakHyphen/>
        <w:t xml:space="preserve">76 timer). Det er også påvist, at efavirenz inducerer UGT1A1. Eksponeringen for raltegravir (et substrat for UGT1A1) er reduceret ved tilstedeværelse af efavirenz (se pkt. 4.5, tabel 1). Selvom </w:t>
      </w:r>
      <w:r w:rsidRPr="0085642D">
        <w:rPr>
          <w:i/>
          <w:sz w:val="24"/>
          <w:szCs w:val="24"/>
          <w:lang w:bidi="en-GB"/>
        </w:rPr>
        <w:t>in vitro</w:t>
      </w:r>
      <w:r w:rsidRPr="0085642D">
        <w:rPr>
          <w:sz w:val="24"/>
          <w:szCs w:val="24"/>
          <w:lang w:bidi="en-GB"/>
        </w:rPr>
        <w:noBreakHyphen/>
        <w:t xml:space="preserve">data tyder </w:t>
      </w:r>
      <w:r w:rsidRPr="0085642D">
        <w:rPr>
          <w:sz w:val="24"/>
          <w:szCs w:val="24"/>
          <w:lang w:bidi="en-GB"/>
        </w:rPr>
        <w:lastRenderedPageBreak/>
        <w:t xml:space="preserve">på, at efavirenz hæmmer CYP2C9 og CYP2C19, har der været modsigende rapporter om både forhøjede og reducerede eksponeringer for substrater for disse enzymer </w:t>
      </w:r>
      <w:r w:rsidRPr="0085642D">
        <w:rPr>
          <w:i/>
          <w:sz w:val="24"/>
          <w:szCs w:val="24"/>
          <w:lang w:bidi="en-GB"/>
        </w:rPr>
        <w:t>in vivo</w:t>
      </w:r>
      <w:r w:rsidRPr="0085642D">
        <w:rPr>
          <w:sz w:val="24"/>
          <w:szCs w:val="24"/>
          <w:lang w:bidi="en-GB"/>
        </w:rPr>
        <w:t>, når de administreres samtidigt med efavirenz. Nettovirkningen ved samtidig administration er ikke klar.</w:t>
      </w:r>
    </w:p>
    <w:p w:rsidR="00D25F12" w:rsidRPr="0085642D" w:rsidRDefault="00D25F12" w:rsidP="00D25F12">
      <w:pPr>
        <w:suppressAutoHyphens/>
        <w:ind w:left="851"/>
        <w:rPr>
          <w:sz w:val="24"/>
          <w:szCs w:val="24"/>
          <w:lang w:bidi="en-GB"/>
        </w:rPr>
      </w:pPr>
    </w:p>
    <w:p w:rsidR="00D25F12" w:rsidRPr="0085642D" w:rsidRDefault="00D25F12" w:rsidP="00D25F12">
      <w:pPr>
        <w:suppressAutoHyphens/>
        <w:ind w:left="851"/>
        <w:rPr>
          <w:sz w:val="24"/>
          <w:szCs w:val="24"/>
          <w:lang w:bidi="en-GB"/>
        </w:rPr>
      </w:pPr>
      <w:r w:rsidRPr="0085642D">
        <w:rPr>
          <w:sz w:val="24"/>
          <w:szCs w:val="24"/>
          <w:lang w:bidi="en-GB"/>
        </w:rPr>
        <w:t>Emtricitabins metabolisme er begrænset. Biotransformation af emtricitabin omfatter oxidering af thioldelen til dannelse af 3'</w:t>
      </w:r>
      <w:r w:rsidRPr="0085642D">
        <w:rPr>
          <w:sz w:val="24"/>
          <w:szCs w:val="24"/>
          <w:lang w:bidi="en-GB"/>
        </w:rPr>
        <w:noBreakHyphen/>
        <w:t>sulphoxid diastereomer (ca. 9 % af dosis) samt konjugation med glukuronsyre til dannelse af 2'</w:t>
      </w:r>
      <w:r w:rsidRPr="0085642D">
        <w:rPr>
          <w:sz w:val="24"/>
          <w:szCs w:val="24"/>
          <w:lang w:bidi="en-GB"/>
        </w:rPr>
        <w:noBreakHyphen/>
        <w:t>O</w:t>
      </w:r>
      <w:r w:rsidRPr="0085642D">
        <w:rPr>
          <w:sz w:val="24"/>
          <w:szCs w:val="24"/>
          <w:lang w:bidi="en-GB"/>
        </w:rPr>
        <w:noBreakHyphen/>
        <w:t xml:space="preserve">glukuronid (ca. 4 % af dosis). </w:t>
      </w:r>
      <w:r w:rsidRPr="0085642D">
        <w:rPr>
          <w:i/>
          <w:sz w:val="24"/>
          <w:szCs w:val="24"/>
          <w:lang w:bidi="en-GB"/>
        </w:rPr>
        <w:t>In vitro</w:t>
      </w:r>
      <w:r w:rsidRPr="0085642D">
        <w:rPr>
          <w:sz w:val="24"/>
          <w:szCs w:val="24"/>
          <w:lang w:bidi="en-GB"/>
        </w:rPr>
        <w:noBreakHyphen/>
        <w:t>studier har afgjort, at hverken tenofovirdisoproxil eller tenofovir er substrater for CYP</w:t>
      </w:r>
      <w:r w:rsidRPr="0085642D">
        <w:rPr>
          <w:sz w:val="24"/>
          <w:szCs w:val="24"/>
          <w:lang w:bidi="en-GB"/>
        </w:rPr>
        <w:noBreakHyphen/>
        <w:t xml:space="preserve">enzymerne. Hverken emtricitabin eller tenofovir hæmmede lægemiddelmetabolismen </w:t>
      </w:r>
      <w:r w:rsidRPr="0085642D">
        <w:rPr>
          <w:i/>
          <w:sz w:val="24"/>
          <w:szCs w:val="24"/>
          <w:lang w:bidi="en-GB"/>
        </w:rPr>
        <w:t xml:space="preserve">in vitro </w:t>
      </w:r>
      <w:r w:rsidRPr="0085642D">
        <w:rPr>
          <w:sz w:val="24"/>
          <w:szCs w:val="24"/>
          <w:lang w:bidi="en-GB"/>
        </w:rPr>
        <w:t>ved hjælp af nogle af de større humane CYP</w:t>
      </w:r>
      <w:r w:rsidRPr="0085642D">
        <w:rPr>
          <w:sz w:val="24"/>
          <w:szCs w:val="24"/>
          <w:lang w:bidi="en-GB"/>
        </w:rPr>
        <w:noBreakHyphen/>
        <w:t>isoformer, der er involveret i lægemiddelbiotransformationen. Heller ikke emtricitabin hæmmede uridin 5'</w:t>
      </w:r>
      <w:r w:rsidRPr="0085642D">
        <w:rPr>
          <w:sz w:val="24"/>
          <w:szCs w:val="24"/>
          <w:lang w:bidi="en-GB"/>
        </w:rPr>
        <w:noBreakHyphen/>
        <w:t>diphosphoglukuronyltransferase, det enzym der er ansvarligt for glukuronidering.</w:t>
      </w:r>
    </w:p>
    <w:p w:rsidR="00D25F12" w:rsidRPr="0085642D" w:rsidRDefault="00D25F12" w:rsidP="00D25F12">
      <w:pPr>
        <w:suppressAutoHyphens/>
        <w:ind w:left="851"/>
        <w:rPr>
          <w:sz w:val="24"/>
          <w:szCs w:val="24"/>
          <w:lang w:bidi="en-GB"/>
        </w:rPr>
      </w:pPr>
    </w:p>
    <w:p w:rsidR="00D25F12" w:rsidRPr="0085642D" w:rsidRDefault="00D25F12" w:rsidP="00D25F12">
      <w:pPr>
        <w:suppressAutoHyphens/>
        <w:ind w:left="851"/>
        <w:rPr>
          <w:sz w:val="24"/>
          <w:szCs w:val="24"/>
          <w:lang w:bidi="en-GB"/>
        </w:rPr>
      </w:pPr>
      <w:r w:rsidRPr="0085642D">
        <w:rPr>
          <w:sz w:val="24"/>
          <w:szCs w:val="24"/>
          <w:u w:val="single"/>
          <w:lang w:bidi="en-GB"/>
        </w:rPr>
        <w:t>Elimination</w:t>
      </w:r>
    </w:p>
    <w:p w:rsidR="00D25F12" w:rsidRPr="0085642D" w:rsidRDefault="00D25F12" w:rsidP="00D25F12">
      <w:pPr>
        <w:suppressAutoHyphens/>
        <w:ind w:left="851"/>
        <w:rPr>
          <w:sz w:val="24"/>
          <w:szCs w:val="24"/>
          <w:lang w:bidi="en-GB"/>
        </w:rPr>
      </w:pPr>
      <w:r w:rsidRPr="0085642D">
        <w:rPr>
          <w:sz w:val="24"/>
          <w:szCs w:val="24"/>
          <w:lang w:bidi="en-GB"/>
        </w:rPr>
        <w:t>Efavirenz har en forholdsvis lang terminal halveringstid på mindst 52 timer efter enkeltdoser (se også data fra bioekvivalensstudiet beskrevet ovenfor) og 40</w:t>
      </w:r>
      <w:r w:rsidRPr="0085642D">
        <w:rPr>
          <w:sz w:val="24"/>
          <w:szCs w:val="24"/>
          <w:lang w:bidi="en-GB"/>
        </w:rPr>
        <w:noBreakHyphen/>
        <w:t>55 timer efter multiple doser. Ca. 14</w:t>
      </w:r>
      <w:r w:rsidRPr="0085642D">
        <w:rPr>
          <w:sz w:val="24"/>
          <w:szCs w:val="24"/>
          <w:lang w:bidi="en-GB"/>
        </w:rPr>
        <w:noBreakHyphen/>
        <w:t>34 % af en isotopmærket efavirenzdosis blev genfundet i urinen, og mindre end 1 % af dosis blev udskilt i urinen som uomdannet efavirenz.</w:t>
      </w:r>
    </w:p>
    <w:p w:rsidR="00D25F12" w:rsidRPr="0085642D" w:rsidRDefault="00D25F12" w:rsidP="00D25F12">
      <w:pPr>
        <w:suppressAutoHyphens/>
        <w:ind w:left="851"/>
        <w:rPr>
          <w:sz w:val="24"/>
          <w:szCs w:val="24"/>
          <w:lang w:bidi="en-GB"/>
        </w:rPr>
      </w:pPr>
    </w:p>
    <w:p w:rsidR="00D25F12" w:rsidRPr="0085642D" w:rsidRDefault="00D25F12" w:rsidP="00D25F12">
      <w:pPr>
        <w:suppressAutoHyphens/>
        <w:ind w:left="851"/>
        <w:rPr>
          <w:sz w:val="24"/>
          <w:szCs w:val="24"/>
          <w:lang w:bidi="en-GB"/>
        </w:rPr>
      </w:pPr>
      <w:r w:rsidRPr="0085642D">
        <w:rPr>
          <w:sz w:val="24"/>
          <w:szCs w:val="24"/>
          <w:lang w:bidi="en-GB"/>
        </w:rPr>
        <w:t>Efter oral administration er emtricitabins eliminationshalveringstid ca. 10 timer. Emtricitabin udskilles primært gennem nyrerne med komplet genfinding af dosis opnået i urinen (ca. 86 %) og fæces (ca. 14 %). 13 % af emtricitabindosen blev genfundet i urinen som tre metabolitter. Emtricitabins systemiske clearance var i gennemsnit 307 ml/min.</w:t>
      </w:r>
    </w:p>
    <w:p w:rsidR="00D25F12" w:rsidRPr="0085642D" w:rsidRDefault="00D25F12" w:rsidP="00D25F12">
      <w:pPr>
        <w:suppressAutoHyphens/>
        <w:ind w:left="851"/>
        <w:rPr>
          <w:sz w:val="24"/>
          <w:szCs w:val="24"/>
          <w:lang w:bidi="en-GB"/>
        </w:rPr>
      </w:pPr>
    </w:p>
    <w:p w:rsidR="00D25F12" w:rsidRPr="0085642D" w:rsidRDefault="00D25F12" w:rsidP="00D25F12">
      <w:pPr>
        <w:suppressAutoHyphens/>
        <w:ind w:left="851"/>
        <w:rPr>
          <w:sz w:val="24"/>
          <w:szCs w:val="24"/>
          <w:lang w:bidi="en-GB"/>
        </w:rPr>
      </w:pPr>
      <w:r w:rsidRPr="0085642D">
        <w:rPr>
          <w:sz w:val="24"/>
          <w:szCs w:val="24"/>
          <w:lang w:bidi="en-GB"/>
        </w:rPr>
        <w:t>Efter oral administration var tenofovirs eliminationshalveringstid ca. 12</w:t>
      </w:r>
      <w:r w:rsidRPr="0085642D">
        <w:rPr>
          <w:sz w:val="24"/>
          <w:szCs w:val="24"/>
          <w:lang w:bidi="en-GB"/>
        </w:rPr>
        <w:noBreakHyphen/>
        <w:t>18 timer. Tenofovir udskilles primært af nyrerne både ved filtration og et aktivt tubulært transportsystem, hvor ca. 70</w:t>
      </w:r>
      <w:r w:rsidRPr="0085642D">
        <w:rPr>
          <w:sz w:val="24"/>
          <w:szCs w:val="24"/>
          <w:lang w:bidi="en-GB"/>
        </w:rPr>
        <w:noBreakHyphen/>
        <w:t>80 % af dosen udskilles uomdannet i urinen efter intravenøs administration. Tenofovirs tilsyneladende clearance var i gennemsnit ca. 307 ml/min. Renal clearance er beregnet til at være ca. 210 ml/min, hvilket er over den glomerulære filtrationshastighed. Dette angiver, at aktiv tubulær sekretion udgør en vigtig del af tenofovirs elimination.</w:t>
      </w:r>
    </w:p>
    <w:p w:rsidR="00D25F12" w:rsidRPr="0085642D" w:rsidRDefault="00D25F12" w:rsidP="00D25F12">
      <w:pPr>
        <w:suppressAutoHyphens/>
        <w:ind w:left="851"/>
        <w:rPr>
          <w:sz w:val="24"/>
          <w:szCs w:val="24"/>
          <w:lang w:bidi="en-GB"/>
        </w:rPr>
      </w:pPr>
    </w:p>
    <w:p w:rsidR="00D25F12" w:rsidRPr="0085642D" w:rsidRDefault="00D25F12" w:rsidP="00D25F12">
      <w:pPr>
        <w:suppressAutoHyphens/>
        <w:ind w:left="851"/>
        <w:rPr>
          <w:sz w:val="24"/>
          <w:szCs w:val="24"/>
          <w:lang w:bidi="en-GB"/>
        </w:rPr>
      </w:pPr>
      <w:r w:rsidRPr="0085642D">
        <w:rPr>
          <w:sz w:val="24"/>
          <w:szCs w:val="24"/>
          <w:u w:val="single"/>
          <w:lang w:bidi="en-GB"/>
        </w:rPr>
        <w:t>Farmakokinetik i særlige populationer</w:t>
      </w:r>
    </w:p>
    <w:p w:rsidR="00D25F12" w:rsidRPr="0085642D" w:rsidRDefault="00D25F12" w:rsidP="00D25F12">
      <w:pPr>
        <w:suppressAutoHyphens/>
        <w:ind w:left="851"/>
        <w:rPr>
          <w:sz w:val="24"/>
          <w:szCs w:val="24"/>
          <w:lang w:bidi="en-GB"/>
        </w:rPr>
      </w:pPr>
    </w:p>
    <w:p w:rsidR="00D25F12" w:rsidRPr="0085642D" w:rsidRDefault="00D25F12" w:rsidP="00D25F12">
      <w:pPr>
        <w:suppressAutoHyphens/>
        <w:ind w:left="851"/>
        <w:rPr>
          <w:i/>
          <w:sz w:val="24"/>
          <w:szCs w:val="24"/>
          <w:lang w:bidi="en-GB"/>
        </w:rPr>
      </w:pPr>
      <w:r w:rsidRPr="0085642D">
        <w:rPr>
          <w:i/>
          <w:sz w:val="24"/>
          <w:szCs w:val="24"/>
          <w:lang w:bidi="en-GB"/>
        </w:rPr>
        <w:t>Alder</w:t>
      </w:r>
    </w:p>
    <w:p w:rsidR="00D25F12" w:rsidRPr="0085642D" w:rsidRDefault="00D25F12" w:rsidP="00D25F12">
      <w:pPr>
        <w:suppressAutoHyphens/>
        <w:ind w:left="851"/>
        <w:rPr>
          <w:sz w:val="24"/>
          <w:szCs w:val="24"/>
          <w:lang w:bidi="en-GB"/>
        </w:rPr>
      </w:pPr>
      <w:r w:rsidRPr="0085642D">
        <w:rPr>
          <w:sz w:val="24"/>
          <w:szCs w:val="24"/>
          <w:lang w:bidi="en-GB"/>
        </w:rPr>
        <w:t>Der er ikke udført farmakokinetiske studier med efavirenz, emtricitabin eller tenofovir hos ældre patienter (over 65 år).</w:t>
      </w:r>
    </w:p>
    <w:p w:rsidR="00D25F12" w:rsidRPr="0085642D" w:rsidRDefault="00D25F12" w:rsidP="00D25F12">
      <w:pPr>
        <w:suppressAutoHyphens/>
        <w:ind w:left="851"/>
        <w:rPr>
          <w:sz w:val="24"/>
          <w:szCs w:val="24"/>
          <w:lang w:bidi="en-GB"/>
        </w:rPr>
      </w:pPr>
    </w:p>
    <w:p w:rsidR="00D25F12" w:rsidRPr="0085642D" w:rsidRDefault="00D25F12" w:rsidP="00FE0330">
      <w:pPr>
        <w:keepNext/>
        <w:suppressAutoHyphens/>
        <w:ind w:left="851"/>
        <w:rPr>
          <w:i/>
          <w:sz w:val="24"/>
          <w:szCs w:val="24"/>
          <w:lang w:bidi="en-GB"/>
        </w:rPr>
      </w:pPr>
      <w:r w:rsidRPr="0085642D">
        <w:rPr>
          <w:i/>
          <w:sz w:val="24"/>
          <w:szCs w:val="24"/>
          <w:lang w:bidi="en-GB"/>
        </w:rPr>
        <w:t>Køn</w:t>
      </w:r>
    </w:p>
    <w:p w:rsidR="00D25F12" w:rsidRPr="0085642D" w:rsidRDefault="00D25F12" w:rsidP="00D25F12">
      <w:pPr>
        <w:suppressAutoHyphens/>
        <w:ind w:left="851"/>
        <w:rPr>
          <w:sz w:val="24"/>
          <w:szCs w:val="24"/>
          <w:lang w:bidi="en-GB"/>
        </w:rPr>
      </w:pPr>
      <w:r w:rsidRPr="0085642D">
        <w:rPr>
          <w:sz w:val="24"/>
          <w:szCs w:val="24"/>
          <w:lang w:bidi="en-GB"/>
        </w:rPr>
        <w:t>Emtricitabins og tenofovirs farmakokinetik er ens hos mænd og kvinder. Begrænsede data tyder på, at graden af påvirkning af efavirenz er højere for kvinder, men deres tolerabilitet af efavirenz synes ikke at være mindre.</w:t>
      </w:r>
    </w:p>
    <w:p w:rsidR="00D25F12" w:rsidRPr="0085642D" w:rsidRDefault="00D25F12" w:rsidP="00D25F12">
      <w:pPr>
        <w:suppressAutoHyphens/>
        <w:ind w:left="851"/>
        <w:rPr>
          <w:sz w:val="24"/>
          <w:szCs w:val="24"/>
          <w:lang w:bidi="en-GB"/>
        </w:rPr>
      </w:pPr>
    </w:p>
    <w:p w:rsidR="00D25F12" w:rsidRPr="0085642D" w:rsidRDefault="00D25F12" w:rsidP="00D25F12">
      <w:pPr>
        <w:suppressAutoHyphens/>
        <w:ind w:left="851"/>
        <w:rPr>
          <w:i/>
          <w:sz w:val="24"/>
          <w:szCs w:val="24"/>
          <w:lang w:bidi="en-GB"/>
        </w:rPr>
      </w:pPr>
      <w:r w:rsidRPr="0085642D">
        <w:rPr>
          <w:i/>
          <w:sz w:val="24"/>
          <w:szCs w:val="24"/>
          <w:lang w:bidi="en-GB"/>
        </w:rPr>
        <w:t>Etnisk oprindelse</w:t>
      </w:r>
    </w:p>
    <w:p w:rsidR="00D25F12" w:rsidRPr="0085642D" w:rsidRDefault="00D25F12" w:rsidP="00D25F12">
      <w:pPr>
        <w:suppressAutoHyphens/>
        <w:ind w:left="851"/>
        <w:rPr>
          <w:sz w:val="24"/>
          <w:szCs w:val="24"/>
          <w:lang w:bidi="en-GB"/>
        </w:rPr>
      </w:pPr>
      <w:r w:rsidRPr="0085642D">
        <w:rPr>
          <w:sz w:val="24"/>
          <w:szCs w:val="24"/>
          <w:lang w:bidi="en-GB"/>
        </w:rPr>
        <w:t>Begrænsede data tyder på, at patienter fra Asien og Stillehavsøerne har højere grad af påvirkning af efavirenz, men deres tolerabilitet af efavirenz synes ikke at være mindre.</w:t>
      </w:r>
    </w:p>
    <w:p w:rsidR="00D25F12" w:rsidRPr="0085642D" w:rsidRDefault="00D25F12" w:rsidP="00D25F12">
      <w:pPr>
        <w:suppressAutoHyphens/>
        <w:ind w:left="851"/>
        <w:rPr>
          <w:sz w:val="24"/>
          <w:szCs w:val="24"/>
          <w:lang w:bidi="en-GB"/>
        </w:rPr>
      </w:pPr>
    </w:p>
    <w:p w:rsidR="00D25F12" w:rsidRPr="0085642D" w:rsidRDefault="00D25F12" w:rsidP="00D25F12">
      <w:pPr>
        <w:suppressAutoHyphens/>
        <w:ind w:left="851"/>
        <w:rPr>
          <w:i/>
          <w:sz w:val="24"/>
          <w:szCs w:val="24"/>
          <w:lang w:bidi="en-GB"/>
        </w:rPr>
      </w:pPr>
      <w:r w:rsidRPr="0085642D">
        <w:rPr>
          <w:i/>
          <w:sz w:val="24"/>
          <w:szCs w:val="24"/>
          <w:lang w:bidi="en-GB"/>
        </w:rPr>
        <w:t>Pædiatrisk population</w:t>
      </w:r>
    </w:p>
    <w:p w:rsidR="00D25F12" w:rsidRPr="0085642D" w:rsidRDefault="00D25F12" w:rsidP="00D25F12">
      <w:pPr>
        <w:suppressAutoHyphens/>
        <w:ind w:left="851"/>
        <w:rPr>
          <w:sz w:val="24"/>
          <w:szCs w:val="24"/>
          <w:lang w:bidi="en-GB"/>
        </w:rPr>
      </w:pPr>
      <w:r w:rsidRPr="0085642D">
        <w:rPr>
          <w:sz w:val="24"/>
          <w:szCs w:val="24"/>
          <w:lang w:bidi="en-GB"/>
        </w:rPr>
        <w:t xml:space="preserve">Der er ikke udført farmakokinetiske studier med </w:t>
      </w:r>
      <w:r w:rsidRPr="0085642D">
        <w:rPr>
          <w:sz w:val="24"/>
          <w:szCs w:val="24"/>
        </w:rPr>
        <w:t>efavirenz/emtricitabin/tenofovirdisoproxil</w:t>
      </w:r>
      <w:r w:rsidRPr="0085642D">
        <w:rPr>
          <w:sz w:val="24"/>
          <w:szCs w:val="24"/>
          <w:lang w:bidi="en-GB"/>
        </w:rPr>
        <w:t xml:space="preserve"> hos spædbørn og børn under 18 år (se pkt. 4.2).</w:t>
      </w:r>
    </w:p>
    <w:p w:rsidR="00D25F12" w:rsidRPr="0085642D" w:rsidRDefault="00D25F12" w:rsidP="00D25F12">
      <w:pPr>
        <w:suppressAutoHyphens/>
        <w:ind w:left="851"/>
        <w:rPr>
          <w:sz w:val="24"/>
          <w:szCs w:val="24"/>
          <w:lang w:bidi="en-GB"/>
        </w:rPr>
      </w:pPr>
    </w:p>
    <w:p w:rsidR="00D25F12" w:rsidRPr="0085642D" w:rsidRDefault="00D25F12" w:rsidP="00D25F12">
      <w:pPr>
        <w:suppressAutoHyphens/>
        <w:ind w:left="851"/>
        <w:rPr>
          <w:i/>
          <w:sz w:val="24"/>
          <w:szCs w:val="24"/>
          <w:lang w:bidi="en-GB"/>
        </w:rPr>
      </w:pPr>
      <w:r w:rsidRPr="0085642D">
        <w:rPr>
          <w:i/>
          <w:sz w:val="24"/>
          <w:szCs w:val="24"/>
          <w:lang w:bidi="en-GB"/>
        </w:rPr>
        <w:t>Nedsat nyrefunktion</w:t>
      </w:r>
    </w:p>
    <w:p w:rsidR="00D25F12" w:rsidRPr="0085642D" w:rsidRDefault="00D25F12" w:rsidP="00D25F12">
      <w:pPr>
        <w:suppressAutoHyphens/>
        <w:ind w:left="851"/>
        <w:rPr>
          <w:sz w:val="24"/>
          <w:szCs w:val="24"/>
          <w:lang w:bidi="en-GB"/>
        </w:rPr>
      </w:pPr>
      <w:r w:rsidRPr="0085642D">
        <w:rPr>
          <w:sz w:val="24"/>
          <w:szCs w:val="24"/>
          <w:lang w:bidi="en-GB"/>
        </w:rPr>
        <w:t xml:space="preserve">Farmakokinetikken af efavirenz, emtricitabin og tenofovirdisoproxil efter samtidig administration af de enkelte lægemiddelformer eller som </w:t>
      </w:r>
      <w:r w:rsidRPr="0085642D">
        <w:rPr>
          <w:sz w:val="24"/>
          <w:szCs w:val="24"/>
        </w:rPr>
        <w:t>efavirenz/emtricitabin/tenofovir</w:t>
      </w:r>
      <w:r>
        <w:rPr>
          <w:sz w:val="24"/>
          <w:szCs w:val="24"/>
        </w:rPr>
        <w:softHyphen/>
      </w:r>
      <w:r w:rsidRPr="0085642D">
        <w:rPr>
          <w:sz w:val="24"/>
          <w:szCs w:val="24"/>
        </w:rPr>
        <w:t>disoproxil</w:t>
      </w:r>
      <w:r w:rsidRPr="0085642D">
        <w:rPr>
          <w:sz w:val="24"/>
          <w:szCs w:val="24"/>
          <w:lang w:bidi="en-GB"/>
        </w:rPr>
        <w:t xml:space="preserve"> er ikke blevet undersøgt hos hiv</w:t>
      </w:r>
      <w:r w:rsidRPr="0085642D">
        <w:rPr>
          <w:sz w:val="24"/>
          <w:szCs w:val="24"/>
          <w:lang w:bidi="en-GB"/>
        </w:rPr>
        <w:noBreakHyphen/>
        <w:t>inficerede patienter med nedsat nyrefunktion.</w:t>
      </w:r>
    </w:p>
    <w:p w:rsidR="00D25F12" w:rsidRPr="0085642D" w:rsidRDefault="00D25F12" w:rsidP="00D25F12">
      <w:pPr>
        <w:suppressAutoHyphens/>
        <w:ind w:left="851"/>
        <w:rPr>
          <w:sz w:val="24"/>
          <w:szCs w:val="24"/>
          <w:lang w:bidi="en-GB"/>
        </w:rPr>
      </w:pPr>
    </w:p>
    <w:p w:rsidR="00D25F12" w:rsidRPr="0085642D" w:rsidRDefault="00D25F12" w:rsidP="00D25F12">
      <w:pPr>
        <w:suppressAutoHyphens/>
        <w:ind w:left="851"/>
        <w:rPr>
          <w:sz w:val="24"/>
          <w:szCs w:val="24"/>
          <w:lang w:bidi="en-GB"/>
        </w:rPr>
      </w:pPr>
      <w:r w:rsidRPr="0085642D">
        <w:rPr>
          <w:sz w:val="24"/>
          <w:szCs w:val="24"/>
          <w:lang w:bidi="en-GB"/>
        </w:rPr>
        <w:t>De farmakokinetiske parametre blev fastslået efter administration af enkeltdoser af de individuelle lægemidler emtricitabin 200 mg eller tenofovirdisoproxil 245 mg til ikke-hiv</w:t>
      </w:r>
      <w:r w:rsidRPr="0085642D">
        <w:rPr>
          <w:sz w:val="24"/>
          <w:szCs w:val="24"/>
          <w:lang w:bidi="en-GB"/>
        </w:rPr>
        <w:noBreakHyphen/>
        <w:t xml:space="preserve">inficerede patienter med varierende grader af nedsat nyrefunktion. Graden af nedsat nyrefunktion blev defineret i henhold til </w:t>
      </w:r>
      <w:r w:rsidRPr="0085642D">
        <w:rPr>
          <w:i/>
          <w:sz w:val="24"/>
          <w:szCs w:val="24"/>
          <w:lang w:bidi="en-GB"/>
        </w:rPr>
        <w:t xml:space="preserve">baseline </w:t>
      </w:r>
      <w:r w:rsidRPr="0085642D">
        <w:rPr>
          <w:sz w:val="24"/>
          <w:szCs w:val="24"/>
          <w:lang w:bidi="en-GB"/>
        </w:rPr>
        <w:t>kreatininclearance (normal nyrefunktion ved kreatininclearance &gt; 80 ml/min; let nedsat funktion ved kreatininclearance=50</w:t>
      </w:r>
      <w:r w:rsidRPr="0085642D">
        <w:rPr>
          <w:sz w:val="24"/>
          <w:szCs w:val="24"/>
          <w:lang w:bidi="en-GB"/>
        </w:rPr>
        <w:noBreakHyphen/>
        <w:t>79 ml/min; moderat nedsat funktion ved kreatininclearance=30</w:t>
      </w:r>
      <w:r w:rsidRPr="0085642D">
        <w:rPr>
          <w:sz w:val="24"/>
          <w:szCs w:val="24"/>
          <w:lang w:bidi="en-GB"/>
        </w:rPr>
        <w:noBreakHyphen/>
        <w:t>49 ml/min og svær nedsat funktion ved kreatininclearance=10</w:t>
      </w:r>
      <w:r w:rsidRPr="0085642D">
        <w:rPr>
          <w:sz w:val="24"/>
          <w:szCs w:val="24"/>
          <w:lang w:bidi="en-GB"/>
        </w:rPr>
        <w:noBreakHyphen/>
        <w:t>29 ml/min).</w:t>
      </w:r>
    </w:p>
    <w:p w:rsidR="00D25F12" w:rsidRPr="0085642D" w:rsidRDefault="00D25F12" w:rsidP="00D25F12">
      <w:pPr>
        <w:suppressAutoHyphens/>
        <w:ind w:left="851"/>
        <w:rPr>
          <w:sz w:val="24"/>
          <w:szCs w:val="24"/>
          <w:lang w:bidi="en-GB"/>
        </w:rPr>
      </w:pPr>
    </w:p>
    <w:p w:rsidR="00D25F12" w:rsidRPr="0085642D" w:rsidRDefault="00D25F12" w:rsidP="00D25F12">
      <w:pPr>
        <w:suppressAutoHyphens/>
        <w:ind w:left="851"/>
        <w:rPr>
          <w:sz w:val="24"/>
          <w:szCs w:val="24"/>
          <w:lang w:bidi="en-GB"/>
        </w:rPr>
      </w:pPr>
      <w:r w:rsidRPr="0085642D">
        <w:rPr>
          <w:sz w:val="24"/>
          <w:szCs w:val="24"/>
          <w:lang w:bidi="en-GB"/>
        </w:rPr>
        <w:t>Gennemsnitlig (% CV) emtricitabin</w:t>
      </w:r>
      <w:r w:rsidRPr="0085642D">
        <w:rPr>
          <w:sz w:val="24"/>
          <w:szCs w:val="24"/>
          <w:lang w:bidi="en-GB"/>
        </w:rPr>
        <w:noBreakHyphen/>
        <w:t>eksponering øgedes fra 12 µg·t/ml (25 %) hos patienter med normal nyrefunktion til henholdsvis 20 µg·t/ml (6 %), 25 µg·t/ml (23 %) og 34 µg·t/ml (6 %) hos patienter med let, moderat og svær nedsat nyrefunktion.</w:t>
      </w:r>
    </w:p>
    <w:p w:rsidR="00D25F12" w:rsidRPr="0085642D" w:rsidRDefault="00D25F12" w:rsidP="00D25F12">
      <w:pPr>
        <w:suppressAutoHyphens/>
        <w:ind w:left="851"/>
        <w:rPr>
          <w:sz w:val="24"/>
          <w:szCs w:val="24"/>
          <w:lang w:bidi="en-GB"/>
        </w:rPr>
      </w:pPr>
    </w:p>
    <w:p w:rsidR="00D25F12" w:rsidRPr="0085642D" w:rsidRDefault="00D25F12" w:rsidP="00D25F12">
      <w:pPr>
        <w:suppressAutoHyphens/>
        <w:ind w:left="851"/>
        <w:rPr>
          <w:sz w:val="24"/>
          <w:szCs w:val="24"/>
          <w:lang w:bidi="en-GB"/>
        </w:rPr>
      </w:pPr>
      <w:r w:rsidRPr="0085642D">
        <w:rPr>
          <w:sz w:val="24"/>
          <w:szCs w:val="24"/>
          <w:lang w:bidi="en-GB"/>
        </w:rPr>
        <w:t>Gennemsnitlig (% CV) tenofovir</w:t>
      </w:r>
      <w:r w:rsidRPr="0085642D">
        <w:rPr>
          <w:sz w:val="24"/>
          <w:szCs w:val="24"/>
          <w:lang w:bidi="en-GB"/>
        </w:rPr>
        <w:noBreakHyphen/>
        <w:t>eksponering øgedes fra 2.185 ng·t/ml (12 %) hos patienter med normal nyrefunktion til henholdsvis 3.064 ng·t/ml (30 %), 6.009 ng·t/ml (42 %) og 15.985 ng·t/ml (45 %) hos patienter med let, moderat og svær nedsat nyrefunktion.</w:t>
      </w:r>
    </w:p>
    <w:p w:rsidR="00D25F12" w:rsidRPr="0085642D" w:rsidRDefault="00D25F12" w:rsidP="00D25F12">
      <w:pPr>
        <w:suppressAutoHyphens/>
        <w:ind w:left="851"/>
        <w:rPr>
          <w:sz w:val="24"/>
          <w:szCs w:val="24"/>
          <w:lang w:bidi="en-GB"/>
        </w:rPr>
      </w:pPr>
    </w:p>
    <w:p w:rsidR="00D25F12" w:rsidRPr="0085642D" w:rsidRDefault="00D25F12" w:rsidP="00D25F12">
      <w:pPr>
        <w:suppressAutoHyphens/>
        <w:ind w:left="851"/>
        <w:rPr>
          <w:sz w:val="24"/>
          <w:szCs w:val="24"/>
          <w:lang w:bidi="en-GB"/>
        </w:rPr>
      </w:pPr>
      <w:r w:rsidRPr="0085642D">
        <w:rPr>
          <w:sz w:val="24"/>
          <w:szCs w:val="24"/>
          <w:lang w:bidi="en-GB"/>
        </w:rPr>
        <w:t>Hos patienter med nyresygdom i slutstadiet (ESRD), hvor hæmodialyse var påkrævet, øgedes emtricitabin</w:t>
      </w:r>
      <w:r w:rsidRPr="0085642D">
        <w:rPr>
          <w:sz w:val="24"/>
          <w:szCs w:val="24"/>
          <w:lang w:bidi="en-GB"/>
        </w:rPr>
        <w:noBreakHyphen/>
        <w:t>eksponeringen mellem dialysebehandlingerne væsentligt i løbet af 72 timer til 53 µg·t/ml (19 %), og tenofovir</w:t>
      </w:r>
      <w:r w:rsidRPr="0085642D">
        <w:rPr>
          <w:sz w:val="24"/>
          <w:szCs w:val="24"/>
          <w:lang w:bidi="en-GB"/>
        </w:rPr>
        <w:noBreakHyphen/>
        <w:t>eksponeringen øgedes i løbet af 48 timer til 42.857 ng·t/ml (29 %).</w:t>
      </w:r>
    </w:p>
    <w:p w:rsidR="00D25F12" w:rsidRPr="0085642D" w:rsidRDefault="00D25F12" w:rsidP="00D25F12">
      <w:pPr>
        <w:suppressAutoHyphens/>
        <w:ind w:left="851"/>
        <w:rPr>
          <w:sz w:val="24"/>
          <w:szCs w:val="24"/>
          <w:lang w:bidi="en-GB"/>
        </w:rPr>
      </w:pPr>
    </w:p>
    <w:p w:rsidR="00D25F12" w:rsidRPr="0085642D" w:rsidRDefault="00D25F12" w:rsidP="00D25F12">
      <w:pPr>
        <w:suppressAutoHyphens/>
        <w:ind w:left="851"/>
        <w:rPr>
          <w:sz w:val="24"/>
          <w:szCs w:val="24"/>
          <w:lang w:bidi="en-GB"/>
        </w:rPr>
      </w:pPr>
      <w:r w:rsidRPr="0085642D">
        <w:rPr>
          <w:sz w:val="24"/>
          <w:szCs w:val="24"/>
          <w:lang w:bidi="en-GB"/>
        </w:rPr>
        <w:t>Efavirenz’ farmakokinetik er ikke undersøgt hos patienter med nedsat nyrefunktion. Dog udskilles mindre end 1 % af en efavirenzdosis uændret i urinen, så indvirkningen af nedsat funktion på efavirenz</w:t>
      </w:r>
      <w:r w:rsidRPr="0085642D">
        <w:rPr>
          <w:sz w:val="24"/>
          <w:szCs w:val="24"/>
          <w:lang w:bidi="en-GB"/>
        </w:rPr>
        <w:noBreakHyphen/>
        <w:t>eksponeringen er sandsynligvis minimal.</w:t>
      </w:r>
    </w:p>
    <w:p w:rsidR="00D25F12" w:rsidRPr="0085642D" w:rsidRDefault="00D25F12" w:rsidP="00D25F12">
      <w:pPr>
        <w:suppressAutoHyphens/>
        <w:ind w:left="851"/>
        <w:rPr>
          <w:sz w:val="24"/>
          <w:szCs w:val="24"/>
          <w:lang w:bidi="en-GB"/>
        </w:rPr>
      </w:pPr>
    </w:p>
    <w:p w:rsidR="00D25F12" w:rsidRPr="0085642D" w:rsidRDefault="00D25F12" w:rsidP="00D25F12">
      <w:pPr>
        <w:suppressAutoHyphens/>
        <w:ind w:left="851"/>
        <w:rPr>
          <w:sz w:val="24"/>
          <w:szCs w:val="24"/>
          <w:lang w:bidi="en-GB"/>
        </w:rPr>
      </w:pPr>
      <w:r w:rsidRPr="0085642D">
        <w:rPr>
          <w:sz w:val="24"/>
          <w:szCs w:val="24"/>
        </w:rPr>
        <w:t>Efavirenz/emtricitabin/tenofovirdisoproxil</w:t>
      </w:r>
      <w:r w:rsidRPr="0085642D">
        <w:rPr>
          <w:sz w:val="24"/>
          <w:szCs w:val="24"/>
          <w:lang w:bidi="en-GB"/>
        </w:rPr>
        <w:t xml:space="preserve"> frarådes til patienter med moderat eller svær nedsat nyrefunktion (kreatininclearance &lt; 50 ml/min). Hos patienter med moderat eller svær nedsat nyrefunktion er det nødvendigt at justere doseringsintervallet for emtricitabin og tenofovirdisoproxil, som ikke kan opnås med kombinationstabletten (se pkt. 4.2 og 4.4).</w:t>
      </w:r>
    </w:p>
    <w:p w:rsidR="00D25F12" w:rsidRPr="0085642D" w:rsidRDefault="00D25F12" w:rsidP="00D25F12">
      <w:pPr>
        <w:suppressAutoHyphens/>
        <w:ind w:left="851"/>
        <w:rPr>
          <w:sz w:val="24"/>
          <w:szCs w:val="24"/>
          <w:lang w:bidi="en-GB"/>
        </w:rPr>
      </w:pPr>
    </w:p>
    <w:p w:rsidR="00D25F12" w:rsidRPr="0085642D" w:rsidRDefault="00D25F12" w:rsidP="00FE0330">
      <w:pPr>
        <w:keepNext/>
        <w:suppressAutoHyphens/>
        <w:ind w:left="851"/>
        <w:rPr>
          <w:i/>
          <w:sz w:val="24"/>
          <w:szCs w:val="24"/>
          <w:lang w:bidi="en-GB"/>
        </w:rPr>
      </w:pPr>
      <w:r w:rsidRPr="0085642D">
        <w:rPr>
          <w:i/>
          <w:sz w:val="24"/>
          <w:szCs w:val="24"/>
          <w:lang w:bidi="en-GB"/>
        </w:rPr>
        <w:t>Nedsat leverfunktion</w:t>
      </w:r>
    </w:p>
    <w:p w:rsidR="00D25F12" w:rsidRPr="0085642D" w:rsidRDefault="00D25F12" w:rsidP="00D25F12">
      <w:pPr>
        <w:suppressAutoHyphens/>
        <w:ind w:left="851"/>
        <w:rPr>
          <w:sz w:val="24"/>
          <w:szCs w:val="24"/>
          <w:lang w:bidi="en-GB"/>
        </w:rPr>
      </w:pPr>
      <w:r w:rsidRPr="0085642D">
        <w:rPr>
          <w:sz w:val="24"/>
          <w:szCs w:val="24"/>
        </w:rPr>
        <w:t>Efavirenz/emtricitabin/tenofovirdisoproxils</w:t>
      </w:r>
      <w:r w:rsidRPr="0085642D">
        <w:rPr>
          <w:sz w:val="24"/>
          <w:szCs w:val="24"/>
          <w:lang w:bidi="en-GB"/>
        </w:rPr>
        <w:t xml:space="preserve"> farmakokinetik er ikke undersøgt hos hiv</w:t>
      </w:r>
      <w:r w:rsidRPr="0085642D">
        <w:rPr>
          <w:sz w:val="24"/>
          <w:szCs w:val="24"/>
          <w:lang w:bidi="en-GB"/>
        </w:rPr>
        <w:noBreakHyphen/>
        <w:t xml:space="preserve">inficerede patienter med nedsat leverfunktion. </w:t>
      </w:r>
      <w:r w:rsidRPr="0085642D">
        <w:rPr>
          <w:sz w:val="24"/>
          <w:szCs w:val="24"/>
        </w:rPr>
        <w:t>Efavirenz/emtricitabin/tenofovirdisoproxil</w:t>
      </w:r>
      <w:r w:rsidRPr="0085642D">
        <w:rPr>
          <w:sz w:val="24"/>
          <w:szCs w:val="24"/>
          <w:lang w:bidi="en-GB"/>
        </w:rPr>
        <w:t xml:space="preserve"> bør administreres med forsigtighed til patienter med let nedsat leverfunktion (se pkt. 4.3 og 4.4).</w:t>
      </w:r>
    </w:p>
    <w:p w:rsidR="00D25F12" w:rsidRPr="0085642D" w:rsidRDefault="00D25F12" w:rsidP="00D25F12">
      <w:pPr>
        <w:suppressAutoHyphens/>
        <w:ind w:left="851"/>
        <w:rPr>
          <w:sz w:val="24"/>
          <w:szCs w:val="24"/>
          <w:lang w:bidi="en-GB"/>
        </w:rPr>
      </w:pPr>
    </w:p>
    <w:p w:rsidR="00D25F12" w:rsidRPr="0085642D" w:rsidRDefault="00D25F12" w:rsidP="00D25F12">
      <w:pPr>
        <w:suppressAutoHyphens/>
        <w:ind w:left="851"/>
        <w:rPr>
          <w:sz w:val="24"/>
          <w:szCs w:val="24"/>
          <w:lang w:bidi="en-GB"/>
        </w:rPr>
      </w:pPr>
      <w:r w:rsidRPr="0085642D">
        <w:rPr>
          <w:sz w:val="24"/>
          <w:szCs w:val="24"/>
        </w:rPr>
        <w:t>Efavirenz/emtricitabin/tenofovirdisoproxil</w:t>
      </w:r>
      <w:r w:rsidRPr="0085642D">
        <w:rPr>
          <w:sz w:val="24"/>
          <w:szCs w:val="24"/>
          <w:lang w:bidi="en-GB"/>
        </w:rPr>
        <w:t xml:space="preserve"> må ikke gives til patienter med svært nedsat leverfunktion (se pkt. 4.3) og bør ikke anvendes til patienter med moderat nedsat leverfunktion. I et enkeltdosisstudie fordobledes efavirenz’ halveringstid hos den eneste patient med svært nedsat leverfunktion (Child</w:t>
      </w:r>
      <w:r w:rsidRPr="0085642D">
        <w:rPr>
          <w:sz w:val="24"/>
          <w:szCs w:val="24"/>
          <w:lang w:bidi="en-GB"/>
        </w:rPr>
        <w:noBreakHyphen/>
        <w:t>Pugh</w:t>
      </w:r>
      <w:r w:rsidRPr="0085642D">
        <w:rPr>
          <w:sz w:val="24"/>
          <w:szCs w:val="24"/>
          <w:lang w:bidi="en-GB"/>
        </w:rPr>
        <w:noBreakHyphen/>
        <w:t>Turcotte klasse C), hvilket tyder på potentiale for en meget højere grad af akkumulering. Et studie af efavirenz med multiple doser viste ingen signifikant påvirkning af efavirenz’ farmakokinetik hos patienter med let nedsat leverfunktion (Child</w:t>
      </w:r>
      <w:r w:rsidRPr="0085642D">
        <w:rPr>
          <w:sz w:val="24"/>
          <w:szCs w:val="24"/>
          <w:lang w:bidi="en-GB"/>
        </w:rPr>
        <w:noBreakHyphen/>
        <w:t>Pugh</w:t>
      </w:r>
      <w:r w:rsidRPr="0085642D">
        <w:rPr>
          <w:sz w:val="24"/>
          <w:szCs w:val="24"/>
          <w:lang w:bidi="en-GB"/>
        </w:rPr>
        <w:noBreakHyphen/>
        <w:t xml:space="preserve">Turcotte klasse A) sammenlignet med kontrolgruppen. </w:t>
      </w:r>
      <w:r w:rsidRPr="0085642D">
        <w:rPr>
          <w:sz w:val="24"/>
          <w:szCs w:val="24"/>
          <w:lang w:bidi="en-GB"/>
        </w:rPr>
        <w:lastRenderedPageBreak/>
        <w:t>Der var utilstrækkelige data til at bestemme, om moderat eller svært nedsat leverfunktion (Child</w:t>
      </w:r>
      <w:r w:rsidRPr="0085642D">
        <w:rPr>
          <w:sz w:val="24"/>
          <w:szCs w:val="24"/>
          <w:lang w:bidi="en-GB"/>
        </w:rPr>
        <w:noBreakHyphen/>
        <w:t>Pugh</w:t>
      </w:r>
      <w:r w:rsidRPr="0085642D">
        <w:rPr>
          <w:sz w:val="24"/>
          <w:szCs w:val="24"/>
          <w:lang w:bidi="en-GB"/>
        </w:rPr>
        <w:noBreakHyphen/>
        <w:t>Turcotte klasse B eller C) påvirker farmakokinetikken af efavirenz.</w:t>
      </w:r>
    </w:p>
    <w:p w:rsidR="00D25F12" w:rsidRPr="0085642D" w:rsidRDefault="00D25F12" w:rsidP="00D25F12">
      <w:pPr>
        <w:suppressAutoHyphens/>
        <w:ind w:left="851"/>
        <w:rPr>
          <w:sz w:val="24"/>
          <w:szCs w:val="24"/>
          <w:lang w:bidi="en-GB"/>
        </w:rPr>
      </w:pPr>
    </w:p>
    <w:p w:rsidR="00D25F12" w:rsidRPr="0085642D" w:rsidRDefault="00D25F12" w:rsidP="00D25F12">
      <w:pPr>
        <w:suppressAutoHyphens/>
        <w:ind w:left="851"/>
        <w:rPr>
          <w:sz w:val="24"/>
          <w:szCs w:val="24"/>
          <w:lang w:bidi="en-GB"/>
        </w:rPr>
      </w:pPr>
      <w:r w:rsidRPr="0085642D">
        <w:rPr>
          <w:sz w:val="24"/>
          <w:szCs w:val="24"/>
          <w:lang w:bidi="en-GB"/>
        </w:rPr>
        <w:t>Emtricitabins farmakokinetik er ikke undersøgt hos ikke</w:t>
      </w:r>
      <w:r w:rsidRPr="0085642D">
        <w:rPr>
          <w:sz w:val="24"/>
          <w:szCs w:val="24"/>
          <w:lang w:bidi="en-GB"/>
        </w:rPr>
        <w:noBreakHyphen/>
        <w:t>HBV</w:t>
      </w:r>
      <w:r w:rsidRPr="0085642D">
        <w:rPr>
          <w:sz w:val="24"/>
          <w:szCs w:val="24"/>
          <w:lang w:bidi="en-GB"/>
        </w:rPr>
        <w:noBreakHyphen/>
        <w:t>inficerede patienter med varierende grader af leverinsufficiens. Generelt var emtricitabins farmakokinetik hos HBV</w:t>
      </w:r>
      <w:r w:rsidRPr="0085642D">
        <w:rPr>
          <w:sz w:val="24"/>
          <w:szCs w:val="24"/>
          <w:lang w:bidi="en-GB"/>
        </w:rPr>
        <w:noBreakHyphen/>
        <w:t>inficerede patienter den samme som hos raske studiepersoner og hos hiv</w:t>
      </w:r>
      <w:r w:rsidRPr="0085642D">
        <w:rPr>
          <w:sz w:val="24"/>
          <w:szCs w:val="24"/>
          <w:lang w:bidi="en-GB"/>
        </w:rPr>
        <w:noBreakHyphen/>
        <w:t>inficerede patienter.</w:t>
      </w:r>
    </w:p>
    <w:p w:rsidR="00D25F12" w:rsidRPr="0085642D" w:rsidRDefault="00D25F12" w:rsidP="00D25F12">
      <w:pPr>
        <w:suppressAutoHyphens/>
        <w:ind w:left="851"/>
        <w:rPr>
          <w:sz w:val="24"/>
          <w:szCs w:val="24"/>
          <w:lang w:bidi="en-GB"/>
        </w:rPr>
      </w:pPr>
    </w:p>
    <w:p w:rsidR="00D25F12" w:rsidRPr="0085642D" w:rsidRDefault="00D25F12" w:rsidP="00D25F12">
      <w:pPr>
        <w:suppressAutoHyphens/>
        <w:ind w:left="851"/>
        <w:rPr>
          <w:sz w:val="24"/>
          <w:szCs w:val="24"/>
          <w:lang w:bidi="en-GB"/>
        </w:rPr>
      </w:pPr>
      <w:r w:rsidRPr="0085642D">
        <w:rPr>
          <w:sz w:val="24"/>
          <w:szCs w:val="24"/>
          <w:lang w:bidi="en-GB"/>
        </w:rPr>
        <w:t>En enkelt dosis på 245 mg tenofovirdisoproxil blev administreret til ikke</w:t>
      </w:r>
      <w:r w:rsidRPr="0085642D">
        <w:rPr>
          <w:sz w:val="24"/>
          <w:szCs w:val="24"/>
          <w:lang w:bidi="en-GB"/>
        </w:rPr>
        <w:noBreakHyphen/>
        <w:t>hiv</w:t>
      </w:r>
      <w:r w:rsidRPr="0085642D">
        <w:rPr>
          <w:sz w:val="24"/>
          <w:szCs w:val="24"/>
          <w:lang w:bidi="en-GB"/>
        </w:rPr>
        <w:noBreakHyphen/>
        <w:t>inficerede patienter med varierende grader af nedsat leverfunktion, som var defineret i henhold til CPT</w:t>
      </w:r>
      <w:r w:rsidRPr="0085642D">
        <w:rPr>
          <w:sz w:val="24"/>
          <w:szCs w:val="24"/>
          <w:lang w:bidi="en-GB"/>
        </w:rPr>
        <w:noBreakHyphen/>
        <w:t>klassifikationen. Tenofovirs farmakokinetik ændredes ikke væsentligt hos studiepersoner med nedsat leverfunktion, hvilket tyder på, at justering af tenofovirdisoporxildosis ikke var nødvendig hos disse studiepersoner.</w:t>
      </w:r>
    </w:p>
    <w:p w:rsidR="00D25F12" w:rsidRPr="0085642D" w:rsidRDefault="00D25F12" w:rsidP="00D25F12">
      <w:pPr>
        <w:tabs>
          <w:tab w:val="left" w:pos="851"/>
        </w:tabs>
        <w:ind w:left="851"/>
        <w:rPr>
          <w:sz w:val="24"/>
          <w:szCs w:val="24"/>
        </w:rPr>
      </w:pPr>
    </w:p>
    <w:p w:rsidR="00D25F12" w:rsidRPr="0085642D" w:rsidRDefault="00D25F12" w:rsidP="00D25F12">
      <w:pPr>
        <w:tabs>
          <w:tab w:val="left" w:pos="851"/>
        </w:tabs>
        <w:ind w:left="851" w:hanging="851"/>
        <w:rPr>
          <w:b/>
          <w:sz w:val="24"/>
          <w:szCs w:val="24"/>
        </w:rPr>
      </w:pPr>
      <w:r w:rsidRPr="0085642D">
        <w:rPr>
          <w:b/>
          <w:sz w:val="24"/>
          <w:szCs w:val="24"/>
        </w:rPr>
        <w:t>5.3</w:t>
      </w:r>
      <w:r w:rsidRPr="0085642D">
        <w:rPr>
          <w:b/>
          <w:sz w:val="24"/>
          <w:szCs w:val="24"/>
        </w:rPr>
        <w:tab/>
      </w:r>
      <w:r w:rsidR="00FE0330">
        <w:rPr>
          <w:b/>
          <w:sz w:val="24"/>
          <w:szCs w:val="24"/>
        </w:rPr>
        <w:t>Non-</w:t>
      </w:r>
      <w:r w:rsidRPr="0085642D">
        <w:rPr>
          <w:b/>
          <w:sz w:val="24"/>
          <w:szCs w:val="24"/>
        </w:rPr>
        <w:t>kliniske sikkerhedsdata</w:t>
      </w:r>
    </w:p>
    <w:p w:rsidR="00D25F12" w:rsidRPr="0085642D" w:rsidRDefault="00D25F12" w:rsidP="00D25F12">
      <w:pPr>
        <w:ind w:left="851"/>
        <w:rPr>
          <w:sz w:val="24"/>
          <w:szCs w:val="24"/>
          <w:lang w:eastAsia="fr-LU" w:bidi="en-GB"/>
        </w:rPr>
      </w:pPr>
      <w:r w:rsidRPr="0085642D">
        <w:rPr>
          <w:i/>
          <w:sz w:val="24"/>
          <w:szCs w:val="24"/>
          <w:lang w:bidi="en-GB"/>
        </w:rPr>
        <w:t xml:space="preserve">Efavirenz: </w:t>
      </w:r>
      <w:r w:rsidRPr="0085642D">
        <w:rPr>
          <w:sz w:val="24"/>
          <w:szCs w:val="24"/>
          <w:lang w:bidi="en-GB"/>
        </w:rPr>
        <w:t>Prækliniske studier af sikkerhedsfarmakologi for efavirenz viser ingen speciel risiko for mennesker. I toksicitetsstudier efter gentagne doser blev der set biliær hyperplasi i cynomolgusaber, der fik efavirenz i ≥ 1 år i doser, som gav middel AUC</w:t>
      </w:r>
      <w:r w:rsidRPr="0085642D">
        <w:rPr>
          <w:sz w:val="24"/>
          <w:szCs w:val="24"/>
          <w:lang w:bidi="en-GB"/>
        </w:rPr>
        <w:noBreakHyphen/>
        <w:t>værdier ca. 2 gange højere end hos mennesker, der fik den anbefalede dosis. Den biliære hyperplasi svandt ved seponering. Der er set biliær fibrose hos rotter. Der er set ikke</w:t>
      </w:r>
      <w:r w:rsidRPr="0085642D">
        <w:rPr>
          <w:sz w:val="24"/>
          <w:szCs w:val="24"/>
          <w:lang w:bidi="en-GB"/>
        </w:rPr>
        <w:noBreakHyphen/>
        <w:t>vedvarende krampeanfald hos nogle aber, der fik efavirenz i ≥ 1 år ved doser, der gav plasma AUC</w:t>
      </w:r>
      <w:r w:rsidRPr="0085642D">
        <w:rPr>
          <w:sz w:val="24"/>
          <w:szCs w:val="24"/>
          <w:lang w:bidi="en-GB"/>
        </w:rPr>
        <w:noBreakHyphen/>
        <w:t>værdier 4</w:t>
      </w:r>
      <w:r w:rsidRPr="0085642D">
        <w:rPr>
          <w:sz w:val="24"/>
          <w:szCs w:val="24"/>
          <w:lang w:bidi="en-GB"/>
        </w:rPr>
        <w:noBreakHyphen/>
        <w:t>13 gange højere end hos mennesker, der fik den anbefalede dosis.</w:t>
      </w:r>
    </w:p>
    <w:p w:rsidR="00D25F12" w:rsidRPr="0085642D" w:rsidRDefault="00D25F12" w:rsidP="00D25F12">
      <w:pPr>
        <w:ind w:left="851"/>
        <w:rPr>
          <w:sz w:val="24"/>
          <w:szCs w:val="24"/>
          <w:lang w:bidi="en-GB"/>
        </w:rPr>
      </w:pPr>
    </w:p>
    <w:p w:rsidR="00D25F12" w:rsidRPr="0085642D" w:rsidRDefault="00D25F12" w:rsidP="00D25F12">
      <w:pPr>
        <w:ind w:left="851"/>
        <w:rPr>
          <w:sz w:val="24"/>
          <w:szCs w:val="24"/>
          <w:lang w:bidi="en-GB"/>
        </w:rPr>
      </w:pPr>
      <w:r w:rsidRPr="0085642D">
        <w:rPr>
          <w:sz w:val="24"/>
          <w:szCs w:val="24"/>
          <w:lang w:bidi="en-GB"/>
        </w:rPr>
        <w:t>Efavirenz var hverken mutagent eller klastogent i konventionelle genotoksicitetsanalyser. Karcinogenicitetsstudier viste en øget forekomst af hepatiske og pulmonære tumorer hos hunmus, men ikke hos hanmus. Tumordannelsesmekanismen og dens potentielle relevans for mennesker er ikke kendt. Karcinogenicitetsstudier i hanmus samt han- og hunrotter var negative.</w:t>
      </w:r>
    </w:p>
    <w:p w:rsidR="00D25F12" w:rsidRPr="0085642D" w:rsidRDefault="00D25F12" w:rsidP="00D25F12">
      <w:pPr>
        <w:ind w:left="851"/>
        <w:rPr>
          <w:sz w:val="24"/>
          <w:szCs w:val="24"/>
          <w:lang w:bidi="en-GB"/>
        </w:rPr>
      </w:pPr>
    </w:p>
    <w:p w:rsidR="00D25F12" w:rsidRPr="0085642D" w:rsidRDefault="00D25F12" w:rsidP="00D25F12">
      <w:pPr>
        <w:ind w:left="851"/>
        <w:rPr>
          <w:sz w:val="24"/>
          <w:szCs w:val="24"/>
          <w:lang w:bidi="en-GB"/>
        </w:rPr>
      </w:pPr>
      <w:r w:rsidRPr="0085642D">
        <w:rPr>
          <w:sz w:val="24"/>
          <w:szCs w:val="24"/>
          <w:lang w:bidi="en-GB"/>
        </w:rPr>
        <w:t>Studier af reproduktionstoksicitet viste øget føtal resorption hos rotter. Der sås ingen misdannelser hos fostre fra efavirenzbehandlede rotter og kaniner. Der er imidlertid set misdannelser hos 3 ud af 20 fostre/nyfødte fra efavirenzbehandlede cynomolgusaber, der fik indgivet en dosis, der resulterede i efavirenzkoncentrationer i plasma lig dem, der er set hos mennesker. Anencefali og unilateral anophthalmia med sekundær forstørrelse af tungen sås hos ét foster, microphthalmia hos et andet foster og ganespalte hos et tredje foster.</w:t>
      </w:r>
    </w:p>
    <w:p w:rsidR="00D25F12" w:rsidRPr="0085642D" w:rsidRDefault="00D25F12" w:rsidP="00D25F12">
      <w:pPr>
        <w:ind w:left="851"/>
        <w:rPr>
          <w:sz w:val="24"/>
          <w:szCs w:val="24"/>
          <w:lang w:bidi="en-GB"/>
        </w:rPr>
      </w:pPr>
    </w:p>
    <w:p w:rsidR="00D25F12" w:rsidRPr="0085642D" w:rsidRDefault="00D25F12" w:rsidP="00D25F12">
      <w:pPr>
        <w:ind w:left="851"/>
        <w:rPr>
          <w:sz w:val="24"/>
          <w:szCs w:val="24"/>
          <w:lang w:bidi="en-GB"/>
        </w:rPr>
      </w:pPr>
      <w:r w:rsidRPr="0085642D">
        <w:rPr>
          <w:i/>
          <w:sz w:val="24"/>
          <w:szCs w:val="24"/>
          <w:lang w:bidi="en-GB"/>
        </w:rPr>
        <w:t xml:space="preserve">Emtricitabin: </w:t>
      </w:r>
      <w:r w:rsidRPr="0085642D">
        <w:rPr>
          <w:sz w:val="24"/>
          <w:szCs w:val="24"/>
          <w:lang w:bidi="en-GB"/>
        </w:rPr>
        <w:t>Prækliniske data for emtricitabin viser ingen speciel risiko for mennesker vurderet ud fra konventionelle studier af sikkerhedsfarmakologi, toksicitet efter gentagne doser, genotoksicitet, karcinogenicitet samt reproduktions- og udviklingstoksicitet.</w:t>
      </w:r>
    </w:p>
    <w:p w:rsidR="00D25F12" w:rsidRPr="0085642D" w:rsidRDefault="00D25F12" w:rsidP="00D25F12">
      <w:pPr>
        <w:ind w:left="851"/>
        <w:rPr>
          <w:sz w:val="24"/>
          <w:szCs w:val="24"/>
          <w:lang w:bidi="en-GB"/>
        </w:rPr>
      </w:pPr>
    </w:p>
    <w:p w:rsidR="00D25F12" w:rsidRPr="0085642D" w:rsidRDefault="00D25F12" w:rsidP="00D25F12">
      <w:pPr>
        <w:ind w:left="851"/>
        <w:rPr>
          <w:sz w:val="24"/>
          <w:szCs w:val="24"/>
          <w:lang w:bidi="en-GB"/>
        </w:rPr>
      </w:pPr>
      <w:r w:rsidRPr="0085642D">
        <w:rPr>
          <w:i/>
          <w:sz w:val="24"/>
          <w:szCs w:val="24"/>
          <w:lang w:bidi="en-GB"/>
        </w:rPr>
        <w:t xml:space="preserve">Tenofovirdisoproxil: </w:t>
      </w:r>
      <w:r w:rsidRPr="0085642D">
        <w:rPr>
          <w:sz w:val="24"/>
          <w:szCs w:val="24"/>
          <w:lang w:bidi="en-GB"/>
        </w:rPr>
        <w:t>Prækliniske studier af sikkerhedsfarmakologi for tenofovirdisoproxil viser ingen speciel risiko for mennesker. Resultater fra toksicitetsstudier efter gentagne doser hos rotter, hunde og aber ved eksponeringsniveauer højere end eller lig med kliniske eksponeringsniveauer og med mulig relevans for klinisk anvendelse omfatter nyre- og knogletoksicitet og et fald i serum-phosphat</w:t>
      </w:r>
      <w:r w:rsidRPr="0085642D">
        <w:rPr>
          <w:sz w:val="24"/>
          <w:szCs w:val="24"/>
          <w:lang w:bidi="en-GB"/>
        </w:rPr>
        <w:noBreakHyphen/>
        <w:t xml:space="preserve">koncentrationen. Knogletoksicitet blev diagnosticeret som osteomalaci (aber) og nedsat knoglemineraltæthed (BMD) (rotter og hunde). Knogletoksicitet hos unge voksne rotter og hunde forekom ved eksponeringer ≥ 5 gange eksponeringen hos pædiatriske eller voksne patienter; knogletoksicitet forekom hos unge inficerede aber ved meget høje eksponeringer efter subkutan dosering (≥ 40 gange eksponeringen hos patienter). Fund ved studier med rotter og aber viste, at der var </w:t>
      </w:r>
      <w:r w:rsidRPr="0085642D">
        <w:rPr>
          <w:sz w:val="24"/>
          <w:szCs w:val="24"/>
          <w:lang w:bidi="en-GB"/>
        </w:rPr>
        <w:lastRenderedPageBreak/>
        <w:t>en stofrelateret reduktion i den intestinale absorption af phosphat med potentiel, sekundær reduktion af BMD.</w:t>
      </w:r>
    </w:p>
    <w:p w:rsidR="00D25F12" w:rsidRPr="0085642D" w:rsidRDefault="00D25F12" w:rsidP="00D25F12">
      <w:pPr>
        <w:ind w:left="851"/>
        <w:rPr>
          <w:sz w:val="24"/>
          <w:szCs w:val="24"/>
          <w:lang w:bidi="en-GB"/>
        </w:rPr>
      </w:pPr>
    </w:p>
    <w:p w:rsidR="00D25F12" w:rsidRPr="0085642D" w:rsidRDefault="00D25F12" w:rsidP="00D25F12">
      <w:pPr>
        <w:ind w:left="851"/>
        <w:rPr>
          <w:sz w:val="24"/>
          <w:szCs w:val="24"/>
          <w:lang w:bidi="en-GB"/>
        </w:rPr>
      </w:pPr>
      <w:r w:rsidRPr="0085642D">
        <w:rPr>
          <w:sz w:val="24"/>
          <w:szCs w:val="24"/>
          <w:lang w:bidi="en-GB"/>
        </w:rPr>
        <w:t xml:space="preserve">Genotoksicitetsstudier viste positive resultater i </w:t>
      </w:r>
      <w:r w:rsidRPr="0085642D">
        <w:rPr>
          <w:i/>
          <w:sz w:val="24"/>
          <w:szCs w:val="24"/>
          <w:lang w:bidi="en-GB"/>
        </w:rPr>
        <w:t>in vitro</w:t>
      </w:r>
      <w:r w:rsidRPr="0085642D">
        <w:rPr>
          <w:sz w:val="24"/>
          <w:szCs w:val="24"/>
          <w:lang w:bidi="en-GB"/>
        </w:rPr>
        <w:noBreakHyphen/>
        <w:t>muselymfomanalysen, uklare resultater for en af de stammer, der blev anvendt i Ames</w:t>
      </w:r>
      <w:r w:rsidRPr="0085642D">
        <w:rPr>
          <w:sz w:val="24"/>
          <w:szCs w:val="24"/>
          <w:lang w:bidi="en-GB"/>
        </w:rPr>
        <w:noBreakHyphen/>
        <w:t>testen, og svagt positive resultater i UDS</w:t>
      </w:r>
      <w:r w:rsidRPr="0085642D">
        <w:rPr>
          <w:sz w:val="24"/>
          <w:szCs w:val="24"/>
          <w:lang w:bidi="en-GB"/>
        </w:rPr>
        <w:noBreakHyphen/>
        <w:t xml:space="preserve">testen i primære rottehepatocytter. Resultaterne var imidlertid negative i en </w:t>
      </w:r>
      <w:r w:rsidRPr="0085642D">
        <w:rPr>
          <w:i/>
          <w:sz w:val="24"/>
          <w:szCs w:val="24"/>
          <w:lang w:bidi="en-GB"/>
        </w:rPr>
        <w:t>in vivo</w:t>
      </w:r>
      <w:r w:rsidRPr="0085642D">
        <w:rPr>
          <w:sz w:val="24"/>
          <w:szCs w:val="24"/>
          <w:lang w:bidi="en-GB"/>
        </w:rPr>
        <w:noBreakHyphen/>
        <w:t>mikronukleusanalyse med museknoglemarv.</w:t>
      </w:r>
    </w:p>
    <w:p w:rsidR="00D25F12" w:rsidRPr="0085642D" w:rsidRDefault="00D25F12" w:rsidP="00D25F12">
      <w:pPr>
        <w:ind w:left="851"/>
        <w:rPr>
          <w:sz w:val="24"/>
          <w:szCs w:val="24"/>
          <w:lang w:bidi="en-GB"/>
        </w:rPr>
      </w:pPr>
    </w:p>
    <w:p w:rsidR="00D25F12" w:rsidRPr="0085642D" w:rsidRDefault="00D25F12" w:rsidP="00D25F12">
      <w:pPr>
        <w:ind w:left="851"/>
        <w:rPr>
          <w:sz w:val="24"/>
          <w:szCs w:val="24"/>
          <w:lang w:bidi="en-GB"/>
        </w:rPr>
      </w:pPr>
      <w:r w:rsidRPr="0085642D">
        <w:rPr>
          <w:sz w:val="24"/>
          <w:szCs w:val="24"/>
          <w:lang w:bidi="en-GB"/>
        </w:rPr>
        <w:t>Orale karcinogenicitetsstudier hos rotter og mus viste kun en lav forekomst af duodenaltumorer ved en ekstremt høj dosis givet til mus. Disse tumorer har sandsynligvis ingen relevans for mennesker.</w:t>
      </w:r>
    </w:p>
    <w:p w:rsidR="00D25F12" w:rsidRPr="0085642D" w:rsidRDefault="00D25F12" w:rsidP="00D25F12">
      <w:pPr>
        <w:ind w:left="851"/>
        <w:rPr>
          <w:sz w:val="24"/>
          <w:szCs w:val="24"/>
          <w:lang w:bidi="en-GB"/>
        </w:rPr>
      </w:pPr>
    </w:p>
    <w:p w:rsidR="00D25F12" w:rsidRPr="0085642D" w:rsidRDefault="00D25F12" w:rsidP="00D25F12">
      <w:pPr>
        <w:ind w:left="851"/>
        <w:rPr>
          <w:sz w:val="24"/>
          <w:szCs w:val="24"/>
          <w:lang w:bidi="en-GB"/>
        </w:rPr>
      </w:pPr>
      <w:r w:rsidRPr="0085642D">
        <w:rPr>
          <w:sz w:val="24"/>
          <w:szCs w:val="24"/>
          <w:lang w:bidi="en-GB"/>
        </w:rPr>
        <w:t>Studier af reproduktionstoksicitet udført hos rotter og kaniner viste ingen virkninger hverken på parrings-, fertilitets-, graviditets- eller fosterparametre. Tenofovirdisoproxil reducerede imidlertid afkommets levedygtighed og vægt i peri</w:t>
      </w:r>
      <w:r w:rsidRPr="0085642D">
        <w:rPr>
          <w:sz w:val="24"/>
          <w:szCs w:val="24"/>
          <w:lang w:bidi="en-GB"/>
        </w:rPr>
        <w:noBreakHyphen/>
        <w:t>postnatale toksicitetsstudier ved doser, der var toksiske for moderen.</w:t>
      </w:r>
    </w:p>
    <w:p w:rsidR="00D25F12" w:rsidRPr="0085642D" w:rsidRDefault="00D25F12" w:rsidP="00D25F12">
      <w:pPr>
        <w:ind w:left="851"/>
        <w:rPr>
          <w:sz w:val="24"/>
          <w:szCs w:val="24"/>
          <w:lang w:bidi="en-GB"/>
        </w:rPr>
      </w:pPr>
    </w:p>
    <w:p w:rsidR="00D25F12" w:rsidRPr="0085642D" w:rsidRDefault="00D25F12" w:rsidP="00D25F12">
      <w:pPr>
        <w:ind w:left="851"/>
        <w:rPr>
          <w:sz w:val="24"/>
          <w:szCs w:val="24"/>
          <w:lang w:bidi="en-GB"/>
        </w:rPr>
      </w:pPr>
      <w:r w:rsidRPr="0085642D">
        <w:rPr>
          <w:i/>
          <w:sz w:val="24"/>
          <w:szCs w:val="24"/>
          <w:lang w:bidi="en-GB"/>
        </w:rPr>
        <w:t xml:space="preserve">Kombination af emtricitabin og tenofovirdisoproxil: </w:t>
      </w:r>
      <w:r w:rsidRPr="0085642D">
        <w:rPr>
          <w:sz w:val="24"/>
          <w:szCs w:val="24"/>
          <w:lang w:bidi="en-GB"/>
        </w:rPr>
        <w:t>I studier af en måneds varighed eller derunder af genotoksicitet og af toksicitet efter gentagne doser med en kombination af disse to indholdsstoffer blev der ikke fundet nogen forværring af toksikologiske virkninger, sammenlignet med studier med de separate indholdsstoffer.</w:t>
      </w:r>
    </w:p>
    <w:p w:rsidR="00D25F12" w:rsidRPr="0085642D" w:rsidRDefault="00D25F12" w:rsidP="00D25F12">
      <w:pPr>
        <w:tabs>
          <w:tab w:val="left" w:pos="851"/>
        </w:tabs>
        <w:ind w:left="851"/>
        <w:rPr>
          <w:sz w:val="24"/>
          <w:szCs w:val="24"/>
        </w:rPr>
      </w:pPr>
    </w:p>
    <w:p w:rsidR="00D25F12" w:rsidRPr="0085642D" w:rsidRDefault="00D25F12" w:rsidP="00D25F12">
      <w:pPr>
        <w:tabs>
          <w:tab w:val="left" w:pos="851"/>
        </w:tabs>
        <w:ind w:left="851"/>
        <w:rPr>
          <w:sz w:val="24"/>
          <w:szCs w:val="24"/>
        </w:rPr>
      </w:pPr>
    </w:p>
    <w:p w:rsidR="00D25F12" w:rsidRPr="0085642D" w:rsidRDefault="00D25F12" w:rsidP="00D25F12">
      <w:pPr>
        <w:tabs>
          <w:tab w:val="left" w:pos="851"/>
        </w:tabs>
        <w:ind w:left="851" w:hanging="851"/>
        <w:rPr>
          <w:b/>
          <w:sz w:val="24"/>
          <w:szCs w:val="24"/>
        </w:rPr>
      </w:pPr>
      <w:r w:rsidRPr="0085642D">
        <w:rPr>
          <w:b/>
          <w:sz w:val="24"/>
          <w:szCs w:val="24"/>
        </w:rPr>
        <w:t>6.</w:t>
      </w:r>
      <w:r w:rsidRPr="0085642D">
        <w:rPr>
          <w:b/>
          <w:sz w:val="24"/>
          <w:szCs w:val="24"/>
        </w:rPr>
        <w:tab/>
        <w:t>FARMACEUTISKE OPLYSNINGER</w:t>
      </w:r>
    </w:p>
    <w:p w:rsidR="00D25F12" w:rsidRPr="0085642D" w:rsidRDefault="00D25F12" w:rsidP="00D25F12">
      <w:pPr>
        <w:tabs>
          <w:tab w:val="left" w:pos="851"/>
        </w:tabs>
        <w:ind w:left="851"/>
        <w:rPr>
          <w:sz w:val="24"/>
          <w:szCs w:val="24"/>
        </w:rPr>
      </w:pPr>
    </w:p>
    <w:p w:rsidR="00D25F12" w:rsidRPr="0085642D" w:rsidRDefault="00D25F12" w:rsidP="00D25F12">
      <w:pPr>
        <w:tabs>
          <w:tab w:val="left" w:pos="851"/>
        </w:tabs>
        <w:ind w:left="851" w:hanging="851"/>
        <w:rPr>
          <w:b/>
          <w:sz w:val="24"/>
          <w:szCs w:val="24"/>
        </w:rPr>
      </w:pPr>
      <w:r w:rsidRPr="0085642D">
        <w:rPr>
          <w:b/>
          <w:sz w:val="24"/>
          <w:szCs w:val="24"/>
        </w:rPr>
        <w:t>6.1</w:t>
      </w:r>
      <w:r w:rsidRPr="0085642D">
        <w:rPr>
          <w:b/>
          <w:sz w:val="24"/>
          <w:szCs w:val="24"/>
        </w:rPr>
        <w:tab/>
        <w:t>Hjælpestoffer</w:t>
      </w:r>
    </w:p>
    <w:p w:rsidR="00D25F12" w:rsidRPr="0085642D" w:rsidRDefault="00D25F12" w:rsidP="00D25F12">
      <w:pPr>
        <w:ind w:left="851"/>
        <w:rPr>
          <w:i/>
          <w:sz w:val="24"/>
          <w:szCs w:val="24"/>
        </w:rPr>
      </w:pPr>
    </w:p>
    <w:p w:rsidR="00D25F12" w:rsidRPr="0085642D" w:rsidRDefault="00D25F12" w:rsidP="00D25F12">
      <w:pPr>
        <w:ind w:left="851"/>
        <w:rPr>
          <w:i/>
          <w:sz w:val="24"/>
          <w:szCs w:val="24"/>
          <w:lang w:eastAsia="fr-LU"/>
        </w:rPr>
      </w:pPr>
      <w:r w:rsidRPr="0085642D">
        <w:rPr>
          <w:i/>
          <w:sz w:val="24"/>
          <w:szCs w:val="24"/>
        </w:rPr>
        <w:t>Tabletkerne:</w:t>
      </w:r>
    </w:p>
    <w:p w:rsidR="00D25F12" w:rsidRPr="0085642D" w:rsidRDefault="00D25F12" w:rsidP="00D25F12">
      <w:pPr>
        <w:ind w:left="851"/>
        <w:rPr>
          <w:sz w:val="24"/>
          <w:szCs w:val="24"/>
        </w:rPr>
      </w:pPr>
      <w:r w:rsidRPr="0085642D">
        <w:rPr>
          <w:sz w:val="24"/>
          <w:szCs w:val="24"/>
        </w:rPr>
        <w:t>Mikrokrystallinsk cellulose</w:t>
      </w:r>
    </w:p>
    <w:p w:rsidR="00D25F12" w:rsidRPr="0085642D" w:rsidRDefault="00D25F12" w:rsidP="00D25F12">
      <w:pPr>
        <w:ind w:left="851"/>
        <w:rPr>
          <w:sz w:val="24"/>
          <w:szCs w:val="24"/>
        </w:rPr>
      </w:pPr>
      <w:r w:rsidRPr="0085642D">
        <w:rPr>
          <w:sz w:val="24"/>
          <w:szCs w:val="24"/>
        </w:rPr>
        <w:t>Croscarmellosenatrium</w:t>
      </w:r>
    </w:p>
    <w:p w:rsidR="00D25F12" w:rsidRPr="0085642D" w:rsidRDefault="00D25F12" w:rsidP="00D25F12">
      <w:pPr>
        <w:ind w:left="851"/>
        <w:rPr>
          <w:sz w:val="24"/>
          <w:szCs w:val="24"/>
        </w:rPr>
      </w:pPr>
      <w:r w:rsidRPr="0085642D">
        <w:rPr>
          <w:sz w:val="24"/>
          <w:szCs w:val="24"/>
        </w:rPr>
        <w:t>Hydroxypropylcellulose</w:t>
      </w:r>
    </w:p>
    <w:p w:rsidR="00D25F12" w:rsidRPr="0085642D" w:rsidRDefault="00D25F12" w:rsidP="00D25F12">
      <w:pPr>
        <w:ind w:left="851"/>
        <w:rPr>
          <w:sz w:val="24"/>
          <w:szCs w:val="24"/>
        </w:rPr>
      </w:pPr>
      <w:r w:rsidRPr="0085642D">
        <w:rPr>
          <w:sz w:val="24"/>
          <w:szCs w:val="24"/>
        </w:rPr>
        <w:t>Natriumlaurylsulfat</w:t>
      </w:r>
    </w:p>
    <w:p w:rsidR="00D25F12" w:rsidRPr="0085642D" w:rsidRDefault="00D25F12" w:rsidP="00D25F12">
      <w:pPr>
        <w:ind w:left="851"/>
        <w:rPr>
          <w:sz w:val="24"/>
          <w:szCs w:val="24"/>
        </w:rPr>
      </w:pPr>
      <w:r w:rsidRPr="0085642D">
        <w:rPr>
          <w:sz w:val="24"/>
          <w:szCs w:val="24"/>
        </w:rPr>
        <w:t>Magnesiumstearat</w:t>
      </w:r>
    </w:p>
    <w:p w:rsidR="00D25F12" w:rsidRPr="0085642D" w:rsidRDefault="00D25F12" w:rsidP="00D25F12">
      <w:pPr>
        <w:ind w:left="851"/>
        <w:rPr>
          <w:sz w:val="24"/>
          <w:szCs w:val="24"/>
        </w:rPr>
      </w:pPr>
      <w:r w:rsidRPr="0085642D">
        <w:rPr>
          <w:sz w:val="24"/>
          <w:szCs w:val="24"/>
        </w:rPr>
        <w:t>Pregelatineret stivelse</w:t>
      </w:r>
    </w:p>
    <w:p w:rsidR="00D25F12" w:rsidRPr="0085642D" w:rsidRDefault="00D25F12" w:rsidP="00D25F12">
      <w:pPr>
        <w:ind w:left="851"/>
        <w:rPr>
          <w:sz w:val="24"/>
          <w:szCs w:val="24"/>
        </w:rPr>
      </w:pPr>
    </w:p>
    <w:p w:rsidR="00D25F12" w:rsidRPr="0085642D" w:rsidRDefault="00D25F12" w:rsidP="00D25F12">
      <w:pPr>
        <w:ind w:left="851"/>
        <w:rPr>
          <w:i/>
          <w:sz w:val="24"/>
          <w:szCs w:val="24"/>
        </w:rPr>
      </w:pPr>
      <w:r w:rsidRPr="0085642D">
        <w:rPr>
          <w:i/>
          <w:sz w:val="24"/>
          <w:szCs w:val="24"/>
        </w:rPr>
        <w:t>Filmovertræk:</w:t>
      </w:r>
    </w:p>
    <w:p w:rsidR="00D25F12" w:rsidRPr="0085642D" w:rsidRDefault="00D25F12" w:rsidP="00D25F12">
      <w:pPr>
        <w:ind w:left="851"/>
        <w:rPr>
          <w:sz w:val="24"/>
          <w:szCs w:val="24"/>
        </w:rPr>
      </w:pPr>
      <w:r w:rsidRPr="0085642D">
        <w:rPr>
          <w:sz w:val="24"/>
          <w:szCs w:val="24"/>
        </w:rPr>
        <w:t>Polyvinylalkohol delvis hydrolyseret</w:t>
      </w:r>
    </w:p>
    <w:p w:rsidR="00D25F12" w:rsidRPr="003D74CB" w:rsidRDefault="00D25F12" w:rsidP="00D25F12">
      <w:pPr>
        <w:ind w:left="851"/>
        <w:rPr>
          <w:sz w:val="24"/>
          <w:szCs w:val="24"/>
          <w:lang w:val="es-ES"/>
        </w:rPr>
      </w:pPr>
      <w:r w:rsidRPr="003D74CB">
        <w:rPr>
          <w:sz w:val="24"/>
          <w:szCs w:val="24"/>
          <w:lang w:val="es-ES"/>
        </w:rPr>
        <w:t>Titandioxid (E171)</w:t>
      </w:r>
    </w:p>
    <w:p w:rsidR="00D25F12" w:rsidRPr="003D74CB" w:rsidRDefault="00D25F12" w:rsidP="00D25F12">
      <w:pPr>
        <w:ind w:left="851"/>
        <w:rPr>
          <w:sz w:val="24"/>
          <w:szCs w:val="24"/>
          <w:lang w:val="es-ES"/>
        </w:rPr>
      </w:pPr>
      <w:r w:rsidRPr="003D74CB">
        <w:rPr>
          <w:sz w:val="24"/>
          <w:szCs w:val="24"/>
          <w:lang w:val="es-ES"/>
        </w:rPr>
        <w:t>Macrogol</w:t>
      </w:r>
    </w:p>
    <w:p w:rsidR="00D25F12" w:rsidRPr="003D74CB" w:rsidRDefault="00D25F12" w:rsidP="00D25F12">
      <w:pPr>
        <w:ind w:left="851"/>
        <w:rPr>
          <w:sz w:val="24"/>
          <w:szCs w:val="24"/>
          <w:lang w:val="es-ES"/>
        </w:rPr>
      </w:pPr>
      <w:r w:rsidRPr="003D74CB">
        <w:rPr>
          <w:sz w:val="24"/>
          <w:szCs w:val="24"/>
          <w:lang w:val="es-ES"/>
        </w:rPr>
        <w:t>Talcum (E553b)</w:t>
      </w:r>
    </w:p>
    <w:p w:rsidR="00D25F12" w:rsidRPr="0085642D" w:rsidRDefault="00D25F12" w:rsidP="00D25F12">
      <w:pPr>
        <w:ind w:left="851"/>
        <w:rPr>
          <w:sz w:val="24"/>
          <w:szCs w:val="24"/>
        </w:rPr>
      </w:pPr>
      <w:r w:rsidRPr="0085642D">
        <w:rPr>
          <w:sz w:val="24"/>
          <w:szCs w:val="24"/>
        </w:rPr>
        <w:t>Jernoxid, rød (E172)</w:t>
      </w:r>
    </w:p>
    <w:p w:rsidR="00D25F12" w:rsidRPr="0085642D" w:rsidRDefault="00D25F12" w:rsidP="00D25F12">
      <w:pPr>
        <w:ind w:left="851"/>
        <w:rPr>
          <w:sz w:val="24"/>
          <w:szCs w:val="24"/>
        </w:rPr>
      </w:pPr>
      <w:r w:rsidRPr="0085642D">
        <w:rPr>
          <w:sz w:val="24"/>
          <w:szCs w:val="24"/>
        </w:rPr>
        <w:t>Jernoxid, sort (E172)</w:t>
      </w:r>
    </w:p>
    <w:p w:rsidR="00D25F12" w:rsidRPr="0085642D" w:rsidRDefault="00D25F12" w:rsidP="00D25F12">
      <w:pPr>
        <w:tabs>
          <w:tab w:val="left" w:pos="851"/>
        </w:tabs>
        <w:ind w:left="851"/>
        <w:rPr>
          <w:sz w:val="24"/>
          <w:szCs w:val="24"/>
        </w:rPr>
      </w:pPr>
    </w:p>
    <w:p w:rsidR="00D25F12" w:rsidRPr="0085642D" w:rsidRDefault="00D25F12" w:rsidP="00D25F12">
      <w:pPr>
        <w:tabs>
          <w:tab w:val="left" w:pos="851"/>
        </w:tabs>
        <w:ind w:left="851" w:hanging="851"/>
        <w:rPr>
          <w:b/>
          <w:sz w:val="24"/>
          <w:szCs w:val="24"/>
        </w:rPr>
      </w:pPr>
      <w:r w:rsidRPr="0085642D">
        <w:rPr>
          <w:b/>
          <w:sz w:val="24"/>
          <w:szCs w:val="24"/>
        </w:rPr>
        <w:t>6.2</w:t>
      </w:r>
      <w:r w:rsidRPr="0085642D">
        <w:rPr>
          <w:b/>
          <w:sz w:val="24"/>
          <w:szCs w:val="24"/>
        </w:rPr>
        <w:tab/>
        <w:t>Uforligeligheder</w:t>
      </w:r>
    </w:p>
    <w:p w:rsidR="00D25F12" w:rsidRPr="0085642D" w:rsidRDefault="00D25F12" w:rsidP="00D25F12">
      <w:pPr>
        <w:ind w:firstLine="851"/>
        <w:rPr>
          <w:sz w:val="24"/>
          <w:szCs w:val="24"/>
          <w:lang w:eastAsia="fr-LU"/>
        </w:rPr>
      </w:pPr>
      <w:r w:rsidRPr="0085642D">
        <w:rPr>
          <w:sz w:val="24"/>
          <w:szCs w:val="24"/>
        </w:rPr>
        <w:t>Ikke relevant.</w:t>
      </w:r>
    </w:p>
    <w:p w:rsidR="00D25F12" w:rsidRPr="0085642D" w:rsidRDefault="00D25F12" w:rsidP="00D25F12">
      <w:pPr>
        <w:tabs>
          <w:tab w:val="left" w:pos="851"/>
        </w:tabs>
        <w:ind w:left="851"/>
        <w:rPr>
          <w:sz w:val="24"/>
          <w:szCs w:val="24"/>
        </w:rPr>
      </w:pPr>
    </w:p>
    <w:p w:rsidR="00D25F12" w:rsidRPr="0085642D" w:rsidRDefault="00D25F12" w:rsidP="00D25F12">
      <w:pPr>
        <w:tabs>
          <w:tab w:val="left" w:pos="851"/>
        </w:tabs>
        <w:ind w:left="851" w:hanging="851"/>
        <w:rPr>
          <w:b/>
          <w:sz w:val="24"/>
          <w:szCs w:val="24"/>
        </w:rPr>
      </w:pPr>
      <w:r w:rsidRPr="0085642D">
        <w:rPr>
          <w:b/>
          <w:sz w:val="24"/>
          <w:szCs w:val="24"/>
        </w:rPr>
        <w:t>6.3</w:t>
      </w:r>
      <w:r w:rsidRPr="0085642D">
        <w:rPr>
          <w:b/>
          <w:sz w:val="24"/>
          <w:szCs w:val="24"/>
        </w:rPr>
        <w:tab/>
        <w:t>Opbevaringstid</w:t>
      </w:r>
    </w:p>
    <w:p w:rsidR="00D25F12" w:rsidRPr="0085642D" w:rsidRDefault="00D25F12" w:rsidP="00D25F12">
      <w:pPr>
        <w:ind w:firstLine="851"/>
        <w:rPr>
          <w:sz w:val="24"/>
          <w:szCs w:val="24"/>
          <w:lang w:eastAsia="fr-LU"/>
        </w:rPr>
      </w:pPr>
      <w:r w:rsidRPr="0085642D">
        <w:rPr>
          <w:sz w:val="24"/>
          <w:szCs w:val="24"/>
        </w:rPr>
        <w:t>2 år</w:t>
      </w:r>
    </w:p>
    <w:p w:rsidR="00D25F12" w:rsidRPr="0085642D" w:rsidRDefault="00D25F12" w:rsidP="00D25F12">
      <w:pPr>
        <w:tabs>
          <w:tab w:val="left" w:pos="851"/>
        </w:tabs>
        <w:ind w:left="851"/>
        <w:rPr>
          <w:sz w:val="24"/>
          <w:szCs w:val="24"/>
        </w:rPr>
      </w:pPr>
    </w:p>
    <w:p w:rsidR="00D25F12" w:rsidRPr="0085642D" w:rsidRDefault="00D25F12" w:rsidP="00D25F12">
      <w:pPr>
        <w:tabs>
          <w:tab w:val="left" w:pos="851"/>
        </w:tabs>
        <w:ind w:left="851" w:hanging="851"/>
        <w:rPr>
          <w:b/>
          <w:sz w:val="24"/>
          <w:szCs w:val="24"/>
        </w:rPr>
      </w:pPr>
      <w:r w:rsidRPr="0085642D">
        <w:rPr>
          <w:b/>
          <w:sz w:val="24"/>
          <w:szCs w:val="24"/>
        </w:rPr>
        <w:t>6.4</w:t>
      </w:r>
      <w:r w:rsidRPr="0085642D">
        <w:rPr>
          <w:b/>
          <w:sz w:val="24"/>
          <w:szCs w:val="24"/>
        </w:rPr>
        <w:tab/>
        <w:t>Særlige opbevaringsforhold</w:t>
      </w:r>
    </w:p>
    <w:p w:rsidR="00D25F12" w:rsidRPr="0085642D" w:rsidRDefault="00D25F12" w:rsidP="00D25F12">
      <w:pPr>
        <w:ind w:firstLine="851"/>
        <w:rPr>
          <w:sz w:val="24"/>
          <w:szCs w:val="24"/>
          <w:lang w:eastAsia="fr-LU"/>
        </w:rPr>
      </w:pPr>
      <w:r w:rsidRPr="0085642D">
        <w:rPr>
          <w:sz w:val="24"/>
          <w:szCs w:val="24"/>
        </w:rPr>
        <w:t>Må ikke opbevares ved temperaturer over 30 °C.</w:t>
      </w:r>
    </w:p>
    <w:p w:rsidR="00D25F12" w:rsidRPr="0085642D" w:rsidRDefault="00D25F12" w:rsidP="00D25F12">
      <w:pPr>
        <w:ind w:left="851"/>
        <w:rPr>
          <w:sz w:val="24"/>
          <w:szCs w:val="24"/>
        </w:rPr>
      </w:pPr>
      <w:r w:rsidRPr="0085642D">
        <w:rPr>
          <w:sz w:val="24"/>
          <w:szCs w:val="24"/>
        </w:rPr>
        <w:lastRenderedPageBreak/>
        <w:t>Opbevares i den originale yderpakning for at beskytte mod fugt. Hold beholderen tæt tillukket.</w:t>
      </w:r>
    </w:p>
    <w:p w:rsidR="00D25F12" w:rsidRPr="0085642D" w:rsidRDefault="00D25F12" w:rsidP="00D25F12">
      <w:pPr>
        <w:tabs>
          <w:tab w:val="left" w:pos="851"/>
        </w:tabs>
        <w:ind w:left="851"/>
        <w:rPr>
          <w:sz w:val="24"/>
          <w:szCs w:val="24"/>
        </w:rPr>
      </w:pPr>
    </w:p>
    <w:p w:rsidR="00D25F12" w:rsidRPr="0085642D" w:rsidRDefault="00D25F12" w:rsidP="003630D4">
      <w:pPr>
        <w:keepNext/>
        <w:tabs>
          <w:tab w:val="left" w:pos="851"/>
        </w:tabs>
        <w:ind w:left="851" w:hanging="851"/>
        <w:rPr>
          <w:b/>
          <w:sz w:val="24"/>
          <w:szCs w:val="24"/>
        </w:rPr>
      </w:pPr>
      <w:r w:rsidRPr="0085642D">
        <w:rPr>
          <w:b/>
          <w:sz w:val="24"/>
          <w:szCs w:val="24"/>
        </w:rPr>
        <w:t>6.5</w:t>
      </w:r>
      <w:r w:rsidRPr="0085642D">
        <w:rPr>
          <w:b/>
          <w:sz w:val="24"/>
          <w:szCs w:val="24"/>
        </w:rPr>
        <w:tab/>
        <w:t>Emballagetype og pakningsstørrelser</w:t>
      </w:r>
    </w:p>
    <w:p w:rsidR="00D25F12" w:rsidRPr="0085642D" w:rsidRDefault="00D25F12" w:rsidP="00D25F12">
      <w:pPr>
        <w:suppressAutoHyphens/>
        <w:ind w:left="851"/>
        <w:rPr>
          <w:sz w:val="24"/>
          <w:szCs w:val="24"/>
          <w:lang w:eastAsia="fr-LU"/>
        </w:rPr>
      </w:pPr>
      <w:r w:rsidRPr="0085642D">
        <w:rPr>
          <w:sz w:val="24"/>
          <w:szCs w:val="24"/>
        </w:rPr>
        <w:t>Højdensitetspolyethylen (HDPE)-beholder med børnesikret lukke af polypropylen</w:t>
      </w:r>
      <w:r>
        <w:rPr>
          <w:sz w:val="24"/>
          <w:szCs w:val="24"/>
        </w:rPr>
        <w:t xml:space="preserve"> </w:t>
      </w:r>
      <w:r w:rsidRPr="0085642D">
        <w:rPr>
          <w:sz w:val="24"/>
          <w:szCs w:val="24"/>
        </w:rPr>
        <w:t>og silicagel-tørremiddel.</w:t>
      </w:r>
    </w:p>
    <w:p w:rsidR="00D25F12" w:rsidRPr="0085642D" w:rsidRDefault="00D25F12" w:rsidP="00D25F12">
      <w:pPr>
        <w:suppressAutoHyphens/>
        <w:ind w:left="851"/>
        <w:rPr>
          <w:sz w:val="24"/>
          <w:szCs w:val="24"/>
        </w:rPr>
      </w:pPr>
    </w:p>
    <w:p w:rsidR="00D25F12" w:rsidRPr="0085642D" w:rsidRDefault="00D25F12" w:rsidP="00D25F12">
      <w:pPr>
        <w:suppressAutoHyphens/>
        <w:ind w:left="851"/>
        <w:rPr>
          <w:sz w:val="24"/>
          <w:szCs w:val="24"/>
        </w:rPr>
      </w:pPr>
      <w:r>
        <w:rPr>
          <w:sz w:val="24"/>
          <w:szCs w:val="24"/>
        </w:rPr>
        <w:t>P</w:t>
      </w:r>
      <w:r w:rsidRPr="0085642D">
        <w:rPr>
          <w:sz w:val="24"/>
          <w:szCs w:val="24"/>
        </w:rPr>
        <w:t>akningsstørrelser: 30 </w:t>
      </w:r>
      <w:r>
        <w:rPr>
          <w:sz w:val="24"/>
          <w:szCs w:val="24"/>
        </w:rPr>
        <w:t xml:space="preserve">filmovertrukne tabletter </w:t>
      </w:r>
      <w:r w:rsidRPr="0085642D">
        <w:rPr>
          <w:sz w:val="24"/>
          <w:szCs w:val="24"/>
        </w:rPr>
        <w:t>og 90 [(3 beholdere med 30) eller (1 beholder med 90)] filmovertrukne tabletter.</w:t>
      </w:r>
    </w:p>
    <w:p w:rsidR="00D25F12" w:rsidRPr="0085642D" w:rsidRDefault="00D25F12" w:rsidP="00D25F12">
      <w:pPr>
        <w:suppressAutoHyphens/>
        <w:ind w:left="851"/>
        <w:rPr>
          <w:sz w:val="24"/>
          <w:szCs w:val="24"/>
        </w:rPr>
      </w:pPr>
    </w:p>
    <w:p w:rsidR="00D25F12" w:rsidRPr="0085642D" w:rsidRDefault="00D25F12" w:rsidP="00D25F12">
      <w:pPr>
        <w:suppressAutoHyphens/>
        <w:ind w:left="851"/>
        <w:rPr>
          <w:sz w:val="24"/>
          <w:szCs w:val="24"/>
        </w:rPr>
      </w:pPr>
      <w:r w:rsidRPr="0085642D">
        <w:rPr>
          <w:sz w:val="24"/>
          <w:szCs w:val="24"/>
        </w:rPr>
        <w:t>Ikke alle pakningsstørrelser er nødvendigvis markedsført.</w:t>
      </w:r>
    </w:p>
    <w:p w:rsidR="00D25F12" w:rsidRPr="0085642D" w:rsidRDefault="00D25F12" w:rsidP="00D25F12">
      <w:pPr>
        <w:tabs>
          <w:tab w:val="left" w:pos="851"/>
        </w:tabs>
        <w:ind w:left="851"/>
        <w:rPr>
          <w:sz w:val="24"/>
          <w:szCs w:val="24"/>
        </w:rPr>
      </w:pPr>
    </w:p>
    <w:p w:rsidR="00D25F12" w:rsidRPr="0085642D" w:rsidRDefault="00D25F12" w:rsidP="00D25F12">
      <w:pPr>
        <w:tabs>
          <w:tab w:val="left" w:pos="851"/>
        </w:tabs>
        <w:ind w:left="851" w:hanging="851"/>
        <w:rPr>
          <w:b/>
          <w:sz w:val="24"/>
          <w:szCs w:val="24"/>
        </w:rPr>
      </w:pPr>
      <w:r w:rsidRPr="0085642D">
        <w:rPr>
          <w:b/>
          <w:sz w:val="24"/>
          <w:szCs w:val="24"/>
        </w:rPr>
        <w:t>6.6</w:t>
      </w:r>
      <w:r w:rsidRPr="0085642D">
        <w:rPr>
          <w:b/>
          <w:sz w:val="24"/>
          <w:szCs w:val="24"/>
        </w:rPr>
        <w:tab/>
        <w:t xml:space="preserve">Regler for </w:t>
      </w:r>
      <w:r w:rsidR="00FE0330">
        <w:rPr>
          <w:b/>
          <w:sz w:val="24"/>
          <w:szCs w:val="24"/>
        </w:rPr>
        <w:t xml:space="preserve">bortskaffelse </w:t>
      </w:r>
      <w:r w:rsidRPr="0085642D">
        <w:rPr>
          <w:b/>
          <w:sz w:val="24"/>
          <w:szCs w:val="24"/>
        </w:rPr>
        <w:t>og anden håndtering</w:t>
      </w:r>
    </w:p>
    <w:p w:rsidR="00D25F12" w:rsidRPr="0085642D" w:rsidRDefault="00D25F12" w:rsidP="00D25F12">
      <w:pPr>
        <w:ind w:left="851"/>
        <w:rPr>
          <w:sz w:val="24"/>
          <w:szCs w:val="24"/>
          <w:lang w:eastAsia="fr-LU"/>
        </w:rPr>
      </w:pPr>
      <w:r w:rsidRPr="0085642D">
        <w:rPr>
          <w:sz w:val="24"/>
          <w:szCs w:val="24"/>
        </w:rPr>
        <w:t>Ikke anvendt lægemiddel samt affald heraf skal bortskaffes i henhold til lokale retningslinjer.</w:t>
      </w:r>
    </w:p>
    <w:p w:rsidR="00D25F12" w:rsidRPr="0085642D" w:rsidRDefault="00D25F12" w:rsidP="00D25F12">
      <w:pPr>
        <w:tabs>
          <w:tab w:val="left" w:pos="851"/>
        </w:tabs>
        <w:ind w:left="851"/>
        <w:jc w:val="both"/>
        <w:rPr>
          <w:sz w:val="24"/>
          <w:szCs w:val="24"/>
        </w:rPr>
      </w:pPr>
    </w:p>
    <w:p w:rsidR="00D25F12" w:rsidRPr="0085642D" w:rsidRDefault="00D25F12" w:rsidP="00D25F12">
      <w:pPr>
        <w:tabs>
          <w:tab w:val="left" w:pos="851"/>
        </w:tabs>
        <w:ind w:left="851" w:hanging="851"/>
        <w:rPr>
          <w:b/>
          <w:sz w:val="24"/>
          <w:szCs w:val="24"/>
        </w:rPr>
      </w:pPr>
      <w:r w:rsidRPr="0085642D">
        <w:rPr>
          <w:b/>
          <w:sz w:val="24"/>
          <w:szCs w:val="24"/>
        </w:rPr>
        <w:t>7.</w:t>
      </w:r>
      <w:r w:rsidRPr="0085642D">
        <w:rPr>
          <w:b/>
          <w:sz w:val="24"/>
          <w:szCs w:val="24"/>
        </w:rPr>
        <w:tab/>
        <w:t>INDEHAVER AF MARKEDSFØRINGSTILLADELSEN</w:t>
      </w:r>
    </w:p>
    <w:p w:rsidR="00D25F12" w:rsidRPr="0085642D" w:rsidRDefault="00D25F12" w:rsidP="00D25F12">
      <w:pPr>
        <w:ind w:left="851"/>
        <w:rPr>
          <w:sz w:val="24"/>
          <w:szCs w:val="24"/>
          <w:lang w:eastAsia="fr-LU"/>
        </w:rPr>
      </w:pPr>
      <w:r w:rsidRPr="0085642D">
        <w:rPr>
          <w:sz w:val="24"/>
          <w:szCs w:val="24"/>
        </w:rPr>
        <w:t>Glenmark Arzneimittel GmbH</w:t>
      </w:r>
    </w:p>
    <w:p w:rsidR="00D25F12" w:rsidRPr="007D153B" w:rsidRDefault="00D25F12" w:rsidP="00D25F12">
      <w:pPr>
        <w:ind w:left="851"/>
        <w:rPr>
          <w:sz w:val="24"/>
          <w:szCs w:val="24"/>
          <w:lang w:val="de-DE"/>
        </w:rPr>
      </w:pPr>
      <w:r w:rsidRPr="007D153B">
        <w:rPr>
          <w:sz w:val="24"/>
          <w:szCs w:val="24"/>
          <w:lang w:val="de-DE"/>
        </w:rPr>
        <w:t>Industriestr. 31</w:t>
      </w:r>
    </w:p>
    <w:p w:rsidR="00D25F12" w:rsidRPr="007D153B" w:rsidRDefault="00D25F12" w:rsidP="00D25F12">
      <w:pPr>
        <w:ind w:left="851"/>
        <w:rPr>
          <w:sz w:val="24"/>
          <w:szCs w:val="24"/>
          <w:lang w:val="de-DE"/>
        </w:rPr>
      </w:pPr>
      <w:r w:rsidRPr="007D153B">
        <w:rPr>
          <w:sz w:val="24"/>
          <w:szCs w:val="24"/>
          <w:lang w:val="de-DE"/>
        </w:rPr>
        <w:t>82194 Gröbenzell</w:t>
      </w:r>
    </w:p>
    <w:p w:rsidR="00D25F12" w:rsidRPr="007D153B" w:rsidRDefault="00D25F12" w:rsidP="00D25F12">
      <w:pPr>
        <w:ind w:left="851"/>
        <w:rPr>
          <w:sz w:val="24"/>
          <w:szCs w:val="24"/>
          <w:lang w:val="de-DE"/>
        </w:rPr>
      </w:pPr>
      <w:r w:rsidRPr="007D153B">
        <w:rPr>
          <w:sz w:val="24"/>
          <w:szCs w:val="24"/>
          <w:lang w:val="de-DE"/>
        </w:rPr>
        <w:t>Tyskland</w:t>
      </w:r>
    </w:p>
    <w:p w:rsidR="00D25F12" w:rsidRPr="007D153B" w:rsidRDefault="00D25F12" w:rsidP="00D25F12">
      <w:pPr>
        <w:tabs>
          <w:tab w:val="left" w:pos="851"/>
        </w:tabs>
        <w:ind w:left="851"/>
        <w:rPr>
          <w:sz w:val="24"/>
          <w:szCs w:val="24"/>
          <w:lang w:val="de-DE"/>
        </w:rPr>
      </w:pPr>
    </w:p>
    <w:p w:rsidR="00D25F12" w:rsidRPr="007D153B" w:rsidRDefault="00D25F12" w:rsidP="00D25F12">
      <w:pPr>
        <w:ind w:left="851"/>
        <w:rPr>
          <w:b/>
          <w:spacing w:val="-3"/>
          <w:sz w:val="24"/>
          <w:szCs w:val="24"/>
          <w:lang w:val="de-DE" w:eastAsia="fr-LU"/>
        </w:rPr>
      </w:pPr>
      <w:r w:rsidRPr="007D153B">
        <w:rPr>
          <w:b/>
          <w:spacing w:val="-3"/>
          <w:sz w:val="24"/>
          <w:szCs w:val="24"/>
          <w:lang w:val="de-DE"/>
        </w:rPr>
        <w:t>Repræsentant</w:t>
      </w:r>
    </w:p>
    <w:p w:rsidR="00D25F12" w:rsidRPr="007D153B" w:rsidRDefault="00D25F12" w:rsidP="00D25F12">
      <w:pPr>
        <w:ind w:left="851"/>
        <w:rPr>
          <w:spacing w:val="-3"/>
          <w:sz w:val="24"/>
          <w:szCs w:val="24"/>
          <w:lang w:val="de-DE"/>
        </w:rPr>
      </w:pPr>
      <w:r w:rsidRPr="007D153B">
        <w:rPr>
          <w:spacing w:val="-3"/>
          <w:sz w:val="24"/>
          <w:szCs w:val="24"/>
          <w:lang w:val="de-DE"/>
        </w:rPr>
        <w:t>Glenmark Pharmaceuticals Nordic AB</w:t>
      </w:r>
    </w:p>
    <w:p w:rsidR="00AD378F" w:rsidRPr="0032044B" w:rsidRDefault="00AD378F" w:rsidP="00AD378F">
      <w:pPr>
        <w:ind w:left="851"/>
        <w:rPr>
          <w:spacing w:val="-3"/>
          <w:sz w:val="24"/>
          <w:szCs w:val="24"/>
        </w:rPr>
      </w:pPr>
      <w:r w:rsidRPr="0032044B">
        <w:rPr>
          <w:spacing w:val="-3"/>
          <w:sz w:val="24"/>
          <w:szCs w:val="24"/>
        </w:rPr>
        <w:t>Propellergatan 2</w:t>
      </w:r>
    </w:p>
    <w:p w:rsidR="00AD378F" w:rsidRPr="0032044B" w:rsidRDefault="00AD378F" w:rsidP="00AD378F">
      <w:pPr>
        <w:ind w:left="851"/>
        <w:rPr>
          <w:spacing w:val="-3"/>
          <w:sz w:val="24"/>
          <w:szCs w:val="24"/>
        </w:rPr>
      </w:pPr>
      <w:r w:rsidRPr="0032044B">
        <w:rPr>
          <w:spacing w:val="-3"/>
          <w:sz w:val="24"/>
          <w:szCs w:val="24"/>
        </w:rPr>
        <w:t>211 15 Malmö</w:t>
      </w:r>
    </w:p>
    <w:p w:rsidR="00D25F12" w:rsidRDefault="00AD378F" w:rsidP="00AD378F">
      <w:pPr>
        <w:tabs>
          <w:tab w:val="left" w:pos="851"/>
        </w:tabs>
        <w:ind w:left="851"/>
        <w:rPr>
          <w:spacing w:val="-3"/>
          <w:sz w:val="24"/>
          <w:szCs w:val="24"/>
        </w:rPr>
      </w:pPr>
      <w:r w:rsidRPr="0032044B">
        <w:rPr>
          <w:spacing w:val="-3"/>
          <w:sz w:val="24"/>
          <w:szCs w:val="24"/>
        </w:rPr>
        <w:t>Sverige</w:t>
      </w:r>
    </w:p>
    <w:p w:rsidR="00AD378F" w:rsidRPr="0085642D" w:rsidRDefault="00AD378F" w:rsidP="00AD378F">
      <w:pPr>
        <w:tabs>
          <w:tab w:val="left" w:pos="851"/>
        </w:tabs>
        <w:ind w:left="851"/>
        <w:rPr>
          <w:sz w:val="24"/>
          <w:szCs w:val="24"/>
        </w:rPr>
      </w:pPr>
    </w:p>
    <w:p w:rsidR="00D25F12" w:rsidRPr="0085642D" w:rsidRDefault="00D25F12" w:rsidP="00D25F12">
      <w:pPr>
        <w:tabs>
          <w:tab w:val="left" w:pos="851"/>
        </w:tabs>
        <w:ind w:left="851" w:hanging="851"/>
        <w:rPr>
          <w:b/>
          <w:sz w:val="24"/>
          <w:szCs w:val="24"/>
        </w:rPr>
      </w:pPr>
      <w:r w:rsidRPr="0085642D">
        <w:rPr>
          <w:b/>
          <w:sz w:val="24"/>
          <w:szCs w:val="24"/>
        </w:rPr>
        <w:t>8.</w:t>
      </w:r>
      <w:r w:rsidRPr="0085642D">
        <w:rPr>
          <w:b/>
          <w:sz w:val="24"/>
          <w:szCs w:val="24"/>
        </w:rPr>
        <w:tab/>
        <w:t>MARKEDSFØRINGSTILLADELSESNUMMER (</w:t>
      </w:r>
      <w:r w:rsidR="009E6E08">
        <w:rPr>
          <w:b/>
          <w:sz w:val="24"/>
          <w:szCs w:val="24"/>
        </w:rPr>
        <w:t>-</w:t>
      </w:r>
      <w:r w:rsidRPr="0085642D">
        <w:rPr>
          <w:b/>
          <w:sz w:val="24"/>
          <w:szCs w:val="24"/>
        </w:rPr>
        <w:t>NUMRE)</w:t>
      </w:r>
    </w:p>
    <w:p w:rsidR="00D25F12" w:rsidRPr="0085642D" w:rsidRDefault="00D25F12" w:rsidP="00D25F12">
      <w:pPr>
        <w:tabs>
          <w:tab w:val="left" w:pos="851"/>
        </w:tabs>
        <w:ind w:left="851"/>
        <w:rPr>
          <w:sz w:val="24"/>
          <w:szCs w:val="24"/>
        </w:rPr>
      </w:pPr>
      <w:r w:rsidRPr="0085642D">
        <w:rPr>
          <w:sz w:val="24"/>
          <w:szCs w:val="24"/>
        </w:rPr>
        <w:t>61016</w:t>
      </w:r>
    </w:p>
    <w:p w:rsidR="00D25F12" w:rsidRPr="0085642D" w:rsidRDefault="00D25F12" w:rsidP="00D25F12">
      <w:pPr>
        <w:tabs>
          <w:tab w:val="left" w:pos="851"/>
        </w:tabs>
        <w:ind w:left="851"/>
        <w:jc w:val="both"/>
        <w:rPr>
          <w:sz w:val="24"/>
          <w:szCs w:val="24"/>
        </w:rPr>
      </w:pPr>
    </w:p>
    <w:p w:rsidR="00D25F12" w:rsidRPr="0085642D" w:rsidRDefault="00D25F12" w:rsidP="00D25F12">
      <w:pPr>
        <w:tabs>
          <w:tab w:val="left" w:pos="851"/>
        </w:tabs>
        <w:ind w:left="851" w:hanging="851"/>
        <w:rPr>
          <w:b/>
          <w:sz w:val="24"/>
          <w:szCs w:val="24"/>
        </w:rPr>
      </w:pPr>
      <w:r w:rsidRPr="0085642D">
        <w:rPr>
          <w:b/>
          <w:sz w:val="24"/>
          <w:szCs w:val="24"/>
        </w:rPr>
        <w:t>9.</w:t>
      </w:r>
      <w:r w:rsidRPr="0085642D">
        <w:rPr>
          <w:b/>
          <w:sz w:val="24"/>
          <w:szCs w:val="24"/>
        </w:rPr>
        <w:tab/>
        <w:t>DATO FOR FØRSTE MARKEDSFØRINGSTILLADELSE</w:t>
      </w:r>
    </w:p>
    <w:p w:rsidR="00D25F12" w:rsidRPr="0085642D" w:rsidRDefault="00D25F12" w:rsidP="00D25F12">
      <w:pPr>
        <w:tabs>
          <w:tab w:val="left" w:pos="851"/>
        </w:tabs>
        <w:ind w:left="851"/>
        <w:rPr>
          <w:sz w:val="24"/>
          <w:szCs w:val="24"/>
        </w:rPr>
      </w:pPr>
      <w:r>
        <w:rPr>
          <w:sz w:val="24"/>
          <w:szCs w:val="24"/>
        </w:rPr>
        <w:t>23. maj 2019</w:t>
      </w:r>
    </w:p>
    <w:p w:rsidR="00D25F12" w:rsidRPr="0085642D" w:rsidRDefault="00D25F12" w:rsidP="00D25F12">
      <w:pPr>
        <w:tabs>
          <w:tab w:val="left" w:pos="851"/>
        </w:tabs>
        <w:ind w:left="851"/>
        <w:rPr>
          <w:sz w:val="24"/>
          <w:szCs w:val="24"/>
        </w:rPr>
      </w:pPr>
    </w:p>
    <w:p w:rsidR="00D25F12" w:rsidRPr="0085642D" w:rsidRDefault="00D25F12" w:rsidP="00D25F12">
      <w:pPr>
        <w:tabs>
          <w:tab w:val="left" w:pos="851"/>
        </w:tabs>
        <w:ind w:left="851" w:hanging="851"/>
        <w:rPr>
          <w:b/>
          <w:sz w:val="24"/>
          <w:szCs w:val="24"/>
        </w:rPr>
      </w:pPr>
      <w:r w:rsidRPr="0085642D">
        <w:rPr>
          <w:b/>
          <w:sz w:val="24"/>
          <w:szCs w:val="24"/>
        </w:rPr>
        <w:t>10.</w:t>
      </w:r>
      <w:r w:rsidRPr="0085642D">
        <w:rPr>
          <w:b/>
          <w:sz w:val="24"/>
          <w:szCs w:val="24"/>
        </w:rPr>
        <w:tab/>
        <w:t>DATO FOR ÆNDRING AF TEKSTEN</w:t>
      </w:r>
    </w:p>
    <w:p w:rsidR="00D25F12" w:rsidRPr="0085642D" w:rsidRDefault="00FE0330" w:rsidP="00D25F12">
      <w:pPr>
        <w:tabs>
          <w:tab w:val="left" w:pos="851"/>
        </w:tabs>
        <w:ind w:left="851"/>
        <w:rPr>
          <w:sz w:val="24"/>
          <w:szCs w:val="24"/>
        </w:rPr>
      </w:pPr>
      <w:r w:rsidRPr="00FE0330">
        <w:rPr>
          <w:sz w:val="24"/>
          <w:szCs w:val="24"/>
        </w:rPr>
        <w:t>12. december 2022</w:t>
      </w:r>
    </w:p>
    <w:p w:rsidR="009260DE" w:rsidRPr="00D25F12" w:rsidRDefault="009260DE" w:rsidP="00D25F12"/>
    <w:sectPr w:rsidR="009260DE" w:rsidRPr="00D25F1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D59" w:rsidRDefault="00021D59">
      <w:r>
        <w:separator/>
      </w:r>
    </w:p>
  </w:endnote>
  <w:endnote w:type="continuationSeparator" w:id="0">
    <w:p w:rsidR="00021D59" w:rsidRDefault="00021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D59" w:rsidRDefault="00021D59">
    <w:pPr>
      <w:pStyle w:val="Sidefod"/>
      <w:pBdr>
        <w:bottom w:val="single" w:sz="6" w:space="1" w:color="auto"/>
      </w:pBdr>
    </w:pPr>
  </w:p>
  <w:p w:rsidR="00021D59" w:rsidRDefault="00021D59" w:rsidP="00C42586">
    <w:pPr>
      <w:pStyle w:val="Sidefod"/>
      <w:tabs>
        <w:tab w:val="clear" w:pos="4819"/>
        <w:tab w:val="left" w:pos="8505"/>
      </w:tabs>
      <w:rPr>
        <w:i/>
        <w:sz w:val="18"/>
        <w:szCs w:val="18"/>
      </w:rPr>
    </w:pPr>
  </w:p>
  <w:p w:rsidR="00021D59" w:rsidRPr="00B373D7" w:rsidRDefault="00021D5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Efavirenz-Emtricitabine-Tenofovir disoproxil Glenmark, filmovertrukne tabletter 600+200+245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D59" w:rsidRDefault="00021D59">
      <w:r>
        <w:separator/>
      </w:r>
    </w:p>
  </w:footnote>
  <w:footnote w:type="continuationSeparator" w:id="0">
    <w:p w:rsidR="00021D59" w:rsidRDefault="00021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02B3A5E"/>
    <w:multiLevelType w:val="multilevel"/>
    <w:tmpl w:val="76263460"/>
    <w:lvl w:ilvl="0">
      <w:start w:val="1"/>
      <w:numFmt w:val="upperRoman"/>
      <w:lvlText w:val="%1"/>
      <w:lvlJc w:val="left"/>
      <w:pPr>
        <w:tabs>
          <w:tab w:val="num" w:pos="720"/>
        </w:tabs>
        <w:ind w:left="284" w:hanging="284"/>
      </w:pPr>
      <w:rPr>
        <w:rFonts w:ascii="Arial" w:hAnsi="Arial" w:cs="Times New Roman" w:hint="default"/>
        <w:b/>
        <w:i w:val="0"/>
        <w:sz w:val="24"/>
      </w:rPr>
    </w:lvl>
    <w:lvl w:ilvl="1">
      <w:start w:val="1"/>
      <w:numFmt w:val="decimal"/>
      <w:lvlText w:val="%1.%2"/>
      <w:lvlJc w:val="left"/>
      <w:pPr>
        <w:tabs>
          <w:tab w:val="num" w:pos="709"/>
        </w:tabs>
        <w:ind w:left="709" w:hanging="425"/>
      </w:pPr>
      <w:rPr>
        <w:rFonts w:ascii="Arial" w:hAnsi="Arial" w:cs="Times New Roman" w:hint="default"/>
        <w:b/>
        <w:i w:val="0"/>
        <w:sz w:val="22"/>
      </w:rPr>
    </w:lvl>
    <w:lvl w:ilvl="2">
      <w:start w:val="1"/>
      <w:numFmt w:val="decimal"/>
      <w:lvlText w:val="%1.%2.%3"/>
      <w:lvlJc w:val="left"/>
      <w:pPr>
        <w:tabs>
          <w:tab w:val="num" w:pos="1276"/>
        </w:tabs>
        <w:ind w:left="1276" w:hanging="567"/>
      </w:pPr>
      <w:rPr>
        <w:rFonts w:ascii="Arial" w:hAnsi="Arial" w:cs="Times New Roman" w:hint="default"/>
        <w:b/>
        <w:i w:val="0"/>
        <w:sz w:val="22"/>
      </w:rPr>
    </w:lvl>
    <w:lvl w:ilvl="3">
      <w:start w:val="1"/>
      <w:numFmt w:val="lowerLetter"/>
      <w:lvlText w:val="%4)"/>
      <w:lvlJc w:val="left"/>
      <w:pPr>
        <w:tabs>
          <w:tab w:val="num" w:pos="1276"/>
        </w:tabs>
        <w:ind w:left="1276" w:hanging="567"/>
      </w:pPr>
      <w:rPr>
        <w:rFonts w:ascii="Arial" w:hAnsi="Arial" w:cs="Times New Roman" w:hint="default"/>
        <w:b w:val="0"/>
        <w:i w:val="0"/>
        <w:sz w:val="22"/>
      </w:rPr>
    </w:lvl>
    <w:lvl w:ilvl="4">
      <w:start w:val="1"/>
      <w:numFmt w:val="lowerLetter"/>
      <w:lvlRestart w:val="2"/>
      <w:lvlText w:val="%5)"/>
      <w:lvlJc w:val="left"/>
      <w:pPr>
        <w:tabs>
          <w:tab w:val="num" w:pos="1701"/>
        </w:tabs>
        <w:ind w:left="1701" w:hanging="425"/>
      </w:pPr>
    </w:lvl>
    <w:lvl w:ilvl="5">
      <w:start w:val="1"/>
      <w:numFmt w:val="lowerLetter"/>
      <w:lvlText w:val="%6)"/>
      <w:lvlJc w:val="left"/>
      <w:pPr>
        <w:tabs>
          <w:tab w:val="num" w:pos="1663"/>
        </w:tabs>
        <w:ind w:left="1663" w:hanging="432"/>
      </w:pPr>
    </w:lvl>
    <w:lvl w:ilvl="6">
      <w:start w:val="1"/>
      <w:numFmt w:val="lowerRoman"/>
      <w:lvlText w:val="%7)"/>
      <w:lvlJc w:val="right"/>
      <w:pPr>
        <w:tabs>
          <w:tab w:val="num" w:pos="1807"/>
        </w:tabs>
        <w:ind w:left="1807" w:hanging="288"/>
      </w:pPr>
    </w:lvl>
    <w:lvl w:ilvl="7">
      <w:start w:val="1"/>
      <w:numFmt w:val="lowerLetter"/>
      <w:lvlText w:val="%8."/>
      <w:lvlJc w:val="left"/>
      <w:pPr>
        <w:tabs>
          <w:tab w:val="num" w:pos="1951"/>
        </w:tabs>
        <w:ind w:left="1951" w:hanging="432"/>
      </w:p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4161A8D"/>
    <w:multiLevelType w:val="hybridMultilevel"/>
    <w:tmpl w:val="92C2894C"/>
    <w:lvl w:ilvl="0" w:tplc="94701BA0">
      <w:numFmt w:val="bullet"/>
      <w:lvlText w:val="-"/>
      <w:lvlJc w:val="left"/>
      <w:pPr>
        <w:ind w:left="878" w:hanging="180"/>
      </w:pPr>
      <w:rPr>
        <w:rFonts w:ascii="Times New Roman" w:eastAsia="Times New Roman" w:hAnsi="Times New Roman" w:cs="Times New Roman" w:hint="default"/>
        <w:w w:val="100"/>
        <w:sz w:val="22"/>
        <w:szCs w:val="22"/>
        <w:lang w:val="en-GB" w:eastAsia="en-GB" w:bidi="en-GB"/>
      </w:rPr>
    </w:lvl>
    <w:lvl w:ilvl="1" w:tplc="34840822">
      <w:numFmt w:val="bullet"/>
      <w:lvlText w:val="•"/>
      <w:lvlJc w:val="left"/>
      <w:pPr>
        <w:ind w:left="1780" w:hanging="180"/>
      </w:pPr>
      <w:rPr>
        <w:lang w:val="en-GB" w:eastAsia="en-GB" w:bidi="en-GB"/>
      </w:rPr>
    </w:lvl>
    <w:lvl w:ilvl="2" w:tplc="49082CD0">
      <w:numFmt w:val="bullet"/>
      <w:lvlText w:val="•"/>
      <w:lvlJc w:val="left"/>
      <w:pPr>
        <w:ind w:left="2680" w:hanging="180"/>
      </w:pPr>
      <w:rPr>
        <w:lang w:val="en-GB" w:eastAsia="en-GB" w:bidi="en-GB"/>
      </w:rPr>
    </w:lvl>
    <w:lvl w:ilvl="3" w:tplc="ACEA30B6">
      <w:numFmt w:val="bullet"/>
      <w:lvlText w:val="•"/>
      <w:lvlJc w:val="left"/>
      <w:pPr>
        <w:ind w:left="3581" w:hanging="180"/>
      </w:pPr>
      <w:rPr>
        <w:lang w:val="en-GB" w:eastAsia="en-GB" w:bidi="en-GB"/>
      </w:rPr>
    </w:lvl>
    <w:lvl w:ilvl="4" w:tplc="1E26D798">
      <w:numFmt w:val="bullet"/>
      <w:lvlText w:val="•"/>
      <w:lvlJc w:val="left"/>
      <w:pPr>
        <w:ind w:left="4481" w:hanging="180"/>
      </w:pPr>
      <w:rPr>
        <w:lang w:val="en-GB" w:eastAsia="en-GB" w:bidi="en-GB"/>
      </w:rPr>
    </w:lvl>
    <w:lvl w:ilvl="5" w:tplc="7CBA47A4">
      <w:numFmt w:val="bullet"/>
      <w:lvlText w:val="•"/>
      <w:lvlJc w:val="left"/>
      <w:pPr>
        <w:ind w:left="5382" w:hanging="180"/>
      </w:pPr>
      <w:rPr>
        <w:lang w:val="en-GB" w:eastAsia="en-GB" w:bidi="en-GB"/>
      </w:rPr>
    </w:lvl>
    <w:lvl w:ilvl="6" w:tplc="CF881384">
      <w:numFmt w:val="bullet"/>
      <w:lvlText w:val="•"/>
      <w:lvlJc w:val="left"/>
      <w:pPr>
        <w:ind w:left="6282" w:hanging="180"/>
      </w:pPr>
      <w:rPr>
        <w:lang w:val="en-GB" w:eastAsia="en-GB" w:bidi="en-GB"/>
      </w:rPr>
    </w:lvl>
    <w:lvl w:ilvl="7" w:tplc="18AAA35C">
      <w:numFmt w:val="bullet"/>
      <w:lvlText w:val="•"/>
      <w:lvlJc w:val="left"/>
      <w:pPr>
        <w:ind w:left="7182" w:hanging="180"/>
      </w:pPr>
      <w:rPr>
        <w:lang w:val="en-GB" w:eastAsia="en-GB" w:bidi="en-GB"/>
      </w:rPr>
    </w:lvl>
    <w:lvl w:ilvl="8" w:tplc="6E16AC74">
      <w:numFmt w:val="bullet"/>
      <w:lvlText w:val="•"/>
      <w:lvlJc w:val="left"/>
      <w:pPr>
        <w:ind w:left="8083" w:hanging="180"/>
      </w:pPr>
      <w:rPr>
        <w:lang w:val="en-GB" w:eastAsia="en-GB" w:bidi="en-GB"/>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6C74B7E"/>
    <w:multiLevelType w:val="hybridMultilevel"/>
    <w:tmpl w:val="DD9099F2"/>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5"/>
  </w:num>
  <w:num w:numId="8">
    <w:abstractNumId w:val="6"/>
  </w:num>
  <w:num w:numId="9">
    <w:abstractNumId w:val="7"/>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12"/>
    <w:rsid w:val="00021D59"/>
    <w:rsid w:val="000259B9"/>
    <w:rsid w:val="00041491"/>
    <w:rsid w:val="00050D16"/>
    <w:rsid w:val="00074F2A"/>
    <w:rsid w:val="000A1CA8"/>
    <w:rsid w:val="000A466B"/>
    <w:rsid w:val="000A7D40"/>
    <w:rsid w:val="000B058C"/>
    <w:rsid w:val="000E4EE6"/>
    <w:rsid w:val="000E6D4D"/>
    <w:rsid w:val="001454E2"/>
    <w:rsid w:val="00167DD1"/>
    <w:rsid w:val="00174313"/>
    <w:rsid w:val="00206CE8"/>
    <w:rsid w:val="0021526C"/>
    <w:rsid w:val="00223CD8"/>
    <w:rsid w:val="00243EA6"/>
    <w:rsid w:val="002705E0"/>
    <w:rsid w:val="00283A2B"/>
    <w:rsid w:val="002B30AD"/>
    <w:rsid w:val="002C2C01"/>
    <w:rsid w:val="003630D4"/>
    <w:rsid w:val="003675EA"/>
    <w:rsid w:val="003854AE"/>
    <w:rsid w:val="003A29AE"/>
    <w:rsid w:val="003A32D7"/>
    <w:rsid w:val="003B4074"/>
    <w:rsid w:val="003C769A"/>
    <w:rsid w:val="003D74CB"/>
    <w:rsid w:val="003F1838"/>
    <w:rsid w:val="0045746C"/>
    <w:rsid w:val="0049104B"/>
    <w:rsid w:val="004957C5"/>
    <w:rsid w:val="004E3B12"/>
    <w:rsid w:val="00532310"/>
    <w:rsid w:val="00554C44"/>
    <w:rsid w:val="00560ECC"/>
    <w:rsid w:val="00565F0F"/>
    <w:rsid w:val="00587815"/>
    <w:rsid w:val="00594A86"/>
    <w:rsid w:val="00596D86"/>
    <w:rsid w:val="005A2B74"/>
    <w:rsid w:val="005C394E"/>
    <w:rsid w:val="00604247"/>
    <w:rsid w:val="00637F5A"/>
    <w:rsid w:val="006560B1"/>
    <w:rsid w:val="00664DD6"/>
    <w:rsid w:val="006756DD"/>
    <w:rsid w:val="006B6F4E"/>
    <w:rsid w:val="006F5EA6"/>
    <w:rsid w:val="00737275"/>
    <w:rsid w:val="00740EEC"/>
    <w:rsid w:val="0078011A"/>
    <w:rsid w:val="00782AF4"/>
    <w:rsid w:val="00790EE7"/>
    <w:rsid w:val="007B6649"/>
    <w:rsid w:val="007C7DDF"/>
    <w:rsid w:val="007D153B"/>
    <w:rsid w:val="0081546F"/>
    <w:rsid w:val="0082576E"/>
    <w:rsid w:val="00870B35"/>
    <w:rsid w:val="00871DC0"/>
    <w:rsid w:val="00907F75"/>
    <w:rsid w:val="009122E0"/>
    <w:rsid w:val="009260DE"/>
    <w:rsid w:val="0093258A"/>
    <w:rsid w:val="009C7BA3"/>
    <w:rsid w:val="009D1F5A"/>
    <w:rsid w:val="009E6E08"/>
    <w:rsid w:val="00A44DBD"/>
    <w:rsid w:val="00AD378F"/>
    <w:rsid w:val="00B003BF"/>
    <w:rsid w:val="00B373D7"/>
    <w:rsid w:val="00B9261E"/>
    <w:rsid w:val="00BA2F05"/>
    <w:rsid w:val="00BB03F9"/>
    <w:rsid w:val="00C15B1A"/>
    <w:rsid w:val="00C36276"/>
    <w:rsid w:val="00C40337"/>
    <w:rsid w:val="00C42586"/>
    <w:rsid w:val="00C60CCD"/>
    <w:rsid w:val="00C84483"/>
    <w:rsid w:val="00C95551"/>
    <w:rsid w:val="00CB20D7"/>
    <w:rsid w:val="00D020B0"/>
    <w:rsid w:val="00D11748"/>
    <w:rsid w:val="00D25F12"/>
    <w:rsid w:val="00D366CF"/>
    <w:rsid w:val="00E108AA"/>
    <w:rsid w:val="00E31812"/>
    <w:rsid w:val="00E3749A"/>
    <w:rsid w:val="00E600B1"/>
    <w:rsid w:val="00E7437F"/>
    <w:rsid w:val="00E865B8"/>
    <w:rsid w:val="00EC0B9B"/>
    <w:rsid w:val="00ED5E9F"/>
    <w:rsid w:val="00F66D4F"/>
    <w:rsid w:val="00F70272"/>
    <w:rsid w:val="00FB6D01"/>
    <w:rsid w:val="00FE033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A56E4"/>
  <w15:chartTrackingRefBased/>
  <w15:docId w15:val="{DE6D4C8E-B90E-40F1-9E9D-205AF5DE8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semiHidden/>
    <w:unhideWhenUsed/>
    <w:qFormat/>
    <w:rsid w:val="00D25F12"/>
    <w:pPr>
      <w:keepNext/>
      <w:tabs>
        <w:tab w:val="left" w:pos="567"/>
      </w:tabs>
      <w:spacing w:before="240" w:after="60" w:line="260" w:lineRule="exact"/>
      <w:outlineLvl w:val="1"/>
    </w:pPr>
    <w:rPr>
      <w:rFonts w:ascii="Helvetica" w:hAnsi="Helvetica"/>
      <w:b/>
      <w:i/>
      <w:sz w:val="24"/>
      <w:lang w:val="en-GB"/>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semiHidden/>
    <w:unhideWhenUsed/>
    <w:qFormat/>
    <w:rsid w:val="00D25F12"/>
    <w:pPr>
      <w:keepNext/>
      <w:tabs>
        <w:tab w:val="left" w:pos="567"/>
      </w:tabs>
      <w:spacing w:line="260" w:lineRule="exact"/>
      <w:jc w:val="both"/>
      <w:outlineLvl w:val="3"/>
    </w:pPr>
    <w:rPr>
      <w:b/>
      <w:noProof/>
      <w:sz w:val="22"/>
      <w:lang w:val="en-GB"/>
    </w:rPr>
  </w:style>
  <w:style w:type="paragraph" w:styleId="Overskrift5">
    <w:name w:val="heading 5"/>
    <w:basedOn w:val="Normal"/>
    <w:next w:val="Normal"/>
    <w:link w:val="Overskrift5Tegn"/>
    <w:semiHidden/>
    <w:unhideWhenUsed/>
    <w:qFormat/>
    <w:rsid w:val="00D25F12"/>
    <w:pPr>
      <w:keepNext/>
      <w:tabs>
        <w:tab w:val="left" w:pos="567"/>
      </w:tabs>
      <w:spacing w:line="260" w:lineRule="exact"/>
      <w:jc w:val="both"/>
      <w:outlineLvl w:val="4"/>
    </w:pPr>
    <w:rPr>
      <w:noProof/>
      <w:sz w:val="22"/>
      <w:lang w:val="en-GB"/>
    </w:rPr>
  </w:style>
  <w:style w:type="paragraph" w:styleId="Overskrift6">
    <w:name w:val="heading 6"/>
    <w:basedOn w:val="Normal"/>
    <w:next w:val="Normal"/>
    <w:link w:val="Overskrift6Tegn"/>
    <w:semiHidden/>
    <w:unhideWhenUsed/>
    <w:qFormat/>
    <w:rsid w:val="00D25F12"/>
    <w:pPr>
      <w:keepNext/>
      <w:tabs>
        <w:tab w:val="left" w:pos="-720"/>
        <w:tab w:val="left" w:pos="567"/>
        <w:tab w:val="left" w:pos="4536"/>
      </w:tabs>
      <w:suppressAutoHyphens/>
      <w:spacing w:line="260" w:lineRule="exact"/>
      <w:outlineLvl w:val="5"/>
    </w:pPr>
    <w:rPr>
      <w:i/>
      <w:sz w:val="22"/>
      <w:lang w:val="en-GB"/>
    </w:rPr>
  </w:style>
  <w:style w:type="paragraph" w:styleId="Overskrift7">
    <w:name w:val="heading 7"/>
    <w:basedOn w:val="Normal"/>
    <w:next w:val="Normal"/>
    <w:link w:val="Overskrift7Tegn"/>
    <w:semiHidden/>
    <w:unhideWhenUsed/>
    <w:qFormat/>
    <w:rsid w:val="00D25F12"/>
    <w:pPr>
      <w:keepNext/>
      <w:tabs>
        <w:tab w:val="left" w:pos="-720"/>
        <w:tab w:val="left" w:pos="567"/>
        <w:tab w:val="left" w:pos="4536"/>
      </w:tabs>
      <w:suppressAutoHyphens/>
      <w:spacing w:line="260" w:lineRule="exact"/>
      <w:jc w:val="both"/>
      <w:outlineLvl w:val="6"/>
    </w:pPr>
    <w:rPr>
      <w:i/>
      <w:sz w:val="22"/>
      <w:lang w:val="en-GB"/>
    </w:rPr>
  </w:style>
  <w:style w:type="paragraph" w:styleId="Overskrift8">
    <w:name w:val="heading 8"/>
    <w:basedOn w:val="Normal"/>
    <w:next w:val="Normal"/>
    <w:link w:val="Overskrift8Tegn"/>
    <w:semiHidden/>
    <w:unhideWhenUsed/>
    <w:qFormat/>
    <w:rsid w:val="00D25F12"/>
    <w:pPr>
      <w:keepNext/>
      <w:tabs>
        <w:tab w:val="left" w:pos="567"/>
      </w:tabs>
      <w:spacing w:line="260" w:lineRule="exact"/>
      <w:ind w:left="567" w:hanging="567"/>
      <w:jc w:val="both"/>
      <w:outlineLvl w:val="7"/>
    </w:pPr>
    <w:rPr>
      <w:b/>
      <w:i/>
      <w:sz w:val="22"/>
      <w:lang w:val="en-GB"/>
    </w:rPr>
  </w:style>
  <w:style w:type="paragraph" w:styleId="Overskrift9">
    <w:name w:val="heading 9"/>
    <w:basedOn w:val="Normal"/>
    <w:next w:val="Normal"/>
    <w:link w:val="Overskrift9Tegn"/>
    <w:semiHidden/>
    <w:unhideWhenUsed/>
    <w:qFormat/>
    <w:rsid w:val="00D25F12"/>
    <w:pPr>
      <w:keepNext/>
      <w:tabs>
        <w:tab w:val="left" w:pos="567"/>
      </w:tabs>
      <w:spacing w:line="260" w:lineRule="exact"/>
      <w:jc w:val="both"/>
      <w:outlineLvl w:val="8"/>
    </w:pPr>
    <w:rPr>
      <w:b/>
      <w:i/>
      <w:sz w:val="22"/>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D25F12"/>
    <w:rPr>
      <w:rFonts w:ascii="Arial" w:hAnsi="Arial"/>
      <w:b/>
      <w:kern w:val="28"/>
      <w:sz w:val="28"/>
      <w:lang w:eastAsia="en-US"/>
    </w:rPr>
  </w:style>
  <w:style w:type="character" w:customStyle="1" w:styleId="Overskrift2Tegn">
    <w:name w:val="Overskrift 2 Tegn"/>
    <w:basedOn w:val="Standardskrifttypeiafsnit"/>
    <w:link w:val="Overskrift2"/>
    <w:semiHidden/>
    <w:rsid w:val="00D25F12"/>
    <w:rPr>
      <w:rFonts w:ascii="Helvetica" w:hAnsi="Helvetica"/>
      <w:b/>
      <w:i/>
      <w:sz w:val="24"/>
      <w:lang w:val="en-GB" w:eastAsia="en-US"/>
    </w:rPr>
  </w:style>
  <w:style w:type="character" w:customStyle="1" w:styleId="Overskrift3Tegn">
    <w:name w:val="Overskrift 3 Tegn"/>
    <w:basedOn w:val="Standardskrifttypeiafsnit"/>
    <w:link w:val="Overskrift3"/>
    <w:rsid w:val="00D25F12"/>
    <w:rPr>
      <w:rFonts w:ascii="Arial" w:hAnsi="Arial"/>
      <w:sz w:val="24"/>
      <w:lang w:eastAsia="en-US"/>
    </w:rPr>
  </w:style>
  <w:style w:type="character" w:customStyle="1" w:styleId="Overskrift4Tegn">
    <w:name w:val="Overskrift 4 Tegn"/>
    <w:basedOn w:val="Standardskrifttypeiafsnit"/>
    <w:link w:val="Overskrift4"/>
    <w:semiHidden/>
    <w:rsid w:val="00D25F12"/>
    <w:rPr>
      <w:b/>
      <w:noProof/>
      <w:sz w:val="22"/>
      <w:lang w:val="en-GB" w:eastAsia="en-US"/>
    </w:rPr>
  </w:style>
  <w:style w:type="character" w:customStyle="1" w:styleId="Overskrift5Tegn">
    <w:name w:val="Overskrift 5 Tegn"/>
    <w:basedOn w:val="Standardskrifttypeiafsnit"/>
    <w:link w:val="Overskrift5"/>
    <w:semiHidden/>
    <w:rsid w:val="00D25F12"/>
    <w:rPr>
      <w:noProof/>
      <w:sz w:val="22"/>
      <w:lang w:val="en-GB" w:eastAsia="en-US"/>
    </w:rPr>
  </w:style>
  <w:style w:type="character" w:customStyle="1" w:styleId="Overskrift6Tegn">
    <w:name w:val="Overskrift 6 Tegn"/>
    <w:basedOn w:val="Standardskrifttypeiafsnit"/>
    <w:link w:val="Overskrift6"/>
    <w:semiHidden/>
    <w:rsid w:val="00D25F12"/>
    <w:rPr>
      <w:i/>
      <w:sz w:val="22"/>
      <w:lang w:val="en-GB" w:eastAsia="en-US"/>
    </w:rPr>
  </w:style>
  <w:style w:type="character" w:customStyle="1" w:styleId="Overskrift7Tegn">
    <w:name w:val="Overskrift 7 Tegn"/>
    <w:basedOn w:val="Standardskrifttypeiafsnit"/>
    <w:link w:val="Overskrift7"/>
    <w:semiHidden/>
    <w:rsid w:val="00D25F12"/>
    <w:rPr>
      <w:i/>
      <w:sz w:val="22"/>
      <w:lang w:val="en-GB" w:eastAsia="en-US"/>
    </w:rPr>
  </w:style>
  <w:style w:type="character" w:customStyle="1" w:styleId="Overskrift8Tegn">
    <w:name w:val="Overskrift 8 Tegn"/>
    <w:basedOn w:val="Standardskrifttypeiafsnit"/>
    <w:link w:val="Overskrift8"/>
    <w:semiHidden/>
    <w:rsid w:val="00D25F12"/>
    <w:rPr>
      <w:b/>
      <w:i/>
      <w:sz w:val="22"/>
      <w:lang w:val="en-GB" w:eastAsia="en-US"/>
    </w:rPr>
  </w:style>
  <w:style w:type="character" w:customStyle="1" w:styleId="Overskrift9Tegn">
    <w:name w:val="Overskrift 9 Tegn"/>
    <w:basedOn w:val="Standardskrifttypeiafsnit"/>
    <w:link w:val="Overskrift9"/>
    <w:semiHidden/>
    <w:rsid w:val="00D25F12"/>
    <w:rPr>
      <w:b/>
      <w:i/>
      <w:sz w:val="22"/>
      <w:lang w:val="en-GB" w:eastAsia="en-US"/>
    </w:rPr>
  </w:style>
  <w:style w:type="paragraph" w:styleId="Kommentartekst">
    <w:name w:val="annotation text"/>
    <w:basedOn w:val="Normal"/>
    <w:link w:val="KommentartekstTegn"/>
    <w:semiHidden/>
    <w:rsid w:val="00790EE7"/>
    <w:rPr>
      <w:sz w:val="20"/>
      <w:lang w:eastAsia="da-DK"/>
    </w:rPr>
  </w:style>
  <w:style w:type="character" w:customStyle="1" w:styleId="KommentartekstTegn">
    <w:name w:val="Kommentartekst Tegn"/>
    <w:basedOn w:val="Standardskrifttypeiafsnit"/>
    <w:link w:val="Kommentartekst"/>
    <w:semiHidden/>
    <w:rsid w:val="00B003BF"/>
  </w:style>
  <w:style w:type="paragraph" w:styleId="Sidehoved">
    <w:name w:val="header"/>
    <w:basedOn w:val="Normal"/>
    <w:link w:val="SidehovedTegn"/>
    <w:rsid w:val="00790EE7"/>
    <w:pPr>
      <w:tabs>
        <w:tab w:val="center" w:pos="4819"/>
        <w:tab w:val="right" w:pos="9638"/>
      </w:tabs>
    </w:pPr>
    <w:rPr>
      <w:sz w:val="24"/>
      <w:lang w:eastAsia="da-DK"/>
    </w:rPr>
  </w:style>
  <w:style w:type="character" w:customStyle="1" w:styleId="SidehovedTegn">
    <w:name w:val="Sidehoved Tegn"/>
    <w:link w:val="Sidehoved"/>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D25F12"/>
    <w:rPr>
      <w:rFonts w:ascii="Tahoma" w:hAnsi="Tahoma" w:cs="Tahoma"/>
      <w:sz w:val="16"/>
      <w:szCs w:val="16"/>
      <w:lang w:eastAsia="en-US"/>
    </w:rPr>
  </w:style>
  <w:style w:type="paragraph" w:styleId="Sidefod">
    <w:name w:val="footer"/>
    <w:basedOn w:val="Normal"/>
    <w:link w:val="SidefodTegn"/>
    <w:uiPriority w:val="99"/>
    <w:rsid w:val="00C42586"/>
    <w:pPr>
      <w:tabs>
        <w:tab w:val="center" w:pos="4819"/>
        <w:tab w:val="right" w:pos="9638"/>
      </w:tabs>
    </w:pPr>
  </w:style>
  <w:style w:type="character" w:customStyle="1" w:styleId="SidefodTegn">
    <w:name w:val="Sidefod Tegn"/>
    <w:basedOn w:val="Standardskrifttypeiafsnit"/>
    <w:link w:val="Sidefod"/>
    <w:uiPriority w:val="99"/>
    <w:rsid w:val="00D25F12"/>
    <w:rPr>
      <w:sz w:val="23"/>
      <w:lang w:eastAsia="en-US"/>
    </w:r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semiHidden/>
    <w:rsid w:val="009260DE"/>
    <w:rPr>
      <w:b/>
      <w:bCs/>
      <w:lang w:eastAsia="en-US"/>
    </w:rPr>
  </w:style>
  <w:style w:type="character" w:styleId="Pladsholdertekst">
    <w:name w:val="Placeholder Text"/>
    <w:basedOn w:val="Standardskrifttypeiafsnit"/>
    <w:uiPriority w:val="99"/>
    <w:semiHidden/>
    <w:rsid w:val="00D25F12"/>
    <w:rPr>
      <w:color w:val="808080"/>
    </w:rPr>
  </w:style>
  <w:style w:type="character" w:styleId="Hyperlink">
    <w:name w:val="Hyperlink"/>
    <w:semiHidden/>
    <w:unhideWhenUsed/>
    <w:rsid w:val="00D25F12"/>
    <w:rPr>
      <w:rFonts w:ascii="Times New Roman" w:hAnsi="Times New Roman" w:cs="Times New Roman" w:hint="default"/>
      <w:color w:val="0000FF"/>
      <w:u w:val="single"/>
    </w:rPr>
  </w:style>
  <w:style w:type="paragraph" w:styleId="Brdtekst">
    <w:name w:val="Body Text"/>
    <w:basedOn w:val="Normal"/>
    <w:link w:val="BrdtekstTegn"/>
    <w:semiHidden/>
    <w:unhideWhenUsed/>
    <w:rsid w:val="00D25F12"/>
    <w:rPr>
      <w:i/>
      <w:color w:val="008000"/>
      <w:sz w:val="22"/>
      <w:lang w:val="en-GB"/>
    </w:rPr>
  </w:style>
  <w:style w:type="character" w:customStyle="1" w:styleId="BrdtekstTegn">
    <w:name w:val="Brødtekst Tegn"/>
    <w:basedOn w:val="Standardskrifttypeiafsnit"/>
    <w:link w:val="Brdtekst"/>
    <w:semiHidden/>
    <w:rsid w:val="00D25F12"/>
    <w:rPr>
      <w:i/>
      <w:color w:val="008000"/>
      <w:sz w:val="22"/>
      <w:lang w:val="en-GB" w:eastAsia="en-US"/>
    </w:rPr>
  </w:style>
  <w:style w:type="character" w:customStyle="1" w:styleId="BrdtekstindrykningTegn">
    <w:name w:val="Brødtekstindrykning Tegn"/>
    <w:basedOn w:val="Standardskrifttypeiafsnit"/>
    <w:link w:val="Brdtekstindrykning"/>
    <w:semiHidden/>
    <w:rsid w:val="00D25F12"/>
    <w:rPr>
      <w:sz w:val="22"/>
      <w:szCs w:val="22"/>
      <w:lang w:val="en-GB" w:eastAsia="en-GB"/>
    </w:rPr>
  </w:style>
  <w:style w:type="paragraph" w:styleId="Brdtekstindrykning">
    <w:name w:val="Body Text Indent"/>
    <w:basedOn w:val="Normal"/>
    <w:link w:val="BrdtekstindrykningTegn"/>
    <w:semiHidden/>
    <w:unhideWhenUsed/>
    <w:rsid w:val="00D25F12"/>
    <w:pPr>
      <w:autoSpaceDE w:val="0"/>
      <w:autoSpaceDN w:val="0"/>
      <w:adjustRightInd w:val="0"/>
      <w:ind w:left="720"/>
      <w:jc w:val="both"/>
    </w:pPr>
    <w:rPr>
      <w:sz w:val="22"/>
      <w:szCs w:val="22"/>
      <w:lang w:val="en-GB" w:eastAsia="en-GB"/>
    </w:rPr>
  </w:style>
  <w:style w:type="character" w:customStyle="1" w:styleId="BrdtekstindrykningTegn1">
    <w:name w:val="Brødtekstindrykning Tegn1"/>
    <w:basedOn w:val="Standardskrifttypeiafsnit"/>
    <w:uiPriority w:val="99"/>
    <w:semiHidden/>
    <w:rsid w:val="00D25F12"/>
    <w:rPr>
      <w:sz w:val="23"/>
      <w:lang w:eastAsia="en-US"/>
    </w:rPr>
  </w:style>
  <w:style w:type="paragraph" w:styleId="Undertitel">
    <w:name w:val="Subtitle"/>
    <w:basedOn w:val="Normal"/>
    <w:next w:val="Normal"/>
    <w:link w:val="UndertitelTegn"/>
    <w:qFormat/>
    <w:rsid w:val="00D25F12"/>
    <w:pPr>
      <w:tabs>
        <w:tab w:val="left" w:pos="567"/>
      </w:tabs>
      <w:spacing w:after="60" w:line="260" w:lineRule="exact"/>
      <w:jc w:val="center"/>
      <w:outlineLvl w:val="1"/>
    </w:pPr>
    <w:rPr>
      <w:rFonts w:ascii="Calibri Light" w:hAnsi="Calibri Light"/>
      <w:sz w:val="24"/>
      <w:szCs w:val="24"/>
      <w:lang w:val="en-GB"/>
    </w:rPr>
  </w:style>
  <w:style w:type="character" w:customStyle="1" w:styleId="UndertitelTegn">
    <w:name w:val="Undertitel Tegn"/>
    <w:basedOn w:val="Standardskrifttypeiafsnit"/>
    <w:link w:val="Undertitel"/>
    <w:rsid w:val="00D25F12"/>
    <w:rPr>
      <w:rFonts w:ascii="Calibri Light" w:hAnsi="Calibri Light"/>
      <w:sz w:val="24"/>
      <w:szCs w:val="24"/>
      <w:lang w:val="en-GB" w:eastAsia="en-US"/>
    </w:rPr>
  </w:style>
  <w:style w:type="character" w:customStyle="1" w:styleId="Brdtekst2Tegn">
    <w:name w:val="Brødtekst 2 Tegn"/>
    <w:basedOn w:val="Standardskrifttypeiafsnit"/>
    <w:link w:val="Brdtekst2"/>
    <w:semiHidden/>
    <w:rsid w:val="00D25F12"/>
    <w:rPr>
      <w:b/>
      <w:bCs/>
      <w:color w:val="0000FF"/>
      <w:sz w:val="22"/>
      <w:szCs w:val="22"/>
      <w:u w:val="single"/>
      <w:lang w:val="en-GB" w:eastAsia="en-US"/>
    </w:rPr>
  </w:style>
  <w:style w:type="paragraph" w:styleId="Brdtekst2">
    <w:name w:val="Body Text 2"/>
    <w:basedOn w:val="Normal"/>
    <w:link w:val="Brdtekst2Tegn"/>
    <w:semiHidden/>
    <w:unhideWhenUsed/>
    <w:rsid w:val="00D25F12"/>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jc w:val="both"/>
    </w:pPr>
    <w:rPr>
      <w:b/>
      <w:bCs/>
      <w:color w:val="0000FF"/>
      <w:sz w:val="22"/>
      <w:szCs w:val="22"/>
      <w:u w:val="single"/>
      <w:lang w:val="en-GB"/>
    </w:rPr>
  </w:style>
  <w:style w:type="character" w:customStyle="1" w:styleId="Brdtekst2Tegn1">
    <w:name w:val="Brødtekst 2 Tegn1"/>
    <w:basedOn w:val="Standardskrifttypeiafsnit"/>
    <w:uiPriority w:val="99"/>
    <w:semiHidden/>
    <w:rsid w:val="00D25F12"/>
    <w:rPr>
      <w:sz w:val="23"/>
      <w:lang w:eastAsia="en-US"/>
    </w:rPr>
  </w:style>
  <w:style w:type="character" w:customStyle="1" w:styleId="Brdtekst3Tegn">
    <w:name w:val="Brødtekst 3 Tegn"/>
    <w:basedOn w:val="Standardskrifttypeiafsnit"/>
    <w:link w:val="Brdtekst3"/>
    <w:semiHidden/>
    <w:rsid w:val="00D25F12"/>
    <w:rPr>
      <w:color w:val="0000FF"/>
      <w:sz w:val="22"/>
      <w:szCs w:val="22"/>
      <w:lang w:val="en-GB" w:eastAsia="en-GB"/>
    </w:rPr>
  </w:style>
  <w:style w:type="paragraph" w:styleId="Brdtekst3">
    <w:name w:val="Body Text 3"/>
    <w:basedOn w:val="Normal"/>
    <w:link w:val="Brdtekst3Tegn"/>
    <w:semiHidden/>
    <w:unhideWhenUsed/>
    <w:rsid w:val="00D25F12"/>
    <w:pPr>
      <w:autoSpaceDE w:val="0"/>
      <w:autoSpaceDN w:val="0"/>
      <w:adjustRightInd w:val="0"/>
      <w:jc w:val="both"/>
    </w:pPr>
    <w:rPr>
      <w:color w:val="0000FF"/>
      <w:sz w:val="22"/>
      <w:szCs w:val="22"/>
      <w:lang w:val="en-GB" w:eastAsia="en-GB"/>
    </w:rPr>
  </w:style>
  <w:style w:type="character" w:customStyle="1" w:styleId="Brdtekst3Tegn1">
    <w:name w:val="Brødtekst 3 Tegn1"/>
    <w:basedOn w:val="Standardskrifttypeiafsnit"/>
    <w:uiPriority w:val="99"/>
    <w:semiHidden/>
    <w:rsid w:val="00D25F12"/>
    <w:rPr>
      <w:sz w:val="16"/>
      <w:szCs w:val="16"/>
      <w:lang w:eastAsia="en-US"/>
    </w:rPr>
  </w:style>
  <w:style w:type="character" w:customStyle="1" w:styleId="Brdtekstindrykning2Tegn">
    <w:name w:val="Brødtekstindrykning 2 Tegn"/>
    <w:basedOn w:val="Standardskrifttypeiafsnit"/>
    <w:link w:val="Brdtekstindrykning2"/>
    <w:semiHidden/>
    <w:rsid w:val="00D25F12"/>
    <w:rPr>
      <w:b/>
      <w:bCs/>
      <w:color w:val="0000FF"/>
      <w:sz w:val="22"/>
      <w:szCs w:val="22"/>
      <w:lang w:val="en-GB" w:eastAsia="en-US"/>
    </w:rPr>
  </w:style>
  <w:style w:type="paragraph" w:styleId="Brdtekstindrykning2">
    <w:name w:val="Body Text Indent 2"/>
    <w:basedOn w:val="Normal"/>
    <w:link w:val="Brdtekstindrykning2Tegn"/>
    <w:semiHidden/>
    <w:unhideWhenUsed/>
    <w:rsid w:val="00D25F12"/>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ind w:left="1134"/>
      <w:jc w:val="both"/>
    </w:pPr>
    <w:rPr>
      <w:b/>
      <w:bCs/>
      <w:color w:val="0000FF"/>
      <w:sz w:val="22"/>
      <w:szCs w:val="22"/>
      <w:lang w:val="en-GB"/>
    </w:rPr>
  </w:style>
  <w:style w:type="character" w:customStyle="1" w:styleId="Brdtekstindrykning2Tegn1">
    <w:name w:val="Brødtekstindrykning 2 Tegn1"/>
    <w:basedOn w:val="Standardskrifttypeiafsnit"/>
    <w:uiPriority w:val="99"/>
    <w:semiHidden/>
    <w:rsid w:val="00D25F12"/>
    <w:rPr>
      <w:sz w:val="23"/>
      <w:lang w:eastAsia="en-US"/>
    </w:rPr>
  </w:style>
  <w:style w:type="character" w:customStyle="1" w:styleId="Brdtekstindrykning3Tegn">
    <w:name w:val="Brødtekstindrykning 3 Tegn"/>
    <w:basedOn w:val="Standardskrifttypeiafsnit"/>
    <w:link w:val="Brdtekstindrykning3"/>
    <w:semiHidden/>
    <w:rsid w:val="00D25F12"/>
    <w:rPr>
      <w:sz w:val="22"/>
      <w:szCs w:val="21"/>
      <w:lang w:val="en-GB" w:eastAsia="en-US"/>
    </w:rPr>
  </w:style>
  <w:style w:type="paragraph" w:styleId="Brdtekstindrykning3">
    <w:name w:val="Body Text Indent 3"/>
    <w:basedOn w:val="Normal"/>
    <w:link w:val="Brdtekstindrykning3Tegn"/>
    <w:semiHidden/>
    <w:unhideWhenUsed/>
    <w:rsid w:val="00D25F12"/>
    <w:pPr>
      <w:tabs>
        <w:tab w:val="left" w:pos="567"/>
        <w:tab w:val="left" w:pos="1134"/>
      </w:tabs>
      <w:autoSpaceDE w:val="0"/>
      <w:autoSpaceDN w:val="0"/>
      <w:adjustRightInd w:val="0"/>
      <w:spacing w:line="260" w:lineRule="exact"/>
      <w:ind w:left="633"/>
      <w:jc w:val="both"/>
    </w:pPr>
    <w:rPr>
      <w:sz w:val="22"/>
      <w:szCs w:val="21"/>
      <w:lang w:val="en-GB"/>
    </w:rPr>
  </w:style>
  <w:style w:type="character" w:customStyle="1" w:styleId="Brdtekstindrykning3Tegn1">
    <w:name w:val="Brødtekstindrykning 3 Tegn1"/>
    <w:basedOn w:val="Standardskrifttypeiafsnit"/>
    <w:uiPriority w:val="99"/>
    <w:semiHidden/>
    <w:rsid w:val="00D25F12"/>
    <w:rPr>
      <w:sz w:val="16"/>
      <w:szCs w:val="16"/>
      <w:lang w:eastAsia="en-US"/>
    </w:rPr>
  </w:style>
  <w:style w:type="character" w:customStyle="1" w:styleId="DokumentoversigtTegn">
    <w:name w:val="Dokumentoversigt Tegn"/>
    <w:basedOn w:val="Standardskrifttypeiafsnit"/>
    <w:link w:val="Dokumentoversigt"/>
    <w:semiHidden/>
    <w:rsid w:val="00D25F12"/>
    <w:rPr>
      <w:rFonts w:ascii="Tahoma" w:hAnsi="Tahoma" w:cs="Tahoma"/>
      <w:sz w:val="22"/>
      <w:shd w:val="clear" w:color="auto" w:fill="000080"/>
      <w:lang w:eastAsia="en-US"/>
    </w:rPr>
  </w:style>
  <w:style w:type="paragraph" w:styleId="Dokumentoversigt">
    <w:name w:val="Document Map"/>
    <w:basedOn w:val="Normal"/>
    <w:link w:val="DokumentoversigtTegn"/>
    <w:semiHidden/>
    <w:unhideWhenUsed/>
    <w:rsid w:val="00D25F12"/>
    <w:pPr>
      <w:shd w:val="clear" w:color="auto" w:fill="000080"/>
      <w:tabs>
        <w:tab w:val="left" w:pos="567"/>
      </w:tabs>
      <w:spacing w:line="260" w:lineRule="exact"/>
    </w:pPr>
    <w:rPr>
      <w:rFonts w:ascii="Tahoma" w:hAnsi="Tahoma" w:cs="Tahoma"/>
      <w:sz w:val="22"/>
    </w:rPr>
  </w:style>
  <w:style w:type="character" w:customStyle="1" w:styleId="DokumentoversigtTegn1">
    <w:name w:val="Dokumentoversigt Tegn1"/>
    <w:basedOn w:val="Standardskrifttypeiafsnit"/>
    <w:uiPriority w:val="99"/>
    <w:semiHidden/>
    <w:rsid w:val="00D25F12"/>
    <w:rPr>
      <w:rFonts w:ascii="Segoe UI" w:hAnsi="Segoe UI" w:cs="Segoe UI"/>
      <w:sz w:val="16"/>
      <w:szCs w:val="16"/>
      <w:lang w:eastAsia="en-US"/>
    </w:rPr>
  </w:style>
  <w:style w:type="paragraph" w:styleId="Ingenafstand">
    <w:name w:val="No Spacing"/>
    <w:uiPriority w:val="1"/>
    <w:qFormat/>
    <w:rsid w:val="00D25F12"/>
    <w:pPr>
      <w:tabs>
        <w:tab w:val="left" w:pos="567"/>
      </w:tabs>
    </w:pPr>
    <w:rPr>
      <w:sz w:val="22"/>
      <w:lang w:val="en-GB" w:eastAsia="en-US"/>
    </w:rPr>
  </w:style>
  <w:style w:type="paragraph" w:styleId="Listeafsnit">
    <w:name w:val="List Paragraph"/>
    <w:basedOn w:val="Normal"/>
    <w:uiPriority w:val="1"/>
    <w:qFormat/>
    <w:rsid w:val="00D25F12"/>
    <w:pPr>
      <w:widowControl w:val="0"/>
      <w:autoSpaceDE w:val="0"/>
      <w:autoSpaceDN w:val="0"/>
      <w:adjustRightInd w:val="0"/>
      <w:ind w:left="677" w:hanging="566"/>
    </w:pPr>
    <w:rPr>
      <w:sz w:val="24"/>
      <w:szCs w:val="24"/>
      <w:lang w:val="en-GB" w:eastAsia="en-GB"/>
    </w:rPr>
  </w:style>
  <w:style w:type="paragraph" w:customStyle="1" w:styleId="TabletextrowsAgency">
    <w:name w:val="Table text rows (Agency)"/>
    <w:basedOn w:val="Normal"/>
    <w:uiPriority w:val="99"/>
    <w:rsid w:val="00D25F12"/>
    <w:pPr>
      <w:spacing w:line="280" w:lineRule="exact"/>
    </w:pPr>
    <w:rPr>
      <w:rFonts w:ascii="Verdana" w:hAnsi="Verdana"/>
      <w:sz w:val="18"/>
      <w:lang w:val="fr-LU" w:eastAsia="fr-LU"/>
    </w:rPr>
  </w:style>
  <w:style w:type="paragraph" w:customStyle="1" w:styleId="EMEAEnBodyText">
    <w:name w:val="EMEA En Body Text"/>
    <w:basedOn w:val="Normal"/>
    <w:rsid w:val="00D25F12"/>
    <w:pPr>
      <w:spacing w:before="120" w:after="120"/>
      <w:jc w:val="both"/>
    </w:pPr>
    <w:rPr>
      <w:sz w:val="22"/>
      <w:lang w:val="en-US"/>
    </w:rPr>
  </w:style>
  <w:style w:type="paragraph" w:customStyle="1" w:styleId="AHeader1">
    <w:name w:val="AHeader 1"/>
    <w:basedOn w:val="Normal"/>
    <w:rsid w:val="00D25F12"/>
    <w:pPr>
      <w:tabs>
        <w:tab w:val="num" w:pos="720"/>
      </w:tabs>
      <w:spacing w:after="120"/>
      <w:ind w:left="284" w:hanging="284"/>
    </w:pPr>
    <w:rPr>
      <w:rFonts w:ascii="Arial" w:hAnsi="Arial" w:cs="Arial"/>
      <w:b/>
      <w:bCs/>
      <w:sz w:val="24"/>
      <w:lang w:val="en-GB"/>
    </w:rPr>
  </w:style>
  <w:style w:type="paragraph" w:customStyle="1" w:styleId="AHeader2">
    <w:name w:val="AHeader 2"/>
    <w:basedOn w:val="AHeader1"/>
    <w:rsid w:val="00D25F12"/>
    <w:pPr>
      <w:numPr>
        <w:ilvl w:val="1"/>
      </w:numPr>
      <w:tabs>
        <w:tab w:val="num" w:pos="360"/>
        <w:tab w:val="num" w:pos="720"/>
      </w:tabs>
      <w:ind w:left="284" w:hanging="284"/>
    </w:pPr>
    <w:rPr>
      <w:sz w:val="22"/>
    </w:rPr>
  </w:style>
  <w:style w:type="paragraph" w:customStyle="1" w:styleId="AHeader3">
    <w:name w:val="AHeader 3"/>
    <w:basedOn w:val="AHeader2"/>
    <w:rsid w:val="00D25F12"/>
    <w:pPr>
      <w:numPr>
        <w:ilvl w:val="2"/>
      </w:numPr>
      <w:tabs>
        <w:tab w:val="num" w:pos="360"/>
      </w:tabs>
      <w:ind w:left="284" w:hanging="284"/>
    </w:pPr>
  </w:style>
  <w:style w:type="paragraph" w:customStyle="1" w:styleId="AHeader2abc">
    <w:name w:val="AHeader 2 abc"/>
    <w:basedOn w:val="AHeader3"/>
    <w:rsid w:val="00D25F12"/>
    <w:pPr>
      <w:numPr>
        <w:ilvl w:val="3"/>
      </w:numPr>
      <w:tabs>
        <w:tab w:val="num" w:pos="360"/>
      </w:tabs>
      <w:ind w:left="284" w:hanging="284"/>
      <w:jc w:val="both"/>
    </w:pPr>
    <w:rPr>
      <w:b w:val="0"/>
      <w:bCs w:val="0"/>
    </w:rPr>
  </w:style>
  <w:style w:type="paragraph" w:customStyle="1" w:styleId="AHeader3abc">
    <w:name w:val="AHeader 3 abc"/>
    <w:basedOn w:val="AHeader2abc"/>
    <w:rsid w:val="00D25F12"/>
    <w:pPr>
      <w:numPr>
        <w:ilvl w:val="4"/>
      </w:numPr>
      <w:tabs>
        <w:tab w:val="num" w:pos="360"/>
      </w:tabs>
      <w:ind w:left="284" w:hanging="284"/>
    </w:pPr>
  </w:style>
  <w:style w:type="paragraph" w:customStyle="1" w:styleId="Default">
    <w:name w:val="Default"/>
    <w:rsid w:val="00D25F12"/>
    <w:pPr>
      <w:autoSpaceDE w:val="0"/>
      <w:autoSpaceDN w:val="0"/>
      <w:adjustRightInd w:val="0"/>
    </w:pPr>
    <w:rPr>
      <w:lang w:val="en-US" w:eastAsia="en-US"/>
    </w:rPr>
  </w:style>
  <w:style w:type="character" w:customStyle="1" w:styleId="BodytextAgencyChar">
    <w:name w:val="Body text (Agency) Char"/>
    <w:link w:val="BodytextAgency"/>
    <w:locked/>
    <w:rsid w:val="00D25F12"/>
    <w:rPr>
      <w:rFonts w:ascii="Verdana" w:eastAsia="Verdana" w:hAnsi="Verdana" w:cs="Verdana"/>
      <w:sz w:val="18"/>
      <w:szCs w:val="18"/>
      <w:lang w:val="en-GB" w:eastAsia="en-GB"/>
    </w:rPr>
  </w:style>
  <w:style w:type="paragraph" w:customStyle="1" w:styleId="BodytextAgency">
    <w:name w:val="Body text (Agency)"/>
    <w:basedOn w:val="Normal"/>
    <w:link w:val="BodytextAgencyChar"/>
    <w:rsid w:val="00D25F12"/>
    <w:pPr>
      <w:spacing w:after="140" w:line="280" w:lineRule="atLeast"/>
    </w:pPr>
    <w:rPr>
      <w:rFonts w:ascii="Verdana" w:eastAsia="Verdana" w:hAnsi="Verdana" w:cs="Verdana"/>
      <w:sz w:val="18"/>
      <w:szCs w:val="18"/>
      <w:lang w:val="en-GB" w:eastAsia="en-GB"/>
    </w:rPr>
  </w:style>
  <w:style w:type="paragraph" w:customStyle="1" w:styleId="TableParagraph">
    <w:name w:val="Table Paragraph"/>
    <w:basedOn w:val="Normal"/>
    <w:uiPriority w:val="1"/>
    <w:qFormat/>
    <w:rsid w:val="00D25F12"/>
    <w:pPr>
      <w:widowControl w:val="0"/>
      <w:autoSpaceDE w:val="0"/>
      <w:autoSpaceDN w:val="0"/>
      <w:adjustRightInd w:val="0"/>
      <w:spacing w:line="223" w:lineRule="exact"/>
      <w:ind w:left="103"/>
    </w:pPr>
    <w:rPr>
      <w:sz w:val="24"/>
      <w:szCs w:val="24"/>
      <w:lang w:val="en-GB" w:eastAsia="en-GB"/>
    </w:rPr>
  </w:style>
  <w:style w:type="character" w:customStyle="1" w:styleId="Heading7Char">
    <w:name w:val="Heading 7 Char"/>
    <w:uiPriority w:val="99"/>
    <w:rsid w:val="00D25F12"/>
    <w:rPr>
      <w:rFonts w:ascii="Calibri" w:hAnsi="Calibri" w:hint="default"/>
      <w:snapToGrid/>
      <w:sz w:val="24"/>
      <w:lang w:val="en-GB"/>
    </w:rPr>
  </w:style>
  <w:style w:type="character" w:customStyle="1" w:styleId="BalloonTextChar">
    <w:name w:val="Balloon Text Char"/>
    <w:uiPriority w:val="99"/>
    <w:locked/>
    <w:rsid w:val="00D25F12"/>
    <w:rPr>
      <w:rFonts w:ascii="Tahoma" w:hAnsi="Tahoma" w:cs="Times New Roman" w:hint="default"/>
      <w:snapToGrid/>
      <w:sz w:val="16"/>
      <w:lang w:val="en-GB" w:eastAsia="en-US"/>
    </w:rPr>
  </w:style>
  <w:style w:type="character" w:customStyle="1" w:styleId="FooterChar">
    <w:name w:val="Footer Char"/>
    <w:uiPriority w:val="99"/>
    <w:rsid w:val="00D25F12"/>
    <w:rPr>
      <w:snapToGrid/>
      <w:sz w:val="22"/>
      <w:lang w:val="en-GB"/>
    </w:rPr>
  </w:style>
  <w:style w:type="character" w:customStyle="1" w:styleId="HeaderChar">
    <w:name w:val="Header Char"/>
    <w:uiPriority w:val="99"/>
    <w:rsid w:val="00D25F12"/>
    <w:rPr>
      <w:snapToGrid/>
      <w:sz w:val="22"/>
      <w:lang w:val="en-GB"/>
    </w:rPr>
  </w:style>
  <w:style w:type="character" w:customStyle="1" w:styleId="tw4winMark">
    <w:name w:val="tw4winMark"/>
    <w:uiPriority w:val="99"/>
    <w:rsid w:val="00D25F12"/>
    <w:rPr>
      <w:rFonts w:ascii="Courier New" w:hAnsi="Courier New" w:cs="Courier New" w:hint="default"/>
      <w:vanish/>
      <w:webHidden w:val="0"/>
      <w:color w:val="800080"/>
      <w:sz w:val="24"/>
      <w:vertAlign w:val="subscript"/>
      <w:specVanish w:val="0"/>
    </w:rPr>
  </w:style>
  <w:style w:type="character" w:customStyle="1" w:styleId="tw4winError">
    <w:name w:val="tw4winError"/>
    <w:uiPriority w:val="99"/>
    <w:rsid w:val="00D25F12"/>
    <w:rPr>
      <w:rFonts w:ascii="Courier New" w:hAnsi="Courier New" w:cs="Courier New" w:hint="default"/>
      <w:color w:val="00FF00"/>
      <w:sz w:val="40"/>
    </w:rPr>
  </w:style>
  <w:style w:type="character" w:customStyle="1" w:styleId="tw4winTerm">
    <w:name w:val="tw4winTerm"/>
    <w:uiPriority w:val="99"/>
    <w:rsid w:val="00D25F12"/>
    <w:rPr>
      <w:color w:val="0000FF"/>
    </w:rPr>
  </w:style>
  <w:style w:type="character" w:customStyle="1" w:styleId="tw4winPopup">
    <w:name w:val="tw4winPopup"/>
    <w:uiPriority w:val="99"/>
    <w:rsid w:val="00D25F12"/>
    <w:rPr>
      <w:rFonts w:ascii="Courier New" w:hAnsi="Courier New" w:cs="Courier New" w:hint="default"/>
      <w:noProof/>
      <w:color w:val="008000"/>
    </w:rPr>
  </w:style>
  <w:style w:type="character" w:customStyle="1" w:styleId="tw4winJump">
    <w:name w:val="tw4winJump"/>
    <w:uiPriority w:val="99"/>
    <w:rsid w:val="00D25F12"/>
    <w:rPr>
      <w:rFonts w:ascii="Courier New" w:hAnsi="Courier New" w:cs="Courier New" w:hint="default"/>
      <w:noProof/>
      <w:color w:val="008080"/>
    </w:rPr>
  </w:style>
  <w:style w:type="character" w:customStyle="1" w:styleId="tw4winExternal">
    <w:name w:val="tw4winExternal"/>
    <w:uiPriority w:val="99"/>
    <w:rsid w:val="00D25F12"/>
    <w:rPr>
      <w:rFonts w:ascii="Courier New" w:hAnsi="Courier New" w:cs="Courier New" w:hint="default"/>
      <w:noProof/>
      <w:color w:val="808080"/>
    </w:rPr>
  </w:style>
  <w:style w:type="character" w:customStyle="1" w:styleId="tw4winInternal">
    <w:name w:val="tw4winInternal"/>
    <w:uiPriority w:val="99"/>
    <w:rsid w:val="00D25F12"/>
    <w:rPr>
      <w:rFonts w:ascii="Courier New" w:hAnsi="Courier New" w:cs="Courier New" w:hint="default"/>
      <w:noProof/>
      <w:color w:val="FF0000"/>
    </w:rPr>
  </w:style>
  <w:style w:type="character" w:customStyle="1" w:styleId="DONOTTRANSLATE">
    <w:name w:val="DO_NOT_TRANSLATE"/>
    <w:uiPriority w:val="99"/>
    <w:rsid w:val="00D25F12"/>
    <w:rPr>
      <w:rFonts w:ascii="Courier New" w:hAnsi="Courier New" w:cs="Courier New" w:hint="default"/>
      <w:noProof/>
      <w:color w:val="800000"/>
    </w:rPr>
  </w:style>
  <w:style w:type="character" w:customStyle="1" w:styleId="CommentTextChar">
    <w:name w:val="Comment Text Char"/>
    <w:uiPriority w:val="99"/>
    <w:rsid w:val="00D25F12"/>
    <w:rPr>
      <w:snapToGrid/>
      <w:lang w:val="en-GB" w:eastAsia="en-US"/>
    </w:rPr>
  </w:style>
  <w:style w:type="character" w:customStyle="1" w:styleId="CommentSubjectChar">
    <w:name w:val="Comment Subject Char"/>
    <w:uiPriority w:val="99"/>
    <w:rsid w:val="00D25F12"/>
    <w:rPr>
      <w:b/>
      <w:bCs w:val="0"/>
      <w:snapToGrid/>
      <w:lang w:val="en-GB" w:eastAsia="en-US"/>
    </w:rPr>
  </w:style>
  <w:style w:type="character" w:customStyle="1" w:styleId="shorttext">
    <w:name w:val="short_text"/>
    <w:uiPriority w:val="99"/>
    <w:rsid w:val="00D25F12"/>
    <w:rPr>
      <w:rFonts w:ascii="Times New Roman" w:hAnsi="Times New Roman" w:cs="Times New Roman" w:hint="default"/>
    </w:rPr>
  </w:style>
  <w:style w:type="character" w:customStyle="1" w:styleId="hps">
    <w:name w:val="hps"/>
    <w:uiPriority w:val="99"/>
    <w:rsid w:val="00D25F12"/>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999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795025346">
      <w:bodyDiv w:val="1"/>
      <w:marLeft w:val="0"/>
      <w:marRight w:val="0"/>
      <w:marTop w:val="0"/>
      <w:marBottom w:val="0"/>
      <w:divBdr>
        <w:top w:val="none" w:sz="0" w:space="0" w:color="auto"/>
        <w:left w:val="none" w:sz="0" w:space="0" w:color="auto"/>
        <w:bottom w:val="none" w:sz="0" w:space="0" w:color="auto"/>
        <w:right w:val="none" w:sz="0" w:space="0" w:color="auto"/>
      </w:divBdr>
    </w:div>
    <w:div w:id="957416641">
      <w:bodyDiv w:val="1"/>
      <w:marLeft w:val="0"/>
      <w:marRight w:val="0"/>
      <w:marTop w:val="0"/>
      <w:marBottom w:val="0"/>
      <w:divBdr>
        <w:top w:val="none" w:sz="0" w:space="0" w:color="auto"/>
        <w:left w:val="none" w:sz="0" w:space="0" w:color="auto"/>
        <w:bottom w:val="none" w:sz="0" w:space="0" w:color="auto"/>
        <w:right w:val="none" w:sz="0" w:space="0" w:color="auto"/>
      </w:divBdr>
    </w:div>
    <w:div w:id="1035349388">
      <w:bodyDiv w:val="1"/>
      <w:marLeft w:val="0"/>
      <w:marRight w:val="0"/>
      <w:marTop w:val="0"/>
      <w:marBottom w:val="0"/>
      <w:divBdr>
        <w:top w:val="none" w:sz="0" w:space="0" w:color="auto"/>
        <w:left w:val="none" w:sz="0" w:space="0" w:color="auto"/>
        <w:bottom w:val="none" w:sz="0" w:space="0" w:color="auto"/>
        <w:right w:val="none" w:sz="0" w:space="0" w:color="auto"/>
      </w:divBdr>
    </w:div>
    <w:div w:id="2027755797">
      <w:bodyDiv w:val="1"/>
      <w:marLeft w:val="0"/>
      <w:marRight w:val="0"/>
      <w:marTop w:val="0"/>
      <w:marBottom w:val="0"/>
      <w:divBdr>
        <w:top w:val="none" w:sz="0" w:space="0" w:color="auto"/>
        <w:left w:val="none" w:sz="0" w:space="0" w:color="auto"/>
        <w:bottom w:val="none" w:sz="0" w:space="0" w:color="auto"/>
        <w:right w:val="none" w:sz="0" w:space="0" w:color="auto"/>
      </w:divBdr>
    </w:div>
    <w:div w:id="212981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15</TotalTime>
  <Pages>52</Pages>
  <Words>15397</Words>
  <Characters>106959</Characters>
  <Application>Microsoft Office Word</Application>
  <DocSecurity>0</DocSecurity>
  <Lines>891</Lines>
  <Paragraphs>244</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122112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2022070237_x000d_
SPC pkt. 4.5 samt tilretning af overskrifter iht QRD</dc:description>
  <cp:lastModifiedBy>Betty Winther Andersen</cp:lastModifiedBy>
  <cp:revision>9</cp:revision>
  <cp:lastPrinted>2012-08-22T08:53:00Z</cp:lastPrinted>
  <dcterms:created xsi:type="dcterms:W3CDTF">2022-12-08T11:07:00Z</dcterms:created>
  <dcterms:modified xsi:type="dcterms:W3CDTF">2022-12-12T09:18:00Z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