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1D20BF" w14:textId="4E84C1AA" w:rsidR="009260DE" w:rsidRPr="00C84483" w:rsidRDefault="0021526C" w:rsidP="005E198E">
      <w:pPr>
        <w:rPr>
          <w:b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1CC22F58" wp14:editId="609F001C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5B7E0C90" w14:textId="2E5D5C7E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F4377E">
        <w:rPr>
          <w:szCs w:val="24"/>
        </w:rPr>
        <w:t>20. april 2018</w:t>
      </w:r>
    </w:p>
    <w:p w14:paraId="0DB4CD9A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6C4045E3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78C61776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627F0FC3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3F8C9C75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105B0E92" w14:textId="77777777" w:rsidR="009260DE" w:rsidRDefault="009260DE" w:rsidP="009260DE">
      <w:pPr>
        <w:jc w:val="center"/>
        <w:rPr>
          <w:b/>
          <w:sz w:val="24"/>
          <w:szCs w:val="24"/>
        </w:rPr>
      </w:pPr>
      <w:proofErr w:type="gramStart"/>
      <w:r w:rsidRPr="00C84483">
        <w:rPr>
          <w:b/>
          <w:sz w:val="24"/>
          <w:szCs w:val="24"/>
        </w:rPr>
        <w:t>for</w:t>
      </w:r>
      <w:proofErr w:type="gramEnd"/>
    </w:p>
    <w:p w14:paraId="104AB741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1D6505A4" w14:textId="3C1A0DBB" w:rsidR="009260DE" w:rsidRPr="00C84483" w:rsidRDefault="001A329C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Efedrin</w:t>
      </w:r>
      <w:proofErr w:type="spellEnd"/>
      <w:r>
        <w:rPr>
          <w:b/>
          <w:sz w:val="24"/>
          <w:szCs w:val="24"/>
        </w:rPr>
        <w:t xml:space="preserve"> "</w:t>
      </w:r>
      <w:proofErr w:type="spellStart"/>
      <w:r>
        <w:rPr>
          <w:b/>
          <w:sz w:val="24"/>
          <w:szCs w:val="24"/>
        </w:rPr>
        <w:t>Unimedic</w:t>
      </w:r>
      <w:proofErr w:type="spellEnd"/>
      <w:r>
        <w:rPr>
          <w:b/>
          <w:sz w:val="24"/>
          <w:szCs w:val="24"/>
        </w:rPr>
        <w:t>", injektionsvæske, opløsning</w:t>
      </w:r>
    </w:p>
    <w:p w14:paraId="479633ED" w14:textId="77777777" w:rsidR="009260DE" w:rsidRPr="00C84483" w:rsidRDefault="009260DE" w:rsidP="009260DE">
      <w:pPr>
        <w:jc w:val="both"/>
        <w:rPr>
          <w:sz w:val="24"/>
          <w:szCs w:val="24"/>
        </w:rPr>
      </w:pPr>
    </w:p>
    <w:p w14:paraId="6852F2A5" w14:textId="77777777" w:rsidR="009260DE" w:rsidRPr="0071601B" w:rsidRDefault="009260DE" w:rsidP="005E198E">
      <w:pPr>
        <w:ind w:left="851" w:hanging="851"/>
        <w:jc w:val="both"/>
        <w:rPr>
          <w:sz w:val="24"/>
          <w:szCs w:val="24"/>
        </w:rPr>
      </w:pPr>
    </w:p>
    <w:p w14:paraId="5133A531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0.</w:t>
      </w:r>
      <w:r w:rsidRPr="0071601B">
        <w:rPr>
          <w:b/>
          <w:sz w:val="24"/>
          <w:szCs w:val="24"/>
        </w:rPr>
        <w:tab/>
        <w:t>D.SP.NR.</w:t>
      </w:r>
    </w:p>
    <w:p w14:paraId="45552F4D" w14:textId="560685CD" w:rsidR="009260DE" w:rsidRPr="0071601B" w:rsidRDefault="005E198E" w:rsidP="005E198E">
      <w:pPr>
        <w:tabs>
          <w:tab w:val="left" w:pos="851"/>
        </w:tabs>
        <w:ind w:left="851" w:hanging="851"/>
        <w:rPr>
          <w:sz w:val="24"/>
          <w:szCs w:val="24"/>
        </w:rPr>
      </w:pPr>
      <w:r w:rsidRPr="0071601B">
        <w:rPr>
          <w:sz w:val="24"/>
          <w:szCs w:val="24"/>
        </w:rPr>
        <w:tab/>
      </w:r>
      <w:r w:rsidR="001A329C" w:rsidRPr="0071601B">
        <w:rPr>
          <w:sz w:val="24"/>
          <w:szCs w:val="24"/>
        </w:rPr>
        <w:t>30721</w:t>
      </w:r>
    </w:p>
    <w:p w14:paraId="70048964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917BB29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1.</w:t>
      </w:r>
      <w:r w:rsidRPr="0071601B">
        <w:rPr>
          <w:b/>
          <w:sz w:val="24"/>
          <w:szCs w:val="24"/>
        </w:rPr>
        <w:tab/>
        <w:t>LÆGEMIDLETS NAVN</w:t>
      </w:r>
    </w:p>
    <w:p w14:paraId="1E73FB39" w14:textId="5347EAA7" w:rsidR="009260DE" w:rsidRPr="0071601B" w:rsidRDefault="005E198E" w:rsidP="005E198E">
      <w:pPr>
        <w:tabs>
          <w:tab w:val="left" w:pos="851"/>
        </w:tabs>
        <w:ind w:left="851" w:hanging="851"/>
        <w:rPr>
          <w:sz w:val="24"/>
          <w:szCs w:val="24"/>
        </w:rPr>
      </w:pPr>
      <w:r w:rsidRPr="0071601B">
        <w:rPr>
          <w:sz w:val="24"/>
          <w:szCs w:val="24"/>
        </w:rPr>
        <w:tab/>
      </w:r>
      <w:proofErr w:type="spellStart"/>
      <w:r w:rsidR="001A329C" w:rsidRPr="0071601B">
        <w:rPr>
          <w:sz w:val="24"/>
          <w:szCs w:val="24"/>
        </w:rPr>
        <w:t>Efedrin</w:t>
      </w:r>
      <w:proofErr w:type="spellEnd"/>
      <w:r w:rsidR="001A329C" w:rsidRPr="0071601B">
        <w:rPr>
          <w:sz w:val="24"/>
          <w:szCs w:val="24"/>
        </w:rPr>
        <w:t xml:space="preserve"> "</w:t>
      </w:r>
      <w:proofErr w:type="spellStart"/>
      <w:r w:rsidR="001A329C" w:rsidRPr="0071601B">
        <w:rPr>
          <w:sz w:val="24"/>
          <w:szCs w:val="24"/>
        </w:rPr>
        <w:t>Unimedic</w:t>
      </w:r>
      <w:proofErr w:type="spellEnd"/>
      <w:r w:rsidR="001A329C" w:rsidRPr="0071601B">
        <w:rPr>
          <w:sz w:val="24"/>
          <w:szCs w:val="24"/>
        </w:rPr>
        <w:t>"</w:t>
      </w:r>
    </w:p>
    <w:p w14:paraId="62797FC3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A2755AC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2.</w:t>
      </w:r>
      <w:r w:rsidRPr="0071601B">
        <w:rPr>
          <w:b/>
          <w:sz w:val="24"/>
          <w:szCs w:val="24"/>
        </w:rPr>
        <w:tab/>
        <w:t>KVALITATIV OG KVANTITATIV SAMMENSÆTNING</w:t>
      </w:r>
    </w:p>
    <w:p w14:paraId="5CA10E9D" w14:textId="77777777" w:rsidR="00A554E5" w:rsidRPr="0071601B" w:rsidRDefault="00A554E5" w:rsidP="0071601B">
      <w:pPr>
        <w:ind w:left="851"/>
        <w:rPr>
          <w:sz w:val="24"/>
          <w:szCs w:val="24"/>
          <w:lang w:eastAsia="da-DK"/>
        </w:rPr>
      </w:pPr>
      <w:r w:rsidRPr="0071601B">
        <w:rPr>
          <w:sz w:val="24"/>
          <w:szCs w:val="24"/>
        </w:rPr>
        <w:t xml:space="preserve">1 ml injektionsvæske, opløsning indeholder 5 mg </w:t>
      </w:r>
      <w:proofErr w:type="spellStart"/>
      <w:r w:rsidRPr="0071601B">
        <w:rPr>
          <w:sz w:val="24"/>
          <w:szCs w:val="24"/>
        </w:rPr>
        <w:t>ephedrinhydrochlorid</w:t>
      </w:r>
      <w:proofErr w:type="spellEnd"/>
      <w:r w:rsidRPr="0071601B">
        <w:rPr>
          <w:sz w:val="24"/>
          <w:szCs w:val="24"/>
        </w:rPr>
        <w:t>.</w:t>
      </w:r>
    </w:p>
    <w:p w14:paraId="29BA8197" w14:textId="77777777" w:rsidR="00A554E5" w:rsidRPr="0071601B" w:rsidRDefault="00A554E5" w:rsidP="0071601B">
      <w:pPr>
        <w:ind w:left="851"/>
        <w:rPr>
          <w:rFonts w:eastAsiaTheme="minorHAnsi"/>
          <w:sz w:val="24"/>
          <w:szCs w:val="24"/>
        </w:rPr>
      </w:pPr>
    </w:p>
    <w:p w14:paraId="730A4E8D" w14:textId="77777777" w:rsidR="00A554E5" w:rsidRPr="0071601B" w:rsidRDefault="00A554E5" w:rsidP="0071601B">
      <w:pPr>
        <w:ind w:left="851"/>
        <w:rPr>
          <w:sz w:val="24"/>
          <w:szCs w:val="24"/>
          <w:lang w:eastAsia="da-DK"/>
        </w:rPr>
      </w:pPr>
      <w:r w:rsidRPr="0071601B">
        <w:rPr>
          <w:sz w:val="24"/>
          <w:szCs w:val="24"/>
        </w:rPr>
        <w:t xml:space="preserve">10 ml injektionsvæske, opløsning indeholder 50 mg </w:t>
      </w:r>
      <w:proofErr w:type="spellStart"/>
      <w:r w:rsidRPr="0071601B">
        <w:rPr>
          <w:sz w:val="24"/>
          <w:szCs w:val="24"/>
        </w:rPr>
        <w:t>ephedrinhydrochlorid</w:t>
      </w:r>
      <w:proofErr w:type="spellEnd"/>
      <w:r w:rsidRPr="0071601B">
        <w:rPr>
          <w:sz w:val="24"/>
          <w:szCs w:val="24"/>
        </w:rPr>
        <w:t>.</w:t>
      </w:r>
    </w:p>
    <w:p w14:paraId="6D74691C" w14:textId="77777777" w:rsidR="00A554E5" w:rsidRPr="0071601B" w:rsidRDefault="00A554E5" w:rsidP="0071601B">
      <w:pPr>
        <w:ind w:left="851"/>
        <w:rPr>
          <w:rFonts w:eastAsiaTheme="minorHAnsi"/>
          <w:sz w:val="24"/>
          <w:szCs w:val="24"/>
        </w:rPr>
      </w:pPr>
    </w:p>
    <w:p w14:paraId="25F15AF9" w14:textId="77777777" w:rsidR="00A554E5" w:rsidRPr="0071601B" w:rsidRDefault="00A554E5" w:rsidP="0071601B">
      <w:pPr>
        <w:ind w:left="851"/>
        <w:rPr>
          <w:sz w:val="24"/>
          <w:szCs w:val="24"/>
          <w:u w:val="single"/>
        </w:rPr>
      </w:pPr>
      <w:r w:rsidRPr="0071601B">
        <w:rPr>
          <w:sz w:val="24"/>
          <w:szCs w:val="24"/>
          <w:u w:val="single"/>
        </w:rPr>
        <w:t>Hjælpestof, som behandleren skal være opmærksom på</w:t>
      </w:r>
    </w:p>
    <w:p w14:paraId="373BC96A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Dette lægemiddel indeholder natrium. 1 ml indeholder 3,20 mg svarende til 0,139 mmol natrium.</w:t>
      </w:r>
    </w:p>
    <w:p w14:paraId="0BAAC1E0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30DC641A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Alle hjælpestoffer er anført under pkt. 6.1.</w:t>
      </w:r>
    </w:p>
    <w:p w14:paraId="0383C7CF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194FE94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3.</w:t>
      </w:r>
      <w:r w:rsidRPr="0071601B">
        <w:rPr>
          <w:b/>
          <w:sz w:val="24"/>
          <w:szCs w:val="24"/>
        </w:rPr>
        <w:tab/>
        <w:t>LÆGEMIDDELFORM</w:t>
      </w:r>
    </w:p>
    <w:p w14:paraId="7BEAA8AD" w14:textId="0901F910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Injektionsvæske, opløsning</w:t>
      </w:r>
    </w:p>
    <w:p w14:paraId="7455F9FE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Klar, farveløs opløsning.</w:t>
      </w:r>
    </w:p>
    <w:p w14:paraId="21647CF0" w14:textId="77777777" w:rsidR="00A554E5" w:rsidRPr="0071601B" w:rsidRDefault="00A554E5" w:rsidP="0071601B">
      <w:pPr>
        <w:ind w:left="851"/>
        <w:rPr>
          <w:sz w:val="24"/>
          <w:szCs w:val="24"/>
        </w:rPr>
      </w:pPr>
      <w:proofErr w:type="gramStart"/>
      <w:r w:rsidRPr="0071601B">
        <w:rPr>
          <w:sz w:val="24"/>
          <w:szCs w:val="24"/>
        </w:rPr>
        <w:t>pH</w:t>
      </w:r>
      <w:proofErr w:type="gramEnd"/>
      <w:r w:rsidRPr="0071601B">
        <w:rPr>
          <w:sz w:val="24"/>
          <w:szCs w:val="24"/>
        </w:rPr>
        <w:t xml:space="preserve"> 4,0-6,5</w:t>
      </w:r>
    </w:p>
    <w:p w14:paraId="5F5C2480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CF12361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9E73B1E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</w:t>
      </w:r>
      <w:r w:rsidRPr="0071601B">
        <w:rPr>
          <w:b/>
          <w:sz w:val="24"/>
          <w:szCs w:val="24"/>
        </w:rPr>
        <w:tab/>
        <w:t>KLINISKE OPLYSNINGER</w:t>
      </w:r>
    </w:p>
    <w:p w14:paraId="36D3E9E8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14:paraId="7AC1346E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71601B">
        <w:rPr>
          <w:b/>
          <w:sz w:val="24"/>
          <w:szCs w:val="24"/>
        </w:rPr>
        <w:t>4.1</w:t>
      </w:r>
      <w:r w:rsidRPr="0071601B">
        <w:rPr>
          <w:b/>
          <w:sz w:val="24"/>
          <w:szCs w:val="24"/>
        </w:rPr>
        <w:tab/>
        <w:t>Terapeutiske indikationer</w:t>
      </w:r>
    </w:p>
    <w:p w14:paraId="5DFCFE1F" w14:textId="77777777" w:rsidR="00A554E5" w:rsidRPr="0071601B" w:rsidRDefault="00A554E5" w:rsidP="0071601B">
      <w:pPr>
        <w:ind w:firstLine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Hypotension</w:t>
      </w:r>
      <w:proofErr w:type="spellEnd"/>
      <w:r w:rsidRPr="0071601B">
        <w:rPr>
          <w:sz w:val="24"/>
          <w:szCs w:val="24"/>
        </w:rPr>
        <w:t xml:space="preserve">, i forbindelse med spinal, </w:t>
      </w:r>
      <w:proofErr w:type="spellStart"/>
      <w:r w:rsidRPr="0071601B">
        <w:rPr>
          <w:sz w:val="24"/>
          <w:szCs w:val="24"/>
        </w:rPr>
        <w:t>epidural</w:t>
      </w:r>
      <w:proofErr w:type="spellEnd"/>
      <w:r w:rsidRPr="0071601B">
        <w:rPr>
          <w:sz w:val="24"/>
          <w:szCs w:val="24"/>
        </w:rPr>
        <w:t xml:space="preserve"> eller generel anæstesi.</w:t>
      </w:r>
    </w:p>
    <w:p w14:paraId="275810CC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8891B34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4.2</w:t>
      </w:r>
      <w:r w:rsidRPr="0071601B">
        <w:rPr>
          <w:b/>
          <w:sz w:val="24"/>
          <w:szCs w:val="24"/>
        </w:rPr>
        <w:tab/>
        <w:t>Dosering og indgivelsesmåde</w:t>
      </w:r>
    </w:p>
    <w:p w14:paraId="17BEC8F0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Efedrin må kun anvendes af eller under tilsyn af en anæstesilæge.</w:t>
      </w:r>
    </w:p>
    <w:p w14:paraId="0D2F6F70" w14:textId="74825F4B" w:rsidR="00DF5835" w:rsidRDefault="00DF5835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br w:type="page"/>
      </w:r>
    </w:p>
    <w:p w14:paraId="488EC325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</w:p>
    <w:p w14:paraId="6FD2E3C4" w14:textId="77777777" w:rsidR="00A554E5" w:rsidRPr="0071601B" w:rsidRDefault="00A554E5" w:rsidP="0071601B">
      <w:pPr>
        <w:ind w:left="851"/>
        <w:rPr>
          <w:noProof/>
          <w:sz w:val="24"/>
          <w:szCs w:val="24"/>
          <w:u w:val="single"/>
        </w:rPr>
      </w:pPr>
      <w:r w:rsidRPr="0071601B">
        <w:rPr>
          <w:noProof/>
          <w:sz w:val="24"/>
          <w:szCs w:val="24"/>
          <w:u w:val="single"/>
        </w:rPr>
        <w:t>Dosering</w:t>
      </w:r>
    </w:p>
    <w:p w14:paraId="0878CC5E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</w:p>
    <w:p w14:paraId="1D44F6DC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 xml:space="preserve">Voksne: </w:t>
      </w:r>
    </w:p>
    <w:p w14:paraId="79BF1F0C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Langsom intravenøs injektion af 5-10 mg, som gentages efter behov hvert 3.-4. minut.  Manglende effekt efter 30 mg bør medføre fornyet overvejelse i valg af lægemiddel.</w:t>
      </w:r>
    </w:p>
    <w:p w14:paraId="34171A5A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</w:p>
    <w:p w14:paraId="755AC66F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i/>
          <w:noProof/>
          <w:sz w:val="24"/>
          <w:szCs w:val="24"/>
        </w:rPr>
        <w:t>Pædiatrisk population</w:t>
      </w:r>
    </w:p>
    <w:p w14:paraId="367B8510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Unge (12-17 år):</w:t>
      </w:r>
    </w:p>
    <w:p w14:paraId="3BAC90A7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Langsom intravenøs injektion af 3-3,75 mg, som gentages efter behov hvert 3.-4. minut (højst 9 mg per dosis) i henhold til respons, højst 30 mg per behandling.</w:t>
      </w:r>
    </w:p>
    <w:p w14:paraId="66362856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</w:p>
    <w:p w14:paraId="46B66AFF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Børn (1-11 år):</w:t>
      </w:r>
    </w:p>
    <w:p w14:paraId="5F3386DC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Langsom intravenøs injektion af 0,5-0,75 mg/kg eller 17-25 mg/m</w:t>
      </w:r>
      <w:r w:rsidRPr="0071601B">
        <w:rPr>
          <w:noProof/>
          <w:sz w:val="24"/>
          <w:szCs w:val="24"/>
          <w:vertAlign w:val="superscript"/>
        </w:rPr>
        <w:t>2</w:t>
      </w:r>
      <w:r w:rsidRPr="0071601B">
        <w:rPr>
          <w:noProof/>
          <w:sz w:val="24"/>
          <w:szCs w:val="24"/>
        </w:rPr>
        <w:t xml:space="preserve"> hvert 3.-4. minut i henhold til respons, højst 30 mg per behandling.</w:t>
      </w:r>
    </w:p>
    <w:p w14:paraId="56C99809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</w:p>
    <w:p w14:paraId="0EDA839D" w14:textId="77777777" w:rsidR="00A554E5" w:rsidRPr="0071601B" w:rsidRDefault="00A554E5" w:rsidP="0071601B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Børn (under 1år):</w:t>
      </w:r>
    </w:p>
    <w:p w14:paraId="6FF7D88D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Sikkerhed og virkning hos børn i alderen 0-1 år er ikke klarlagt.</w:t>
      </w:r>
    </w:p>
    <w:p w14:paraId="123B941C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12ADA574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>Særlige populationer</w:t>
      </w:r>
    </w:p>
    <w:p w14:paraId="2AB11E38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Ældre: </w:t>
      </w:r>
    </w:p>
    <w:p w14:paraId="67E12455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Hos den meget ældre population ≥ 85 år kan der være et øget behov for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til at justere </w:t>
      </w:r>
      <w:proofErr w:type="spellStart"/>
      <w:r w:rsidRPr="0071601B">
        <w:rPr>
          <w:sz w:val="24"/>
          <w:szCs w:val="24"/>
        </w:rPr>
        <w:t>hypotension</w:t>
      </w:r>
      <w:proofErr w:type="spellEnd"/>
      <w:r w:rsidRPr="0071601B">
        <w:rPr>
          <w:sz w:val="24"/>
          <w:szCs w:val="24"/>
        </w:rPr>
        <w:t xml:space="preserve"> efter anæstesi på grund af et fald i systemisk </w:t>
      </w:r>
      <w:proofErr w:type="spellStart"/>
      <w:r w:rsidRPr="0071601B">
        <w:rPr>
          <w:sz w:val="24"/>
          <w:szCs w:val="24"/>
        </w:rPr>
        <w:t>vaskulær</w:t>
      </w:r>
      <w:proofErr w:type="spellEnd"/>
      <w:r w:rsidRPr="0071601B">
        <w:rPr>
          <w:sz w:val="24"/>
          <w:szCs w:val="24"/>
        </w:rPr>
        <w:t xml:space="preserve"> modstand.</w:t>
      </w:r>
    </w:p>
    <w:p w14:paraId="433BB07D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63EE7C8E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Hos patienter med svært nedsat nyrefunktion skal der ved indgivelse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tages hensyn til at størstedelen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udskilles </w:t>
      </w:r>
      <w:proofErr w:type="spellStart"/>
      <w:r w:rsidRPr="0071601B">
        <w:rPr>
          <w:sz w:val="24"/>
          <w:szCs w:val="24"/>
        </w:rPr>
        <w:t>uomdannet</w:t>
      </w:r>
      <w:proofErr w:type="spellEnd"/>
      <w:r w:rsidRPr="0071601B">
        <w:rPr>
          <w:sz w:val="24"/>
          <w:szCs w:val="24"/>
        </w:rPr>
        <w:t xml:space="preserve"> i urinen, se pkt. 4.4 og 5.2.</w:t>
      </w:r>
    </w:p>
    <w:p w14:paraId="4F2D48EC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175370CF" w14:textId="77777777" w:rsidR="00A554E5" w:rsidRPr="0071601B" w:rsidRDefault="00A554E5" w:rsidP="0071601B">
      <w:pPr>
        <w:ind w:left="851"/>
        <w:rPr>
          <w:sz w:val="24"/>
          <w:szCs w:val="24"/>
          <w:u w:val="single"/>
        </w:rPr>
      </w:pPr>
      <w:r w:rsidRPr="0071601B">
        <w:rPr>
          <w:sz w:val="24"/>
          <w:szCs w:val="24"/>
          <w:u w:val="single"/>
        </w:rPr>
        <w:t>Administration</w:t>
      </w:r>
    </w:p>
    <w:p w14:paraId="771B7E54" w14:textId="5DA0F90A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Til intravenøs </w:t>
      </w:r>
      <w:r w:rsidR="0071601B">
        <w:rPr>
          <w:sz w:val="24"/>
          <w:szCs w:val="24"/>
        </w:rPr>
        <w:t>anvendelse</w:t>
      </w:r>
      <w:r w:rsidRPr="0071601B">
        <w:rPr>
          <w:sz w:val="24"/>
          <w:szCs w:val="24"/>
        </w:rPr>
        <w:t>.</w:t>
      </w:r>
    </w:p>
    <w:p w14:paraId="05F14387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3B8369C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4.3</w:t>
      </w:r>
      <w:r w:rsidRPr="0071601B">
        <w:rPr>
          <w:b/>
          <w:sz w:val="24"/>
          <w:szCs w:val="24"/>
        </w:rPr>
        <w:tab/>
        <w:t>Kontraindikationer</w:t>
      </w:r>
    </w:p>
    <w:p w14:paraId="2BB95786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Overfølsomhed over for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eller over for et eller flere af hjælpestofferne anført i pkt. 6.1.</w:t>
      </w:r>
    </w:p>
    <w:p w14:paraId="1B55030F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76326D9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4.4</w:t>
      </w:r>
      <w:r w:rsidRPr="0071601B">
        <w:rPr>
          <w:b/>
          <w:sz w:val="24"/>
          <w:szCs w:val="24"/>
        </w:rPr>
        <w:tab/>
        <w:t>Særlige advarsler og forsigtighedsregler vedrørende brugen</w:t>
      </w:r>
    </w:p>
    <w:p w14:paraId="767B3115" w14:textId="77777777" w:rsidR="00A554E5" w:rsidRPr="0071601B" w:rsidRDefault="00A554E5" w:rsidP="0071601B">
      <w:pPr>
        <w:ind w:firstLine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skal anvendes med forsigtighed til patienter med:</w:t>
      </w:r>
    </w:p>
    <w:p w14:paraId="6F16E80A" w14:textId="77777777" w:rsidR="00A554E5" w:rsidRPr="0071601B" w:rsidRDefault="00A554E5" w:rsidP="0071601B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Hypertension</w:t>
      </w:r>
      <w:proofErr w:type="spellEnd"/>
    </w:p>
    <w:p w14:paraId="5CD0B9BF" w14:textId="77777777" w:rsidR="00A554E5" w:rsidRPr="0071601B" w:rsidRDefault="00A554E5" w:rsidP="0071601B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1601B">
        <w:rPr>
          <w:sz w:val="24"/>
          <w:szCs w:val="24"/>
        </w:rPr>
        <w:t xml:space="preserve">Hjerte-kar-sygdom </w:t>
      </w:r>
    </w:p>
    <w:p w14:paraId="4E72C6CD" w14:textId="77777777" w:rsidR="00A554E5" w:rsidRPr="0071601B" w:rsidRDefault="00A554E5" w:rsidP="0071601B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1601B">
        <w:rPr>
          <w:sz w:val="24"/>
          <w:szCs w:val="24"/>
        </w:rPr>
        <w:t>Diabetes mellitus</w:t>
      </w:r>
    </w:p>
    <w:p w14:paraId="24418E53" w14:textId="77777777" w:rsidR="00A554E5" w:rsidRPr="0071601B" w:rsidRDefault="00A554E5" w:rsidP="0071601B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  <w:lang w:val="en-GB"/>
        </w:rPr>
      </w:pPr>
      <w:proofErr w:type="spellStart"/>
      <w:r w:rsidRPr="0071601B">
        <w:rPr>
          <w:sz w:val="24"/>
          <w:szCs w:val="24"/>
        </w:rPr>
        <w:t>Hyperthyreoidisme</w:t>
      </w:r>
      <w:proofErr w:type="spellEnd"/>
    </w:p>
    <w:p w14:paraId="01FDD68E" w14:textId="77777777" w:rsidR="00A554E5" w:rsidRPr="0071601B" w:rsidRDefault="00A554E5" w:rsidP="0071601B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1601B">
        <w:rPr>
          <w:sz w:val="24"/>
          <w:szCs w:val="24"/>
        </w:rPr>
        <w:t xml:space="preserve">Snævervinklet </w:t>
      </w:r>
      <w:proofErr w:type="spellStart"/>
      <w:r w:rsidRPr="0071601B">
        <w:rPr>
          <w:sz w:val="24"/>
          <w:szCs w:val="24"/>
        </w:rPr>
        <w:t>glaukom</w:t>
      </w:r>
      <w:proofErr w:type="spellEnd"/>
    </w:p>
    <w:p w14:paraId="021CB53F" w14:textId="77777777" w:rsidR="00A554E5" w:rsidRPr="0071601B" w:rsidRDefault="00A554E5" w:rsidP="0071601B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Prostatahypertrofi</w:t>
      </w:r>
      <w:proofErr w:type="spellEnd"/>
    </w:p>
    <w:p w14:paraId="2261D316" w14:textId="77777777" w:rsidR="00A554E5" w:rsidRPr="0071601B" w:rsidRDefault="00A554E5" w:rsidP="0071601B">
      <w:pPr>
        <w:pStyle w:val="Listeafsnit"/>
        <w:numPr>
          <w:ilvl w:val="0"/>
          <w:numId w:val="7"/>
        </w:numPr>
        <w:ind w:left="1276" w:hanging="425"/>
        <w:rPr>
          <w:sz w:val="24"/>
          <w:szCs w:val="24"/>
        </w:rPr>
      </w:pPr>
      <w:r w:rsidRPr="0071601B">
        <w:rPr>
          <w:sz w:val="24"/>
          <w:szCs w:val="24"/>
        </w:rPr>
        <w:t>Svært nedsat nyrefunktion</w:t>
      </w:r>
    </w:p>
    <w:p w14:paraId="1DEBA903" w14:textId="77777777" w:rsidR="00A554E5" w:rsidRPr="0071601B" w:rsidRDefault="00A554E5" w:rsidP="005E198E">
      <w:pPr>
        <w:rPr>
          <w:sz w:val="24"/>
          <w:szCs w:val="24"/>
        </w:rPr>
      </w:pPr>
    </w:p>
    <w:p w14:paraId="74BFA8DC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skal udvises stor forsigtighed hos patienter med hjerte-kar-sygdomme, f.eks. </w:t>
      </w:r>
      <w:proofErr w:type="spellStart"/>
      <w:r w:rsidRPr="0071601B">
        <w:rPr>
          <w:sz w:val="24"/>
          <w:szCs w:val="24"/>
        </w:rPr>
        <w:t>iskæmisk</w:t>
      </w:r>
      <w:proofErr w:type="spellEnd"/>
      <w:r w:rsidRPr="0071601B">
        <w:rPr>
          <w:sz w:val="24"/>
          <w:szCs w:val="24"/>
        </w:rPr>
        <w:t xml:space="preserve"> hjertesygdom, </w:t>
      </w:r>
      <w:proofErr w:type="spellStart"/>
      <w:r w:rsidRPr="0071601B">
        <w:rPr>
          <w:sz w:val="24"/>
          <w:szCs w:val="24"/>
        </w:rPr>
        <w:t>arytmi</w:t>
      </w:r>
      <w:proofErr w:type="spellEnd"/>
      <w:r w:rsidRPr="0071601B">
        <w:rPr>
          <w:sz w:val="24"/>
          <w:szCs w:val="24"/>
        </w:rPr>
        <w:t xml:space="preserve"> eller </w:t>
      </w:r>
      <w:proofErr w:type="spellStart"/>
      <w:r w:rsidRPr="0071601B">
        <w:rPr>
          <w:sz w:val="24"/>
          <w:szCs w:val="24"/>
        </w:rPr>
        <w:t>takykardi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okklusive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vaskulære</w:t>
      </w:r>
      <w:proofErr w:type="spellEnd"/>
      <w:r w:rsidRPr="0071601B">
        <w:rPr>
          <w:sz w:val="24"/>
          <w:szCs w:val="24"/>
        </w:rPr>
        <w:t xml:space="preserve"> sygdomme, herunder arteriosklerose, </w:t>
      </w:r>
      <w:proofErr w:type="spellStart"/>
      <w:r w:rsidRPr="0071601B">
        <w:rPr>
          <w:sz w:val="24"/>
          <w:szCs w:val="24"/>
        </w:rPr>
        <w:t>hypertension</w:t>
      </w:r>
      <w:proofErr w:type="spellEnd"/>
      <w:r w:rsidRPr="0071601B">
        <w:rPr>
          <w:sz w:val="24"/>
          <w:szCs w:val="24"/>
        </w:rPr>
        <w:t xml:space="preserve"> eller </w:t>
      </w:r>
      <w:proofErr w:type="spellStart"/>
      <w:r w:rsidRPr="0071601B">
        <w:rPr>
          <w:sz w:val="24"/>
          <w:szCs w:val="24"/>
        </w:rPr>
        <w:t>aneurismer</w:t>
      </w:r>
      <w:proofErr w:type="spellEnd"/>
      <w:r w:rsidRPr="0071601B">
        <w:rPr>
          <w:sz w:val="24"/>
          <w:szCs w:val="24"/>
        </w:rPr>
        <w:t>. Hjertesmerter kan udløses hos patienter med angina pectoris.</w:t>
      </w:r>
    </w:p>
    <w:p w14:paraId="77BDF8C7" w14:textId="27E148DF" w:rsidR="00DF5835" w:rsidRDefault="00DF58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B5521B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4DFDEA0C" w14:textId="77777777" w:rsidR="00A554E5" w:rsidRPr="0071601B" w:rsidRDefault="00A554E5" w:rsidP="0071601B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skal anvendes med forsigtighed til patienter, der får anæstesi med:</w:t>
      </w:r>
    </w:p>
    <w:p w14:paraId="21089CA9" w14:textId="65803BF8" w:rsidR="00A554E5" w:rsidRPr="0071601B" w:rsidRDefault="0071601B" w:rsidP="0071601B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</w:t>
      </w:r>
      <w:r w:rsidR="00A554E5" w:rsidRPr="0071601B">
        <w:rPr>
          <w:sz w:val="24"/>
          <w:szCs w:val="24"/>
        </w:rPr>
        <w:t>yclopropan</w:t>
      </w:r>
      <w:proofErr w:type="spellEnd"/>
      <w:r w:rsidR="00A554E5" w:rsidRPr="0071601B">
        <w:rPr>
          <w:sz w:val="24"/>
          <w:szCs w:val="24"/>
        </w:rPr>
        <w:t xml:space="preserve">, </w:t>
      </w:r>
      <w:proofErr w:type="spellStart"/>
      <w:r w:rsidR="00A554E5" w:rsidRPr="0071601B">
        <w:rPr>
          <w:sz w:val="24"/>
          <w:szCs w:val="24"/>
        </w:rPr>
        <w:t>halothan</w:t>
      </w:r>
      <w:proofErr w:type="spellEnd"/>
      <w:r w:rsidR="00A554E5" w:rsidRPr="0071601B">
        <w:rPr>
          <w:sz w:val="24"/>
          <w:szCs w:val="24"/>
        </w:rPr>
        <w:t xml:space="preserve"> eller andre </w:t>
      </w:r>
      <w:proofErr w:type="spellStart"/>
      <w:r w:rsidR="00A554E5" w:rsidRPr="0071601B">
        <w:rPr>
          <w:sz w:val="24"/>
          <w:szCs w:val="24"/>
        </w:rPr>
        <w:t>halogenerede</w:t>
      </w:r>
      <w:proofErr w:type="spellEnd"/>
      <w:r w:rsidR="00A554E5" w:rsidRPr="0071601B">
        <w:rPr>
          <w:sz w:val="24"/>
          <w:szCs w:val="24"/>
        </w:rPr>
        <w:t xml:space="preserve"> </w:t>
      </w:r>
      <w:proofErr w:type="spellStart"/>
      <w:r w:rsidR="00A554E5" w:rsidRPr="0071601B">
        <w:rPr>
          <w:sz w:val="24"/>
          <w:szCs w:val="24"/>
        </w:rPr>
        <w:t>anæstetika</w:t>
      </w:r>
      <w:proofErr w:type="spellEnd"/>
      <w:r w:rsidR="00A554E5" w:rsidRPr="0071601B">
        <w:rPr>
          <w:sz w:val="24"/>
          <w:szCs w:val="24"/>
        </w:rPr>
        <w:t xml:space="preserve">, idet de kan fremkalde </w:t>
      </w:r>
      <w:proofErr w:type="spellStart"/>
      <w:r w:rsidR="00A554E5" w:rsidRPr="0071601B">
        <w:rPr>
          <w:sz w:val="24"/>
          <w:szCs w:val="24"/>
        </w:rPr>
        <w:t>ventrikulær</w:t>
      </w:r>
      <w:proofErr w:type="spellEnd"/>
      <w:r w:rsidR="00A554E5" w:rsidRPr="0071601B">
        <w:rPr>
          <w:sz w:val="24"/>
          <w:szCs w:val="24"/>
        </w:rPr>
        <w:t xml:space="preserve"> </w:t>
      </w:r>
      <w:proofErr w:type="spellStart"/>
      <w:r w:rsidR="00A554E5" w:rsidRPr="0071601B">
        <w:rPr>
          <w:sz w:val="24"/>
          <w:szCs w:val="24"/>
        </w:rPr>
        <w:t>arytmi</w:t>
      </w:r>
      <w:proofErr w:type="spellEnd"/>
      <w:r w:rsidR="00A554E5" w:rsidRPr="0071601B">
        <w:rPr>
          <w:sz w:val="24"/>
          <w:szCs w:val="24"/>
        </w:rPr>
        <w:t>.</w:t>
      </w:r>
    </w:p>
    <w:p w14:paraId="626ED21D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507F90C1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En øget risiko for </w:t>
      </w:r>
      <w:proofErr w:type="spellStart"/>
      <w:r w:rsidRPr="0071601B">
        <w:rPr>
          <w:sz w:val="24"/>
          <w:szCs w:val="24"/>
        </w:rPr>
        <w:t>vasokonstriktion</w:t>
      </w:r>
      <w:proofErr w:type="spellEnd"/>
      <w:r w:rsidRPr="0071601B">
        <w:rPr>
          <w:sz w:val="24"/>
          <w:szCs w:val="24"/>
        </w:rPr>
        <w:t xml:space="preserve"> og/eller akut </w:t>
      </w:r>
      <w:proofErr w:type="spellStart"/>
      <w:r w:rsidRPr="0071601B">
        <w:rPr>
          <w:sz w:val="24"/>
          <w:szCs w:val="24"/>
        </w:rPr>
        <w:t>hypertension</w:t>
      </w:r>
      <w:proofErr w:type="spellEnd"/>
      <w:r w:rsidRPr="0071601B">
        <w:rPr>
          <w:sz w:val="24"/>
          <w:szCs w:val="24"/>
        </w:rPr>
        <w:t xml:space="preserve"> skal tages i betragtning, når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indgives sammen med indirekte virkende </w:t>
      </w:r>
      <w:proofErr w:type="spellStart"/>
      <w:r w:rsidRPr="0071601B">
        <w:rPr>
          <w:sz w:val="24"/>
          <w:szCs w:val="24"/>
        </w:rPr>
        <w:t>sympatomimetika</w:t>
      </w:r>
      <w:proofErr w:type="spellEnd"/>
      <w:r w:rsidRPr="0071601B">
        <w:rPr>
          <w:sz w:val="24"/>
          <w:szCs w:val="24"/>
        </w:rPr>
        <w:t xml:space="preserve"> (</w:t>
      </w:r>
      <w:proofErr w:type="spellStart"/>
      <w:r w:rsidRPr="0071601B">
        <w:rPr>
          <w:sz w:val="24"/>
          <w:szCs w:val="24"/>
        </w:rPr>
        <w:t>phenylpropanolamin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pseudoephedrin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phenylephrin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methylphenidat</w:t>
      </w:r>
      <w:proofErr w:type="spellEnd"/>
      <w:r w:rsidRPr="0071601B">
        <w:rPr>
          <w:sz w:val="24"/>
          <w:szCs w:val="24"/>
        </w:rPr>
        <w:t>).</w:t>
      </w:r>
    </w:p>
    <w:p w14:paraId="48E11D5F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7F309681" w14:textId="77777777" w:rsidR="00A554E5" w:rsidRPr="0071601B" w:rsidRDefault="00A554E5" w:rsidP="0071601B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interagerer med </w:t>
      </w:r>
      <w:proofErr w:type="spellStart"/>
      <w:r w:rsidRPr="0071601B">
        <w:rPr>
          <w:sz w:val="24"/>
          <w:szCs w:val="24"/>
        </w:rPr>
        <w:t>monoaminoxidasehæmmere</w:t>
      </w:r>
      <w:proofErr w:type="spellEnd"/>
      <w:r w:rsidRPr="0071601B">
        <w:rPr>
          <w:sz w:val="24"/>
          <w:szCs w:val="24"/>
        </w:rPr>
        <w:t xml:space="preserve"> (MAO-</w:t>
      </w:r>
      <w:proofErr w:type="spellStart"/>
      <w:r w:rsidRPr="0071601B">
        <w:rPr>
          <w:sz w:val="24"/>
          <w:szCs w:val="24"/>
        </w:rPr>
        <w:t>hæmmere</w:t>
      </w:r>
      <w:proofErr w:type="spellEnd"/>
      <w:r w:rsidRPr="0071601B">
        <w:rPr>
          <w:sz w:val="24"/>
          <w:szCs w:val="24"/>
        </w:rPr>
        <w:t xml:space="preserve">) og må ikke gives til patienter, der er i behandling med disse, eller inden for 14 dage efter afslutningen af en sådan behandling. Det anbefales at undgå at anvende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og andre </w:t>
      </w:r>
      <w:proofErr w:type="spellStart"/>
      <w:r w:rsidRPr="0071601B">
        <w:rPr>
          <w:sz w:val="24"/>
          <w:szCs w:val="24"/>
        </w:rPr>
        <w:t>sympatomimetika</w:t>
      </w:r>
      <w:proofErr w:type="spellEnd"/>
      <w:r w:rsidRPr="0071601B">
        <w:rPr>
          <w:sz w:val="24"/>
          <w:szCs w:val="24"/>
        </w:rPr>
        <w:t xml:space="preserve"> samtidigt med reversible </w:t>
      </w:r>
      <w:proofErr w:type="spellStart"/>
      <w:r w:rsidRPr="0071601B">
        <w:rPr>
          <w:sz w:val="24"/>
          <w:szCs w:val="24"/>
        </w:rPr>
        <w:t>monoaminoxidasehæmmere</w:t>
      </w:r>
      <w:proofErr w:type="spellEnd"/>
      <w:r w:rsidRPr="0071601B">
        <w:rPr>
          <w:sz w:val="24"/>
          <w:szCs w:val="24"/>
        </w:rPr>
        <w:t xml:space="preserve"> (MAO-</w:t>
      </w:r>
      <w:proofErr w:type="spellStart"/>
      <w:r w:rsidRPr="0071601B">
        <w:rPr>
          <w:sz w:val="24"/>
          <w:szCs w:val="24"/>
        </w:rPr>
        <w:t>hæmmere</w:t>
      </w:r>
      <w:proofErr w:type="spellEnd"/>
      <w:r w:rsidRPr="0071601B">
        <w:rPr>
          <w:sz w:val="24"/>
          <w:szCs w:val="24"/>
        </w:rPr>
        <w:t>) (se pkt. 4.5).</w:t>
      </w:r>
    </w:p>
    <w:p w14:paraId="060AE0A2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6A584D70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kan være en øget risiko for </w:t>
      </w:r>
      <w:proofErr w:type="spellStart"/>
      <w:r w:rsidRPr="0071601B">
        <w:rPr>
          <w:sz w:val="24"/>
          <w:szCs w:val="24"/>
        </w:rPr>
        <w:t>arytmier</w:t>
      </w:r>
      <w:proofErr w:type="spellEnd"/>
      <w:r w:rsidRPr="0071601B">
        <w:rPr>
          <w:sz w:val="24"/>
          <w:szCs w:val="24"/>
        </w:rPr>
        <w:t xml:space="preserve">, hvis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gives til patienter, der behandles med hjerteglykosider, </w:t>
      </w:r>
      <w:proofErr w:type="spellStart"/>
      <w:r w:rsidRPr="0071601B">
        <w:rPr>
          <w:sz w:val="24"/>
          <w:szCs w:val="24"/>
        </w:rPr>
        <w:t>quinidin</w:t>
      </w:r>
      <w:proofErr w:type="spellEnd"/>
      <w:r w:rsidRPr="0071601B">
        <w:rPr>
          <w:sz w:val="24"/>
          <w:szCs w:val="24"/>
        </w:rPr>
        <w:t xml:space="preserve"> eller tricykliske </w:t>
      </w:r>
      <w:proofErr w:type="spellStart"/>
      <w:r w:rsidRPr="0071601B">
        <w:rPr>
          <w:sz w:val="24"/>
          <w:szCs w:val="24"/>
        </w:rPr>
        <w:t>antidepressiva</w:t>
      </w:r>
      <w:proofErr w:type="spellEnd"/>
      <w:r w:rsidRPr="0071601B">
        <w:rPr>
          <w:sz w:val="24"/>
          <w:szCs w:val="24"/>
        </w:rPr>
        <w:t xml:space="preserve">. </w:t>
      </w:r>
    </w:p>
    <w:p w14:paraId="589FB06E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014057A3" w14:textId="77777777" w:rsidR="00A554E5" w:rsidRPr="0071601B" w:rsidRDefault="00A554E5" w:rsidP="0071601B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øger blodtrykket, og der bør udvises ekstra forsigtighed hos patienter i </w:t>
      </w:r>
      <w:proofErr w:type="spellStart"/>
      <w:r w:rsidRPr="0071601B">
        <w:rPr>
          <w:sz w:val="24"/>
          <w:szCs w:val="24"/>
        </w:rPr>
        <w:t>antihypertensiv</w:t>
      </w:r>
      <w:proofErr w:type="spellEnd"/>
      <w:r w:rsidRPr="0071601B">
        <w:rPr>
          <w:sz w:val="24"/>
          <w:szCs w:val="24"/>
        </w:rPr>
        <w:t xml:space="preserve"> behandling. Interaktioner mellem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og alfa- og betablokkere kan være komplekse. </w:t>
      </w:r>
    </w:p>
    <w:p w14:paraId="1C6EBC5E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5F3D25CF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Uønskede metaboliske virkninger af høje doser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kan forværres ved samtidig indgivelse af høje doser </w:t>
      </w:r>
      <w:proofErr w:type="spellStart"/>
      <w:r w:rsidRPr="0071601B">
        <w:rPr>
          <w:sz w:val="24"/>
          <w:szCs w:val="24"/>
        </w:rPr>
        <w:t>kortikosteroider</w:t>
      </w:r>
      <w:proofErr w:type="spellEnd"/>
      <w:r w:rsidRPr="0071601B">
        <w:rPr>
          <w:sz w:val="24"/>
          <w:szCs w:val="24"/>
        </w:rPr>
        <w:t xml:space="preserve">. Patienter skal derfor omhyggeligt monitoreres, når de to former for behandling bruges samtidig, selv om denne forsigtighedsregel ikke er så relevant ved inhalationsbehandling med </w:t>
      </w:r>
      <w:proofErr w:type="spellStart"/>
      <w:r w:rsidRPr="0071601B">
        <w:rPr>
          <w:sz w:val="24"/>
          <w:szCs w:val="24"/>
        </w:rPr>
        <w:t>kortikosteroider</w:t>
      </w:r>
      <w:proofErr w:type="spellEnd"/>
      <w:r w:rsidRPr="0071601B">
        <w:rPr>
          <w:sz w:val="24"/>
          <w:szCs w:val="24"/>
        </w:rPr>
        <w:t xml:space="preserve">. </w:t>
      </w:r>
    </w:p>
    <w:p w14:paraId="47E05C5D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05443BFF" w14:textId="77777777" w:rsidR="00A554E5" w:rsidRPr="0071601B" w:rsidRDefault="00A554E5" w:rsidP="0071601B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Hypokaliæmi</w:t>
      </w:r>
      <w:proofErr w:type="spellEnd"/>
      <w:r w:rsidRPr="0071601B">
        <w:rPr>
          <w:sz w:val="24"/>
          <w:szCs w:val="24"/>
        </w:rPr>
        <w:t xml:space="preserve"> forbindelse t med høje doser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kan medføre øget modtagelighed over for digitalisinducerede </w:t>
      </w:r>
      <w:proofErr w:type="spellStart"/>
      <w:r w:rsidRPr="0071601B">
        <w:rPr>
          <w:sz w:val="24"/>
          <w:szCs w:val="24"/>
        </w:rPr>
        <w:t>hjertearytmier</w:t>
      </w:r>
      <w:proofErr w:type="spellEnd"/>
      <w:r w:rsidRPr="0071601B">
        <w:rPr>
          <w:sz w:val="24"/>
          <w:szCs w:val="24"/>
        </w:rPr>
        <w:t xml:space="preserve">. </w:t>
      </w:r>
      <w:proofErr w:type="spellStart"/>
      <w:r w:rsidRPr="0071601B">
        <w:rPr>
          <w:sz w:val="24"/>
          <w:szCs w:val="24"/>
        </w:rPr>
        <w:t>Hypokaliæmi</w:t>
      </w:r>
      <w:proofErr w:type="spellEnd"/>
      <w:r w:rsidRPr="0071601B">
        <w:rPr>
          <w:sz w:val="24"/>
          <w:szCs w:val="24"/>
        </w:rPr>
        <w:t xml:space="preserve"> kan forstærkes ved samtidig indgivelse af </w:t>
      </w:r>
      <w:proofErr w:type="spellStart"/>
      <w:r w:rsidRPr="0071601B">
        <w:rPr>
          <w:sz w:val="24"/>
          <w:szCs w:val="24"/>
        </w:rPr>
        <w:t>aminophyllin</w:t>
      </w:r>
      <w:proofErr w:type="spellEnd"/>
      <w:r w:rsidRPr="0071601B">
        <w:rPr>
          <w:sz w:val="24"/>
          <w:szCs w:val="24"/>
        </w:rPr>
        <w:t xml:space="preserve"> eller andre </w:t>
      </w:r>
      <w:proofErr w:type="spellStart"/>
      <w:r w:rsidRPr="0071601B">
        <w:rPr>
          <w:sz w:val="24"/>
          <w:szCs w:val="24"/>
        </w:rPr>
        <w:t>xanthiner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kortikosteroider</w:t>
      </w:r>
      <w:proofErr w:type="spellEnd"/>
      <w:r w:rsidRPr="0071601B">
        <w:rPr>
          <w:sz w:val="24"/>
          <w:szCs w:val="24"/>
        </w:rPr>
        <w:t xml:space="preserve"> eller ved behandling med </w:t>
      </w:r>
      <w:proofErr w:type="spellStart"/>
      <w:r w:rsidRPr="0071601B">
        <w:rPr>
          <w:sz w:val="24"/>
          <w:szCs w:val="24"/>
        </w:rPr>
        <w:t>diuretika</w:t>
      </w:r>
      <w:proofErr w:type="spellEnd"/>
      <w:r w:rsidRPr="0071601B">
        <w:rPr>
          <w:sz w:val="24"/>
          <w:szCs w:val="24"/>
        </w:rPr>
        <w:t>.</w:t>
      </w:r>
    </w:p>
    <w:p w14:paraId="25BE61CE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13BAF035" w14:textId="77777777" w:rsidR="00A554E5" w:rsidRPr="0071601B" w:rsidRDefault="00A554E5" w:rsidP="0071601B">
      <w:pPr>
        <w:ind w:left="851"/>
        <w:rPr>
          <w:sz w:val="24"/>
          <w:szCs w:val="24"/>
          <w:u w:val="single"/>
        </w:rPr>
      </w:pPr>
      <w:r w:rsidRPr="0071601B">
        <w:rPr>
          <w:sz w:val="24"/>
          <w:szCs w:val="24"/>
          <w:u w:val="single"/>
        </w:rPr>
        <w:t>Forsigtighedsregler vedrørende brugen</w:t>
      </w:r>
    </w:p>
    <w:p w14:paraId="059DE8F7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Dette lægemiddel indeholder 32 mg natrium pr. 10 ml hætteglas, svarende til 1,6 % af den WHO anbefalede maximale daglige indtagelse af 2 g natrium for en voksen.</w:t>
      </w:r>
    </w:p>
    <w:p w14:paraId="2FE9FAC1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E45837F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4.5</w:t>
      </w:r>
      <w:r w:rsidRPr="0071601B">
        <w:rPr>
          <w:b/>
          <w:sz w:val="24"/>
          <w:szCs w:val="24"/>
        </w:rPr>
        <w:tab/>
        <w:t>Interaktion med andre lægemidler og andre former for interaktion</w:t>
      </w:r>
    </w:p>
    <w:p w14:paraId="3D6C3FB4" w14:textId="77777777" w:rsidR="0071601B" w:rsidRDefault="0071601B" w:rsidP="0071601B">
      <w:pPr>
        <w:ind w:left="851"/>
        <w:rPr>
          <w:sz w:val="24"/>
          <w:szCs w:val="24"/>
        </w:rPr>
      </w:pPr>
    </w:p>
    <w:p w14:paraId="157C81D3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 xml:space="preserve">Indirekte virkende </w:t>
      </w:r>
      <w:proofErr w:type="spellStart"/>
      <w:r w:rsidRPr="0071601B">
        <w:rPr>
          <w:i/>
          <w:sz w:val="24"/>
          <w:szCs w:val="24"/>
        </w:rPr>
        <w:t>sympatomimetika</w:t>
      </w:r>
      <w:proofErr w:type="spellEnd"/>
      <w:r w:rsidRPr="0071601B">
        <w:rPr>
          <w:i/>
          <w:sz w:val="24"/>
          <w:szCs w:val="24"/>
        </w:rPr>
        <w:t xml:space="preserve"> (</w:t>
      </w:r>
      <w:proofErr w:type="spellStart"/>
      <w:r w:rsidRPr="0071601B">
        <w:rPr>
          <w:i/>
          <w:sz w:val="24"/>
          <w:szCs w:val="24"/>
        </w:rPr>
        <w:t>phenylpropanolamin</w:t>
      </w:r>
      <w:proofErr w:type="spellEnd"/>
      <w:r w:rsidRPr="0071601B">
        <w:rPr>
          <w:i/>
          <w:sz w:val="24"/>
          <w:szCs w:val="24"/>
        </w:rPr>
        <w:t xml:space="preserve">, </w:t>
      </w:r>
      <w:proofErr w:type="spellStart"/>
      <w:r w:rsidRPr="0071601B">
        <w:rPr>
          <w:i/>
          <w:sz w:val="24"/>
          <w:szCs w:val="24"/>
        </w:rPr>
        <w:t>pseudoephedrin</w:t>
      </w:r>
      <w:proofErr w:type="spellEnd"/>
      <w:r w:rsidRPr="0071601B">
        <w:rPr>
          <w:i/>
          <w:sz w:val="24"/>
          <w:szCs w:val="24"/>
        </w:rPr>
        <w:t xml:space="preserve">, </w:t>
      </w:r>
      <w:proofErr w:type="spellStart"/>
      <w:r w:rsidRPr="0071601B">
        <w:rPr>
          <w:i/>
          <w:sz w:val="24"/>
          <w:szCs w:val="24"/>
        </w:rPr>
        <w:t>phenylephrin</w:t>
      </w:r>
      <w:proofErr w:type="spellEnd"/>
      <w:r w:rsidRPr="0071601B">
        <w:rPr>
          <w:i/>
          <w:sz w:val="24"/>
          <w:szCs w:val="24"/>
        </w:rPr>
        <w:t xml:space="preserve">, </w:t>
      </w:r>
      <w:proofErr w:type="spellStart"/>
      <w:r w:rsidRPr="0071601B">
        <w:rPr>
          <w:i/>
          <w:sz w:val="24"/>
          <w:szCs w:val="24"/>
        </w:rPr>
        <w:t>methylphenidat</w:t>
      </w:r>
      <w:proofErr w:type="spellEnd"/>
      <w:r w:rsidRPr="0071601B">
        <w:rPr>
          <w:i/>
          <w:sz w:val="24"/>
          <w:szCs w:val="24"/>
        </w:rPr>
        <w:t>)</w:t>
      </w:r>
    </w:p>
    <w:p w14:paraId="648D2815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er øget risiko for </w:t>
      </w:r>
      <w:proofErr w:type="spellStart"/>
      <w:r w:rsidRPr="0071601B">
        <w:rPr>
          <w:sz w:val="24"/>
          <w:szCs w:val="24"/>
        </w:rPr>
        <w:t>vasokonstriktion</w:t>
      </w:r>
      <w:proofErr w:type="spellEnd"/>
      <w:r w:rsidRPr="0071601B">
        <w:rPr>
          <w:sz w:val="24"/>
          <w:szCs w:val="24"/>
        </w:rPr>
        <w:t xml:space="preserve"> og/eller </w:t>
      </w:r>
      <w:proofErr w:type="spellStart"/>
      <w:r w:rsidRPr="0071601B">
        <w:rPr>
          <w:sz w:val="24"/>
          <w:szCs w:val="24"/>
        </w:rPr>
        <w:t>akuthypertension</w:t>
      </w:r>
      <w:proofErr w:type="spellEnd"/>
      <w:r w:rsidRPr="0071601B">
        <w:rPr>
          <w:sz w:val="24"/>
          <w:szCs w:val="24"/>
        </w:rPr>
        <w:t xml:space="preserve">, hvis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kombineres med indirekte virkende </w:t>
      </w:r>
      <w:proofErr w:type="spellStart"/>
      <w:r w:rsidRPr="0071601B">
        <w:rPr>
          <w:sz w:val="24"/>
          <w:szCs w:val="24"/>
        </w:rPr>
        <w:t>sympatomimetika</w:t>
      </w:r>
      <w:proofErr w:type="spellEnd"/>
      <w:r w:rsidRPr="0071601B">
        <w:rPr>
          <w:sz w:val="24"/>
          <w:szCs w:val="24"/>
        </w:rPr>
        <w:t xml:space="preserve"> (se pkt. 4.4). </w:t>
      </w:r>
    </w:p>
    <w:p w14:paraId="1647A2D2" w14:textId="77777777" w:rsidR="00A554E5" w:rsidRPr="0071601B" w:rsidRDefault="00A554E5" w:rsidP="0071601B">
      <w:pPr>
        <w:ind w:left="851"/>
        <w:rPr>
          <w:bCs/>
          <w:iCs/>
          <w:sz w:val="24"/>
          <w:szCs w:val="24"/>
        </w:rPr>
      </w:pPr>
    </w:p>
    <w:p w14:paraId="553E0910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 xml:space="preserve">Flygtige </w:t>
      </w:r>
      <w:proofErr w:type="spellStart"/>
      <w:r w:rsidRPr="0071601B">
        <w:rPr>
          <w:i/>
          <w:sz w:val="24"/>
          <w:szCs w:val="24"/>
        </w:rPr>
        <w:t>halogenerede</w:t>
      </w:r>
      <w:proofErr w:type="spellEnd"/>
      <w:r w:rsidRPr="0071601B">
        <w:rPr>
          <w:i/>
          <w:sz w:val="24"/>
          <w:szCs w:val="24"/>
        </w:rPr>
        <w:t xml:space="preserve"> </w:t>
      </w:r>
      <w:proofErr w:type="spellStart"/>
      <w:r w:rsidRPr="0071601B">
        <w:rPr>
          <w:i/>
          <w:sz w:val="24"/>
          <w:szCs w:val="24"/>
        </w:rPr>
        <w:t>inhalationsanæstetika</w:t>
      </w:r>
      <w:proofErr w:type="spellEnd"/>
    </w:p>
    <w:p w14:paraId="47EE7C2F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er risiko for alvorlige </w:t>
      </w:r>
      <w:proofErr w:type="spellStart"/>
      <w:r w:rsidRPr="0071601B">
        <w:rPr>
          <w:sz w:val="24"/>
          <w:szCs w:val="24"/>
        </w:rPr>
        <w:t>ventrikulære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arytmier</w:t>
      </w:r>
      <w:proofErr w:type="spellEnd"/>
      <w:r w:rsidRPr="0071601B">
        <w:rPr>
          <w:sz w:val="24"/>
          <w:szCs w:val="24"/>
        </w:rPr>
        <w:t xml:space="preserve"> (øget </w:t>
      </w:r>
      <w:proofErr w:type="spellStart"/>
      <w:r w:rsidRPr="0071601B">
        <w:rPr>
          <w:sz w:val="24"/>
          <w:szCs w:val="24"/>
        </w:rPr>
        <w:t>hjerteekscitabilitet</w:t>
      </w:r>
      <w:proofErr w:type="spellEnd"/>
      <w:r w:rsidRPr="0071601B">
        <w:rPr>
          <w:sz w:val="24"/>
          <w:szCs w:val="24"/>
        </w:rPr>
        <w:t xml:space="preserve">), hvis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kombineres med flygtige </w:t>
      </w:r>
      <w:proofErr w:type="spellStart"/>
      <w:r w:rsidRPr="0071601B">
        <w:rPr>
          <w:sz w:val="24"/>
          <w:szCs w:val="24"/>
        </w:rPr>
        <w:t>halogenerede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inhalationsanæstetika</w:t>
      </w:r>
      <w:proofErr w:type="spellEnd"/>
      <w:r w:rsidRPr="0071601B">
        <w:rPr>
          <w:sz w:val="24"/>
          <w:szCs w:val="24"/>
        </w:rPr>
        <w:t xml:space="preserve"> (se pkt. 4.4).</w:t>
      </w:r>
    </w:p>
    <w:p w14:paraId="231EFAF5" w14:textId="77777777" w:rsidR="00A554E5" w:rsidRPr="0071601B" w:rsidRDefault="00A554E5" w:rsidP="0071601B">
      <w:pPr>
        <w:ind w:left="851"/>
        <w:rPr>
          <w:bCs/>
          <w:iCs/>
          <w:sz w:val="24"/>
          <w:szCs w:val="24"/>
        </w:rPr>
      </w:pPr>
    </w:p>
    <w:p w14:paraId="768E4159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Antidepressiva</w:t>
      </w:r>
      <w:proofErr w:type="spellEnd"/>
      <w:r w:rsidRPr="0071601B">
        <w:rPr>
          <w:i/>
          <w:sz w:val="24"/>
          <w:szCs w:val="24"/>
        </w:rPr>
        <w:t xml:space="preserve">, hjerte glykosider og </w:t>
      </w:r>
      <w:proofErr w:type="spellStart"/>
      <w:r w:rsidRPr="0071601B">
        <w:rPr>
          <w:i/>
          <w:sz w:val="24"/>
          <w:szCs w:val="24"/>
        </w:rPr>
        <w:t>quinidin</w:t>
      </w:r>
      <w:proofErr w:type="spellEnd"/>
    </w:p>
    <w:p w14:paraId="4A6DE3F3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Ved samtidig administration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og tricykliske </w:t>
      </w:r>
      <w:proofErr w:type="spellStart"/>
      <w:r w:rsidRPr="0071601B">
        <w:rPr>
          <w:sz w:val="24"/>
          <w:szCs w:val="24"/>
        </w:rPr>
        <w:t>antidepressiva</w:t>
      </w:r>
      <w:proofErr w:type="spellEnd"/>
      <w:r w:rsidRPr="0071601B">
        <w:rPr>
          <w:sz w:val="24"/>
          <w:szCs w:val="24"/>
        </w:rPr>
        <w:t xml:space="preserve"> (</w:t>
      </w:r>
      <w:proofErr w:type="spellStart"/>
      <w:r w:rsidRPr="0071601B">
        <w:rPr>
          <w:sz w:val="24"/>
          <w:szCs w:val="24"/>
        </w:rPr>
        <w:t>clomipramin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amitriptylin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nortriptylin</w:t>
      </w:r>
      <w:proofErr w:type="spellEnd"/>
      <w:r w:rsidRPr="0071601B">
        <w:rPr>
          <w:sz w:val="24"/>
          <w:szCs w:val="24"/>
        </w:rPr>
        <w:t>) og SNRI (</w:t>
      </w:r>
      <w:proofErr w:type="spellStart"/>
      <w:r w:rsidRPr="0071601B">
        <w:rPr>
          <w:sz w:val="24"/>
          <w:szCs w:val="24"/>
        </w:rPr>
        <w:t>serotonin</w:t>
      </w:r>
      <w:proofErr w:type="spellEnd"/>
      <w:r w:rsidRPr="0071601B">
        <w:rPr>
          <w:sz w:val="24"/>
          <w:szCs w:val="24"/>
        </w:rPr>
        <w:t xml:space="preserve"> -og </w:t>
      </w:r>
      <w:proofErr w:type="spellStart"/>
      <w:r w:rsidRPr="0071601B">
        <w:rPr>
          <w:sz w:val="24"/>
          <w:szCs w:val="24"/>
        </w:rPr>
        <w:t>noradrenalingenoptagshæmmere</w:t>
      </w:r>
      <w:proofErr w:type="spellEnd"/>
      <w:r w:rsidRPr="0071601B">
        <w:rPr>
          <w:sz w:val="24"/>
          <w:szCs w:val="24"/>
        </w:rPr>
        <w:t>) (</w:t>
      </w:r>
      <w:proofErr w:type="spellStart"/>
      <w:r w:rsidRPr="0071601B">
        <w:rPr>
          <w:sz w:val="24"/>
          <w:szCs w:val="24"/>
        </w:rPr>
        <w:t>venlafaxin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reboxetin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duloxetin</w:t>
      </w:r>
      <w:proofErr w:type="spellEnd"/>
      <w:r w:rsidRPr="0071601B">
        <w:rPr>
          <w:sz w:val="24"/>
          <w:szCs w:val="24"/>
        </w:rPr>
        <w:t xml:space="preserve">) er der risiko for </w:t>
      </w:r>
      <w:proofErr w:type="spellStart"/>
      <w:r w:rsidRPr="0071601B">
        <w:rPr>
          <w:sz w:val="24"/>
          <w:szCs w:val="24"/>
        </w:rPr>
        <w:t>paroksysmal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hypertension</w:t>
      </w:r>
      <w:proofErr w:type="spellEnd"/>
      <w:r w:rsidRPr="0071601B">
        <w:rPr>
          <w:sz w:val="24"/>
          <w:szCs w:val="24"/>
        </w:rPr>
        <w:t xml:space="preserve"> med mulighed for </w:t>
      </w:r>
      <w:proofErr w:type="spellStart"/>
      <w:r w:rsidRPr="0071601B">
        <w:rPr>
          <w:sz w:val="24"/>
          <w:szCs w:val="24"/>
        </w:rPr>
        <w:t>arytmier</w:t>
      </w:r>
      <w:proofErr w:type="spellEnd"/>
      <w:r w:rsidRPr="0071601B">
        <w:rPr>
          <w:sz w:val="24"/>
          <w:szCs w:val="24"/>
        </w:rPr>
        <w:t xml:space="preserve"> (hæmning af adrenalins eller noradrenalins indtrængen i de </w:t>
      </w:r>
      <w:r w:rsidRPr="0071601B">
        <w:rPr>
          <w:sz w:val="24"/>
          <w:szCs w:val="24"/>
        </w:rPr>
        <w:lastRenderedPageBreak/>
        <w:t xml:space="preserve">sympatiske fibre). Tilsvarende er risikoen for </w:t>
      </w:r>
      <w:proofErr w:type="spellStart"/>
      <w:r w:rsidRPr="0071601B">
        <w:rPr>
          <w:sz w:val="24"/>
          <w:szCs w:val="24"/>
        </w:rPr>
        <w:t>arytmier</w:t>
      </w:r>
      <w:proofErr w:type="spellEnd"/>
      <w:r w:rsidRPr="0071601B">
        <w:rPr>
          <w:sz w:val="24"/>
          <w:szCs w:val="24"/>
        </w:rPr>
        <w:t xml:space="preserve"> til stede ved samtidig administration med hjerteglykosider og </w:t>
      </w:r>
      <w:proofErr w:type="spellStart"/>
      <w:r w:rsidRPr="0071601B">
        <w:rPr>
          <w:sz w:val="24"/>
          <w:szCs w:val="24"/>
        </w:rPr>
        <w:t>quinidin</w:t>
      </w:r>
      <w:proofErr w:type="spellEnd"/>
      <w:r w:rsidRPr="0071601B">
        <w:rPr>
          <w:sz w:val="24"/>
          <w:szCs w:val="24"/>
        </w:rPr>
        <w:t>.</w:t>
      </w:r>
    </w:p>
    <w:p w14:paraId="74CEBB6A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39F8BF0E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Guanethidin</w:t>
      </w:r>
      <w:proofErr w:type="spellEnd"/>
      <w:r w:rsidRPr="0071601B">
        <w:rPr>
          <w:i/>
          <w:sz w:val="24"/>
          <w:szCs w:val="24"/>
        </w:rPr>
        <w:t xml:space="preserve"> og relaterede stoffer</w:t>
      </w:r>
    </w:p>
    <w:p w14:paraId="16C64525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Der er risiko for væsentligt øget blodtryk (</w:t>
      </w:r>
      <w:proofErr w:type="spellStart"/>
      <w:r w:rsidRPr="0071601B">
        <w:rPr>
          <w:sz w:val="24"/>
          <w:szCs w:val="24"/>
        </w:rPr>
        <w:t>hyperreaktivitet</w:t>
      </w:r>
      <w:proofErr w:type="spellEnd"/>
      <w:r w:rsidRPr="0071601B">
        <w:rPr>
          <w:sz w:val="24"/>
          <w:szCs w:val="24"/>
        </w:rPr>
        <w:t xml:space="preserve"> forbundet med reduktion i sympatisk </w:t>
      </w:r>
      <w:proofErr w:type="spellStart"/>
      <w:r w:rsidRPr="0071601B">
        <w:rPr>
          <w:sz w:val="24"/>
          <w:szCs w:val="24"/>
        </w:rPr>
        <w:t>tonus</w:t>
      </w:r>
      <w:proofErr w:type="spellEnd"/>
      <w:r w:rsidRPr="0071601B">
        <w:rPr>
          <w:sz w:val="24"/>
          <w:szCs w:val="24"/>
        </w:rPr>
        <w:t xml:space="preserve"> og/eller hæmning af adrenalins eller noradrenalins indtrængen i de sympatiske fibre). </w:t>
      </w:r>
    </w:p>
    <w:p w14:paraId="4F5753BD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64345572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>Reversible, selektive MAO-A-</w:t>
      </w:r>
      <w:proofErr w:type="spellStart"/>
      <w:r w:rsidRPr="0071601B">
        <w:rPr>
          <w:i/>
          <w:sz w:val="24"/>
          <w:szCs w:val="24"/>
        </w:rPr>
        <w:t>hæmmere</w:t>
      </w:r>
      <w:proofErr w:type="spellEnd"/>
      <w:r w:rsidRPr="0071601B">
        <w:rPr>
          <w:i/>
          <w:sz w:val="24"/>
          <w:szCs w:val="24"/>
        </w:rPr>
        <w:t xml:space="preserve"> (</w:t>
      </w:r>
      <w:proofErr w:type="spellStart"/>
      <w:r w:rsidRPr="0071601B">
        <w:rPr>
          <w:i/>
          <w:sz w:val="24"/>
          <w:szCs w:val="24"/>
        </w:rPr>
        <w:t>moclobemid</w:t>
      </w:r>
      <w:proofErr w:type="spellEnd"/>
      <w:r w:rsidRPr="0071601B">
        <w:rPr>
          <w:i/>
          <w:sz w:val="24"/>
          <w:szCs w:val="24"/>
        </w:rPr>
        <w:t xml:space="preserve">) </w:t>
      </w:r>
    </w:p>
    <w:p w14:paraId="46BEE3CF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er risiko for øget </w:t>
      </w:r>
      <w:proofErr w:type="spellStart"/>
      <w:r w:rsidRPr="0071601B">
        <w:rPr>
          <w:sz w:val="24"/>
          <w:szCs w:val="24"/>
        </w:rPr>
        <w:t>hypertensiv</w:t>
      </w:r>
      <w:proofErr w:type="spellEnd"/>
      <w:r w:rsidRPr="0071601B">
        <w:rPr>
          <w:sz w:val="24"/>
          <w:szCs w:val="24"/>
        </w:rPr>
        <w:t xml:space="preserve"> virkning og samtidig administration bør undgås.</w:t>
      </w:r>
    </w:p>
    <w:p w14:paraId="24365D88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Behandling med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kan startes tidligere end 14 dage efter </w:t>
      </w:r>
      <w:proofErr w:type="spellStart"/>
      <w:r w:rsidRPr="0071601B">
        <w:rPr>
          <w:sz w:val="24"/>
          <w:szCs w:val="24"/>
        </w:rPr>
        <w:t>seponering</w:t>
      </w:r>
      <w:proofErr w:type="spellEnd"/>
      <w:r w:rsidRPr="0071601B">
        <w:rPr>
          <w:sz w:val="24"/>
          <w:szCs w:val="24"/>
        </w:rPr>
        <w:t xml:space="preserve"> af </w:t>
      </w:r>
      <w:proofErr w:type="spellStart"/>
      <w:r w:rsidRPr="0071601B">
        <w:rPr>
          <w:sz w:val="24"/>
          <w:szCs w:val="24"/>
        </w:rPr>
        <w:t>moclobemid</w:t>
      </w:r>
      <w:proofErr w:type="spellEnd"/>
      <w:r w:rsidRPr="0071601B">
        <w:rPr>
          <w:sz w:val="24"/>
          <w:szCs w:val="24"/>
        </w:rPr>
        <w:t xml:space="preserve">, pga. den relativt korte halveringstid af </w:t>
      </w:r>
      <w:proofErr w:type="spellStart"/>
      <w:r w:rsidRPr="0071601B">
        <w:rPr>
          <w:sz w:val="24"/>
          <w:szCs w:val="24"/>
        </w:rPr>
        <w:t>moclobemid</w:t>
      </w:r>
      <w:proofErr w:type="spellEnd"/>
      <w:r w:rsidRPr="0071601B">
        <w:rPr>
          <w:sz w:val="24"/>
          <w:szCs w:val="24"/>
        </w:rPr>
        <w:t xml:space="preserve"> (se pkt. 4.4).</w:t>
      </w:r>
    </w:p>
    <w:p w14:paraId="54AF025F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58FAD9CA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>Reversible, non-selektive MAO-A-</w:t>
      </w:r>
      <w:proofErr w:type="spellStart"/>
      <w:r w:rsidRPr="0071601B">
        <w:rPr>
          <w:i/>
          <w:sz w:val="24"/>
          <w:szCs w:val="24"/>
        </w:rPr>
        <w:t>hæmmere</w:t>
      </w:r>
      <w:proofErr w:type="spellEnd"/>
      <w:r w:rsidRPr="0071601B">
        <w:rPr>
          <w:i/>
          <w:sz w:val="24"/>
          <w:szCs w:val="24"/>
        </w:rPr>
        <w:t xml:space="preserve"> (</w:t>
      </w:r>
      <w:proofErr w:type="spellStart"/>
      <w:r w:rsidRPr="0071601B">
        <w:rPr>
          <w:i/>
          <w:sz w:val="24"/>
          <w:szCs w:val="24"/>
        </w:rPr>
        <w:t>linezolid</w:t>
      </w:r>
      <w:proofErr w:type="spellEnd"/>
      <w:r w:rsidRPr="0071601B">
        <w:rPr>
          <w:i/>
          <w:sz w:val="24"/>
          <w:szCs w:val="24"/>
        </w:rPr>
        <w:t>)</w:t>
      </w:r>
    </w:p>
    <w:p w14:paraId="2A820E13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Ved kombination med </w:t>
      </w:r>
      <w:proofErr w:type="spellStart"/>
      <w:r w:rsidRPr="0071601B">
        <w:rPr>
          <w:sz w:val="24"/>
          <w:szCs w:val="24"/>
        </w:rPr>
        <w:t>antibiotikumet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linezolid</w:t>
      </w:r>
      <w:proofErr w:type="spellEnd"/>
      <w:r w:rsidRPr="0071601B">
        <w:rPr>
          <w:sz w:val="24"/>
          <w:szCs w:val="24"/>
        </w:rPr>
        <w:t xml:space="preserve"> (en svag og reversibel, non-selektiv MAO-hæmmer) er der risiko for øget </w:t>
      </w:r>
      <w:proofErr w:type="spellStart"/>
      <w:r w:rsidRPr="0071601B">
        <w:rPr>
          <w:sz w:val="24"/>
          <w:szCs w:val="24"/>
        </w:rPr>
        <w:t>hypertensiv</w:t>
      </w:r>
      <w:proofErr w:type="spellEnd"/>
      <w:r w:rsidRPr="0071601B">
        <w:rPr>
          <w:sz w:val="24"/>
          <w:szCs w:val="24"/>
        </w:rPr>
        <w:t xml:space="preserve"> virkning. Samtidig administration bør undgås.</w:t>
      </w:r>
    </w:p>
    <w:p w14:paraId="5A62B3C3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179716E9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>Irreversible, selektive MAO-B-</w:t>
      </w:r>
      <w:proofErr w:type="spellStart"/>
      <w:r w:rsidRPr="0071601B">
        <w:rPr>
          <w:i/>
          <w:sz w:val="24"/>
          <w:szCs w:val="24"/>
        </w:rPr>
        <w:t>hæmmere</w:t>
      </w:r>
      <w:proofErr w:type="spellEnd"/>
      <w:r w:rsidRPr="0071601B">
        <w:rPr>
          <w:i/>
          <w:sz w:val="24"/>
          <w:szCs w:val="24"/>
        </w:rPr>
        <w:t xml:space="preserve"> (</w:t>
      </w:r>
      <w:proofErr w:type="spellStart"/>
      <w:r w:rsidRPr="0071601B">
        <w:rPr>
          <w:i/>
          <w:sz w:val="24"/>
          <w:szCs w:val="24"/>
        </w:rPr>
        <w:t>rasagilin</w:t>
      </w:r>
      <w:proofErr w:type="spellEnd"/>
      <w:r w:rsidRPr="0071601B">
        <w:rPr>
          <w:i/>
          <w:sz w:val="24"/>
          <w:szCs w:val="24"/>
        </w:rPr>
        <w:t xml:space="preserve"> og safinamid)</w:t>
      </w:r>
    </w:p>
    <w:p w14:paraId="1A569EAC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er risiko for øget </w:t>
      </w:r>
      <w:proofErr w:type="spellStart"/>
      <w:r w:rsidRPr="0071601B">
        <w:rPr>
          <w:sz w:val="24"/>
          <w:szCs w:val="24"/>
        </w:rPr>
        <w:t>hypertensiv</w:t>
      </w:r>
      <w:proofErr w:type="spellEnd"/>
      <w:r w:rsidRPr="0071601B">
        <w:rPr>
          <w:sz w:val="24"/>
          <w:szCs w:val="24"/>
        </w:rPr>
        <w:t xml:space="preserve"> virkning ved samtidig administration.</w:t>
      </w:r>
    </w:p>
    <w:p w14:paraId="0811DE8A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3093147F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Levodopa</w:t>
      </w:r>
      <w:proofErr w:type="spellEnd"/>
      <w:r w:rsidRPr="0071601B">
        <w:rPr>
          <w:i/>
          <w:sz w:val="24"/>
          <w:szCs w:val="24"/>
        </w:rPr>
        <w:t xml:space="preserve"> og </w:t>
      </w:r>
      <w:proofErr w:type="spellStart"/>
      <w:r w:rsidRPr="0071601B">
        <w:rPr>
          <w:i/>
          <w:sz w:val="24"/>
          <w:szCs w:val="24"/>
        </w:rPr>
        <w:t>bromocriptin</w:t>
      </w:r>
      <w:proofErr w:type="spellEnd"/>
    </w:p>
    <w:p w14:paraId="1586271A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er risiko for additiv </w:t>
      </w:r>
      <w:proofErr w:type="spellStart"/>
      <w:r w:rsidRPr="0071601B">
        <w:rPr>
          <w:sz w:val="24"/>
          <w:szCs w:val="24"/>
        </w:rPr>
        <w:t>kardiovaskulær</w:t>
      </w:r>
      <w:proofErr w:type="spellEnd"/>
      <w:r w:rsidRPr="0071601B">
        <w:rPr>
          <w:sz w:val="24"/>
          <w:szCs w:val="24"/>
        </w:rPr>
        <w:t xml:space="preserve"> toksicitet ved samtidig administration.</w:t>
      </w:r>
    </w:p>
    <w:p w14:paraId="5696D78D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73D82485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Seleglin</w:t>
      </w:r>
      <w:proofErr w:type="spellEnd"/>
    </w:p>
    <w:p w14:paraId="45FDFC86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Alvorlig </w:t>
      </w:r>
      <w:proofErr w:type="spellStart"/>
      <w:r w:rsidRPr="0071601B">
        <w:rPr>
          <w:sz w:val="24"/>
          <w:szCs w:val="24"/>
        </w:rPr>
        <w:t>hypertension</w:t>
      </w:r>
      <w:proofErr w:type="spellEnd"/>
      <w:r w:rsidRPr="0071601B">
        <w:rPr>
          <w:sz w:val="24"/>
          <w:szCs w:val="24"/>
        </w:rPr>
        <w:t xml:space="preserve"> kan forekomme, og samtidig administration bør undgås.</w:t>
      </w:r>
    </w:p>
    <w:p w14:paraId="3BCD8469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565D80EB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>COMT-</w:t>
      </w:r>
      <w:proofErr w:type="spellStart"/>
      <w:r w:rsidRPr="0071601B">
        <w:rPr>
          <w:i/>
          <w:sz w:val="24"/>
          <w:szCs w:val="24"/>
        </w:rPr>
        <w:t>hæmmere</w:t>
      </w:r>
      <w:proofErr w:type="spellEnd"/>
      <w:r w:rsidRPr="0071601B">
        <w:rPr>
          <w:i/>
          <w:sz w:val="24"/>
          <w:szCs w:val="24"/>
        </w:rPr>
        <w:t xml:space="preserve"> (</w:t>
      </w:r>
      <w:proofErr w:type="spellStart"/>
      <w:r w:rsidRPr="0071601B">
        <w:rPr>
          <w:i/>
          <w:sz w:val="24"/>
          <w:szCs w:val="24"/>
        </w:rPr>
        <w:t>entacapon</w:t>
      </w:r>
      <w:proofErr w:type="spellEnd"/>
      <w:r w:rsidRPr="0071601B">
        <w:rPr>
          <w:i/>
          <w:sz w:val="24"/>
          <w:szCs w:val="24"/>
        </w:rPr>
        <w:t xml:space="preserve">, </w:t>
      </w:r>
      <w:proofErr w:type="spellStart"/>
      <w:r w:rsidRPr="0071601B">
        <w:rPr>
          <w:i/>
          <w:sz w:val="24"/>
          <w:szCs w:val="24"/>
        </w:rPr>
        <w:t>tolcapon</w:t>
      </w:r>
      <w:proofErr w:type="spellEnd"/>
      <w:r w:rsidRPr="0071601B">
        <w:rPr>
          <w:i/>
          <w:sz w:val="24"/>
          <w:szCs w:val="24"/>
        </w:rPr>
        <w:t>)</w:t>
      </w:r>
    </w:p>
    <w:p w14:paraId="5C2789DE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Alvorlig </w:t>
      </w:r>
      <w:proofErr w:type="spellStart"/>
      <w:r w:rsidRPr="0071601B">
        <w:rPr>
          <w:sz w:val="24"/>
          <w:szCs w:val="24"/>
        </w:rPr>
        <w:t>hypertension</w:t>
      </w:r>
      <w:proofErr w:type="spellEnd"/>
      <w:r w:rsidRPr="0071601B">
        <w:rPr>
          <w:sz w:val="24"/>
          <w:szCs w:val="24"/>
        </w:rPr>
        <w:t xml:space="preserve"> er rapporteret med </w:t>
      </w:r>
      <w:proofErr w:type="spellStart"/>
      <w:r w:rsidRPr="0071601B">
        <w:rPr>
          <w:sz w:val="24"/>
          <w:szCs w:val="24"/>
        </w:rPr>
        <w:t>entacapon</w:t>
      </w:r>
      <w:proofErr w:type="spellEnd"/>
      <w:r w:rsidRPr="0071601B">
        <w:rPr>
          <w:sz w:val="24"/>
          <w:szCs w:val="24"/>
        </w:rPr>
        <w:t xml:space="preserve"> (sandsynligvis pga. hæmmet nedbrydning af noradrenalin) og samtidig administration bør undgås. En lignende interaktion kan forventes med </w:t>
      </w:r>
      <w:proofErr w:type="spellStart"/>
      <w:r w:rsidRPr="0071601B">
        <w:rPr>
          <w:sz w:val="24"/>
          <w:szCs w:val="24"/>
        </w:rPr>
        <w:t>tolcapon</w:t>
      </w:r>
      <w:proofErr w:type="spellEnd"/>
      <w:r w:rsidRPr="0071601B">
        <w:rPr>
          <w:sz w:val="24"/>
          <w:szCs w:val="24"/>
        </w:rPr>
        <w:t>.</w:t>
      </w:r>
    </w:p>
    <w:p w14:paraId="73E0E2F6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156FE4FD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Theophyllin</w:t>
      </w:r>
      <w:proofErr w:type="spellEnd"/>
    </w:p>
    <w:p w14:paraId="00B08DDD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Samtidig administration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og </w:t>
      </w:r>
      <w:proofErr w:type="spellStart"/>
      <w:r w:rsidRPr="0071601B">
        <w:rPr>
          <w:sz w:val="24"/>
          <w:szCs w:val="24"/>
        </w:rPr>
        <w:t>theophyllin</w:t>
      </w:r>
      <w:proofErr w:type="spellEnd"/>
      <w:r w:rsidRPr="0071601B">
        <w:rPr>
          <w:sz w:val="24"/>
          <w:szCs w:val="24"/>
        </w:rPr>
        <w:t xml:space="preserve"> kan medføre søvnløshed, nervøsitet og </w:t>
      </w:r>
      <w:proofErr w:type="spellStart"/>
      <w:r w:rsidRPr="0071601B">
        <w:rPr>
          <w:sz w:val="24"/>
          <w:szCs w:val="24"/>
        </w:rPr>
        <w:t>gastrointestinale</w:t>
      </w:r>
      <w:proofErr w:type="spellEnd"/>
      <w:r w:rsidRPr="0071601B">
        <w:rPr>
          <w:sz w:val="24"/>
          <w:szCs w:val="24"/>
        </w:rPr>
        <w:t xml:space="preserve"> problemer.</w:t>
      </w:r>
    </w:p>
    <w:p w14:paraId="103F037F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5C75D90E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Clonidin</w:t>
      </w:r>
      <w:proofErr w:type="spellEnd"/>
    </w:p>
    <w:p w14:paraId="3014E316" w14:textId="2F1B870A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Der er øget blodtryksrespons over</w:t>
      </w:r>
      <w:r w:rsidR="00DF5835">
        <w:rPr>
          <w:sz w:val="24"/>
          <w:szCs w:val="24"/>
        </w:rPr>
        <w:t xml:space="preserve"> </w:t>
      </w:r>
      <w:r w:rsidRPr="0071601B">
        <w:rPr>
          <w:sz w:val="24"/>
          <w:szCs w:val="24"/>
        </w:rPr>
        <w:t xml:space="preserve">for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hos patienter, der allerede er behandlet med </w:t>
      </w:r>
      <w:proofErr w:type="spellStart"/>
      <w:r w:rsidRPr="0071601B">
        <w:rPr>
          <w:sz w:val="24"/>
          <w:szCs w:val="24"/>
        </w:rPr>
        <w:t>clonidin</w:t>
      </w:r>
      <w:proofErr w:type="spellEnd"/>
      <w:r w:rsidRPr="0071601B">
        <w:rPr>
          <w:sz w:val="24"/>
          <w:szCs w:val="24"/>
        </w:rPr>
        <w:t>.</w:t>
      </w:r>
    </w:p>
    <w:p w14:paraId="2C58A1DA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5F460062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Kortikosteroider</w:t>
      </w:r>
      <w:proofErr w:type="spellEnd"/>
    </w:p>
    <w:p w14:paraId="1B89A7CA" w14:textId="77777777" w:rsidR="00A554E5" w:rsidRPr="0071601B" w:rsidRDefault="00A554E5" w:rsidP="0071601B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har vist sig at øge </w:t>
      </w:r>
      <w:proofErr w:type="spellStart"/>
      <w:r w:rsidRPr="0071601B">
        <w:rPr>
          <w:sz w:val="24"/>
          <w:szCs w:val="24"/>
        </w:rPr>
        <w:t>clearance</w:t>
      </w:r>
      <w:proofErr w:type="spellEnd"/>
      <w:r w:rsidRPr="0071601B">
        <w:rPr>
          <w:sz w:val="24"/>
          <w:szCs w:val="24"/>
        </w:rPr>
        <w:t xml:space="preserve"> af </w:t>
      </w:r>
      <w:proofErr w:type="spellStart"/>
      <w:r w:rsidRPr="0071601B">
        <w:rPr>
          <w:sz w:val="24"/>
          <w:szCs w:val="24"/>
        </w:rPr>
        <w:t>dexamethason</w:t>
      </w:r>
      <w:proofErr w:type="spellEnd"/>
      <w:r w:rsidRPr="0071601B">
        <w:rPr>
          <w:sz w:val="24"/>
          <w:szCs w:val="24"/>
        </w:rPr>
        <w:t xml:space="preserve">. Den potentielle indvirkning på effekten af </w:t>
      </w:r>
      <w:proofErr w:type="spellStart"/>
      <w:r w:rsidRPr="0071601B">
        <w:rPr>
          <w:sz w:val="24"/>
          <w:szCs w:val="24"/>
        </w:rPr>
        <w:t>dexamethason</w:t>
      </w:r>
      <w:proofErr w:type="spellEnd"/>
      <w:r w:rsidRPr="0071601B">
        <w:rPr>
          <w:sz w:val="24"/>
          <w:szCs w:val="24"/>
        </w:rPr>
        <w:t xml:space="preserve"> skal monitoreres, og dosis skal justeres, når det er relevant.</w:t>
      </w:r>
    </w:p>
    <w:p w14:paraId="0AF6B159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34FE6951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Antihypertensiva</w:t>
      </w:r>
      <w:proofErr w:type="spellEnd"/>
    </w:p>
    <w:p w14:paraId="1F1B14EE" w14:textId="77777777" w:rsidR="00A554E5" w:rsidRPr="0071601B" w:rsidRDefault="00A554E5" w:rsidP="0071601B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kan modvirke effekten af alfa- og betablokkere.</w:t>
      </w:r>
    </w:p>
    <w:p w14:paraId="6CFEB364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023507BB" w14:textId="77777777" w:rsidR="00A554E5" w:rsidRPr="0071601B" w:rsidRDefault="00A554E5" w:rsidP="0071601B">
      <w:pPr>
        <w:ind w:left="851"/>
        <w:rPr>
          <w:i/>
          <w:sz w:val="24"/>
          <w:szCs w:val="24"/>
        </w:rPr>
      </w:pPr>
      <w:proofErr w:type="spellStart"/>
      <w:r w:rsidRPr="0071601B">
        <w:rPr>
          <w:i/>
          <w:sz w:val="24"/>
          <w:szCs w:val="24"/>
        </w:rPr>
        <w:t>Oxytocin</w:t>
      </w:r>
      <w:proofErr w:type="spellEnd"/>
    </w:p>
    <w:p w14:paraId="477642E9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Kan medføre </w:t>
      </w:r>
      <w:proofErr w:type="spellStart"/>
      <w:r w:rsidRPr="0071601B">
        <w:rPr>
          <w:sz w:val="24"/>
          <w:szCs w:val="24"/>
        </w:rPr>
        <w:t>hypertension</w:t>
      </w:r>
      <w:proofErr w:type="spellEnd"/>
      <w:r w:rsidRPr="0071601B">
        <w:rPr>
          <w:sz w:val="24"/>
          <w:szCs w:val="24"/>
        </w:rPr>
        <w:t xml:space="preserve"> ved at forstærke </w:t>
      </w:r>
      <w:proofErr w:type="spellStart"/>
      <w:r w:rsidRPr="0071601B">
        <w:rPr>
          <w:sz w:val="24"/>
          <w:szCs w:val="24"/>
        </w:rPr>
        <w:t>pressoreffekten</w:t>
      </w:r>
      <w:proofErr w:type="spellEnd"/>
      <w:r w:rsidRPr="0071601B">
        <w:rPr>
          <w:sz w:val="24"/>
          <w:szCs w:val="24"/>
        </w:rPr>
        <w:t xml:space="preserve"> af karkontraherende </w:t>
      </w:r>
      <w:proofErr w:type="spellStart"/>
      <w:r w:rsidRPr="0071601B">
        <w:rPr>
          <w:sz w:val="24"/>
          <w:szCs w:val="24"/>
        </w:rPr>
        <w:t>sympatomimetika</w:t>
      </w:r>
      <w:proofErr w:type="spellEnd"/>
      <w:r w:rsidRPr="0071601B">
        <w:rPr>
          <w:sz w:val="24"/>
          <w:szCs w:val="24"/>
        </w:rPr>
        <w:t xml:space="preserve"> såsom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>.</w:t>
      </w:r>
    </w:p>
    <w:p w14:paraId="259D134E" w14:textId="4E184B12" w:rsidR="00DF5835" w:rsidRDefault="00DF58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1504D379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5FA4C03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4.6</w:t>
      </w:r>
      <w:r w:rsidRPr="0071601B">
        <w:rPr>
          <w:b/>
          <w:sz w:val="24"/>
          <w:szCs w:val="24"/>
        </w:rPr>
        <w:tab/>
        <w:t>Graviditet og amning</w:t>
      </w:r>
    </w:p>
    <w:p w14:paraId="7CD4A5F8" w14:textId="77777777" w:rsidR="0071601B" w:rsidRDefault="0071601B" w:rsidP="005E198E">
      <w:pPr>
        <w:ind w:left="851"/>
        <w:rPr>
          <w:noProof/>
          <w:sz w:val="24"/>
          <w:szCs w:val="24"/>
        </w:rPr>
      </w:pPr>
    </w:p>
    <w:p w14:paraId="41154594" w14:textId="77777777" w:rsidR="00A554E5" w:rsidRPr="0071601B" w:rsidRDefault="00A554E5" w:rsidP="005E198E">
      <w:pPr>
        <w:ind w:left="851"/>
        <w:rPr>
          <w:noProof/>
          <w:sz w:val="24"/>
          <w:szCs w:val="24"/>
          <w:u w:val="single"/>
        </w:rPr>
      </w:pPr>
      <w:r w:rsidRPr="0071601B">
        <w:rPr>
          <w:noProof/>
          <w:sz w:val="24"/>
          <w:szCs w:val="24"/>
          <w:u w:val="single"/>
        </w:rPr>
        <w:t>Graviditet</w:t>
      </w:r>
    </w:p>
    <w:p w14:paraId="681B0B0A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Der er ingen eller utilstrækkelige data fra anvendelse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til gravide kvinder.</w:t>
      </w:r>
    </w:p>
    <w:p w14:paraId="70837B63" w14:textId="77777777" w:rsidR="00A554E5" w:rsidRPr="0071601B" w:rsidRDefault="00A554E5" w:rsidP="005E198E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bør ikke anvendes under graviditeten, medmindre moderens kliniske tilstand kræver behandling med det.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passerer placenta, og dette har været forbundet med en øget </w:t>
      </w:r>
      <w:proofErr w:type="spellStart"/>
      <w:r w:rsidRPr="0071601B">
        <w:rPr>
          <w:sz w:val="24"/>
          <w:szCs w:val="24"/>
        </w:rPr>
        <w:t>føtalhjertefrekvens</w:t>
      </w:r>
      <w:proofErr w:type="spellEnd"/>
      <w:r w:rsidRPr="0071601B">
        <w:rPr>
          <w:sz w:val="24"/>
          <w:szCs w:val="24"/>
        </w:rPr>
        <w:t xml:space="preserve"> og variation i hjerteslag.</w:t>
      </w:r>
    </w:p>
    <w:p w14:paraId="7F216F5C" w14:textId="77777777" w:rsidR="00A554E5" w:rsidRPr="0071601B" w:rsidRDefault="00A554E5" w:rsidP="005E198E">
      <w:pPr>
        <w:ind w:left="851"/>
        <w:rPr>
          <w:sz w:val="24"/>
          <w:szCs w:val="24"/>
        </w:rPr>
      </w:pPr>
    </w:p>
    <w:p w14:paraId="40BA19ED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I forbindelse med kejsersnit kan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anvendes til forebyggelse af </w:t>
      </w:r>
      <w:proofErr w:type="spellStart"/>
      <w:r w:rsidRPr="0071601B">
        <w:rPr>
          <w:sz w:val="24"/>
          <w:szCs w:val="24"/>
        </w:rPr>
        <w:t>hypotension</w:t>
      </w:r>
      <w:proofErr w:type="spellEnd"/>
      <w:r w:rsidRPr="0071601B">
        <w:rPr>
          <w:sz w:val="24"/>
          <w:szCs w:val="24"/>
        </w:rPr>
        <w:t xml:space="preserve"> forårsaget af spinal anæstesi. Der er observeret </w:t>
      </w:r>
      <w:proofErr w:type="spellStart"/>
      <w:r w:rsidRPr="0071601B">
        <w:rPr>
          <w:sz w:val="24"/>
          <w:szCs w:val="24"/>
        </w:rPr>
        <w:t>føtal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acidose</w:t>
      </w:r>
      <w:proofErr w:type="spellEnd"/>
      <w:r w:rsidRPr="0071601B">
        <w:rPr>
          <w:sz w:val="24"/>
          <w:szCs w:val="24"/>
        </w:rPr>
        <w:t xml:space="preserve"> i forbindelse med brug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. Dette blev imidlertid ikke omsat til skadelige virkninger på neonatale resultater afspejlet i </w:t>
      </w:r>
      <w:proofErr w:type="spellStart"/>
      <w:r w:rsidRPr="0071601B">
        <w:rPr>
          <w:sz w:val="24"/>
          <w:szCs w:val="24"/>
        </w:rPr>
        <w:t>Apgar</w:t>
      </w:r>
      <w:proofErr w:type="spellEnd"/>
      <w:r w:rsidRPr="0071601B">
        <w:rPr>
          <w:sz w:val="24"/>
          <w:szCs w:val="24"/>
        </w:rPr>
        <w:t xml:space="preserve"> score.</w:t>
      </w:r>
    </w:p>
    <w:p w14:paraId="3E817C87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Eftersom </w:t>
      </w:r>
      <w:proofErr w:type="spellStart"/>
      <w:r w:rsidRPr="0071601B">
        <w:rPr>
          <w:sz w:val="24"/>
          <w:szCs w:val="24"/>
        </w:rPr>
        <w:t>parenteral</w:t>
      </w:r>
      <w:proofErr w:type="spellEnd"/>
      <w:r w:rsidRPr="0071601B">
        <w:rPr>
          <w:sz w:val="24"/>
          <w:szCs w:val="24"/>
        </w:rPr>
        <w:t xml:space="preserve"> indgivelse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kan medføre acceleration af fostrets hjertefrekvens, bør præparatet ikke anvendes, når moderens blodtryk overstiger 130/80 </w:t>
      </w:r>
      <w:proofErr w:type="spellStart"/>
      <w:r w:rsidRPr="0071601B">
        <w:rPr>
          <w:sz w:val="24"/>
          <w:szCs w:val="24"/>
        </w:rPr>
        <w:t>mmHg</w:t>
      </w:r>
      <w:proofErr w:type="spellEnd"/>
      <w:r w:rsidRPr="0071601B">
        <w:rPr>
          <w:sz w:val="24"/>
          <w:szCs w:val="24"/>
        </w:rPr>
        <w:t xml:space="preserve">. </w:t>
      </w:r>
    </w:p>
    <w:p w14:paraId="0893224F" w14:textId="77777777" w:rsidR="00A554E5" w:rsidRPr="0071601B" w:rsidRDefault="00A554E5" w:rsidP="005E198E">
      <w:pPr>
        <w:ind w:left="851"/>
        <w:rPr>
          <w:sz w:val="24"/>
          <w:szCs w:val="24"/>
        </w:rPr>
      </w:pPr>
    </w:p>
    <w:p w14:paraId="0F97ED52" w14:textId="77777777" w:rsidR="00A554E5" w:rsidRPr="0071601B" w:rsidRDefault="00A554E5" w:rsidP="005E198E">
      <w:pPr>
        <w:ind w:left="851"/>
        <w:rPr>
          <w:noProof/>
          <w:sz w:val="24"/>
          <w:szCs w:val="24"/>
          <w:u w:val="single"/>
        </w:rPr>
      </w:pPr>
      <w:r w:rsidRPr="0071601B">
        <w:rPr>
          <w:noProof/>
          <w:sz w:val="24"/>
          <w:szCs w:val="24"/>
          <w:u w:val="single"/>
        </w:rPr>
        <w:t>Amning</w:t>
      </w:r>
    </w:p>
    <w:p w14:paraId="5278143E" w14:textId="77777777" w:rsidR="00A554E5" w:rsidRPr="0071601B" w:rsidRDefault="00A554E5" w:rsidP="005E198E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udskilles i modermælken, og derfor skal amningen stilles i bero i 2 dage efter indgivelsen. Irritabilitet og forstyrret søvnmønster er rapporteret hos ammede børn.</w:t>
      </w:r>
    </w:p>
    <w:p w14:paraId="63AD63DD" w14:textId="77777777" w:rsidR="00A554E5" w:rsidRPr="0071601B" w:rsidRDefault="00A554E5" w:rsidP="005E198E">
      <w:pPr>
        <w:ind w:left="851"/>
        <w:rPr>
          <w:sz w:val="24"/>
          <w:szCs w:val="24"/>
        </w:rPr>
      </w:pPr>
    </w:p>
    <w:p w14:paraId="0DDD1138" w14:textId="77777777" w:rsidR="00A554E5" w:rsidRPr="0071601B" w:rsidRDefault="00A554E5" w:rsidP="005E198E">
      <w:pPr>
        <w:ind w:left="851"/>
        <w:rPr>
          <w:noProof/>
          <w:sz w:val="24"/>
          <w:szCs w:val="24"/>
          <w:u w:val="single"/>
        </w:rPr>
      </w:pPr>
      <w:r w:rsidRPr="0071601B">
        <w:rPr>
          <w:noProof/>
          <w:sz w:val="24"/>
          <w:szCs w:val="24"/>
          <w:u w:val="single"/>
        </w:rPr>
        <w:t>Fertilitet</w:t>
      </w:r>
    </w:p>
    <w:p w14:paraId="74EA5573" w14:textId="77777777" w:rsidR="00A554E5" w:rsidRPr="0071601B" w:rsidRDefault="00A554E5" w:rsidP="005E198E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Data fra dyreforsøg er utilstrækkelige, hvad angår effekt på fertilitet (se pkt. 5.3).</w:t>
      </w:r>
    </w:p>
    <w:p w14:paraId="262B7870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CB834E8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4.7</w:t>
      </w:r>
      <w:r w:rsidRPr="0071601B">
        <w:rPr>
          <w:b/>
          <w:sz w:val="24"/>
          <w:szCs w:val="24"/>
        </w:rPr>
        <w:tab/>
        <w:t>Virkninger på evnen til at føre motorkøretøj eller betjene maskiner</w:t>
      </w:r>
    </w:p>
    <w:p w14:paraId="29440A56" w14:textId="77777777" w:rsidR="00A554E5" w:rsidRPr="0071601B" w:rsidRDefault="00A554E5" w:rsidP="005E198E">
      <w:pPr>
        <w:pStyle w:val="Brdtekst"/>
        <w:ind w:left="851"/>
        <w:rPr>
          <w:rFonts w:cs="Times New Roman"/>
          <w:sz w:val="24"/>
          <w:szCs w:val="24"/>
        </w:rPr>
      </w:pPr>
      <w:r w:rsidRPr="0071601B">
        <w:rPr>
          <w:rFonts w:cs="Times New Roman"/>
          <w:sz w:val="24"/>
          <w:szCs w:val="24"/>
        </w:rPr>
        <w:t>Ikke mærkning.</w:t>
      </w:r>
    </w:p>
    <w:p w14:paraId="324D4023" w14:textId="77777777" w:rsidR="00A554E5" w:rsidRPr="0071601B" w:rsidRDefault="00A554E5" w:rsidP="005E198E">
      <w:pPr>
        <w:pStyle w:val="Brdtekst"/>
        <w:ind w:left="851" w:hanging="851"/>
        <w:rPr>
          <w:rFonts w:cs="Times New Roman"/>
          <w:sz w:val="24"/>
          <w:szCs w:val="24"/>
        </w:rPr>
      </w:pPr>
    </w:p>
    <w:p w14:paraId="58A24FB6" w14:textId="77777777" w:rsidR="00A554E5" w:rsidRPr="0071601B" w:rsidRDefault="00A554E5" w:rsidP="005E198E">
      <w:pPr>
        <w:pStyle w:val="Brdtekst"/>
        <w:ind w:left="851"/>
        <w:rPr>
          <w:rFonts w:cs="Times New Roman"/>
          <w:sz w:val="24"/>
          <w:szCs w:val="24"/>
        </w:rPr>
      </w:pPr>
      <w:r w:rsidRPr="0071601B">
        <w:rPr>
          <w:rFonts w:cs="Times New Roman"/>
          <w:sz w:val="24"/>
          <w:szCs w:val="24"/>
        </w:rPr>
        <w:t>Ikke relevant.</w:t>
      </w:r>
    </w:p>
    <w:p w14:paraId="34C82625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D6C38F9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4.8</w:t>
      </w:r>
      <w:r w:rsidRPr="0071601B">
        <w:rPr>
          <w:b/>
          <w:sz w:val="24"/>
          <w:szCs w:val="24"/>
        </w:rPr>
        <w:tab/>
        <w:t>Bivirkninger</w:t>
      </w:r>
    </w:p>
    <w:p w14:paraId="6C0C4D0E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Bivirkningerne anføres i henhold til følgende definition af hyppighed: </w:t>
      </w:r>
    </w:p>
    <w:p w14:paraId="2EF4F7FD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06DA7FF4" w14:textId="77777777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Meget almindelig (≥1/10); Almindelig (≥1/100, &lt;1/10); Ikke almindelig (≥1/1,000, &lt;1/100); Sjælden: (≥1/10.000, &lt;1/1.000); Meget sjælden (&lt;1/10.000); Ikke kendt (kan ikke estimeres ud fra forhåndenværende data).</w:t>
      </w:r>
    </w:p>
    <w:p w14:paraId="076B5B5B" w14:textId="77777777" w:rsidR="00A554E5" w:rsidRPr="0071601B" w:rsidRDefault="00A554E5" w:rsidP="0071601B">
      <w:pPr>
        <w:ind w:left="851"/>
        <w:rPr>
          <w:sz w:val="24"/>
          <w:szCs w:val="24"/>
        </w:rPr>
      </w:pPr>
    </w:p>
    <w:p w14:paraId="3C9C6FE0" w14:textId="218FC063" w:rsidR="00A554E5" w:rsidRPr="0071601B" w:rsidRDefault="00A554E5" w:rsidP="0071601B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Tabuleret liste over bivirkninger, der vides at være forbundet med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>:</w:t>
      </w:r>
    </w:p>
    <w:p w14:paraId="587CB898" w14:textId="77777777" w:rsidR="00A554E5" w:rsidRPr="0071601B" w:rsidRDefault="00A554E5" w:rsidP="005E198E">
      <w:pPr>
        <w:rPr>
          <w:sz w:val="24"/>
          <w:szCs w:val="24"/>
        </w:rPr>
      </w:pP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3050"/>
        <w:gridCol w:w="4824"/>
        <w:gridCol w:w="1754"/>
      </w:tblGrid>
      <w:tr w:rsidR="00A554E5" w:rsidRPr="0071601B" w14:paraId="27F4A1ED" w14:textId="77777777" w:rsidTr="005E198E">
        <w:trPr>
          <w:tblHeader/>
        </w:trPr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7F5A" w14:textId="77777777" w:rsidR="00A554E5" w:rsidRPr="0071601B" w:rsidRDefault="00A554E5" w:rsidP="005E198E">
            <w:pP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Systemorganklasser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7B43" w14:textId="77777777" w:rsidR="00A554E5" w:rsidRPr="0071601B" w:rsidRDefault="00A554E5" w:rsidP="005E198E">
            <w:pP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Bivirkninger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16B77" w14:textId="77777777" w:rsidR="00A554E5" w:rsidRPr="0071601B" w:rsidRDefault="00A554E5" w:rsidP="005E198E">
            <w:pPr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b/>
                <w:sz w:val="24"/>
                <w:szCs w:val="24"/>
                <w:lang w:val="da-DK"/>
              </w:rPr>
              <w:t>Frekvens</w:t>
            </w:r>
          </w:p>
        </w:tc>
      </w:tr>
      <w:tr w:rsidR="00A554E5" w:rsidRPr="0071601B" w14:paraId="7BEA39EA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D7F0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Immunsystemet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D0008" w14:textId="6F6B7A3C" w:rsidR="00A554E5" w:rsidRPr="0071601B" w:rsidRDefault="00CB1A61" w:rsidP="00CB1A61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verfølsomhed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717D7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30361DE0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3BCC9A8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Psykiske forstyrrelser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1116A" w14:textId="0CDD283C" w:rsidR="00A554E5" w:rsidRPr="0071601B" w:rsidRDefault="00CB1A61" w:rsidP="00CB1A61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F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orvirring, angst, depression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5F21D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</w:tr>
      <w:tr w:rsidR="00A554E5" w:rsidRPr="0071601B" w14:paraId="027CEC75" w14:textId="77777777" w:rsidTr="005E198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DDF6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FA10" w14:textId="63E39328" w:rsidR="00A554E5" w:rsidRPr="0071601B" w:rsidRDefault="00CB1A61" w:rsidP="00CB1A61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sykotiske tilstande, frygt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D0D88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5018090D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D87F403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Nervesystemet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8D0B7" w14:textId="607D1487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ervøsitet, irritabilitet, rastløshed, svaghed, søvnløshed, hovedpine, øget svedtendens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BBABE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</w:tr>
      <w:tr w:rsidR="00A554E5" w:rsidRPr="0071601B" w14:paraId="6B1A09D4" w14:textId="77777777" w:rsidTr="005E198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025A4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F052" w14:textId="68A19F8D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remor</w:t>
            </w:r>
            <w:proofErr w:type="spellEnd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øget spytsekretion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81A3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5E06ECFA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7EC05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Øjne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6C23" w14:textId="1F47F714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pisoder med snæverviklet </w:t>
            </w:r>
            <w:proofErr w:type="spellStart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glaukom</w:t>
            </w:r>
            <w:proofErr w:type="spellEnd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 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F38E8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43C31424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BE24B6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da-DK"/>
              </w:rPr>
              <w:t>Hjerte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378D" w14:textId="3EA07E22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P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alpitationer</w:t>
            </w:r>
            <w:proofErr w:type="spellEnd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hypertension</w:t>
            </w:r>
            <w:proofErr w:type="spellEnd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</w:t>
            </w:r>
            <w:proofErr w:type="spellStart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takykardi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70978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</w:tr>
      <w:tr w:rsidR="00A554E5" w:rsidRPr="0071601B" w14:paraId="32D8E153" w14:textId="77777777" w:rsidTr="005E198E">
        <w:tc>
          <w:tcPr>
            <w:tcW w:w="1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E870DC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8236" w14:textId="47AD4908" w:rsidR="00A554E5" w:rsidRPr="0071601B" w:rsidRDefault="00CB1A61" w:rsidP="00CB1A61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jertearytmier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626BB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Sjælden</w:t>
            </w:r>
          </w:p>
        </w:tc>
      </w:tr>
      <w:tr w:rsidR="00A554E5" w:rsidRPr="0071601B" w14:paraId="5073F56B" w14:textId="77777777" w:rsidTr="005E198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FDB3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99FFC" w14:textId="303052E2" w:rsidR="00A554E5" w:rsidRPr="0071601B" w:rsidRDefault="00CB1A61" w:rsidP="00CB1A61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ngina pectoris, </w:t>
            </w:r>
            <w:proofErr w:type="spellStart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refleksbradykardi</w:t>
            </w:r>
            <w:proofErr w:type="spellEnd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 xml:space="preserve">, hjertestop, </w:t>
            </w:r>
            <w:proofErr w:type="spellStart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hypotension</w:t>
            </w:r>
            <w:proofErr w:type="spellEnd"/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B45DC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637E5FC6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AE450" w14:textId="77777777" w:rsidR="00A554E5" w:rsidRPr="0071601B" w:rsidRDefault="00A554E5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Vaskulære sygdomme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58DC1" w14:textId="16AEDBB0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jerneblødning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03E6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736783B8" w14:textId="77777777" w:rsidTr="005E198E"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2B3D" w14:textId="77777777" w:rsidR="00A554E5" w:rsidRPr="0071601B" w:rsidRDefault="00A554E5" w:rsidP="005E19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lastRenderedPageBreak/>
              <w:t xml:space="preserve">Luftveje, thorax og mediastinum  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083C0" w14:textId="137812E5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D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yspnø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2642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</w:tr>
      <w:tr w:rsidR="00A554E5" w:rsidRPr="0071601B" w14:paraId="0C708343" w14:textId="77777777" w:rsidTr="005E198E"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53090" w14:textId="77777777" w:rsidR="00A554E5" w:rsidRPr="0071601B" w:rsidRDefault="00A554E5" w:rsidP="005E19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4F4EE" w14:textId="543D5274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L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ungeødem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2887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79C39902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684801" w14:textId="77777777" w:rsidR="00A554E5" w:rsidRPr="0071601B" w:rsidRDefault="00A554E5" w:rsidP="005E19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Mave-tarm-kanalen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1DB6" w14:textId="0B2359DD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valme, opkastning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B6AC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Almindelig</w:t>
            </w:r>
          </w:p>
        </w:tc>
      </w:tr>
      <w:tr w:rsidR="00A554E5" w:rsidRPr="0071601B" w14:paraId="21B31FB4" w14:textId="77777777" w:rsidTr="005E198E">
        <w:tc>
          <w:tcPr>
            <w:tcW w:w="1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C83A" w14:textId="77777777" w:rsidR="00A554E5" w:rsidRPr="0071601B" w:rsidRDefault="00A554E5" w:rsidP="005E19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B457F" w14:textId="07E30627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N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edsat appetit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5C63E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  <w:tr w:rsidR="00A554E5" w:rsidRPr="0071601B" w14:paraId="012BC783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3F482" w14:textId="77777777" w:rsidR="00A554E5" w:rsidRPr="0071601B" w:rsidRDefault="00A554E5" w:rsidP="005E19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  <w:t>Nyrer og urinveje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8214E" w14:textId="76AAD233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A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kut urinretention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6D67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Sjælden</w:t>
            </w:r>
          </w:p>
        </w:tc>
      </w:tr>
      <w:tr w:rsidR="00A554E5" w:rsidRPr="0071601B" w14:paraId="19DD7A1D" w14:textId="77777777" w:rsidTr="005E198E"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19DD2" w14:textId="77777777" w:rsidR="00A554E5" w:rsidRPr="0071601B" w:rsidRDefault="00A554E5" w:rsidP="005E198E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da-DK"/>
              </w:rPr>
              <w:t>Undersøgelser</w:t>
            </w:r>
          </w:p>
        </w:tc>
        <w:tc>
          <w:tcPr>
            <w:tcW w:w="2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41BA" w14:textId="76D92852" w:rsidR="00A554E5" w:rsidRPr="0071601B" w:rsidRDefault="00CB1A61" w:rsidP="005E198E">
            <w:pPr>
              <w:rPr>
                <w:rFonts w:ascii="Times New Roman" w:hAnsi="Times New Roman" w:cs="Times New Roman"/>
                <w:sz w:val="24"/>
                <w:szCs w:val="24"/>
                <w:lang w:val="da-DK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H</w:t>
            </w:r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ypokaliæmi</w:t>
            </w:r>
            <w:proofErr w:type="spellEnd"/>
            <w:r w:rsidR="00A554E5" w:rsidRPr="0071601B">
              <w:rPr>
                <w:rFonts w:ascii="Times New Roman" w:hAnsi="Times New Roman" w:cs="Times New Roman"/>
                <w:sz w:val="24"/>
                <w:szCs w:val="24"/>
                <w:lang w:val="da-DK"/>
              </w:rPr>
              <w:t>, ændringer i blodsukkerniveauer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66A01" w14:textId="77777777" w:rsidR="00A554E5" w:rsidRPr="0071601B" w:rsidRDefault="00A554E5" w:rsidP="005E198E">
            <w:pPr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</w:pPr>
            <w:r w:rsidRPr="0071601B">
              <w:rPr>
                <w:rFonts w:ascii="Times New Roman" w:hAnsi="Times New Roman" w:cs="Times New Roman"/>
                <w:i/>
                <w:sz w:val="24"/>
                <w:szCs w:val="24"/>
                <w:lang w:val="da-DK"/>
              </w:rPr>
              <w:t>Ikke kendt</w:t>
            </w:r>
          </w:p>
        </w:tc>
      </w:tr>
    </w:tbl>
    <w:p w14:paraId="60A26487" w14:textId="77777777" w:rsidR="00A554E5" w:rsidRPr="0071601B" w:rsidRDefault="00A554E5" w:rsidP="005E198E">
      <w:pPr>
        <w:pStyle w:val="Brdtekst"/>
        <w:ind w:left="851" w:hanging="851"/>
        <w:rPr>
          <w:rFonts w:cs="Times New Roman"/>
          <w:noProof/>
          <w:sz w:val="24"/>
          <w:szCs w:val="24"/>
        </w:rPr>
      </w:pPr>
    </w:p>
    <w:p w14:paraId="50F77F82" w14:textId="77777777" w:rsidR="00A554E5" w:rsidRPr="0071601B" w:rsidRDefault="00A554E5" w:rsidP="005E198E">
      <w:pPr>
        <w:ind w:left="851"/>
        <w:rPr>
          <w:noProof/>
          <w:sz w:val="24"/>
          <w:szCs w:val="24"/>
          <w:u w:val="single"/>
        </w:rPr>
      </w:pPr>
      <w:r w:rsidRPr="0071601B">
        <w:rPr>
          <w:noProof/>
          <w:sz w:val="24"/>
          <w:szCs w:val="24"/>
          <w:u w:val="single"/>
        </w:rPr>
        <w:t>Indberetning af formodede bivirkninger</w:t>
      </w:r>
    </w:p>
    <w:p w14:paraId="41E390B8" w14:textId="77777777" w:rsidR="00A554E5" w:rsidRPr="0071601B" w:rsidRDefault="00A554E5" w:rsidP="005E198E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>Når lægemidlet er godkendt, er indberetning af formodede bivirkninger vigtig.</w:t>
      </w:r>
      <w:r w:rsidRPr="0071601B">
        <w:rPr>
          <w:sz w:val="24"/>
          <w:szCs w:val="24"/>
        </w:rPr>
        <w:t xml:space="preserve"> </w:t>
      </w:r>
      <w:r w:rsidRPr="0071601B">
        <w:rPr>
          <w:noProof/>
          <w:sz w:val="24"/>
          <w:szCs w:val="24"/>
        </w:rPr>
        <w:t>Det muliggør løbende overvågning af benefit/risk-forholdet for lægemidlet.</w:t>
      </w:r>
      <w:r w:rsidRPr="0071601B">
        <w:rPr>
          <w:sz w:val="24"/>
          <w:szCs w:val="24"/>
        </w:rPr>
        <w:t xml:space="preserve"> </w:t>
      </w:r>
      <w:r w:rsidRPr="0071601B">
        <w:rPr>
          <w:noProof/>
          <w:sz w:val="24"/>
          <w:szCs w:val="24"/>
        </w:rPr>
        <w:t xml:space="preserve">Læger og sundhedspersonale anmodes om at indberette alle formodede bivirkninger via </w:t>
      </w:r>
    </w:p>
    <w:p w14:paraId="5233AB4C" w14:textId="77777777" w:rsidR="00A554E5" w:rsidRPr="0071601B" w:rsidRDefault="00A554E5" w:rsidP="005E198E">
      <w:pPr>
        <w:ind w:left="851"/>
        <w:rPr>
          <w:noProof/>
          <w:sz w:val="24"/>
          <w:szCs w:val="24"/>
        </w:rPr>
      </w:pPr>
    </w:p>
    <w:p w14:paraId="233F7540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Lægemiddelstyrelsen</w:t>
      </w:r>
    </w:p>
    <w:p w14:paraId="5481EEA4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Axel Heides Gade 1</w:t>
      </w:r>
    </w:p>
    <w:p w14:paraId="17ACF3FB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DK-2300 København S</w:t>
      </w:r>
    </w:p>
    <w:p w14:paraId="611894F6" w14:textId="77777777" w:rsidR="00A554E5" w:rsidRPr="0071601B" w:rsidRDefault="00A554E5" w:rsidP="005E198E">
      <w:pPr>
        <w:ind w:left="851"/>
        <w:rPr>
          <w:sz w:val="24"/>
          <w:szCs w:val="24"/>
          <w:lang w:val="en-US"/>
        </w:rPr>
      </w:pPr>
      <w:proofErr w:type="spellStart"/>
      <w:r w:rsidRPr="0071601B">
        <w:rPr>
          <w:sz w:val="24"/>
          <w:szCs w:val="24"/>
          <w:lang w:val="en-US"/>
        </w:rPr>
        <w:t>Websted</w:t>
      </w:r>
      <w:proofErr w:type="spellEnd"/>
      <w:r w:rsidRPr="0071601B">
        <w:rPr>
          <w:sz w:val="24"/>
          <w:szCs w:val="24"/>
          <w:lang w:val="en-US"/>
        </w:rPr>
        <w:t xml:space="preserve">: </w:t>
      </w:r>
      <w:hyperlink r:id="rId8" w:history="1">
        <w:r w:rsidRPr="0071601B">
          <w:rPr>
            <w:rStyle w:val="Hyperlink"/>
            <w:color w:val="0000FF"/>
            <w:sz w:val="24"/>
            <w:szCs w:val="24"/>
            <w:lang w:val="en-US"/>
          </w:rPr>
          <w:t>www.meldenbivirkning.dk</w:t>
        </w:r>
      </w:hyperlink>
    </w:p>
    <w:p w14:paraId="071784BA" w14:textId="77777777" w:rsidR="00A554E5" w:rsidRPr="0071601B" w:rsidRDefault="00A554E5" w:rsidP="005E198E">
      <w:pPr>
        <w:ind w:left="851"/>
        <w:rPr>
          <w:rFonts w:eastAsia="Calibri"/>
          <w:noProof/>
          <w:color w:val="0000FF"/>
          <w:sz w:val="24"/>
          <w:szCs w:val="24"/>
          <w:lang w:val="en-US" w:eastAsia="zh-CN"/>
        </w:rPr>
      </w:pPr>
      <w:r w:rsidRPr="0071601B">
        <w:rPr>
          <w:sz w:val="24"/>
          <w:szCs w:val="24"/>
          <w:lang w:val="en-US"/>
        </w:rPr>
        <w:t xml:space="preserve">E-mail: </w:t>
      </w:r>
      <w:r w:rsidRPr="0071601B">
        <w:rPr>
          <w:color w:val="0000FF"/>
          <w:sz w:val="24"/>
          <w:szCs w:val="24"/>
          <w:lang w:val="en-US"/>
        </w:rPr>
        <w:t>dkma@dkma.dk</w:t>
      </w:r>
    </w:p>
    <w:p w14:paraId="1944683F" w14:textId="77777777" w:rsidR="009260DE" w:rsidRPr="0071601B" w:rsidRDefault="009260DE" w:rsidP="005E198E">
      <w:pPr>
        <w:pStyle w:val="Sidehoved"/>
        <w:tabs>
          <w:tab w:val="left" w:pos="851"/>
        </w:tabs>
        <w:ind w:left="851" w:hanging="851"/>
        <w:rPr>
          <w:szCs w:val="24"/>
          <w:lang w:val="en-US"/>
        </w:rPr>
      </w:pPr>
    </w:p>
    <w:p w14:paraId="70600B28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4.9</w:t>
      </w:r>
      <w:r w:rsidRPr="0071601B">
        <w:rPr>
          <w:b/>
          <w:sz w:val="24"/>
          <w:szCs w:val="24"/>
        </w:rPr>
        <w:tab/>
        <w:t>Overdosering</w:t>
      </w:r>
    </w:p>
    <w:p w14:paraId="4877609D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Symptomer på overdosering inkluderer kvalme, opkastning, feber, paranoid psykose, </w:t>
      </w:r>
      <w:proofErr w:type="spellStart"/>
      <w:r w:rsidRPr="0071601B">
        <w:rPr>
          <w:sz w:val="24"/>
          <w:szCs w:val="24"/>
        </w:rPr>
        <w:t>hjertearytmi</w:t>
      </w:r>
      <w:proofErr w:type="spellEnd"/>
      <w:r w:rsidRPr="0071601B">
        <w:rPr>
          <w:sz w:val="24"/>
          <w:szCs w:val="24"/>
        </w:rPr>
        <w:t xml:space="preserve"> såsom </w:t>
      </w:r>
      <w:proofErr w:type="spellStart"/>
      <w:r w:rsidRPr="0071601B">
        <w:rPr>
          <w:sz w:val="24"/>
          <w:szCs w:val="24"/>
        </w:rPr>
        <w:t>ventrikulær</w:t>
      </w:r>
      <w:proofErr w:type="spellEnd"/>
      <w:r w:rsidRPr="0071601B">
        <w:rPr>
          <w:sz w:val="24"/>
          <w:szCs w:val="24"/>
        </w:rPr>
        <w:t xml:space="preserve"> og </w:t>
      </w:r>
      <w:proofErr w:type="spellStart"/>
      <w:r w:rsidRPr="0071601B">
        <w:rPr>
          <w:sz w:val="24"/>
          <w:szCs w:val="24"/>
        </w:rPr>
        <w:t>supraventrikulær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takykardi</w:t>
      </w:r>
      <w:proofErr w:type="spellEnd"/>
      <w:r w:rsidRPr="0071601B">
        <w:rPr>
          <w:sz w:val="24"/>
          <w:szCs w:val="24"/>
        </w:rPr>
        <w:t xml:space="preserve">, </w:t>
      </w:r>
      <w:proofErr w:type="spellStart"/>
      <w:r w:rsidRPr="0071601B">
        <w:rPr>
          <w:sz w:val="24"/>
          <w:szCs w:val="24"/>
        </w:rPr>
        <w:t>hypertension</w:t>
      </w:r>
      <w:proofErr w:type="spellEnd"/>
      <w:r w:rsidRPr="0071601B">
        <w:rPr>
          <w:sz w:val="24"/>
          <w:szCs w:val="24"/>
        </w:rPr>
        <w:t xml:space="preserve">, respirationsdepression, kramper og koma. </w:t>
      </w:r>
    </w:p>
    <w:p w14:paraId="26C2515C" w14:textId="77777777" w:rsidR="00A554E5" w:rsidRPr="0071601B" w:rsidRDefault="00A554E5" w:rsidP="005E198E">
      <w:pPr>
        <w:ind w:left="851"/>
        <w:rPr>
          <w:sz w:val="24"/>
          <w:szCs w:val="24"/>
        </w:rPr>
      </w:pPr>
    </w:p>
    <w:p w14:paraId="07B80699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Dødelig dosis til mennesker er ca. 2 g, hvilket svarer til blodkoncentrationer på ca. 3,5-20 mg/l.</w:t>
      </w:r>
    </w:p>
    <w:p w14:paraId="39E1DCB2" w14:textId="77777777" w:rsidR="00A554E5" w:rsidRPr="0071601B" w:rsidRDefault="00A554E5" w:rsidP="005E198E">
      <w:pPr>
        <w:ind w:left="851"/>
        <w:rPr>
          <w:iCs/>
          <w:sz w:val="24"/>
          <w:szCs w:val="24"/>
        </w:rPr>
      </w:pPr>
    </w:p>
    <w:p w14:paraId="28DC6C96" w14:textId="77777777" w:rsidR="00A554E5" w:rsidRPr="0071601B" w:rsidRDefault="00A554E5" w:rsidP="005E198E">
      <w:pPr>
        <w:ind w:left="851"/>
        <w:rPr>
          <w:i/>
          <w:sz w:val="24"/>
          <w:szCs w:val="24"/>
        </w:rPr>
      </w:pPr>
      <w:r w:rsidRPr="0071601B">
        <w:rPr>
          <w:i/>
          <w:sz w:val="24"/>
          <w:szCs w:val="24"/>
        </w:rPr>
        <w:t>Behandling</w:t>
      </w:r>
    </w:p>
    <w:p w14:paraId="2B3E7AC1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Behandling af en overdosis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kan kræve intensiv understøttende behandling. En langsom intravenøs injektion af </w:t>
      </w:r>
      <w:proofErr w:type="spellStart"/>
      <w:r w:rsidRPr="0071601B">
        <w:rPr>
          <w:sz w:val="24"/>
          <w:szCs w:val="24"/>
        </w:rPr>
        <w:t>labetalol</w:t>
      </w:r>
      <w:proofErr w:type="spellEnd"/>
      <w:r w:rsidRPr="0071601B">
        <w:rPr>
          <w:sz w:val="24"/>
          <w:szCs w:val="24"/>
        </w:rPr>
        <w:t xml:space="preserve"> 50-200 mg kan gives under EKG-monitorering til behandling af </w:t>
      </w:r>
      <w:proofErr w:type="spellStart"/>
      <w:r w:rsidRPr="0071601B">
        <w:rPr>
          <w:sz w:val="24"/>
          <w:szCs w:val="24"/>
        </w:rPr>
        <w:t>supraventrikulær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takykardi</w:t>
      </w:r>
      <w:proofErr w:type="spellEnd"/>
      <w:r w:rsidRPr="0071601B">
        <w:rPr>
          <w:sz w:val="24"/>
          <w:szCs w:val="24"/>
        </w:rPr>
        <w:t xml:space="preserve">. </w:t>
      </w:r>
    </w:p>
    <w:p w14:paraId="16F803CD" w14:textId="77777777" w:rsidR="00A554E5" w:rsidRPr="0071601B" w:rsidRDefault="00A554E5" w:rsidP="005E198E">
      <w:pPr>
        <w:ind w:left="851"/>
        <w:rPr>
          <w:sz w:val="24"/>
          <w:szCs w:val="24"/>
        </w:rPr>
      </w:pPr>
    </w:p>
    <w:p w14:paraId="43B6801A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Alvorlig </w:t>
      </w:r>
      <w:proofErr w:type="spellStart"/>
      <w:r w:rsidRPr="0071601B">
        <w:rPr>
          <w:sz w:val="24"/>
          <w:szCs w:val="24"/>
        </w:rPr>
        <w:t>hypokaliæmi</w:t>
      </w:r>
      <w:proofErr w:type="spellEnd"/>
      <w:r w:rsidRPr="0071601B">
        <w:rPr>
          <w:sz w:val="24"/>
          <w:szCs w:val="24"/>
        </w:rPr>
        <w:t xml:space="preserve"> </w:t>
      </w:r>
      <w:proofErr w:type="gramStart"/>
      <w:r w:rsidRPr="0071601B">
        <w:rPr>
          <w:sz w:val="24"/>
          <w:szCs w:val="24"/>
        </w:rPr>
        <w:t>(&lt; 2</w:t>
      </w:r>
      <w:proofErr w:type="gramEnd"/>
      <w:r w:rsidRPr="0071601B">
        <w:rPr>
          <w:sz w:val="24"/>
          <w:szCs w:val="24"/>
        </w:rPr>
        <w:t xml:space="preserve">,8 mmol/1) pga. </w:t>
      </w:r>
      <w:proofErr w:type="spellStart"/>
      <w:r w:rsidRPr="0071601B">
        <w:rPr>
          <w:sz w:val="24"/>
          <w:szCs w:val="24"/>
        </w:rPr>
        <w:t>compartment</w:t>
      </w:r>
      <w:proofErr w:type="spellEnd"/>
      <w:r w:rsidRPr="0071601B">
        <w:rPr>
          <w:sz w:val="24"/>
          <w:szCs w:val="24"/>
        </w:rPr>
        <w:t xml:space="preserve">-skift af kalium disponerer for </w:t>
      </w:r>
      <w:proofErr w:type="spellStart"/>
      <w:r w:rsidRPr="0071601B">
        <w:rPr>
          <w:sz w:val="24"/>
          <w:szCs w:val="24"/>
        </w:rPr>
        <w:t>hjertearytmier</w:t>
      </w:r>
      <w:proofErr w:type="spellEnd"/>
      <w:r w:rsidRPr="0071601B">
        <w:rPr>
          <w:sz w:val="24"/>
          <w:szCs w:val="24"/>
        </w:rPr>
        <w:t xml:space="preserve"> og kan korrigeres ved at </w:t>
      </w:r>
      <w:proofErr w:type="spellStart"/>
      <w:r w:rsidRPr="0071601B">
        <w:rPr>
          <w:sz w:val="24"/>
          <w:szCs w:val="24"/>
        </w:rPr>
        <w:t>infundere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kaliumchlorid</w:t>
      </w:r>
      <w:proofErr w:type="spellEnd"/>
      <w:r w:rsidRPr="0071601B">
        <w:rPr>
          <w:sz w:val="24"/>
          <w:szCs w:val="24"/>
        </w:rPr>
        <w:t xml:space="preserve"> i tillæg til  </w:t>
      </w:r>
      <w:proofErr w:type="spellStart"/>
      <w:r w:rsidRPr="0071601B">
        <w:rPr>
          <w:sz w:val="24"/>
          <w:szCs w:val="24"/>
        </w:rPr>
        <w:t>propranolol</w:t>
      </w:r>
      <w:proofErr w:type="spellEnd"/>
      <w:r w:rsidRPr="0071601B">
        <w:rPr>
          <w:sz w:val="24"/>
          <w:szCs w:val="24"/>
        </w:rPr>
        <w:t xml:space="preserve">. </w:t>
      </w:r>
      <w:proofErr w:type="spellStart"/>
      <w:r w:rsidRPr="0071601B">
        <w:rPr>
          <w:sz w:val="24"/>
          <w:szCs w:val="24"/>
        </w:rPr>
        <w:t>Kaliumchlorid</w:t>
      </w:r>
      <w:proofErr w:type="spellEnd"/>
      <w:r w:rsidRPr="0071601B">
        <w:rPr>
          <w:sz w:val="24"/>
          <w:szCs w:val="24"/>
        </w:rPr>
        <w:t xml:space="preserve"> kan også anvendes til at korrigere </w:t>
      </w:r>
      <w:proofErr w:type="spellStart"/>
      <w:r w:rsidRPr="0071601B">
        <w:rPr>
          <w:sz w:val="24"/>
          <w:szCs w:val="24"/>
        </w:rPr>
        <w:t>respirationsalkalose</w:t>
      </w:r>
      <w:proofErr w:type="spellEnd"/>
      <w:r w:rsidRPr="0071601B">
        <w:rPr>
          <w:sz w:val="24"/>
          <w:szCs w:val="24"/>
        </w:rPr>
        <w:t>, når den er til stede.</w:t>
      </w:r>
    </w:p>
    <w:p w14:paraId="1814CC09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0E4249F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4.10</w:t>
      </w:r>
      <w:r w:rsidRPr="0071601B">
        <w:rPr>
          <w:b/>
          <w:sz w:val="24"/>
          <w:szCs w:val="24"/>
        </w:rPr>
        <w:tab/>
        <w:t>Udlevering</w:t>
      </w:r>
    </w:p>
    <w:p w14:paraId="7B5DE02B" w14:textId="07135E94" w:rsidR="009260DE" w:rsidRPr="0071601B" w:rsidRDefault="005E198E" w:rsidP="005E198E">
      <w:pPr>
        <w:tabs>
          <w:tab w:val="left" w:pos="851"/>
        </w:tabs>
        <w:ind w:left="851" w:hanging="851"/>
        <w:rPr>
          <w:sz w:val="24"/>
          <w:szCs w:val="24"/>
        </w:rPr>
      </w:pPr>
      <w:r w:rsidRPr="0071601B">
        <w:rPr>
          <w:sz w:val="24"/>
          <w:szCs w:val="24"/>
        </w:rPr>
        <w:tab/>
        <w:t>B</w:t>
      </w:r>
    </w:p>
    <w:p w14:paraId="5B6DCDED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E81E420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8197018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5.</w:t>
      </w:r>
      <w:r w:rsidRPr="0071601B">
        <w:rPr>
          <w:b/>
          <w:sz w:val="24"/>
          <w:szCs w:val="24"/>
        </w:rPr>
        <w:tab/>
        <w:t>FARMAKOLOGISKE EGENSKABER</w:t>
      </w:r>
    </w:p>
    <w:p w14:paraId="02EE4C12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AE9120E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5.0</w:t>
      </w:r>
      <w:r w:rsidRPr="0071601B">
        <w:rPr>
          <w:b/>
          <w:sz w:val="24"/>
          <w:szCs w:val="24"/>
        </w:rPr>
        <w:tab/>
        <w:t>Terapeutisk klassifikation</w:t>
      </w:r>
    </w:p>
    <w:p w14:paraId="58010B14" w14:textId="77777777" w:rsidR="00A554E5" w:rsidRPr="0071601B" w:rsidRDefault="00A554E5" w:rsidP="005E198E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ATC-kode: C 01 CA 26. </w:t>
      </w:r>
      <w:proofErr w:type="spellStart"/>
      <w:r w:rsidRPr="0071601B">
        <w:rPr>
          <w:sz w:val="24"/>
          <w:szCs w:val="24"/>
        </w:rPr>
        <w:t>Adrenerge</w:t>
      </w:r>
      <w:proofErr w:type="spellEnd"/>
      <w:r w:rsidRPr="0071601B">
        <w:rPr>
          <w:sz w:val="24"/>
          <w:szCs w:val="24"/>
        </w:rPr>
        <w:t xml:space="preserve"> og </w:t>
      </w:r>
      <w:proofErr w:type="spellStart"/>
      <w:r w:rsidRPr="0071601B">
        <w:rPr>
          <w:sz w:val="24"/>
          <w:szCs w:val="24"/>
        </w:rPr>
        <w:t>dopaminerge</w:t>
      </w:r>
      <w:proofErr w:type="spellEnd"/>
      <w:r w:rsidRPr="0071601B">
        <w:rPr>
          <w:sz w:val="24"/>
          <w:szCs w:val="24"/>
        </w:rPr>
        <w:t xml:space="preserve"> stoffer</w:t>
      </w:r>
    </w:p>
    <w:p w14:paraId="311CB19C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4D68D65" w14:textId="77777777" w:rsidR="009260DE" w:rsidRPr="0071601B" w:rsidRDefault="009260DE" w:rsidP="005E198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5.1</w:t>
      </w:r>
      <w:r w:rsidRPr="0071601B">
        <w:rPr>
          <w:b/>
          <w:sz w:val="24"/>
          <w:szCs w:val="24"/>
        </w:rPr>
        <w:tab/>
      </w:r>
      <w:proofErr w:type="spellStart"/>
      <w:r w:rsidRPr="0071601B">
        <w:rPr>
          <w:b/>
          <w:sz w:val="24"/>
          <w:szCs w:val="24"/>
        </w:rPr>
        <w:t>Farmakodynamiske</w:t>
      </w:r>
      <w:proofErr w:type="spellEnd"/>
      <w:r w:rsidRPr="0071601B">
        <w:rPr>
          <w:b/>
          <w:sz w:val="24"/>
          <w:szCs w:val="24"/>
        </w:rPr>
        <w:t xml:space="preserve"> egenskaber</w:t>
      </w:r>
    </w:p>
    <w:p w14:paraId="67870717" w14:textId="77777777" w:rsidR="00CB1A61" w:rsidRDefault="00CB1A61" w:rsidP="00CB1A61">
      <w:pPr>
        <w:ind w:left="851"/>
        <w:rPr>
          <w:noProof/>
          <w:sz w:val="24"/>
          <w:szCs w:val="24"/>
        </w:rPr>
      </w:pPr>
    </w:p>
    <w:p w14:paraId="24447C7F" w14:textId="77777777" w:rsidR="00A554E5" w:rsidRPr="00CB1A61" w:rsidRDefault="00A554E5" w:rsidP="00CB1A61">
      <w:pPr>
        <w:ind w:left="851"/>
        <w:rPr>
          <w:noProof/>
          <w:sz w:val="24"/>
          <w:szCs w:val="24"/>
          <w:u w:val="single"/>
        </w:rPr>
      </w:pPr>
      <w:r w:rsidRPr="00CB1A61">
        <w:rPr>
          <w:noProof/>
          <w:sz w:val="24"/>
          <w:szCs w:val="24"/>
          <w:u w:val="single"/>
        </w:rPr>
        <w:t>Virkningsmekanisme</w:t>
      </w:r>
    </w:p>
    <w:p w14:paraId="7268D6E5" w14:textId="77777777" w:rsidR="00A554E5" w:rsidRPr="0071601B" w:rsidRDefault="00A554E5" w:rsidP="00CB1A61">
      <w:pPr>
        <w:ind w:left="851"/>
        <w:rPr>
          <w:noProof/>
          <w:sz w:val="24"/>
          <w:szCs w:val="24"/>
        </w:rPr>
      </w:pPr>
      <w:r w:rsidRPr="0071601B">
        <w:rPr>
          <w:noProof/>
          <w:sz w:val="24"/>
          <w:szCs w:val="24"/>
        </w:rPr>
        <w:t xml:space="preserve">Ephedrin er en sympatomimetisk amin, der virker direkte på alfa- og betareceptorer og indirekte ved at øge frigivelsen af noradrenalin ved nerveenderne i det sympatiske nervesystem. Som det er tilfældet med sympatomimetikum, stimulerer ephedrin </w:t>
      </w:r>
      <w:r w:rsidRPr="0071601B">
        <w:rPr>
          <w:noProof/>
          <w:sz w:val="24"/>
          <w:szCs w:val="24"/>
        </w:rPr>
        <w:lastRenderedPageBreak/>
        <w:t>centralnervesystemet, det kardiovaskulære system, åndedrætssystemet og lukkemusklerne i fordøjelses- og urinvejssystemet.</w:t>
      </w:r>
    </w:p>
    <w:p w14:paraId="2EA52226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01BD114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5.2</w:t>
      </w:r>
      <w:r w:rsidRPr="0071601B">
        <w:rPr>
          <w:b/>
          <w:sz w:val="24"/>
          <w:szCs w:val="24"/>
        </w:rPr>
        <w:tab/>
      </w:r>
      <w:proofErr w:type="spellStart"/>
      <w:r w:rsidRPr="0071601B">
        <w:rPr>
          <w:b/>
          <w:sz w:val="24"/>
          <w:szCs w:val="24"/>
        </w:rPr>
        <w:t>Farmakokinetiske</w:t>
      </w:r>
      <w:proofErr w:type="spellEnd"/>
      <w:r w:rsidRPr="0071601B">
        <w:rPr>
          <w:b/>
          <w:sz w:val="24"/>
          <w:szCs w:val="24"/>
        </w:rPr>
        <w:t xml:space="preserve"> egenskaber</w:t>
      </w:r>
    </w:p>
    <w:p w14:paraId="2976BEAC" w14:textId="77777777" w:rsidR="00CB1A61" w:rsidRDefault="00CB1A61" w:rsidP="00CB1A61">
      <w:pPr>
        <w:ind w:left="851"/>
        <w:rPr>
          <w:noProof/>
          <w:sz w:val="24"/>
          <w:szCs w:val="24"/>
        </w:rPr>
      </w:pPr>
    </w:p>
    <w:p w14:paraId="30360668" w14:textId="77777777" w:rsidR="00A554E5" w:rsidRPr="00CB1A61" w:rsidRDefault="00A554E5" w:rsidP="00CB1A61">
      <w:pPr>
        <w:ind w:left="851"/>
        <w:rPr>
          <w:noProof/>
          <w:sz w:val="24"/>
          <w:szCs w:val="24"/>
          <w:u w:val="single"/>
        </w:rPr>
      </w:pPr>
      <w:r w:rsidRPr="00CB1A61">
        <w:rPr>
          <w:noProof/>
          <w:sz w:val="24"/>
          <w:szCs w:val="24"/>
          <w:u w:val="single"/>
        </w:rPr>
        <w:t>Biotransformation og elimination</w:t>
      </w:r>
    </w:p>
    <w:p w14:paraId="23A096E1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 xml:space="preserve">En mindre mængde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</w:t>
      </w:r>
      <w:proofErr w:type="spellStart"/>
      <w:r w:rsidRPr="0071601B">
        <w:rPr>
          <w:sz w:val="24"/>
          <w:szCs w:val="24"/>
        </w:rPr>
        <w:t>metaboliseres</w:t>
      </w:r>
      <w:proofErr w:type="spellEnd"/>
      <w:r w:rsidRPr="0071601B">
        <w:rPr>
          <w:sz w:val="24"/>
          <w:szCs w:val="24"/>
        </w:rPr>
        <w:t xml:space="preserve"> til </w:t>
      </w:r>
      <w:r w:rsidRPr="0071601B">
        <w:rPr>
          <w:noProof/>
          <w:sz w:val="24"/>
          <w:szCs w:val="24"/>
        </w:rPr>
        <w:t>noradrenalin</w:t>
      </w:r>
      <w:r w:rsidRPr="0071601B">
        <w:rPr>
          <w:sz w:val="24"/>
          <w:szCs w:val="24"/>
        </w:rPr>
        <w:t xml:space="preserve">, men størstedelen udskilles </w:t>
      </w:r>
      <w:proofErr w:type="spellStart"/>
      <w:r w:rsidRPr="0071601B">
        <w:rPr>
          <w:sz w:val="24"/>
          <w:szCs w:val="24"/>
        </w:rPr>
        <w:t>uomdannet</w:t>
      </w:r>
      <w:proofErr w:type="spellEnd"/>
      <w:r w:rsidRPr="0071601B">
        <w:rPr>
          <w:sz w:val="24"/>
          <w:szCs w:val="24"/>
        </w:rPr>
        <w:t xml:space="preserve"> i urinen. Plasmahalveringstiden for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er 3-6 timer, afhængigt af urinens pH. I sjældne tilfælde er der rapporteret længere halveringstider på op til 9 timer. Eliminationen af </w:t>
      </w:r>
      <w:proofErr w:type="spellStart"/>
      <w:r w:rsidRPr="0071601B">
        <w:rPr>
          <w:sz w:val="24"/>
          <w:szCs w:val="24"/>
        </w:rPr>
        <w:t>ephedrin</w:t>
      </w:r>
      <w:proofErr w:type="spellEnd"/>
      <w:r w:rsidRPr="0071601B">
        <w:rPr>
          <w:sz w:val="24"/>
          <w:szCs w:val="24"/>
        </w:rPr>
        <w:t xml:space="preserve"> øges (og som følge heraf nedsættes halveringstiden), jo lavere urinens pH-værdi er.</w:t>
      </w:r>
    </w:p>
    <w:p w14:paraId="64E12170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BCCA02A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5.3</w:t>
      </w:r>
      <w:r w:rsidRPr="0071601B">
        <w:rPr>
          <w:b/>
          <w:sz w:val="24"/>
          <w:szCs w:val="24"/>
        </w:rPr>
        <w:tab/>
        <w:t>Prækliniske sikkerhedsdata</w:t>
      </w:r>
    </w:p>
    <w:p w14:paraId="57AA43C4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Der er ingen prækliniske data af relevans for den ordinerende læge, ud over det der allerede er inkluderet i andre afsnit af produktresuméet.</w:t>
      </w:r>
    </w:p>
    <w:p w14:paraId="1D528D02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2F84605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09A2DB74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6.</w:t>
      </w:r>
      <w:r w:rsidRPr="0071601B">
        <w:rPr>
          <w:b/>
          <w:sz w:val="24"/>
          <w:szCs w:val="24"/>
        </w:rPr>
        <w:tab/>
        <w:t>FARMACEUTISKE OPLYSNINGER</w:t>
      </w:r>
    </w:p>
    <w:p w14:paraId="47C99602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B8CA349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6.1</w:t>
      </w:r>
      <w:r w:rsidRPr="0071601B">
        <w:rPr>
          <w:b/>
          <w:sz w:val="24"/>
          <w:szCs w:val="24"/>
        </w:rPr>
        <w:tab/>
        <w:t>Hjælpestoffer</w:t>
      </w:r>
    </w:p>
    <w:p w14:paraId="4DAD0A60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Natriumcitrat</w:t>
      </w:r>
    </w:p>
    <w:p w14:paraId="0273E9F5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Citronsyre, vandfri</w:t>
      </w:r>
    </w:p>
    <w:p w14:paraId="33E310C1" w14:textId="77777777" w:rsidR="00A554E5" w:rsidRPr="0071601B" w:rsidRDefault="00A554E5" w:rsidP="00CB1A61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Natriumchlorid</w:t>
      </w:r>
      <w:proofErr w:type="spellEnd"/>
    </w:p>
    <w:p w14:paraId="29069129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Saltsyre (til justering af pH)</w:t>
      </w:r>
    </w:p>
    <w:p w14:paraId="7BFBA297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Natriumhydroxid (til justering af pH)</w:t>
      </w:r>
    </w:p>
    <w:p w14:paraId="7F996CBE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Vand til injektionsvæsker</w:t>
      </w:r>
    </w:p>
    <w:p w14:paraId="0978E665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7E2B753F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6.2</w:t>
      </w:r>
      <w:r w:rsidRPr="0071601B">
        <w:rPr>
          <w:b/>
          <w:sz w:val="24"/>
          <w:szCs w:val="24"/>
        </w:rPr>
        <w:tab/>
        <w:t>Uforligeligheder</w:t>
      </w:r>
    </w:p>
    <w:p w14:paraId="14621DA1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Da der ikke foreligger studier af eventuelle uforligeligheder, må dette lægemiddel ikke blandes med andre lægemidler.</w:t>
      </w:r>
    </w:p>
    <w:p w14:paraId="38A540DB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6B5F66A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6.3</w:t>
      </w:r>
      <w:r w:rsidRPr="0071601B">
        <w:rPr>
          <w:b/>
          <w:sz w:val="24"/>
          <w:szCs w:val="24"/>
        </w:rPr>
        <w:tab/>
        <w:t>Opbevaringstid</w:t>
      </w:r>
    </w:p>
    <w:p w14:paraId="448F1D0A" w14:textId="7F4EFA3C" w:rsidR="00A554E5" w:rsidRPr="0071601B" w:rsidRDefault="00A554E5" w:rsidP="00CB1A61">
      <w:pPr>
        <w:ind w:firstLine="851"/>
        <w:rPr>
          <w:sz w:val="24"/>
          <w:szCs w:val="24"/>
        </w:rPr>
      </w:pPr>
      <w:r w:rsidRPr="0071601B">
        <w:rPr>
          <w:sz w:val="24"/>
          <w:szCs w:val="24"/>
        </w:rPr>
        <w:t xml:space="preserve">2 år </w:t>
      </w:r>
    </w:p>
    <w:p w14:paraId="4159D1B0" w14:textId="77777777" w:rsidR="00A554E5" w:rsidRPr="0071601B" w:rsidRDefault="00A554E5" w:rsidP="005E198E">
      <w:pPr>
        <w:rPr>
          <w:sz w:val="24"/>
          <w:szCs w:val="24"/>
        </w:rPr>
      </w:pPr>
    </w:p>
    <w:p w14:paraId="2DCE2A99" w14:textId="77777777" w:rsidR="00A554E5" w:rsidRPr="0071601B" w:rsidRDefault="00A554E5" w:rsidP="00CB1A61">
      <w:pPr>
        <w:ind w:firstLine="851"/>
        <w:rPr>
          <w:sz w:val="24"/>
          <w:szCs w:val="24"/>
        </w:rPr>
      </w:pPr>
      <w:r w:rsidRPr="0071601B">
        <w:rPr>
          <w:sz w:val="24"/>
          <w:szCs w:val="24"/>
        </w:rPr>
        <w:t>Produktet skal anvendes umiddelbart efter åbningen.</w:t>
      </w:r>
    </w:p>
    <w:p w14:paraId="0AFD7BE4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39869266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6.4</w:t>
      </w:r>
      <w:r w:rsidRPr="0071601B">
        <w:rPr>
          <w:b/>
          <w:sz w:val="24"/>
          <w:szCs w:val="24"/>
        </w:rPr>
        <w:tab/>
        <w:t>Særlige opbevaringsforhold</w:t>
      </w:r>
    </w:p>
    <w:p w14:paraId="707037CE" w14:textId="77777777" w:rsidR="00A554E5" w:rsidRPr="0071601B" w:rsidRDefault="00A554E5" w:rsidP="00CB1A61">
      <w:pPr>
        <w:ind w:firstLine="851"/>
        <w:rPr>
          <w:sz w:val="24"/>
          <w:szCs w:val="24"/>
          <w:highlight w:val="yellow"/>
        </w:rPr>
      </w:pPr>
      <w:r w:rsidRPr="0071601B">
        <w:rPr>
          <w:noProof/>
          <w:sz w:val="24"/>
          <w:szCs w:val="24"/>
        </w:rPr>
        <w:t>Dette lægemiddel kræver ingen særlige forholdsregler vedrørende opbevaringen.</w:t>
      </w:r>
    </w:p>
    <w:p w14:paraId="14B235AF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13C23BFD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6.5</w:t>
      </w:r>
      <w:r w:rsidRPr="0071601B">
        <w:rPr>
          <w:b/>
          <w:sz w:val="24"/>
          <w:szCs w:val="24"/>
        </w:rPr>
        <w:tab/>
        <w:t>Emballagetyper og pakningsstørrelser</w:t>
      </w:r>
    </w:p>
    <w:p w14:paraId="5FC69D36" w14:textId="7C55C425" w:rsidR="00A554E5" w:rsidRPr="0071601B" w:rsidRDefault="00A554E5" w:rsidP="00CB1A61">
      <w:pPr>
        <w:ind w:firstLine="851"/>
        <w:rPr>
          <w:sz w:val="24"/>
          <w:szCs w:val="24"/>
        </w:rPr>
      </w:pPr>
      <w:r w:rsidRPr="0071601B">
        <w:rPr>
          <w:sz w:val="24"/>
          <w:szCs w:val="24"/>
        </w:rPr>
        <w:t>10</w:t>
      </w:r>
      <w:r w:rsidR="00CB1A61">
        <w:rPr>
          <w:sz w:val="24"/>
          <w:szCs w:val="24"/>
        </w:rPr>
        <w:t>×</w:t>
      </w:r>
      <w:r w:rsidRPr="0071601B">
        <w:rPr>
          <w:sz w:val="24"/>
          <w:szCs w:val="24"/>
        </w:rPr>
        <w:t>10 ml OPC-ampuller af klart Type I glas i en karton.</w:t>
      </w:r>
    </w:p>
    <w:p w14:paraId="71263DBE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631B8F91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6.6</w:t>
      </w:r>
      <w:r w:rsidRPr="0071601B">
        <w:rPr>
          <w:b/>
          <w:sz w:val="24"/>
          <w:szCs w:val="24"/>
        </w:rPr>
        <w:tab/>
        <w:t>Regler for destruktion og anden håndtering</w:t>
      </w:r>
    </w:p>
    <w:p w14:paraId="0DBE8F10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Ampullerne er kun beregnet til engangsbrug. For at åbne, skal du knække ampullen på det smalle stykke under den hvide prik.</w:t>
      </w:r>
    </w:p>
    <w:p w14:paraId="62831FEB" w14:textId="77777777" w:rsidR="00A554E5" w:rsidRPr="0071601B" w:rsidRDefault="00A554E5" w:rsidP="00CB1A61">
      <w:pPr>
        <w:ind w:left="851"/>
        <w:rPr>
          <w:sz w:val="24"/>
          <w:szCs w:val="24"/>
        </w:rPr>
      </w:pPr>
    </w:p>
    <w:p w14:paraId="5B6C62AC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Ikke anvendt lægemiddel samt affald heraf skal bortskaffes i henhold til lokale retningslinjer.</w:t>
      </w:r>
    </w:p>
    <w:p w14:paraId="761A7F60" w14:textId="75318BF1" w:rsidR="00DF5835" w:rsidRDefault="00DF583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8D2853B" w14:textId="77777777" w:rsidR="009260DE" w:rsidRPr="0071601B" w:rsidRDefault="009260DE" w:rsidP="005E198E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14:paraId="71958806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7.</w:t>
      </w:r>
      <w:r w:rsidRPr="0071601B">
        <w:rPr>
          <w:b/>
          <w:sz w:val="24"/>
          <w:szCs w:val="24"/>
        </w:rPr>
        <w:tab/>
        <w:t>INDEHAVER AF MARKEDSFØRINGSTILLADELSEN</w:t>
      </w:r>
    </w:p>
    <w:p w14:paraId="57C7312C" w14:textId="77777777" w:rsidR="00A554E5" w:rsidRPr="0071601B" w:rsidRDefault="00A554E5" w:rsidP="00CB1A61">
      <w:pPr>
        <w:ind w:left="851"/>
        <w:rPr>
          <w:sz w:val="24"/>
          <w:szCs w:val="24"/>
        </w:rPr>
      </w:pPr>
      <w:proofErr w:type="spellStart"/>
      <w:r w:rsidRPr="0071601B">
        <w:rPr>
          <w:sz w:val="24"/>
          <w:szCs w:val="24"/>
        </w:rPr>
        <w:t>Unimedic</w:t>
      </w:r>
      <w:proofErr w:type="spellEnd"/>
      <w:r w:rsidRPr="0071601B">
        <w:rPr>
          <w:sz w:val="24"/>
          <w:szCs w:val="24"/>
        </w:rPr>
        <w:t xml:space="preserve"> Pharma AB</w:t>
      </w:r>
    </w:p>
    <w:p w14:paraId="0FB64678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Box 6216</w:t>
      </w:r>
    </w:p>
    <w:p w14:paraId="5EBA2922" w14:textId="77777777" w:rsidR="00A554E5" w:rsidRPr="0071601B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102 34 Stockholm</w:t>
      </w:r>
    </w:p>
    <w:p w14:paraId="084D37AF" w14:textId="128A7E8C" w:rsidR="009260DE" w:rsidRDefault="00A554E5" w:rsidP="00CB1A61">
      <w:pPr>
        <w:ind w:left="851"/>
        <w:rPr>
          <w:sz w:val="24"/>
          <w:szCs w:val="24"/>
        </w:rPr>
      </w:pPr>
      <w:r w:rsidRPr="0071601B">
        <w:rPr>
          <w:sz w:val="24"/>
          <w:szCs w:val="24"/>
        </w:rPr>
        <w:t>S</w:t>
      </w:r>
      <w:r w:rsidR="00CB1A61">
        <w:rPr>
          <w:sz w:val="24"/>
          <w:szCs w:val="24"/>
        </w:rPr>
        <w:t>verige</w:t>
      </w:r>
    </w:p>
    <w:p w14:paraId="66257F59" w14:textId="77777777" w:rsidR="00CB1A61" w:rsidRPr="0071601B" w:rsidRDefault="00CB1A61" w:rsidP="00CB1A61">
      <w:pPr>
        <w:ind w:left="851"/>
        <w:rPr>
          <w:sz w:val="24"/>
          <w:szCs w:val="24"/>
        </w:rPr>
      </w:pPr>
    </w:p>
    <w:p w14:paraId="155DE907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8.</w:t>
      </w:r>
      <w:r w:rsidRPr="0071601B">
        <w:rPr>
          <w:b/>
          <w:sz w:val="24"/>
          <w:szCs w:val="24"/>
        </w:rPr>
        <w:tab/>
        <w:t>MARKEDSFØRINGSTILLADELSESNUMMER (NUMRE)</w:t>
      </w:r>
    </w:p>
    <w:p w14:paraId="4EC16AB6" w14:textId="479365E7" w:rsidR="009260DE" w:rsidRPr="0071601B" w:rsidRDefault="00CB1A61" w:rsidP="005E198E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E198E" w:rsidRPr="0071601B">
        <w:rPr>
          <w:sz w:val="24"/>
          <w:szCs w:val="24"/>
        </w:rPr>
        <w:t>59341</w:t>
      </w:r>
    </w:p>
    <w:p w14:paraId="6D27B8A8" w14:textId="77777777" w:rsidR="009260DE" w:rsidRPr="0071601B" w:rsidRDefault="009260DE" w:rsidP="005E198E">
      <w:pPr>
        <w:tabs>
          <w:tab w:val="left" w:pos="851"/>
        </w:tabs>
        <w:ind w:left="851" w:hanging="851"/>
        <w:jc w:val="both"/>
        <w:rPr>
          <w:sz w:val="24"/>
          <w:szCs w:val="24"/>
        </w:rPr>
      </w:pPr>
    </w:p>
    <w:p w14:paraId="27E3FE7E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9.</w:t>
      </w:r>
      <w:r w:rsidRPr="0071601B">
        <w:rPr>
          <w:b/>
          <w:sz w:val="24"/>
          <w:szCs w:val="24"/>
        </w:rPr>
        <w:tab/>
        <w:t>DATO FOR FØRSTE MARKEDSFØRINGSTILLADELSE</w:t>
      </w:r>
    </w:p>
    <w:p w14:paraId="70A6EC2E" w14:textId="21A7A13E" w:rsidR="009260DE" w:rsidRPr="0071601B" w:rsidRDefault="00CB1A61" w:rsidP="005E198E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F4377E">
        <w:rPr>
          <w:sz w:val="24"/>
          <w:szCs w:val="24"/>
        </w:rPr>
        <w:t>20. april 2018</w:t>
      </w:r>
    </w:p>
    <w:p w14:paraId="4EBF9AB2" w14:textId="77777777" w:rsidR="009260DE" w:rsidRPr="0071601B" w:rsidRDefault="009260DE" w:rsidP="005E198E">
      <w:pPr>
        <w:tabs>
          <w:tab w:val="left" w:pos="851"/>
        </w:tabs>
        <w:ind w:left="851" w:hanging="851"/>
        <w:rPr>
          <w:sz w:val="24"/>
          <w:szCs w:val="24"/>
        </w:rPr>
      </w:pPr>
    </w:p>
    <w:p w14:paraId="279E6D6A" w14:textId="77777777" w:rsidR="009260DE" w:rsidRPr="0071601B" w:rsidRDefault="009260DE" w:rsidP="005E198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71601B">
        <w:rPr>
          <w:b/>
          <w:sz w:val="24"/>
          <w:szCs w:val="24"/>
        </w:rPr>
        <w:t>10.</w:t>
      </w:r>
      <w:r w:rsidRPr="0071601B">
        <w:rPr>
          <w:b/>
          <w:sz w:val="24"/>
          <w:szCs w:val="24"/>
        </w:rPr>
        <w:tab/>
        <w:t>DATO FOR ÆNDRING AF TEKSTEN</w:t>
      </w:r>
    </w:p>
    <w:p w14:paraId="03D851AE" w14:textId="677FBF16" w:rsidR="009260DE" w:rsidRPr="0071601B" w:rsidRDefault="00CB1A61" w:rsidP="005E198E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="005E198E" w:rsidRPr="0071601B">
        <w:rPr>
          <w:sz w:val="24"/>
          <w:szCs w:val="24"/>
        </w:rPr>
        <w:t>-</w:t>
      </w:r>
    </w:p>
    <w:sectPr w:rsidR="009260DE" w:rsidRPr="0071601B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ED0FCA" w14:textId="77777777" w:rsidR="00D46D7E" w:rsidRDefault="00D46D7E">
      <w:r>
        <w:separator/>
      </w:r>
    </w:p>
  </w:endnote>
  <w:endnote w:type="continuationSeparator" w:id="0">
    <w:p w14:paraId="1E16B235" w14:textId="77777777" w:rsidR="00D46D7E" w:rsidRDefault="00D46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AE7A65" w14:textId="77777777" w:rsidR="000259B9" w:rsidRDefault="000259B9">
    <w:pPr>
      <w:pStyle w:val="Sidefod"/>
      <w:pBdr>
        <w:bottom w:val="single" w:sz="6" w:space="1" w:color="auto"/>
      </w:pBdr>
    </w:pPr>
  </w:p>
  <w:p w14:paraId="019A3968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1498ED8D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4377E">
      <w:rPr>
        <w:i/>
        <w:noProof/>
        <w:sz w:val="18"/>
        <w:szCs w:val="18"/>
      </w:rPr>
      <w:t>Efedrin Unimedic, injektionsvæske, opløsning 5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3E4A45">
      <w:rPr>
        <w:rStyle w:val="Sidetal"/>
        <w:i/>
        <w:noProof/>
        <w:sz w:val="18"/>
        <w:szCs w:val="18"/>
      </w:rPr>
      <w:t>8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3E4A45">
      <w:rPr>
        <w:rStyle w:val="Sidetal"/>
        <w:i/>
        <w:noProof/>
        <w:sz w:val="18"/>
        <w:szCs w:val="18"/>
      </w:rPr>
      <w:t>8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448D4E" w14:textId="77777777" w:rsidR="00D46D7E" w:rsidRDefault="00D46D7E">
      <w:r>
        <w:separator/>
      </w:r>
    </w:p>
  </w:footnote>
  <w:footnote w:type="continuationSeparator" w:id="0">
    <w:p w14:paraId="146B7DC9" w14:textId="77777777" w:rsidR="00D46D7E" w:rsidRDefault="00D46D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79D6"/>
    <w:multiLevelType w:val="hybridMultilevel"/>
    <w:tmpl w:val="8F482A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077AA"/>
    <w:multiLevelType w:val="hybridMultilevel"/>
    <w:tmpl w:val="F78EC1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D7E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A329C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E4A45"/>
    <w:rsid w:val="003F1838"/>
    <w:rsid w:val="0045746C"/>
    <w:rsid w:val="0049104B"/>
    <w:rsid w:val="004E3B12"/>
    <w:rsid w:val="00532310"/>
    <w:rsid w:val="00565F0F"/>
    <w:rsid w:val="00594A86"/>
    <w:rsid w:val="00596D86"/>
    <w:rsid w:val="005E198E"/>
    <w:rsid w:val="00637F5A"/>
    <w:rsid w:val="006560B1"/>
    <w:rsid w:val="006756DD"/>
    <w:rsid w:val="0071601B"/>
    <w:rsid w:val="00737275"/>
    <w:rsid w:val="00740EEC"/>
    <w:rsid w:val="0078011A"/>
    <w:rsid w:val="00782AF4"/>
    <w:rsid w:val="00790EE7"/>
    <w:rsid w:val="007B6649"/>
    <w:rsid w:val="0082576E"/>
    <w:rsid w:val="00907F75"/>
    <w:rsid w:val="009260DE"/>
    <w:rsid w:val="0093258A"/>
    <w:rsid w:val="009C7BA3"/>
    <w:rsid w:val="009D1F5A"/>
    <w:rsid w:val="00A554E5"/>
    <w:rsid w:val="00B003BF"/>
    <w:rsid w:val="00B373D7"/>
    <w:rsid w:val="00C36276"/>
    <w:rsid w:val="00C42586"/>
    <w:rsid w:val="00C60CCD"/>
    <w:rsid w:val="00C84483"/>
    <w:rsid w:val="00C95551"/>
    <w:rsid w:val="00CB1A61"/>
    <w:rsid w:val="00CB20D7"/>
    <w:rsid w:val="00D020B0"/>
    <w:rsid w:val="00D11748"/>
    <w:rsid w:val="00D366CF"/>
    <w:rsid w:val="00D46D7E"/>
    <w:rsid w:val="00DF5835"/>
    <w:rsid w:val="00E108AA"/>
    <w:rsid w:val="00E3749A"/>
    <w:rsid w:val="00E7437F"/>
    <w:rsid w:val="00E865B8"/>
    <w:rsid w:val="00EC0B9B"/>
    <w:rsid w:val="00ED5E9F"/>
    <w:rsid w:val="00F4377E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E3E393"/>
  <w15:chartTrackingRefBased/>
  <w15:docId w15:val="{59FD9688-F76D-44B2-85CA-D3B24053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semiHidden/>
    <w:unhideWhenUsed/>
    <w:qFormat/>
    <w:rsid w:val="00A554E5"/>
    <w:pPr>
      <w:ind w:left="567"/>
    </w:pPr>
    <w:rPr>
      <w:rFonts w:eastAsiaTheme="minorHAnsi" w:cstheme="minorBidi"/>
      <w:sz w:val="22"/>
      <w:szCs w:val="22"/>
    </w:rPr>
  </w:style>
  <w:style w:type="character" w:customStyle="1" w:styleId="BrdtekstTegn">
    <w:name w:val="Brødtekst Tegn"/>
    <w:basedOn w:val="Standardskrifttypeiafsnit"/>
    <w:link w:val="Brdtekst"/>
    <w:semiHidden/>
    <w:rsid w:val="00A554E5"/>
    <w:rPr>
      <w:rFonts w:eastAsiaTheme="minorHAnsi" w:cstheme="minorBidi"/>
      <w:sz w:val="22"/>
      <w:szCs w:val="22"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A554E5"/>
    <w:rPr>
      <w:color w:val="0563C1" w:themeColor="hyperlink"/>
      <w:u w:val="single"/>
    </w:rPr>
  </w:style>
  <w:style w:type="table" w:styleId="Tabel-Gitter">
    <w:name w:val="Table Grid"/>
    <w:basedOn w:val="Tabel-Normal"/>
    <w:rsid w:val="00A554E5"/>
    <w:rPr>
      <w:rFonts w:asciiTheme="majorHAnsi" w:eastAsiaTheme="minorHAnsi" w:hAnsiTheme="majorHAnsi" w:cstheme="minorBidi"/>
      <w:sz w:val="22"/>
      <w:szCs w:val="22"/>
      <w:lang w:val="en-GB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716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kma.local\lmsfil\QLM\Projects\GOD\docs\National\SPC%20Hum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21</TotalTime>
  <Pages>8</Pages>
  <Words>1688</Words>
  <Characters>11727</Characters>
  <Application>Microsoft Office Word</Application>
  <DocSecurity>0</DocSecurity>
  <Lines>97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13389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2017034098, MT</dc:description>
  <cp:lastModifiedBy>Gitte Jørgensen</cp:lastModifiedBy>
  <cp:revision>8</cp:revision>
  <cp:lastPrinted>2018-04-20T08:46:00Z</cp:lastPrinted>
  <dcterms:created xsi:type="dcterms:W3CDTF">2018-04-20T06:50:00Z</dcterms:created>
  <dcterms:modified xsi:type="dcterms:W3CDTF">2018-04-20T08:47:00Z</dcterms:modified>
</cp:coreProperties>
</file>