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9B864" w14:textId="77777777" w:rsidR="004A3BF4" w:rsidRPr="0032259F" w:rsidRDefault="00056601" w:rsidP="004A3BF4">
      <w:pPr>
        <w:rPr>
          <w:sz w:val="24"/>
          <w:szCs w:val="24"/>
          <w:lang w:val="en-GB"/>
        </w:rPr>
      </w:pPr>
      <w:bookmarkStart w:id="0" w:name="_GoBack"/>
      <w:bookmarkEnd w:id="0"/>
      <w:r w:rsidRPr="0032259F">
        <w:rPr>
          <w:noProof/>
          <w:sz w:val="24"/>
          <w:szCs w:val="24"/>
          <w:lang w:val="en-GB"/>
        </w:rPr>
        <w:drawing>
          <wp:inline distT="0" distB="0" distL="0" distR="0" wp14:anchorId="001D14D5" wp14:editId="76B4D391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3ADA5" w14:textId="77777777" w:rsidR="006B3847" w:rsidRPr="0032259F" w:rsidRDefault="006B3847" w:rsidP="006B3847">
      <w:pPr>
        <w:rPr>
          <w:sz w:val="24"/>
          <w:szCs w:val="24"/>
          <w:lang w:val="en-GB"/>
        </w:rPr>
      </w:pPr>
    </w:p>
    <w:p w14:paraId="1F795A33" w14:textId="2844C6F7" w:rsidR="006B3847" w:rsidRPr="0032259F" w:rsidRDefault="006B3847" w:rsidP="006B3847">
      <w:pPr>
        <w:tabs>
          <w:tab w:val="right" w:pos="9356"/>
        </w:tabs>
        <w:rPr>
          <w:b/>
          <w:sz w:val="24"/>
          <w:szCs w:val="24"/>
          <w:lang w:val="en-GB"/>
        </w:rPr>
      </w:pPr>
      <w:r w:rsidRPr="0032259F">
        <w:rPr>
          <w:b/>
          <w:sz w:val="24"/>
          <w:szCs w:val="24"/>
          <w:lang w:val="en-GB"/>
        </w:rPr>
        <w:tab/>
      </w:r>
      <w:r w:rsidR="00727038">
        <w:rPr>
          <w:b/>
          <w:sz w:val="24"/>
          <w:szCs w:val="24"/>
          <w:lang w:val="en-GB"/>
        </w:rPr>
        <w:t>18 February 2025</w:t>
      </w:r>
    </w:p>
    <w:p w14:paraId="0D862668" w14:textId="77777777" w:rsidR="006B3847" w:rsidRPr="0032259F" w:rsidRDefault="006B3847" w:rsidP="006B3847">
      <w:pPr>
        <w:rPr>
          <w:sz w:val="24"/>
          <w:szCs w:val="24"/>
          <w:lang w:val="en-GB"/>
        </w:rPr>
      </w:pPr>
    </w:p>
    <w:p w14:paraId="6E7C0905" w14:textId="77777777" w:rsidR="007C5D2A" w:rsidRPr="0032259F" w:rsidRDefault="007C5D2A" w:rsidP="007C5D2A">
      <w:pPr>
        <w:rPr>
          <w:sz w:val="24"/>
          <w:szCs w:val="24"/>
          <w:lang w:val="en-GB"/>
        </w:rPr>
      </w:pPr>
    </w:p>
    <w:p w14:paraId="2772E939" w14:textId="77777777" w:rsidR="007C5D2A" w:rsidRPr="0032259F" w:rsidRDefault="007C5D2A" w:rsidP="007C5D2A">
      <w:pPr>
        <w:rPr>
          <w:sz w:val="24"/>
          <w:szCs w:val="24"/>
          <w:lang w:val="en-GB"/>
        </w:rPr>
      </w:pPr>
    </w:p>
    <w:p w14:paraId="7E69F277" w14:textId="77777777" w:rsidR="007C5D2A" w:rsidRPr="0032259F" w:rsidRDefault="007C5D2A" w:rsidP="007C5D2A">
      <w:pPr>
        <w:jc w:val="center"/>
        <w:rPr>
          <w:b/>
          <w:sz w:val="24"/>
          <w:szCs w:val="24"/>
          <w:lang w:val="en-GB"/>
        </w:rPr>
      </w:pPr>
      <w:bookmarkStart w:id="1" w:name="_Hlk49158549"/>
      <w:r w:rsidRPr="0032259F">
        <w:rPr>
          <w:b/>
          <w:sz w:val="24"/>
          <w:szCs w:val="24"/>
          <w:lang w:val="en-GB"/>
        </w:rPr>
        <w:t>SUMMARY OF PRODUCT CHARACTERISTICS</w:t>
      </w:r>
    </w:p>
    <w:bookmarkEnd w:id="1"/>
    <w:p w14:paraId="4187B95D" w14:textId="77777777" w:rsidR="007C5D2A" w:rsidRPr="0032259F" w:rsidRDefault="007C5D2A" w:rsidP="007C5D2A">
      <w:pPr>
        <w:jc w:val="center"/>
        <w:rPr>
          <w:sz w:val="24"/>
          <w:szCs w:val="24"/>
          <w:lang w:val="en-GB"/>
        </w:rPr>
      </w:pPr>
    </w:p>
    <w:p w14:paraId="0EDF01A0" w14:textId="77777777" w:rsidR="007C5D2A" w:rsidRPr="0032259F" w:rsidRDefault="007C5D2A" w:rsidP="007C5D2A">
      <w:pPr>
        <w:jc w:val="center"/>
        <w:rPr>
          <w:b/>
          <w:sz w:val="24"/>
          <w:szCs w:val="24"/>
          <w:lang w:val="en-GB"/>
        </w:rPr>
      </w:pPr>
      <w:r w:rsidRPr="0032259F">
        <w:rPr>
          <w:b/>
          <w:sz w:val="24"/>
          <w:szCs w:val="24"/>
          <w:lang w:val="en-GB"/>
        </w:rPr>
        <w:t>for</w:t>
      </w:r>
    </w:p>
    <w:p w14:paraId="1C4E0CA0" w14:textId="77777777" w:rsidR="007C5D2A" w:rsidRPr="0032259F" w:rsidRDefault="007C5D2A" w:rsidP="007C5D2A">
      <w:pPr>
        <w:jc w:val="center"/>
        <w:rPr>
          <w:sz w:val="24"/>
          <w:szCs w:val="24"/>
          <w:lang w:val="en-GB"/>
        </w:rPr>
      </w:pPr>
    </w:p>
    <w:p w14:paraId="7947241F" w14:textId="43543DFE" w:rsidR="007C5D2A" w:rsidRPr="0032259F" w:rsidRDefault="00B42035" w:rsidP="007C5D2A">
      <w:pPr>
        <w:jc w:val="center"/>
        <w:rPr>
          <w:b/>
          <w:sz w:val="24"/>
          <w:szCs w:val="24"/>
          <w:lang w:val="en-GB"/>
        </w:rPr>
      </w:pPr>
      <w:proofErr w:type="spellStart"/>
      <w:r w:rsidRPr="0032259F">
        <w:rPr>
          <w:b/>
          <w:sz w:val="24"/>
          <w:szCs w:val="24"/>
          <w:lang w:val="en-GB"/>
        </w:rPr>
        <w:t>Eltrombopag</w:t>
      </w:r>
      <w:proofErr w:type="spellEnd"/>
      <w:r w:rsidRPr="0032259F">
        <w:rPr>
          <w:b/>
          <w:sz w:val="24"/>
          <w:szCs w:val="24"/>
          <w:lang w:val="en-GB"/>
        </w:rPr>
        <w:t xml:space="preserve"> "</w:t>
      </w:r>
      <w:proofErr w:type="spellStart"/>
      <w:r w:rsidRPr="0032259F">
        <w:rPr>
          <w:b/>
          <w:sz w:val="24"/>
          <w:szCs w:val="24"/>
          <w:lang w:val="en-GB"/>
        </w:rPr>
        <w:t>Vipharm</w:t>
      </w:r>
      <w:proofErr w:type="spellEnd"/>
      <w:r w:rsidRPr="0032259F">
        <w:rPr>
          <w:b/>
          <w:sz w:val="24"/>
          <w:szCs w:val="24"/>
          <w:lang w:val="en-GB"/>
        </w:rPr>
        <w:t>", film-coated tablets</w:t>
      </w:r>
    </w:p>
    <w:p w14:paraId="3941BCD6" w14:textId="77777777" w:rsidR="007C5D2A" w:rsidRPr="0032259F" w:rsidRDefault="007C5D2A" w:rsidP="007C5D2A">
      <w:pPr>
        <w:jc w:val="both"/>
        <w:rPr>
          <w:sz w:val="24"/>
          <w:szCs w:val="24"/>
          <w:lang w:val="en-GB"/>
        </w:rPr>
      </w:pPr>
    </w:p>
    <w:p w14:paraId="29F63616" w14:textId="77777777" w:rsidR="0042292D" w:rsidRPr="0032259F" w:rsidRDefault="0042292D" w:rsidP="007C5D2A">
      <w:pPr>
        <w:jc w:val="both"/>
        <w:rPr>
          <w:sz w:val="24"/>
          <w:szCs w:val="24"/>
          <w:lang w:val="en-GB"/>
        </w:rPr>
      </w:pPr>
    </w:p>
    <w:p w14:paraId="6585A363" w14:textId="77777777" w:rsidR="008F2F8C" w:rsidRPr="0032259F" w:rsidRDefault="008F2F8C" w:rsidP="008F2F8C">
      <w:pPr>
        <w:tabs>
          <w:tab w:val="left" w:pos="8222"/>
        </w:tabs>
        <w:ind w:left="851" w:hanging="851"/>
        <w:rPr>
          <w:b/>
          <w:sz w:val="24"/>
          <w:szCs w:val="24"/>
          <w:lang w:val="en-GB"/>
        </w:rPr>
      </w:pPr>
      <w:r w:rsidRPr="0032259F">
        <w:rPr>
          <w:b/>
          <w:sz w:val="24"/>
          <w:szCs w:val="24"/>
          <w:lang w:val="en-GB"/>
        </w:rPr>
        <w:t>0.</w:t>
      </w:r>
      <w:r w:rsidRPr="0032259F">
        <w:rPr>
          <w:b/>
          <w:sz w:val="24"/>
          <w:szCs w:val="24"/>
          <w:lang w:val="en-GB"/>
        </w:rPr>
        <w:tab/>
      </w:r>
      <w:proofErr w:type="gramStart"/>
      <w:r w:rsidRPr="0032259F">
        <w:rPr>
          <w:b/>
          <w:sz w:val="24"/>
          <w:szCs w:val="24"/>
          <w:lang w:val="en-GB"/>
        </w:rPr>
        <w:t>D.SP.NO</w:t>
      </w:r>
      <w:proofErr w:type="gramEnd"/>
      <w:r w:rsidRPr="0032259F">
        <w:rPr>
          <w:b/>
          <w:sz w:val="24"/>
          <w:szCs w:val="24"/>
          <w:lang w:val="en-GB"/>
        </w:rPr>
        <w:t>.</w:t>
      </w:r>
    </w:p>
    <w:p w14:paraId="52D9EC0C" w14:textId="487167CF" w:rsidR="008F2F8C" w:rsidRPr="0032259F" w:rsidRDefault="00B42035" w:rsidP="008F2F8C">
      <w:pPr>
        <w:tabs>
          <w:tab w:val="left" w:pos="8222"/>
        </w:tabs>
        <w:ind w:left="851"/>
        <w:rPr>
          <w:sz w:val="24"/>
          <w:szCs w:val="24"/>
          <w:lang w:val="en-GB"/>
        </w:rPr>
      </w:pPr>
      <w:r w:rsidRPr="0032259F">
        <w:rPr>
          <w:sz w:val="24"/>
          <w:szCs w:val="24"/>
          <w:lang w:val="en-GB"/>
        </w:rPr>
        <w:t>33455</w:t>
      </w:r>
    </w:p>
    <w:p w14:paraId="0D417575" w14:textId="77777777" w:rsidR="007C5D2A" w:rsidRPr="0032259F" w:rsidRDefault="007C5D2A" w:rsidP="007C5D2A">
      <w:pPr>
        <w:tabs>
          <w:tab w:val="left" w:pos="851"/>
        </w:tabs>
        <w:jc w:val="both"/>
        <w:rPr>
          <w:sz w:val="24"/>
          <w:szCs w:val="24"/>
          <w:lang w:val="en-GB"/>
        </w:rPr>
      </w:pPr>
    </w:p>
    <w:p w14:paraId="2343CEF7" w14:textId="77777777" w:rsidR="007C5D2A" w:rsidRPr="0032259F" w:rsidRDefault="009925C9" w:rsidP="007C5D2A">
      <w:pPr>
        <w:tabs>
          <w:tab w:val="left" w:pos="851"/>
        </w:tabs>
        <w:ind w:left="851" w:hanging="851"/>
        <w:rPr>
          <w:sz w:val="24"/>
          <w:szCs w:val="24"/>
          <w:lang w:val="en-GB"/>
        </w:rPr>
      </w:pPr>
      <w:r w:rsidRPr="0032259F">
        <w:rPr>
          <w:b/>
          <w:sz w:val="24"/>
          <w:szCs w:val="24"/>
          <w:lang w:val="en-GB"/>
        </w:rPr>
        <w:t>1.</w:t>
      </w:r>
      <w:r w:rsidR="007C5D2A" w:rsidRPr="0032259F">
        <w:rPr>
          <w:b/>
          <w:sz w:val="24"/>
          <w:szCs w:val="24"/>
          <w:lang w:val="en-GB"/>
        </w:rPr>
        <w:tab/>
        <w:t>NAME OF THE MEDICINAL PRODUCT</w:t>
      </w:r>
    </w:p>
    <w:p w14:paraId="7B679BD0" w14:textId="057EA170" w:rsidR="007C5D2A" w:rsidRPr="0032259F" w:rsidRDefault="00B42035" w:rsidP="004A3BF4">
      <w:pPr>
        <w:tabs>
          <w:tab w:val="left" w:pos="851"/>
        </w:tabs>
        <w:ind w:left="851"/>
        <w:rPr>
          <w:sz w:val="24"/>
          <w:szCs w:val="24"/>
          <w:lang w:val="en-GB"/>
        </w:rPr>
      </w:pPr>
      <w:proofErr w:type="spellStart"/>
      <w:r w:rsidRPr="0032259F">
        <w:rPr>
          <w:sz w:val="24"/>
          <w:szCs w:val="24"/>
          <w:lang w:val="en-GB"/>
        </w:rPr>
        <w:t>Eltrombopag</w:t>
      </w:r>
      <w:proofErr w:type="spellEnd"/>
      <w:r w:rsidRPr="0032259F">
        <w:rPr>
          <w:sz w:val="24"/>
          <w:szCs w:val="24"/>
          <w:lang w:val="en-GB"/>
        </w:rPr>
        <w:t xml:space="preserve"> "</w:t>
      </w:r>
      <w:proofErr w:type="spellStart"/>
      <w:r w:rsidRPr="0032259F">
        <w:rPr>
          <w:sz w:val="24"/>
          <w:szCs w:val="24"/>
          <w:lang w:val="en-GB"/>
        </w:rPr>
        <w:t>Vipharm</w:t>
      </w:r>
      <w:proofErr w:type="spellEnd"/>
      <w:r w:rsidRPr="0032259F">
        <w:rPr>
          <w:sz w:val="24"/>
          <w:szCs w:val="24"/>
          <w:lang w:val="en-GB"/>
        </w:rPr>
        <w:t>"</w:t>
      </w:r>
    </w:p>
    <w:p w14:paraId="50D182B5" w14:textId="77777777" w:rsidR="007C5D2A" w:rsidRPr="0032259F" w:rsidRDefault="007C5D2A" w:rsidP="004A3BF4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1090353F" w14:textId="77777777" w:rsidR="007C5D2A" w:rsidRPr="0032259F" w:rsidRDefault="009925C9" w:rsidP="007C5D2A">
      <w:pPr>
        <w:ind w:left="851" w:hanging="851"/>
        <w:rPr>
          <w:b/>
          <w:sz w:val="24"/>
          <w:szCs w:val="24"/>
          <w:lang w:val="en-GB"/>
        </w:rPr>
      </w:pPr>
      <w:r w:rsidRPr="0032259F">
        <w:rPr>
          <w:b/>
          <w:sz w:val="24"/>
          <w:szCs w:val="24"/>
          <w:lang w:val="en-GB"/>
        </w:rPr>
        <w:t>2.</w:t>
      </w:r>
      <w:r w:rsidR="007C5D2A" w:rsidRPr="0032259F">
        <w:rPr>
          <w:b/>
          <w:sz w:val="24"/>
          <w:szCs w:val="24"/>
          <w:lang w:val="en-GB"/>
        </w:rPr>
        <w:tab/>
        <w:t>QUALITATIVE AND QUANTITATIVE COMPOSITION</w:t>
      </w:r>
    </w:p>
    <w:p w14:paraId="798CD89A" w14:textId="5CC150A2" w:rsidR="002C7328" w:rsidRPr="0032259F" w:rsidRDefault="004745B3" w:rsidP="00A15450">
      <w:pPr>
        <w:ind w:left="851"/>
        <w:rPr>
          <w:rFonts w:eastAsia="SimSun"/>
          <w:sz w:val="24"/>
          <w:szCs w:val="24"/>
          <w:lang w:val="en-GB" w:eastAsia="en-GB"/>
        </w:rPr>
      </w:pPr>
      <w:proofErr w:type="spellStart"/>
      <w:r w:rsidRPr="0032259F">
        <w:rPr>
          <w:rFonts w:eastAsiaTheme="minorHAnsi"/>
          <w:sz w:val="24"/>
          <w:szCs w:val="24"/>
          <w:lang w:val="en-GB"/>
        </w:rPr>
        <w:t>Eltrombopag</w:t>
      </w:r>
      <w:proofErr w:type="spellEnd"/>
      <w:r w:rsidRPr="0032259F">
        <w:rPr>
          <w:rFonts w:eastAsiaTheme="minorHAnsi"/>
          <w:sz w:val="24"/>
          <w:szCs w:val="24"/>
          <w:lang w:val="en-GB"/>
        </w:rPr>
        <w:t xml:space="preserve"> "</w:t>
      </w:r>
      <w:proofErr w:type="spellStart"/>
      <w:r w:rsidRPr="0032259F">
        <w:rPr>
          <w:rFonts w:eastAsiaTheme="minorHAnsi"/>
          <w:sz w:val="24"/>
          <w:szCs w:val="24"/>
          <w:lang w:val="en-GB"/>
        </w:rPr>
        <w:t>Vipharm</w:t>
      </w:r>
      <w:proofErr w:type="spellEnd"/>
      <w:r w:rsidRPr="0032259F">
        <w:rPr>
          <w:rFonts w:eastAsiaTheme="minorHAnsi"/>
          <w:sz w:val="24"/>
          <w:szCs w:val="24"/>
          <w:lang w:val="en-GB"/>
        </w:rPr>
        <w:t>"</w:t>
      </w:r>
      <w:r w:rsidR="002C7328" w:rsidRPr="0032259F">
        <w:rPr>
          <w:rFonts w:eastAsia="SimSun"/>
          <w:sz w:val="24"/>
          <w:szCs w:val="24"/>
          <w:lang w:val="en-GB" w:eastAsia="en-GB"/>
        </w:rPr>
        <w:t xml:space="preserve"> 12.5 mg film-coated tablets</w:t>
      </w:r>
    </w:p>
    <w:p w14:paraId="2B5E7632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Each film-coated tablet contains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olamine equivalent to 12.5 mg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.</w:t>
      </w:r>
    </w:p>
    <w:p w14:paraId="61E92584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4851327D" w14:textId="370ABEA9" w:rsidR="002C7328" w:rsidRPr="0032259F" w:rsidRDefault="004745B3" w:rsidP="00A15450">
      <w:pPr>
        <w:ind w:left="851"/>
        <w:rPr>
          <w:rFonts w:eastAsia="SimSun"/>
          <w:sz w:val="24"/>
          <w:szCs w:val="24"/>
          <w:lang w:val="en-GB" w:eastAsia="en-GB"/>
        </w:rPr>
      </w:pPr>
      <w:proofErr w:type="spellStart"/>
      <w:r w:rsidRPr="0032259F">
        <w:rPr>
          <w:rFonts w:eastAsiaTheme="minorHAnsi"/>
          <w:sz w:val="24"/>
          <w:szCs w:val="24"/>
          <w:lang w:val="en-GB"/>
        </w:rPr>
        <w:t>Eltrombopag</w:t>
      </w:r>
      <w:proofErr w:type="spellEnd"/>
      <w:r w:rsidRPr="0032259F">
        <w:rPr>
          <w:rFonts w:eastAsiaTheme="minorHAnsi"/>
          <w:sz w:val="24"/>
          <w:szCs w:val="24"/>
          <w:lang w:val="en-GB"/>
        </w:rPr>
        <w:t xml:space="preserve"> "</w:t>
      </w:r>
      <w:proofErr w:type="spellStart"/>
      <w:r w:rsidRPr="0032259F">
        <w:rPr>
          <w:rFonts w:eastAsiaTheme="minorHAnsi"/>
          <w:sz w:val="24"/>
          <w:szCs w:val="24"/>
          <w:lang w:val="en-GB"/>
        </w:rPr>
        <w:t>Vipharm</w:t>
      </w:r>
      <w:proofErr w:type="spellEnd"/>
      <w:r w:rsidRPr="0032259F">
        <w:rPr>
          <w:rFonts w:eastAsiaTheme="minorHAnsi"/>
          <w:sz w:val="24"/>
          <w:szCs w:val="24"/>
          <w:lang w:val="en-GB"/>
        </w:rPr>
        <w:t>"</w:t>
      </w:r>
      <w:r w:rsidR="002C7328" w:rsidRPr="0032259F">
        <w:rPr>
          <w:rFonts w:eastAsia="SimSun"/>
          <w:sz w:val="24"/>
          <w:szCs w:val="24"/>
          <w:lang w:val="en-GB" w:eastAsia="en-GB"/>
        </w:rPr>
        <w:t xml:space="preserve"> 25 mg film-coated tablets</w:t>
      </w:r>
    </w:p>
    <w:p w14:paraId="6E0AB0B6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Each film-coated tablet contains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olamine equivalent to 25 mg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.</w:t>
      </w:r>
    </w:p>
    <w:p w14:paraId="2B2A2503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0ADAB757" w14:textId="0BD2C567" w:rsidR="002C7328" w:rsidRPr="0032259F" w:rsidRDefault="004745B3" w:rsidP="00A15450">
      <w:pPr>
        <w:ind w:left="851"/>
        <w:rPr>
          <w:rFonts w:eastAsia="SimSun"/>
          <w:sz w:val="24"/>
          <w:szCs w:val="24"/>
          <w:lang w:val="en-GB" w:eastAsia="en-GB"/>
        </w:rPr>
      </w:pPr>
      <w:proofErr w:type="spellStart"/>
      <w:r w:rsidRPr="0032259F">
        <w:rPr>
          <w:rFonts w:eastAsiaTheme="minorHAnsi"/>
          <w:sz w:val="24"/>
          <w:szCs w:val="24"/>
          <w:lang w:val="en-GB"/>
        </w:rPr>
        <w:t>Eltrombopag</w:t>
      </w:r>
      <w:proofErr w:type="spellEnd"/>
      <w:r w:rsidRPr="0032259F">
        <w:rPr>
          <w:rFonts w:eastAsiaTheme="minorHAnsi"/>
          <w:sz w:val="24"/>
          <w:szCs w:val="24"/>
          <w:lang w:val="en-GB"/>
        </w:rPr>
        <w:t xml:space="preserve"> "</w:t>
      </w:r>
      <w:proofErr w:type="spellStart"/>
      <w:r w:rsidRPr="0032259F">
        <w:rPr>
          <w:rFonts w:eastAsiaTheme="minorHAnsi"/>
          <w:sz w:val="24"/>
          <w:szCs w:val="24"/>
          <w:lang w:val="en-GB"/>
        </w:rPr>
        <w:t>Vipharm</w:t>
      </w:r>
      <w:proofErr w:type="spellEnd"/>
      <w:r w:rsidRPr="0032259F">
        <w:rPr>
          <w:rFonts w:eastAsiaTheme="minorHAnsi"/>
          <w:sz w:val="24"/>
          <w:szCs w:val="24"/>
          <w:lang w:val="en-GB"/>
        </w:rPr>
        <w:t>"</w:t>
      </w:r>
      <w:r w:rsidR="002C7328" w:rsidRPr="0032259F">
        <w:rPr>
          <w:rFonts w:eastAsiaTheme="minorHAnsi"/>
          <w:sz w:val="24"/>
          <w:szCs w:val="24"/>
          <w:lang w:val="en-GB"/>
        </w:rPr>
        <w:t xml:space="preserve"> </w:t>
      </w:r>
      <w:r w:rsidR="002C7328" w:rsidRPr="0032259F">
        <w:rPr>
          <w:rFonts w:eastAsia="SimSun"/>
          <w:sz w:val="24"/>
          <w:szCs w:val="24"/>
          <w:lang w:val="en-GB" w:eastAsia="en-GB"/>
        </w:rPr>
        <w:t>50 mg film-coated tablets</w:t>
      </w:r>
    </w:p>
    <w:p w14:paraId="03B83084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Each film-coated tablet contains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olamine equivalent to 50 mg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.</w:t>
      </w:r>
    </w:p>
    <w:p w14:paraId="4C29FC5D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01C34F69" w14:textId="7F477689" w:rsidR="002C7328" w:rsidRPr="0032259F" w:rsidRDefault="004745B3" w:rsidP="00A15450">
      <w:pPr>
        <w:ind w:left="851"/>
        <w:rPr>
          <w:rFonts w:eastAsia="SimSun"/>
          <w:sz w:val="24"/>
          <w:szCs w:val="24"/>
          <w:lang w:val="en-GB" w:eastAsia="en-GB"/>
        </w:rPr>
      </w:pPr>
      <w:proofErr w:type="spellStart"/>
      <w:r w:rsidRPr="0032259F">
        <w:rPr>
          <w:rFonts w:eastAsiaTheme="minorHAnsi"/>
          <w:sz w:val="24"/>
          <w:szCs w:val="24"/>
          <w:lang w:val="en-GB"/>
        </w:rPr>
        <w:t>Eltrombopag</w:t>
      </w:r>
      <w:proofErr w:type="spellEnd"/>
      <w:r w:rsidRPr="0032259F">
        <w:rPr>
          <w:rFonts w:eastAsiaTheme="minorHAnsi"/>
          <w:sz w:val="24"/>
          <w:szCs w:val="24"/>
          <w:lang w:val="en-GB"/>
        </w:rPr>
        <w:t xml:space="preserve"> "</w:t>
      </w:r>
      <w:proofErr w:type="spellStart"/>
      <w:r w:rsidRPr="0032259F">
        <w:rPr>
          <w:rFonts w:eastAsiaTheme="minorHAnsi"/>
          <w:sz w:val="24"/>
          <w:szCs w:val="24"/>
          <w:lang w:val="en-GB"/>
        </w:rPr>
        <w:t>Vipharm</w:t>
      </w:r>
      <w:proofErr w:type="spellEnd"/>
      <w:r w:rsidRPr="0032259F">
        <w:rPr>
          <w:rFonts w:eastAsiaTheme="minorHAnsi"/>
          <w:sz w:val="24"/>
          <w:szCs w:val="24"/>
          <w:lang w:val="en-GB"/>
        </w:rPr>
        <w:t>"</w:t>
      </w:r>
      <w:r w:rsidR="002C7328" w:rsidRPr="0032259F">
        <w:rPr>
          <w:rFonts w:eastAsiaTheme="minorHAnsi"/>
          <w:sz w:val="24"/>
          <w:szCs w:val="24"/>
          <w:lang w:val="en-GB"/>
        </w:rPr>
        <w:t xml:space="preserve"> </w:t>
      </w:r>
      <w:r w:rsidR="002C7328" w:rsidRPr="0032259F">
        <w:rPr>
          <w:rFonts w:eastAsia="SimSun"/>
          <w:sz w:val="24"/>
          <w:szCs w:val="24"/>
          <w:lang w:val="en-GB"/>
        </w:rPr>
        <w:t>75 mg</w:t>
      </w:r>
      <w:r w:rsidR="002C7328" w:rsidRPr="0032259F">
        <w:rPr>
          <w:rFonts w:eastAsia="SimSun"/>
          <w:sz w:val="24"/>
          <w:szCs w:val="24"/>
          <w:lang w:val="en-GB" w:eastAsia="en-GB"/>
        </w:rPr>
        <w:t xml:space="preserve"> film-coated tablets</w:t>
      </w:r>
    </w:p>
    <w:p w14:paraId="3CCA1788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Each film-coated tablet contains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olamine equivalent to 75 mg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.</w:t>
      </w:r>
    </w:p>
    <w:p w14:paraId="2FF59294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7B04FDE5" w14:textId="77777777" w:rsidR="002C7328" w:rsidRPr="0032259F" w:rsidRDefault="002C7328" w:rsidP="00A15450">
      <w:pPr>
        <w:ind w:left="851"/>
        <w:rPr>
          <w:noProof/>
          <w:sz w:val="24"/>
          <w:szCs w:val="24"/>
          <w:lang w:val="en-GB" w:eastAsia="en-US"/>
        </w:rPr>
      </w:pPr>
      <w:r w:rsidRPr="0032259F">
        <w:rPr>
          <w:rFonts w:eastAsia="SimSun"/>
          <w:sz w:val="24"/>
          <w:szCs w:val="24"/>
          <w:lang w:val="en-GB" w:eastAsia="en-GB"/>
        </w:rPr>
        <w:t>For the full list of excipients, see section 6.1.</w:t>
      </w:r>
    </w:p>
    <w:p w14:paraId="3D9960D0" w14:textId="77777777" w:rsidR="007C5D2A" w:rsidRPr="0032259F" w:rsidRDefault="007C5D2A" w:rsidP="004A3BF4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4023E208" w14:textId="77777777" w:rsidR="007C5D2A" w:rsidRPr="0032259F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32259F">
        <w:rPr>
          <w:b/>
          <w:sz w:val="24"/>
          <w:szCs w:val="24"/>
          <w:lang w:val="en-GB"/>
        </w:rPr>
        <w:t>3.</w:t>
      </w:r>
      <w:r w:rsidRPr="0032259F">
        <w:rPr>
          <w:b/>
          <w:sz w:val="24"/>
          <w:szCs w:val="24"/>
          <w:lang w:val="en-GB"/>
        </w:rPr>
        <w:tab/>
        <w:t>PHARMACEUTICAL FORM</w:t>
      </w:r>
    </w:p>
    <w:p w14:paraId="78D52940" w14:textId="46F853C1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/>
        </w:rPr>
      </w:pPr>
      <w:r w:rsidRPr="0032259F">
        <w:rPr>
          <w:rFonts w:eastAsia="SimSun"/>
          <w:sz w:val="24"/>
          <w:szCs w:val="24"/>
          <w:lang w:val="en-GB"/>
        </w:rPr>
        <w:t>Film-coated tablet</w:t>
      </w:r>
      <w:r w:rsidR="00881805" w:rsidRPr="0032259F">
        <w:rPr>
          <w:rFonts w:eastAsia="SimSun"/>
          <w:sz w:val="24"/>
          <w:szCs w:val="24"/>
          <w:lang w:val="en-GB"/>
        </w:rPr>
        <w:t>s</w:t>
      </w:r>
    </w:p>
    <w:p w14:paraId="249C81C6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/>
        </w:rPr>
      </w:pPr>
    </w:p>
    <w:p w14:paraId="232B56C8" w14:textId="28DAF347" w:rsidR="002C7328" w:rsidRPr="0032259F" w:rsidRDefault="004745B3" w:rsidP="00A15450">
      <w:pPr>
        <w:ind w:left="851"/>
        <w:rPr>
          <w:rFonts w:eastAsia="SimSun"/>
          <w:sz w:val="24"/>
          <w:szCs w:val="24"/>
          <w:lang w:val="en-GB"/>
        </w:rPr>
      </w:pPr>
      <w:proofErr w:type="spellStart"/>
      <w:r w:rsidRPr="0032259F">
        <w:rPr>
          <w:rFonts w:eastAsiaTheme="minorHAnsi"/>
          <w:sz w:val="24"/>
          <w:szCs w:val="24"/>
          <w:lang w:val="en-GB"/>
        </w:rPr>
        <w:t>Eltrombopag</w:t>
      </w:r>
      <w:proofErr w:type="spellEnd"/>
      <w:r w:rsidRPr="0032259F">
        <w:rPr>
          <w:rFonts w:eastAsiaTheme="minorHAnsi"/>
          <w:sz w:val="24"/>
          <w:szCs w:val="24"/>
          <w:lang w:val="en-GB"/>
        </w:rPr>
        <w:t xml:space="preserve"> "</w:t>
      </w:r>
      <w:proofErr w:type="spellStart"/>
      <w:r w:rsidRPr="0032259F">
        <w:rPr>
          <w:rFonts w:eastAsiaTheme="minorHAnsi"/>
          <w:sz w:val="24"/>
          <w:szCs w:val="24"/>
          <w:lang w:val="en-GB"/>
        </w:rPr>
        <w:t>Vipharm</w:t>
      </w:r>
      <w:proofErr w:type="spellEnd"/>
      <w:r w:rsidRPr="0032259F">
        <w:rPr>
          <w:rFonts w:eastAsiaTheme="minorHAnsi"/>
          <w:sz w:val="24"/>
          <w:szCs w:val="24"/>
          <w:lang w:val="en-GB"/>
        </w:rPr>
        <w:t>"</w:t>
      </w:r>
      <w:r w:rsidR="002C7328" w:rsidRPr="0032259F">
        <w:rPr>
          <w:rFonts w:eastAsiaTheme="minorHAnsi"/>
          <w:sz w:val="24"/>
          <w:szCs w:val="24"/>
          <w:lang w:val="en-GB"/>
        </w:rPr>
        <w:t xml:space="preserve"> 12.</w:t>
      </w:r>
      <w:r w:rsidR="002C7328" w:rsidRPr="0032259F">
        <w:rPr>
          <w:rFonts w:eastAsia="SimSun"/>
          <w:sz w:val="24"/>
          <w:szCs w:val="24"/>
          <w:lang w:val="en-GB"/>
        </w:rPr>
        <w:t>5 mg film-coated tablets</w:t>
      </w:r>
    </w:p>
    <w:p w14:paraId="50AD05EE" w14:textId="77777777" w:rsidR="002C7328" w:rsidRPr="0032259F" w:rsidRDefault="002C7328" w:rsidP="00A15450">
      <w:pPr>
        <w:ind w:left="851"/>
        <w:rPr>
          <w:sz w:val="24"/>
          <w:szCs w:val="24"/>
          <w:lang w:val="en-GB"/>
        </w:rPr>
      </w:pPr>
      <w:r w:rsidRPr="0032259F">
        <w:rPr>
          <w:rFonts w:eastAsia="SimSun"/>
          <w:sz w:val="24"/>
          <w:szCs w:val="24"/>
          <w:lang w:val="en-GB"/>
        </w:rPr>
        <w:t xml:space="preserve">White, round, biconvex, film-coated tablets, </w:t>
      </w:r>
      <w:r w:rsidRPr="0032259F">
        <w:rPr>
          <w:sz w:val="24"/>
          <w:szCs w:val="24"/>
          <w:lang w:val="en-GB"/>
        </w:rPr>
        <w:t>with a nominal diameter of 5.7 mm, debossed with “12.5” on one side and plain on the other side</w:t>
      </w:r>
    </w:p>
    <w:p w14:paraId="18C95C0C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/>
        </w:rPr>
      </w:pPr>
    </w:p>
    <w:p w14:paraId="7FDCF100" w14:textId="747758F0" w:rsidR="002C7328" w:rsidRPr="0032259F" w:rsidRDefault="004745B3" w:rsidP="00A15450">
      <w:pPr>
        <w:ind w:left="851"/>
        <w:rPr>
          <w:rFonts w:eastAsia="SimSun"/>
          <w:sz w:val="24"/>
          <w:szCs w:val="24"/>
          <w:lang w:val="en-GB"/>
        </w:rPr>
      </w:pPr>
      <w:proofErr w:type="spellStart"/>
      <w:r w:rsidRPr="0032259F">
        <w:rPr>
          <w:rFonts w:eastAsiaTheme="minorHAnsi"/>
          <w:sz w:val="24"/>
          <w:szCs w:val="24"/>
          <w:lang w:val="en-GB"/>
        </w:rPr>
        <w:t>Eltrombopag</w:t>
      </w:r>
      <w:proofErr w:type="spellEnd"/>
      <w:r w:rsidRPr="0032259F">
        <w:rPr>
          <w:rFonts w:eastAsiaTheme="minorHAnsi"/>
          <w:sz w:val="24"/>
          <w:szCs w:val="24"/>
          <w:lang w:val="en-GB"/>
        </w:rPr>
        <w:t xml:space="preserve"> "</w:t>
      </w:r>
      <w:proofErr w:type="spellStart"/>
      <w:r w:rsidRPr="0032259F">
        <w:rPr>
          <w:rFonts w:eastAsiaTheme="minorHAnsi"/>
          <w:sz w:val="24"/>
          <w:szCs w:val="24"/>
          <w:lang w:val="en-GB"/>
        </w:rPr>
        <w:t>Vipharm</w:t>
      </w:r>
      <w:proofErr w:type="spellEnd"/>
      <w:r w:rsidRPr="0032259F">
        <w:rPr>
          <w:rFonts w:eastAsiaTheme="minorHAnsi"/>
          <w:sz w:val="24"/>
          <w:szCs w:val="24"/>
          <w:lang w:val="en-GB"/>
        </w:rPr>
        <w:t>"</w:t>
      </w:r>
      <w:r w:rsidR="002C7328" w:rsidRPr="0032259F">
        <w:rPr>
          <w:rFonts w:eastAsiaTheme="minorHAnsi"/>
          <w:sz w:val="24"/>
          <w:szCs w:val="24"/>
          <w:lang w:val="en-GB"/>
        </w:rPr>
        <w:t xml:space="preserve"> </w:t>
      </w:r>
      <w:r w:rsidR="002C7328" w:rsidRPr="0032259F">
        <w:rPr>
          <w:rFonts w:eastAsia="SimSun"/>
          <w:sz w:val="24"/>
          <w:szCs w:val="24"/>
          <w:lang w:val="en-GB"/>
        </w:rPr>
        <w:t>25 mg film-coated tablets</w:t>
      </w:r>
    </w:p>
    <w:p w14:paraId="5A16997D" w14:textId="77777777" w:rsidR="002C7328" w:rsidRPr="0032259F" w:rsidRDefault="002C7328" w:rsidP="00A15450">
      <w:pPr>
        <w:ind w:left="851"/>
        <w:rPr>
          <w:sz w:val="24"/>
          <w:szCs w:val="24"/>
          <w:lang w:val="en-GB"/>
        </w:rPr>
      </w:pPr>
      <w:r w:rsidRPr="0032259F">
        <w:rPr>
          <w:rFonts w:eastAsia="SimSun"/>
          <w:sz w:val="24"/>
          <w:szCs w:val="24"/>
          <w:lang w:val="en-GB"/>
        </w:rPr>
        <w:t xml:space="preserve">White, round, biconvex, film-coated tablets, </w:t>
      </w:r>
      <w:r w:rsidRPr="0032259F">
        <w:rPr>
          <w:sz w:val="24"/>
          <w:szCs w:val="24"/>
          <w:lang w:val="en-GB"/>
        </w:rPr>
        <w:t>with a nominal diameter of 6.5 mm, debossed with “25” on one side and plain on the other side.</w:t>
      </w:r>
    </w:p>
    <w:p w14:paraId="300B406E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/>
        </w:rPr>
      </w:pPr>
    </w:p>
    <w:p w14:paraId="3AB384A4" w14:textId="723C4F1D" w:rsidR="002C7328" w:rsidRPr="0032259F" w:rsidRDefault="004745B3" w:rsidP="00A15450">
      <w:pPr>
        <w:ind w:left="851"/>
        <w:rPr>
          <w:rFonts w:eastAsia="SimSun"/>
          <w:sz w:val="24"/>
          <w:szCs w:val="24"/>
          <w:lang w:val="en-GB"/>
        </w:rPr>
      </w:pPr>
      <w:proofErr w:type="spellStart"/>
      <w:r w:rsidRPr="0032259F">
        <w:rPr>
          <w:rFonts w:eastAsiaTheme="minorHAnsi"/>
          <w:sz w:val="24"/>
          <w:szCs w:val="24"/>
          <w:lang w:val="en-GB"/>
        </w:rPr>
        <w:t>Eltrombopag</w:t>
      </w:r>
      <w:proofErr w:type="spellEnd"/>
      <w:r w:rsidRPr="0032259F">
        <w:rPr>
          <w:rFonts w:eastAsiaTheme="minorHAnsi"/>
          <w:sz w:val="24"/>
          <w:szCs w:val="24"/>
          <w:lang w:val="en-GB"/>
        </w:rPr>
        <w:t xml:space="preserve"> "</w:t>
      </w:r>
      <w:proofErr w:type="spellStart"/>
      <w:r w:rsidRPr="0032259F">
        <w:rPr>
          <w:rFonts w:eastAsiaTheme="minorHAnsi"/>
          <w:sz w:val="24"/>
          <w:szCs w:val="24"/>
          <w:lang w:val="en-GB"/>
        </w:rPr>
        <w:t>Vipharm</w:t>
      </w:r>
      <w:proofErr w:type="spellEnd"/>
      <w:r w:rsidRPr="0032259F">
        <w:rPr>
          <w:rFonts w:eastAsiaTheme="minorHAnsi"/>
          <w:sz w:val="24"/>
          <w:szCs w:val="24"/>
          <w:lang w:val="en-GB"/>
        </w:rPr>
        <w:t>"</w:t>
      </w:r>
      <w:r w:rsidR="002C7328" w:rsidRPr="0032259F">
        <w:rPr>
          <w:rFonts w:eastAsiaTheme="minorHAnsi"/>
          <w:sz w:val="24"/>
          <w:szCs w:val="24"/>
          <w:lang w:val="en-GB"/>
        </w:rPr>
        <w:t xml:space="preserve"> </w:t>
      </w:r>
      <w:r w:rsidR="002C7328" w:rsidRPr="0032259F">
        <w:rPr>
          <w:rFonts w:eastAsia="SimSun"/>
          <w:sz w:val="24"/>
          <w:szCs w:val="24"/>
          <w:lang w:val="en-GB"/>
        </w:rPr>
        <w:t>50 mg film-coated tablets</w:t>
      </w:r>
    </w:p>
    <w:p w14:paraId="13F468C3" w14:textId="77777777" w:rsidR="002C7328" w:rsidRPr="0032259F" w:rsidRDefault="002C7328" w:rsidP="00A15450">
      <w:pPr>
        <w:ind w:left="851"/>
        <w:rPr>
          <w:sz w:val="24"/>
          <w:szCs w:val="24"/>
          <w:lang w:val="en-GB"/>
        </w:rPr>
      </w:pPr>
      <w:r w:rsidRPr="0032259F">
        <w:rPr>
          <w:rFonts w:eastAsia="SimSun"/>
          <w:sz w:val="24"/>
          <w:szCs w:val="24"/>
          <w:lang w:val="en-GB"/>
        </w:rPr>
        <w:t xml:space="preserve">Brown, round, biconvex, film-coated tablets, </w:t>
      </w:r>
      <w:r w:rsidRPr="0032259F">
        <w:rPr>
          <w:sz w:val="24"/>
          <w:szCs w:val="24"/>
          <w:lang w:val="en-GB"/>
        </w:rPr>
        <w:t xml:space="preserve">with a nominal diameter of 9.1 mm, debossed with “50” on one side and plain on the other side. </w:t>
      </w:r>
    </w:p>
    <w:p w14:paraId="2263CADF" w14:textId="77777777" w:rsidR="002C7328" w:rsidRPr="0032259F" w:rsidRDefault="002C7328" w:rsidP="00A15450">
      <w:pPr>
        <w:ind w:left="851"/>
        <w:rPr>
          <w:rFonts w:eastAsia="TimesNewRomanPSMT"/>
          <w:sz w:val="24"/>
          <w:szCs w:val="24"/>
          <w:lang w:val="en-GB"/>
        </w:rPr>
      </w:pPr>
    </w:p>
    <w:p w14:paraId="696A922B" w14:textId="28D1EA69" w:rsidR="002C7328" w:rsidRPr="0032259F" w:rsidRDefault="004745B3" w:rsidP="00A15450">
      <w:pPr>
        <w:ind w:left="851"/>
        <w:rPr>
          <w:rFonts w:eastAsia="SimSun"/>
          <w:sz w:val="24"/>
          <w:szCs w:val="24"/>
          <w:lang w:val="en-GB"/>
        </w:rPr>
      </w:pPr>
      <w:proofErr w:type="spellStart"/>
      <w:r w:rsidRPr="0032259F">
        <w:rPr>
          <w:rFonts w:eastAsiaTheme="minorHAnsi"/>
          <w:sz w:val="24"/>
          <w:szCs w:val="24"/>
          <w:lang w:val="en-GB"/>
        </w:rPr>
        <w:t>Eltrombopag</w:t>
      </w:r>
      <w:proofErr w:type="spellEnd"/>
      <w:r w:rsidRPr="0032259F">
        <w:rPr>
          <w:rFonts w:eastAsiaTheme="minorHAnsi"/>
          <w:sz w:val="24"/>
          <w:szCs w:val="24"/>
          <w:lang w:val="en-GB"/>
        </w:rPr>
        <w:t xml:space="preserve"> "</w:t>
      </w:r>
      <w:proofErr w:type="spellStart"/>
      <w:r w:rsidRPr="0032259F">
        <w:rPr>
          <w:rFonts w:eastAsiaTheme="minorHAnsi"/>
          <w:sz w:val="24"/>
          <w:szCs w:val="24"/>
          <w:lang w:val="en-GB"/>
        </w:rPr>
        <w:t>Vipharm</w:t>
      </w:r>
      <w:proofErr w:type="spellEnd"/>
      <w:r w:rsidRPr="0032259F">
        <w:rPr>
          <w:rFonts w:eastAsiaTheme="minorHAnsi"/>
          <w:sz w:val="24"/>
          <w:szCs w:val="24"/>
          <w:lang w:val="en-GB"/>
        </w:rPr>
        <w:t>"</w:t>
      </w:r>
      <w:r w:rsidR="002C7328" w:rsidRPr="0032259F">
        <w:rPr>
          <w:rFonts w:eastAsiaTheme="minorHAnsi"/>
          <w:sz w:val="24"/>
          <w:szCs w:val="24"/>
          <w:lang w:val="en-GB"/>
        </w:rPr>
        <w:t xml:space="preserve"> </w:t>
      </w:r>
      <w:r w:rsidR="002C7328" w:rsidRPr="0032259F">
        <w:rPr>
          <w:rFonts w:eastAsia="SimSun"/>
          <w:sz w:val="24"/>
          <w:szCs w:val="24"/>
          <w:lang w:val="en-GB"/>
        </w:rPr>
        <w:t>75 mg film-coated tablets</w:t>
      </w:r>
    </w:p>
    <w:p w14:paraId="38766E90" w14:textId="77777777" w:rsidR="002C7328" w:rsidRPr="0032259F" w:rsidRDefault="002C7328" w:rsidP="00A15450">
      <w:pPr>
        <w:ind w:left="851"/>
        <w:rPr>
          <w:sz w:val="24"/>
          <w:szCs w:val="24"/>
          <w:lang w:val="en-GB"/>
        </w:rPr>
      </w:pPr>
      <w:r w:rsidRPr="0032259F">
        <w:rPr>
          <w:rFonts w:eastAsia="SimSun"/>
          <w:sz w:val="24"/>
          <w:szCs w:val="24"/>
          <w:lang w:val="en-GB"/>
        </w:rPr>
        <w:t xml:space="preserve">Pink, round, biconvex, film-coated tablets, </w:t>
      </w:r>
      <w:r w:rsidRPr="0032259F">
        <w:rPr>
          <w:sz w:val="24"/>
          <w:szCs w:val="24"/>
          <w:lang w:val="en-GB"/>
        </w:rPr>
        <w:t>with a nominal diameter of 10.4 mm, debossed with “75” on one side and plain on the other side.</w:t>
      </w:r>
    </w:p>
    <w:p w14:paraId="7AD918A9" w14:textId="77777777" w:rsidR="007C5D2A" w:rsidRPr="0032259F" w:rsidRDefault="007C5D2A" w:rsidP="004A3BF4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7594157C" w14:textId="77777777" w:rsidR="007C5D2A" w:rsidRPr="0032259F" w:rsidRDefault="007C5D2A" w:rsidP="004A3BF4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4D092D42" w14:textId="77777777" w:rsidR="007C5D2A" w:rsidRPr="0032259F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32259F">
        <w:rPr>
          <w:b/>
          <w:sz w:val="24"/>
          <w:szCs w:val="24"/>
          <w:lang w:val="en-GB"/>
        </w:rPr>
        <w:t>4.</w:t>
      </w:r>
      <w:r w:rsidRPr="0032259F">
        <w:rPr>
          <w:b/>
          <w:sz w:val="24"/>
          <w:szCs w:val="24"/>
          <w:lang w:val="en-GB"/>
        </w:rPr>
        <w:tab/>
        <w:t>CLINICAL PARTICULARS</w:t>
      </w:r>
    </w:p>
    <w:p w14:paraId="741A1683" w14:textId="77777777" w:rsidR="007C5D2A" w:rsidRPr="0032259F" w:rsidRDefault="007C5D2A" w:rsidP="004A3BF4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27DEA21E" w14:textId="77777777" w:rsidR="007C5D2A" w:rsidRPr="0032259F" w:rsidRDefault="007C5D2A" w:rsidP="007C5D2A">
      <w:pPr>
        <w:ind w:left="851" w:hanging="851"/>
        <w:rPr>
          <w:b/>
          <w:sz w:val="24"/>
          <w:szCs w:val="24"/>
          <w:u w:val="single"/>
          <w:lang w:val="en-GB"/>
        </w:rPr>
      </w:pPr>
      <w:r w:rsidRPr="0032259F">
        <w:rPr>
          <w:b/>
          <w:sz w:val="24"/>
          <w:szCs w:val="24"/>
          <w:lang w:val="en-GB"/>
        </w:rPr>
        <w:t>4.1</w:t>
      </w:r>
      <w:r w:rsidRPr="0032259F">
        <w:rPr>
          <w:b/>
          <w:sz w:val="24"/>
          <w:szCs w:val="24"/>
          <w:lang w:val="en-GB"/>
        </w:rPr>
        <w:tab/>
        <w:t>Therapeutic indications</w:t>
      </w:r>
    </w:p>
    <w:p w14:paraId="1E9F49CF" w14:textId="4D76A50A" w:rsidR="002C7328" w:rsidRPr="0032259F" w:rsidRDefault="004745B3" w:rsidP="00A15450">
      <w:pPr>
        <w:ind w:left="851"/>
        <w:rPr>
          <w:rFonts w:eastAsia="SimSun"/>
          <w:sz w:val="24"/>
          <w:szCs w:val="24"/>
          <w:lang w:val="en-GB" w:eastAsia="en-GB"/>
        </w:rPr>
      </w:pPr>
      <w:proofErr w:type="spellStart"/>
      <w:r w:rsidRPr="0032259F">
        <w:rPr>
          <w:rFonts w:eastAsiaTheme="minorHAnsi"/>
          <w:sz w:val="24"/>
          <w:szCs w:val="24"/>
          <w:lang w:val="en-GB"/>
        </w:rPr>
        <w:t>Eltrombopag</w:t>
      </w:r>
      <w:proofErr w:type="spellEnd"/>
      <w:r w:rsidRPr="0032259F">
        <w:rPr>
          <w:rFonts w:eastAsiaTheme="minorHAnsi"/>
          <w:sz w:val="24"/>
          <w:szCs w:val="24"/>
          <w:lang w:val="en-GB"/>
        </w:rPr>
        <w:t xml:space="preserve"> "</w:t>
      </w:r>
      <w:proofErr w:type="spellStart"/>
      <w:r w:rsidRPr="0032259F">
        <w:rPr>
          <w:rFonts w:eastAsiaTheme="minorHAnsi"/>
          <w:sz w:val="24"/>
          <w:szCs w:val="24"/>
          <w:lang w:val="en-GB"/>
        </w:rPr>
        <w:t>Vipharm</w:t>
      </w:r>
      <w:proofErr w:type="spellEnd"/>
      <w:r w:rsidRPr="0032259F">
        <w:rPr>
          <w:rFonts w:eastAsiaTheme="minorHAnsi"/>
          <w:sz w:val="24"/>
          <w:szCs w:val="24"/>
          <w:lang w:val="en-GB"/>
        </w:rPr>
        <w:t>"</w:t>
      </w:r>
      <w:r w:rsidR="002C7328" w:rsidRPr="0032259F">
        <w:rPr>
          <w:rFonts w:eastAsia="SimSun"/>
          <w:sz w:val="24"/>
          <w:szCs w:val="24"/>
          <w:lang w:val="en-GB" w:eastAsia="en-GB"/>
        </w:rPr>
        <w:t xml:space="preserve"> is indicated for the treatment of adult patients with primary immune thrombocytopenia (ITP) who are refractory to other treatments (e.g. corticosteroids, immunoglobulins) (see sections 4.2 and 5.1).</w:t>
      </w:r>
    </w:p>
    <w:p w14:paraId="5FDF4BE9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14700EF3" w14:textId="1724A2E1" w:rsidR="002C7328" w:rsidRPr="0032259F" w:rsidRDefault="004745B3" w:rsidP="00A15450">
      <w:pPr>
        <w:ind w:left="851"/>
        <w:rPr>
          <w:rFonts w:eastAsia="SimSun"/>
          <w:sz w:val="24"/>
          <w:szCs w:val="24"/>
          <w:lang w:val="en-GB" w:eastAsia="en-GB"/>
        </w:rPr>
      </w:pPr>
      <w:proofErr w:type="spellStart"/>
      <w:r w:rsidRPr="0032259F">
        <w:rPr>
          <w:rFonts w:eastAsiaTheme="minorHAnsi"/>
          <w:sz w:val="24"/>
          <w:szCs w:val="24"/>
          <w:lang w:val="en-GB"/>
        </w:rPr>
        <w:t>Eltrombopag</w:t>
      </w:r>
      <w:proofErr w:type="spellEnd"/>
      <w:r w:rsidRPr="0032259F">
        <w:rPr>
          <w:rFonts w:eastAsiaTheme="minorHAnsi"/>
          <w:sz w:val="24"/>
          <w:szCs w:val="24"/>
          <w:lang w:val="en-GB"/>
        </w:rPr>
        <w:t xml:space="preserve"> "</w:t>
      </w:r>
      <w:proofErr w:type="spellStart"/>
      <w:r w:rsidRPr="0032259F">
        <w:rPr>
          <w:rFonts w:eastAsiaTheme="minorHAnsi"/>
          <w:sz w:val="24"/>
          <w:szCs w:val="24"/>
          <w:lang w:val="en-GB"/>
        </w:rPr>
        <w:t>Vipharm</w:t>
      </w:r>
      <w:proofErr w:type="spellEnd"/>
      <w:r w:rsidRPr="0032259F">
        <w:rPr>
          <w:rFonts w:eastAsiaTheme="minorHAnsi"/>
          <w:sz w:val="24"/>
          <w:szCs w:val="24"/>
          <w:lang w:val="en-GB"/>
        </w:rPr>
        <w:t>"</w:t>
      </w:r>
      <w:r w:rsidR="002C7328" w:rsidRPr="0032259F">
        <w:rPr>
          <w:rFonts w:eastAsia="SimSun"/>
          <w:sz w:val="24"/>
          <w:szCs w:val="24"/>
          <w:lang w:val="en-GB" w:eastAsia="en-GB"/>
        </w:rPr>
        <w:t xml:space="preserve"> is indicated for the treatment of paediatric patients aged 1 year and above with primary immune thrombocytopenia (ITP) lasting 6 months or longer from diagnosis and who are refractory to other treatments (e.g. corticosteroids, immunoglobulins) (see sections 4.2 and 5.1).</w:t>
      </w:r>
    </w:p>
    <w:p w14:paraId="29FA49EF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01F31E82" w14:textId="768FA55D" w:rsidR="002C7328" w:rsidRPr="0032259F" w:rsidRDefault="004745B3" w:rsidP="00A15450">
      <w:pPr>
        <w:ind w:left="851"/>
        <w:rPr>
          <w:rFonts w:eastAsia="SimSun"/>
          <w:sz w:val="24"/>
          <w:szCs w:val="24"/>
          <w:lang w:val="en-GB" w:eastAsia="en-GB"/>
        </w:rPr>
      </w:pPr>
      <w:proofErr w:type="spellStart"/>
      <w:r w:rsidRPr="0032259F">
        <w:rPr>
          <w:rFonts w:eastAsiaTheme="minorHAnsi"/>
          <w:sz w:val="24"/>
          <w:szCs w:val="24"/>
          <w:lang w:val="en-GB"/>
        </w:rPr>
        <w:t>Eltrombopag</w:t>
      </w:r>
      <w:proofErr w:type="spellEnd"/>
      <w:r w:rsidRPr="0032259F">
        <w:rPr>
          <w:rFonts w:eastAsiaTheme="minorHAnsi"/>
          <w:sz w:val="24"/>
          <w:szCs w:val="24"/>
          <w:lang w:val="en-GB"/>
        </w:rPr>
        <w:t xml:space="preserve"> "</w:t>
      </w:r>
      <w:proofErr w:type="spellStart"/>
      <w:r w:rsidRPr="0032259F">
        <w:rPr>
          <w:rFonts w:eastAsiaTheme="minorHAnsi"/>
          <w:sz w:val="24"/>
          <w:szCs w:val="24"/>
          <w:lang w:val="en-GB"/>
        </w:rPr>
        <w:t>Vipharm</w:t>
      </w:r>
      <w:proofErr w:type="spellEnd"/>
      <w:r w:rsidRPr="0032259F">
        <w:rPr>
          <w:rFonts w:eastAsiaTheme="minorHAnsi"/>
          <w:sz w:val="24"/>
          <w:szCs w:val="24"/>
          <w:lang w:val="en-GB"/>
        </w:rPr>
        <w:t>"</w:t>
      </w:r>
      <w:r w:rsidR="002C7328" w:rsidRPr="0032259F">
        <w:rPr>
          <w:rFonts w:eastAsiaTheme="minorHAnsi"/>
          <w:sz w:val="24"/>
          <w:szCs w:val="24"/>
          <w:lang w:val="en-GB"/>
        </w:rPr>
        <w:t xml:space="preserve"> </w:t>
      </w:r>
      <w:r w:rsidR="002C7328" w:rsidRPr="0032259F">
        <w:rPr>
          <w:rFonts w:eastAsia="SimSun"/>
          <w:sz w:val="24"/>
          <w:szCs w:val="24"/>
          <w:lang w:val="en-GB" w:eastAsia="en-GB"/>
        </w:rPr>
        <w:t>is indicated in adult patients with chronic hepatitis C virus (HCV) infection for the treatment of thrombocytopenia, where the degree of thrombocytopenia is the main factor preventing the initiation or limiting the ability to maintain optimal interferon-based therapy (see sections 4.4 and 5.1).</w:t>
      </w:r>
    </w:p>
    <w:p w14:paraId="66E61C0B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24CEC265" w14:textId="2E2C8868" w:rsidR="002C7328" w:rsidRPr="0032259F" w:rsidRDefault="004745B3" w:rsidP="00A15450">
      <w:pPr>
        <w:ind w:left="851"/>
        <w:rPr>
          <w:rFonts w:eastAsia="SimSun"/>
          <w:sz w:val="24"/>
          <w:szCs w:val="24"/>
          <w:lang w:val="en-GB" w:eastAsia="en-GB"/>
        </w:rPr>
      </w:pPr>
      <w:proofErr w:type="spellStart"/>
      <w:r w:rsidRPr="0032259F">
        <w:rPr>
          <w:rFonts w:eastAsiaTheme="minorHAnsi"/>
          <w:sz w:val="24"/>
          <w:szCs w:val="24"/>
          <w:lang w:val="en-GB"/>
        </w:rPr>
        <w:t>Eltrombopag</w:t>
      </w:r>
      <w:proofErr w:type="spellEnd"/>
      <w:r w:rsidRPr="0032259F">
        <w:rPr>
          <w:rFonts w:eastAsiaTheme="minorHAnsi"/>
          <w:sz w:val="24"/>
          <w:szCs w:val="24"/>
          <w:lang w:val="en-GB"/>
        </w:rPr>
        <w:t xml:space="preserve"> "</w:t>
      </w:r>
      <w:proofErr w:type="spellStart"/>
      <w:r w:rsidRPr="0032259F">
        <w:rPr>
          <w:rFonts w:eastAsiaTheme="minorHAnsi"/>
          <w:sz w:val="24"/>
          <w:szCs w:val="24"/>
          <w:lang w:val="en-GB"/>
        </w:rPr>
        <w:t>Vipharm</w:t>
      </w:r>
      <w:proofErr w:type="spellEnd"/>
      <w:r w:rsidRPr="0032259F">
        <w:rPr>
          <w:rFonts w:eastAsiaTheme="minorHAnsi"/>
          <w:sz w:val="24"/>
          <w:szCs w:val="24"/>
          <w:lang w:val="en-GB"/>
        </w:rPr>
        <w:t>"</w:t>
      </w:r>
      <w:r w:rsidR="002C7328" w:rsidRPr="0032259F">
        <w:rPr>
          <w:rFonts w:eastAsiaTheme="minorHAnsi"/>
          <w:sz w:val="24"/>
          <w:szCs w:val="24"/>
          <w:lang w:val="en-GB"/>
        </w:rPr>
        <w:t xml:space="preserve"> </w:t>
      </w:r>
      <w:r w:rsidR="002C7328" w:rsidRPr="0032259F">
        <w:rPr>
          <w:rFonts w:eastAsia="SimSun"/>
          <w:sz w:val="24"/>
          <w:szCs w:val="24"/>
          <w:lang w:val="en-GB" w:eastAsia="en-GB"/>
        </w:rPr>
        <w:t xml:space="preserve">is indicated in adult patients with acquired severe aplastic anaemia (SAA) who were either refractory to prior immunosuppressive therapy or heavily </w:t>
      </w:r>
      <w:proofErr w:type="spellStart"/>
      <w:r w:rsidR="002C7328" w:rsidRPr="0032259F">
        <w:rPr>
          <w:rFonts w:eastAsia="SimSun"/>
          <w:sz w:val="24"/>
          <w:szCs w:val="24"/>
          <w:lang w:val="en-GB" w:eastAsia="en-GB"/>
        </w:rPr>
        <w:t>pretreated</w:t>
      </w:r>
      <w:proofErr w:type="spellEnd"/>
      <w:r w:rsidR="002C7328" w:rsidRPr="0032259F">
        <w:rPr>
          <w:rFonts w:eastAsia="SimSun"/>
          <w:sz w:val="24"/>
          <w:szCs w:val="24"/>
          <w:lang w:val="en-GB" w:eastAsia="en-GB"/>
        </w:rPr>
        <w:t xml:space="preserve"> and are unsuitable for</w:t>
      </w:r>
    </w:p>
    <w:p w14:paraId="2B04527E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haematopoietic stem cell transplantation (see section 5.1).</w:t>
      </w:r>
    </w:p>
    <w:p w14:paraId="099A749E" w14:textId="77777777" w:rsidR="007C5D2A" w:rsidRPr="0032259F" w:rsidRDefault="007C5D2A" w:rsidP="00A85D26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05787CA3" w14:textId="77777777" w:rsidR="007C5D2A" w:rsidRPr="0032259F" w:rsidRDefault="009925C9" w:rsidP="007C5D2A">
      <w:pPr>
        <w:tabs>
          <w:tab w:val="left" w:pos="851"/>
        </w:tabs>
        <w:ind w:left="851" w:hanging="851"/>
        <w:rPr>
          <w:sz w:val="24"/>
          <w:szCs w:val="24"/>
          <w:lang w:val="en-GB"/>
        </w:rPr>
      </w:pPr>
      <w:r w:rsidRPr="0032259F">
        <w:rPr>
          <w:b/>
          <w:sz w:val="24"/>
          <w:szCs w:val="24"/>
          <w:lang w:val="en-GB"/>
        </w:rPr>
        <w:t>4.2</w:t>
      </w:r>
      <w:r w:rsidR="007C5D2A" w:rsidRPr="0032259F">
        <w:rPr>
          <w:b/>
          <w:sz w:val="24"/>
          <w:szCs w:val="24"/>
          <w:lang w:val="en-GB"/>
        </w:rPr>
        <w:tab/>
        <w:t>Posology and method of administration</w:t>
      </w:r>
    </w:p>
    <w:p w14:paraId="48FA288C" w14:textId="4B096FEF" w:rsidR="002C7328" w:rsidRPr="0032259F" w:rsidRDefault="002C7328" w:rsidP="00A15450">
      <w:pPr>
        <w:autoSpaceDE w:val="0"/>
        <w:autoSpaceDN w:val="0"/>
        <w:adjustRightInd w:val="0"/>
        <w:ind w:left="851"/>
        <w:rPr>
          <w:rFonts w:eastAsia="SimSun"/>
          <w:sz w:val="24"/>
          <w:szCs w:val="24"/>
          <w:lang w:val="en-GB" w:eastAsia="en-GB"/>
        </w:rPr>
      </w:pP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treatment should be initiated by and remain under the supervision of a physician who is</w:t>
      </w:r>
      <w:r w:rsidR="004745B3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experienced in the treatment of haematological diseases or the management of chronic hepatitis C and</w:t>
      </w:r>
      <w:r w:rsidR="004745B3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its complications.</w:t>
      </w:r>
    </w:p>
    <w:p w14:paraId="3FF256B4" w14:textId="77777777" w:rsidR="002C7328" w:rsidRPr="0032259F" w:rsidRDefault="002C7328" w:rsidP="00A15450">
      <w:pPr>
        <w:autoSpaceDE w:val="0"/>
        <w:autoSpaceDN w:val="0"/>
        <w:adjustRightInd w:val="0"/>
        <w:ind w:left="851"/>
        <w:rPr>
          <w:rFonts w:eastAsia="SimSun"/>
          <w:sz w:val="24"/>
          <w:szCs w:val="24"/>
          <w:lang w:val="en-GB" w:eastAsia="en-GB"/>
        </w:rPr>
      </w:pPr>
    </w:p>
    <w:p w14:paraId="4EF51B0B" w14:textId="77777777" w:rsidR="002C7328" w:rsidRPr="0032259F" w:rsidRDefault="002C7328" w:rsidP="00A15450">
      <w:pPr>
        <w:autoSpaceDE w:val="0"/>
        <w:autoSpaceDN w:val="0"/>
        <w:adjustRightInd w:val="0"/>
        <w:ind w:left="851"/>
        <w:rPr>
          <w:rFonts w:eastAsia="SimSun"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sz w:val="24"/>
          <w:szCs w:val="24"/>
          <w:u w:val="single"/>
          <w:lang w:val="en-GB" w:eastAsia="en-GB"/>
        </w:rPr>
        <w:t>Posology</w:t>
      </w:r>
    </w:p>
    <w:p w14:paraId="2C1B652A" w14:textId="77777777" w:rsidR="002C7328" w:rsidRPr="0032259F" w:rsidRDefault="002C7328" w:rsidP="00A15450">
      <w:pPr>
        <w:autoSpaceDE w:val="0"/>
        <w:autoSpaceDN w:val="0"/>
        <w:adjustRightInd w:val="0"/>
        <w:ind w:left="851"/>
        <w:rPr>
          <w:rFonts w:eastAsia="SimSun"/>
          <w:sz w:val="24"/>
          <w:szCs w:val="24"/>
          <w:u w:val="single"/>
          <w:lang w:val="en-GB" w:eastAsia="en-GB"/>
        </w:rPr>
      </w:pPr>
    </w:p>
    <w:p w14:paraId="3204D2E0" w14:textId="77777777" w:rsidR="002C7328" w:rsidRPr="0032259F" w:rsidRDefault="002C7328" w:rsidP="00A15450">
      <w:pPr>
        <w:autoSpaceDE w:val="0"/>
        <w:autoSpaceDN w:val="0"/>
        <w:adjustRightInd w:val="0"/>
        <w:ind w:left="851"/>
        <w:rPr>
          <w:rFonts w:eastAsia="SimSun"/>
          <w:sz w:val="24"/>
          <w:szCs w:val="24"/>
          <w:lang w:val="en-GB" w:eastAsia="en-GB"/>
        </w:rPr>
      </w:pP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dosing requirements must be individualised based on </w:t>
      </w:r>
      <w:r w:rsidRPr="0032259F">
        <w:rPr>
          <w:rFonts w:eastAsia="TimesNewRomanPSMT"/>
          <w:sz w:val="24"/>
          <w:szCs w:val="24"/>
          <w:lang w:val="en-GB" w:eastAsia="en-GB"/>
        </w:rPr>
        <w:t xml:space="preserve">the patient’s </w:t>
      </w:r>
      <w:r w:rsidRPr="0032259F">
        <w:rPr>
          <w:rFonts w:eastAsia="SimSun"/>
          <w:sz w:val="24"/>
          <w:szCs w:val="24"/>
          <w:lang w:val="en-GB" w:eastAsia="en-GB"/>
        </w:rPr>
        <w:t xml:space="preserve">platelet counts. The objective of treatment with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should not be to normalise platelet counts.</w:t>
      </w:r>
    </w:p>
    <w:p w14:paraId="7E1AB450" w14:textId="77777777" w:rsidR="002C7328" w:rsidRPr="0032259F" w:rsidRDefault="002C7328" w:rsidP="00A15450">
      <w:pPr>
        <w:autoSpaceDE w:val="0"/>
        <w:autoSpaceDN w:val="0"/>
        <w:adjustRightInd w:val="0"/>
        <w:ind w:left="851"/>
        <w:rPr>
          <w:rFonts w:eastAsia="SimSun"/>
          <w:sz w:val="24"/>
          <w:szCs w:val="24"/>
          <w:lang w:val="en-GB" w:eastAsia="en-GB"/>
        </w:rPr>
      </w:pPr>
    </w:p>
    <w:p w14:paraId="730CBAFB" w14:textId="39B6CDE0" w:rsidR="002C7328" w:rsidRPr="0032259F" w:rsidRDefault="002C7328" w:rsidP="00A15450">
      <w:pPr>
        <w:autoSpaceDE w:val="0"/>
        <w:autoSpaceDN w:val="0"/>
        <w:adjustRightInd w:val="0"/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The powder for oral suspension may lead to higher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exposure than the tablet formulation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(see section 5.2). When switching between the tablet and the powder for oral suspension formulations,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platelet counts should be monitored weekly for 2 weeks.</w:t>
      </w:r>
    </w:p>
    <w:p w14:paraId="4A6E1CF4" w14:textId="77777777" w:rsidR="002C7328" w:rsidRPr="0032259F" w:rsidRDefault="002C7328" w:rsidP="00A15450">
      <w:pPr>
        <w:autoSpaceDE w:val="0"/>
        <w:autoSpaceDN w:val="0"/>
        <w:adjustRightInd w:val="0"/>
        <w:ind w:left="851"/>
        <w:rPr>
          <w:rFonts w:eastAsia="SimSun"/>
          <w:sz w:val="24"/>
          <w:szCs w:val="24"/>
          <w:lang w:val="en-GB" w:eastAsia="en-GB"/>
        </w:rPr>
      </w:pPr>
    </w:p>
    <w:p w14:paraId="7D599A86" w14:textId="77777777" w:rsidR="002C7328" w:rsidRPr="0032259F" w:rsidRDefault="002C7328" w:rsidP="00A15450">
      <w:pPr>
        <w:autoSpaceDE w:val="0"/>
        <w:autoSpaceDN w:val="0"/>
        <w:adjustRightInd w:val="0"/>
        <w:ind w:left="851"/>
        <w:rPr>
          <w:rFonts w:eastAsia="SimSun"/>
          <w:i/>
          <w:iCs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i/>
          <w:iCs/>
          <w:sz w:val="24"/>
          <w:szCs w:val="24"/>
          <w:u w:val="single"/>
          <w:lang w:val="en-GB" w:eastAsia="en-GB"/>
        </w:rPr>
        <w:t>Immune (primary) thrombocytopenia</w:t>
      </w:r>
    </w:p>
    <w:p w14:paraId="7189F75E" w14:textId="77777777" w:rsidR="002C7328" w:rsidRPr="0032259F" w:rsidRDefault="002C7328" w:rsidP="00A15450">
      <w:pPr>
        <w:autoSpaceDE w:val="0"/>
        <w:autoSpaceDN w:val="0"/>
        <w:adjustRightInd w:val="0"/>
        <w:ind w:left="851"/>
        <w:rPr>
          <w:rFonts w:eastAsia="SimSun"/>
          <w:iCs/>
          <w:sz w:val="24"/>
          <w:szCs w:val="24"/>
          <w:lang w:val="en-GB" w:eastAsia="en-GB"/>
        </w:rPr>
      </w:pPr>
    </w:p>
    <w:p w14:paraId="6A411FB6" w14:textId="65B64816" w:rsidR="002C7328" w:rsidRPr="0032259F" w:rsidRDefault="002C7328" w:rsidP="00A15450">
      <w:pPr>
        <w:autoSpaceDE w:val="0"/>
        <w:autoSpaceDN w:val="0"/>
        <w:adjustRightInd w:val="0"/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The lowest dose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to achieve </w:t>
      </w:r>
      <w:r w:rsidRPr="0032259F">
        <w:rPr>
          <w:rFonts w:eastAsia="TimesNewRomanPSMT"/>
          <w:sz w:val="24"/>
          <w:szCs w:val="24"/>
          <w:lang w:val="en-GB" w:eastAsia="en-GB"/>
        </w:rPr>
        <w:t>and maintain a platelet count ≥</w:t>
      </w:r>
      <w:r w:rsidRPr="0032259F">
        <w:rPr>
          <w:rFonts w:eastAsia="SimSun"/>
          <w:sz w:val="24"/>
          <w:szCs w:val="24"/>
          <w:lang w:val="en-GB" w:eastAsia="en-GB"/>
        </w:rPr>
        <w:t>50 000/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μl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should be used.</w:t>
      </w:r>
      <w:r w:rsidR="004745B3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Dose adjustments are based upon the platelet count response.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must not be used to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normalise platelet counts. In clinical studies, platelet counts generally increased within 1 to 2 weeks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after starting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and decreased within 1 to 2 weeks after discontinuation.</w:t>
      </w:r>
    </w:p>
    <w:p w14:paraId="5F6A82E0" w14:textId="77777777" w:rsidR="002C7328" w:rsidRPr="0032259F" w:rsidRDefault="002C7328" w:rsidP="00A15450">
      <w:pPr>
        <w:autoSpaceDE w:val="0"/>
        <w:autoSpaceDN w:val="0"/>
        <w:adjustRightInd w:val="0"/>
        <w:ind w:left="851"/>
        <w:rPr>
          <w:rFonts w:eastAsia="SimSun"/>
          <w:sz w:val="24"/>
          <w:szCs w:val="24"/>
          <w:lang w:val="en-GB" w:eastAsia="en-GB"/>
        </w:rPr>
      </w:pPr>
    </w:p>
    <w:p w14:paraId="142BAB96" w14:textId="77777777" w:rsidR="002C7328" w:rsidRPr="0032259F" w:rsidRDefault="002C7328" w:rsidP="00A15450">
      <w:pPr>
        <w:autoSpaceDE w:val="0"/>
        <w:autoSpaceDN w:val="0"/>
        <w:adjustRightInd w:val="0"/>
        <w:ind w:left="851"/>
        <w:rPr>
          <w:rFonts w:eastAsia="SimSun"/>
          <w:i/>
          <w:iCs/>
          <w:sz w:val="24"/>
          <w:szCs w:val="24"/>
          <w:lang w:val="en-GB" w:eastAsia="en-GB"/>
        </w:rPr>
      </w:pPr>
      <w:r w:rsidRPr="0032259F">
        <w:rPr>
          <w:rFonts w:eastAsia="SimSun"/>
          <w:i/>
          <w:iCs/>
          <w:sz w:val="24"/>
          <w:szCs w:val="24"/>
          <w:lang w:val="en-GB" w:eastAsia="en-GB"/>
        </w:rPr>
        <w:lastRenderedPageBreak/>
        <w:t>Adults and paediatric population aged 6 to 17 years</w:t>
      </w:r>
    </w:p>
    <w:p w14:paraId="597D08C3" w14:textId="5EEC42F7" w:rsidR="002C7328" w:rsidRPr="0032259F" w:rsidRDefault="002C7328" w:rsidP="00A15450">
      <w:pPr>
        <w:autoSpaceDE w:val="0"/>
        <w:autoSpaceDN w:val="0"/>
        <w:adjustRightInd w:val="0"/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The recommended starting dose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is 50 mg once daily. For patients of East-/Southeast-Asian ancestry,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should be initiated at a reduced dose of 25 mg once daily (see section 5.2).</w:t>
      </w:r>
    </w:p>
    <w:p w14:paraId="2CC60EE9" w14:textId="77777777" w:rsidR="002C7328" w:rsidRPr="0032259F" w:rsidRDefault="002C7328" w:rsidP="00A15450">
      <w:pPr>
        <w:autoSpaceDE w:val="0"/>
        <w:autoSpaceDN w:val="0"/>
        <w:adjustRightInd w:val="0"/>
        <w:ind w:left="851"/>
        <w:rPr>
          <w:rFonts w:eastAsia="SimSun"/>
          <w:sz w:val="24"/>
          <w:szCs w:val="24"/>
          <w:lang w:val="en-GB" w:eastAsia="en-GB"/>
        </w:rPr>
      </w:pPr>
    </w:p>
    <w:p w14:paraId="4536D3F7" w14:textId="77777777" w:rsidR="002C7328" w:rsidRPr="0032259F" w:rsidRDefault="002C7328" w:rsidP="00A15450">
      <w:pPr>
        <w:autoSpaceDE w:val="0"/>
        <w:autoSpaceDN w:val="0"/>
        <w:adjustRightInd w:val="0"/>
        <w:ind w:left="851"/>
        <w:rPr>
          <w:rFonts w:eastAsia="SimSun"/>
          <w:i/>
          <w:iCs/>
          <w:sz w:val="24"/>
          <w:szCs w:val="24"/>
          <w:lang w:val="en-GB" w:eastAsia="en-GB"/>
        </w:rPr>
      </w:pPr>
      <w:r w:rsidRPr="0032259F">
        <w:rPr>
          <w:rFonts w:eastAsia="SimSun"/>
          <w:i/>
          <w:iCs/>
          <w:sz w:val="24"/>
          <w:szCs w:val="24"/>
          <w:lang w:val="en-GB" w:eastAsia="en-GB"/>
        </w:rPr>
        <w:t>Paediatric population aged 1 to 5 years</w:t>
      </w:r>
    </w:p>
    <w:p w14:paraId="636E83F8" w14:textId="77777777" w:rsidR="002C7328" w:rsidRPr="0032259F" w:rsidRDefault="002C7328" w:rsidP="00A15450">
      <w:pPr>
        <w:autoSpaceDE w:val="0"/>
        <w:autoSpaceDN w:val="0"/>
        <w:adjustRightInd w:val="0"/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The recommended starting dose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is 25 mg once daily.</w:t>
      </w:r>
    </w:p>
    <w:p w14:paraId="21C9A7BF" w14:textId="77777777" w:rsidR="002C7328" w:rsidRPr="0032259F" w:rsidRDefault="002C7328" w:rsidP="00A15450">
      <w:pPr>
        <w:autoSpaceDE w:val="0"/>
        <w:autoSpaceDN w:val="0"/>
        <w:adjustRightInd w:val="0"/>
        <w:ind w:left="851"/>
        <w:rPr>
          <w:rFonts w:eastAsia="SimSun"/>
          <w:sz w:val="24"/>
          <w:szCs w:val="24"/>
          <w:lang w:val="en-GB" w:eastAsia="en-GB"/>
        </w:rPr>
      </w:pPr>
    </w:p>
    <w:p w14:paraId="50351E61" w14:textId="77777777" w:rsidR="002C7328" w:rsidRPr="0032259F" w:rsidRDefault="002C7328" w:rsidP="00A15450">
      <w:pPr>
        <w:autoSpaceDE w:val="0"/>
        <w:autoSpaceDN w:val="0"/>
        <w:adjustRightInd w:val="0"/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Other pharmaceutical forms may be more appropriate for administration to this population.</w:t>
      </w:r>
    </w:p>
    <w:p w14:paraId="20DB60D5" w14:textId="77777777" w:rsidR="002C7328" w:rsidRPr="0032259F" w:rsidRDefault="002C7328" w:rsidP="00A15450">
      <w:pPr>
        <w:autoSpaceDE w:val="0"/>
        <w:autoSpaceDN w:val="0"/>
        <w:adjustRightInd w:val="0"/>
        <w:ind w:left="851"/>
        <w:rPr>
          <w:rFonts w:eastAsia="SimSun"/>
          <w:sz w:val="24"/>
          <w:szCs w:val="24"/>
          <w:lang w:val="en-GB" w:eastAsia="en-GB"/>
        </w:rPr>
      </w:pPr>
    </w:p>
    <w:p w14:paraId="1B1E8CF2" w14:textId="77777777" w:rsidR="002C7328" w:rsidRPr="0032259F" w:rsidRDefault="002C7328" w:rsidP="00A15450">
      <w:pPr>
        <w:autoSpaceDE w:val="0"/>
        <w:autoSpaceDN w:val="0"/>
        <w:adjustRightInd w:val="0"/>
        <w:ind w:left="851"/>
        <w:rPr>
          <w:rFonts w:eastAsia="SimSun"/>
          <w:i/>
          <w:iCs/>
          <w:sz w:val="24"/>
          <w:szCs w:val="24"/>
          <w:lang w:val="en-GB" w:eastAsia="en-GB"/>
        </w:rPr>
      </w:pPr>
      <w:r w:rsidRPr="0032259F">
        <w:rPr>
          <w:rFonts w:eastAsia="SimSun"/>
          <w:i/>
          <w:iCs/>
          <w:sz w:val="24"/>
          <w:szCs w:val="24"/>
          <w:lang w:val="en-GB" w:eastAsia="en-GB"/>
        </w:rPr>
        <w:t>Monitoring and dose adjustment</w:t>
      </w:r>
    </w:p>
    <w:p w14:paraId="0C889945" w14:textId="1530CEC0" w:rsidR="002C7328" w:rsidRPr="0032259F" w:rsidRDefault="002C7328" w:rsidP="00A15450">
      <w:pPr>
        <w:autoSpaceDE w:val="0"/>
        <w:autoSpaceDN w:val="0"/>
        <w:adjustRightInd w:val="0"/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After initiating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, the dose must be adjusted to achieve and maintain a platelet count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TimesNewRomanPSMT"/>
          <w:sz w:val="24"/>
          <w:szCs w:val="24"/>
          <w:lang w:val="en-GB" w:eastAsia="en-GB"/>
        </w:rPr>
        <w:t xml:space="preserve">≥50 </w:t>
      </w:r>
      <w:r w:rsidRPr="0032259F">
        <w:rPr>
          <w:rFonts w:eastAsia="SimSun"/>
          <w:sz w:val="24"/>
          <w:szCs w:val="24"/>
          <w:lang w:val="en-GB" w:eastAsia="en-GB"/>
        </w:rPr>
        <w:t>000/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μl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as necessary to reduce the risk for bleeding. A daily dose of 75 mg must not be exceeded.</w:t>
      </w:r>
    </w:p>
    <w:p w14:paraId="6F6CB412" w14:textId="77777777" w:rsidR="002C7328" w:rsidRPr="0032259F" w:rsidRDefault="002C7328" w:rsidP="00A15450">
      <w:pPr>
        <w:autoSpaceDE w:val="0"/>
        <w:autoSpaceDN w:val="0"/>
        <w:adjustRightInd w:val="0"/>
        <w:ind w:left="851"/>
        <w:rPr>
          <w:rFonts w:eastAsia="SimSun"/>
          <w:sz w:val="24"/>
          <w:szCs w:val="24"/>
          <w:lang w:val="en-GB" w:eastAsia="en-GB"/>
        </w:rPr>
      </w:pPr>
    </w:p>
    <w:p w14:paraId="327F1703" w14:textId="7F01E711" w:rsidR="002C7328" w:rsidRPr="0032259F" w:rsidRDefault="002C7328" w:rsidP="000F7CFC">
      <w:pPr>
        <w:autoSpaceDE w:val="0"/>
        <w:autoSpaceDN w:val="0"/>
        <w:adjustRightInd w:val="0"/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Clinical haematology and liver tests should be monitored regularly throughout therapy with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and the dose regimen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modified based on platelet counts as outlined in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Table 1. During therapy with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full blood counts (FBCs), including platelet count and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peripheral blood smears, should be assessed weekly until a stable platelet count </w:t>
      </w:r>
      <w:r w:rsidRPr="0032259F">
        <w:rPr>
          <w:rFonts w:eastAsia="TimesNewRomanPSMT"/>
          <w:sz w:val="24"/>
          <w:szCs w:val="24"/>
          <w:lang w:val="en-GB" w:eastAsia="en-GB"/>
        </w:rPr>
        <w:t xml:space="preserve">(≥50 </w:t>
      </w:r>
      <w:r w:rsidRPr="0032259F">
        <w:rPr>
          <w:rFonts w:eastAsia="SimSun"/>
          <w:sz w:val="24"/>
          <w:szCs w:val="24"/>
          <w:lang w:val="en-GB" w:eastAsia="en-GB"/>
        </w:rPr>
        <w:t>000/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μl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for at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least 4 weeks) has been achieved. FBCs including platelet counts and peripheral blood smears should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be obtained monthly thereafter.</w:t>
      </w:r>
    </w:p>
    <w:p w14:paraId="50A2A7A1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0B05BEA8" w14:textId="577596F7" w:rsidR="002C7328" w:rsidRPr="0032259F" w:rsidRDefault="002C7328" w:rsidP="004745B3">
      <w:pPr>
        <w:ind w:left="851" w:hanging="851"/>
        <w:rPr>
          <w:rFonts w:eastAsia="SimSun"/>
          <w:b/>
          <w:bCs/>
          <w:sz w:val="24"/>
          <w:szCs w:val="24"/>
          <w:lang w:val="en-GB" w:eastAsia="en-GB"/>
        </w:rPr>
      </w:pPr>
      <w:r w:rsidRPr="0032259F">
        <w:rPr>
          <w:rFonts w:eastAsia="SimSun"/>
          <w:b/>
          <w:bCs/>
          <w:sz w:val="24"/>
          <w:szCs w:val="24"/>
          <w:lang w:val="en-GB" w:eastAsia="en-GB"/>
        </w:rPr>
        <w:t>Table 1</w:t>
      </w:r>
      <w:r w:rsidR="004745B3" w:rsidRPr="0032259F">
        <w:rPr>
          <w:rFonts w:eastAsia="SimSun"/>
          <w:b/>
          <w:bCs/>
          <w:sz w:val="24"/>
          <w:szCs w:val="24"/>
          <w:lang w:val="en-GB" w:eastAsia="en-GB"/>
        </w:rPr>
        <w:tab/>
      </w:r>
      <w:r w:rsidR="004745B3" w:rsidRPr="0032259F">
        <w:rPr>
          <w:rFonts w:eastAsia="SimSun"/>
          <w:b/>
          <w:bCs/>
          <w:sz w:val="24"/>
          <w:szCs w:val="24"/>
          <w:lang w:val="en-GB" w:eastAsia="en-GB"/>
        </w:rPr>
        <w:tab/>
      </w:r>
      <w:r w:rsidRPr="0032259F">
        <w:rPr>
          <w:rFonts w:eastAsia="SimSun"/>
          <w:b/>
          <w:bCs/>
          <w:sz w:val="24"/>
          <w:szCs w:val="24"/>
          <w:lang w:val="en-GB" w:eastAsia="en-GB"/>
        </w:rPr>
        <w:t xml:space="preserve">Dose adjustments of </w:t>
      </w:r>
      <w:proofErr w:type="spellStart"/>
      <w:r w:rsidRPr="0032259F">
        <w:rPr>
          <w:rFonts w:eastAsia="SimSun"/>
          <w:b/>
          <w:bCs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b/>
          <w:bCs/>
          <w:sz w:val="24"/>
          <w:szCs w:val="24"/>
          <w:lang w:val="en-GB" w:eastAsia="en-GB"/>
        </w:rPr>
        <w:t xml:space="preserve"> in ITP patients</w:t>
      </w:r>
    </w:p>
    <w:p w14:paraId="766FED79" w14:textId="77777777" w:rsidR="002C7328" w:rsidRPr="0032259F" w:rsidRDefault="002C7328" w:rsidP="002C7328">
      <w:pPr>
        <w:tabs>
          <w:tab w:val="left" w:pos="1304"/>
        </w:tabs>
        <w:rPr>
          <w:rFonts w:eastAsia="SimSun"/>
          <w:b/>
          <w:bCs/>
          <w:sz w:val="24"/>
          <w:szCs w:val="24"/>
          <w:lang w:val="en-GB" w:eastAsia="en-GB"/>
        </w:rPr>
      </w:pPr>
    </w:p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3158"/>
        <w:gridCol w:w="6470"/>
      </w:tblGrid>
      <w:tr w:rsidR="002C7328" w:rsidRPr="0032259F" w14:paraId="5A544EDE" w14:textId="77777777" w:rsidTr="00A15450"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2EDF" w14:textId="77777777" w:rsidR="002C7328" w:rsidRPr="0032259F" w:rsidRDefault="002C7328">
            <w:pPr>
              <w:tabs>
                <w:tab w:val="left" w:pos="1304"/>
              </w:tabs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Platelet count</w:t>
            </w:r>
          </w:p>
        </w:tc>
        <w:tc>
          <w:tcPr>
            <w:tcW w:w="3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FADB" w14:textId="77777777" w:rsidR="002C7328" w:rsidRPr="0032259F" w:rsidRDefault="002C7328">
            <w:pPr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Dose adjustment or response</w:t>
            </w:r>
          </w:p>
        </w:tc>
      </w:tr>
      <w:tr w:rsidR="002C7328" w:rsidRPr="00727038" w14:paraId="395848D3" w14:textId="77777777" w:rsidTr="00A15450"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7409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&lt;50 000/</w:t>
            </w:r>
            <w:proofErr w:type="spellStart"/>
            <w:r w:rsidRPr="0032259F">
              <w:rPr>
                <w:sz w:val="24"/>
                <w:szCs w:val="24"/>
              </w:rPr>
              <w:t>μl</w:t>
            </w:r>
            <w:proofErr w:type="spellEnd"/>
            <w:r w:rsidRPr="0032259F">
              <w:rPr>
                <w:sz w:val="24"/>
                <w:szCs w:val="24"/>
              </w:rPr>
              <w:t xml:space="preserve"> following at least</w:t>
            </w:r>
          </w:p>
          <w:p w14:paraId="2F0A71DC" w14:textId="77777777" w:rsidR="002C7328" w:rsidRPr="0032259F" w:rsidRDefault="002C7328">
            <w:pPr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2 weeks of therapy</w:t>
            </w:r>
          </w:p>
        </w:tc>
        <w:tc>
          <w:tcPr>
            <w:tcW w:w="3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D0AD" w14:textId="77777777" w:rsidR="002C7328" w:rsidRPr="0032259F" w:rsidRDefault="002C7328">
            <w:pPr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Increase daily dose by 25 mg to a maximum of 75 mg/day*.</w:t>
            </w:r>
          </w:p>
        </w:tc>
      </w:tr>
      <w:tr w:rsidR="002C7328" w:rsidRPr="00727038" w14:paraId="498A7787" w14:textId="77777777" w:rsidTr="00A15450"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A78A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rFonts w:eastAsia="SymbolMT"/>
                <w:sz w:val="24"/>
                <w:szCs w:val="24"/>
              </w:rPr>
              <w:t>≥50 000/</w:t>
            </w:r>
            <w:proofErr w:type="spellStart"/>
            <w:r w:rsidRPr="0032259F">
              <w:rPr>
                <w:rFonts w:eastAsia="SymbolMT"/>
                <w:sz w:val="24"/>
                <w:szCs w:val="24"/>
              </w:rPr>
              <w:t>μl</w:t>
            </w:r>
            <w:proofErr w:type="spellEnd"/>
            <w:r w:rsidRPr="0032259F">
              <w:rPr>
                <w:rFonts w:eastAsia="SymbolMT"/>
                <w:sz w:val="24"/>
                <w:szCs w:val="24"/>
              </w:rPr>
              <w:t xml:space="preserve"> to ≤150 000/</w:t>
            </w:r>
            <w:proofErr w:type="spellStart"/>
            <w:r w:rsidRPr="0032259F">
              <w:rPr>
                <w:rFonts w:eastAsia="SymbolMT"/>
                <w:sz w:val="24"/>
                <w:szCs w:val="24"/>
              </w:rPr>
              <w:t>μl</w:t>
            </w:r>
            <w:proofErr w:type="spellEnd"/>
          </w:p>
        </w:tc>
        <w:tc>
          <w:tcPr>
            <w:tcW w:w="3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074B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 xml:space="preserve">Use lowest dose of </w:t>
            </w:r>
            <w:proofErr w:type="spellStart"/>
            <w:r w:rsidRPr="0032259F">
              <w:rPr>
                <w:sz w:val="24"/>
                <w:szCs w:val="24"/>
              </w:rPr>
              <w:t>eltrombopag</w:t>
            </w:r>
            <w:proofErr w:type="spellEnd"/>
            <w:r w:rsidRPr="0032259F">
              <w:rPr>
                <w:sz w:val="24"/>
                <w:szCs w:val="24"/>
              </w:rPr>
              <w:t xml:space="preserve"> and/or concomitant ITP treatment to maintain platelet counts that avoid or reduce bleeding.</w:t>
            </w:r>
          </w:p>
        </w:tc>
      </w:tr>
      <w:tr w:rsidR="002C7328" w:rsidRPr="00727038" w14:paraId="650B6F12" w14:textId="77777777" w:rsidTr="00A15450"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411F" w14:textId="77777777" w:rsidR="002C7328" w:rsidRPr="0032259F" w:rsidRDefault="002C7328">
            <w:pPr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&gt;150 000/</w:t>
            </w:r>
            <w:proofErr w:type="spellStart"/>
            <w:r w:rsidRPr="0032259F">
              <w:rPr>
                <w:sz w:val="24"/>
                <w:szCs w:val="24"/>
              </w:rPr>
              <w:t>μl</w:t>
            </w:r>
            <w:proofErr w:type="spellEnd"/>
            <w:r w:rsidRPr="0032259F">
              <w:rPr>
                <w:sz w:val="24"/>
                <w:szCs w:val="24"/>
              </w:rPr>
              <w:t xml:space="preserve"> to </w:t>
            </w:r>
            <w:r w:rsidRPr="0032259F">
              <w:rPr>
                <w:rFonts w:eastAsia="SymbolMT"/>
                <w:sz w:val="24"/>
                <w:szCs w:val="24"/>
              </w:rPr>
              <w:t xml:space="preserve">≤ </w:t>
            </w:r>
            <w:r w:rsidRPr="0032259F">
              <w:rPr>
                <w:sz w:val="24"/>
                <w:szCs w:val="24"/>
              </w:rPr>
              <w:t>250 000/</w:t>
            </w:r>
            <w:proofErr w:type="spellStart"/>
            <w:r w:rsidRPr="0032259F">
              <w:rPr>
                <w:sz w:val="24"/>
                <w:szCs w:val="24"/>
              </w:rPr>
              <w:t>μl</w:t>
            </w:r>
            <w:proofErr w:type="spellEnd"/>
          </w:p>
        </w:tc>
        <w:tc>
          <w:tcPr>
            <w:tcW w:w="3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27B8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 xml:space="preserve">Decrease the daily dose by 25 mg. Wait 2 weeks to assess the effects of this and any subsequent dose adjustments </w:t>
            </w:r>
            <w:r w:rsidRPr="0032259F">
              <w:rPr>
                <w:sz w:val="24"/>
                <w:szCs w:val="24"/>
                <w:vertAlign w:val="superscript"/>
              </w:rPr>
              <w:t>♦</w:t>
            </w:r>
            <w:r w:rsidRPr="0032259F">
              <w:rPr>
                <w:sz w:val="24"/>
                <w:szCs w:val="24"/>
              </w:rPr>
              <w:t>.</w:t>
            </w:r>
          </w:p>
        </w:tc>
      </w:tr>
      <w:tr w:rsidR="002C7328" w:rsidRPr="00727038" w14:paraId="5FA03120" w14:textId="77777777" w:rsidTr="00A15450"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EC58" w14:textId="77777777" w:rsidR="002C7328" w:rsidRPr="0032259F" w:rsidRDefault="002C7328">
            <w:pPr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&gt;250 000/</w:t>
            </w:r>
            <w:proofErr w:type="spellStart"/>
            <w:r w:rsidRPr="0032259F">
              <w:rPr>
                <w:sz w:val="24"/>
                <w:szCs w:val="24"/>
              </w:rPr>
              <w:t>μl</w:t>
            </w:r>
            <w:proofErr w:type="spellEnd"/>
          </w:p>
        </w:tc>
        <w:tc>
          <w:tcPr>
            <w:tcW w:w="3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A789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 xml:space="preserve">Stop </w:t>
            </w:r>
            <w:proofErr w:type="spellStart"/>
            <w:r w:rsidRPr="0032259F">
              <w:rPr>
                <w:sz w:val="24"/>
                <w:szCs w:val="24"/>
              </w:rPr>
              <w:t>eltrombopag</w:t>
            </w:r>
            <w:proofErr w:type="spellEnd"/>
            <w:r w:rsidRPr="0032259F">
              <w:rPr>
                <w:sz w:val="24"/>
                <w:szCs w:val="24"/>
              </w:rPr>
              <w:t>; increase the frequency of platelet monitoring</w:t>
            </w:r>
          </w:p>
          <w:p w14:paraId="1B931C20" w14:textId="77777777" w:rsidR="002C7328" w:rsidRPr="0032259F" w:rsidRDefault="002C7328">
            <w:pPr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to twice weekly.</w:t>
            </w:r>
          </w:p>
          <w:p w14:paraId="75AAAA93" w14:textId="77777777" w:rsidR="002C7328" w:rsidRPr="0032259F" w:rsidRDefault="002C7328">
            <w:pPr>
              <w:rPr>
                <w:sz w:val="24"/>
                <w:szCs w:val="24"/>
              </w:rPr>
            </w:pPr>
          </w:p>
          <w:p w14:paraId="2F5EB706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 xml:space="preserve">Once the platelet count is </w:t>
            </w:r>
            <w:r w:rsidRPr="0032259F">
              <w:rPr>
                <w:rFonts w:eastAsia="TimesNewRomanPSMT"/>
                <w:sz w:val="24"/>
                <w:szCs w:val="24"/>
              </w:rPr>
              <w:t>≤</w:t>
            </w:r>
            <w:r w:rsidRPr="0032259F">
              <w:rPr>
                <w:sz w:val="24"/>
                <w:szCs w:val="24"/>
              </w:rPr>
              <w:t>100 000/</w:t>
            </w:r>
            <w:proofErr w:type="spellStart"/>
            <w:r w:rsidRPr="0032259F">
              <w:rPr>
                <w:sz w:val="24"/>
                <w:szCs w:val="24"/>
              </w:rPr>
              <w:t>μl</w:t>
            </w:r>
            <w:proofErr w:type="spellEnd"/>
            <w:r w:rsidRPr="0032259F">
              <w:rPr>
                <w:sz w:val="24"/>
                <w:szCs w:val="24"/>
              </w:rPr>
              <w:t>, reinitiate therapy at a daily dose reduced by 25 mg.</w:t>
            </w:r>
          </w:p>
        </w:tc>
      </w:tr>
    </w:tbl>
    <w:p w14:paraId="1F899190" w14:textId="029FEA74" w:rsidR="002C7328" w:rsidRPr="0032259F" w:rsidRDefault="002C7328" w:rsidP="000F7CFC">
      <w:pPr>
        <w:ind w:left="426" w:hanging="426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*</w:t>
      </w:r>
      <w:r w:rsidR="000F7CFC" w:rsidRPr="0032259F">
        <w:rPr>
          <w:rFonts w:eastAsia="SimSun"/>
          <w:sz w:val="24"/>
          <w:szCs w:val="24"/>
          <w:lang w:val="en-GB" w:eastAsia="en-GB"/>
        </w:rPr>
        <w:tab/>
      </w:r>
      <w:r w:rsidRPr="0032259F">
        <w:rPr>
          <w:rFonts w:eastAsia="SimSun"/>
          <w:sz w:val="24"/>
          <w:szCs w:val="24"/>
          <w:lang w:val="en-GB" w:eastAsia="en-GB"/>
        </w:rPr>
        <w:t xml:space="preserve">For patients taking 25 mg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once every other day, increase dose to 25 mg once daily.</w:t>
      </w:r>
    </w:p>
    <w:p w14:paraId="102FEFF0" w14:textId="4BF21033" w:rsidR="002C7328" w:rsidRPr="0032259F" w:rsidRDefault="002C7328" w:rsidP="000F7CFC">
      <w:pPr>
        <w:autoSpaceDE w:val="0"/>
        <w:autoSpaceDN w:val="0"/>
        <w:adjustRightInd w:val="0"/>
        <w:ind w:left="426" w:hanging="426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♦</w:t>
      </w:r>
      <w:r w:rsidR="000F7CFC" w:rsidRPr="0032259F">
        <w:rPr>
          <w:rFonts w:eastAsia="SimSun"/>
          <w:sz w:val="24"/>
          <w:szCs w:val="24"/>
          <w:lang w:val="en-GB" w:eastAsia="en-GB"/>
        </w:rPr>
        <w:tab/>
      </w:r>
      <w:r w:rsidRPr="0032259F">
        <w:rPr>
          <w:rFonts w:eastAsia="SimSun"/>
          <w:sz w:val="24"/>
          <w:szCs w:val="24"/>
          <w:lang w:val="en-GB" w:eastAsia="en-GB"/>
        </w:rPr>
        <w:t xml:space="preserve">For patients taking 25 mg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once daily, consideration should be given to dosing at 12.5 mg once daily or alternatively a dose of 25 mg once every other day.</w:t>
      </w:r>
    </w:p>
    <w:p w14:paraId="1A147413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3FB665F7" w14:textId="4977DB98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can be administered in addition to other ITP medicinal products. The dose regimen of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concomitant ITP medicinal products should be modified, as medically appropriate, to avoid excessive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increases in platelet counts during therapy with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.</w:t>
      </w:r>
    </w:p>
    <w:p w14:paraId="53729D41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14DF5A14" w14:textId="5099ADAA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It is necessary to wait for at least 2 weeks to see the effect of any dose adjustment on </w:t>
      </w:r>
      <w:r w:rsidRPr="0032259F">
        <w:rPr>
          <w:rFonts w:eastAsia="TimesNewRomanPSMT"/>
          <w:sz w:val="24"/>
          <w:szCs w:val="24"/>
          <w:lang w:val="en-GB" w:eastAsia="en-GB"/>
        </w:rPr>
        <w:t>the patient’s</w:t>
      </w:r>
      <w:r w:rsidR="000F7CFC" w:rsidRPr="0032259F">
        <w:rPr>
          <w:rFonts w:eastAsia="TimesNewRomanPSMT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platelet response prior to considering another dose adjustment.</w:t>
      </w:r>
    </w:p>
    <w:p w14:paraId="7B1C8039" w14:textId="77777777" w:rsidR="000F7CFC" w:rsidRPr="0032259F" w:rsidRDefault="000F7CFC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369F3616" w14:textId="32A83C42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lastRenderedPageBreak/>
        <w:t xml:space="preserve">The standard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dose adjustment, either decrease or increase, would be 25 mg once daily.</w:t>
      </w:r>
    </w:p>
    <w:p w14:paraId="14EACDBA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0EE302FC" w14:textId="77777777" w:rsidR="002C7328" w:rsidRPr="0032259F" w:rsidRDefault="002C7328" w:rsidP="00A15450">
      <w:pPr>
        <w:ind w:left="851"/>
        <w:rPr>
          <w:rFonts w:eastAsia="SimSun"/>
          <w:i/>
          <w:iCs/>
          <w:sz w:val="24"/>
          <w:szCs w:val="24"/>
          <w:lang w:val="en-GB" w:eastAsia="en-GB"/>
        </w:rPr>
      </w:pPr>
      <w:r w:rsidRPr="0032259F">
        <w:rPr>
          <w:rFonts w:eastAsia="SimSun"/>
          <w:i/>
          <w:iCs/>
          <w:sz w:val="24"/>
          <w:szCs w:val="24"/>
          <w:lang w:val="en-GB" w:eastAsia="en-GB"/>
        </w:rPr>
        <w:t>Discontinuation</w:t>
      </w:r>
    </w:p>
    <w:p w14:paraId="70D7EF4C" w14:textId="64D50DE0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Treatment with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should be discontinued if the platelet count does not increase to a level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sufficient to avoid clinically important bleeding after 4 weeks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therapy at 75 mg once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daily.</w:t>
      </w:r>
    </w:p>
    <w:p w14:paraId="27042CD9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03DB7AD8" w14:textId="444E7F5E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Patients should be clinically evaluated periodically and continuation of treatment should be decided on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an individual basis by the treating physician. In non-splenectomised patients this should include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evaluation relative to splenectomy. The reoccurrence of thrombocytopenia is possible upon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discontinuation of treatment (see section 4.4).</w:t>
      </w:r>
    </w:p>
    <w:p w14:paraId="16045FC0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40DA13D4" w14:textId="77777777" w:rsidR="002C7328" w:rsidRPr="0032259F" w:rsidRDefault="002C7328" w:rsidP="00A15450">
      <w:pPr>
        <w:ind w:left="851"/>
        <w:rPr>
          <w:noProof/>
          <w:color w:val="FF0000"/>
          <w:sz w:val="24"/>
          <w:szCs w:val="24"/>
          <w:u w:val="single"/>
          <w:lang w:val="en-GB" w:eastAsia="en-US"/>
        </w:rPr>
      </w:pPr>
      <w:r w:rsidRPr="0032259F">
        <w:rPr>
          <w:rFonts w:eastAsia="SimSun"/>
          <w:i/>
          <w:iCs/>
          <w:sz w:val="24"/>
          <w:szCs w:val="24"/>
          <w:u w:val="single"/>
          <w:lang w:val="en-GB" w:eastAsia="en-GB"/>
        </w:rPr>
        <w:t>Chronic hepatitis C (HCV) associated thrombocytopenia</w:t>
      </w:r>
    </w:p>
    <w:p w14:paraId="09378602" w14:textId="77777777" w:rsidR="002C7328" w:rsidRPr="0032259F" w:rsidRDefault="002C7328" w:rsidP="00A15450">
      <w:pPr>
        <w:ind w:left="851"/>
        <w:rPr>
          <w:noProof/>
          <w:color w:val="FF0000"/>
          <w:sz w:val="24"/>
          <w:szCs w:val="24"/>
          <w:lang w:val="en-GB"/>
        </w:rPr>
      </w:pPr>
    </w:p>
    <w:p w14:paraId="02EF9149" w14:textId="5C399AE4" w:rsidR="002C7328" w:rsidRPr="0032259F" w:rsidRDefault="002C7328" w:rsidP="00A15450">
      <w:pPr>
        <w:ind w:left="851"/>
        <w:rPr>
          <w:noProof/>
          <w:color w:val="FF0000"/>
          <w:sz w:val="24"/>
          <w:szCs w:val="24"/>
          <w:lang w:val="en-GB" w:eastAsia="en-US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When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is given in combination with antivirals reference should be made to the full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summary of product characteristics of the respective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coadministered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medicinal products for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comprehensive details of relevant safety information or contraindications.</w:t>
      </w:r>
    </w:p>
    <w:p w14:paraId="3BA5623B" w14:textId="77777777" w:rsidR="002C7328" w:rsidRPr="0032259F" w:rsidRDefault="002C7328" w:rsidP="00A15450">
      <w:pPr>
        <w:ind w:left="851"/>
        <w:rPr>
          <w:noProof/>
          <w:color w:val="FF0000"/>
          <w:sz w:val="24"/>
          <w:szCs w:val="24"/>
          <w:lang w:val="en-GB"/>
        </w:rPr>
      </w:pPr>
    </w:p>
    <w:p w14:paraId="5BB61BEA" w14:textId="47FF2322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In clinical studies, platelet counts generally began to increase within 1 week of starting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.</w:t>
      </w:r>
      <w:r w:rsidR="004745B3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The aim of treatment with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should be to achieve the minimum level of platelet counts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needed to initiate antiviral therapy, in adherence to clinical practice recommendations. During antiviral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therapy, the aim of treatment should be to keep platelet counts at a level that prevents the risk of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bleeding complications, normally around 50 000-75 000/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μl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. Platelet counts &gt;75 000/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μl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should be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avoided. The lowest dose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needed to achieve the targets should be used. Dose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adjustments are based upon the platelet count response.</w:t>
      </w:r>
    </w:p>
    <w:p w14:paraId="7459C1B6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32695DED" w14:textId="77777777" w:rsidR="002C7328" w:rsidRPr="0032259F" w:rsidRDefault="002C7328" w:rsidP="00A15450">
      <w:pPr>
        <w:ind w:left="851"/>
        <w:rPr>
          <w:rFonts w:eastAsia="SimSun"/>
          <w:i/>
          <w:iCs/>
          <w:sz w:val="24"/>
          <w:szCs w:val="24"/>
          <w:lang w:val="en-GB" w:eastAsia="en-GB"/>
        </w:rPr>
      </w:pPr>
      <w:r w:rsidRPr="0032259F">
        <w:rPr>
          <w:rFonts w:eastAsia="SimSun"/>
          <w:i/>
          <w:iCs/>
          <w:sz w:val="24"/>
          <w:szCs w:val="24"/>
          <w:lang w:val="en-GB" w:eastAsia="en-GB"/>
        </w:rPr>
        <w:t>Initial dose regimen</w:t>
      </w:r>
    </w:p>
    <w:p w14:paraId="5D3A177E" w14:textId="2EC11195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should be initiated at a dose of 25 mg once daily. No dosage adjustment is necessary for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HCV patients of East-/Southeast-Asian ancestry or patients with mild hepatic impairment (see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section 5.2).</w:t>
      </w:r>
    </w:p>
    <w:p w14:paraId="18A42048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6B772606" w14:textId="77777777" w:rsidR="002C7328" w:rsidRPr="0032259F" w:rsidRDefault="002C7328" w:rsidP="00A15450">
      <w:pPr>
        <w:ind w:left="851"/>
        <w:rPr>
          <w:rFonts w:eastAsia="SimSun"/>
          <w:i/>
          <w:iCs/>
          <w:sz w:val="24"/>
          <w:szCs w:val="24"/>
          <w:lang w:val="en-GB" w:eastAsia="en-GB"/>
        </w:rPr>
      </w:pPr>
      <w:r w:rsidRPr="0032259F">
        <w:rPr>
          <w:rFonts w:eastAsia="SimSun"/>
          <w:i/>
          <w:iCs/>
          <w:sz w:val="24"/>
          <w:szCs w:val="24"/>
          <w:lang w:val="en-GB" w:eastAsia="en-GB"/>
        </w:rPr>
        <w:t>Monitoring and dose adjustment</w:t>
      </w:r>
    </w:p>
    <w:p w14:paraId="41AABB11" w14:textId="3DEE47D6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The dose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should be adjusted in 25 mg increments every 2 weeks as necessary to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achieve the target platelet count required to initiate antiviral therapy. Platelet counts should be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monitored every week prior to starting antiviral therapy. On initiation of antiviral </w:t>
      </w:r>
      <w:proofErr w:type="gramStart"/>
      <w:r w:rsidRPr="0032259F">
        <w:rPr>
          <w:rFonts w:eastAsia="SimSun"/>
          <w:sz w:val="24"/>
          <w:szCs w:val="24"/>
          <w:lang w:val="en-GB" w:eastAsia="en-GB"/>
        </w:rPr>
        <w:t>therapy</w:t>
      </w:r>
      <w:proofErr w:type="gramEnd"/>
      <w:r w:rsidRPr="0032259F">
        <w:rPr>
          <w:rFonts w:eastAsia="SimSun"/>
          <w:sz w:val="24"/>
          <w:szCs w:val="24"/>
          <w:lang w:val="en-GB" w:eastAsia="en-GB"/>
        </w:rPr>
        <w:t xml:space="preserve"> the platelet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count may fall, so immediate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dose adjustments should be avoided (see Table 2).</w:t>
      </w:r>
    </w:p>
    <w:p w14:paraId="4DD741FC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5C48D044" w14:textId="1CA8A339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During antiviral therapy, the dose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should be adjusted as necessary to avoid dose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reductions of peginterferon due to decreasing platelet counts that may put patients at risk of bleeding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(see Table 2). Platelet counts should be monitored weekly during antiviral therapy until a stable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platelet count is achieved, normally around 50 000-75 000/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μl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. FBCs including platelet counts and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peripheral blood smears should be obtained monthly thereafter. Dose reductions on the daily dose by</w:t>
      </w:r>
      <w:r w:rsidR="004745B3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25 mg should be considered if platelet counts exceed the required target. It is recommended to wait for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2 weeks to assess the effects of this and any subsequent dose adjustments. </w:t>
      </w:r>
    </w:p>
    <w:p w14:paraId="706A9B70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44DA169E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A dose of 100 mg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once daily must not be exceeded.</w:t>
      </w:r>
    </w:p>
    <w:p w14:paraId="7DA279D8" w14:textId="77777777" w:rsidR="002C7328" w:rsidRPr="0032259F" w:rsidRDefault="002C7328" w:rsidP="002C7328">
      <w:pPr>
        <w:rPr>
          <w:rFonts w:eastAsia="SimSun"/>
          <w:sz w:val="24"/>
          <w:szCs w:val="24"/>
          <w:lang w:val="en-GB" w:eastAsia="en-GB"/>
        </w:rPr>
      </w:pPr>
    </w:p>
    <w:p w14:paraId="5D295A7D" w14:textId="40ABB1F2" w:rsidR="002C7328" w:rsidRPr="0032259F" w:rsidRDefault="002C7328" w:rsidP="000F7CFC">
      <w:pPr>
        <w:ind w:left="567" w:hanging="567"/>
        <w:rPr>
          <w:rFonts w:eastAsia="SimSun"/>
          <w:b/>
          <w:bCs/>
          <w:sz w:val="24"/>
          <w:szCs w:val="24"/>
          <w:lang w:val="en-GB" w:eastAsia="en-GB"/>
        </w:rPr>
      </w:pPr>
      <w:r w:rsidRPr="0032259F">
        <w:rPr>
          <w:rFonts w:eastAsia="SimSun"/>
          <w:b/>
          <w:bCs/>
          <w:sz w:val="24"/>
          <w:szCs w:val="24"/>
          <w:lang w:val="en-GB" w:eastAsia="en-GB"/>
        </w:rPr>
        <w:lastRenderedPageBreak/>
        <w:t xml:space="preserve">Table 2 </w:t>
      </w:r>
      <w:r w:rsidR="000F7CFC" w:rsidRPr="0032259F">
        <w:rPr>
          <w:rFonts w:eastAsia="SimSun"/>
          <w:b/>
          <w:bCs/>
          <w:sz w:val="24"/>
          <w:szCs w:val="24"/>
          <w:lang w:val="en-GB" w:eastAsia="en-GB"/>
        </w:rPr>
        <w:tab/>
      </w:r>
      <w:r w:rsidRPr="0032259F">
        <w:rPr>
          <w:rFonts w:eastAsia="SimSun"/>
          <w:b/>
          <w:bCs/>
          <w:sz w:val="24"/>
          <w:szCs w:val="24"/>
          <w:lang w:val="en-GB" w:eastAsia="en-GB"/>
        </w:rPr>
        <w:t xml:space="preserve">Dose adjustments of </w:t>
      </w:r>
      <w:proofErr w:type="spellStart"/>
      <w:r w:rsidRPr="0032259F">
        <w:rPr>
          <w:rFonts w:eastAsia="SimSun"/>
          <w:b/>
          <w:bCs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b/>
          <w:bCs/>
          <w:sz w:val="24"/>
          <w:szCs w:val="24"/>
          <w:lang w:val="en-GB" w:eastAsia="en-GB"/>
        </w:rPr>
        <w:t xml:space="preserve"> in HCV patients during antiviral therapy</w:t>
      </w:r>
    </w:p>
    <w:p w14:paraId="1681538A" w14:textId="77777777" w:rsidR="002C7328" w:rsidRPr="0032259F" w:rsidRDefault="002C7328" w:rsidP="002C7328">
      <w:pPr>
        <w:rPr>
          <w:rFonts w:eastAsia="SimSun"/>
          <w:b/>
          <w:bCs/>
          <w:sz w:val="24"/>
          <w:szCs w:val="24"/>
          <w:lang w:val="en-GB" w:eastAsia="en-GB"/>
        </w:rPr>
      </w:pPr>
    </w:p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3158"/>
        <w:gridCol w:w="6470"/>
      </w:tblGrid>
      <w:tr w:rsidR="002C7328" w:rsidRPr="0032259F" w14:paraId="1D01012E" w14:textId="77777777" w:rsidTr="00A15450"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9EB6" w14:textId="77777777" w:rsidR="002C7328" w:rsidRPr="0032259F" w:rsidRDefault="002C7328">
            <w:pPr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Platelet count</w:t>
            </w:r>
          </w:p>
        </w:tc>
        <w:tc>
          <w:tcPr>
            <w:tcW w:w="3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9432" w14:textId="77777777" w:rsidR="002C7328" w:rsidRPr="0032259F" w:rsidRDefault="002C7328">
            <w:pPr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Dose adjustment or response</w:t>
            </w:r>
          </w:p>
        </w:tc>
      </w:tr>
      <w:tr w:rsidR="002C7328" w:rsidRPr="00727038" w14:paraId="336D5291" w14:textId="77777777" w:rsidTr="00A15450"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1256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&lt;50 000/</w:t>
            </w:r>
            <w:proofErr w:type="spellStart"/>
            <w:r w:rsidRPr="0032259F">
              <w:rPr>
                <w:sz w:val="24"/>
                <w:szCs w:val="24"/>
              </w:rPr>
              <w:t>μl</w:t>
            </w:r>
            <w:proofErr w:type="spellEnd"/>
            <w:r w:rsidRPr="0032259F">
              <w:rPr>
                <w:sz w:val="24"/>
                <w:szCs w:val="24"/>
              </w:rPr>
              <w:t xml:space="preserve"> following at least</w:t>
            </w:r>
          </w:p>
          <w:p w14:paraId="20A73D4E" w14:textId="77777777" w:rsidR="002C7328" w:rsidRPr="0032259F" w:rsidRDefault="002C7328">
            <w:pPr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2 weeks of therapy</w:t>
            </w:r>
          </w:p>
        </w:tc>
        <w:tc>
          <w:tcPr>
            <w:tcW w:w="3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A337" w14:textId="77777777" w:rsidR="002C7328" w:rsidRPr="0032259F" w:rsidRDefault="002C7328">
            <w:pPr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Increase daily dose by 25 mg to a maximum of 100 mg/day.</w:t>
            </w:r>
          </w:p>
        </w:tc>
      </w:tr>
      <w:tr w:rsidR="002C7328" w:rsidRPr="00727038" w14:paraId="55F23698" w14:textId="77777777" w:rsidTr="00A15450"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5980" w14:textId="77777777" w:rsidR="002C7328" w:rsidRPr="0032259F" w:rsidRDefault="002C7328">
            <w:pPr>
              <w:rPr>
                <w:sz w:val="24"/>
                <w:szCs w:val="24"/>
              </w:rPr>
            </w:pPr>
            <w:r w:rsidRPr="0032259F">
              <w:rPr>
                <w:rFonts w:eastAsia="SymbolMT"/>
                <w:sz w:val="24"/>
                <w:szCs w:val="24"/>
              </w:rPr>
              <w:t>≥50 000/</w:t>
            </w:r>
            <w:proofErr w:type="spellStart"/>
            <w:r w:rsidRPr="0032259F">
              <w:rPr>
                <w:rFonts w:eastAsia="SymbolMT"/>
                <w:sz w:val="24"/>
                <w:szCs w:val="24"/>
              </w:rPr>
              <w:t>μl</w:t>
            </w:r>
            <w:proofErr w:type="spellEnd"/>
            <w:r w:rsidRPr="0032259F">
              <w:rPr>
                <w:rFonts w:eastAsia="SymbolMT"/>
                <w:sz w:val="24"/>
                <w:szCs w:val="24"/>
              </w:rPr>
              <w:t xml:space="preserve"> to ≤100 000/</w:t>
            </w:r>
            <w:proofErr w:type="spellStart"/>
            <w:r w:rsidRPr="0032259F">
              <w:rPr>
                <w:rFonts w:eastAsia="SymbolMT"/>
                <w:sz w:val="24"/>
                <w:szCs w:val="24"/>
              </w:rPr>
              <w:t>μl</w:t>
            </w:r>
            <w:proofErr w:type="spellEnd"/>
          </w:p>
        </w:tc>
        <w:tc>
          <w:tcPr>
            <w:tcW w:w="3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7FD7" w14:textId="6FBD043E" w:rsidR="002C7328" w:rsidRPr="0032259F" w:rsidRDefault="002C7328" w:rsidP="000F7CFC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 xml:space="preserve">Use lowest dose of </w:t>
            </w:r>
            <w:proofErr w:type="spellStart"/>
            <w:r w:rsidRPr="0032259F">
              <w:rPr>
                <w:sz w:val="24"/>
                <w:szCs w:val="24"/>
              </w:rPr>
              <w:t>eltrombopag</w:t>
            </w:r>
            <w:proofErr w:type="spellEnd"/>
            <w:r w:rsidRPr="0032259F">
              <w:rPr>
                <w:sz w:val="24"/>
                <w:szCs w:val="24"/>
              </w:rPr>
              <w:t xml:space="preserve"> as necessary to avoid dose</w:t>
            </w:r>
            <w:r w:rsidR="000F7CFC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reductions of peginterferon.</w:t>
            </w:r>
          </w:p>
        </w:tc>
      </w:tr>
      <w:tr w:rsidR="002C7328" w:rsidRPr="00727038" w14:paraId="17716864" w14:textId="77777777" w:rsidTr="00A15450"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36BE" w14:textId="77777777" w:rsidR="002C7328" w:rsidRPr="0032259F" w:rsidRDefault="002C7328">
            <w:pPr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&gt;100 000/</w:t>
            </w:r>
            <w:proofErr w:type="spellStart"/>
            <w:r w:rsidRPr="0032259F">
              <w:rPr>
                <w:sz w:val="24"/>
                <w:szCs w:val="24"/>
              </w:rPr>
              <w:t>μl</w:t>
            </w:r>
            <w:proofErr w:type="spellEnd"/>
            <w:r w:rsidRPr="0032259F">
              <w:rPr>
                <w:sz w:val="24"/>
                <w:szCs w:val="24"/>
              </w:rPr>
              <w:t xml:space="preserve"> to </w:t>
            </w:r>
            <w:r w:rsidRPr="0032259F">
              <w:rPr>
                <w:rFonts w:eastAsia="SymbolMT"/>
                <w:sz w:val="24"/>
                <w:szCs w:val="24"/>
              </w:rPr>
              <w:t xml:space="preserve">≤ </w:t>
            </w:r>
            <w:r w:rsidRPr="0032259F">
              <w:rPr>
                <w:sz w:val="24"/>
                <w:szCs w:val="24"/>
              </w:rPr>
              <w:t>150 000/</w:t>
            </w:r>
            <w:proofErr w:type="spellStart"/>
            <w:r w:rsidRPr="0032259F">
              <w:rPr>
                <w:sz w:val="24"/>
                <w:szCs w:val="24"/>
              </w:rPr>
              <w:t>μl</w:t>
            </w:r>
            <w:proofErr w:type="spellEnd"/>
          </w:p>
        </w:tc>
        <w:tc>
          <w:tcPr>
            <w:tcW w:w="3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38CB" w14:textId="02C80C46" w:rsidR="002C7328" w:rsidRPr="0032259F" w:rsidRDefault="002C7328" w:rsidP="000F7CFC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Decrease the daily dose by 25 mg. Wait 2 weeks to assess the</w:t>
            </w:r>
            <w:r w:rsidR="000F7CFC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 xml:space="preserve">effects of this and any subsequent dose adjustments </w:t>
            </w:r>
            <w:r w:rsidRPr="0032259F">
              <w:rPr>
                <w:sz w:val="24"/>
                <w:szCs w:val="24"/>
                <w:vertAlign w:val="superscript"/>
              </w:rPr>
              <w:t>♦</w:t>
            </w:r>
            <w:r w:rsidRPr="0032259F">
              <w:rPr>
                <w:sz w:val="24"/>
                <w:szCs w:val="24"/>
              </w:rPr>
              <w:t>.</w:t>
            </w:r>
          </w:p>
        </w:tc>
      </w:tr>
      <w:tr w:rsidR="002C7328" w:rsidRPr="00727038" w14:paraId="0FB9F9AD" w14:textId="77777777" w:rsidTr="00A15450"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70FC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&gt;150 000/</w:t>
            </w:r>
            <w:proofErr w:type="spellStart"/>
            <w:r w:rsidRPr="0032259F">
              <w:rPr>
                <w:sz w:val="24"/>
                <w:szCs w:val="24"/>
              </w:rPr>
              <w:t>μl</w:t>
            </w:r>
            <w:proofErr w:type="spellEnd"/>
          </w:p>
        </w:tc>
        <w:tc>
          <w:tcPr>
            <w:tcW w:w="3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4BD3" w14:textId="5AD921AB" w:rsidR="002C7328" w:rsidRPr="0032259F" w:rsidRDefault="002C7328" w:rsidP="000F7CFC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 xml:space="preserve">Stop </w:t>
            </w:r>
            <w:proofErr w:type="spellStart"/>
            <w:r w:rsidRPr="0032259F">
              <w:rPr>
                <w:sz w:val="24"/>
                <w:szCs w:val="24"/>
              </w:rPr>
              <w:t>eltrombopag</w:t>
            </w:r>
            <w:proofErr w:type="spellEnd"/>
            <w:r w:rsidRPr="0032259F">
              <w:rPr>
                <w:sz w:val="24"/>
                <w:szCs w:val="24"/>
              </w:rPr>
              <w:t>; increase the frequency of platelet monitoring to</w:t>
            </w:r>
            <w:r w:rsidR="000F7CFC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twice weekly.</w:t>
            </w:r>
          </w:p>
          <w:p w14:paraId="4564CE32" w14:textId="77777777" w:rsidR="002C7328" w:rsidRPr="0032259F" w:rsidRDefault="002C7328">
            <w:pPr>
              <w:rPr>
                <w:sz w:val="24"/>
                <w:szCs w:val="24"/>
              </w:rPr>
            </w:pPr>
          </w:p>
          <w:p w14:paraId="47472742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 xml:space="preserve">Once the platelet count is </w:t>
            </w:r>
            <w:r w:rsidRPr="0032259F">
              <w:rPr>
                <w:rFonts w:eastAsia="TimesNewRomanPSMT"/>
                <w:sz w:val="24"/>
                <w:szCs w:val="24"/>
              </w:rPr>
              <w:t xml:space="preserve">≤100 </w:t>
            </w:r>
            <w:r w:rsidRPr="0032259F">
              <w:rPr>
                <w:sz w:val="24"/>
                <w:szCs w:val="24"/>
              </w:rPr>
              <w:t>000/</w:t>
            </w:r>
            <w:proofErr w:type="spellStart"/>
            <w:r w:rsidRPr="0032259F">
              <w:rPr>
                <w:sz w:val="24"/>
                <w:szCs w:val="24"/>
              </w:rPr>
              <w:t>μl</w:t>
            </w:r>
            <w:proofErr w:type="spellEnd"/>
            <w:r w:rsidRPr="0032259F">
              <w:rPr>
                <w:sz w:val="24"/>
                <w:szCs w:val="24"/>
              </w:rPr>
              <w:t>, reinitiate therapy at a daily dose reduced by 25 mg</w:t>
            </w:r>
            <w:r w:rsidRPr="0032259F">
              <w:rPr>
                <w:sz w:val="24"/>
                <w:szCs w:val="24"/>
                <w:vertAlign w:val="superscript"/>
              </w:rPr>
              <w:t>*</w:t>
            </w:r>
            <w:r w:rsidRPr="0032259F">
              <w:rPr>
                <w:sz w:val="24"/>
                <w:szCs w:val="24"/>
              </w:rPr>
              <w:t>.</w:t>
            </w:r>
          </w:p>
        </w:tc>
      </w:tr>
    </w:tbl>
    <w:p w14:paraId="6CAC2E7F" w14:textId="3533EE47" w:rsidR="002C7328" w:rsidRPr="0032259F" w:rsidRDefault="002C7328" w:rsidP="000F7CFC">
      <w:pPr>
        <w:ind w:left="426" w:hanging="426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*</w:t>
      </w:r>
      <w:r w:rsidR="000F7CFC" w:rsidRPr="0032259F">
        <w:rPr>
          <w:rFonts w:eastAsia="SimSun"/>
          <w:sz w:val="24"/>
          <w:szCs w:val="24"/>
          <w:lang w:val="en-GB" w:eastAsia="en-GB"/>
        </w:rPr>
        <w:tab/>
      </w:r>
      <w:r w:rsidRPr="0032259F">
        <w:rPr>
          <w:rFonts w:eastAsia="SimSun"/>
          <w:sz w:val="24"/>
          <w:szCs w:val="24"/>
          <w:lang w:val="en-GB" w:eastAsia="en-GB"/>
        </w:rPr>
        <w:t xml:space="preserve">For patients taking 25 mg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once daily, consideration should be given to reinitiating dosing at 25 mg every other day.</w:t>
      </w:r>
    </w:p>
    <w:p w14:paraId="2480B75F" w14:textId="77777777" w:rsidR="002C7328" w:rsidRPr="0032259F" w:rsidRDefault="002C7328" w:rsidP="000F7CFC">
      <w:pPr>
        <w:pStyle w:val="Listeafsnit"/>
        <w:numPr>
          <w:ilvl w:val="0"/>
          <w:numId w:val="5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426" w:hanging="426"/>
        <w:rPr>
          <w:rFonts w:eastAsia="SimSun"/>
          <w:sz w:val="24"/>
          <w:szCs w:val="24"/>
          <w:lang w:eastAsia="en-GB"/>
        </w:rPr>
      </w:pPr>
      <w:r w:rsidRPr="0032259F">
        <w:rPr>
          <w:rFonts w:eastAsia="SimSun"/>
          <w:sz w:val="24"/>
          <w:szCs w:val="24"/>
          <w:lang w:eastAsia="en-GB"/>
        </w:rPr>
        <w:t xml:space="preserve">On initiation of antiviral </w:t>
      </w:r>
      <w:proofErr w:type="gramStart"/>
      <w:r w:rsidRPr="0032259F">
        <w:rPr>
          <w:rFonts w:eastAsia="SimSun"/>
          <w:sz w:val="24"/>
          <w:szCs w:val="24"/>
          <w:lang w:eastAsia="en-GB"/>
        </w:rPr>
        <w:t>therapy</w:t>
      </w:r>
      <w:proofErr w:type="gramEnd"/>
      <w:r w:rsidRPr="0032259F">
        <w:rPr>
          <w:rFonts w:eastAsia="SimSun"/>
          <w:sz w:val="24"/>
          <w:szCs w:val="24"/>
          <w:lang w:eastAsia="en-GB"/>
        </w:rPr>
        <w:t xml:space="preserve"> the platelet count may fall, so immediate </w:t>
      </w:r>
      <w:proofErr w:type="spellStart"/>
      <w:r w:rsidRPr="0032259F">
        <w:rPr>
          <w:rFonts w:eastAsia="SimSun"/>
          <w:sz w:val="24"/>
          <w:szCs w:val="24"/>
          <w:lang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eastAsia="en-GB"/>
        </w:rPr>
        <w:t xml:space="preserve"> dose reductions should be avoided.</w:t>
      </w:r>
    </w:p>
    <w:p w14:paraId="79078D74" w14:textId="77777777" w:rsidR="002C7328" w:rsidRPr="0032259F" w:rsidRDefault="002C7328" w:rsidP="002C7328">
      <w:pPr>
        <w:tabs>
          <w:tab w:val="left" w:pos="1304"/>
        </w:tabs>
        <w:autoSpaceDE w:val="0"/>
        <w:autoSpaceDN w:val="0"/>
        <w:adjustRightInd w:val="0"/>
        <w:rPr>
          <w:rFonts w:eastAsia="SimSun"/>
          <w:sz w:val="24"/>
          <w:szCs w:val="24"/>
          <w:lang w:val="en-GB" w:eastAsia="en-GB"/>
        </w:rPr>
      </w:pPr>
    </w:p>
    <w:p w14:paraId="31CA8218" w14:textId="77777777" w:rsidR="002C7328" w:rsidRPr="0032259F" w:rsidRDefault="002C7328" w:rsidP="00A15450">
      <w:pPr>
        <w:autoSpaceDE w:val="0"/>
        <w:autoSpaceDN w:val="0"/>
        <w:adjustRightInd w:val="0"/>
        <w:ind w:left="851"/>
        <w:rPr>
          <w:rFonts w:eastAsia="SimSun"/>
          <w:i/>
          <w:iCs/>
          <w:sz w:val="24"/>
          <w:szCs w:val="24"/>
          <w:lang w:val="en-GB" w:eastAsia="en-GB"/>
        </w:rPr>
      </w:pPr>
      <w:r w:rsidRPr="0032259F">
        <w:rPr>
          <w:rFonts w:eastAsia="SimSun"/>
          <w:i/>
          <w:iCs/>
          <w:sz w:val="24"/>
          <w:szCs w:val="24"/>
          <w:lang w:val="en-GB" w:eastAsia="en-GB"/>
        </w:rPr>
        <w:t>Discontinuation</w:t>
      </w:r>
    </w:p>
    <w:p w14:paraId="7694D78D" w14:textId="1E5E1806" w:rsidR="002C7328" w:rsidRPr="0032259F" w:rsidRDefault="002C7328" w:rsidP="000F7CFC">
      <w:pPr>
        <w:autoSpaceDE w:val="0"/>
        <w:autoSpaceDN w:val="0"/>
        <w:adjustRightInd w:val="0"/>
        <w:ind w:left="851"/>
        <w:jc w:val="both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If after 2 weeks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therapy at 100 mg the required platelet level to initiate antiviral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therapy is not achieved,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should be discontinued.</w:t>
      </w:r>
    </w:p>
    <w:p w14:paraId="471E43C5" w14:textId="77777777" w:rsidR="002C7328" w:rsidRPr="0032259F" w:rsidRDefault="002C7328" w:rsidP="00A15450">
      <w:pPr>
        <w:ind w:left="851"/>
        <w:jc w:val="both"/>
        <w:rPr>
          <w:rFonts w:eastAsia="SimSun"/>
          <w:sz w:val="24"/>
          <w:szCs w:val="24"/>
          <w:lang w:val="en-GB" w:eastAsia="en-GB"/>
        </w:rPr>
      </w:pPr>
    </w:p>
    <w:p w14:paraId="744DAF7D" w14:textId="2917A28E" w:rsidR="002C7328" w:rsidRPr="0032259F" w:rsidRDefault="002C7328" w:rsidP="000F7CFC">
      <w:pPr>
        <w:autoSpaceDE w:val="0"/>
        <w:autoSpaceDN w:val="0"/>
        <w:adjustRightInd w:val="0"/>
        <w:ind w:left="851"/>
        <w:jc w:val="both"/>
        <w:rPr>
          <w:rFonts w:eastAsia="SimSun"/>
          <w:sz w:val="24"/>
          <w:szCs w:val="24"/>
          <w:lang w:val="en-GB" w:eastAsia="en-GB"/>
        </w:rPr>
      </w:pP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treatment should be terminated when antiviral therapy is discontinued unless otherwise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justified. Excessive platelet count responses or important liver test abnormalities also necessitate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discontinuation.</w:t>
      </w:r>
    </w:p>
    <w:p w14:paraId="63524120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6599460F" w14:textId="77777777" w:rsidR="002C7328" w:rsidRPr="0032259F" w:rsidRDefault="002C7328" w:rsidP="00A15450">
      <w:pPr>
        <w:ind w:left="851"/>
        <w:rPr>
          <w:rFonts w:eastAsia="SimSun"/>
          <w:i/>
          <w:iCs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i/>
          <w:iCs/>
          <w:sz w:val="24"/>
          <w:szCs w:val="24"/>
          <w:u w:val="single"/>
          <w:lang w:val="en-GB" w:eastAsia="en-GB"/>
        </w:rPr>
        <w:t>Severe aplastic anaemia</w:t>
      </w:r>
    </w:p>
    <w:p w14:paraId="44219AB2" w14:textId="77777777" w:rsidR="002C7328" w:rsidRPr="0032259F" w:rsidRDefault="002C7328" w:rsidP="00A15450">
      <w:pPr>
        <w:ind w:left="851"/>
        <w:rPr>
          <w:rFonts w:eastAsia="SimSun"/>
          <w:iCs/>
          <w:sz w:val="24"/>
          <w:szCs w:val="24"/>
          <w:lang w:val="en-GB" w:eastAsia="en-GB"/>
        </w:rPr>
      </w:pPr>
    </w:p>
    <w:p w14:paraId="5838720F" w14:textId="77777777" w:rsidR="002C7328" w:rsidRPr="0032259F" w:rsidRDefault="002C7328" w:rsidP="00A15450">
      <w:pPr>
        <w:autoSpaceDE w:val="0"/>
        <w:autoSpaceDN w:val="0"/>
        <w:adjustRightInd w:val="0"/>
        <w:ind w:left="851"/>
        <w:rPr>
          <w:rFonts w:eastAsia="SimSun"/>
          <w:i/>
          <w:iCs/>
          <w:sz w:val="24"/>
          <w:szCs w:val="24"/>
          <w:lang w:val="en-GB" w:eastAsia="en-GB"/>
        </w:rPr>
      </w:pPr>
      <w:r w:rsidRPr="0032259F">
        <w:rPr>
          <w:rFonts w:eastAsia="SimSun"/>
          <w:i/>
          <w:iCs/>
          <w:sz w:val="24"/>
          <w:szCs w:val="24"/>
          <w:lang w:val="en-GB" w:eastAsia="en-GB"/>
        </w:rPr>
        <w:t>Initial dose regimen</w:t>
      </w:r>
    </w:p>
    <w:p w14:paraId="701C6CAE" w14:textId="19A7CE5B" w:rsidR="002C7328" w:rsidRPr="0032259F" w:rsidRDefault="002C7328" w:rsidP="00A15450">
      <w:pPr>
        <w:autoSpaceDE w:val="0"/>
        <w:autoSpaceDN w:val="0"/>
        <w:adjustRightInd w:val="0"/>
        <w:ind w:left="851"/>
        <w:rPr>
          <w:rFonts w:eastAsia="SimSun"/>
          <w:sz w:val="24"/>
          <w:szCs w:val="24"/>
          <w:lang w:val="en-GB" w:eastAsia="en-GB"/>
        </w:rPr>
      </w:pP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should be initiated at a dose of 50 mg once daily. For patients of East-/Southeast-Asian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ancestry,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should be initiated at a reduced dose of 25 mg once daily (see section 5.2). The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treatment should not be initiated when the patient has existing cytogenetic abnormalities of chromosome 7.</w:t>
      </w:r>
    </w:p>
    <w:p w14:paraId="0D823D49" w14:textId="77777777" w:rsidR="002C7328" w:rsidRPr="0032259F" w:rsidRDefault="002C7328" w:rsidP="00A15450">
      <w:pPr>
        <w:autoSpaceDE w:val="0"/>
        <w:autoSpaceDN w:val="0"/>
        <w:adjustRightInd w:val="0"/>
        <w:ind w:left="851"/>
        <w:rPr>
          <w:rFonts w:eastAsia="SimSun"/>
          <w:sz w:val="24"/>
          <w:szCs w:val="24"/>
          <w:lang w:val="en-GB" w:eastAsia="en-GB"/>
        </w:rPr>
      </w:pPr>
    </w:p>
    <w:p w14:paraId="5875C68D" w14:textId="77777777" w:rsidR="002C7328" w:rsidRPr="0032259F" w:rsidRDefault="002C7328" w:rsidP="000F7CFC">
      <w:pPr>
        <w:autoSpaceDE w:val="0"/>
        <w:autoSpaceDN w:val="0"/>
        <w:adjustRightInd w:val="0"/>
        <w:ind w:left="851"/>
        <w:rPr>
          <w:rFonts w:eastAsia="SimSun"/>
          <w:i/>
          <w:iCs/>
          <w:sz w:val="24"/>
          <w:szCs w:val="24"/>
          <w:lang w:val="en-GB" w:eastAsia="en-GB"/>
        </w:rPr>
      </w:pPr>
      <w:r w:rsidRPr="0032259F">
        <w:rPr>
          <w:rFonts w:eastAsia="SimSun"/>
          <w:i/>
          <w:iCs/>
          <w:sz w:val="24"/>
          <w:szCs w:val="24"/>
          <w:lang w:val="en-GB" w:eastAsia="en-GB"/>
        </w:rPr>
        <w:t>Monitoring and dose adjustment</w:t>
      </w:r>
    </w:p>
    <w:p w14:paraId="151897F1" w14:textId="0F7FABAF" w:rsidR="002C7328" w:rsidRPr="0032259F" w:rsidRDefault="002C7328" w:rsidP="000F7CFC">
      <w:pPr>
        <w:autoSpaceDE w:val="0"/>
        <w:autoSpaceDN w:val="0"/>
        <w:adjustRightInd w:val="0"/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Haematological response requires dose titration, generally up to 150 mg, and may take up to 16 weeks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after starting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(see section 5.1). The dose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should be adjusted in 50 mg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increments every 2 </w:t>
      </w:r>
      <w:r w:rsidRPr="0032259F">
        <w:rPr>
          <w:rFonts w:eastAsia="TimesNewRomanPSMT"/>
          <w:sz w:val="24"/>
          <w:szCs w:val="24"/>
          <w:lang w:val="en-GB" w:eastAsia="en-GB"/>
        </w:rPr>
        <w:t xml:space="preserve">weeks as necessary to achieve the target platelet count ≥50 </w:t>
      </w:r>
      <w:r w:rsidRPr="0032259F">
        <w:rPr>
          <w:rFonts w:eastAsia="SimSun"/>
          <w:sz w:val="24"/>
          <w:szCs w:val="24"/>
          <w:lang w:val="en-GB" w:eastAsia="en-GB"/>
        </w:rPr>
        <w:t>000/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μl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. For patients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taking 25 mg once daily, the dose should be increased to 50 mg daily before increasing the dose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amount by 50 mg. A dose of 150 mg daily must not be exceeded. Clinical haematology and liver tests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should be monitored regularly throughout therapy with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and the dosage regimen of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modified based on platelet counts as outlined in Table 3.</w:t>
      </w:r>
    </w:p>
    <w:p w14:paraId="6B89A62E" w14:textId="0C8A8DD6" w:rsidR="004745B3" w:rsidRPr="0032259F" w:rsidRDefault="004745B3">
      <w:pPr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br w:type="page"/>
      </w:r>
    </w:p>
    <w:p w14:paraId="3A701333" w14:textId="77777777" w:rsidR="002C7328" w:rsidRPr="0032259F" w:rsidRDefault="002C7328" w:rsidP="00A15450">
      <w:pPr>
        <w:autoSpaceDE w:val="0"/>
        <w:autoSpaceDN w:val="0"/>
        <w:adjustRightInd w:val="0"/>
        <w:ind w:left="851"/>
        <w:rPr>
          <w:rFonts w:eastAsia="SimSun"/>
          <w:sz w:val="24"/>
          <w:szCs w:val="24"/>
          <w:lang w:val="en-GB" w:eastAsia="en-GB"/>
        </w:rPr>
      </w:pPr>
    </w:p>
    <w:p w14:paraId="1AB9244E" w14:textId="16E3502D" w:rsidR="002C7328" w:rsidRPr="0032259F" w:rsidRDefault="002C7328" w:rsidP="000F7CFC">
      <w:pPr>
        <w:tabs>
          <w:tab w:val="left" w:pos="993"/>
        </w:tabs>
        <w:autoSpaceDE w:val="0"/>
        <w:autoSpaceDN w:val="0"/>
        <w:adjustRightInd w:val="0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b/>
          <w:bCs/>
          <w:sz w:val="24"/>
          <w:szCs w:val="24"/>
          <w:lang w:val="en-GB" w:eastAsia="en-GB"/>
        </w:rPr>
        <w:t xml:space="preserve">Table 3 </w:t>
      </w:r>
      <w:r w:rsidR="000F7CFC" w:rsidRPr="0032259F">
        <w:rPr>
          <w:rFonts w:eastAsia="SimSun"/>
          <w:b/>
          <w:bCs/>
          <w:sz w:val="24"/>
          <w:szCs w:val="24"/>
          <w:lang w:val="en-GB" w:eastAsia="en-GB"/>
        </w:rPr>
        <w:tab/>
      </w:r>
      <w:r w:rsidRPr="0032259F">
        <w:rPr>
          <w:rFonts w:eastAsia="SimSun"/>
          <w:b/>
          <w:bCs/>
          <w:sz w:val="24"/>
          <w:szCs w:val="24"/>
          <w:lang w:val="en-GB" w:eastAsia="en-GB"/>
        </w:rPr>
        <w:t xml:space="preserve">Dose adjustments of </w:t>
      </w:r>
      <w:proofErr w:type="spellStart"/>
      <w:r w:rsidRPr="0032259F">
        <w:rPr>
          <w:rFonts w:eastAsia="SimSun"/>
          <w:b/>
          <w:bCs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b/>
          <w:bCs/>
          <w:sz w:val="24"/>
          <w:szCs w:val="24"/>
          <w:lang w:val="en-GB" w:eastAsia="en-GB"/>
        </w:rPr>
        <w:t xml:space="preserve"> in patients with severe aplastic anaemia</w:t>
      </w:r>
    </w:p>
    <w:p w14:paraId="4BB285E6" w14:textId="77777777" w:rsidR="002C7328" w:rsidRPr="0032259F" w:rsidRDefault="002C7328" w:rsidP="002C7328">
      <w:pPr>
        <w:rPr>
          <w:noProof/>
          <w:color w:val="FF0000"/>
          <w:sz w:val="24"/>
          <w:szCs w:val="24"/>
          <w:lang w:val="en-GB" w:eastAsia="en-US"/>
        </w:rPr>
      </w:pPr>
    </w:p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3158"/>
        <w:gridCol w:w="6470"/>
      </w:tblGrid>
      <w:tr w:rsidR="002C7328" w:rsidRPr="0032259F" w14:paraId="2ABEF8C9" w14:textId="77777777" w:rsidTr="00A15450"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9FEC" w14:textId="77777777" w:rsidR="002C7328" w:rsidRPr="0032259F" w:rsidRDefault="002C7328">
            <w:pPr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Platelet count</w:t>
            </w:r>
          </w:p>
        </w:tc>
        <w:tc>
          <w:tcPr>
            <w:tcW w:w="3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F2A1" w14:textId="77777777" w:rsidR="002C7328" w:rsidRPr="0032259F" w:rsidRDefault="002C7328">
            <w:pPr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Dose adjustment or response</w:t>
            </w:r>
          </w:p>
        </w:tc>
      </w:tr>
      <w:tr w:rsidR="002C7328" w:rsidRPr="00727038" w14:paraId="6C9D8501" w14:textId="77777777" w:rsidTr="00A15450"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F8E1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&lt;50 000/</w:t>
            </w:r>
            <w:proofErr w:type="spellStart"/>
            <w:r w:rsidRPr="0032259F">
              <w:rPr>
                <w:sz w:val="24"/>
                <w:szCs w:val="24"/>
              </w:rPr>
              <w:t>μl</w:t>
            </w:r>
            <w:proofErr w:type="spellEnd"/>
            <w:r w:rsidRPr="0032259F">
              <w:rPr>
                <w:sz w:val="24"/>
                <w:szCs w:val="24"/>
              </w:rPr>
              <w:t xml:space="preserve"> following at least</w:t>
            </w:r>
          </w:p>
          <w:p w14:paraId="6C0AC2FA" w14:textId="77777777" w:rsidR="002C7328" w:rsidRPr="0032259F" w:rsidRDefault="002C7328">
            <w:pPr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2 weeks of therapy</w:t>
            </w:r>
          </w:p>
        </w:tc>
        <w:tc>
          <w:tcPr>
            <w:tcW w:w="3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D8BE" w14:textId="77777777" w:rsidR="002C7328" w:rsidRPr="0032259F" w:rsidRDefault="002C7328">
            <w:pPr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Increase daily dose by 50 mg to a maximum of 150 mg/day.</w:t>
            </w:r>
          </w:p>
          <w:p w14:paraId="7A15EED3" w14:textId="77777777" w:rsidR="002C7328" w:rsidRPr="0032259F" w:rsidRDefault="002C7328">
            <w:pPr>
              <w:rPr>
                <w:sz w:val="24"/>
                <w:szCs w:val="24"/>
              </w:rPr>
            </w:pPr>
          </w:p>
          <w:p w14:paraId="37A268DC" w14:textId="51AE493E" w:rsidR="002C7328" w:rsidRPr="0032259F" w:rsidRDefault="002C7328" w:rsidP="000F7CFC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For patients taking 25 mg once daily, increase the dose to</w:t>
            </w:r>
            <w:r w:rsidR="000F7CFC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50 mg daily before increasing the dose amount by 50 mg.</w:t>
            </w:r>
          </w:p>
        </w:tc>
      </w:tr>
      <w:tr w:rsidR="002C7328" w:rsidRPr="00727038" w14:paraId="638AAC30" w14:textId="77777777" w:rsidTr="00A15450"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6355" w14:textId="77777777" w:rsidR="002C7328" w:rsidRPr="0032259F" w:rsidRDefault="002C7328">
            <w:pPr>
              <w:rPr>
                <w:sz w:val="24"/>
                <w:szCs w:val="24"/>
              </w:rPr>
            </w:pPr>
            <w:r w:rsidRPr="0032259F">
              <w:rPr>
                <w:rFonts w:eastAsia="SymbolMT"/>
                <w:sz w:val="24"/>
                <w:szCs w:val="24"/>
              </w:rPr>
              <w:t>≥50 000/</w:t>
            </w:r>
            <w:proofErr w:type="spellStart"/>
            <w:r w:rsidRPr="0032259F">
              <w:rPr>
                <w:rFonts w:eastAsia="SymbolMT"/>
                <w:sz w:val="24"/>
                <w:szCs w:val="24"/>
              </w:rPr>
              <w:t>μl</w:t>
            </w:r>
            <w:proofErr w:type="spellEnd"/>
            <w:r w:rsidRPr="0032259F">
              <w:rPr>
                <w:rFonts w:eastAsia="SymbolMT"/>
                <w:sz w:val="24"/>
                <w:szCs w:val="24"/>
              </w:rPr>
              <w:t xml:space="preserve"> to ≤150 000/</w:t>
            </w:r>
            <w:proofErr w:type="spellStart"/>
            <w:r w:rsidRPr="0032259F">
              <w:rPr>
                <w:rFonts w:eastAsia="SymbolMT"/>
                <w:sz w:val="24"/>
                <w:szCs w:val="24"/>
              </w:rPr>
              <w:t>μl</w:t>
            </w:r>
            <w:proofErr w:type="spellEnd"/>
          </w:p>
        </w:tc>
        <w:tc>
          <w:tcPr>
            <w:tcW w:w="3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AA58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 xml:space="preserve">Use lowest dose of </w:t>
            </w:r>
            <w:proofErr w:type="spellStart"/>
            <w:r w:rsidRPr="0032259F">
              <w:rPr>
                <w:sz w:val="24"/>
                <w:szCs w:val="24"/>
              </w:rPr>
              <w:t>eltrombopag</w:t>
            </w:r>
            <w:proofErr w:type="spellEnd"/>
            <w:r w:rsidRPr="0032259F">
              <w:rPr>
                <w:sz w:val="24"/>
                <w:szCs w:val="24"/>
              </w:rPr>
              <w:t xml:space="preserve"> to maintain platelet counts.</w:t>
            </w:r>
          </w:p>
        </w:tc>
      </w:tr>
      <w:tr w:rsidR="002C7328" w:rsidRPr="00727038" w14:paraId="18E1F5FB" w14:textId="77777777" w:rsidTr="00A15450"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8C72" w14:textId="77777777" w:rsidR="002C7328" w:rsidRPr="0032259F" w:rsidRDefault="002C7328">
            <w:pPr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&gt;150 000/</w:t>
            </w:r>
            <w:proofErr w:type="spellStart"/>
            <w:r w:rsidRPr="0032259F">
              <w:rPr>
                <w:sz w:val="24"/>
                <w:szCs w:val="24"/>
              </w:rPr>
              <w:t>μl</w:t>
            </w:r>
            <w:proofErr w:type="spellEnd"/>
            <w:r w:rsidRPr="0032259F">
              <w:rPr>
                <w:sz w:val="24"/>
                <w:szCs w:val="24"/>
              </w:rPr>
              <w:t xml:space="preserve"> to </w:t>
            </w:r>
            <w:r w:rsidRPr="0032259F">
              <w:rPr>
                <w:rFonts w:eastAsia="SymbolMT"/>
                <w:sz w:val="24"/>
                <w:szCs w:val="24"/>
              </w:rPr>
              <w:t xml:space="preserve">≤ </w:t>
            </w:r>
            <w:r w:rsidRPr="0032259F">
              <w:rPr>
                <w:sz w:val="24"/>
                <w:szCs w:val="24"/>
              </w:rPr>
              <w:t>250 000/</w:t>
            </w:r>
            <w:proofErr w:type="spellStart"/>
            <w:r w:rsidRPr="0032259F">
              <w:rPr>
                <w:sz w:val="24"/>
                <w:szCs w:val="24"/>
              </w:rPr>
              <w:t>μl</w:t>
            </w:r>
            <w:proofErr w:type="spellEnd"/>
          </w:p>
        </w:tc>
        <w:tc>
          <w:tcPr>
            <w:tcW w:w="3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B913" w14:textId="0054054C" w:rsidR="002C7328" w:rsidRPr="0032259F" w:rsidRDefault="002C7328" w:rsidP="000F7CFC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Decrease the daily dose by 50 mg. Wait 2 weeks to assess the</w:t>
            </w:r>
            <w:r w:rsidR="000F7CFC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effects of this and any subsequent dose adjustments.</w:t>
            </w:r>
          </w:p>
        </w:tc>
      </w:tr>
      <w:tr w:rsidR="002C7328" w:rsidRPr="00727038" w14:paraId="5059877F" w14:textId="77777777" w:rsidTr="00A15450"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5D33" w14:textId="77777777" w:rsidR="002C7328" w:rsidRPr="0032259F" w:rsidRDefault="002C7328">
            <w:pPr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&gt;250 000/</w:t>
            </w:r>
            <w:proofErr w:type="spellStart"/>
            <w:r w:rsidRPr="0032259F">
              <w:rPr>
                <w:sz w:val="24"/>
                <w:szCs w:val="24"/>
              </w:rPr>
              <w:t>μl</w:t>
            </w:r>
            <w:proofErr w:type="spellEnd"/>
          </w:p>
        </w:tc>
        <w:tc>
          <w:tcPr>
            <w:tcW w:w="3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3E27" w14:textId="77777777" w:rsidR="002C7328" w:rsidRPr="0032259F" w:rsidRDefault="002C7328">
            <w:pPr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 xml:space="preserve">Stop </w:t>
            </w:r>
            <w:proofErr w:type="spellStart"/>
            <w:r w:rsidRPr="0032259F">
              <w:rPr>
                <w:sz w:val="24"/>
                <w:szCs w:val="24"/>
              </w:rPr>
              <w:t>eltrombopag</w:t>
            </w:r>
            <w:proofErr w:type="spellEnd"/>
            <w:r w:rsidRPr="0032259F">
              <w:rPr>
                <w:sz w:val="24"/>
                <w:szCs w:val="24"/>
              </w:rPr>
              <w:t>; for at least one week.</w:t>
            </w:r>
          </w:p>
          <w:p w14:paraId="1A2722BB" w14:textId="77777777" w:rsidR="002C7328" w:rsidRPr="0032259F" w:rsidRDefault="002C7328">
            <w:pPr>
              <w:rPr>
                <w:sz w:val="24"/>
                <w:szCs w:val="24"/>
              </w:rPr>
            </w:pPr>
          </w:p>
          <w:p w14:paraId="6A6C1B20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 xml:space="preserve">Once the platelet count is </w:t>
            </w:r>
            <w:r w:rsidRPr="0032259F">
              <w:rPr>
                <w:rFonts w:eastAsia="TimesNewRomanPSMT"/>
                <w:sz w:val="24"/>
                <w:szCs w:val="24"/>
              </w:rPr>
              <w:t xml:space="preserve">≤100 </w:t>
            </w:r>
            <w:r w:rsidRPr="0032259F">
              <w:rPr>
                <w:sz w:val="24"/>
                <w:szCs w:val="24"/>
              </w:rPr>
              <w:t>000/</w:t>
            </w:r>
            <w:proofErr w:type="spellStart"/>
            <w:r w:rsidRPr="0032259F">
              <w:rPr>
                <w:sz w:val="24"/>
                <w:szCs w:val="24"/>
              </w:rPr>
              <w:t>μl</w:t>
            </w:r>
            <w:proofErr w:type="spellEnd"/>
            <w:r w:rsidRPr="0032259F">
              <w:rPr>
                <w:sz w:val="24"/>
                <w:szCs w:val="24"/>
              </w:rPr>
              <w:t>, reinitiate therapy at a daily dose reduced by 50 mg.</w:t>
            </w:r>
          </w:p>
        </w:tc>
      </w:tr>
    </w:tbl>
    <w:p w14:paraId="0B03043F" w14:textId="77777777" w:rsidR="000F7CFC" w:rsidRPr="0032259F" w:rsidRDefault="000F7CFC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18B2E98A" w14:textId="325BE8E9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Tapering for tri-lineage (white blood cells, red blood cells, and platelets) responders</w:t>
      </w:r>
    </w:p>
    <w:p w14:paraId="3D2DF493" w14:textId="17DB4D6F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For patients who achieve tri-lineage response, including transfusion independence, lasting at least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8 weeks: the dose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may be reduced by 50%.</w:t>
      </w:r>
    </w:p>
    <w:p w14:paraId="270C8D69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7464BB88" w14:textId="1C713209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If counts remain stable after 8 weeks at the reduced dose, then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must be discontinued and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blood counts monitored. If platelet counts drop to &lt;30 000/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μl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, haemoglobin drops to &lt; 9 g/dl or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absolute neutrophil count (ANC) &lt;0.5 x 10</w:t>
      </w:r>
      <w:r w:rsidRPr="0032259F">
        <w:rPr>
          <w:rFonts w:eastAsia="SimSun"/>
          <w:sz w:val="24"/>
          <w:szCs w:val="24"/>
          <w:vertAlign w:val="superscript"/>
          <w:lang w:val="en-GB" w:eastAsia="en-GB"/>
        </w:rPr>
        <w:t>9</w:t>
      </w:r>
      <w:r w:rsidRPr="0032259F">
        <w:rPr>
          <w:rFonts w:eastAsia="SimSun"/>
          <w:sz w:val="24"/>
          <w:szCs w:val="24"/>
          <w:lang w:val="en-GB" w:eastAsia="en-GB"/>
        </w:rPr>
        <w:t xml:space="preserve">/l,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may be reinitiated at the previous effective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dose.</w:t>
      </w:r>
    </w:p>
    <w:p w14:paraId="577B5435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315A5324" w14:textId="77777777" w:rsidR="002C7328" w:rsidRPr="0032259F" w:rsidRDefault="002C7328" w:rsidP="00A15450">
      <w:pPr>
        <w:ind w:left="851"/>
        <w:rPr>
          <w:rFonts w:eastAsia="SimSun"/>
          <w:i/>
          <w:sz w:val="24"/>
          <w:szCs w:val="24"/>
          <w:lang w:val="en-GB" w:eastAsia="en-GB"/>
        </w:rPr>
      </w:pPr>
      <w:r w:rsidRPr="0032259F">
        <w:rPr>
          <w:rFonts w:eastAsia="SimSun"/>
          <w:i/>
          <w:sz w:val="24"/>
          <w:szCs w:val="24"/>
          <w:lang w:val="en-GB" w:eastAsia="en-GB"/>
        </w:rPr>
        <w:t>Discontinuation</w:t>
      </w:r>
    </w:p>
    <w:p w14:paraId="6E3834EE" w14:textId="6A83DB76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If no haematological response has occurred after 16 weeks of therapy with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, therapy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should be discontinued. If new cytogenetic abnormalities are detected, it must be evaluated whether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continuation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is appropriate (see sections 4.4 and 4.8). Excessive platelet count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responses (as outlined in Table 3) or important liver test abnormalities also necessitate discontinuation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(see section 4.8).</w:t>
      </w:r>
    </w:p>
    <w:p w14:paraId="7D538405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07FCB3DF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sz w:val="24"/>
          <w:szCs w:val="24"/>
          <w:u w:val="single"/>
          <w:lang w:val="en-GB" w:eastAsia="en-GB"/>
        </w:rPr>
        <w:t>Special population</w:t>
      </w:r>
    </w:p>
    <w:p w14:paraId="048D35D3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3856A1E4" w14:textId="77777777" w:rsidR="002C7328" w:rsidRPr="0032259F" w:rsidRDefault="002C7328" w:rsidP="00A15450">
      <w:pPr>
        <w:ind w:left="851"/>
        <w:rPr>
          <w:rFonts w:eastAsia="SimSun"/>
          <w:i/>
          <w:sz w:val="24"/>
          <w:szCs w:val="24"/>
          <w:lang w:val="en-GB" w:eastAsia="en-GB"/>
        </w:rPr>
      </w:pPr>
      <w:r w:rsidRPr="0032259F">
        <w:rPr>
          <w:rFonts w:eastAsia="SimSun"/>
          <w:i/>
          <w:sz w:val="24"/>
          <w:szCs w:val="24"/>
          <w:lang w:val="en-GB" w:eastAsia="en-GB"/>
        </w:rPr>
        <w:t>Renal impairment</w:t>
      </w:r>
    </w:p>
    <w:p w14:paraId="6CBC9B56" w14:textId="61120A10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No dose adjustment is necessary in patients with renal impairment. Patients with impaired renal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function should use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with caution and close monitoring, for example by testing serum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creatinine and/or performing urine analysis (see section 5.2).</w:t>
      </w:r>
    </w:p>
    <w:p w14:paraId="1AA02F13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0E3AB70F" w14:textId="77777777" w:rsidR="002C7328" w:rsidRPr="0032259F" w:rsidRDefault="002C7328" w:rsidP="00A15450">
      <w:pPr>
        <w:ind w:left="851"/>
        <w:rPr>
          <w:rFonts w:eastAsia="SimSun"/>
          <w:i/>
          <w:sz w:val="24"/>
          <w:szCs w:val="24"/>
          <w:lang w:val="en-GB" w:eastAsia="en-GB"/>
        </w:rPr>
      </w:pPr>
      <w:r w:rsidRPr="0032259F">
        <w:rPr>
          <w:rFonts w:eastAsia="SimSun"/>
          <w:i/>
          <w:sz w:val="24"/>
          <w:szCs w:val="24"/>
          <w:lang w:val="en-GB" w:eastAsia="en-GB"/>
        </w:rPr>
        <w:t>Hepatic impairment</w:t>
      </w:r>
    </w:p>
    <w:p w14:paraId="7D8D750A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should not be used in ITP patients with hepatic impairment (Child-</w:t>
      </w:r>
      <w:r w:rsidRPr="0032259F">
        <w:rPr>
          <w:rFonts w:eastAsia="TimesNewRomanPSMT"/>
          <w:sz w:val="24"/>
          <w:szCs w:val="24"/>
          <w:lang w:val="en-GB" w:eastAsia="en-GB"/>
        </w:rPr>
        <w:t>Pugh score ≥</w:t>
      </w:r>
      <w:r w:rsidRPr="0032259F">
        <w:rPr>
          <w:rFonts w:eastAsia="SimSun"/>
          <w:sz w:val="24"/>
          <w:szCs w:val="24"/>
          <w:lang w:val="en-GB" w:eastAsia="en-GB"/>
        </w:rPr>
        <w:t>5) unless the expected benefit outweighs the identified risk of portal venous thrombosis (see section 4.4).</w:t>
      </w:r>
    </w:p>
    <w:p w14:paraId="36D0027C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581BBE21" w14:textId="11A2D7CF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If the use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is deemed necessary for ITP patients with hepatic impairment the starting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dose must be 25 mg once daily. After initiating the dose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in patients with hepatic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impairment an interval of 3 weeks should be observed before increasing the dose.</w:t>
      </w:r>
    </w:p>
    <w:p w14:paraId="3B59E9BB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6F20456C" w14:textId="3F27E283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No dose adjustment is required for thrombocytopenic patients with chronic HCV and mild hepatic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impairment (Child-Pugh score </w:t>
      </w:r>
      <w:r w:rsidRPr="0032259F">
        <w:rPr>
          <w:rFonts w:eastAsia="TimesNewRomanPSMT"/>
          <w:sz w:val="24"/>
          <w:szCs w:val="24"/>
          <w:lang w:val="en-GB" w:eastAsia="en-GB"/>
        </w:rPr>
        <w:t xml:space="preserve">≤6). </w:t>
      </w:r>
      <w:r w:rsidRPr="0032259F">
        <w:rPr>
          <w:rFonts w:eastAsia="SimSun"/>
          <w:sz w:val="24"/>
          <w:szCs w:val="24"/>
          <w:lang w:val="en-GB" w:eastAsia="en-GB"/>
        </w:rPr>
        <w:t xml:space="preserve">Chronic HCV patients and severe aplastic </w:t>
      </w:r>
      <w:r w:rsidRPr="0032259F">
        <w:rPr>
          <w:rFonts w:eastAsia="SimSun"/>
          <w:sz w:val="24"/>
          <w:szCs w:val="24"/>
          <w:lang w:val="en-GB" w:eastAsia="en-GB"/>
        </w:rPr>
        <w:lastRenderedPageBreak/>
        <w:t>anaemia patients with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hepatic impairment should initiate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at a dose of 25 mg once daily (see section 5.2). After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initiating the dose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in patients with hepatic impairment an interval of 2 weeks should be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observed before increasing the dose.</w:t>
      </w:r>
    </w:p>
    <w:p w14:paraId="4414374C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7B6FA764" w14:textId="59950572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There is an increased risk for adverse events, including hepatic decompensation and thromboembolic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events (TEEs), in thrombocytopenic patients with advanced chronic liver disease treated with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, either in preparation for invasive procedure or in HCV patients undergoing antiviral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therapy (see sections 4.4 and 4.8).</w:t>
      </w:r>
    </w:p>
    <w:p w14:paraId="0575B15A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0F216D4A" w14:textId="77777777" w:rsidR="002C7328" w:rsidRPr="0032259F" w:rsidRDefault="002C7328" w:rsidP="00A15450">
      <w:pPr>
        <w:ind w:left="851"/>
        <w:rPr>
          <w:rFonts w:eastAsia="SimSun"/>
          <w:i/>
          <w:sz w:val="24"/>
          <w:szCs w:val="24"/>
          <w:lang w:val="en-GB" w:eastAsia="en-GB"/>
        </w:rPr>
      </w:pPr>
      <w:r w:rsidRPr="0032259F">
        <w:rPr>
          <w:rFonts w:eastAsia="SimSun"/>
          <w:i/>
          <w:sz w:val="24"/>
          <w:szCs w:val="24"/>
          <w:lang w:val="en-GB" w:eastAsia="en-GB"/>
        </w:rPr>
        <w:t>Elderly</w:t>
      </w:r>
    </w:p>
    <w:p w14:paraId="0678E0CD" w14:textId="06B45C41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There are limited data on the use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in ITP patients aged 65 years and older and no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clinical experience in ITP patients aged over 85 years. In the clinical studies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, overall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no clinically significant differences in safety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were observed between patients aged at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least 65 years and younger patients. Other reported clinical experience has not identified differences in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responses between the elderly and younger patients, but greater sensitivity of some older individuals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cannot be ruled out (see section 5.2).</w:t>
      </w:r>
    </w:p>
    <w:p w14:paraId="6654D251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4FA93E5F" w14:textId="473E503A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There are limited data on the use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in HCV and SAA patients aged over 75 years.</w:t>
      </w:r>
      <w:r w:rsidR="004745B3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Caution should be exercised in these patients (see section 4.4).</w:t>
      </w:r>
    </w:p>
    <w:p w14:paraId="2ACAB095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3CE51773" w14:textId="77777777" w:rsidR="002C7328" w:rsidRPr="0032259F" w:rsidRDefault="002C7328" w:rsidP="00A15450">
      <w:pPr>
        <w:ind w:left="851"/>
        <w:rPr>
          <w:rFonts w:eastAsia="SimSun"/>
          <w:i/>
          <w:sz w:val="24"/>
          <w:szCs w:val="24"/>
          <w:lang w:val="en-GB" w:eastAsia="en-GB"/>
        </w:rPr>
      </w:pPr>
      <w:r w:rsidRPr="0032259F">
        <w:rPr>
          <w:rFonts w:eastAsia="SimSun"/>
          <w:i/>
          <w:sz w:val="24"/>
          <w:szCs w:val="24"/>
          <w:lang w:val="en-GB" w:eastAsia="en-GB"/>
        </w:rPr>
        <w:t>East-/Southeast-Asian patients</w:t>
      </w:r>
    </w:p>
    <w:p w14:paraId="06F3301C" w14:textId="5401B85F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For adult and paediatric patients of East-/Southeast-Asian ancestry, including those with hepatic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impairment,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should be initiated at a dose of 25 mg once daily (see section 5.2).</w:t>
      </w:r>
    </w:p>
    <w:p w14:paraId="3A894FCE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3B4A16BD" w14:textId="7E6EE172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Patient platelet count should continue to be monitored and the standard criteria for further dose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modification followed.</w:t>
      </w:r>
    </w:p>
    <w:p w14:paraId="24572807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3EA76671" w14:textId="77777777" w:rsidR="002C7328" w:rsidRPr="0032259F" w:rsidRDefault="002C7328" w:rsidP="00A15450">
      <w:pPr>
        <w:ind w:left="851"/>
        <w:rPr>
          <w:rFonts w:eastAsia="SimSun"/>
          <w:i/>
          <w:sz w:val="24"/>
          <w:szCs w:val="24"/>
          <w:lang w:val="en-GB" w:eastAsia="en-GB"/>
        </w:rPr>
      </w:pPr>
      <w:r w:rsidRPr="0032259F">
        <w:rPr>
          <w:rFonts w:eastAsia="SimSun"/>
          <w:i/>
          <w:sz w:val="24"/>
          <w:szCs w:val="24"/>
          <w:lang w:val="en-GB" w:eastAsia="en-GB"/>
        </w:rPr>
        <w:t>Paediatric population</w:t>
      </w:r>
    </w:p>
    <w:p w14:paraId="1315AD98" w14:textId="42862C25" w:rsidR="002C7328" w:rsidRPr="0032259F" w:rsidRDefault="004745B3" w:rsidP="00A15450">
      <w:pPr>
        <w:ind w:left="851"/>
        <w:rPr>
          <w:rFonts w:eastAsia="SimSun"/>
          <w:sz w:val="24"/>
          <w:szCs w:val="24"/>
          <w:lang w:val="en-GB" w:eastAsia="en-GB"/>
        </w:rPr>
      </w:pPr>
      <w:proofErr w:type="spellStart"/>
      <w:r w:rsidRPr="0032259F">
        <w:rPr>
          <w:rFonts w:eastAsiaTheme="minorHAnsi"/>
          <w:sz w:val="24"/>
          <w:szCs w:val="24"/>
          <w:lang w:val="en-GB"/>
        </w:rPr>
        <w:t>Eltrombopag</w:t>
      </w:r>
      <w:proofErr w:type="spellEnd"/>
      <w:r w:rsidRPr="0032259F">
        <w:rPr>
          <w:rFonts w:eastAsiaTheme="minorHAnsi"/>
          <w:sz w:val="24"/>
          <w:szCs w:val="24"/>
          <w:lang w:val="en-GB"/>
        </w:rPr>
        <w:t xml:space="preserve"> "</w:t>
      </w:r>
      <w:proofErr w:type="spellStart"/>
      <w:r w:rsidRPr="0032259F">
        <w:rPr>
          <w:rFonts w:eastAsiaTheme="minorHAnsi"/>
          <w:sz w:val="24"/>
          <w:szCs w:val="24"/>
          <w:lang w:val="en-GB"/>
        </w:rPr>
        <w:t>Vipharm</w:t>
      </w:r>
      <w:proofErr w:type="spellEnd"/>
      <w:r w:rsidRPr="0032259F">
        <w:rPr>
          <w:rFonts w:eastAsiaTheme="minorHAnsi"/>
          <w:sz w:val="24"/>
          <w:szCs w:val="24"/>
          <w:lang w:val="en-GB"/>
        </w:rPr>
        <w:t>"</w:t>
      </w:r>
      <w:r w:rsidR="002C7328" w:rsidRPr="0032259F">
        <w:rPr>
          <w:rFonts w:eastAsiaTheme="minorHAnsi"/>
          <w:sz w:val="24"/>
          <w:szCs w:val="24"/>
          <w:lang w:val="en-GB"/>
        </w:rPr>
        <w:t xml:space="preserve"> </w:t>
      </w:r>
      <w:r w:rsidR="002C7328" w:rsidRPr="0032259F">
        <w:rPr>
          <w:rFonts w:eastAsia="SimSun"/>
          <w:sz w:val="24"/>
          <w:szCs w:val="24"/>
          <w:lang w:val="en-GB" w:eastAsia="en-GB"/>
        </w:rPr>
        <w:t>is not recommended for use in children under the age of one year with ITP due to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="002C7328" w:rsidRPr="0032259F">
        <w:rPr>
          <w:rFonts w:eastAsia="SimSun"/>
          <w:sz w:val="24"/>
          <w:szCs w:val="24"/>
          <w:lang w:val="en-GB" w:eastAsia="en-GB"/>
        </w:rPr>
        <w:t xml:space="preserve">insufficient data on safety and efficacy. The safety and efficacy of </w:t>
      </w:r>
      <w:proofErr w:type="spellStart"/>
      <w:r w:rsidR="002C7328"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="002C7328" w:rsidRPr="0032259F">
        <w:rPr>
          <w:rFonts w:eastAsia="SimSun"/>
          <w:sz w:val="24"/>
          <w:szCs w:val="24"/>
          <w:lang w:val="en-GB" w:eastAsia="en-GB"/>
        </w:rPr>
        <w:t xml:space="preserve"> has not been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="002C7328" w:rsidRPr="0032259F">
        <w:rPr>
          <w:rFonts w:eastAsia="SimSun"/>
          <w:sz w:val="24"/>
          <w:szCs w:val="24"/>
          <w:lang w:val="en-GB" w:eastAsia="en-GB"/>
        </w:rPr>
        <w:t>established in children and adolescents (&lt;18 years) with chronic HCV related thrombocytopenia or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="002C7328" w:rsidRPr="0032259F">
        <w:rPr>
          <w:rFonts w:eastAsia="SimSun"/>
          <w:sz w:val="24"/>
          <w:szCs w:val="24"/>
          <w:lang w:val="en-GB" w:eastAsia="en-GB"/>
        </w:rPr>
        <w:t>SAA. No data are available.</w:t>
      </w:r>
    </w:p>
    <w:p w14:paraId="3545A96A" w14:textId="77777777" w:rsidR="000F7CFC" w:rsidRPr="0032259F" w:rsidRDefault="000F7CFC" w:rsidP="00A15450">
      <w:pPr>
        <w:ind w:left="851"/>
        <w:rPr>
          <w:rFonts w:eastAsia="SimSun"/>
          <w:sz w:val="24"/>
          <w:szCs w:val="24"/>
          <w:u w:val="single"/>
          <w:lang w:val="en-GB" w:eastAsia="en-GB"/>
        </w:rPr>
      </w:pPr>
    </w:p>
    <w:p w14:paraId="4E2EDF71" w14:textId="769E62EA" w:rsidR="002C7328" w:rsidRPr="0032259F" w:rsidRDefault="002C7328" w:rsidP="00A15450">
      <w:pPr>
        <w:ind w:left="851"/>
        <w:rPr>
          <w:rFonts w:eastAsia="SimSun"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sz w:val="24"/>
          <w:szCs w:val="24"/>
          <w:u w:val="single"/>
          <w:lang w:val="en-GB" w:eastAsia="en-GB"/>
        </w:rPr>
        <w:t>Method of administration</w:t>
      </w:r>
    </w:p>
    <w:p w14:paraId="4214B97D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Oral use.</w:t>
      </w:r>
    </w:p>
    <w:p w14:paraId="3D8D33AE" w14:textId="343EDFB8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The tablets should be taken at least two hours before or four hours after any products such as antacids,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dairy products (or other calcium containing food products), or mineral supplements containing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polyvalent cations (e.g. iron, calcium, magnesium, aluminium, selenium and zinc) (see sections 4.5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and 5.2).</w:t>
      </w:r>
    </w:p>
    <w:p w14:paraId="3C6CC0C7" w14:textId="77777777" w:rsidR="007C5D2A" w:rsidRPr="0032259F" w:rsidRDefault="007C5D2A" w:rsidP="00A15450">
      <w:pPr>
        <w:ind w:left="851"/>
        <w:rPr>
          <w:sz w:val="24"/>
          <w:szCs w:val="24"/>
          <w:lang w:val="en-GB"/>
        </w:rPr>
      </w:pPr>
    </w:p>
    <w:p w14:paraId="332C5DBF" w14:textId="77777777" w:rsidR="007C5D2A" w:rsidRPr="0032259F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32259F">
        <w:rPr>
          <w:b/>
          <w:sz w:val="24"/>
          <w:szCs w:val="24"/>
          <w:lang w:val="en-GB"/>
        </w:rPr>
        <w:t>4.3</w:t>
      </w:r>
      <w:r w:rsidRPr="0032259F">
        <w:rPr>
          <w:b/>
          <w:sz w:val="24"/>
          <w:szCs w:val="24"/>
          <w:lang w:val="en-GB"/>
        </w:rPr>
        <w:tab/>
        <w:t>Contraindications</w:t>
      </w:r>
    </w:p>
    <w:p w14:paraId="3D8C6844" w14:textId="77777777" w:rsidR="002C7328" w:rsidRPr="0032259F" w:rsidRDefault="002C7328" w:rsidP="00A15450">
      <w:pPr>
        <w:ind w:left="851"/>
        <w:rPr>
          <w:sz w:val="24"/>
          <w:szCs w:val="24"/>
          <w:lang w:val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Hypersensitivity to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or to any of the excipients listed in section 6.1.</w:t>
      </w:r>
    </w:p>
    <w:p w14:paraId="7219228F" w14:textId="77777777" w:rsidR="007C5D2A" w:rsidRPr="0032259F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494FC155" w14:textId="6B196CD5" w:rsidR="007C5D2A" w:rsidRPr="0032259F" w:rsidRDefault="007C5D2A" w:rsidP="007C5D2A">
      <w:pPr>
        <w:tabs>
          <w:tab w:val="left" w:pos="851"/>
        </w:tabs>
        <w:rPr>
          <w:b/>
          <w:sz w:val="24"/>
          <w:szCs w:val="24"/>
          <w:lang w:val="en-GB"/>
        </w:rPr>
      </w:pPr>
      <w:r w:rsidRPr="0032259F">
        <w:rPr>
          <w:b/>
          <w:sz w:val="24"/>
          <w:szCs w:val="24"/>
          <w:lang w:val="en-GB"/>
        </w:rPr>
        <w:t>4.4</w:t>
      </w:r>
      <w:r w:rsidRPr="0032259F">
        <w:rPr>
          <w:b/>
          <w:sz w:val="24"/>
          <w:szCs w:val="24"/>
          <w:lang w:val="en-GB"/>
        </w:rPr>
        <w:tab/>
        <w:t>Special warnings and precautions for use</w:t>
      </w:r>
    </w:p>
    <w:p w14:paraId="49712329" w14:textId="77777777" w:rsidR="000F7CFC" w:rsidRPr="0032259F" w:rsidRDefault="000F7CFC" w:rsidP="000F7CFC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tbl>
      <w:tblPr>
        <w:tblStyle w:val="Tabel-Gitter"/>
        <w:tblW w:w="8788" w:type="dxa"/>
        <w:tblInd w:w="846" w:type="dxa"/>
        <w:tblLook w:val="04A0" w:firstRow="1" w:lastRow="0" w:firstColumn="1" w:lastColumn="0" w:noHBand="0" w:noVBand="1"/>
      </w:tblPr>
      <w:tblGrid>
        <w:gridCol w:w="8788"/>
      </w:tblGrid>
      <w:tr w:rsidR="002C7328" w:rsidRPr="00727038" w14:paraId="23965DDA" w14:textId="77777777" w:rsidTr="00A15450"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848A" w14:textId="0D21D87E" w:rsidR="002C7328" w:rsidRPr="0032259F" w:rsidRDefault="002C7328" w:rsidP="000F7CFC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rFonts w:eastAsia="Times New Roman"/>
                <w:noProof/>
                <w:sz w:val="24"/>
                <w:szCs w:val="24"/>
                <w:lang w:eastAsia="en-US"/>
              </w:rPr>
            </w:pPr>
            <w:r w:rsidRPr="0032259F">
              <w:rPr>
                <w:sz w:val="24"/>
                <w:szCs w:val="24"/>
              </w:rPr>
              <w:t xml:space="preserve">There is an increased risk for adverse reactions, including potentially fatal hepatic decompensation and thromboembolic events, in thrombocytopenic HCV patients with advanced chronic liver disease, as </w:t>
            </w:r>
            <w:r w:rsidRPr="0032259F">
              <w:rPr>
                <w:rFonts w:eastAsia="TimesNewRomanPSMT"/>
                <w:sz w:val="24"/>
                <w:szCs w:val="24"/>
              </w:rPr>
              <w:t>defined by low albumin levels ≤35 </w:t>
            </w:r>
            <w:r w:rsidRPr="0032259F">
              <w:rPr>
                <w:sz w:val="24"/>
                <w:szCs w:val="24"/>
              </w:rPr>
              <w:t xml:space="preserve">g/l or model for end stage liver disease (MELD) </w:t>
            </w:r>
            <w:r w:rsidRPr="0032259F">
              <w:rPr>
                <w:rFonts w:eastAsia="TimesNewRomanPSMT"/>
                <w:sz w:val="24"/>
                <w:szCs w:val="24"/>
              </w:rPr>
              <w:t>score ≥</w:t>
            </w:r>
            <w:r w:rsidRPr="0032259F">
              <w:rPr>
                <w:sz w:val="24"/>
                <w:szCs w:val="24"/>
              </w:rPr>
              <w:t xml:space="preserve">10, when treated with </w:t>
            </w:r>
            <w:proofErr w:type="spellStart"/>
            <w:r w:rsidRPr="0032259F">
              <w:rPr>
                <w:sz w:val="24"/>
                <w:szCs w:val="24"/>
              </w:rPr>
              <w:t>eltrombopag</w:t>
            </w:r>
            <w:proofErr w:type="spellEnd"/>
            <w:r w:rsidRPr="0032259F">
              <w:rPr>
                <w:sz w:val="24"/>
                <w:szCs w:val="24"/>
              </w:rPr>
              <w:t xml:space="preserve"> in </w:t>
            </w:r>
            <w:r w:rsidRPr="0032259F">
              <w:rPr>
                <w:sz w:val="24"/>
                <w:szCs w:val="24"/>
              </w:rPr>
              <w:lastRenderedPageBreak/>
              <w:t xml:space="preserve">combination with interferon-based therapy. In addition, the benefits of treatment in terms of the proportion achieving sustained </w:t>
            </w:r>
            <w:proofErr w:type="spellStart"/>
            <w:r w:rsidRPr="0032259F">
              <w:rPr>
                <w:sz w:val="24"/>
                <w:szCs w:val="24"/>
              </w:rPr>
              <w:t>virological</w:t>
            </w:r>
            <w:proofErr w:type="spellEnd"/>
            <w:r w:rsidRPr="0032259F">
              <w:rPr>
                <w:sz w:val="24"/>
                <w:szCs w:val="24"/>
              </w:rPr>
              <w:t xml:space="preserve"> response (SVR) compared with</w:t>
            </w:r>
            <w:r w:rsidR="000F7CFC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placebo were modest in these patients (es</w:t>
            </w:r>
            <w:r w:rsidRPr="0032259F">
              <w:rPr>
                <w:rFonts w:eastAsia="TimesNewRomanPSMT"/>
                <w:sz w:val="24"/>
                <w:szCs w:val="24"/>
              </w:rPr>
              <w:t>pecially for those with baseline albumin ≤35g/</w:t>
            </w:r>
            <w:r w:rsidRPr="0032259F">
              <w:rPr>
                <w:sz w:val="24"/>
                <w:szCs w:val="24"/>
              </w:rPr>
              <w:t>l) compared</w:t>
            </w:r>
            <w:r w:rsidR="000F7CFC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 xml:space="preserve">with the group overall. Treatment with </w:t>
            </w:r>
            <w:proofErr w:type="spellStart"/>
            <w:r w:rsidRPr="0032259F">
              <w:rPr>
                <w:sz w:val="24"/>
                <w:szCs w:val="24"/>
              </w:rPr>
              <w:t>eltrombopag</w:t>
            </w:r>
            <w:proofErr w:type="spellEnd"/>
            <w:r w:rsidRPr="0032259F">
              <w:rPr>
                <w:sz w:val="24"/>
                <w:szCs w:val="24"/>
              </w:rPr>
              <w:t xml:space="preserve"> in these patients should be initiated only by</w:t>
            </w:r>
            <w:r w:rsidR="000F7CFC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physicians experienced in the management of advanced HCV, and only when the risks of</w:t>
            </w:r>
            <w:r w:rsidR="000F7CFC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thrombocytopenia or withholding antiviral therapy necessitate intervention. If treatment is considered</w:t>
            </w:r>
            <w:r w:rsidR="000F7CFC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clinically indicated, close monitoring of these patients is required.</w:t>
            </w:r>
          </w:p>
        </w:tc>
      </w:tr>
    </w:tbl>
    <w:p w14:paraId="5A9B451E" w14:textId="77777777" w:rsidR="002C7328" w:rsidRPr="0032259F" w:rsidRDefault="002C7328" w:rsidP="000F7CFC">
      <w:pPr>
        <w:ind w:left="851"/>
        <w:outlineLvl w:val="0"/>
        <w:rPr>
          <w:noProof/>
          <w:sz w:val="24"/>
          <w:szCs w:val="24"/>
          <w:lang w:val="en-GB" w:eastAsia="en-US"/>
        </w:rPr>
      </w:pPr>
    </w:p>
    <w:p w14:paraId="11B78756" w14:textId="77777777" w:rsidR="002C7328" w:rsidRPr="0032259F" w:rsidRDefault="002C7328" w:rsidP="00A15450">
      <w:pPr>
        <w:autoSpaceDE w:val="0"/>
        <w:autoSpaceDN w:val="0"/>
        <w:adjustRightInd w:val="0"/>
        <w:ind w:left="851"/>
        <w:rPr>
          <w:rFonts w:eastAsia="SimSun"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sz w:val="24"/>
          <w:szCs w:val="24"/>
          <w:u w:val="single"/>
          <w:lang w:val="en-GB" w:eastAsia="en-GB"/>
        </w:rPr>
        <w:t>Combination with direct-acting antiviral agents</w:t>
      </w:r>
    </w:p>
    <w:p w14:paraId="48CFB640" w14:textId="77777777" w:rsidR="002C7328" w:rsidRPr="0032259F" w:rsidRDefault="002C7328" w:rsidP="00A15450">
      <w:pPr>
        <w:autoSpaceDE w:val="0"/>
        <w:autoSpaceDN w:val="0"/>
        <w:adjustRightInd w:val="0"/>
        <w:ind w:left="851"/>
        <w:rPr>
          <w:rFonts w:eastAsia="SimSun"/>
          <w:sz w:val="24"/>
          <w:szCs w:val="24"/>
          <w:lang w:val="en-GB" w:eastAsia="en-GB"/>
        </w:rPr>
      </w:pPr>
    </w:p>
    <w:p w14:paraId="12E4B463" w14:textId="1243EF39" w:rsidR="002C7328" w:rsidRPr="0032259F" w:rsidRDefault="002C7328" w:rsidP="00A15450">
      <w:pPr>
        <w:autoSpaceDE w:val="0"/>
        <w:autoSpaceDN w:val="0"/>
        <w:adjustRightInd w:val="0"/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Safety and efficacy have not been established in combination with direct-acting antiviral agents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approved for treatment of chronic hepatitis C infection.</w:t>
      </w:r>
    </w:p>
    <w:p w14:paraId="6AE8FBC0" w14:textId="77777777" w:rsidR="002C7328" w:rsidRPr="0032259F" w:rsidRDefault="002C7328" w:rsidP="00A15450">
      <w:pPr>
        <w:autoSpaceDE w:val="0"/>
        <w:autoSpaceDN w:val="0"/>
        <w:adjustRightInd w:val="0"/>
        <w:ind w:left="851"/>
        <w:rPr>
          <w:rFonts w:eastAsia="SimSun"/>
          <w:sz w:val="24"/>
          <w:szCs w:val="24"/>
          <w:lang w:val="en-GB" w:eastAsia="en-GB"/>
        </w:rPr>
      </w:pPr>
    </w:p>
    <w:p w14:paraId="070EE106" w14:textId="77777777" w:rsidR="002C7328" w:rsidRPr="0032259F" w:rsidRDefault="002C7328" w:rsidP="00A15450">
      <w:pPr>
        <w:autoSpaceDE w:val="0"/>
        <w:autoSpaceDN w:val="0"/>
        <w:adjustRightInd w:val="0"/>
        <w:ind w:left="851"/>
        <w:rPr>
          <w:rFonts w:eastAsia="SimSun"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sz w:val="24"/>
          <w:szCs w:val="24"/>
          <w:u w:val="single"/>
          <w:lang w:val="en-GB" w:eastAsia="en-GB"/>
        </w:rPr>
        <w:t>Risk of hepatotoxicity</w:t>
      </w:r>
    </w:p>
    <w:p w14:paraId="60DB68C9" w14:textId="77777777" w:rsidR="002C7328" w:rsidRPr="0032259F" w:rsidRDefault="002C7328" w:rsidP="00A15450">
      <w:pPr>
        <w:autoSpaceDE w:val="0"/>
        <w:autoSpaceDN w:val="0"/>
        <w:adjustRightInd w:val="0"/>
        <w:ind w:left="851"/>
        <w:rPr>
          <w:rFonts w:eastAsia="SimSun"/>
          <w:sz w:val="24"/>
          <w:szCs w:val="24"/>
          <w:lang w:val="en-GB" w:eastAsia="en-GB"/>
        </w:rPr>
      </w:pPr>
    </w:p>
    <w:p w14:paraId="7EEDB851" w14:textId="69E2BD12" w:rsidR="002C7328" w:rsidRPr="0032259F" w:rsidRDefault="002C7328" w:rsidP="000F7CFC">
      <w:pPr>
        <w:autoSpaceDE w:val="0"/>
        <w:autoSpaceDN w:val="0"/>
        <w:adjustRightInd w:val="0"/>
        <w:ind w:left="851"/>
        <w:rPr>
          <w:noProof/>
          <w:sz w:val="24"/>
          <w:szCs w:val="24"/>
          <w:lang w:val="en-GB" w:eastAsia="en-US"/>
        </w:rPr>
      </w:pP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administration can cause abnormal liver function and severe hepatotoxicity, which might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be life-threatening (see section 4.8).</w:t>
      </w:r>
    </w:p>
    <w:p w14:paraId="00C4FDF4" w14:textId="77777777" w:rsidR="002C7328" w:rsidRPr="0032259F" w:rsidRDefault="002C7328" w:rsidP="00A15450">
      <w:pPr>
        <w:ind w:left="851"/>
        <w:outlineLvl w:val="0"/>
        <w:rPr>
          <w:noProof/>
          <w:sz w:val="24"/>
          <w:szCs w:val="24"/>
          <w:lang w:val="en-GB"/>
        </w:rPr>
      </w:pPr>
    </w:p>
    <w:p w14:paraId="4C8C507F" w14:textId="159EAA51" w:rsidR="002C7328" w:rsidRPr="0032259F" w:rsidRDefault="002C7328" w:rsidP="00A15450">
      <w:pPr>
        <w:autoSpaceDE w:val="0"/>
        <w:autoSpaceDN w:val="0"/>
        <w:adjustRightInd w:val="0"/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Serum alanine aminotransferase (ALT), aspartate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aminotrasferase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(AST) and bilirubin should be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measured prior to initiation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, every 2 weeks during the dose adjustment phase and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monthly following establishment of a stable dose.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inhibits UGT1A1 and OATP1B1,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which may lead to indirect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hyperbilirubinaemia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. If bilirubin is elevated fractionation should be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performed. Abnormal serum liver tests should be evaluated with repeat testing within 3 to 5 days. If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the abnormalities are confirmed, serum liver tests should be monitored until the abnormalities resolve,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stabilise, or return to baseline levels.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should be discontinued if ALT levels increase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(</w:t>
      </w:r>
      <w:r w:rsidRPr="0032259F">
        <w:rPr>
          <w:rFonts w:eastAsia="SymbolMT"/>
          <w:sz w:val="24"/>
          <w:szCs w:val="24"/>
          <w:lang w:val="en-GB" w:eastAsia="en-GB"/>
        </w:rPr>
        <w:t>≥</w:t>
      </w:r>
      <w:r w:rsidRPr="0032259F">
        <w:rPr>
          <w:rFonts w:eastAsia="SimSun"/>
          <w:sz w:val="24"/>
          <w:szCs w:val="24"/>
          <w:lang w:val="en-GB" w:eastAsia="en-GB"/>
        </w:rPr>
        <w:t xml:space="preserve">3 times the upper limit of normal [x ULN] in patients with normal liver function, </w:t>
      </w:r>
      <w:r w:rsidRPr="0032259F">
        <w:rPr>
          <w:rFonts w:eastAsia="TimesNewRomanPSMT"/>
          <w:sz w:val="24"/>
          <w:szCs w:val="24"/>
          <w:lang w:val="en-GB" w:eastAsia="en-GB"/>
        </w:rPr>
        <w:t xml:space="preserve">or ≥3 </w:t>
      </w:r>
      <w:r w:rsidRPr="0032259F">
        <w:rPr>
          <w:rFonts w:eastAsia="SimSun"/>
          <w:sz w:val="24"/>
          <w:szCs w:val="24"/>
          <w:lang w:val="en-GB" w:eastAsia="en-GB"/>
        </w:rPr>
        <w:t>x baseline or &gt;5 x ULN, whichever is the lower, in patients with pre-treatment elevations in transaminases) and are:</w:t>
      </w:r>
    </w:p>
    <w:p w14:paraId="3DF8FC04" w14:textId="77777777" w:rsidR="002C7328" w:rsidRPr="0032259F" w:rsidRDefault="002C7328" w:rsidP="00A15450">
      <w:pPr>
        <w:pStyle w:val="Listeafsnit"/>
        <w:numPr>
          <w:ilvl w:val="0"/>
          <w:numId w:val="6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276" w:hanging="425"/>
        <w:rPr>
          <w:rFonts w:eastAsia="SimSun"/>
          <w:sz w:val="24"/>
          <w:szCs w:val="24"/>
          <w:lang w:eastAsia="en-GB"/>
        </w:rPr>
      </w:pPr>
      <w:r w:rsidRPr="0032259F">
        <w:rPr>
          <w:rFonts w:eastAsia="SimSun"/>
          <w:sz w:val="24"/>
          <w:szCs w:val="24"/>
          <w:lang w:eastAsia="en-GB"/>
        </w:rPr>
        <w:t>progressive, or</w:t>
      </w:r>
    </w:p>
    <w:p w14:paraId="13E9042A" w14:textId="77777777" w:rsidR="002C7328" w:rsidRPr="0032259F" w:rsidRDefault="002C7328" w:rsidP="00A15450">
      <w:pPr>
        <w:pStyle w:val="Listeafsnit"/>
        <w:numPr>
          <w:ilvl w:val="0"/>
          <w:numId w:val="6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276" w:hanging="425"/>
        <w:rPr>
          <w:rFonts w:eastAsia="SimSun"/>
          <w:sz w:val="24"/>
          <w:szCs w:val="24"/>
          <w:lang w:eastAsia="en-GB"/>
        </w:rPr>
      </w:pPr>
      <w:r w:rsidRPr="0032259F">
        <w:rPr>
          <w:rFonts w:eastAsia="SimSun"/>
          <w:sz w:val="24"/>
          <w:szCs w:val="24"/>
          <w:lang w:eastAsia="en-GB"/>
        </w:rPr>
        <w:t>persistent for ≥4 weeks, or</w:t>
      </w:r>
    </w:p>
    <w:p w14:paraId="6D518982" w14:textId="77777777" w:rsidR="002C7328" w:rsidRPr="0032259F" w:rsidRDefault="002C7328" w:rsidP="00A15450">
      <w:pPr>
        <w:pStyle w:val="Listeafsnit"/>
        <w:numPr>
          <w:ilvl w:val="0"/>
          <w:numId w:val="6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276" w:hanging="425"/>
        <w:rPr>
          <w:rFonts w:eastAsia="SimSun"/>
          <w:sz w:val="24"/>
          <w:szCs w:val="24"/>
          <w:lang w:eastAsia="en-GB"/>
        </w:rPr>
      </w:pPr>
      <w:r w:rsidRPr="0032259F">
        <w:rPr>
          <w:rFonts w:eastAsia="SimSun"/>
          <w:sz w:val="24"/>
          <w:szCs w:val="24"/>
          <w:lang w:eastAsia="en-GB"/>
        </w:rPr>
        <w:t>accompanied by increased direct bilirubin, or</w:t>
      </w:r>
    </w:p>
    <w:p w14:paraId="6C1540A7" w14:textId="77777777" w:rsidR="002C7328" w:rsidRPr="0032259F" w:rsidRDefault="002C7328" w:rsidP="00A15450">
      <w:pPr>
        <w:pStyle w:val="Listeafsnit"/>
        <w:numPr>
          <w:ilvl w:val="0"/>
          <w:numId w:val="6"/>
        </w:numPr>
        <w:tabs>
          <w:tab w:val="clear" w:pos="567"/>
        </w:tabs>
        <w:autoSpaceDE w:val="0"/>
        <w:autoSpaceDN w:val="0"/>
        <w:adjustRightInd w:val="0"/>
        <w:spacing w:line="240" w:lineRule="auto"/>
        <w:ind w:left="1276" w:hanging="425"/>
        <w:rPr>
          <w:rFonts w:eastAsia="SimSun"/>
          <w:sz w:val="24"/>
          <w:szCs w:val="24"/>
          <w:lang w:eastAsia="en-GB"/>
        </w:rPr>
      </w:pPr>
      <w:r w:rsidRPr="0032259F">
        <w:rPr>
          <w:rFonts w:eastAsia="SimSun"/>
          <w:sz w:val="24"/>
          <w:szCs w:val="24"/>
          <w:lang w:eastAsia="en-GB"/>
        </w:rPr>
        <w:t>accompanied by clinical symptoms of liver injury or evidence for hepatic decompensation.</w:t>
      </w:r>
    </w:p>
    <w:p w14:paraId="0011C55C" w14:textId="77777777" w:rsidR="000F7CFC" w:rsidRPr="0032259F" w:rsidRDefault="000F7CFC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081BBAE9" w14:textId="5924557B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Caution is required when administering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to patients with hepatic disease. In ITP and SAA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patients a lower starting dose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should be used. Close monitoring is required when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administering to patients with hepatic impairment (see section 4.2).</w:t>
      </w:r>
    </w:p>
    <w:p w14:paraId="2ADE2A81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281150A3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sz w:val="24"/>
          <w:szCs w:val="24"/>
          <w:u w:val="single"/>
          <w:lang w:val="en-GB" w:eastAsia="en-GB"/>
        </w:rPr>
        <w:t>Hepatic decompensation (use with interferon)</w:t>
      </w:r>
    </w:p>
    <w:p w14:paraId="3B4F326A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0F56F856" w14:textId="5672BFF8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Hepatic decompensation in patients with chronic hepatitis C: Monitoring is required in patients with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low albumin levels </w:t>
      </w:r>
      <w:r w:rsidRPr="0032259F">
        <w:rPr>
          <w:rFonts w:eastAsia="TimesNewRomanPSMT"/>
          <w:sz w:val="24"/>
          <w:szCs w:val="24"/>
          <w:lang w:val="en-GB" w:eastAsia="en-GB"/>
        </w:rPr>
        <w:t>(≤</w:t>
      </w:r>
      <w:r w:rsidRPr="0032259F">
        <w:rPr>
          <w:rFonts w:eastAsia="SimSun"/>
          <w:sz w:val="24"/>
          <w:szCs w:val="24"/>
          <w:lang w:val="en-GB" w:eastAsia="en-GB"/>
        </w:rPr>
        <w:t xml:space="preserve">35 g/l) </w:t>
      </w:r>
      <w:r w:rsidRPr="0032259F">
        <w:rPr>
          <w:rFonts w:eastAsia="TimesNewRomanPSMT"/>
          <w:sz w:val="24"/>
          <w:szCs w:val="24"/>
          <w:lang w:val="en-GB" w:eastAsia="en-GB"/>
        </w:rPr>
        <w:t>or with MELD score ≥</w:t>
      </w:r>
      <w:r w:rsidRPr="0032259F">
        <w:rPr>
          <w:rFonts w:eastAsia="SimSun"/>
          <w:sz w:val="24"/>
          <w:szCs w:val="24"/>
          <w:lang w:val="en-GB" w:eastAsia="en-GB"/>
        </w:rPr>
        <w:t>10 at baseline.</w:t>
      </w:r>
    </w:p>
    <w:p w14:paraId="1681ABB9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55E6B40F" w14:textId="2D3442AE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Chronic HCV patients with liver cirrhosis may be at risk of hepatic decompensation when receiving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alfa interferon therapy. In two controlled clinical studies in thrombocytopenic patients with HCV,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hepatic decompensation (ascites, hepatic encephalopathy, variceal haemorrhage, spontaneous bacterial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peritonitis) occurred more frequently in the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lastRenderedPageBreak/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arm (11%) than in the placebo arm (6%). In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patients with low </w:t>
      </w:r>
      <w:r w:rsidRPr="0032259F">
        <w:rPr>
          <w:rFonts w:eastAsia="TimesNewRomanPSMT"/>
          <w:sz w:val="24"/>
          <w:szCs w:val="24"/>
          <w:lang w:val="en-GB" w:eastAsia="en-GB"/>
        </w:rPr>
        <w:t xml:space="preserve">albumin levels (≤ </w:t>
      </w:r>
      <w:r w:rsidRPr="0032259F">
        <w:rPr>
          <w:rFonts w:eastAsia="SimSun"/>
          <w:sz w:val="24"/>
          <w:szCs w:val="24"/>
          <w:lang w:val="en-GB" w:eastAsia="en-GB"/>
        </w:rPr>
        <w:t xml:space="preserve">35 g/l) or with a MELD </w:t>
      </w:r>
      <w:r w:rsidRPr="0032259F">
        <w:rPr>
          <w:rFonts w:eastAsia="TimesNewRomanPSMT"/>
          <w:sz w:val="24"/>
          <w:szCs w:val="24"/>
          <w:lang w:val="en-GB" w:eastAsia="en-GB"/>
        </w:rPr>
        <w:t xml:space="preserve">score ≥10 at baseline, there was a </w:t>
      </w:r>
      <w:r w:rsidRPr="0032259F">
        <w:rPr>
          <w:rFonts w:eastAsia="SimSun"/>
          <w:sz w:val="24"/>
          <w:szCs w:val="24"/>
          <w:lang w:val="en-GB" w:eastAsia="en-GB"/>
        </w:rPr>
        <w:t>3-fold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greater risk of hepatic decompensation and an increase in the risk of a fatal adverse event compared to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those with less advanced liver disease. In addition, the benefits of treatment in terms of the proportion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achieving SVR compared with placebo were modest in these patients (especially for those with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TimesNewRomanPSMT"/>
          <w:sz w:val="24"/>
          <w:szCs w:val="24"/>
          <w:lang w:val="en-GB" w:eastAsia="en-GB"/>
        </w:rPr>
        <w:t>baseline albumin ≤35 </w:t>
      </w:r>
      <w:r w:rsidRPr="0032259F">
        <w:rPr>
          <w:rFonts w:eastAsia="SimSun"/>
          <w:sz w:val="24"/>
          <w:szCs w:val="24"/>
          <w:lang w:val="en-GB" w:eastAsia="en-GB"/>
        </w:rPr>
        <w:t xml:space="preserve">g/l) compared with the group overall.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should only be administered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to such patients after careful consideration of the expected benefits in comparison with the risks.</w:t>
      </w:r>
    </w:p>
    <w:p w14:paraId="23A32904" w14:textId="5B9CD385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Patients with these characteristics should be closely monitored for signs and symptoms of hepatic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decompensation. The respective interferon summary of product characteristics should be referenced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for discontinuation criteria.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should be terminated if antiviral therapy is discontinued for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hepatic decompensation.</w:t>
      </w:r>
    </w:p>
    <w:p w14:paraId="45694230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721D0D11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sz w:val="24"/>
          <w:szCs w:val="24"/>
          <w:u w:val="single"/>
          <w:lang w:val="en-GB" w:eastAsia="en-GB"/>
        </w:rPr>
        <w:t>Thrombotic/thromboembolic complications</w:t>
      </w:r>
    </w:p>
    <w:p w14:paraId="5F8B3903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2111CEEA" w14:textId="3483B8B4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In controlled studies in thrombocytopenic patients with HCV receiving interferon-based therapy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(n=1 439), 38 out of 955 patients (4%) treated with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and 6 out of 484 patients (1%) in the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placebo group experienced TEEs. Reported</w:t>
      </w:r>
      <w:r w:rsidR="009C16F9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thrombotic/thrombo</w:t>
      </w:r>
      <w:r w:rsidR="009C16F9" w:rsidRPr="0032259F">
        <w:rPr>
          <w:rFonts w:eastAsia="SimSun"/>
          <w:sz w:val="24"/>
          <w:szCs w:val="24"/>
          <w:lang w:val="en-GB" w:eastAsia="en-GB"/>
        </w:rPr>
        <w:softHyphen/>
      </w:r>
      <w:r w:rsidRPr="0032259F">
        <w:rPr>
          <w:rFonts w:eastAsia="SimSun"/>
          <w:sz w:val="24"/>
          <w:szCs w:val="24"/>
          <w:lang w:val="en-GB" w:eastAsia="en-GB"/>
        </w:rPr>
        <w:t>embolic complications included both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venous and arterial events. The majority of TEEs were non-serious and resolved by the end of the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study. Portal vein thrombosis was the most common TEE in both treatment groups (2% in patients treated with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versus &lt;1% for placebo). No specific temporal relationship between start of treatment and event of TEE were observed. </w:t>
      </w:r>
      <w:r w:rsidRPr="0032259F">
        <w:rPr>
          <w:rFonts w:eastAsia="TimesNewRomanPSMT"/>
          <w:sz w:val="24"/>
          <w:szCs w:val="24"/>
          <w:lang w:val="en-GB" w:eastAsia="en-GB"/>
        </w:rPr>
        <w:t>Patients with low albumin levels (≤</w:t>
      </w:r>
      <w:r w:rsidRPr="0032259F">
        <w:rPr>
          <w:rFonts w:eastAsia="SimSun"/>
          <w:sz w:val="24"/>
          <w:szCs w:val="24"/>
          <w:lang w:val="en-GB" w:eastAsia="en-GB"/>
        </w:rPr>
        <w:t>35 g/l</w:t>
      </w:r>
      <w:r w:rsidRPr="0032259F">
        <w:rPr>
          <w:rFonts w:eastAsia="TimesNewRomanPSMT"/>
          <w:sz w:val="24"/>
          <w:szCs w:val="24"/>
          <w:lang w:val="en-GB" w:eastAsia="en-GB"/>
        </w:rPr>
        <w:t>) or MELD ≥10</w:t>
      </w:r>
      <w:r w:rsidRPr="0032259F">
        <w:rPr>
          <w:rFonts w:eastAsia="SimSun"/>
          <w:sz w:val="24"/>
          <w:szCs w:val="24"/>
          <w:lang w:val="en-GB" w:eastAsia="en-GB"/>
        </w:rPr>
        <w:t xml:space="preserve"> had a 2-fold greater risk of TEEs than those with higher albumin lev</w:t>
      </w:r>
      <w:r w:rsidRPr="0032259F">
        <w:rPr>
          <w:rFonts w:eastAsia="TimesNewRomanPSMT"/>
          <w:sz w:val="24"/>
          <w:szCs w:val="24"/>
          <w:lang w:val="en-GB" w:eastAsia="en-GB"/>
        </w:rPr>
        <w:t xml:space="preserve">els; those aged ≥60 </w:t>
      </w:r>
      <w:r w:rsidRPr="0032259F">
        <w:rPr>
          <w:rFonts w:eastAsia="SimSun"/>
          <w:sz w:val="24"/>
          <w:szCs w:val="24"/>
          <w:lang w:val="en-GB" w:eastAsia="en-GB"/>
        </w:rPr>
        <w:t xml:space="preserve">years had a 2-fold greater risk of TEEs compared to younger patients.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should only be administered to such patients after careful consideration of the expected benefits in comparison with the risks. Patients should be closely monitored for signs and symptoms of TEE.</w:t>
      </w:r>
    </w:p>
    <w:p w14:paraId="433BAB31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61310329" w14:textId="4FE93F72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The risk of TEEs has been found to be increased in patients with chronic liver disease (CLD) treated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with 75 mg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once daily for 2 weeks in preparation for invasive procedures. Six of 143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(4%) adult patients with CLD receiving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experienced TEEs (all of the portal venous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system) and two of 145 (1%) patients in the placebo group experienced TEEs (one in the portal venous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system and one myocardial infarction). Five of the 6 patients treated with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experienced the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thrombotic complication at a platelet count &gt;200 000/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μl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and within 30 days of the last dose of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.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is not indicated for the treatment of thrombocytopenia in patients with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chronic liver disease in preparation for invasive procedures.</w:t>
      </w:r>
    </w:p>
    <w:p w14:paraId="30531B34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2BE8A365" w14:textId="4438B0CA" w:rsidR="002C7328" w:rsidRPr="0032259F" w:rsidRDefault="002C7328" w:rsidP="00A15450">
      <w:pPr>
        <w:ind w:left="851"/>
        <w:rPr>
          <w:noProof/>
          <w:sz w:val="24"/>
          <w:szCs w:val="24"/>
          <w:lang w:val="en-GB" w:eastAsia="en-US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In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clinical studies in ITP thromboembolic events were observed at low and normal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platelet counts. Caution should be used when administering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to patients with known risk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factors for thromboembolism including but not limited to inherited (e.g. Factor V Leiden) or acquired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risk factors (e.g. ATIII deficiency, antiphospholipid syndrome), advanced age, patients with prolonged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periods of immobilisation, malignancies, contraceptives and hormone replacement therapy,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surgery/trauma, obesity and smoking. Platelet counts should be closely monitored and consideration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given to reducing the dose or discontinuing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treatment if the platelet count exceeds the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target levels (see section 4.2). The risk-benefit balance should be considered in patients at risk of TEEs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of any aetiology.</w:t>
      </w:r>
    </w:p>
    <w:p w14:paraId="16D12466" w14:textId="77777777" w:rsidR="002C7328" w:rsidRPr="0032259F" w:rsidRDefault="002C7328" w:rsidP="00A15450">
      <w:pPr>
        <w:ind w:left="851"/>
        <w:rPr>
          <w:noProof/>
          <w:sz w:val="24"/>
          <w:szCs w:val="24"/>
          <w:lang w:val="en-GB"/>
        </w:rPr>
      </w:pPr>
    </w:p>
    <w:p w14:paraId="26F40811" w14:textId="6D5FCB20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lastRenderedPageBreak/>
        <w:t>No case of TEE was identified from a clinical study in refractory SAA, however the risk of these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events cannot be excluded in this patient population due to the limited number of exposed patients. As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the highest authorised dose is indicated for patients with SAA (150 mg/day) and due to the nature of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the reaction, TEEs might be expected in this patient population.</w:t>
      </w:r>
    </w:p>
    <w:p w14:paraId="7AE628D9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7CCF9864" w14:textId="1F9EDE03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should not be used in ITP patients with hepatic impairment (Child-Pugh score </w:t>
      </w:r>
      <w:r w:rsidRPr="0032259F">
        <w:rPr>
          <w:rFonts w:eastAsia="TimesNewRomanPSMT"/>
          <w:sz w:val="24"/>
          <w:szCs w:val="24"/>
          <w:lang w:val="en-GB" w:eastAsia="en-GB"/>
        </w:rPr>
        <w:t xml:space="preserve">≥5) </w:t>
      </w:r>
      <w:r w:rsidRPr="0032259F">
        <w:rPr>
          <w:rFonts w:eastAsia="SimSun"/>
          <w:sz w:val="24"/>
          <w:szCs w:val="24"/>
          <w:lang w:val="en-GB" w:eastAsia="en-GB"/>
        </w:rPr>
        <w:t xml:space="preserve">unless the expected benefit outweighs the identified risk of portal venous thrombosis. When treatment is considered appropriate, caution is required when administering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to patients with hepatic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impairment (see sections 4.2 and 4.8).</w:t>
      </w:r>
    </w:p>
    <w:p w14:paraId="43163CD9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472928DF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sz w:val="24"/>
          <w:szCs w:val="24"/>
          <w:u w:val="single"/>
          <w:lang w:val="en-GB" w:eastAsia="en-GB"/>
        </w:rPr>
        <w:t xml:space="preserve">Bleeding following discontinuation of </w:t>
      </w:r>
      <w:proofErr w:type="spellStart"/>
      <w:r w:rsidRPr="0032259F">
        <w:rPr>
          <w:rFonts w:eastAsia="SimSun"/>
          <w:sz w:val="24"/>
          <w:szCs w:val="24"/>
          <w:u w:val="single"/>
          <w:lang w:val="en-GB" w:eastAsia="en-GB"/>
        </w:rPr>
        <w:t>eltrombopag</w:t>
      </w:r>
      <w:proofErr w:type="spellEnd"/>
    </w:p>
    <w:p w14:paraId="1111DD43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u w:val="single"/>
          <w:lang w:val="en-GB" w:eastAsia="en-GB"/>
        </w:rPr>
      </w:pPr>
    </w:p>
    <w:p w14:paraId="4A9865F9" w14:textId="7415D96B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Thrombocytopenia is likely to reoccur in ITP patients upon discontinuation of treatment with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. Following discontinuation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, platelet counts return to baseline levels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within 2 weeks in the majority of patients, which increases the bleeding risk </w:t>
      </w:r>
      <w:proofErr w:type="gramStart"/>
      <w:r w:rsidRPr="0032259F">
        <w:rPr>
          <w:rFonts w:eastAsia="SimSun"/>
          <w:sz w:val="24"/>
          <w:szCs w:val="24"/>
          <w:lang w:val="en-GB" w:eastAsia="en-GB"/>
        </w:rPr>
        <w:t>and in some cases</w:t>
      </w:r>
      <w:proofErr w:type="gramEnd"/>
      <w:r w:rsidRPr="0032259F">
        <w:rPr>
          <w:rFonts w:eastAsia="SimSun"/>
          <w:sz w:val="24"/>
          <w:szCs w:val="24"/>
          <w:lang w:val="en-GB" w:eastAsia="en-GB"/>
        </w:rPr>
        <w:t xml:space="preserve"> may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lead to bleeding. This risk is increased if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treatment is discontinued in the presence of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anticoagulants or anti-platelet agents. It is recommended that, if treatment with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is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discontinued, ITP treatment be restarted according to current treatment guidelines. Additional medical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management may include cessation of anticoagulant and/or anti-platelet therapy, reversal of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anticoagulation, or platelet support. Platelet counts must be monitored weekly for 4 weeks following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discontinuation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.</w:t>
      </w:r>
    </w:p>
    <w:p w14:paraId="538CE868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3A022552" w14:textId="098A4C30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In HCV clinical studies, a higher incidence of gastrointestinal bleeding, including serious and fatal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cases, was reported following discontinuation of peginterferon, ribavirin, and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. Following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discontinuation of therapy, patients should be monitored for any signs or symptoms of gastrointestinal</w:t>
      </w:r>
      <w:r w:rsidR="000F7CF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bleeding.</w:t>
      </w:r>
    </w:p>
    <w:p w14:paraId="7F5E86FD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686D8DB2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sz w:val="24"/>
          <w:szCs w:val="24"/>
          <w:u w:val="single"/>
          <w:lang w:val="en-GB" w:eastAsia="en-GB"/>
        </w:rPr>
        <w:t>Bone marrow reticulin formation and risk of bone marrow fibrosis</w:t>
      </w:r>
    </w:p>
    <w:p w14:paraId="4DE1D42F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u w:val="single"/>
          <w:lang w:val="en-GB" w:eastAsia="en-GB"/>
        </w:rPr>
      </w:pPr>
    </w:p>
    <w:p w14:paraId="2ACC3929" w14:textId="3EFC324B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may increase the risk for development or progression of reticulin fibres within the bone</w:t>
      </w:r>
      <w:r w:rsidR="002F5CD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marrow. The relevance of this finding, as with other thrombopoietin-receptor (TPO-R) agonists, has</w:t>
      </w:r>
      <w:r w:rsidR="002F5CD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not been established yet.</w:t>
      </w:r>
    </w:p>
    <w:p w14:paraId="77B99FCD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5950A76F" w14:textId="0719B4BB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Prior to initiation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, the peripheral blood smear should be examined closely to establish</w:t>
      </w:r>
      <w:r w:rsidR="002F5CD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a baseline level of cellular morphologic abnormalities. Following identification of a stable dose of</w:t>
      </w:r>
      <w:r w:rsidR="002F5CD1" w:rsidRPr="0032259F">
        <w:rPr>
          <w:rFonts w:eastAsia="SimSun"/>
          <w:sz w:val="24"/>
          <w:szCs w:val="24"/>
          <w:lang w:val="en-GB" w:eastAsia="en-GB"/>
        </w:rPr>
        <w:t xml:space="preserve">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, full blood count (FBC) with white blood cell count (WBC) differential should be</w:t>
      </w:r>
      <w:r w:rsidR="002F5CD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performed monthly. If immature or dysplastic cells are observed, peripheral blood smears should be</w:t>
      </w:r>
      <w:r w:rsidR="002F5CD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examined for new or worsening morphological abnormalities (e.g. teardrop and nucleated red blood</w:t>
      </w:r>
      <w:r w:rsidR="002F5CD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cells, immature white blood cells) or cytopenia(s). If the patient develops new or worsening</w:t>
      </w:r>
      <w:r w:rsidR="002F5CD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morphological abnormalities or cytopenia(s), treatment with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should be discontinued and</w:t>
      </w:r>
      <w:r w:rsidR="002F5CD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a bone marrow biopsy considered, including staining for fibrosis.</w:t>
      </w:r>
    </w:p>
    <w:p w14:paraId="06344118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1DB1DB2F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sz w:val="24"/>
          <w:szCs w:val="24"/>
          <w:u w:val="single"/>
          <w:lang w:val="en-GB" w:eastAsia="en-GB"/>
        </w:rPr>
        <w:t>Progression of existing myelodysplastic syndrome (MDS)</w:t>
      </w:r>
    </w:p>
    <w:p w14:paraId="4B326D05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u w:val="single"/>
          <w:lang w:val="en-GB" w:eastAsia="en-GB"/>
        </w:rPr>
      </w:pPr>
    </w:p>
    <w:p w14:paraId="519AB0CA" w14:textId="2BA313B1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There is a theoretical concern that TPO-R agonists may stimulate the progression of existing</w:t>
      </w:r>
      <w:r w:rsidR="002F5CD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haematological malignancies such as MDS. TPO-R agonists are growth factors that lead to</w:t>
      </w:r>
      <w:r w:rsidR="002F5CD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thrombopoietic progenitor cell expansion, differentiation and platelet </w:t>
      </w:r>
      <w:r w:rsidRPr="0032259F">
        <w:rPr>
          <w:rFonts w:eastAsia="SimSun"/>
          <w:sz w:val="24"/>
          <w:szCs w:val="24"/>
          <w:lang w:val="en-GB" w:eastAsia="en-GB"/>
        </w:rPr>
        <w:lastRenderedPageBreak/>
        <w:t>production. The TPO-R is</w:t>
      </w:r>
      <w:r w:rsidR="002F5CD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predominantly expressed on the surface of cells of the myeloid lineage.</w:t>
      </w:r>
    </w:p>
    <w:p w14:paraId="367D113F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2B8A8531" w14:textId="6046C28C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In clinical studies with a TPO-R agonist in patients with MDS, cases of transient increases in blast cell</w:t>
      </w:r>
      <w:r w:rsidR="002F5CD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counts were observed and cases of MDS disease progression to acute myeloid leukaemia (AML) were</w:t>
      </w:r>
      <w:r w:rsidR="002F5CD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reported.</w:t>
      </w:r>
    </w:p>
    <w:p w14:paraId="7C246231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18E67C8D" w14:textId="5C2E9CA1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The diagnosis of ITP or SAA in adults and elderly patients should be confirmed by the exclusion of</w:t>
      </w:r>
      <w:r w:rsidR="002F5CD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other clinical entities presenting with thrombocytopenia, in particular the diagnosis of MDS must be</w:t>
      </w:r>
      <w:r w:rsidR="002F5CD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excluded. Consideration should be given to performing a bone marrow aspirate and biopsy over the</w:t>
      </w:r>
      <w:r w:rsidR="002F5CD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course of the disease and treatment, particularly in patients over 60 years of age, those with systemic</w:t>
      </w:r>
      <w:r w:rsidR="002F5CD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symptoms, or abnormal signs such as increased peripheral blast cells.</w:t>
      </w:r>
    </w:p>
    <w:p w14:paraId="5D44DEC0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39DA51D3" w14:textId="4B4DC52C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The effectiveness and safety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have not been established for the treatment of</w:t>
      </w:r>
      <w:r w:rsidR="002F5CD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thrombocytopenia due to MDS. </w:t>
      </w:r>
      <w:proofErr w:type="spellStart"/>
      <w:r w:rsidR="004745B3" w:rsidRPr="0032259F">
        <w:rPr>
          <w:rFonts w:eastAsiaTheme="minorHAnsi"/>
          <w:sz w:val="24"/>
          <w:szCs w:val="24"/>
          <w:lang w:val="en-GB"/>
        </w:rPr>
        <w:t>Eltrombopag</w:t>
      </w:r>
      <w:proofErr w:type="spellEnd"/>
      <w:r w:rsidR="004745B3" w:rsidRPr="0032259F">
        <w:rPr>
          <w:rFonts w:eastAsiaTheme="minorHAnsi"/>
          <w:sz w:val="24"/>
          <w:szCs w:val="24"/>
          <w:lang w:val="en-GB"/>
        </w:rPr>
        <w:t xml:space="preserve"> "</w:t>
      </w:r>
      <w:proofErr w:type="spellStart"/>
      <w:r w:rsidR="004745B3" w:rsidRPr="0032259F">
        <w:rPr>
          <w:rFonts w:eastAsiaTheme="minorHAnsi"/>
          <w:sz w:val="24"/>
          <w:szCs w:val="24"/>
          <w:lang w:val="en-GB"/>
        </w:rPr>
        <w:t>Vipharm</w:t>
      </w:r>
      <w:proofErr w:type="spellEnd"/>
      <w:r w:rsidR="004745B3" w:rsidRPr="0032259F">
        <w:rPr>
          <w:rFonts w:eastAsiaTheme="minorHAnsi"/>
          <w:sz w:val="24"/>
          <w:szCs w:val="24"/>
          <w:lang w:val="en-GB"/>
        </w:rPr>
        <w:t>"</w:t>
      </w:r>
      <w:r w:rsidRPr="0032259F">
        <w:rPr>
          <w:rFonts w:eastAsiaTheme="minorHAnsi"/>
          <w:sz w:val="24"/>
          <w:szCs w:val="24"/>
          <w:lang w:val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should not be used outside of clinical studies for the</w:t>
      </w:r>
      <w:r w:rsidR="002F5CD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treatment of thrombocytopenia due to MDS.</w:t>
      </w:r>
    </w:p>
    <w:p w14:paraId="0781E63F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1D6AA328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sz w:val="24"/>
          <w:szCs w:val="24"/>
          <w:u w:val="single"/>
          <w:lang w:val="en-GB" w:eastAsia="en-GB"/>
        </w:rPr>
        <w:t>Cytogenetic abnormalities and progression to MDS/AML in patients with SAA</w:t>
      </w:r>
    </w:p>
    <w:p w14:paraId="1F01E5B6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u w:val="single"/>
          <w:lang w:val="en-GB" w:eastAsia="en-GB"/>
        </w:rPr>
      </w:pPr>
    </w:p>
    <w:p w14:paraId="3ECD79A6" w14:textId="3776C64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Cytogenetic abnormalities are known to occur in SAA patients. It is not known whether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="002F5CD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increases the risk of cytogenetic abnormalities in patients with SAA. In the phase II refractory SAA</w:t>
      </w:r>
      <w:r w:rsidR="002F5CD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clinical study with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with a starting dose of 50 mg/day (escalated every 2 weeks to a</w:t>
      </w:r>
      <w:r w:rsidR="002F5CD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maximum of 150 mg/day) (ELT112523), the incidence of new cytogenetic abnormalities was</w:t>
      </w:r>
      <w:r w:rsidR="002F5CD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observed in 17.1% of adult patients [7/41 (where 4 of them had changes in chromosome 7)]. The</w:t>
      </w:r>
      <w:r w:rsidR="002F5CD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median time on study to a cytogenetic abnormality was 2.9 months.</w:t>
      </w:r>
    </w:p>
    <w:p w14:paraId="6BC0A83F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11619B04" w14:textId="77E700EA" w:rsidR="002C7328" w:rsidRPr="0032259F" w:rsidRDefault="002C7328" w:rsidP="00A15450">
      <w:pPr>
        <w:ind w:left="851"/>
        <w:rPr>
          <w:rFonts w:eastAsia="SimSun"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In the phase II refractory SAA clinical study with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at a dose of 150 mg/day (with ethnic or</w:t>
      </w:r>
      <w:r w:rsidR="002F5CD1" w:rsidRPr="0032259F">
        <w:rPr>
          <w:rFonts w:eastAsia="SimSun"/>
          <w:sz w:val="24"/>
          <w:szCs w:val="24"/>
          <w:lang w:val="en-GB" w:eastAsia="en-GB"/>
        </w:rPr>
        <w:t xml:space="preserve"> </w:t>
      </w:r>
      <w:proofErr w:type="gramStart"/>
      <w:r w:rsidRPr="0032259F">
        <w:rPr>
          <w:rFonts w:eastAsia="SimSun"/>
          <w:sz w:val="24"/>
          <w:szCs w:val="24"/>
          <w:lang w:val="en-GB" w:eastAsia="en-GB"/>
        </w:rPr>
        <w:t>age related</w:t>
      </w:r>
      <w:proofErr w:type="gramEnd"/>
      <w:r w:rsidRPr="0032259F">
        <w:rPr>
          <w:rFonts w:eastAsia="SimSun"/>
          <w:sz w:val="24"/>
          <w:szCs w:val="24"/>
          <w:lang w:val="en-GB" w:eastAsia="en-GB"/>
        </w:rPr>
        <w:t xml:space="preserve"> modifications as indicated) (ELT116826), the incidence of new cytogenetic abnormalities</w:t>
      </w:r>
      <w:r w:rsidR="002F5CD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was observed in 22.6% of adult patients [7/31 (where 3 of them had changes in chromosome 7)]. All</w:t>
      </w:r>
      <w:r w:rsidR="002F5CD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7 patients had normal cytogenetics at baseline. Six patients had cytogenetic abnormality at Month 3 of</w:t>
      </w:r>
      <w:r w:rsidR="002F5CD1" w:rsidRPr="0032259F">
        <w:rPr>
          <w:rFonts w:eastAsia="SimSun"/>
          <w:sz w:val="24"/>
          <w:szCs w:val="24"/>
          <w:lang w:val="en-GB" w:eastAsia="en-GB"/>
        </w:rPr>
        <w:t xml:space="preserve">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therapy and one patient had cytogenetic abnormality at Month 6.</w:t>
      </w:r>
    </w:p>
    <w:p w14:paraId="6884A72A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66E5BC57" w14:textId="4D02DB4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In clinical studies with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in SAA, 4% of patients (5/133) were diagnosed with MDS. The</w:t>
      </w:r>
      <w:r w:rsidR="002F5CD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median time to diagnosis was 3 months from the start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treatment.</w:t>
      </w:r>
    </w:p>
    <w:p w14:paraId="167735AB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691EBC65" w14:textId="02B4E23E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For SAA </w:t>
      </w:r>
      <w:proofErr w:type="gramStart"/>
      <w:r w:rsidRPr="0032259F">
        <w:rPr>
          <w:rFonts w:eastAsia="SimSun"/>
          <w:sz w:val="24"/>
          <w:szCs w:val="24"/>
          <w:lang w:val="en-GB" w:eastAsia="en-GB"/>
        </w:rPr>
        <w:t>patients</w:t>
      </w:r>
      <w:proofErr w:type="gramEnd"/>
      <w:r w:rsidRPr="0032259F">
        <w:rPr>
          <w:rFonts w:eastAsia="SimSun"/>
          <w:sz w:val="24"/>
          <w:szCs w:val="24"/>
          <w:lang w:val="en-GB" w:eastAsia="en-GB"/>
        </w:rPr>
        <w:t xml:space="preserve"> refractory to or heavily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pretreated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with prior immunosuppressive therapy, bone</w:t>
      </w:r>
      <w:r w:rsidR="002F5CD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marrow examination with aspirations for cytogenetics is recommended prior to initiation of</w:t>
      </w:r>
      <w:r w:rsidR="002F5CD1" w:rsidRPr="0032259F">
        <w:rPr>
          <w:rFonts w:eastAsia="SimSun"/>
          <w:sz w:val="24"/>
          <w:szCs w:val="24"/>
          <w:lang w:val="en-GB" w:eastAsia="en-GB"/>
        </w:rPr>
        <w:t xml:space="preserve">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, at 3 months of treatment and 6 months thereafter. If new cytogenetic abnormalities are</w:t>
      </w:r>
      <w:r w:rsidR="002F5CD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detected, it must be evaluated whether continuation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is appropriate.</w:t>
      </w:r>
    </w:p>
    <w:p w14:paraId="5B2E4AC7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19F79733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sz w:val="24"/>
          <w:szCs w:val="24"/>
          <w:u w:val="single"/>
          <w:lang w:val="en-GB" w:eastAsia="en-GB"/>
        </w:rPr>
        <w:t>Ocular changes</w:t>
      </w:r>
    </w:p>
    <w:p w14:paraId="4A705060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u w:val="single"/>
          <w:lang w:val="en-GB" w:eastAsia="en-GB"/>
        </w:rPr>
      </w:pPr>
    </w:p>
    <w:p w14:paraId="123F70AD" w14:textId="4736C05E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Cataracts were observed in toxicology studies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in rodents (see section 5.3). In</w:t>
      </w:r>
      <w:r w:rsidR="002F5CD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controlled studies in thrombocytopenic patients with HCV receiving interferon therapy (n=1 439),</w:t>
      </w:r>
      <w:r w:rsidR="002F5CD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progression of pre-existing baseline cataract(s) or incident cataracts was reported in 8% of the</w:t>
      </w:r>
      <w:r w:rsidR="002F5CD1" w:rsidRPr="0032259F">
        <w:rPr>
          <w:rFonts w:eastAsia="SimSun"/>
          <w:sz w:val="24"/>
          <w:szCs w:val="24"/>
          <w:lang w:val="en-GB" w:eastAsia="en-GB"/>
        </w:rPr>
        <w:t xml:space="preserve">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group and 5% of the placebo group. Retinal haemorrhages, mostly Grade 1 or 2, have</w:t>
      </w:r>
      <w:r w:rsidR="002F5CD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been reported in HCV patients receiving </w:t>
      </w:r>
      <w:r w:rsidRPr="0032259F">
        <w:rPr>
          <w:rFonts w:eastAsia="SimSun"/>
          <w:sz w:val="24"/>
          <w:szCs w:val="24"/>
          <w:lang w:val="en-GB" w:eastAsia="en-GB"/>
        </w:rPr>
        <w:lastRenderedPageBreak/>
        <w:t xml:space="preserve">interferon, ribavirin and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(2% of the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="002F5CD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group and 2% of the placebo group. Haemorrhages occurred on the surface of the retina (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preretinal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),</w:t>
      </w:r>
      <w:r w:rsidR="002F5CD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under the retina (subretinal), or within the retinal tissue. Routine ophthalmologic monitoring of</w:t>
      </w:r>
      <w:r w:rsidR="002F5CD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patients is recommended.</w:t>
      </w:r>
    </w:p>
    <w:p w14:paraId="26D2586B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6E96C3DB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sz w:val="24"/>
          <w:szCs w:val="24"/>
          <w:u w:val="single"/>
          <w:lang w:val="en-GB" w:eastAsia="en-GB"/>
        </w:rPr>
        <w:t>QT/QTc prolongation</w:t>
      </w:r>
    </w:p>
    <w:p w14:paraId="28E4913C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26CCB13D" w14:textId="3A6C2E1D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A QTc study in healthy volunteers dosed 150 mg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per day did not show a clinically</w:t>
      </w:r>
      <w:r w:rsidR="002F5CD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significant effect on cardiac repolarisation. QTc interval prolongation has been reported in clinical</w:t>
      </w:r>
      <w:r w:rsidR="002F5CD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studies of patients with ITP and thrombocytopenic patients with HCV. The clinical significance of</w:t>
      </w:r>
      <w:r w:rsidR="002F5CD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these QTc prolongation events is unknown.</w:t>
      </w:r>
    </w:p>
    <w:p w14:paraId="15B82C48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558785B2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sz w:val="24"/>
          <w:szCs w:val="24"/>
          <w:u w:val="single"/>
          <w:lang w:val="en-GB" w:eastAsia="en-GB"/>
        </w:rPr>
        <w:t xml:space="preserve">Loss of response to </w:t>
      </w:r>
      <w:proofErr w:type="spellStart"/>
      <w:r w:rsidRPr="0032259F">
        <w:rPr>
          <w:rFonts w:eastAsia="SimSun"/>
          <w:sz w:val="24"/>
          <w:szCs w:val="24"/>
          <w:u w:val="single"/>
          <w:lang w:val="en-GB" w:eastAsia="en-GB"/>
        </w:rPr>
        <w:t>eltrombopag</w:t>
      </w:r>
      <w:proofErr w:type="spellEnd"/>
    </w:p>
    <w:p w14:paraId="4B20D8B4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56463C5D" w14:textId="62DEA021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A loss of response or failure to maintain a platelet response with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treatment within the</w:t>
      </w:r>
      <w:r w:rsidR="002F5CD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recommended dosing range should prompt a search for causative factors, including an increased bone</w:t>
      </w:r>
      <w:r w:rsidR="002F5CD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marrow reticulin.</w:t>
      </w:r>
    </w:p>
    <w:p w14:paraId="5F869BEB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4A1861EF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sz w:val="24"/>
          <w:szCs w:val="24"/>
          <w:u w:val="single"/>
          <w:lang w:val="en-GB" w:eastAsia="en-GB"/>
        </w:rPr>
        <w:t>Paediatric population</w:t>
      </w:r>
    </w:p>
    <w:p w14:paraId="2471E651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u w:val="single"/>
          <w:lang w:val="en-GB" w:eastAsia="en-GB"/>
        </w:rPr>
      </w:pPr>
    </w:p>
    <w:p w14:paraId="409D78C2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The above warnings and precautions for ITP also apply to the paediatric population.</w:t>
      </w:r>
    </w:p>
    <w:p w14:paraId="742E8151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3723EE46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sz w:val="24"/>
          <w:szCs w:val="24"/>
          <w:u w:val="single"/>
          <w:lang w:val="en-GB" w:eastAsia="en-GB"/>
        </w:rPr>
        <w:t>Interference with laboratory tests</w:t>
      </w:r>
    </w:p>
    <w:p w14:paraId="7878B1FE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u w:val="single"/>
          <w:lang w:val="en-GB" w:eastAsia="en-GB"/>
        </w:rPr>
      </w:pPr>
    </w:p>
    <w:p w14:paraId="4C49DBE2" w14:textId="4AEA9816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bookmarkStart w:id="2" w:name="_Hlk131671888"/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bookmarkEnd w:id="2"/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is highly coloured and so has the potential to interfere with some laboratory tests. Serum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discolouration and interference with total bilirubin and creatinine testing have been reported in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patients taking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. If the laboratory results and clinical observations are inconsistent, re-testing using another method may help in determining the validity of the result.</w:t>
      </w:r>
    </w:p>
    <w:p w14:paraId="4885407F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3B082858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sz w:val="24"/>
          <w:szCs w:val="24"/>
          <w:u w:val="single"/>
          <w:lang w:val="en-GB" w:eastAsia="en-GB"/>
        </w:rPr>
        <w:t>Sodium content</w:t>
      </w:r>
    </w:p>
    <w:p w14:paraId="0933F4DF" w14:textId="407EB6BC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This medicinal product contains less than 1 mmol sodium (23 mg) per film-coated tablet, that is to say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essentially ‘sodium-free’.</w:t>
      </w:r>
    </w:p>
    <w:p w14:paraId="314EDA72" w14:textId="77777777" w:rsidR="007C5D2A" w:rsidRPr="0032259F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391F19E9" w14:textId="77777777" w:rsidR="007C5D2A" w:rsidRPr="0032259F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32259F">
        <w:rPr>
          <w:b/>
          <w:sz w:val="24"/>
          <w:szCs w:val="24"/>
          <w:lang w:val="en-GB"/>
        </w:rPr>
        <w:t>4.5</w:t>
      </w:r>
      <w:r w:rsidRPr="0032259F">
        <w:rPr>
          <w:b/>
          <w:sz w:val="24"/>
          <w:szCs w:val="24"/>
          <w:lang w:val="en-GB"/>
        </w:rPr>
        <w:tab/>
        <w:t>Interaction with other medicinal products and other forms of interaction</w:t>
      </w:r>
    </w:p>
    <w:p w14:paraId="21964577" w14:textId="77777777" w:rsidR="009C16F9" w:rsidRPr="0032259F" w:rsidRDefault="009C16F9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0C246434" w14:textId="3C519A39" w:rsidR="002C7328" w:rsidRPr="0032259F" w:rsidRDefault="002C7328" w:rsidP="00A15450">
      <w:pPr>
        <w:ind w:left="851"/>
        <w:rPr>
          <w:rFonts w:eastAsia="SimSun"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sz w:val="24"/>
          <w:szCs w:val="24"/>
          <w:u w:val="single"/>
          <w:lang w:val="en-GB" w:eastAsia="en-GB"/>
        </w:rPr>
        <w:t xml:space="preserve">Effects of </w:t>
      </w:r>
      <w:proofErr w:type="spellStart"/>
      <w:r w:rsidRPr="0032259F">
        <w:rPr>
          <w:rFonts w:eastAsia="SimSun"/>
          <w:sz w:val="24"/>
          <w:szCs w:val="24"/>
          <w:u w:val="single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u w:val="single"/>
          <w:lang w:val="en-GB" w:eastAsia="en-GB"/>
        </w:rPr>
        <w:t xml:space="preserve"> on other medicinal products</w:t>
      </w:r>
    </w:p>
    <w:p w14:paraId="6B24E911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020E2AA3" w14:textId="77777777" w:rsidR="002C7328" w:rsidRPr="0032259F" w:rsidRDefault="002C7328" w:rsidP="00A15450">
      <w:pPr>
        <w:ind w:left="851"/>
        <w:rPr>
          <w:rFonts w:eastAsia="SimSun"/>
          <w:i/>
          <w:iCs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i/>
          <w:iCs/>
          <w:sz w:val="24"/>
          <w:szCs w:val="24"/>
          <w:u w:val="single"/>
          <w:lang w:val="en-GB" w:eastAsia="en-GB"/>
        </w:rPr>
        <w:t>HMG CoA reductase inhibitors</w:t>
      </w:r>
    </w:p>
    <w:p w14:paraId="7486739F" w14:textId="77777777" w:rsidR="002C7328" w:rsidRPr="0032259F" w:rsidRDefault="002C7328" w:rsidP="00A15450">
      <w:pPr>
        <w:ind w:left="851"/>
        <w:rPr>
          <w:rFonts w:eastAsia="SimSun"/>
          <w:i/>
          <w:iCs/>
          <w:sz w:val="24"/>
          <w:szCs w:val="24"/>
          <w:lang w:val="en-GB" w:eastAsia="en-GB"/>
        </w:rPr>
      </w:pPr>
    </w:p>
    <w:p w14:paraId="7862AD22" w14:textId="6B3CDE5A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Administration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75 mg once daily for 5 days with a single 10 mg dose of the OATP1B1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and BCRP substrate rosuvastatin to 39 healthy adult subjects increased plasma rosuvastatin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C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max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103%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(90% confidence interval [CI]: 82%, 126%) and AUC0-</w:t>
      </w:r>
      <w:r w:rsidRPr="0032259F">
        <w:rPr>
          <w:rFonts w:eastAsia="SymbolMT"/>
          <w:sz w:val="24"/>
          <w:szCs w:val="24"/>
          <w:lang w:val="en-GB" w:eastAsia="en-GB"/>
        </w:rPr>
        <w:t>∞</w:t>
      </w:r>
      <w:r w:rsidRPr="0032259F">
        <w:rPr>
          <w:rFonts w:eastAsia="SimSun"/>
          <w:sz w:val="24"/>
          <w:szCs w:val="24"/>
          <w:lang w:val="en-GB" w:eastAsia="en-GB"/>
        </w:rPr>
        <w:t>55% (90% CI: 42%, 69%). Interactions are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also expected with other HMG-CoA reductase inhibitors, including atorvastatin,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fluvastatin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, lovastatin,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pravastatin and simvastatin. When co-administered with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, a reduced dose of statins should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be considered and careful monitoring for statin adverse reactions should be undertaken (see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section 5.2).</w:t>
      </w:r>
    </w:p>
    <w:p w14:paraId="7C98EA5B" w14:textId="7191AA39" w:rsidR="00727038" w:rsidRDefault="00727038">
      <w:pPr>
        <w:rPr>
          <w:rFonts w:eastAsia="SimSun"/>
          <w:sz w:val="24"/>
          <w:szCs w:val="24"/>
          <w:lang w:val="en-GB" w:eastAsia="en-GB"/>
        </w:rPr>
      </w:pPr>
      <w:r>
        <w:rPr>
          <w:rFonts w:eastAsia="SimSun"/>
          <w:sz w:val="24"/>
          <w:szCs w:val="24"/>
          <w:lang w:val="en-GB" w:eastAsia="en-GB"/>
        </w:rPr>
        <w:br w:type="page"/>
      </w:r>
    </w:p>
    <w:p w14:paraId="7C3C4B42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1163B2C0" w14:textId="77777777" w:rsidR="002C7328" w:rsidRPr="0032259F" w:rsidRDefault="002C7328" w:rsidP="00A15450">
      <w:pPr>
        <w:ind w:left="851"/>
        <w:rPr>
          <w:rFonts w:eastAsia="SimSun"/>
          <w:i/>
          <w:iCs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i/>
          <w:iCs/>
          <w:sz w:val="24"/>
          <w:szCs w:val="24"/>
          <w:u w:val="single"/>
          <w:lang w:val="en-GB" w:eastAsia="en-GB"/>
        </w:rPr>
        <w:t>OATP1B1 and BCRP substrates</w:t>
      </w:r>
    </w:p>
    <w:p w14:paraId="38CD35CF" w14:textId="77777777" w:rsidR="002C7328" w:rsidRPr="0032259F" w:rsidRDefault="002C7328" w:rsidP="00A15450">
      <w:pPr>
        <w:ind w:left="851"/>
        <w:rPr>
          <w:rFonts w:eastAsia="SimSun"/>
          <w:i/>
          <w:iCs/>
          <w:sz w:val="24"/>
          <w:szCs w:val="24"/>
          <w:lang w:val="en-GB" w:eastAsia="en-GB"/>
        </w:rPr>
      </w:pPr>
    </w:p>
    <w:p w14:paraId="20639C4D" w14:textId="2476DF71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Concomitant administration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and OATP1B1 (e.g. methotrexate) and BCRP (e.g.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topotecan and methotrexate) substrates should be undertaken with caution (see section 5.2).</w:t>
      </w:r>
    </w:p>
    <w:p w14:paraId="286FEE05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690B0A8F" w14:textId="77777777" w:rsidR="002C7328" w:rsidRPr="0032259F" w:rsidRDefault="002C7328" w:rsidP="00A15450">
      <w:pPr>
        <w:ind w:left="851"/>
        <w:rPr>
          <w:rFonts w:eastAsia="SimSun"/>
          <w:i/>
          <w:iCs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i/>
          <w:iCs/>
          <w:sz w:val="24"/>
          <w:szCs w:val="24"/>
          <w:u w:val="single"/>
          <w:lang w:val="en-GB" w:eastAsia="en-GB"/>
        </w:rPr>
        <w:t>Cytochrome P450 substrates</w:t>
      </w:r>
    </w:p>
    <w:p w14:paraId="67A0FA7F" w14:textId="77777777" w:rsidR="002C7328" w:rsidRPr="0032259F" w:rsidRDefault="002C7328" w:rsidP="00A15450">
      <w:pPr>
        <w:ind w:left="851"/>
        <w:rPr>
          <w:rFonts w:eastAsia="SimSun"/>
          <w:i/>
          <w:iCs/>
          <w:sz w:val="24"/>
          <w:szCs w:val="24"/>
          <w:lang w:val="en-GB" w:eastAsia="en-GB"/>
        </w:rPr>
      </w:pPr>
    </w:p>
    <w:p w14:paraId="273CA308" w14:textId="1C628FF8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In studies utilising human liver microsomes,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(up to 100 </w:t>
      </w:r>
      <w:r w:rsidRPr="0032259F">
        <w:rPr>
          <w:rFonts w:eastAsia="Arial Unicode MS"/>
          <w:sz w:val="24"/>
          <w:szCs w:val="24"/>
          <w:lang w:val="en-GB" w:eastAsia="en-GB"/>
        </w:rPr>
        <w:t>µ</w:t>
      </w:r>
      <w:r w:rsidRPr="0032259F">
        <w:rPr>
          <w:rFonts w:eastAsia="SimSun"/>
          <w:sz w:val="24"/>
          <w:szCs w:val="24"/>
          <w:lang w:val="en-GB" w:eastAsia="en-GB"/>
        </w:rPr>
        <w:t xml:space="preserve">M) showed no </w:t>
      </w:r>
      <w:r w:rsidRPr="0032259F">
        <w:rPr>
          <w:rFonts w:eastAsia="SimSun"/>
          <w:i/>
          <w:iCs/>
          <w:sz w:val="24"/>
          <w:szCs w:val="24"/>
          <w:lang w:val="en-GB" w:eastAsia="en-GB"/>
        </w:rPr>
        <w:t>in vitro</w:t>
      </w:r>
      <w:r w:rsidR="00343365" w:rsidRPr="0032259F">
        <w:rPr>
          <w:rFonts w:eastAsia="SimSun"/>
          <w:i/>
          <w:iCs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inhibition of the CYP450 enzymes 1A2, 2A6, 2C19, 2D6, 2E1, 3A4/5, and 4A9/11 and was an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inhibitor of CYP2C8 and CYP2C9 as measured using paclitaxel and diclofenac as the probe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substrates. Administration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75 mg once daily for 7 days to 24 healthy male subjects did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not inhibit or induce the metabolism of probe substrates for 1A2 (caffeine), 2C19 (omeprazole), 2C9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(flurbiprofen), or 3A4 (midazolam) in humans. No clinically significant interactions are expected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when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and CYP450 substrates are co-administered (see section 5.2).</w:t>
      </w:r>
    </w:p>
    <w:p w14:paraId="5C4740BF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348BCD3C" w14:textId="77777777" w:rsidR="002C7328" w:rsidRPr="0032259F" w:rsidRDefault="002C7328" w:rsidP="00A15450">
      <w:pPr>
        <w:ind w:left="851"/>
        <w:rPr>
          <w:rFonts w:eastAsia="SimSun"/>
          <w:i/>
          <w:iCs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i/>
          <w:iCs/>
          <w:sz w:val="24"/>
          <w:szCs w:val="24"/>
          <w:u w:val="single"/>
          <w:lang w:val="en-GB" w:eastAsia="en-GB"/>
        </w:rPr>
        <w:t>HCV protease inhibitors</w:t>
      </w:r>
    </w:p>
    <w:p w14:paraId="724D3536" w14:textId="77777777" w:rsidR="002C7328" w:rsidRPr="0032259F" w:rsidRDefault="002C7328" w:rsidP="00A15450">
      <w:pPr>
        <w:ind w:left="851"/>
        <w:rPr>
          <w:rFonts w:eastAsia="SimSun"/>
          <w:iCs/>
          <w:sz w:val="24"/>
          <w:szCs w:val="24"/>
          <w:lang w:val="en-GB" w:eastAsia="en-GB"/>
        </w:rPr>
      </w:pPr>
    </w:p>
    <w:p w14:paraId="5BED7C92" w14:textId="269F2022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Dose adjustment is not required when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is co-administered with either telaprevir or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boceprevir. Co-administration of a single dose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200 mg with telaprevir 750 mg every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8 hours did not alter plasma telaprevir exposure.</w:t>
      </w:r>
    </w:p>
    <w:p w14:paraId="40D0CFB8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7D8E7914" w14:textId="31508C71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Co-administration of a single dose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200 mg with boceprevir 800 mg every 8 hours did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not alter plasma boceprevir AUC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(0-τ),</w:t>
      </w:r>
      <w:r w:rsidRPr="0032259F">
        <w:rPr>
          <w:rFonts w:eastAsia="SimSun"/>
          <w:sz w:val="24"/>
          <w:szCs w:val="24"/>
          <w:lang w:val="en-GB" w:eastAsia="en-GB"/>
        </w:rPr>
        <w:t xml:space="preserve"> but increased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C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max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by 20%, and decreased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C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min</w:t>
      </w:r>
      <w:proofErr w:type="spellEnd"/>
      <w:r w:rsidRPr="0032259F">
        <w:rPr>
          <w:rFonts w:eastAsia="SimSun"/>
          <w:sz w:val="24"/>
          <w:szCs w:val="24"/>
          <w:vertAlign w:val="subscript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by 32%. The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clinical relevance of the decrease in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C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min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has not been established, increased clinical and laboratory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monitoring for HCV suppression is recommended.</w:t>
      </w:r>
    </w:p>
    <w:p w14:paraId="5DC7E601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58CFAA60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sz w:val="24"/>
          <w:szCs w:val="24"/>
          <w:u w:val="single"/>
          <w:lang w:val="en-GB" w:eastAsia="en-GB"/>
        </w:rPr>
        <w:t xml:space="preserve">Effects of other medicinal products on </w:t>
      </w:r>
      <w:proofErr w:type="spellStart"/>
      <w:r w:rsidRPr="0032259F">
        <w:rPr>
          <w:rFonts w:eastAsia="SimSun"/>
          <w:sz w:val="24"/>
          <w:szCs w:val="24"/>
          <w:u w:val="single"/>
          <w:lang w:val="en-GB" w:eastAsia="en-GB"/>
        </w:rPr>
        <w:t>eltrombopag</w:t>
      </w:r>
      <w:proofErr w:type="spellEnd"/>
    </w:p>
    <w:p w14:paraId="31C801F0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60FF1E97" w14:textId="77777777" w:rsidR="002C7328" w:rsidRPr="0032259F" w:rsidRDefault="002C7328" w:rsidP="00A15450">
      <w:pPr>
        <w:ind w:left="851"/>
        <w:rPr>
          <w:rFonts w:eastAsia="SimSun"/>
          <w:i/>
          <w:iCs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i/>
          <w:iCs/>
          <w:sz w:val="24"/>
          <w:szCs w:val="24"/>
          <w:u w:val="single"/>
          <w:lang w:val="en-GB" w:eastAsia="en-GB"/>
        </w:rPr>
        <w:t>Ciclosporin</w:t>
      </w:r>
    </w:p>
    <w:p w14:paraId="36456EDB" w14:textId="77777777" w:rsidR="002C7328" w:rsidRPr="0032259F" w:rsidRDefault="002C7328" w:rsidP="00A15450">
      <w:pPr>
        <w:ind w:left="851"/>
        <w:rPr>
          <w:rFonts w:eastAsia="SimSun"/>
          <w:iCs/>
          <w:sz w:val="24"/>
          <w:szCs w:val="24"/>
          <w:lang w:val="en-GB" w:eastAsia="en-GB"/>
        </w:rPr>
      </w:pPr>
    </w:p>
    <w:p w14:paraId="5CDEDEC2" w14:textId="50431DA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A decrease in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exposure was observed with co-administration of 200 mg and 600 mg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ciclosporin (a BCRP inhibitor). The co-administration of 200 mg ciclosporin decreased the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C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max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and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the AUC 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0-</w:t>
      </w:r>
      <w:r w:rsidRPr="0032259F">
        <w:rPr>
          <w:rFonts w:eastAsia="SymbolMT"/>
          <w:sz w:val="24"/>
          <w:szCs w:val="24"/>
          <w:vertAlign w:val="subscript"/>
          <w:lang w:val="en-GB" w:eastAsia="en-GB"/>
        </w:rPr>
        <w:t>∞</w:t>
      </w:r>
      <w:r w:rsidRPr="0032259F">
        <w:rPr>
          <w:rFonts w:eastAsia="SymbolMT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by 25% and 18%, respectively. The co-administration of 600 mg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ciclosporin decreased the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C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max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and the AUC0 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0 - ∞</w:t>
      </w:r>
      <w:r w:rsidRPr="0032259F">
        <w:rPr>
          <w:rFonts w:eastAsia="SymbolMT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by 39% and 24%, respectively.</w:t>
      </w:r>
    </w:p>
    <w:p w14:paraId="41C02BE7" w14:textId="7BD3463E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proofErr w:type="spellStart"/>
      <w:r w:rsidRPr="0032259F">
        <w:rPr>
          <w:rFonts w:eastAsia="TimesNewRomanPSMT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TimesNewRomanPSMT"/>
          <w:sz w:val="24"/>
          <w:szCs w:val="24"/>
          <w:lang w:val="en-GB" w:eastAsia="en-GB"/>
        </w:rPr>
        <w:t xml:space="preserve"> dose adjustment is permitted during the course of the treatment based on the patient’s</w:t>
      </w:r>
      <w:r w:rsidR="00343365" w:rsidRPr="0032259F">
        <w:rPr>
          <w:rFonts w:eastAsia="TimesNewRomanPSMT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platelet count (see section 4.2). Platelet count should be monitored at least weekly for 2 to 3 weeks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when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is co-administered with ciclosporin.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dose may need to be increased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based on these platelet counts.</w:t>
      </w:r>
    </w:p>
    <w:p w14:paraId="04610561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19180028" w14:textId="77777777" w:rsidR="002C7328" w:rsidRPr="0032259F" w:rsidRDefault="002C7328" w:rsidP="00A15450">
      <w:pPr>
        <w:ind w:left="851"/>
        <w:rPr>
          <w:rFonts w:eastAsia="SimSun"/>
          <w:i/>
          <w:iCs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i/>
          <w:iCs/>
          <w:sz w:val="24"/>
          <w:szCs w:val="24"/>
          <w:u w:val="single"/>
          <w:lang w:val="en-GB" w:eastAsia="en-GB"/>
        </w:rPr>
        <w:t>Polyvalent cations (chelation)</w:t>
      </w:r>
    </w:p>
    <w:p w14:paraId="48CAAE8F" w14:textId="77777777" w:rsidR="002C7328" w:rsidRPr="0032259F" w:rsidRDefault="002C7328" w:rsidP="00A15450">
      <w:pPr>
        <w:ind w:left="851"/>
        <w:rPr>
          <w:rFonts w:eastAsia="SimSun"/>
          <w:i/>
          <w:iCs/>
          <w:sz w:val="24"/>
          <w:szCs w:val="24"/>
          <w:lang w:val="en-GB" w:eastAsia="en-GB"/>
        </w:rPr>
      </w:pPr>
    </w:p>
    <w:p w14:paraId="35AE531C" w14:textId="52C82BF2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chelates with polyvalent cations such as iron, calcium, magnesium, aluminium, selenium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and zinc. Administration of a single dose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75 mg with a polyvalent cation-containing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antacid (1 524 mg aluminium hydroxide and 1 425 mg magnesium carbonate) decreased plasma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AUC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0-</w:t>
      </w:r>
      <w:r w:rsidRPr="0032259F">
        <w:rPr>
          <w:rFonts w:eastAsia="SymbolMT"/>
          <w:sz w:val="24"/>
          <w:szCs w:val="24"/>
          <w:vertAlign w:val="subscript"/>
          <w:lang w:val="en-GB" w:eastAsia="en-GB"/>
        </w:rPr>
        <w:t>∞</w:t>
      </w:r>
      <w:r w:rsidRPr="0032259F">
        <w:rPr>
          <w:rFonts w:eastAsia="SymbolMT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by 70% (90% CI: 64%, 76%) and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C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max</w:t>
      </w:r>
      <w:proofErr w:type="spellEnd"/>
      <w:r w:rsidRPr="0032259F">
        <w:rPr>
          <w:rFonts w:eastAsia="SimSun"/>
          <w:sz w:val="24"/>
          <w:szCs w:val="24"/>
          <w:vertAlign w:val="subscript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by 70% (90% CI: 62%, 76%).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should be taken at least two hours before or four hours after any products such as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antacids, dairy products or mineral </w:t>
      </w:r>
      <w:r w:rsidRPr="0032259F">
        <w:rPr>
          <w:rFonts w:eastAsia="SimSun"/>
          <w:sz w:val="24"/>
          <w:szCs w:val="24"/>
          <w:lang w:val="en-GB" w:eastAsia="en-GB"/>
        </w:rPr>
        <w:lastRenderedPageBreak/>
        <w:t>supplements containing polyvalent cations to avoid significant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reduction in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absorption due to chelation (see sections 4.2 and 5.2).</w:t>
      </w:r>
    </w:p>
    <w:p w14:paraId="7BB71D21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3AE57187" w14:textId="77777777" w:rsidR="002C7328" w:rsidRPr="0032259F" w:rsidRDefault="002C7328" w:rsidP="00A15450">
      <w:pPr>
        <w:ind w:left="851"/>
        <w:rPr>
          <w:rFonts w:eastAsia="SimSun"/>
          <w:i/>
          <w:iCs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i/>
          <w:iCs/>
          <w:sz w:val="24"/>
          <w:szCs w:val="24"/>
          <w:u w:val="single"/>
          <w:lang w:val="en-GB" w:eastAsia="en-GB"/>
        </w:rPr>
        <w:t>Lopinavir/ritonavir</w:t>
      </w:r>
    </w:p>
    <w:p w14:paraId="0F41094F" w14:textId="77777777" w:rsidR="002C7328" w:rsidRPr="0032259F" w:rsidRDefault="002C7328" w:rsidP="00A15450">
      <w:pPr>
        <w:ind w:left="851"/>
        <w:rPr>
          <w:rFonts w:eastAsia="SimSun"/>
          <w:i/>
          <w:iCs/>
          <w:sz w:val="24"/>
          <w:szCs w:val="24"/>
          <w:lang w:val="en-GB" w:eastAsia="en-GB"/>
        </w:rPr>
      </w:pPr>
    </w:p>
    <w:p w14:paraId="2AA7243E" w14:textId="439AFA3F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Co-administration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with lopinavir/ritonavir may cause a decrease in the concentration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. A study in 40 healthy volunteers showed that the co-administration of a single 100 mg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dose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with repeat dose lopinavir/ritonavir 400/100 mg twice daily resulted in a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reduction in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plasma AUC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0-</w:t>
      </w:r>
      <w:r w:rsidRPr="0032259F">
        <w:rPr>
          <w:rFonts w:eastAsia="SymbolMT"/>
          <w:sz w:val="24"/>
          <w:szCs w:val="24"/>
          <w:vertAlign w:val="subscript"/>
          <w:lang w:val="en-GB" w:eastAsia="en-GB"/>
        </w:rPr>
        <w:t>∞</w:t>
      </w:r>
      <w:r w:rsidRPr="0032259F">
        <w:rPr>
          <w:rFonts w:eastAsia="SymbolMT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by 17% (90% CI: 6.6%, 26.6%). Therefore, caution should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be used when co-administration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with lopinavir/ritonavir takes place. Platelet count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should be closely monitored in order to ensure appropriate medical management of the dose of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when lopinavir/ritonavir therapy is initiated or discontinued.</w:t>
      </w:r>
    </w:p>
    <w:p w14:paraId="692635BD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79E87DFB" w14:textId="77777777" w:rsidR="002C7328" w:rsidRPr="0032259F" w:rsidRDefault="002C7328" w:rsidP="00A15450">
      <w:pPr>
        <w:ind w:left="851"/>
        <w:rPr>
          <w:rFonts w:eastAsia="SimSun"/>
          <w:i/>
          <w:iCs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i/>
          <w:iCs/>
          <w:sz w:val="24"/>
          <w:szCs w:val="24"/>
          <w:u w:val="single"/>
          <w:lang w:val="en-GB" w:eastAsia="en-GB"/>
        </w:rPr>
        <w:t>CYP1A2 and CYP2C8 inhibitors and inducers</w:t>
      </w:r>
    </w:p>
    <w:p w14:paraId="6735FCB8" w14:textId="77777777" w:rsidR="002C7328" w:rsidRPr="0032259F" w:rsidRDefault="002C7328" w:rsidP="00A15450">
      <w:pPr>
        <w:ind w:left="851"/>
        <w:rPr>
          <w:rFonts w:eastAsia="SimSun"/>
          <w:i/>
          <w:iCs/>
          <w:sz w:val="24"/>
          <w:szCs w:val="24"/>
          <w:lang w:val="en-GB" w:eastAsia="en-GB"/>
        </w:rPr>
      </w:pPr>
    </w:p>
    <w:p w14:paraId="23148A77" w14:textId="02CFE19D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is metabolised through multiple pathways including CYP1A2, CYP2C8, UGT1A1, and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UGT1A3 (see section 5.2). Medicinal products that inhibit or induce a single enzyme are unlikely to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significantly affect plasma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concentrations, whereas medicinal products that inhibit or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induce multiple enzymes have the potential to increase (e.g. fluvoxamine) or decrease (e.g. rifampicin)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concentrations.</w:t>
      </w:r>
    </w:p>
    <w:p w14:paraId="6610C9CD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2D1A9DC2" w14:textId="77777777" w:rsidR="002C7328" w:rsidRPr="0032259F" w:rsidRDefault="002C7328" w:rsidP="00A15450">
      <w:pPr>
        <w:ind w:left="851"/>
        <w:rPr>
          <w:rFonts w:eastAsia="SimSun"/>
          <w:i/>
          <w:iCs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i/>
          <w:iCs/>
          <w:sz w:val="24"/>
          <w:szCs w:val="24"/>
          <w:u w:val="single"/>
          <w:lang w:val="en-GB" w:eastAsia="en-GB"/>
        </w:rPr>
        <w:t>HCV protease inhibitors</w:t>
      </w:r>
    </w:p>
    <w:p w14:paraId="7122DE9C" w14:textId="77777777" w:rsidR="002C7328" w:rsidRPr="0032259F" w:rsidRDefault="002C7328" w:rsidP="00A15450">
      <w:pPr>
        <w:ind w:left="851"/>
        <w:rPr>
          <w:rFonts w:eastAsia="SimSun"/>
          <w:i/>
          <w:iCs/>
          <w:sz w:val="24"/>
          <w:szCs w:val="24"/>
          <w:lang w:val="en-GB" w:eastAsia="en-GB"/>
        </w:rPr>
      </w:pPr>
    </w:p>
    <w:p w14:paraId="71F6409D" w14:textId="107F28FF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Results of a drug-drug pharmacokinetic (PK) interaction study show that co-administration of repeat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doses of boceprevir 800 mg every 8 hours or telaprevir 750 mg every 8 hours with a single dose of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200 mg did not alter plasma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exposure to a clinically significant extent.</w:t>
      </w:r>
    </w:p>
    <w:p w14:paraId="0F19ADEA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6731AC9E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sz w:val="24"/>
          <w:szCs w:val="24"/>
          <w:u w:val="single"/>
          <w:lang w:val="en-GB" w:eastAsia="en-GB"/>
        </w:rPr>
        <w:t>Medicinal products for treatment of ITP.</w:t>
      </w:r>
    </w:p>
    <w:p w14:paraId="77B81598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40FE82A6" w14:textId="13038C74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Medicinal products used in the treatment of ITP in combination with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in clinical studies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included corticosteroids, danazol, and/or azathioprine, intravenous immunoglobulin (IVIG), and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anti-D immunoglobulin. Platelet counts should be monitored when combining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with other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medicinal products for the treatment of ITP in order to avoid platelet counts outside of the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recommended range (see section 4.2).</w:t>
      </w:r>
    </w:p>
    <w:p w14:paraId="7EE6F6B0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7D92BCB6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sz w:val="24"/>
          <w:szCs w:val="24"/>
          <w:u w:val="single"/>
          <w:lang w:val="en-GB" w:eastAsia="en-GB"/>
        </w:rPr>
        <w:t>Food interaction</w:t>
      </w:r>
    </w:p>
    <w:p w14:paraId="015E9F36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179BFE53" w14:textId="6F7FA799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The administration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tablet or powder for oral suspension formulations with a high-calcium meal (e.g. a meal that included dairy products) significantly reduced plasma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AUC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0-</w:t>
      </w:r>
      <w:r w:rsidRPr="0032259F">
        <w:rPr>
          <w:rFonts w:eastAsia="TimesNewRomanPSMT"/>
          <w:sz w:val="24"/>
          <w:szCs w:val="24"/>
          <w:vertAlign w:val="subscript"/>
          <w:lang w:val="en-GB" w:eastAsia="en-GB"/>
        </w:rPr>
        <w:t>∞</w:t>
      </w:r>
      <w:r w:rsidRPr="0032259F">
        <w:rPr>
          <w:rFonts w:eastAsia="TimesNewRomanPSMT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and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C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max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. In contrast, the administration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2 hours before or 4 hours after a high-calcium meal or with low-calcium food [&lt;50 mg calcium] did not alter plasma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exposure to a clinically significant extent (see section 4.2).</w:t>
      </w:r>
    </w:p>
    <w:p w14:paraId="56787F78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25A7EC60" w14:textId="2D2ABCF1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Administration of a single 50 mg dose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in tablet form with a standard high-calorie,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high-fat breakfast that included dairy products reduced plasma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mean AUC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0-</w:t>
      </w:r>
      <w:r w:rsidRPr="0032259F">
        <w:rPr>
          <w:rFonts w:eastAsia="TimesNewRomanPSMT"/>
          <w:sz w:val="24"/>
          <w:szCs w:val="24"/>
          <w:vertAlign w:val="subscript"/>
          <w:lang w:val="en-GB" w:eastAsia="en-GB"/>
        </w:rPr>
        <w:t>∞</w:t>
      </w:r>
      <w:r w:rsidRPr="0032259F">
        <w:rPr>
          <w:rFonts w:eastAsia="TimesNewRomanPSMT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by 59% and mean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C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max</w:t>
      </w:r>
      <w:proofErr w:type="spellEnd"/>
      <w:r w:rsidRPr="0032259F">
        <w:rPr>
          <w:rFonts w:eastAsia="SimSun"/>
          <w:sz w:val="24"/>
          <w:szCs w:val="24"/>
          <w:vertAlign w:val="subscript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by 65%.</w:t>
      </w:r>
    </w:p>
    <w:p w14:paraId="3623F6EB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42DD8A4F" w14:textId="4E54150D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lastRenderedPageBreak/>
        <w:t xml:space="preserve">Administration of a single 25 mg dose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as powder for oral suspension with a high-calcium, moderate-fat and moderate-calorie meal reduced plasma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mean AUC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0-</w:t>
      </w:r>
      <w:r w:rsidRPr="0032259F">
        <w:rPr>
          <w:rFonts w:eastAsia="TimesNewRomanPSMT"/>
          <w:sz w:val="24"/>
          <w:szCs w:val="24"/>
          <w:vertAlign w:val="subscript"/>
          <w:lang w:val="en-GB" w:eastAsia="en-GB"/>
        </w:rPr>
        <w:t>∞</w:t>
      </w:r>
      <w:r w:rsidRPr="0032259F">
        <w:rPr>
          <w:rFonts w:eastAsia="TimesNewRomanPSMT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by 75% and mean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C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max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by 79%. This decrease of exposure was attenuated when a single 25 mg dose of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powder for oral suspension was administered 2 hours before a high-calcium meal (mean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AUC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0-</w:t>
      </w:r>
      <w:r w:rsidRPr="0032259F">
        <w:rPr>
          <w:rFonts w:eastAsia="TimesNewRomanPSMT"/>
          <w:sz w:val="24"/>
          <w:szCs w:val="24"/>
          <w:vertAlign w:val="subscript"/>
          <w:lang w:val="en-GB" w:eastAsia="en-GB"/>
        </w:rPr>
        <w:t>∞</w:t>
      </w:r>
      <w:r w:rsidRPr="0032259F">
        <w:rPr>
          <w:rFonts w:eastAsia="TimesNewRomanPSMT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was decreased by 20% and mean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C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max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by 14%).</w:t>
      </w:r>
    </w:p>
    <w:p w14:paraId="480FCC3E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2C6E0C5E" w14:textId="006FEECA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Food low in calcium (&lt;50 mg calcium), including fruit, lean ham, beef and unfortified (no added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calcium, magnesium or iron) fruit juice, unfortified soya milk and unfortified grain, did not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significantly impact plasma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exposure, regardless of calorie and fat content (see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sections 4.2 and 4.5).</w:t>
      </w:r>
    </w:p>
    <w:p w14:paraId="085D1CA1" w14:textId="77777777" w:rsidR="007C5D2A" w:rsidRPr="0032259F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771FF612" w14:textId="77777777" w:rsidR="007C5D2A" w:rsidRPr="0032259F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32259F">
        <w:rPr>
          <w:b/>
          <w:sz w:val="24"/>
          <w:szCs w:val="24"/>
          <w:lang w:val="en-GB"/>
        </w:rPr>
        <w:t>4.6</w:t>
      </w:r>
      <w:r w:rsidRPr="0032259F">
        <w:rPr>
          <w:b/>
          <w:sz w:val="24"/>
          <w:szCs w:val="24"/>
          <w:lang w:val="en-GB"/>
        </w:rPr>
        <w:tab/>
      </w:r>
      <w:r w:rsidR="004860D3" w:rsidRPr="0032259F">
        <w:rPr>
          <w:b/>
          <w:sz w:val="24"/>
          <w:szCs w:val="24"/>
          <w:lang w:val="en-GB"/>
        </w:rPr>
        <w:t>Fertility, p</w:t>
      </w:r>
      <w:r w:rsidRPr="0032259F">
        <w:rPr>
          <w:b/>
          <w:sz w:val="24"/>
          <w:szCs w:val="24"/>
          <w:lang w:val="en-GB"/>
        </w:rPr>
        <w:t>regnancy and lactation</w:t>
      </w:r>
    </w:p>
    <w:p w14:paraId="661DCC02" w14:textId="77777777" w:rsidR="00343365" w:rsidRPr="0032259F" w:rsidRDefault="00343365" w:rsidP="00A15450">
      <w:pPr>
        <w:shd w:val="clear" w:color="auto" w:fill="FFFFFF"/>
        <w:ind w:left="851"/>
        <w:rPr>
          <w:spacing w:val="-1"/>
          <w:sz w:val="24"/>
          <w:szCs w:val="24"/>
          <w:u w:val="single"/>
          <w:lang w:val="en-GB"/>
        </w:rPr>
      </w:pPr>
    </w:p>
    <w:p w14:paraId="700534EB" w14:textId="612867AA" w:rsidR="002C7328" w:rsidRPr="0032259F" w:rsidRDefault="002C7328" w:rsidP="00A15450">
      <w:pPr>
        <w:shd w:val="clear" w:color="auto" w:fill="FFFFFF"/>
        <w:ind w:left="851"/>
        <w:rPr>
          <w:spacing w:val="-1"/>
          <w:sz w:val="24"/>
          <w:szCs w:val="24"/>
          <w:u w:val="single"/>
          <w:lang w:val="en-GB"/>
        </w:rPr>
      </w:pPr>
      <w:r w:rsidRPr="0032259F">
        <w:rPr>
          <w:spacing w:val="-1"/>
          <w:sz w:val="24"/>
          <w:szCs w:val="24"/>
          <w:u w:val="single"/>
          <w:lang w:val="en-GB"/>
        </w:rPr>
        <w:t>Pregnancy</w:t>
      </w:r>
    </w:p>
    <w:p w14:paraId="12CC0B9E" w14:textId="77777777" w:rsidR="002C7328" w:rsidRPr="0032259F" w:rsidRDefault="002C7328" w:rsidP="00A15450">
      <w:pPr>
        <w:shd w:val="clear" w:color="auto" w:fill="FFFFFF"/>
        <w:ind w:left="851"/>
        <w:rPr>
          <w:spacing w:val="-1"/>
          <w:sz w:val="24"/>
          <w:szCs w:val="24"/>
          <w:u w:val="single"/>
          <w:lang w:val="en-GB"/>
        </w:rPr>
      </w:pPr>
    </w:p>
    <w:p w14:paraId="798E5F52" w14:textId="4700FEA5" w:rsidR="002C7328" w:rsidRPr="0032259F" w:rsidRDefault="002C7328" w:rsidP="00343365">
      <w:pPr>
        <w:tabs>
          <w:tab w:val="left" w:pos="1304"/>
        </w:tabs>
        <w:autoSpaceDE w:val="0"/>
        <w:autoSpaceDN w:val="0"/>
        <w:adjustRightInd w:val="0"/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There are no or limited amount of data from the use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in pregnant women. Studies in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animals have shown reproductive toxicity (see section 5.3). The potential risk for humans is unknown.</w:t>
      </w:r>
    </w:p>
    <w:p w14:paraId="65EBB610" w14:textId="77777777" w:rsidR="002C7328" w:rsidRPr="0032259F" w:rsidRDefault="002C7328" w:rsidP="00A15450">
      <w:pPr>
        <w:shd w:val="clear" w:color="auto" w:fill="FFFFFF"/>
        <w:ind w:left="851"/>
        <w:rPr>
          <w:rFonts w:eastAsia="SimSun"/>
          <w:sz w:val="24"/>
          <w:szCs w:val="24"/>
          <w:lang w:val="en-GB" w:eastAsia="en-GB"/>
        </w:rPr>
      </w:pPr>
    </w:p>
    <w:p w14:paraId="1EB46599" w14:textId="578F00D3" w:rsidR="002C7328" w:rsidRPr="0032259F" w:rsidRDefault="004745B3" w:rsidP="00A15450">
      <w:pPr>
        <w:shd w:val="clear" w:color="auto" w:fill="FFFFFF"/>
        <w:ind w:left="851"/>
        <w:rPr>
          <w:rFonts w:eastAsia="SimSun"/>
          <w:sz w:val="24"/>
          <w:szCs w:val="24"/>
          <w:lang w:val="en-GB" w:eastAsia="en-GB"/>
        </w:rPr>
      </w:pPr>
      <w:proofErr w:type="spellStart"/>
      <w:r w:rsidRPr="0032259F">
        <w:rPr>
          <w:rFonts w:eastAsiaTheme="minorHAnsi"/>
          <w:sz w:val="24"/>
          <w:szCs w:val="24"/>
          <w:lang w:val="en-GB"/>
        </w:rPr>
        <w:t>Eltrombopag</w:t>
      </w:r>
      <w:proofErr w:type="spellEnd"/>
      <w:r w:rsidRPr="0032259F">
        <w:rPr>
          <w:rFonts w:eastAsiaTheme="minorHAnsi"/>
          <w:sz w:val="24"/>
          <w:szCs w:val="24"/>
          <w:lang w:val="en-GB"/>
        </w:rPr>
        <w:t xml:space="preserve"> "</w:t>
      </w:r>
      <w:proofErr w:type="spellStart"/>
      <w:r w:rsidRPr="0032259F">
        <w:rPr>
          <w:rFonts w:eastAsiaTheme="minorHAnsi"/>
          <w:sz w:val="24"/>
          <w:szCs w:val="24"/>
          <w:lang w:val="en-GB"/>
        </w:rPr>
        <w:t>Vipharm</w:t>
      </w:r>
      <w:proofErr w:type="spellEnd"/>
      <w:r w:rsidRPr="0032259F">
        <w:rPr>
          <w:rFonts w:eastAsiaTheme="minorHAnsi"/>
          <w:sz w:val="24"/>
          <w:szCs w:val="24"/>
          <w:lang w:val="en-GB"/>
        </w:rPr>
        <w:t>"</w:t>
      </w:r>
      <w:r w:rsidR="002C7328" w:rsidRPr="0032259F">
        <w:rPr>
          <w:rFonts w:eastAsiaTheme="minorHAnsi"/>
          <w:sz w:val="24"/>
          <w:szCs w:val="24"/>
          <w:lang w:val="en-GB"/>
        </w:rPr>
        <w:t xml:space="preserve"> </w:t>
      </w:r>
      <w:r w:rsidR="002C7328" w:rsidRPr="0032259F">
        <w:rPr>
          <w:rFonts w:eastAsia="SimSun"/>
          <w:sz w:val="24"/>
          <w:szCs w:val="24"/>
          <w:lang w:val="en-GB" w:eastAsia="en-GB"/>
        </w:rPr>
        <w:t>is not recommended during pregnancy.</w:t>
      </w:r>
    </w:p>
    <w:p w14:paraId="09AA53A3" w14:textId="77777777" w:rsidR="002C7328" w:rsidRPr="0032259F" w:rsidRDefault="002C7328" w:rsidP="00A15450">
      <w:pPr>
        <w:shd w:val="clear" w:color="auto" w:fill="FFFFFF"/>
        <w:ind w:left="851"/>
        <w:rPr>
          <w:rFonts w:eastAsia="SimSun"/>
          <w:sz w:val="24"/>
          <w:szCs w:val="24"/>
          <w:lang w:val="en-GB" w:eastAsia="en-GB"/>
        </w:rPr>
      </w:pPr>
    </w:p>
    <w:p w14:paraId="66573867" w14:textId="77777777" w:rsidR="002C7328" w:rsidRPr="0032259F" w:rsidRDefault="002C7328" w:rsidP="00A15450">
      <w:pPr>
        <w:shd w:val="clear" w:color="auto" w:fill="FFFFFF"/>
        <w:ind w:left="851"/>
        <w:rPr>
          <w:rFonts w:eastAsia="SimSun"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sz w:val="24"/>
          <w:szCs w:val="24"/>
          <w:u w:val="single"/>
          <w:lang w:val="en-GB" w:eastAsia="en-GB"/>
        </w:rPr>
        <w:t>Women of childbearing potential / Contraception in males and females</w:t>
      </w:r>
    </w:p>
    <w:p w14:paraId="3B1BBD5B" w14:textId="77777777" w:rsidR="002C7328" w:rsidRPr="0032259F" w:rsidRDefault="002C7328" w:rsidP="00A15450">
      <w:pPr>
        <w:shd w:val="clear" w:color="auto" w:fill="FFFFFF"/>
        <w:ind w:left="851"/>
        <w:rPr>
          <w:rFonts w:eastAsia="SimSun"/>
          <w:sz w:val="24"/>
          <w:szCs w:val="24"/>
          <w:lang w:val="en-GB" w:eastAsia="en-GB"/>
        </w:rPr>
      </w:pPr>
    </w:p>
    <w:p w14:paraId="323C2227" w14:textId="6A46A9E7" w:rsidR="002C7328" w:rsidRPr="0032259F" w:rsidRDefault="004745B3" w:rsidP="00A15450">
      <w:pPr>
        <w:shd w:val="clear" w:color="auto" w:fill="FFFFFF"/>
        <w:ind w:left="851"/>
        <w:rPr>
          <w:rFonts w:eastAsia="SimSun"/>
          <w:sz w:val="24"/>
          <w:szCs w:val="24"/>
          <w:lang w:val="en-GB" w:eastAsia="en-GB"/>
        </w:rPr>
      </w:pPr>
      <w:proofErr w:type="spellStart"/>
      <w:r w:rsidRPr="0032259F">
        <w:rPr>
          <w:rFonts w:eastAsiaTheme="minorHAnsi"/>
          <w:sz w:val="24"/>
          <w:szCs w:val="24"/>
          <w:lang w:val="en-GB"/>
        </w:rPr>
        <w:t>Eltrombopag</w:t>
      </w:r>
      <w:proofErr w:type="spellEnd"/>
      <w:r w:rsidRPr="0032259F">
        <w:rPr>
          <w:rFonts w:eastAsiaTheme="minorHAnsi"/>
          <w:sz w:val="24"/>
          <w:szCs w:val="24"/>
          <w:lang w:val="en-GB"/>
        </w:rPr>
        <w:t xml:space="preserve"> "</w:t>
      </w:r>
      <w:proofErr w:type="spellStart"/>
      <w:r w:rsidRPr="0032259F">
        <w:rPr>
          <w:rFonts w:eastAsiaTheme="minorHAnsi"/>
          <w:sz w:val="24"/>
          <w:szCs w:val="24"/>
          <w:lang w:val="en-GB"/>
        </w:rPr>
        <w:t>Vipharm</w:t>
      </w:r>
      <w:proofErr w:type="spellEnd"/>
      <w:r w:rsidRPr="0032259F">
        <w:rPr>
          <w:rFonts w:eastAsiaTheme="minorHAnsi"/>
          <w:sz w:val="24"/>
          <w:szCs w:val="24"/>
          <w:lang w:val="en-GB"/>
        </w:rPr>
        <w:t>"</w:t>
      </w:r>
      <w:r w:rsidR="002C7328" w:rsidRPr="0032259F">
        <w:rPr>
          <w:rFonts w:eastAsiaTheme="minorHAnsi"/>
          <w:sz w:val="24"/>
          <w:szCs w:val="24"/>
          <w:lang w:val="en-GB"/>
        </w:rPr>
        <w:t xml:space="preserve"> </w:t>
      </w:r>
      <w:r w:rsidR="002C7328" w:rsidRPr="0032259F">
        <w:rPr>
          <w:rFonts w:eastAsia="SimSun"/>
          <w:sz w:val="24"/>
          <w:szCs w:val="24"/>
          <w:lang w:val="en-GB" w:eastAsia="en-GB"/>
        </w:rPr>
        <w:t>is not recommended in women of childbearing potential not using contraception.</w:t>
      </w:r>
    </w:p>
    <w:p w14:paraId="47F700B1" w14:textId="77777777" w:rsidR="002C7328" w:rsidRPr="0032259F" w:rsidRDefault="002C7328" w:rsidP="00A15450">
      <w:pPr>
        <w:shd w:val="clear" w:color="auto" w:fill="FFFFFF"/>
        <w:ind w:left="851"/>
        <w:rPr>
          <w:rFonts w:eastAsia="SimSun"/>
          <w:sz w:val="24"/>
          <w:szCs w:val="24"/>
          <w:lang w:val="en-GB" w:eastAsia="en-GB"/>
        </w:rPr>
      </w:pPr>
    </w:p>
    <w:p w14:paraId="69E26DED" w14:textId="77777777" w:rsidR="002C7328" w:rsidRPr="0032259F" w:rsidRDefault="002C7328" w:rsidP="00A15450">
      <w:pPr>
        <w:shd w:val="clear" w:color="auto" w:fill="FFFFFF"/>
        <w:tabs>
          <w:tab w:val="left" w:pos="1304"/>
        </w:tabs>
        <w:ind w:left="851"/>
        <w:rPr>
          <w:rFonts w:eastAsia="SimSun"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sz w:val="24"/>
          <w:szCs w:val="24"/>
          <w:u w:val="single"/>
          <w:lang w:val="en-GB" w:eastAsia="en-GB"/>
        </w:rPr>
        <w:t>Breast-feeding</w:t>
      </w:r>
    </w:p>
    <w:p w14:paraId="2E9FFEF5" w14:textId="77777777" w:rsidR="002C7328" w:rsidRPr="0032259F" w:rsidRDefault="002C7328" w:rsidP="00A15450">
      <w:pPr>
        <w:shd w:val="clear" w:color="auto" w:fill="FFFFFF"/>
        <w:tabs>
          <w:tab w:val="left" w:pos="1304"/>
        </w:tabs>
        <w:ind w:left="851"/>
        <w:rPr>
          <w:rFonts w:eastAsia="SimSun"/>
          <w:sz w:val="24"/>
          <w:szCs w:val="24"/>
          <w:u w:val="single"/>
          <w:lang w:val="en-GB" w:eastAsia="en-GB"/>
        </w:rPr>
      </w:pPr>
    </w:p>
    <w:p w14:paraId="28817D1F" w14:textId="1CF3A805" w:rsidR="002C7328" w:rsidRPr="0032259F" w:rsidRDefault="002C7328" w:rsidP="00A15450">
      <w:pPr>
        <w:tabs>
          <w:tab w:val="left" w:pos="1304"/>
        </w:tabs>
        <w:autoSpaceDE w:val="0"/>
        <w:autoSpaceDN w:val="0"/>
        <w:adjustRightInd w:val="0"/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It is not known whether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/metabolites are excreted in human milk. Studies in animals have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shown that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is likely secreted into milk (see section 5.3); therefore</w:t>
      </w:r>
      <w:r w:rsidR="009C16F9" w:rsidRPr="0032259F">
        <w:rPr>
          <w:rFonts w:eastAsia="SimSun"/>
          <w:sz w:val="24"/>
          <w:szCs w:val="24"/>
          <w:lang w:val="en-GB" w:eastAsia="en-GB"/>
        </w:rPr>
        <w:t>,</w:t>
      </w:r>
      <w:r w:rsidRPr="0032259F">
        <w:rPr>
          <w:rFonts w:eastAsia="SimSun"/>
          <w:sz w:val="24"/>
          <w:szCs w:val="24"/>
          <w:lang w:val="en-GB" w:eastAsia="en-GB"/>
        </w:rPr>
        <w:t xml:space="preserve"> a risk to the suckling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child cannot be excluded. A decision must be made whether to discontinue breast-feeding or to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continue/abstain from </w:t>
      </w:r>
      <w:proofErr w:type="spellStart"/>
      <w:r w:rsidR="004745B3" w:rsidRPr="0032259F">
        <w:rPr>
          <w:rFonts w:eastAsiaTheme="minorHAnsi"/>
          <w:sz w:val="24"/>
          <w:szCs w:val="24"/>
          <w:lang w:val="en-GB"/>
        </w:rPr>
        <w:t>Eltrombopag</w:t>
      </w:r>
      <w:proofErr w:type="spellEnd"/>
      <w:r w:rsidR="004745B3" w:rsidRPr="0032259F">
        <w:rPr>
          <w:rFonts w:eastAsiaTheme="minorHAnsi"/>
          <w:sz w:val="24"/>
          <w:szCs w:val="24"/>
          <w:lang w:val="en-GB"/>
        </w:rPr>
        <w:t xml:space="preserve"> "</w:t>
      </w:r>
      <w:proofErr w:type="spellStart"/>
      <w:r w:rsidR="004745B3" w:rsidRPr="0032259F">
        <w:rPr>
          <w:rFonts w:eastAsiaTheme="minorHAnsi"/>
          <w:sz w:val="24"/>
          <w:szCs w:val="24"/>
          <w:lang w:val="en-GB"/>
        </w:rPr>
        <w:t>Vipharm</w:t>
      </w:r>
      <w:proofErr w:type="spellEnd"/>
      <w:r w:rsidR="004745B3" w:rsidRPr="0032259F">
        <w:rPr>
          <w:rFonts w:eastAsiaTheme="minorHAnsi"/>
          <w:sz w:val="24"/>
          <w:szCs w:val="24"/>
          <w:lang w:val="en-GB"/>
        </w:rPr>
        <w:t>"</w:t>
      </w:r>
      <w:r w:rsidRPr="0032259F">
        <w:rPr>
          <w:rFonts w:eastAsiaTheme="minorHAnsi"/>
          <w:sz w:val="24"/>
          <w:szCs w:val="24"/>
          <w:lang w:val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therapy, </w:t>
      </w:r>
      <w:proofErr w:type="gramStart"/>
      <w:r w:rsidRPr="0032259F">
        <w:rPr>
          <w:rFonts w:eastAsia="SimSun"/>
          <w:sz w:val="24"/>
          <w:szCs w:val="24"/>
          <w:lang w:val="en-GB" w:eastAsia="en-GB"/>
        </w:rPr>
        <w:t>taking into account</w:t>
      </w:r>
      <w:proofErr w:type="gramEnd"/>
      <w:r w:rsidRPr="0032259F">
        <w:rPr>
          <w:rFonts w:eastAsia="SimSun"/>
          <w:sz w:val="24"/>
          <w:szCs w:val="24"/>
          <w:lang w:val="en-GB" w:eastAsia="en-GB"/>
        </w:rPr>
        <w:t xml:space="preserve"> the benefit of breast-feeding for the child and the benefit of therapy for the woman.</w:t>
      </w:r>
    </w:p>
    <w:p w14:paraId="0AA9C82F" w14:textId="77777777" w:rsidR="002C7328" w:rsidRPr="0032259F" w:rsidRDefault="002C7328" w:rsidP="00A15450">
      <w:pPr>
        <w:shd w:val="clear" w:color="auto" w:fill="FFFFFF"/>
        <w:tabs>
          <w:tab w:val="left" w:pos="1304"/>
        </w:tabs>
        <w:ind w:left="851"/>
        <w:rPr>
          <w:rFonts w:eastAsia="SimSun"/>
          <w:sz w:val="24"/>
          <w:szCs w:val="24"/>
          <w:lang w:val="en-GB" w:eastAsia="en-GB"/>
        </w:rPr>
      </w:pPr>
    </w:p>
    <w:p w14:paraId="2E717636" w14:textId="77777777" w:rsidR="002C7328" w:rsidRPr="0032259F" w:rsidRDefault="002C7328" w:rsidP="00A15450">
      <w:pPr>
        <w:shd w:val="clear" w:color="auto" w:fill="FFFFFF"/>
        <w:tabs>
          <w:tab w:val="left" w:pos="1304"/>
        </w:tabs>
        <w:ind w:left="851"/>
        <w:rPr>
          <w:rFonts w:eastAsia="SimSun"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sz w:val="24"/>
          <w:szCs w:val="24"/>
          <w:u w:val="single"/>
          <w:lang w:val="en-GB" w:eastAsia="en-GB"/>
        </w:rPr>
        <w:t>Fertility</w:t>
      </w:r>
    </w:p>
    <w:p w14:paraId="51D0C5DD" w14:textId="77777777" w:rsidR="002C7328" w:rsidRPr="0032259F" w:rsidRDefault="002C7328" w:rsidP="00A15450">
      <w:pPr>
        <w:shd w:val="clear" w:color="auto" w:fill="FFFFFF"/>
        <w:tabs>
          <w:tab w:val="left" w:pos="1304"/>
        </w:tabs>
        <w:ind w:left="851"/>
        <w:rPr>
          <w:rFonts w:eastAsia="SimSun"/>
          <w:sz w:val="24"/>
          <w:szCs w:val="24"/>
          <w:u w:val="single"/>
          <w:lang w:val="en-GB" w:eastAsia="en-GB"/>
        </w:rPr>
      </w:pPr>
    </w:p>
    <w:p w14:paraId="2A06DEBC" w14:textId="4A818DB9" w:rsidR="002C7328" w:rsidRPr="0032259F" w:rsidRDefault="002C7328" w:rsidP="00343365">
      <w:pPr>
        <w:tabs>
          <w:tab w:val="left" w:pos="1304"/>
        </w:tabs>
        <w:autoSpaceDE w:val="0"/>
        <w:autoSpaceDN w:val="0"/>
        <w:adjustRightInd w:val="0"/>
        <w:ind w:left="851"/>
        <w:rPr>
          <w:rFonts w:eastAsia="SimSun"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Fertility was not affected in male or female rats at exposures that were comparable to those in humans.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However</w:t>
      </w:r>
      <w:r w:rsidR="009C16F9" w:rsidRPr="0032259F">
        <w:rPr>
          <w:rFonts w:eastAsia="SimSun"/>
          <w:sz w:val="24"/>
          <w:szCs w:val="24"/>
          <w:lang w:val="en-GB" w:eastAsia="en-GB"/>
        </w:rPr>
        <w:t>,</w:t>
      </w:r>
      <w:r w:rsidRPr="0032259F">
        <w:rPr>
          <w:rFonts w:eastAsia="SimSun"/>
          <w:sz w:val="24"/>
          <w:szCs w:val="24"/>
          <w:lang w:val="en-GB" w:eastAsia="en-GB"/>
        </w:rPr>
        <w:t xml:space="preserve"> a risk for humans cannot be ruled out (see section 5.3).</w:t>
      </w:r>
    </w:p>
    <w:p w14:paraId="6DE84763" w14:textId="77777777" w:rsidR="007C5D2A" w:rsidRPr="0032259F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03079868" w14:textId="77777777" w:rsidR="007C5D2A" w:rsidRPr="0032259F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32259F">
        <w:rPr>
          <w:b/>
          <w:sz w:val="24"/>
          <w:szCs w:val="24"/>
          <w:lang w:val="en-GB"/>
        </w:rPr>
        <w:t>4.7</w:t>
      </w:r>
      <w:r w:rsidRPr="0032259F">
        <w:rPr>
          <w:b/>
          <w:sz w:val="24"/>
          <w:szCs w:val="24"/>
          <w:lang w:val="en-GB"/>
        </w:rPr>
        <w:tab/>
        <w:t>Effects on ability to drive and use machines</w:t>
      </w:r>
    </w:p>
    <w:p w14:paraId="393E2E5F" w14:textId="77777777" w:rsidR="009C16F9" w:rsidRPr="0032259F" w:rsidRDefault="009C16F9" w:rsidP="009C16F9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  <w:lang w:val="en-GB"/>
        </w:rPr>
      </w:pPr>
      <w:r w:rsidRPr="0032259F">
        <w:rPr>
          <w:rFonts w:eastAsiaTheme="minorHAnsi"/>
          <w:sz w:val="24"/>
          <w:szCs w:val="24"/>
          <w:lang w:val="en-GB"/>
        </w:rPr>
        <w:t>No traffic warning.</w:t>
      </w:r>
    </w:p>
    <w:p w14:paraId="3A495D05" w14:textId="45967CCA" w:rsidR="002C7328" w:rsidRPr="0032259F" w:rsidRDefault="004745B3" w:rsidP="009C16F9">
      <w:pPr>
        <w:autoSpaceDE w:val="0"/>
        <w:autoSpaceDN w:val="0"/>
        <w:adjustRightInd w:val="0"/>
        <w:ind w:left="851"/>
        <w:rPr>
          <w:sz w:val="24"/>
          <w:szCs w:val="24"/>
          <w:lang w:val="en-GB" w:eastAsia="en-US"/>
        </w:rPr>
      </w:pPr>
      <w:proofErr w:type="spellStart"/>
      <w:r w:rsidRPr="0032259F">
        <w:rPr>
          <w:rFonts w:eastAsiaTheme="minorHAnsi"/>
          <w:sz w:val="24"/>
          <w:szCs w:val="24"/>
          <w:lang w:val="en-GB"/>
        </w:rPr>
        <w:t>Eltrombopag</w:t>
      </w:r>
      <w:proofErr w:type="spellEnd"/>
      <w:r w:rsidRPr="0032259F">
        <w:rPr>
          <w:rFonts w:eastAsiaTheme="minorHAnsi"/>
          <w:sz w:val="24"/>
          <w:szCs w:val="24"/>
          <w:lang w:val="en-GB"/>
        </w:rPr>
        <w:t xml:space="preserve"> "</w:t>
      </w:r>
      <w:proofErr w:type="spellStart"/>
      <w:r w:rsidRPr="0032259F">
        <w:rPr>
          <w:rFonts w:eastAsiaTheme="minorHAnsi"/>
          <w:sz w:val="24"/>
          <w:szCs w:val="24"/>
          <w:lang w:val="en-GB"/>
        </w:rPr>
        <w:t>Vipharm</w:t>
      </w:r>
      <w:proofErr w:type="spellEnd"/>
      <w:r w:rsidRPr="0032259F">
        <w:rPr>
          <w:rFonts w:eastAsiaTheme="minorHAnsi"/>
          <w:sz w:val="24"/>
          <w:szCs w:val="24"/>
          <w:lang w:val="en-GB"/>
        </w:rPr>
        <w:t>"</w:t>
      </w:r>
      <w:r w:rsidR="002C7328" w:rsidRPr="0032259F">
        <w:rPr>
          <w:sz w:val="24"/>
          <w:szCs w:val="24"/>
          <w:lang w:val="en-GB"/>
        </w:rPr>
        <w:t xml:space="preserve"> </w:t>
      </w:r>
      <w:r w:rsidR="002C7328" w:rsidRPr="0032259F">
        <w:rPr>
          <w:rFonts w:eastAsia="SimSun"/>
          <w:sz w:val="24"/>
          <w:szCs w:val="24"/>
          <w:lang w:val="en-GB" w:eastAsia="en-GB"/>
        </w:rPr>
        <w:t xml:space="preserve">has negligible influence on the ability to drive and use machines. The clinical status of the patient and the adverse reaction profile of </w:t>
      </w:r>
      <w:proofErr w:type="spellStart"/>
      <w:r w:rsidR="002C7328"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="002C7328" w:rsidRPr="0032259F">
        <w:rPr>
          <w:rFonts w:eastAsia="SimSun"/>
          <w:sz w:val="24"/>
          <w:szCs w:val="24"/>
          <w:lang w:val="en-GB" w:eastAsia="en-GB"/>
        </w:rPr>
        <w:t xml:space="preserve">, including dizziness and lack of alertness, </w:t>
      </w:r>
      <w:r w:rsidR="002C7328" w:rsidRPr="0032259F">
        <w:rPr>
          <w:rFonts w:eastAsia="TimesNewRomanPSMT"/>
          <w:sz w:val="24"/>
          <w:szCs w:val="24"/>
          <w:lang w:val="en-GB" w:eastAsia="en-GB"/>
        </w:rPr>
        <w:t>should be borne in mind when considering the patient’s ability to perform tasks that require</w:t>
      </w:r>
      <w:r w:rsidR="009C16F9" w:rsidRPr="0032259F">
        <w:rPr>
          <w:rFonts w:eastAsia="TimesNewRomanPSMT"/>
          <w:sz w:val="24"/>
          <w:szCs w:val="24"/>
          <w:lang w:val="en-GB" w:eastAsia="en-GB"/>
        </w:rPr>
        <w:t xml:space="preserve"> </w:t>
      </w:r>
      <w:r w:rsidR="002C7328" w:rsidRPr="0032259F">
        <w:rPr>
          <w:rFonts w:eastAsia="SimSun"/>
          <w:sz w:val="24"/>
          <w:szCs w:val="24"/>
          <w:lang w:val="en-GB" w:eastAsia="en-GB"/>
        </w:rPr>
        <w:t>judgement, motor and cognitive skills.</w:t>
      </w:r>
    </w:p>
    <w:p w14:paraId="08BB312D" w14:textId="5CA8C43A" w:rsidR="009C16F9" w:rsidRPr="0032259F" w:rsidRDefault="009C16F9">
      <w:pPr>
        <w:rPr>
          <w:sz w:val="24"/>
          <w:szCs w:val="24"/>
          <w:lang w:val="en-GB"/>
        </w:rPr>
      </w:pPr>
      <w:r w:rsidRPr="0032259F">
        <w:rPr>
          <w:sz w:val="24"/>
          <w:szCs w:val="24"/>
          <w:lang w:val="en-GB"/>
        </w:rPr>
        <w:br w:type="page"/>
      </w:r>
    </w:p>
    <w:p w14:paraId="517CDCBB" w14:textId="77777777" w:rsidR="007C5D2A" w:rsidRPr="0032259F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105A3C81" w14:textId="77777777" w:rsidR="007C5D2A" w:rsidRPr="0032259F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32259F">
        <w:rPr>
          <w:b/>
          <w:sz w:val="24"/>
          <w:szCs w:val="24"/>
          <w:lang w:val="en-GB"/>
        </w:rPr>
        <w:t>4.8</w:t>
      </w:r>
      <w:r w:rsidRPr="0032259F">
        <w:rPr>
          <w:b/>
          <w:sz w:val="24"/>
          <w:szCs w:val="24"/>
          <w:lang w:val="en-GB"/>
        </w:rPr>
        <w:tab/>
        <w:t>Undesirable effects</w:t>
      </w:r>
    </w:p>
    <w:p w14:paraId="21A1F10A" w14:textId="77777777" w:rsidR="009C16F9" w:rsidRPr="0032259F" w:rsidRDefault="009C16F9" w:rsidP="00A15450">
      <w:pPr>
        <w:ind w:left="851"/>
        <w:rPr>
          <w:sz w:val="24"/>
          <w:szCs w:val="24"/>
          <w:lang w:val="en-GB"/>
        </w:rPr>
      </w:pPr>
    </w:p>
    <w:p w14:paraId="7C158083" w14:textId="2185B5F3" w:rsidR="002C7328" w:rsidRPr="0032259F" w:rsidRDefault="002C7328" w:rsidP="00A15450">
      <w:pPr>
        <w:ind w:left="851"/>
        <w:rPr>
          <w:sz w:val="24"/>
          <w:szCs w:val="24"/>
          <w:u w:val="single"/>
          <w:lang w:val="en-GB"/>
        </w:rPr>
      </w:pPr>
      <w:r w:rsidRPr="0032259F">
        <w:rPr>
          <w:sz w:val="24"/>
          <w:szCs w:val="24"/>
          <w:u w:val="single"/>
          <w:lang w:val="en-GB"/>
        </w:rPr>
        <w:t>Summary of the safety profile</w:t>
      </w:r>
    </w:p>
    <w:p w14:paraId="5FF02217" w14:textId="77777777" w:rsidR="002C7328" w:rsidRPr="0032259F" w:rsidRDefault="002C7328" w:rsidP="00A15450">
      <w:pPr>
        <w:ind w:left="851"/>
        <w:rPr>
          <w:sz w:val="24"/>
          <w:szCs w:val="24"/>
          <w:lang w:val="en-GB"/>
        </w:rPr>
      </w:pPr>
    </w:p>
    <w:p w14:paraId="1A58B9FA" w14:textId="77777777" w:rsidR="002C7328" w:rsidRPr="0032259F" w:rsidRDefault="002C7328" w:rsidP="00A15450">
      <w:pPr>
        <w:ind w:left="851"/>
        <w:rPr>
          <w:sz w:val="24"/>
          <w:szCs w:val="24"/>
          <w:u w:val="single"/>
          <w:lang w:val="en-GB"/>
        </w:rPr>
      </w:pPr>
      <w:r w:rsidRPr="0032259F">
        <w:rPr>
          <w:rFonts w:eastAsia="SimSun"/>
          <w:i/>
          <w:iCs/>
          <w:sz w:val="24"/>
          <w:szCs w:val="24"/>
          <w:u w:val="single"/>
          <w:lang w:val="en-GB" w:eastAsia="en-GB"/>
        </w:rPr>
        <w:t>Immune thrombocytopenia in adult and paediatric patients</w:t>
      </w:r>
    </w:p>
    <w:p w14:paraId="58E37BB1" w14:textId="77777777" w:rsidR="002C7328" w:rsidRPr="0032259F" w:rsidRDefault="002C7328" w:rsidP="00A15450">
      <w:pPr>
        <w:ind w:left="851"/>
        <w:rPr>
          <w:sz w:val="24"/>
          <w:szCs w:val="24"/>
          <w:lang w:val="en-GB"/>
        </w:rPr>
      </w:pPr>
    </w:p>
    <w:p w14:paraId="1466089A" w14:textId="7C52C679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The safety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was assessed in adult patients (N=763) using the pooled double-blind,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placebo-controlled studies TRA100773A and B, TRA102537 (RAISE) and TRA113765, in which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403 patients were exposed to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and 179 to placebo, in addition to data from the completed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open-label studies (N=360) TRA108057 (REPEAT), TRA105325 (EXTEND) and TRA112940 (see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section 5.1). Patients received study medication for up to 8 years (in EXTEND). The most important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serious adverse reactions were hepatotoxicity and thrombotic/thromboembolic events. The most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common adverse reactions occurring in at least 10% of patients included nausea, diarrhoea, increased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alanine aminotransferase and back pain.</w:t>
      </w:r>
    </w:p>
    <w:p w14:paraId="2964B4F8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0953A095" w14:textId="55362973" w:rsidR="002C7328" w:rsidRPr="0032259F" w:rsidRDefault="002C7328" w:rsidP="00A15450">
      <w:pPr>
        <w:ind w:left="851"/>
        <w:rPr>
          <w:rFonts w:eastAsia="SimSun"/>
          <w:color w:val="000000"/>
          <w:sz w:val="24"/>
          <w:szCs w:val="24"/>
          <w:lang w:val="en-GB" w:eastAsia="en-GB"/>
        </w:rPr>
      </w:pPr>
      <w:r w:rsidRPr="0032259F">
        <w:rPr>
          <w:rFonts w:eastAsia="SimSun"/>
          <w:color w:val="000000"/>
          <w:sz w:val="24"/>
          <w:szCs w:val="24"/>
          <w:lang w:val="en-GB" w:eastAsia="en-GB"/>
        </w:rPr>
        <w:t xml:space="preserve">The safety of </w:t>
      </w:r>
      <w:proofErr w:type="spellStart"/>
      <w:r w:rsidRPr="0032259F">
        <w:rPr>
          <w:rFonts w:eastAsia="SimSun"/>
          <w:color w:val="000000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color w:val="000000"/>
          <w:sz w:val="24"/>
          <w:szCs w:val="24"/>
          <w:lang w:val="en-GB" w:eastAsia="en-GB"/>
        </w:rPr>
        <w:t xml:space="preserve"> in paediatric patients (aged 1 to 17 years) with previously treated ITP has been demonstrated in two studies (N=171) (see section 5.1). PETIT2 (TRA115450) was a two-part, double-blind and open-label, randomised, placebo-controlled study. Patients were randomised 2:1 and</w:t>
      </w:r>
      <w:r w:rsidR="00343365" w:rsidRPr="0032259F">
        <w:rPr>
          <w:rFonts w:eastAsia="SimSun"/>
          <w:color w:val="000000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color w:val="000000"/>
          <w:sz w:val="24"/>
          <w:szCs w:val="24"/>
          <w:lang w:val="en-GB" w:eastAsia="en-GB"/>
        </w:rPr>
        <w:t xml:space="preserve">received </w:t>
      </w:r>
      <w:proofErr w:type="spellStart"/>
      <w:r w:rsidRPr="0032259F">
        <w:rPr>
          <w:rFonts w:eastAsia="SimSun"/>
          <w:color w:val="000000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color w:val="000000"/>
          <w:sz w:val="24"/>
          <w:szCs w:val="24"/>
          <w:lang w:val="en-GB" w:eastAsia="en-GB"/>
        </w:rPr>
        <w:t xml:space="preserve"> (n=63) or placebo (n=29) for up to 13 weeks in the randomised period of the study.</w:t>
      </w:r>
      <w:r w:rsidR="00727038">
        <w:rPr>
          <w:rFonts w:eastAsia="SimSun"/>
          <w:color w:val="000000"/>
          <w:sz w:val="24"/>
          <w:szCs w:val="24"/>
          <w:lang w:val="en-GB" w:eastAsia="en-GB"/>
        </w:rPr>
        <w:t xml:space="preserve"> </w:t>
      </w:r>
      <w:proofErr w:type="gramStart"/>
      <w:r w:rsidRPr="0032259F">
        <w:rPr>
          <w:rFonts w:eastAsia="SimSun"/>
          <w:color w:val="000000"/>
          <w:sz w:val="24"/>
          <w:szCs w:val="24"/>
          <w:lang w:val="en-GB" w:eastAsia="en-GB"/>
        </w:rPr>
        <w:t>PETIT</w:t>
      </w:r>
      <w:proofErr w:type="gramEnd"/>
      <w:r w:rsidRPr="0032259F">
        <w:rPr>
          <w:rFonts w:eastAsia="SimSun"/>
          <w:color w:val="000000"/>
          <w:sz w:val="24"/>
          <w:szCs w:val="24"/>
          <w:lang w:val="en-GB" w:eastAsia="en-GB"/>
        </w:rPr>
        <w:t xml:space="preserve"> (TRA108062) was a three-part, staggered-cohort, open-label and double-blind, randomised, placebo-controlled study. Patients were randomised 2:1 and received </w:t>
      </w:r>
      <w:proofErr w:type="spellStart"/>
      <w:r w:rsidRPr="0032259F">
        <w:rPr>
          <w:rFonts w:eastAsia="SimSun"/>
          <w:color w:val="000000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color w:val="000000"/>
          <w:sz w:val="24"/>
          <w:szCs w:val="24"/>
          <w:lang w:val="en-GB" w:eastAsia="en-GB"/>
        </w:rPr>
        <w:t xml:space="preserve"> (n=44) or placebo (n=21), for up to 7 weeks</w:t>
      </w:r>
      <w:r w:rsidRPr="0032259F">
        <w:rPr>
          <w:rFonts w:eastAsia="SimSun"/>
          <w:color w:val="0000FF"/>
          <w:sz w:val="24"/>
          <w:szCs w:val="24"/>
          <w:lang w:val="en-GB" w:eastAsia="en-GB"/>
        </w:rPr>
        <w:t xml:space="preserve">. </w:t>
      </w:r>
      <w:r w:rsidRPr="0032259F">
        <w:rPr>
          <w:rFonts w:eastAsia="SimSun"/>
          <w:color w:val="000000"/>
          <w:sz w:val="24"/>
          <w:szCs w:val="24"/>
          <w:lang w:val="en-GB" w:eastAsia="en-GB"/>
        </w:rPr>
        <w:t xml:space="preserve">The profile of adverse reactions was comparable to that seen in adults with some additional adverse reactions, marked </w:t>
      </w:r>
      <w:r w:rsidRPr="0032259F">
        <w:rPr>
          <w:rFonts w:eastAsia="TimesNewRomanPSMT"/>
          <w:sz w:val="24"/>
          <w:szCs w:val="24"/>
          <w:lang w:val="en-GB" w:eastAsia="en-GB"/>
        </w:rPr>
        <w:t>♦ in the table below. The most common adverse reactions in paediatric ITP patients 1 year and older (≥3% and greater than placebo) were upper respiratory tract infection, nasopharyngitis, cough, pyrexia, abdominal pain, oropharyngeal pain, toothache and</w:t>
      </w:r>
      <w:r w:rsidRPr="0032259F">
        <w:rPr>
          <w:rFonts w:eastAsia="SimSun"/>
          <w:color w:val="000000"/>
          <w:sz w:val="24"/>
          <w:szCs w:val="24"/>
          <w:lang w:val="en-GB" w:eastAsia="en-GB"/>
        </w:rPr>
        <w:t xml:space="preserve"> </w:t>
      </w:r>
      <w:r w:rsidRPr="0032259F">
        <w:rPr>
          <w:rFonts w:eastAsia="TimesNewRomanPSMT"/>
          <w:sz w:val="24"/>
          <w:szCs w:val="24"/>
          <w:lang w:val="en-GB" w:eastAsia="en-GB"/>
        </w:rPr>
        <w:t>rhinorrhoea.</w:t>
      </w:r>
    </w:p>
    <w:p w14:paraId="684437B6" w14:textId="77777777" w:rsidR="002C7328" w:rsidRPr="0032259F" w:rsidRDefault="002C7328" w:rsidP="00A15450">
      <w:pPr>
        <w:ind w:left="851"/>
        <w:rPr>
          <w:rFonts w:eastAsia="TimesNewRomanPSMT"/>
          <w:sz w:val="24"/>
          <w:szCs w:val="24"/>
          <w:lang w:val="en-GB" w:eastAsia="en-GB"/>
        </w:rPr>
      </w:pPr>
    </w:p>
    <w:p w14:paraId="1C1A3B2E" w14:textId="77777777" w:rsidR="002C7328" w:rsidRPr="0032259F" w:rsidRDefault="002C7328" w:rsidP="00A15450">
      <w:pPr>
        <w:ind w:left="851"/>
        <w:rPr>
          <w:rFonts w:eastAsia="SimSun"/>
          <w:i/>
          <w:iCs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i/>
          <w:iCs/>
          <w:sz w:val="24"/>
          <w:szCs w:val="24"/>
          <w:u w:val="single"/>
          <w:lang w:val="en-GB" w:eastAsia="en-GB"/>
        </w:rPr>
        <w:t>Thrombocytopenia with HCV infection in adult patients</w:t>
      </w:r>
    </w:p>
    <w:p w14:paraId="355D0311" w14:textId="77777777" w:rsidR="002C7328" w:rsidRPr="0032259F" w:rsidRDefault="002C7328" w:rsidP="00A15450">
      <w:pPr>
        <w:ind w:left="851"/>
        <w:rPr>
          <w:rFonts w:eastAsia="SimSun"/>
          <w:iCs/>
          <w:sz w:val="24"/>
          <w:szCs w:val="24"/>
          <w:lang w:val="en-GB" w:eastAsia="en-GB"/>
        </w:rPr>
      </w:pPr>
    </w:p>
    <w:p w14:paraId="176B6D93" w14:textId="24EDEB4F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ENABLE 1 (TPL103922 n=716, 715 treated with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) and ENABLE 2 (TPL108390 n=805)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were randomised, double-blind, placebo-controlled, multicentre studies to assess the efficacy and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safety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in thrombocytopenic patients with HCV infection who were otherwise eligible to initiate antiviral therapy. In the HCV studies the safety population consisted of all randomised patients who received double-blind study medicinal product during Part 2 of ENABLE 1 (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treatment n=450, placebo treatment n=232) and ENABLE 2 (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treatment n=506, placebo treatment n=252). Patients are analysed according to the treatment received (total safety double-blind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population,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n=955 and placebo n=484). The most important serious adverse reactions identified were hepatotoxicity and thrombotic/thromboembolic events. The most common adverse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reactions occurring in at least 10% of patients included headache, anaemia, decreased appetite, cough,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nausea, diarrhoea,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hyperbilirubinaemia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, alopecia, pruritus, myalgia, pyrexia, fatigue, influenza-like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illness, asthenia, chills and oedema.</w:t>
      </w:r>
    </w:p>
    <w:p w14:paraId="0F576ABD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27A67FF8" w14:textId="77777777" w:rsidR="002C7328" w:rsidRPr="0032259F" w:rsidRDefault="002C7328" w:rsidP="00A15450">
      <w:pPr>
        <w:ind w:left="851"/>
        <w:rPr>
          <w:rFonts w:eastAsia="SimSun"/>
          <w:i/>
          <w:iCs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i/>
          <w:iCs/>
          <w:sz w:val="24"/>
          <w:szCs w:val="24"/>
          <w:u w:val="single"/>
          <w:lang w:val="en-GB" w:eastAsia="en-GB"/>
        </w:rPr>
        <w:t>Severe aplastic anaemia in adult patients</w:t>
      </w:r>
    </w:p>
    <w:p w14:paraId="3988267C" w14:textId="77777777" w:rsidR="002C7328" w:rsidRPr="0032259F" w:rsidRDefault="002C7328" w:rsidP="00A15450">
      <w:pPr>
        <w:ind w:left="851"/>
        <w:rPr>
          <w:rFonts w:eastAsia="SimSun"/>
          <w:iCs/>
          <w:sz w:val="24"/>
          <w:szCs w:val="24"/>
          <w:lang w:val="en-GB" w:eastAsia="en-GB"/>
        </w:rPr>
      </w:pPr>
    </w:p>
    <w:p w14:paraId="100BF2D5" w14:textId="5FB8FD70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The safety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in severe aplastic anaemia was assessed in a single-arm, open-label study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(N=43) in which 11 patients (26%) were treated for &gt;6 months and 7 patients </w:t>
      </w:r>
      <w:r w:rsidRPr="0032259F">
        <w:rPr>
          <w:rFonts w:eastAsia="SimSun"/>
          <w:sz w:val="24"/>
          <w:szCs w:val="24"/>
          <w:lang w:val="en-GB" w:eastAsia="en-GB"/>
        </w:rPr>
        <w:lastRenderedPageBreak/>
        <w:t>(16%) were treated for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&gt;1 year (see section 5.1). The most common adverse reactions occurring in at least 10% of patients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included headache, dizziness, cough, oropharyngeal pain, rhinorrhoea, nausea, diarrhoea, abdominal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pain, transaminases increased, arthralgia, pain in extremity, muscle spasms, fatigue and pyrexia.</w:t>
      </w:r>
    </w:p>
    <w:p w14:paraId="356F84A9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1241127A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sz w:val="24"/>
          <w:szCs w:val="24"/>
          <w:u w:val="single"/>
          <w:lang w:val="en-GB" w:eastAsia="en-GB"/>
        </w:rPr>
        <w:t>List of adverse reactions</w:t>
      </w:r>
    </w:p>
    <w:p w14:paraId="656E85F2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6F6A74FC" w14:textId="0E0F5734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The adverse reactions in the adult ITP studies (N=763), paediatric ITP studies (N=171), the HCV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studies (N=1,520), the SAA studies (N=43) and post-marketing reports are listed below by MedDRA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system organ class and by frequency. Within each system organ class, the adverse drug reactions are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ranked by frequency, with the most frequent reactions first. The corresponding frequency category for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each adverse drug reaction is based on the following convention (CIOMS III): </w:t>
      </w:r>
      <w:r w:rsidRPr="0032259F">
        <w:rPr>
          <w:rFonts w:eastAsia="TimesNewRomanPSMT"/>
          <w:sz w:val="24"/>
          <w:szCs w:val="24"/>
          <w:lang w:val="en-GB" w:eastAsia="en-GB"/>
        </w:rPr>
        <w:t>very common (≥1/10);</w:t>
      </w:r>
      <w:r w:rsidR="00343365" w:rsidRPr="0032259F">
        <w:rPr>
          <w:rFonts w:eastAsia="TimesNewRomanPSMT"/>
          <w:sz w:val="24"/>
          <w:szCs w:val="24"/>
          <w:lang w:val="en-GB" w:eastAsia="en-GB"/>
        </w:rPr>
        <w:t xml:space="preserve"> </w:t>
      </w:r>
      <w:r w:rsidRPr="0032259F">
        <w:rPr>
          <w:rFonts w:eastAsia="TimesNewRomanPSMT"/>
          <w:sz w:val="24"/>
          <w:szCs w:val="24"/>
          <w:lang w:val="en-GB" w:eastAsia="en-GB"/>
        </w:rPr>
        <w:t>common (≥1/100 to &lt;1/10); uncommon (≥1/</w:t>
      </w:r>
      <w:r w:rsidRPr="0032259F">
        <w:rPr>
          <w:rFonts w:eastAsia="SimSun"/>
          <w:sz w:val="24"/>
          <w:szCs w:val="24"/>
          <w:lang w:val="en-GB" w:eastAsia="en-GB"/>
        </w:rPr>
        <w:t xml:space="preserve">1 000 </w:t>
      </w:r>
      <w:r w:rsidRPr="0032259F">
        <w:rPr>
          <w:rFonts w:eastAsia="TimesNewRomanPSMT"/>
          <w:sz w:val="24"/>
          <w:szCs w:val="24"/>
          <w:lang w:val="en-GB" w:eastAsia="en-GB"/>
        </w:rPr>
        <w:t xml:space="preserve">to &lt;1/100); rare (≥1/10 </w:t>
      </w:r>
      <w:r w:rsidRPr="0032259F">
        <w:rPr>
          <w:rFonts w:eastAsia="SimSun"/>
          <w:sz w:val="24"/>
          <w:szCs w:val="24"/>
          <w:lang w:val="en-GB" w:eastAsia="en-GB"/>
        </w:rPr>
        <w:t>000 to &lt;1/1 000); not known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(cannot be estimated from the available data).</w:t>
      </w:r>
    </w:p>
    <w:p w14:paraId="6216D551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21026250" w14:textId="77777777" w:rsidR="002C7328" w:rsidRPr="0032259F" w:rsidRDefault="002C7328" w:rsidP="002C7328">
      <w:pPr>
        <w:shd w:val="clear" w:color="auto" w:fill="FFFFFF"/>
        <w:tabs>
          <w:tab w:val="left" w:pos="1304"/>
        </w:tabs>
        <w:rPr>
          <w:rFonts w:eastAsia="SimSun"/>
          <w:b/>
          <w:bCs/>
          <w:sz w:val="24"/>
          <w:szCs w:val="24"/>
          <w:lang w:val="en-GB" w:eastAsia="en-GB"/>
        </w:rPr>
      </w:pPr>
      <w:r w:rsidRPr="0032259F">
        <w:rPr>
          <w:rFonts w:eastAsia="SimSun"/>
          <w:b/>
          <w:bCs/>
          <w:sz w:val="24"/>
          <w:szCs w:val="24"/>
          <w:lang w:val="en-GB" w:eastAsia="en-GB"/>
        </w:rPr>
        <w:t>ITP study population</w:t>
      </w:r>
    </w:p>
    <w:p w14:paraId="73826163" w14:textId="77777777" w:rsidR="002C7328" w:rsidRPr="0032259F" w:rsidRDefault="002C7328" w:rsidP="002C7328">
      <w:pPr>
        <w:shd w:val="clear" w:color="auto" w:fill="FFFFFF"/>
        <w:tabs>
          <w:tab w:val="left" w:pos="1304"/>
        </w:tabs>
        <w:rPr>
          <w:spacing w:val="-1"/>
          <w:sz w:val="24"/>
          <w:szCs w:val="24"/>
          <w:u w:val="single"/>
          <w:lang w:val="en-GB" w:eastAsia="en-US"/>
        </w:rPr>
      </w:pPr>
    </w:p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2844"/>
        <w:gridCol w:w="1381"/>
        <w:gridCol w:w="5403"/>
      </w:tblGrid>
      <w:tr w:rsidR="002C7328" w:rsidRPr="0032259F" w14:paraId="33DA90AB" w14:textId="77777777" w:rsidTr="00A15450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1A5C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b/>
                <w:bCs/>
                <w:sz w:val="24"/>
                <w:szCs w:val="24"/>
              </w:rPr>
              <w:t>System organ class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1DF3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EE16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b/>
                <w:bCs/>
                <w:sz w:val="24"/>
                <w:szCs w:val="24"/>
              </w:rPr>
              <w:t>Adverse reaction</w:t>
            </w:r>
          </w:p>
        </w:tc>
      </w:tr>
      <w:tr w:rsidR="002C7328" w:rsidRPr="00727038" w14:paraId="456FB423" w14:textId="77777777" w:rsidTr="00A15450"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BF52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Infections and infestations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008D" w14:textId="444FE49B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32259F">
              <w:rPr>
                <w:sz w:val="24"/>
                <w:szCs w:val="24"/>
              </w:rPr>
              <w:t>Very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E09C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Nasopharyngitis</w:t>
            </w:r>
            <w:r w:rsidRPr="0032259F">
              <w:rPr>
                <w:rFonts w:eastAsia="TimesNewRomanPSMT"/>
                <w:sz w:val="24"/>
                <w:szCs w:val="24"/>
                <w:vertAlign w:val="superscript"/>
              </w:rPr>
              <w:t>♦</w:t>
            </w:r>
            <w:r w:rsidRPr="0032259F">
              <w:rPr>
                <w:sz w:val="24"/>
                <w:szCs w:val="24"/>
              </w:rPr>
              <w:t>, upper respiratory tract infection</w:t>
            </w:r>
            <w:r w:rsidRPr="0032259F">
              <w:rPr>
                <w:rFonts w:eastAsia="TimesNewRomanPSMT"/>
                <w:sz w:val="24"/>
                <w:szCs w:val="24"/>
                <w:vertAlign w:val="superscript"/>
              </w:rPr>
              <w:t>♦</w:t>
            </w:r>
            <w:r w:rsidRPr="0032259F">
              <w:rPr>
                <w:rFonts w:eastAsia="TimesNewRomanPSMT"/>
                <w:sz w:val="24"/>
                <w:szCs w:val="24"/>
              </w:rPr>
              <w:t xml:space="preserve"> </w:t>
            </w:r>
          </w:p>
        </w:tc>
      </w:tr>
      <w:tr w:rsidR="002C7328" w:rsidRPr="00727038" w14:paraId="017186D9" w14:textId="77777777" w:rsidTr="00A15450"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791B" w14:textId="77777777" w:rsidR="002C7328" w:rsidRPr="0032259F" w:rsidRDefault="002C7328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EB34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6DA8" w14:textId="1B105BA8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32259F">
              <w:rPr>
                <w:sz w:val="24"/>
                <w:szCs w:val="24"/>
              </w:rPr>
              <w:t>Pharyngitis, influenza, oral herpes, pneumonia,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sinusitis, tonsillitis, respiratory tract infection,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gingivitis</w:t>
            </w:r>
          </w:p>
        </w:tc>
      </w:tr>
      <w:tr w:rsidR="002C7328" w:rsidRPr="0032259F" w14:paraId="34AF1B78" w14:textId="77777777" w:rsidTr="00A15450"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EAE0" w14:textId="77777777" w:rsidR="002C7328" w:rsidRPr="0032259F" w:rsidRDefault="002C7328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8E7C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Uncommon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FAD9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Skin infection</w:t>
            </w:r>
          </w:p>
        </w:tc>
      </w:tr>
      <w:tr w:rsidR="002C7328" w:rsidRPr="0032259F" w14:paraId="57A229B1" w14:textId="77777777" w:rsidTr="00A15450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8CC2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Neoplasms benign, malignant and unspecified (</w:t>
            </w:r>
            <w:proofErr w:type="spellStart"/>
            <w:r w:rsidRPr="0032259F">
              <w:rPr>
                <w:sz w:val="24"/>
                <w:szCs w:val="24"/>
              </w:rPr>
              <w:t>incl</w:t>
            </w:r>
            <w:proofErr w:type="spellEnd"/>
            <w:r w:rsidRPr="0032259F">
              <w:rPr>
                <w:sz w:val="24"/>
                <w:szCs w:val="24"/>
              </w:rPr>
              <w:t xml:space="preserve"> cysts and polyps)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B0DD" w14:textId="77777777" w:rsidR="002C7328" w:rsidRPr="0032259F" w:rsidRDefault="002C7328">
            <w:pPr>
              <w:tabs>
                <w:tab w:val="left" w:pos="1304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32259F">
              <w:rPr>
                <w:sz w:val="24"/>
                <w:szCs w:val="24"/>
              </w:rPr>
              <w:t>Uncommon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E594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Rectosigmoid cancer</w:t>
            </w:r>
          </w:p>
        </w:tc>
      </w:tr>
      <w:tr w:rsidR="002C7328" w:rsidRPr="00727038" w14:paraId="306AA66B" w14:textId="77777777" w:rsidTr="00A15450"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5DB8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Blood and lymphatic system disorders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1D54" w14:textId="77777777" w:rsidR="002C7328" w:rsidRPr="0032259F" w:rsidRDefault="002C7328">
            <w:pPr>
              <w:tabs>
                <w:tab w:val="left" w:pos="1304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8ED1" w14:textId="4F45DE9B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 xml:space="preserve">Anaemia, eosinophilia, </w:t>
            </w:r>
            <w:proofErr w:type="spellStart"/>
            <w:r w:rsidRPr="0032259F">
              <w:rPr>
                <w:sz w:val="24"/>
                <w:szCs w:val="24"/>
              </w:rPr>
              <w:t>leukocytosis</w:t>
            </w:r>
            <w:proofErr w:type="spellEnd"/>
            <w:r w:rsidRPr="0032259F">
              <w:rPr>
                <w:sz w:val="24"/>
                <w:szCs w:val="24"/>
              </w:rPr>
              <w:t>,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thrombocytopenia, haemoglobin decreased, white blood cell count decreased</w:t>
            </w:r>
          </w:p>
        </w:tc>
      </w:tr>
      <w:tr w:rsidR="002C7328" w:rsidRPr="00727038" w14:paraId="229F4A08" w14:textId="77777777" w:rsidTr="00A15450"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1D15" w14:textId="77777777" w:rsidR="002C7328" w:rsidRPr="0032259F" w:rsidRDefault="002C7328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69AC" w14:textId="77777777" w:rsidR="002C7328" w:rsidRPr="0032259F" w:rsidRDefault="002C7328">
            <w:pPr>
              <w:tabs>
                <w:tab w:val="left" w:pos="1304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32259F">
              <w:rPr>
                <w:sz w:val="24"/>
                <w:szCs w:val="24"/>
              </w:rPr>
              <w:t>Uncommon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1CA6B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 xml:space="preserve">Anisocytosis, haemolytic anaemia, </w:t>
            </w:r>
            <w:proofErr w:type="spellStart"/>
            <w:r w:rsidRPr="0032259F">
              <w:rPr>
                <w:sz w:val="24"/>
                <w:szCs w:val="24"/>
              </w:rPr>
              <w:t>myelocytosis</w:t>
            </w:r>
            <w:proofErr w:type="spellEnd"/>
            <w:r w:rsidRPr="0032259F">
              <w:rPr>
                <w:sz w:val="24"/>
                <w:szCs w:val="24"/>
              </w:rPr>
              <w:t>, band neutrophil count increased, myelocyte present, platelet count increased, haemoglobin increased</w:t>
            </w:r>
          </w:p>
        </w:tc>
      </w:tr>
      <w:tr w:rsidR="002C7328" w:rsidRPr="0032259F" w14:paraId="515C5C7C" w14:textId="77777777" w:rsidTr="00A15450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E29B" w14:textId="77777777" w:rsidR="002C7328" w:rsidRPr="0032259F" w:rsidRDefault="002C7328">
            <w:pPr>
              <w:tabs>
                <w:tab w:val="left" w:pos="1304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32259F">
              <w:rPr>
                <w:sz w:val="24"/>
                <w:szCs w:val="24"/>
              </w:rPr>
              <w:t>Immune system disorders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3C03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Uncommon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018E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Hypersensitivity</w:t>
            </w:r>
          </w:p>
        </w:tc>
      </w:tr>
      <w:tr w:rsidR="002C7328" w:rsidRPr="00727038" w14:paraId="3BC83495" w14:textId="77777777" w:rsidTr="00A15450"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0545" w14:textId="46689B2B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32259F">
              <w:rPr>
                <w:sz w:val="24"/>
                <w:szCs w:val="24"/>
              </w:rPr>
              <w:t>Metabolism and nutrition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disorders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0B1F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830C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Hypokalaemia, decreased appetite, blood uric acid increased</w:t>
            </w:r>
          </w:p>
        </w:tc>
      </w:tr>
      <w:tr w:rsidR="002C7328" w:rsidRPr="0032259F" w14:paraId="0D0D0AE7" w14:textId="77777777" w:rsidTr="00A15450"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0E13" w14:textId="77777777" w:rsidR="002C7328" w:rsidRPr="0032259F" w:rsidRDefault="002C7328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AF7E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Uncommon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3E47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Anorexia, gout, hypocalcaemia</w:t>
            </w:r>
          </w:p>
        </w:tc>
      </w:tr>
      <w:tr w:rsidR="002C7328" w:rsidRPr="0032259F" w14:paraId="7C9C0EBF" w14:textId="77777777" w:rsidTr="00A15450"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02FB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Psychiatric disorders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2076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416F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Sleep disorder, depression</w:t>
            </w:r>
          </w:p>
        </w:tc>
      </w:tr>
      <w:tr w:rsidR="002C7328" w:rsidRPr="0032259F" w14:paraId="29163997" w14:textId="77777777" w:rsidTr="00A15450">
        <w:trPr>
          <w:trHeight w:val="336"/>
        </w:trPr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A3E9" w14:textId="77777777" w:rsidR="002C7328" w:rsidRPr="0032259F" w:rsidRDefault="002C7328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D220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Uncommon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DD1C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Apathy, mood altered, tearfulness</w:t>
            </w:r>
          </w:p>
        </w:tc>
      </w:tr>
      <w:tr w:rsidR="002C7328" w:rsidRPr="0032259F" w14:paraId="17B00219" w14:textId="77777777" w:rsidTr="00A15450">
        <w:trPr>
          <w:trHeight w:val="307"/>
        </w:trPr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1518" w14:textId="77777777" w:rsidR="002C7328" w:rsidRPr="0032259F" w:rsidRDefault="002C7328">
            <w:pPr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Nervous system disorders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1F3F" w14:textId="77777777" w:rsidR="002C7328" w:rsidRPr="0032259F" w:rsidRDefault="002C7328">
            <w:pPr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9273" w14:textId="77777777" w:rsidR="002C7328" w:rsidRPr="0032259F" w:rsidRDefault="002C73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 xml:space="preserve">Paraesthesia, </w:t>
            </w:r>
            <w:proofErr w:type="spellStart"/>
            <w:r w:rsidRPr="0032259F">
              <w:rPr>
                <w:sz w:val="24"/>
                <w:szCs w:val="24"/>
              </w:rPr>
              <w:t>hypoaesthesia</w:t>
            </w:r>
            <w:proofErr w:type="spellEnd"/>
            <w:r w:rsidRPr="0032259F">
              <w:rPr>
                <w:sz w:val="24"/>
                <w:szCs w:val="24"/>
              </w:rPr>
              <w:t>, somnolence, migraine</w:t>
            </w:r>
          </w:p>
        </w:tc>
      </w:tr>
      <w:tr w:rsidR="002C7328" w:rsidRPr="00727038" w14:paraId="429D0412" w14:textId="77777777" w:rsidTr="00A15450">
        <w:trPr>
          <w:trHeight w:val="298"/>
        </w:trPr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3506" w14:textId="77777777" w:rsidR="002C7328" w:rsidRPr="0032259F" w:rsidRDefault="002C7328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0D01" w14:textId="77777777" w:rsidR="002C7328" w:rsidRPr="0032259F" w:rsidRDefault="002C7328">
            <w:pPr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Uncommon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9599" w14:textId="62F2DDCC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 xml:space="preserve">Tremor, balance disorder, </w:t>
            </w:r>
            <w:proofErr w:type="spellStart"/>
            <w:r w:rsidRPr="0032259F">
              <w:rPr>
                <w:sz w:val="24"/>
                <w:szCs w:val="24"/>
              </w:rPr>
              <w:t>dysaesthesia</w:t>
            </w:r>
            <w:proofErr w:type="spellEnd"/>
            <w:r w:rsidRPr="0032259F">
              <w:rPr>
                <w:sz w:val="24"/>
                <w:szCs w:val="24"/>
              </w:rPr>
              <w:t>, hemiparesis,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migraine with aura, neuropathy peripheral, peripheral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sensory neuropathy, speech disorder, toxic neuropathy,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vascular headache</w:t>
            </w:r>
          </w:p>
        </w:tc>
      </w:tr>
      <w:tr w:rsidR="002C7328" w:rsidRPr="00727038" w14:paraId="041FC157" w14:textId="77777777" w:rsidTr="00A15450"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F930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Eye disorders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6753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F21B" w14:textId="4D107BAE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Dry eye, vision blurred, eye pain, visual acuity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reduced</w:t>
            </w:r>
          </w:p>
        </w:tc>
      </w:tr>
      <w:tr w:rsidR="002C7328" w:rsidRPr="00727038" w14:paraId="2EAE3BD9" w14:textId="77777777" w:rsidTr="00A15450"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DDAD" w14:textId="77777777" w:rsidR="002C7328" w:rsidRPr="0032259F" w:rsidRDefault="002C7328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2317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Uncommon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0E6D" w14:textId="1D758DE2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Lenticular opacities, astigmatism, cataract cortical, lacrimation increased, retinal haemorrhage, retinal pigment epitheliopathy, visual impairment, visual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lastRenderedPageBreak/>
              <w:t>acuity tests abnormal, blepharitis, keratoconjunctivitis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sicca</w:t>
            </w:r>
          </w:p>
        </w:tc>
      </w:tr>
      <w:tr w:rsidR="002C7328" w:rsidRPr="0032259F" w14:paraId="70223FC6" w14:textId="77777777" w:rsidTr="00A15450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BBE9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lastRenderedPageBreak/>
              <w:t>Ear and labyrinth disorders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CFD0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FCE9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Ear pain, vertigo</w:t>
            </w:r>
          </w:p>
        </w:tc>
      </w:tr>
      <w:tr w:rsidR="002C7328" w:rsidRPr="00727038" w14:paraId="63D66103" w14:textId="77777777" w:rsidTr="00A15450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7F05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Cardiac disorders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D8D5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Uncommon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1B8B" w14:textId="068A4CCE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Tachycardia, acute myocardial infarction,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cardiovascular disorder, cyanosis, sinus tachycardia, electrocardiogram QT prolonged</w:t>
            </w:r>
          </w:p>
        </w:tc>
      </w:tr>
      <w:tr w:rsidR="002C7328" w:rsidRPr="00727038" w14:paraId="0B203A95" w14:textId="77777777" w:rsidTr="00A15450"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8ECD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Vascular disorders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18B9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71A2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Deep vein thrombosis, haematoma, hot flush</w:t>
            </w:r>
          </w:p>
        </w:tc>
      </w:tr>
      <w:tr w:rsidR="002C7328" w:rsidRPr="0032259F" w14:paraId="42AF669D" w14:textId="77777777" w:rsidTr="00A15450"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1ABA" w14:textId="77777777" w:rsidR="002C7328" w:rsidRPr="0032259F" w:rsidRDefault="002C7328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3F0A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Uncommon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94B02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Embolism, thrombophlebitis superficial, flushing</w:t>
            </w:r>
          </w:p>
        </w:tc>
      </w:tr>
      <w:tr w:rsidR="002C7328" w:rsidRPr="0032259F" w14:paraId="3CF14592" w14:textId="77777777" w:rsidTr="00A15450"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2331" w14:textId="63D45304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Respiratory, thoracic and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mediastinal disorders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583F" w14:textId="7F98A5F1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Very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20EF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Cough</w:t>
            </w:r>
            <w:r w:rsidRPr="0032259F">
              <w:rPr>
                <w:rFonts w:eastAsia="TimesNewRomanPSMT"/>
                <w:sz w:val="24"/>
                <w:szCs w:val="24"/>
              </w:rPr>
              <w:t xml:space="preserve"> </w:t>
            </w:r>
            <w:r w:rsidRPr="0032259F">
              <w:rPr>
                <w:rFonts w:eastAsia="TimesNewRomanPSMT"/>
                <w:sz w:val="24"/>
                <w:szCs w:val="24"/>
                <w:vertAlign w:val="superscript"/>
              </w:rPr>
              <w:t>♦</w:t>
            </w:r>
          </w:p>
        </w:tc>
      </w:tr>
      <w:tr w:rsidR="002C7328" w:rsidRPr="0032259F" w14:paraId="4DE37465" w14:textId="77777777" w:rsidTr="00A15450"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B63A" w14:textId="77777777" w:rsidR="002C7328" w:rsidRPr="0032259F" w:rsidRDefault="002C7328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8DCA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3322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Oropharyngeal pain</w:t>
            </w:r>
            <w:r w:rsidRPr="0032259F">
              <w:rPr>
                <w:rFonts w:eastAsia="TimesNewRomanPSMT"/>
                <w:sz w:val="24"/>
                <w:szCs w:val="24"/>
                <w:vertAlign w:val="superscript"/>
              </w:rPr>
              <w:t>♦</w:t>
            </w:r>
            <w:r w:rsidRPr="0032259F">
              <w:rPr>
                <w:sz w:val="24"/>
                <w:szCs w:val="24"/>
              </w:rPr>
              <w:t>, rhinorrhoea</w:t>
            </w:r>
            <w:r w:rsidRPr="0032259F">
              <w:rPr>
                <w:rFonts w:eastAsia="TimesNewRomanPSMT"/>
                <w:sz w:val="24"/>
                <w:szCs w:val="24"/>
                <w:vertAlign w:val="superscript"/>
              </w:rPr>
              <w:t>♦</w:t>
            </w:r>
          </w:p>
        </w:tc>
      </w:tr>
      <w:tr w:rsidR="002C7328" w:rsidRPr="00727038" w14:paraId="3CB0696E" w14:textId="77777777" w:rsidTr="00A15450"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26C0" w14:textId="77777777" w:rsidR="002C7328" w:rsidRPr="0032259F" w:rsidRDefault="002C7328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6858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Uncommon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D494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Pulmonary embolism, pulmonary infarction, nasal</w:t>
            </w:r>
          </w:p>
          <w:p w14:paraId="6B371F15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discomfort, oropharyngeal blistering, sinus disorder, sleep apnoea syndrome</w:t>
            </w:r>
          </w:p>
        </w:tc>
      </w:tr>
      <w:tr w:rsidR="002C7328" w:rsidRPr="0032259F" w14:paraId="39425CD1" w14:textId="77777777" w:rsidTr="00A15450"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8417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Gastrointestinal disorders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9B46" w14:textId="40F15FC2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Very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A2BF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Nausea, diarrhoea</w:t>
            </w:r>
          </w:p>
        </w:tc>
      </w:tr>
      <w:tr w:rsidR="002C7328" w:rsidRPr="00727038" w14:paraId="136F0DBA" w14:textId="77777777" w:rsidTr="00A15450"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9930" w14:textId="77777777" w:rsidR="002C7328" w:rsidRPr="0032259F" w:rsidRDefault="002C7328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A96C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174C" w14:textId="77777777" w:rsidR="009C16F9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Mouth ulceration, toothache</w:t>
            </w:r>
            <w:r w:rsidRPr="0032259F">
              <w:rPr>
                <w:rFonts w:eastAsia="TimesNewRomanPSMT"/>
                <w:sz w:val="24"/>
                <w:szCs w:val="24"/>
                <w:vertAlign w:val="superscript"/>
              </w:rPr>
              <w:t>♦</w:t>
            </w:r>
            <w:r w:rsidRPr="0032259F">
              <w:rPr>
                <w:sz w:val="24"/>
                <w:szCs w:val="24"/>
              </w:rPr>
              <w:t>, vomiting, abdominal pain*, mouth haemorrhage, flatulence</w:t>
            </w:r>
          </w:p>
          <w:p w14:paraId="53A24648" w14:textId="3E2CCED8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* Very common in paediatric ITP</w:t>
            </w:r>
          </w:p>
        </w:tc>
      </w:tr>
      <w:tr w:rsidR="002C7328" w:rsidRPr="00727038" w14:paraId="5BCFA4EC" w14:textId="77777777" w:rsidTr="00A15450"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E5CAF" w14:textId="77777777" w:rsidR="002C7328" w:rsidRPr="0032259F" w:rsidRDefault="002C7328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5D51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Uncommon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F207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 xml:space="preserve">Dry mouth, </w:t>
            </w:r>
            <w:proofErr w:type="spellStart"/>
            <w:r w:rsidRPr="0032259F">
              <w:rPr>
                <w:sz w:val="24"/>
                <w:szCs w:val="24"/>
              </w:rPr>
              <w:t>glossodynia</w:t>
            </w:r>
            <w:proofErr w:type="spellEnd"/>
            <w:r w:rsidRPr="0032259F">
              <w:rPr>
                <w:sz w:val="24"/>
                <w:szCs w:val="24"/>
              </w:rPr>
              <w:t>, abdominal tenderness, faeces discoloured, food poisoning, frequent bowel movements, haematemesis, oral discomfort</w:t>
            </w:r>
          </w:p>
        </w:tc>
      </w:tr>
      <w:tr w:rsidR="002C7328" w:rsidRPr="0032259F" w14:paraId="76B441FE" w14:textId="77777777" w:rsidTr="00A15450"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DC48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Hepatobiliary disorders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27E9" w14:textId="1C727DCB" w:rsidR="002C7328" w:rsidRPr="0032259F" w:rsidRDefault="002C7328" w:rsidP="00343365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Very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EAB1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Alanine aminotransferase increased</w:t>
            </w:r>
            <w:r w:rsidRPr="0032259F">
              <w:rPr>
                <w:rFonts w:eastAsia="TimesNewRomanPSMT"/>
                <w:sz w:val="24"/>
                <w:szCs w:val="24"/>
                <w:vertAlign w:val="superscript"/>
              </w:rPr>
              <w:t>†</w:t>
            </w:r>
          </w:p>
        </w:tc>
      </w:tr>
      <w:tr w:rsidR="002C7328" w:rsidRPr="00727038" w14:paraId="3119DB90" w14:textId="77777777" w:rsidTr="00A15450"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A83A" w14:textId="77777777" w:rsidR="002C7328" w:rsidRPr="0032259F" w:rsidRDefault="002C7328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BC1E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4A8D" w14:textId="004FFB55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Aspartate aminotransferase increased</w:t>
            </w:r>
            <w:r w:rsidRPr="0032259F">
              <w:rPr>
                <w:rFonts w:eastAsia="TimesNewRomanPSMT"/>
                <w:sz w:val="24"/>
                <w:szCs w:val="24"/>
                <w:vertAlign w:val="superscript"/>
              </w:rPr>
              <w:t>†</w:t>
            </w:r>
            <w:r w:rsidRPr="0032259F">
              <w:rPr>
                <w:sz w:val="24"/>
                <w:szCs w:val="24"/>
              </w:rPr>
              <w:t>,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proofErr w:type="spellStart"/>
            <w:r w:rsidRPr="0032259F">
              <w:rPr>
                <w:sz w:val="24"/>
                <w:szCs w:val="24"/>
              </w:rPr>
              <w:t>hyperbilirubinaemia</w:t>
            </w:r>
            <w:proofErr w:type="spellEnd"/>
            <w:r w:rsidRPr="0032259F">
              <w:rPr>
                <w:sz w:val="24"/>
                <w:szCs w:val="24"/>
              </w:rPr>
              <w:t>, hepatic function abnormal</w:t>
            </w:r>
          </w:p>
        </w:tc>
      </w:tr>
      <w:tr w:rsidR="002C7328" w:rsidRPr="00727038" w14:paraId="43D26561" w14:textId="77777777" w:rsidTr="00A15450">
        <w:trPr>
          <w:trHeight w:val="570"/>
        </w:trPr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90312" w14:textId="77777777" w:rsidR="002C7328" w:rsidRPr="0032259F" w:rsidRDefault="002C7328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A8A0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Uncommon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C8DC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Cholestasis, hepatic lesion, hepatitis, drug-induced liver injury</w:t>
            </w:r>
          </w:p>
        </w:tc>
      </w:tr>
      <w:tr w:rsidR="002C7328" w:rsidRPr="0032259F" w14:paraId="7FCE15BD" w14:textId="77777777" w:rsidTr="00A15450">
        <w:trPr>
          <w:trHeight w:val="450"/>
        </w:trPr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22AF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Skin and subcutaneous tissue disorders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79BB7" w14:textId="77777777" w:rsidR="002C7328" w:rsidRPr="0032259F" w:rsidRDefault="002C7328">
            <w:pPr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BD56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Rash, alopecia, hyperhidrosis, pruritus generalised,</w:t>
            </w:r>
          </w:p>
          <w:p w14:paraId="0525377B" w14:textId="77777777" w:rsidR="002C7328" w:rsidRPr="0032259F" w:rsidRDefault="002C73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petechiae</w:t>
            </w:r>
          </w:p>
        </w:tc>
      </w:tr>
      <w:tr w:rsidR="002C7328" w:rsidRPr="0032259F" w14:paraId="4B35806D" w14:textId="77777777" w:rsidTr="00A15450">
        <w:trPr>
          <w:trHeight w:val="450"/>
        </w:trPr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4EC5F" w14:textId="77777777" w:rsidR="002C7328" w:rsidRPr="0032259F" w:rsidRDefault="002C7328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C3F7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Uncommon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B134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Urticaria, dermatosis, cold sweat, erythema,</w:t>
            </w:r>
          </w:p>
          <w:p w14:paraId="5508BC88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melanosis, pigmentation disorder, skin discolouration, skin exfoliation</w:t>
            </w:r>
          </w:p>
        </w:tc>
      </w:tr>
      <w:tr w:rsidR="002C7328" w:rsidRPr="0032259F" w14:paraId="394B1F58" w14:textId="77777777" w:rsidTr="00A15450">
        <w:trPr>
          <w:trHeight w:val="450"/>
        </w:trPr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9C4A" w14:textId="6BE6B920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Musculoskeletal and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connective tissue disorders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838E" w14:textId="26A4C341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Very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A5D7" w14:textId="77777777" w:rsidR="002C7328" w:rsidRPr="0032259F" w:rsidRDefault="002C73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Back pain</w:t>
            </w:r>
          </w:p>
        </w:tc>
      </w:tr>
      <w:tr w:rsidR="002C7328" w:rsidRPr="00727038" w14:paraId="2D1A2353" w14:textId="77777777" w:rsidTr="00A15450">
        <w:trPr>
          <w:trHeight w:val="450"/>
        </w:trPr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3EB9" w14:textId="77777777" w:rsidR="002C7328" w:rsidRPr="0032259F" w:rsidRDefault="002C7328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0B2F" w14:textId="77777777" w:rsidR="002C7328" w:rsidRPr="0032259F" w:rsidRDefault="002C7328">
            <w:pPr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8D85" w14:textId="400683E1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Myalgia, muscle spasm, musculoskeletal pain, bone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pain</w:t>
            </w:r>
          </w:p>
        </w:tc>
      </w:tr>
      <w:tr w:rsidR="002C7328" w:rsidRPr="0032259F" w14:paraId="33D248D2" w14:textId="77777777" w:rsidTr="00A15450">
        <w:trPr>
          <w:trHeight w:val="226"/>
        </w:trPr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9F24E" w14:textId="77777777" w:rsidR="002C7328" w:rsidRPr="0032259F" w:rsidRDefault="002C7328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7B4C" w14:textId="77777777" w:rsidR="002C7328" w:rsidRPr="0032259F" w:rsidRDefault="002C7328">
            <w:pPr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Uncommon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C7BC" w14:textId="77777777" w:rsidR="002C7328" w:rsidRPr="0032259F" w:rsidRDefault="002C73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Muscular weakness</w:t>
            </w:r>
          </w:p>
        </w:tc>
      </w:tr>
      <w:tr w:rsidR="002C7328" w:rsidRPr="00727038" w14:paraId="6F19C3CA" w14:textId="77777777" w:rsidTr="00A15450">
        <w:trPr>
          <w:trHeight w:val="450"/>
        </w:trPr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6BBE" w14:textId="77777777" w:rsidR="002C7328" w:rsidRPr="0032259F" w:rsidRDefault="002C7328">
            <w:pPr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Renal and urinary disorders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2E7E" w14:textId="77777777" w:rsidR="002C7328" w:rsidRPr="0032259F" w:rsidRDefault="002C7328">
            <w:pPr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3F51" w14:textId="36AC58D3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Proteinuria, blood creatinine increased, thrombotic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microangiopathy with renal failure</w:t>
            </w:r>
            <w:r w:rsidRPr="0032259F">
              <w:rPr>
                <w:rFonts w:eastAsia="TimesNewRomanPSMT"/>
                <w:sz w:val="24"/>
                <w:szCs w:val="24"/>
                <w:vertAlign w:val="superscript"/>
              </w:rPr>
              <w:t>‡</w:t>
            </w:r>
          </w:p>
        </w:tc>
      </w:tr>
      <w:tr w:rsidR="002C7328" w:rsidRPr="00727038" w14:paraId="7A07D3EA" w14:textId="77777777" w:rsidTr="00A15450">
        <w:trPr>
          <w:trHeight w:val="450"/>
        </w:trPr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1385" w14:textId="77777777" w:rsidR="002C7328" w:rsidRPr="0032259F" w:rsidRDefault="002C7328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A7F7" w14:textId="77777777" w:rsidR="002C7328" w:rsidRPr="0032259F" w:rsidRDefault="002C7328">
            <w:pPr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Uncommon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E5C7" w14:textId="65830D67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 xml:space="preserve">Renal failure, </w:t>
            </w:r>
            <w:proofErr w:type="spellStart"/>
            <w:r w:rsidRPr="0032259F">
              <w:rPr>
                <w:sz w:val="24"/>
                <w:szCs w:val="24"/>
              </w:rPr>
              <w:t>leukocyturia</w:t>
            </w:r>
            <w:proofErr w:type="spellEnd"/>
            <w:r w:rsidRPr="0032259F">
              <w:rPr>
                <w:sz w:val="24"/>
                <w:szCs w:val="24"/>
              </w:rPr>
              <w:t>, lupus nephritis, nocturia, blood urea increased, urine protein/creatinine ratio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increased</w:t>
            </w:r>
          </w:p>
        </w:tc>
      </w:tr>
      <w:tr w:rsidR="002C7328" w:rsidRPr="0032259F" w14:paraId="464ED031" w14:textId="77777777" w:rsidTr="00A15450">
        <w:trPr>
          <w:trHeight w:val="450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6618" w14:textId="502FBE73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Reproductive system and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breast disorders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57432" w14:textId="77777777" w:rsidR="002C7328" w:rsidRPr="0032259F" w:rsidRDefault="002C7328">
            <w:pPr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74F7" w14:textId="77777777" w:rsidR="002C7328" w:rsidRPr="0032259F" w:rsidRDefault="002C73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Menorrhagia</w:t>
            </w:r>
          </w:p>
        </w:tc>
      </w:tr>
      <w:tr w:rsidR="002C7328" w:rsidRPr="00727038" w14:paraId="0D4029CB" w14:textId="77777777" w:rsidTr="00A15450">
        <w:trPr>
          <w:trHeight w:val="450"/>
        </w:trPr>
        <w:tc>
          <w:tcPr>
            <w:tcW w:w="1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FC90" w14:textId="613D61BA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General disorders and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administration site conditions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DDD5" w14:textId="77777777" w:rsidR="002C7328" w:rsidRPr="0032259F" w:rsidRDefault="002C7328">
            <w:pPr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BEC8" w14:textId="77777777" w:rsidR="009C16F9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Pyrexia*, chest pain, asthenia</w:t>
            </w:r>
            <w:r w:rsidR="00343365" w:rsidRPr="0032259F">
              <w:rPr>
                <w:sz w:val="24"/>
                <w:szCs w:val="24"/>
              </w:rPr>
              <w:t xml:space="preserve"> </w:t>
            </w:r>
          </w:p>
          <w:p w14:paraId="3DA565D3" w14:textId="4972AEDA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*Very common in paediatric ITP</w:t>
            </w:r>
          </w:p>
        </w:tc>
      </w:tr>
      <w:tr w:rsidR="002C7328" w:rsidRPr="00727038" w14:paraId="1BAE1DEA" w14:textId="77777777" w:rsidTr="00A15450">
        <w:trPr>
          <w:trHeight w:val="450"/>
        </w:trPr>
        <w:tc>
          <w:tcPr>
            <w:tcW w:w="1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17ED" w14:textId="77777777" w:rsidR="002C7328" w:rsidRPr="0032259F" w:rsidRDefault="002C7328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CE5E" w14:textId="77777777" w:rsidR="002C7328" w:rsidRPr="0032259F" w:rsidRDefault="002C7328">
            <w:pPr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Uncommon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BBF2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Feeling hot, vessel puncture site haemorrhage, feeling jittery, inflammation of wound, malaise, sensation of foreign body</w:t>
            </w:r>
          </w:p>
        </w:tc>
      </w:tr>
      <w:tr w:rsidR="002C7328" w:rsidRPr="0032259F" w14:paraId="3F0F1DC5" w14:textId="77777777" w:rsidTr="00A15450">
        <w:trPr>
          <w:trHeight w:val="246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5C2C" w14:textId="77777777" w:rsidR="002C7328" w:rsidRPr="0032259F" w:rsidRDefault="002C7328">
            <w:pPr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lastRenderedPageBreak/>
              <w:t>Investigations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C65E" w14:textId="77777777" w:rsidR="002C7328" w:rsidRPr="0032259F" w:rsidRDefault="002C7328">
            <w:pPr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01CE" w14:textId="77777777" w:rsidR="002C7328" w:rsidRPr="0032259F" w:rsidRDefault="002C73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Blood alkaline phosphatase increased</w:t>
            </w:r>
          </w:p>
        </w:tc>
      </w:tr>
      <w:tr w:rsidR="002C7328" w:rsidRPr="00727038" w14:paraId="05F84C10" w14:textId="77777777" w:rsidTr="00A15450">
        <w:trPr>
          <w:trHeight w:val="450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D18D" w14:textId="77777777" w:rsidR="002C7328" w:rsidRPr="0032259F" w:rsidRDefault="002C7328">
            <w:pPr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F6E7" w14:textId="77777777" w:rsidR="002C7328" w:rsidRPr="0032259F" w:rsidRDefault="002C7328">
            <w:pPr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Uncommon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77CA" w14:textId="37CBD480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Blood albumin increased, protein total increased,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blood albumin decreased, pH urine increased</w:t>
            </w:r>
          </w:p>
        </w:tc>
      </w:tr>
      <w:tr w:rsidR="002C7328" w:rsidRPr="0032259F" w14:paraId="1EC7F276" w14:textId="77777777" w:rsidTr="00A15450">
        <w:trPr>
          <w:trHeight w:val="450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C6D3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Injury, poisoning and</w:t>
            </w:r>
          </w:p>
          <w:p w14:paraId="63FA4B4A" w14:textId="77777777" w:rsidR="002C7328" w:rsidRPr="0032259F" w:rsidRDefault="002C7328">
            <w:pPr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procedural complications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5065" w14:textId="77777777" w:rsidR="002C7328" w:rsidRPr="0032259F" w:rsidRDefault="002C7328">
            <w:pPr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Uncommon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E57E" w14:textId="77777777" w:rsidR="002C7328" w:rsidRPr="0032259F" w:rsidRDefault="002C732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Sunburn</w:t>
            </w:r>
          </w:p>
        </w:tc>
      </w:tr>
    </w:tbl>
    <w:p w14:paraId="77AD4A9E" w14:textId="25EDC549" w:rsidR="002C7328" w:rsidRPr="0032259F" w:rsidRDefault="002C7328" w:rsidP="00343365">
      <w:pPr>
        <w:tabs>
          <w:tab w:val="left" w:pos="426"/>
        </w:tabs>
        <w:autoSpaceDE w:val="0"/>
        <w:autoSpaceDN w:val="0"/>
        <w:adjustRightInd w:val="0"/>
        <w:rPr>
          <w:rFonts w:eastAsia="TimesNewRomanPSMT"/>
          <w:sz w:val="24"/>
          <w:szCs w:val="24"/>
          <w:lang w:val="en-GB" w:eastAsia="en-GB"/>
        </w:rPr>
      </w:pPr>
      <w:r w:rsidRPr="0032259F">
        <w:rPr>
          <w:rFonts w:eastAsia="TimesNewRomanPSMT"/>
          <w:sz w:val="24"/>
          <w:szCs w:val="24"/>
          <w:vertAlign w:val="superscript"/>
          <w:lang w:val="en-GB" w:eastAsia="en-GB"/>
        </w:rPr>
        <w:t>♦</w:t>
      </w:r>
      <w:r w:rsidR="00343365" w:rsidRPr="0032259F">
        <w:rPr>
          <w:rFonts w:eastAsia="TimesNewRomanPSMT"/>
          <w:sz w:val="24"/>
          <w:szCs w:val="24"/>
          <w:vertAlign w:val="superscript"/>
          <w:lang w:val="en-GB" w:eastAsia="en-GB"/>
        </w:rPr>
        <w:tab/>
      </w:r>
      <w:r w:rsidRPr="0032259F">
        <w:rPr>
          <w:rFonts w:eastAsia="TimesNewRomanPSMT"/>
          <w:sz w:val="24"/>
          <w:szCs w:val="24"/>
          <w:lang w:val="en-GB" w:eastAsia="en-GB"/>
        </w:rPr>
        <w:t>Additional adverse reactions observed in paediatric studies (aged 1 to 17 years).</w:t>
      </w:r>
    </w:p>
    <w:p w14:paraId="0396F290" w14:textId="0954B0D8" w:rsidR="002C7328" w:rsidRPr="0032259F" w:rsidRDefault="002C7328" w:rsidP="00343365">
      <w:pPr>
        <w:tabs>
          <w:tab w:val="left" w:pos="426"/>
        </w:tabs>
        <w:autoSpaceDE w:val="0"/>
        <w:autoSpaceDN w:val="0"/>
        <w:adjustRightInd w:val="0"/>
        <w:ind w:left="426" w:hanging="426"/>
        <w:rPr>
          <w:rFonts w:eastAsia="TimesNewRomanPSMT"/>
          <w:sz w:val="24"/>
          <w:szCs w:val="24"/>
          <w:lang w:val="en-GB" w:eastAsia="en-GB"/>
        </w:rPr>
      </w:pPr>
      <w:r w:rsidRPr="0032259F">
        <w:rPr>
          <w:rFonts w:eastAsia="TimesNewRomanPSMT"/>
          <w:sz w:val="24"/>
          <w:szCs w:val="24"/>
          <w:vertAlign w:val="superscript"/>
          <w:lang w:val="en-GB" w:eastAsia="en-GB"/>
        </w:rPr>
        <w:t>†</w:t>
      </w:r>
      <w:r w:rsidR="00343365" w:rsidRPr="0032259F">
        <w:rPr>
          <w:rFonts w:eastAsia="TimesNewRomanPSMT"/>
          <w:sz w:val="24"/>
          <w:szCs w:val="24"/>
          <w:vertAlign w:val="superscript"/>
          <w:lang w:val="en-GB" w:eastAsia="en-GB"/>
        </w:rPr>
        <w:tab/>
      </w:r>
      <w:r w:rsidRPr="0032259F">
        <w:rPr>
          <w:rFonts w:eastAsia="TimesNewRomanPSMT"/>
          <w:sz w:val="24"/>
          <w:szCs w:val="24"/>
          <w:lang w:val="en-GB" w:eastAsia="en-GB"/>
        </w:rPr>
        <w:t>Increase of alanine aminotransferase and aspartate aminotransferase may occur simultaneously,</w:t>
      </w:r>
      <w:r w:rsidR="00343365" w:rsidRPr="0032259F">
        <w:rPr>
          <w:rFonts w:eastAsia="TimesNewRomanPSMT"/>
          <w:sz w:val="24"/>
          <w:szCs w:val="24"/>
          <w:lang w:val="en-GB" w:eastAsia="en-GB"/>
        </w:rPr>
        <w:t xml:space="preserve"> </w:t>
      </w:r>
      <w:r w:rsidRPr="0032259F">
        <w:rPr>
          <w:rFonts w:eastAsia="TimesNewRomanPSMT"/>
          <w:sz w:val="24"/>
          <w:szCs w:val="24"/>
          <w:lang w:val="en-GB" w:eastAsia="en-GB"/>
        </w:rPr>
        <w:t>although at a lower frequency.</w:t>
      </w:r>
    </w:p>
    <w:p w14:paraId="50E42486" w14:textId="1162C725" w:rsidR="002C7328" w:rsidRPr="0032259F" w:rsidRDefault="002C7328" w:rsidP="00343365">
      <w:pPr>
        <w:shd w:val="clear" w:color="auto" w:fill="FFFFFF"/>
        <w:tabs>
          <w:tab w:val="left" w:pos="426"/>
        </w:tabs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TimesNewRomanPSMT"/>
          <w:sz w:val="24"/>
          <w:szCs w:val="24"/>
          <w:vertAlign w:val="superscript"/>
          <w:lang w:val="en-GB" w:eastAsia="en-GB"/>
        </w:rPr>
        <w:t>‡</w:t>
      </w:r>
      <w:r w:rsidR="00343365" w:rsidRPr="0032259F">
        <w:rPr>
          <w:rFonts w:eastAsia="TimesNewRomanPSMT"/>
          <w:sz w:val="24"/>
          <w:szCs w:val="24"/>
          <w:vertAlign w:val="superscript"/>
          <w:lang w:val="en-GB" w:eastAsia="en-GB"/>
        </w:rPr>
        <w:tab/>
      </w:r>
      <w:r w:rsidRPr="0032259F">
        <w:rPr>
          <w:rFonts w:eastAsia="TimesNewRomanPSMT"/>
          <w:sz w:val="24"/>
          <w:szCs w:val="24"/>
          <w:lang w:val="en-GB" w:eastAsia="en-GB"/>
        </w:rPr>
        <w:t>Grouped term with preferred terms acute kidney injury and renal failure</w:t>
      </w:r>
    </w:p>
    <w:p w14:paraId="5B5A1AF2" w14:textId="77777777" w:rsidR="002C7328" w:rsidRPr="0032259F" w:rsidRDefault="002C7328" w:rsidP="002C7328">
      <w:pPr>
        <w:shd w:val="clear" w:color="auto" w:fill="FFFFFF"/>
        <w:tabs>
          <w:tab w:val="left" w:pos="1304"/>
        </w:tabs>
        <w:rPr>
          <w:rFonts w:eastAsia="SimSun"/>
          <w:sz w:val="24"/>
          <w:szCs w:val="24"/>
          <w:lang w:val="en-GB" w:eastAsia="en-GB"/>
        </w:rPr>
      </w:pPr>
    </w:p>
    <w:p w14:paraId="2AC88FD4" w14:textId="77777777" w:rsidR="002C7328" w:rsidRPr="0032259F" w:rsidRDefault="002C7328" w:rsidP="002C7328">
      <w:pPr>
        <w:shd w:val="clear" w:color="auto" w:fill="FFFFFF"/>
        <w:tabs>
          <w:tab w:val="left" w:pos="1304"/>
        </w:tabs>
        <w:rPr>
          <w:sz w:val="24"/>
          <w:szCs w:val="24"/>
          <w:lang w:val="en-GB" w:eastAsia="en-US"/>
        </w:rPr>
      </w:pPr>
      <w:r w:rsidRPr="0032259F">
        <w:rPr>
          <w:rFonts w:eastAsia="SimSun"/>
          <w:b/>
          <w:bCs/>
          <w:sz w:val="24"/>
          <w:szCs w:val="24"/>
          <w:lang w:val="en-GB" w:eastAsia="en-GB"/>
        </w:rPr>
        <w:t>HCV study population (in combination with anti-viral interferon and ribavirin therapy)</w:t>
      </w:r>
    </w:p>
    <w:p w14:paraId="6B4290A7" w14:textId="77777777" w:rsidR="002C7328" w:rsidRPr="0032259F" w:rsidRDefault="002C7328" w:rsidP="002C7328">
      <w:pPr>
        <w:shd w:val="clear" w:color="auto" w:fill="FFFFFF"/>
        <w:tabs>
          <w:tab w:val="left" w:pos="1304"/>
        </w:tabs>
        <w:rPr>
          <w:sz w:val="24"/>
          <w:szCs w:val="24"/>
          <w:lang w:val="en-GB"/>
        </w:rPr>
      </w:pPr>
    </w:p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2697"/>
        <w:gridCol w:w="1379"/>
        <w:gridCol w:w="5552"/>
      </w:tblGrid>
      <w:tr w:rsidR="002C7328" w:rsidRPr="0032259F" w14:paraId="1DBEBD3E" w14:textId="77777777" w:rsidTr="00A15450"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524C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b/>
                <w:bCs/>
                <w:sz w:val="24"/>
                <w:szCs w:val="24"/>
              </w:rPr>
              <w:t>System organ class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622B8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E973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b/>
                <w:bCs/>
                <w:sz w:val="24"/>
                <w:szCs w:val="24"/>
              </w:rPr>
              <w:t>Adverse reaction</w:t>
            </w:r>
          </w:p>
        </w:tc>
      </w:tr>
      <w:tr w:rsidR="002C7328" w:rsidRPr="00727038" w14:paraId="5359E701" w14:textId="77777777" w:rsidTr="00A15450">
        <w:tc>
          <w:tcPr>
            <w:tcW w:w="1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AC8B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Infections and infestations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331A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AD9C" w14:textId="2EFD6F67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Urinary tract infection, upper respiratory tract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infection, bronchitis, nasopharyngitis, influenza, oral herpes</w:t>
            </w:r>
          </w:p>
        </w:tc>
      </w:tr>
      <w:tr w:rsidR="002C7328" w:rsidRPr="0032259F" w14:paraId="6B7981BC" w14:textId="77777777" w:rsidTr="00A15450">
        <w:tc>
          <w:tcPr>
            <w:tcW w:w="1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E715" w14:textId="77777777" w:rsidR="002C7328" w:rsidRPr="0032259F" w:rsidRDefault="002C7328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EE25" w14:textId="77777777" w:rsidR="002C7328" w:rsidRPr="0032259F" w:rsidRDefault="002C7328">
            <w:pPr>
              <w:tabs>
                <w:tab w:val="left" w:pos="1304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32259F">
              <w:rPr>
                <w:sz w:val="24"/>
                <w:szCs w:val="24"/>
              </w:rPr>
              <w:t>Uncommon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A8ED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Gastroenteritis, pharyngitis</w:t>
            </w:r>
          </w:p>
        </w:tc>
      </w:tr>
      <w:tr w:rsidR="002C7328" w:rsidRPr="0032259F" w14:paraId="75D29F6C" w14:textId="77777777" w:rsidTr="00A15450"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E9E1" w14:textId="6465D379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Neoplasms benign, malignant and unspecified (incl</w:t>
            </w:r>
            <w:r w:rsidR="009C16F9" w:rsidRPr="0032259F">
              <w:rPr>
                <w:sz w:val="24"/>
                <w:szCs w:val="24"/>
              </w:rPr>
              <w:t>.</w:t>
            </w:r>
            <w:r w:rsidRPr="0032259F">
              <w:rPr>
                <w:sz w:val="24"/>
                <w:szCs w:val="24"/>
              </w:rPr>
              <w:t xml:space="preserve"> cysts and polyps)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3BD2" w14:textId="77777777" w:rsidR="002C7328" w:rsidRPr="0032259F" w:rsidRDefault="002C7328">
            <w:pPr>
              <w:tabs>
                <w:tab w:val="left" w:pos="1304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D462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Hepatic neoplasm malignant</w:t>
            </w:r>
          </w:p>
        </w:tc>
      </w:tr>
      <w:tr w:rsidR="002C7328" w:rsidRPr="0032259F" w14:paraId="4B6D3C92" w14:textId="77777777" w:rsidTr="00A15450">
        <w:tc>
          <w:tcPr>
            <w:tcW w:w="1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DAB0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 xml:space="preserve">Blood and lymphatic system disorders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3737" w14:textId="30EE4005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32259F">
              <w:rPr>
                <w:sz w:val="24"/>
                <w:szCs w:val="24"/>
              </w:rPr>
              <w:t>Very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FB4B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Anaemia</w:t>
            </w:r>
          </w:p>
        </w:tc>
      </w:tr>
      <w:tr w:rsidR="002C7328" w:rsidRPr="0032259F" w14:paraId="3FB288CC" w14:textId="77777777" w:rsidTr="00A15450">
        <w:tc>
          <w:tcPr>
            <w:tcW w:w="1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7C17" w14:textId="77777777" w:rsidR="002C7328" w:rsidRPr="0032259F" w:rsidRDefault="002C7328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4A09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70047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Lymphopenia</w:t>
            </w:r>
          </w:p>
        </w:tc>
      </w:tr>
      <w:tr w:rsidR="002C7328" w:rsidRPr="0032259F" w14:paraId="027667F1" w14:textId="77777777" w:rsidTr="00A15450">
        <w:tc>
          <w:tcPr>
            <w:tcW w:w="1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6CE41" w14:textId="77777777" w:rsidR="002C7328" w:rsidRPr="0032259F" w:rsidRDefault="002C7328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6CC7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Uncommon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EDFB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Haemolytic anaemia</w:t>
            </w:r>
          </w:p>
        </w:tc>
      </w:tr>
      <w:tr w:rsidR="002C7328" w:rsidRPr="0032259F" w14:paraId="15B09473" w14:textId="77777777" w:rsidTr="00A15450">
        <w:tc>
          <w:tcPr>
            <w:tcW w:w="1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C414" w14:textId="03A6F902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32259F">
              <w:rPr>
                <w:sz w:val="24"/>
                <w:szCs w:val="24"/>
              </w:rPr>
              <w:t>Metabolism and nutrition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disorders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AF7C" w14:textId="49FDE391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32259F">
              <w:rPr>
                <w:sz w:val="24"/>
                <w:szCs w:val="24"/>
              </w:rPr>
              <w:t>Very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DC0D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Decreased appetite</w:t>
            </w:r>
          </w:p>
        </w:tc>
      </w:tr>
      <w:tr w:rsidR="002C7328" w:rsidRPr="00727038" w14:paraId="4F076C67" w14:textId="77777777" w:rsidTr="00A15450">
        <w:tc>
          <w:tcPr>
            <w:tcW w:w="1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BC52" w14:textId="77777777" w:rsidR="002C7328" w:rsidRPr="0032259F" w:rsidRDefault="002C7328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66A3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54AD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Hyperglycaemia, abnormal loss of weight</w:t>
            </w:r>
          </w:p>
        </w:tc>
      </w:tr>
      <w:tr w:rsidR="002C7328" w:rsidRPr="0032259F" w14:paraId="6C5BFCA2" w14:textId="77777777" w:rsidTr="00A15450">
        <w:tc>
          <w:tcPr>
            <w:tcW w:w="1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997C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Psychiatric disorders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23BB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962D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Depression, anxiety, sleep disorder</w:t>
            </w:r>
          </w:p>
        </w:tc>
      </w:tr>
      <w:tr w:rsidR="002C7328" w:rsidRPr="0032259F" w14:paraId="1C7744F4" w14:textId="77777777" w:rsidTr="00A15450">
        <w:tc>
          <w:tcPr>
            <w:tcW w:w="1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CD36" w14:textId="77777777" w:rsidR="002C7328" w:rsidRPr="0032259F" w:rsidRDefault="002C7328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5BED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Uncommon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3545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proofErr w:type="spellStart"/>
            <w:r w:rsidRPr="0032259F">
              <w:rPr>
                <w:sz w:val="24"/>
                <w:szCs w:val="24"/>
              </w:rPr>
              <w:t>Confusional</w:t>
            </w:r>
            <w:proofErr w:type="spellEnd"/>
            <w:r w:rsidRPr="0032259F">
              <w:rPr>
                <w:sz w:val="24"/>
                <w:szCs w:val="24"/>
              </w:rPr>
              <w:t xml:space="preserve"> state, agitation</w:t>
            </w:r>
          </w:p>
        </w:tc>
      </w:tr>
      <w:tr w:rsidR="002C7328" w:rsidRPr="0032259F" w14:paraId="0D0C8C00" w14:textId="77777777" w:rsidTr="00A15450">
        <w:tc>
          <w:tcPr>
            <w:tcW w:w="1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FC0D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Nervous system disorders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39B0" w14:textId="00DE1E60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32259F">
              <w:rPr>
                <w:sz w:val="24"/>
                <w:szCs w:val="24"/>
              </w:rPr>
              <w:t>Very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F6DF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Headache</w:t>
            </w:r>
          </w:p>
        </w:tc>
      </w:tr>
      <w:tr w:rsidR="002C7328" w:rsidRPr="00727038" w14:paraId="2FCA6122" w14:textId="77777777" w:rsidTr="00A15450">
        <w:tc>
          <w:tcPr>
            <w:tcW w:w="1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39E50" w14:textId="77777777" w:rsidR="002C7328" w:rsidRPr="0032259F" w:rsidRDefault="002C7328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3363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2C03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Dizziness, disturbance in attention, dysgeusia, hepatic encephalopathy, lethargy, memory impairment, paraesthesia</w:t>
            </w:r>
          </w:p>
        </w:tc>
      </w:tr>
      <w:tr w:rsidR="002C7328" w:rsidRPr="00727038" w14:paraId="12AED329" w14:textId="77777777" w:rsidTr="00A15450"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1A84" w14:textId="77777777" w:rsidR="002C7328" w:rsidRPr="0032259F" w:rsidRDefault="002C7328">
            <w:pPr>
              <w:tabs>
                <w:tab w:val="left" w:pos="1304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32259F">
              <w:rPr>
                <w:sz w:val="24"/>
                <w:szCs w:val="24"/>
              </w:rPr>
              <w:t>Eye disorders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E02A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0E99" w14:textId="72DF7552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32259F">
              <w:rPr>
                <w:sz w:val="24"/>
                <w:szCs w:val="24"/>
              </w:rPr>
              <w:t>Cataract, retinal exudates, dry eye, ocular icterus,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retinal haemorrhage</w:t>
            </w:r>
          </w:p>
        </w:tc>
      </w:tr>
      <w:tr w:rsidR="002C7328" w:rsidRPr="0032259F" w14:paraId="339A4652" w14:textId="77777777" w:rsidTr="00A15450"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7B9F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Ear and labyrinth disorders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77A6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02EF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Vertigo</w:t>
            </w:r>
          </w:p>
        </w:tc>
      </w:tr>
      <w:tr w:rsidR="002C7328" w:rsidRPr="0032259F" w14:paraId="3DAC2B0B" w14:textId="77777777" w:rsidTr="00A15450"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73CF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Cardiac disorders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92A2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20CD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Palpitations</w:t>
            </w:r>
          </w:p>
        </w:tc>
      </w:tr>
      <w:tr w:rsidR="002C7328" w:rsidRPr="0032259F" w14:paraId="5B382313" w14:textId="77777777" w:rsidTr="00A15450">
        <w:tc>
          <w:tcPr>
            <w:tcW w:w="1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FE4B" w14:textId="3332686E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Respiratory, thoracic and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mediastinal disorders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F738" w14:textId="06CC2E58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Very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EF24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Cough</w:t>
            </w:r>
          </w:p>
        </w:tc>
      </w:tr>
      <w:tr w:rsidR="002C7328" w:rsidRPr="00727038" w14:paraId="51112421" w14:textId="77777777" w:rsidTr="00A15450">
        <w:tc>
          <w:tcPr>
            <w:tcW w:w="1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6786E" w14:textId="77777777" w:rsidR="002C7328" w:rsidRPr="0032259F" w:rsidRDefault="002C7328">
            <w:pPr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D658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EBA0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Dyspnoea, oropharyngeal pain, dyspnoea exertional, productive cough</w:t>
            </w:r>
          </w:p>
        </w:tc>
      </w:tr>
      <w:tr w:rsidR="002C7328" w:rsidRPr="0032259F" w14:paraId="677FC832" w14:textId="77777777" w:rsidTr="00A15450">
        <w:tc>
          <w:tcPr>
            <w:tcW w:w="1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3D903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Gastrointestinal disorders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2A46" w14:textId="4ED8E9A6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Very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B84B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Nausea, diarrhoea</w:t>
            </w:r>
          </w:p>
        </w:tc>
      </w:tr>
      <w:tr w:rsidR="002C7328" w:rsidRPr="00727038" w14:paraId="7202CFED" w14:textId="77777777" w:rsidTr="00A15450">
        <w:tc>
          <w:tcPr>
            <w:tcW w:w="1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13C9" w14:textId="77777777" w:rsidR="002C7328" w:rsidRPr="0032259F" w:rsidRDefault="002C7328">
            <w:pPr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D5E5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B927" w14:textId="27CD5DE3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Vomiting, ascites, abdominal pain, abdominal pain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 xml:space="preserve">upper, dyspepsia, dry mouth, constipation, abdominal distension, toothache, stomatitis, </w:t>
            </w:r>
            <w:proofErr w:type="spellStart"/>
            <w:r w:rsidRPr="0032259F">
              <w:rPr>
                <w:sz w:val="24"/>
                <w:szCs w:val="24"/>
              </w:rPr>
              <w:t>gastrooesophagal</w:t>
            </w:r>
            <w:proofErr w:type="spellEnd"/>
            <w:r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lastRenderedPageBreak/>
              <w:t>reflux disease, haemorrhoids, abdominal discomfort, varices oesophageal</w:t>
            </w:r>
          </w:p>
        </w:tc>
      </w:tr>
      <w:tr w:rsidR="002C7328" w:rsidRPr="00727038" w14:paraId="53F14B55" w14:textId="77777777" w:rsidTr="00A15450">
        <w:tc>
          <w:tcPr>
            <w:tcW w:w="1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FB13A" w14:textId="77777777" w:rsidR="002C7328" w:rsidRPr="0032259F" w:rsidRDefault="002C7328">
            <w:pPr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0145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proofErr w:type="spellStart"/>
            <w:r w:rsidRPr="0032259F">
              <w:rPr>
                <w:sz w:val="24"/>
                <w:szCs w:val="24"/>
              </w:rPr>
              <w:t>Uncomon</w:t>
            </w:r>
            <w:proofErr w:type="spellEnd"/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9001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Oesophageal varices haemorrhage, gastritis, aphthous stomatitis</w:t>
            </w:r>
          </w:p>
        </w:tc>
      </w:tr>
      <w:tr w:rsidR="002C7328" w:rsidRPr="0032259F" w14:paraId="200A683B" w14:textId="77777777" w:rsidTr="00A15450">
        <w:tc>
          <w:tcPr>
            <w:tcW w:w="1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D4F7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Hepatobiliary disorders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06CF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062B" w14:textId="74977A73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2259F">
              <w:rPr>
                <w:color w:val="000000"/>
                <w:sz w:val="24"/>
                <w:szCs w:val="24"/>
              </w:rPr>
              <w:t>Hyperbilirubinaemia</w:t>
            </w:r>
            <w:proofErr w:type="spellEnd"/>
            <w:r w:rsidRPr="0032259F">
              <w:rPr>
                <w:color w:val="FF0000"/>
                <w:sz w:val="24"/>
                <w:szCs w:val="24"/>
              </w:rPr>
              <w:t xml:space="preserve">, </w:t>
            </w:r>
            <w:r w:rsidRPr="0032259F">
              <w:rPr>
                <w:color w:val="000000"/>
                <w:sz w:val="24"/>
                <w:szCs w:val="24"/>
              </w:rPr>
              <w:t>jaundice, drug-induced liver</w:t>
            </w:r>
            <w:r w:rsidR="00343365" w:rsidRPr="0032259F">
              <w:rPr>
                <w:color w:val="000000"/>
                <w:sz w:val="24"/>
                <w:szCs w:val="24"/>
              </w:rPr>
              <w:t xml:space="preserve"> </w:t>
            </w:r>
            <w:r w:rsidRPr="0032259F">
              <w:rPr>
                <w:color w:val="000000"/>
                <w:sz w:val="24"/>
                <w:szCs w:val="24"/>
              </w:rPr>
              <w:t>injury</w:t>
            </w:r>
          </w:p>
        </w:tc>
      </w:tr>
      <w:tr w:rsidR="002C7328" w:rsidRPr="00727038" w14:paraId="04FE732B" w14:textId="77777777" w:rsidTr="00A15450">
        <w:tc>
          <w:tcPr>
            <w:tcW w:w="1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5349" w14:textId="77777777" w:rsidR="002C7328" w:rsidRPr="0032259F" w:rsidRDefault="002C7328">
            <w:pPr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E5AC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Uncommon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BC45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Portal vein thrombosis, hepatic failure</w:t>
            </w:r>
          </w:p>
        </w:tc>
      </w:tr>
      <w:tr w:rsidR="002C7328" w:rsidRPr="0032259F" w14:paraId="6A71FDF2" w14:textId="77777777" w:rsidTr="00A15450">
        <w:tc>
          <w:tcPr>
            <w:tcW w:w="1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F2C4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Skin and subcutaneous tissue disorders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31C5" w14:textId="54617100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Very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4223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Pruritus</w:t>
            </w:r>
          </w:p>
        </w:tc>
      </w:tr>
      <w:tr w:rsidR="002C7328" w:rsidRPr="00727038" w14:paraId="13418B33" w14:textId="77777777" w:rsidTr="00A15450">
        <w:tc>
          <w:tcPr>
            <w:tcW w:w="1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26D3" w14:textId="77777777" w:rsidR="002C7328" w:rsidRPr="0032259F" w:rsidRDefault="002C7328">
            <w:pPr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346F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3C28" w14:textId="4177429C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Rash, dry skin, eczema, rash pruritic, erythema,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hyperhidrosis, pruritus generalised, alopecia</w:t>
            </w:r>
          </w:p>
        </w:tc>
      </w:tr>
      <w:tr w:rsidR="002C7328" w:rsidRPr="00727038" w14:paraId="37311464" w14:textId="77777777" w:rsidTr="00A15450">
        <w:tc>
          <w:tcPr>
            <w:tcW w:w="1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CDA3" w14:textId="77777777" w:rsidR="002C7328" w:rsidRPr="0032259F" w:rsidRDefault="002C7328">
            <w:pPr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C334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Uncommon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0D46" w14:textId="08875429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Skin lesion, skin discolouration, skin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hyperpigmentation, night sweats</w:t>
            </w:r>
          </w:p>
        </w:tc>
      </w:tr>
      <w:tr w:rsidR="002C7328" w:rsidRPr="0032259F" w14:paraId="4E23F78E" w14:textId="77777777" w:rsidTr="00A15450">
        <w:tc>
          <w:tcPr>
            <w:tcW w:w="1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040A" w14:textId="4082433D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Musculoskeletal and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connective tissue disorder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9F52" w14:textId="59527CE0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Very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10BD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Myalgia</w:t>
            </w:r>
          </w:p>
        </w:tc>
      </w:tr>
      <w:tr w:rsidR="002C7328" w:rsidRPr="00727038" w14:paraId="16BD77AF" w14:textId="77777777" w:rsidTr="00A15450">
        <w:tc>
          <w:tcPr>
            <w:tcW w:w="1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D4B5" w14:textId="77777777" w:rsidR="002C7328" w:rsidRPr="0032259F" w:rsidRDefault="002C7328">
            <w:pPr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0097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6CD9" w14:textId="6638A0FF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Arthralgia, muscle spasms, back pain, pain in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extremity, musculoskeletal pain, bone pain</w:t>
            </w:r>
          </w:p>
        </w:tc>
      </w:tr>
      <w:tr w:rsidR="002C7328" w:rsidRPr="00727038" w14:paraId="543BB500" w14:textId="77777777" w:rsidTr="00A15450"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268D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Renal and urinary disorders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DA7C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Uncommon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D5F3" w14:textId="03C9712A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Thrombotic microangiopathy with acute renal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failure</w:t>
            </w:r>
            <w:r w:rsidRPr="0032259F">
              <w:rPr>
                <w:rFonts w:eastAsia="TimesNewRomanPSMT"/>
                <w:sz w:val="24"/>
                <w:szCs w:val="24"/>
                <w:vertAlign w:val="superscript"/>
              </w:rPr>
              <w:t>†</w:t>
            </w:r>
            <w:r w:rsidRPr="0032259F">
              <w:rPr>
                <w:sz w:val="24"/>
                <w:szCs w:val="24"/>
              </w:rPr>
              <w:t>, dysuria</w:t>
            </w:r>
          </w:p>
        </w:tc>
      </w:tr>
      <w:tr w:rsidR="002C7328" w:rsidRPr="00727038" w14:paraId="7993A8EB" w14:textId="77777777" w:rsidTr="00A15450">
        <w:tc>
          <w:tcPr>
            <w:tcW w:w="1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0840" w14:textId="06251F89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General disorders and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administration site conditions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886A" w14:textId="6DD7DFF9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Very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41F1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Pyrexia, fatigue, influenza-like illness, asthenia, chills</w:t>
            </w:r>
          </w:p>
        </w:tc>
      </w:tr>
      <w:tr w:rsidR="002C7328" w:rsidRPr="00727038" w14:paraId="6ABDED89" w14:textId="77777777" w:rsidTr="00A15450">
        <w:tc>
          <w:tcPr>
            <w:tcW w:w="1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42EA4" w14:textId="77777777" w:rsidR="002C7328" w:rsidRPr="0032259F" w:rsidRDefault="002C7328">
            <w:pPr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E1960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062DF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Irritability, pain, malaise, injection site reaction, non-cardiac chest pain, oedema, oedema peripheral</w:t>
            </w:r>
          </w:p>
        </w:tc>
      </w:tr>
      <w:tr w:rsidR="002C7328" w:rsidRPr="00727038" w14:paraId="65E36DDB" w14:textId="77777777" w:rsidTr="00A15450">
        <w:tc>
          <w:tcPr>
            <w:tcW w:w="1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8999" w14:textId="77777777" w:rsidR="002C7328" w:rsidRPr="0032259F" w:rsidRDefault="002C7328">
            <w:pPr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6A7A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Uncommon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2932" w14:textId="4570A4EA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Injection site pruritus, injection site rash, chest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discomfort</w:t>
            </w:r>
          </w:p>
        </w:tc>
      </w:tr>
      <w:tr w:rsidR="002C7328" w:rsidRPr="00727038" w14:paraId="2934F7B6" w14:textId="77777777" w:rsidTr="00A15450">
        <w:trPr>
          <w:trHeight w:val="430"/>
        </w:trPr>
        <w:tc>
          <w:tcPr>
            <w:tcW w:w="1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4CCA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Investigations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E2B8" w14:textId="0DB841FB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DED8" w14:textId="1A947EA7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Blood bilirubin increased, weight decreased, white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blood cell count decreased, haemoglobin decreased,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neutrophil count decreased, international normalised ratio increased, activated partial thromboplastin time prolonged, blood glucose increased, blood albumin decreased</w:t>
            </w:r>
          </w:p>
        </w:tc>
      </w:tr>
      <w:tr w:rsidR="002C7328" w:rsidRPr="0032259F" w14:paraId="30EB286E" w14:textId="77777777" w:rsidTr="00A15450">
        <w:trPr>
          <w:trHeight w:val="330"/>
        </w:trPr>
        <w:tc>
          <w:tcPr>
            <w:tcW w:w="1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C2AD" w14:textId="77777777" w:rsidR="002C7328" w:rsidRPr="0032259F" w:rsidRDefault="002C7328">
            <w:pPr>
              <w:rPr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6494" w14:textId="77777777" w:rsidR="002C7328" w:rsidRPr="0032259F" w:rsidRDefault="002C7328">
            <w:pPr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Uncommon</w:t>
            </w:r>
          </w:p>
        </w:tc>
        <w:tc>
          <w:tcPr>
            <w:tcW w:w="2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53D1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Electrocardiogram QT prolonged</w:t>
            </w:r>
          </w:p>
        </w:tc>
      </w:tr>
    </w:tbl>
    <w:p w14:paraId="487AE3F2" w14:textId="10008678" w:rsidR="002C7328" w:rsidRPr="0032259F" w:rsidRDefault="002C7328" w:rsidP="009C16F9">
      <w:pPr>
        <w:shd w:val="clear" w:color="auto" w:fill="FFFFFF"/>
        <w:tabs>
          <w:tab w:val="left" w:pos="284"/>
        </w:tabs>
        <w:rPr>
          <w:rFonts w:eastAsia="TimesNewRomanPSMT"/>
          <w:sz w:val="24"/>
          <w:szCs w:val="24"/>
          <w:lang w:val="en-GB" w:eastAsia="en-GB"/>
        </w:rPr>
      </w:pPr>
      <w:r w:rsidRPr="0032259F">
        <w:rPr>
          <w:rFonts w:eastAsia="MS Mincho"/>
          <w:sz w:val="24"/>
          <w:szCs w:val="24"/>
          <w:vertAlign w:val="superscript"/>
          <w:lang w:val="en-GB" w:eastAsia="en-GB"/>
        </w:rPr>
        <w:t>†</w:t>
      </w:r>
      <w:r w:rsidR="00343365" w:rsidRPr="0032259F">
        <w:rPr>
          <w:rFonts w:eastAsia="MS Mincho"/>
          <w:sz w:val="24"/>
          <w:szCs w:val="24"/>
          <w:vertAlign w:val="superscript"/>
          <w:lang w:val="en-GB" w:eastAsia="en-GB"/>
        </w:rPr>
        <w:tab/>
      </w:r>
      <w:r w:rsidRPr="0032259F">
        <w:rPr>
          <w:rFonts w:eastAsia="TimesNewRomanPSMT"/>
          <w:sz w:val="24"/>
          <w:szCs w:val="24"/>
          <w:lang w:val="en-GB" w:eastAsia="en-GB"/>
        </w:rPr>
        <w:t>Grouped term with preferred terms oliguria, renal failure and renal impairment</w:t>
      </w:r>
    </w:p>
    <w:p w14:paraId="2D87888B" w14:textId="77777777" w:rsidR="002C7328" w:rsidRPr="0032259F" w:rsidRDefault="002C7328" w:rsidP="002C7328">
      <w:pPr>
        <w:shd w:val="clear" w:color="auto" w:fill="FFFFFF"/>
        <w:tabs>
          <w:tab w:val="left" w:pos="1304"/>
        </w:tabs>
        <w:rPr>
          <w:rFonts w:eastAsia="TimesNewRomanPSMT"/>
          <w:sz w:val="24"/>
          <w:szCs w:val="24"/>
          <w:lang w:val="en-GB" w:eastAsia="en-GB"/>
        </w:rPr>
      </w:pPr>
    </w:p>
    <w:p w14:paraId="438DF6DE" w14:textId="77777777" w:rsidR="002C7328" w:rsidRPr="0032259F" w:rsidRDefault="002C7328" w:rsidP="002C7328">
      <w:pPr>
        <w:shd w:val="clear" w:color="auto" w:fill="FFFFFF"/>
        <w:tabs>
          <w:tab w:val="left" w:pos="1304"/>
        </w:tabs>
        <w:rPr>
          <w:rFonts w:eastAsia="SimSun"/>
          <w:b/>
          <w:bCs/>
          <w:sz w:val="24"/>
          <w:szCs w:val="24"/>
          <w:lang w:val="en-GB" w:eastAsia="en-GB"/>
        </w:rPr>
      </w:pPr>
      <w:r w:rsidRPr="0032259F">
        <w:rPr>
          <w:rFonts w:eastAsia="SimSun"/>
          <w:b/>
          <w:bCs/>
          <w:sz w:val="24"/>
          <w:szCs w:val="24"/>
          <w:lang w:val="en-GB" w:eastAsia="en-GB"/>
        </w:rPr>
        <w:t>SAA study population</w:t>
      </w:r>
    </w:p>
    <w:p w14:paraId="3844693B" w14:textId="77777777" w:rsidR="002C7328" w:rsidRPr="0032259F" w:rsidRDefault="002C7328" w:rsidP="002C7328">
      <w:pPr>
        <w:shd w:val="clear" w:color="auto" w:fill="FFFFFF"/>
        <w:tabs>
          <w:tab w:val="left" w:pos="1304"/>
        </w:tabs>
        <w:rPr>
          <w:rFonts w:eastAsia="SimSun"/>
          <w:b/>
          <w:bCs/>
          <w:sz w:val="24"/>
          <w:szCs w:val="24"/>
          <w:lang w:val="en-GB" w:eastAsia="en-GB"/>
        </w:rPr>
      </w:pPr>
    </w:p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3197"/>
        <w:gridCol w:w="1338"/>
        <w:gridCol w:w="5093"/>
      </w:tblGrid>
      <w:tr w:rsidR="002C7328" w:rsidRPr="0032259F" w14:paraId="7CFC05EA" w14:textId="77777777" w:rsidTr="00A15450"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DA52" w14:textId="77777777" w:rsidR="002C7328" w:rsidRPr="0032259F" w:rsidRDefault="002C7328">
            <w:pPr>
              <w:tabs>
                <w:tab w:val="left" w:pos="1304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32259F">
              <w:rPr>
                <w:b/>
                <w:bCs/>
                <w:sz w:val="24"/>
                <w:szCs w:val="24"/>
              </w:rPr>
              <w:t>System organ class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461F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CDEF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b/>
                <w:bCs/>
                <w:sz w:val="24"/>
                <w:szCs w:val="24"/>
              </w:rPr>
              <w:t>Adverse reaction</w:t>
            </w:r>
          </w:p>
        </w:tc>
      </w:tr>
      <w:tr w:rsidR="002C7328" w:rsidRPr="0032259F" w14:paraId="4F82C9A0" w14:textId="77777777" w:rsidTr="00A15450"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D8D6" w14:textId="710A8742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32259F">
              <w:rPr>
                <w:sz w:val="24"/>
                <w:szCs w:val="24"/>
              </w:rPr>
              <w:t>Blood and lymphatic system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disorders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3D5F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1EC1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Neutropenia, splenic infarction</w:t>
            </w:r>
          </w:p>
        </w:tc>
      </w:tr>
      <w:tr w:rsidR="002C7328" w:rsidRPr="00727038" w14:paraId="34861B47" w14:textId="77777777" w:rsidTr="00A15450"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F873" w14:textId="1870865B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32259F">
              <w:rPr>
                <w:sz w:val="24"/>
                <w:szCs w:val="24"/>
              </w:rPr>
              <w:t>Metabolism and nutrition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disorders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4417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3146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Iron overload, decreased appetite, hypoglycaemia, increased appetite</w:t>
            </w:r>
          </w:p>
        </w:tc>
      </w:tr>
      <w:tr w:rsidR="002C7328" w:rsidRPr="0032259F" w14:paraId="022AB9C1" w14:textId="77777777" w:rsidTr="00A15450"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4C43" w14:textId="77777777" w:rsidR="002C7328" w:rsidRPr="0032259F" w:rsidRDefault="002C7328">
            <w:pPr>
              <w:tabs>
                <w:tab w:val="left" w:pos="1304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32259F">
              <w:rPr>
                <w:sz w:val="24"/>
                <w:szCs w:val="24"/>
              </w:rPr>
              <w:t>Psychiatric disorders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552B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409E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Anxiety, depression</w:t>
            </w:r>
          </w:p>
        </w:tc>
      </w:tr>
      <w:tr w:rsidR="002C7328" w:rsidRPr="0032259F" w14:paraId="084A05A0" w14:textId="77777777" w:rsidTr="00A15450">
        <w:tc>
          <w:tcPr>
            <w:tcW w:w="1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D81C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Nervous system disorders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7A4D" w14:textId="1D24C642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32259F">
              <w:rPr>
                <w:sz w:val="24"/>
                <w:szCs w:val="24"/>
              </w:rPr>
              <w:t>Very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8C74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Headache, dizziness</w:t>
            </w:r>
          </w:p>
        </w:tc>
      </w:tr>
      <w:tr w:rsidR="002C7328" w:rsidRPr="0032259F" w14:paraId="6169C236" w14:textId="77777777" w:rsidTr="00A15450">
        <w:tc>
          <w:tcPr>
            <w:tcW w:w="1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6898B" w14:textId="77777777" w:rsidR="002C7328" w:rsidRPr="0032259F" w:rsidRDefault="002C7328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58BC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09D3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Syncope</w:t>
            </w:r>
          </w:p>
        </w:tc>
      </w:tr>
      <w:tr w:rsidR="002C7328" w:rsidRPr="00727038" w14:paraId="4E3761C2" w14:textId="77777777" w:rsidTr="00A15450"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744D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Eye disorders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69EA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B4D1" w14:textId="06CB37D4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32259F">
              <w:rPr>
                <w:sz w:val="24"/>
                <w:szCs w:val="24"/>
              </w:rPr>
              <w:t>Dry eye, cataract, ocular icterus, vision blurred,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visual impairment, vitreous floaters</w:t>
            </w:r>
          </w:p>
        </w:tc>
      </w:tr>
      <w:tr w:rsidR="002C7328" w:rsidRPr="0032259F" w14:paraId="211E738D" w14:textId="77777777" w:rsidTr="00A15450">
        <w:tc>
          <w:tcPr>
            <w:tcW w:w="1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28E5" w14:textId="115147B8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32259F">
              <w:rPr>
                <w:sz w:val="24"/>
                <w:szCs w:val="24"/>
              </w:rPr>
              <w:t>Respiratory, thoracic and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mediastinal disorders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FD27" w14:textId="054EF47E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32259F">
              <w:rPr>
                <w:sz w:val="24"/>
                <w:szCs w:val="24"/>
              </w:rPr>
              <w:t>Very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384E7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Cough, oropharyngeal pain, rhinorrhoea</w:t>
            </w:r>
          </w:p>
        </w:tc>
      </w:tr>
      <w:tr w:rsidR="002C7328" w:rsidRPr="0032259F" w14:paraId="221CD475" w14:textId="77777777" w:rsidTr="00A15450">
        <w:tc>
          <w:tcPr>
            <w:tcW w:w="1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B5B3" w14:textId="77777777" w:rsidR="002C7328" w:rsidRPr="0032259F" w:rsidRDefault="002C7328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66D3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7B79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Epistaxis</w:t>
            </w:r>
          </w:p>
        </w:tc>
      </w:tr>
      <w:tr w:rsidR="002C7328" w:rsidRPr="00727038" w14:paraId="26B60B37" w14:textId="77777777" w:rsidTr="00A15450">
        <w:tc>
          <w:tcPr>
            <w:tcW w:w="1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5DF3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lastRenderedPageBreak/>
              <w:t>Gastrointestinal disorders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8C36" w14:textId="26B25F38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32259F">
              <w:rPr>
                <w:sz w:val="24"/>
                <w:szCs w:val="24"/>
              </w:rPr>
              <w:t>Very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E49C" w14:textId="77777777" w:rsidR="002C7328" w:rsidRPr="0032259F" w:rsidRDefault="002C7328">
            <w:pPr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Diarrhoea, nausea, gingival bleeding, abdominal pain</w:t>
            </w:r>
          </w:p>
        </w:tc>
      </w:tr>
      <w:tr w:rsidR="002C7328" w:rsidRPr="00727038" w14:paraId="25E2DC3F" w14:textId="77777777" w:rsidTr="00A15450">
        <w:trPr>
          <w:trHeight w:val="1060"/>
        </w:trPr>
        <w:tc>
          <w:tcPr>
            <w:tcW w:w="1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0EF4" w14:textId="77777777" w:rsidR="002C7328" w:rsidRPr="0032259F" w:rsidRDefault="002C7328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758B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1867" w14:textId="0C80DE81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Oral mucosal blistering, oral pain, vomiting,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abdominal discomfort, constipation, abdominal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distension, dysphagia, faeces discoloured, swollen tongue, gastrointestinal motility disorder, flatulence</w:t>
            </w:r>
          </w:p>
        </w:tc>
      </w:tr>
      <w:tr w:rsidR="002C7328" w:rsidRPr="0032259F" w14:paraId="0CF77B54" w14:textId="77777777" w:rsidTr="00A15450">
        <w:tc>
          <w:tcPr>
            <w:tcW w:w="1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128A" w14:textId="77777777" w:rsidR="002C7328" w:rsidRPr="0032259F" w:rsidRDefault="002C7328">
            <w:pPr>
              <w:tabs>
                <w:tab w:val="left" w:pos="1304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32259F">
              <w:rPr>
                <w:sz w:val="24"/>
                <w:szCs w:val="24"/>
              </w:rPr>
              <w:t>Hepatobiliary disorders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0DB9" w14:textId="4D96B610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32259F">
              <w:rPr>
                <w:sz w:val="24"/>
                <w:szCs w:val="24"/>
              </w:rPr>
              <w:t>Very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4B4D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Transaminases increased</w:t>
            </w:r>
          </w:p>
        </w:tc>
      </w:tr>
      <w:tr w:rsidR="002C7328" w:rsidRPr="00727038" w14:paraId="290AB3E0" w14:textId="77777777" w:rsidTr="00A15450">
        <w:tc>
          <w:tcPr>
            <w:tcW w:w="1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FB64" w14:textId="77777777" w:rsidR="002C7328" w:rsidRPr="0032259F" w:rsidRDefault="002C7328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F5CE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8F0C" w14:textId="2C8603CC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32259F">
              <w:rPr>
                <w:sz w:val="24"/>
                <w:szCs w:val="24"/>
              </w:rPr>
              <w:t>Blood bilirubin increased (hyperbilirubinemia),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jaundice</w:t>
            </w:r>
          </w:p>
        </w:tc>
      </w:tr>
      <w:tr w:rsidR="002C7328" w:rsidRPr="00727038" w14:paraId="7715E81E" w14:textId="77777777" w:rsidTr="00A15450">
        <w:tc>
          <w:tcPr>
            <w:tcW w:w="1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5D3D" w14:textId="77777777" w:rsidR="002C7328" w:rsidRPr="0032259F" w:rsidRDefault="002C7328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9DDE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Not known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03AD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Drug-induced liver injury</w:t>
            </w:r>
            <w:r w:rsidRPr="0032259F">
              <w:rPr>
                <w:sz w:val="24"/>
                <w:szCs w:val="24"/>
                <w:vertAlign w:val="superscript"/>
              </w:rPr>
              <w:t>*</w:t>
            </w:r>
          </w:p>
          <w:p w14:paraId="6D2D1F47" w14:textId="257F7B0E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32259F">
              <w:rPr>
                <w:sz w:val="24"/>
                <w:szCs w:val="24"/>
                <w:vertAlign w:val="superscript"/>
              </w:rPr>
              <w:t xml:space="preserve">* </w:t>
            </w:r>
            <w:r w:rsidRPr="0032259F">
              <w:rPr>
                <w:sz w:val="24"/>
                <w:szCs w:val="24"/>
              </w:rPr>
              <w:t>Cases of drug-induced liver injury have been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reported in patients with ITP and HCV</w:t>
            </w:r>
          </w:p>
        </w:tc>
      </w:tr>
      <w:tr w:rsidR="002C7328" w:rsidRPr="00727038" w14:paraId="4123FD9E" w14:textId="77777777" w:rsidTr="00A15450">
        <w:tc>
          <w:tcPr>
            <w:tcW w:w="1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2244" w14:textId="0E739403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32259F">
              <w:rPr>
                <w:sz w:val="24"/>
                <w:szCs w:val="24"/>
              </w:rPr>
              <w:t>Skin and subcutaneous tissue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disorders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5D47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226B6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Petechiae, rash, pruritus, urticaria, skin lesion, rash macular</w:t>
            </w:r>
          </w:p>
        </w:tc>
      </w:tr>
      <w:tr w:rsidR="002C7328" w:rsidRPr="0032259F" w14:paraId="5DD6FAD6" w14:textId="77777777" w:rsidTr="00A15450">
        <w:tc>
          <w:tcPr>
            <w:tcW w:w="1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66A6" w14:textId="77777777" w:rsidR="002C7328" w:rsidRPr="0032259F" w:rsidRDefault="002C7328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B662" w14:textId="77777777" w:rsidR="002C7328" w:rsidRPr="0032259F" w:rsidRDefault="002C7328">
            <w:pPr>
              <w:tabs>
                <w:tab w:val="left" w:pos="1304"/>
              </w:tabs>
              <w:rPr>
                <w:rFonts w:eastAsia="Times New Roman"/>
                <w:sz w:val="24"/>
                <w:szCs w:val="24"/>
                <w:lang w:eastAsia="en-US"/>
              </w:rPr>
            </w:pPr>
            <w:r w:rsidRPr="0032259F">
              <w:rPr>
                <w:sz w:val="24"/>
                <w:szCs w:val="24"/>
              </w:rPr>
              <w:t>Not known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C3C3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Skin discolouration, skin hyperpigmentation</w:t>
            </w:r>
          </w:p>
        </w:tc>
      </w:tr>
      <w:tr w:rsidR="002C7328" w:rsidRPr="00727038" w14:paraId="1CA31DB0" w14:textId="77777777" w:rsidTr="00A15450">
        <w:tc>
          <w:tcPr>
            <w:tcW w:w="1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3575" w14:textId="7DBB5562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 w:rsidRPr="0032259F">
              <w:rPr>
                <w:sz w:val="24"/>
                <w:szCs w:val="24"/>
              </w:rPr>
              <w:t>Musculosketal</w:t>
            </w:r>
            <w:proofErr w:type="spellEnd"/>
            <w:r w:rsidRPr="0032259F">
              <w:rPr>
                <w:sz w:val="24"/>
                <w:szCs w:val="24"/>
              </w:rPr>
              <w:t xml:space="preserve"> and connective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tissue disorders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BF40" w14:textId="0283A6A6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32259F">
              <w:rPr>
                <w:sz w:val="24"/>
                <w:szCs w:val="24"/>
              </w:rPr>
              <w:t>Very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ECAA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Arthralgia, pain in extremity, muscle spasms</w:t>
            </w:r>
          </w:p>
        </w:tc>
      </w:tr>
      <w:tr w:rsidR="002C7328" w:rsidRPr="00727038" w14:paraId="1278C2FB" w14:textId="77777777" w:rsidTr="00A15450">
        <w:tc>
          <w:tcPr>
            <w:tcW w:w="1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99F1" w14:textId="77777777" w:rsidR="002C7328" w:rsidRPr="0032259F" w:rsidRDefault="002C7328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8472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1F7B6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Back pain, myalgia, bone pain</w:t>
            </w:r>
          </w:p>
        </w:tc>
      </w:tr>
      <w:tr w:rsidR="002C7328" w:rsidRPr="0032259F" w14:paraId="5D2A6DA3" w14:textId="77777777" w:rsidTr="00A15450"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E40F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Renal and urinary disorders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FB39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A97F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Chromaturia</w:t>
            </w:r>
          </w:p>
        </w:tc>
      </w:tr>
      <w:tr w:rsidR="002C7328" w:rsidRPr="0032259F" w14:paraId="14BAA945" w14:textId="77777777" w:rsidTr="00A15450">
        <w:tc>
          <w:tcPr>
            <w:tcW w:w="1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289D" w14:textId="45C21E68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General disorders and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administration site conditions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4167" w14:textId="0FC27084" w:rsidR="002C7328" w:rsidRPr="0032259F" w:rsidRDefault="002C7328" w:rsidP="00343365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Very</w:t>
            </w:r>
            <w:r w:rsidR="00343365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F58B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Fatigue, pyrexia, chills</w:t>
            </w:r>
          </w:p>
        </w:tc>
      </w:tr>
      <w:tr w:rsidR="002C7328" w:rsidRPr="0032259F" w14:paraId="3624E905" w14:textId="77777777" w:rsidTr="00A15450">
        <w:tc>
          <w:tcPr>
            <w:tcW w:w="1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C7263" w14:textId="77777777" w:rsidR="002C7328" w:rsidRPr="0032259F" w:rsidRDefault="002C7328">
            <w:pPr>
              <w:rPr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3442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77DC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Asthenia, oedema peripheral, malaise</w:t>
            </w:r>
          </w:p>
        </w:tc>
      </w:tr>
      <w:tr w:rsidR="002C7328" w:rsidRPr="0032259F" w14:paraId="24E4E3E3" w14:textId="77777777" w:rsidTr="00A15450"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4433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Investigations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3B23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Common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62B0" w14:textId="77777777" w:rsidR="002C7328" w:rsidRPr="0032259F" w:rsidRDefault="002C7328">
            <w:pPr>
              <w:tabs>
                <w:tab w:val="left" w:pos="1304"/>
              </w:tabs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Blood creatine phosphokinase increased</w:t>
            </w:r>
          </w:p>
        </w:tc>
      </w:tr>
    </w:tbl>
    <w:p w14:paraId="7C074F28" w14:textId="77777777" w:rsidR="002C7328" w:rsidRPr="0032259F" w:rsidRDefault="002C7328" w:rsidP="002C7328">
      <w:pPr>
        <w:shd w:val="clear" w:color="auto" w:fill="FFFFFF"/>
        <w:tabs>
          <w:tab w:val="left" w:pos="1304"/>
        </w:tabs>
        <w:rPr>
          <w:sz w:val="24"/>
          <w:szCs w:val="24"/>
          <w:lang w:val="en-GB" w:eastAsia="en-US"/>
        </w:rPr>
      </w:pPr>
    </w:p>
    <w:p w14:paraId="3F74AD9D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sz w:val="24"/>
          <w:szCs w:val="24"/>
          <w:u w:val="single"/>
          <w:lang w:val="en-GB" w:eastAsia="en-GB"/>
        </w:rPr>
        <w:t>Description of selected adverse reactions</w:t>
      </w:r>
    </w:p>
    <w:p w14:paraId="7A353214" w14:textId="77777777" w:rsidR="002C7328" w:rsidRPr="0032259F" w:rsidRDefault="002C7328" w:rsidP="00A15450">
      <w:pPr>
        <w:ind w:left="851"/>
        <w:rPr>
          <w:sz w:val="24"/>
          <w:szCs w:val="24"/>
          <w:lang w:val="en-GB" w:eastAsia="en-US"/>
        </w:rPr>
      </w:pPr>
    </w:p>
    <w:p w14:paraId="65CF257F" w14:textId="77777777" w:rsidR="002C7328" w:rsidRPr="0032259F" w:rsidRDefault="002C7328" w:rsidP="00A15450">
      <w:pPr>
        <w:ind w:left="851"/>
        <w:rPr>
          <w:rFonts w:eastAsia="SimSun"/>
          <w:i/>
          <w:iCs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i/>
          <w:iCs/>
          <w:sz w:val="24"/>
          <w:szCs w:val="24"/>
          <w:u w:val="single"/>
          <w:lang w:val="en-GB" w:eastAsia="en-GB"/>
        </w:rPr>
        <w:t>Thrombotic/thromboembolic events (TEEs)</w:t>
      </w:r>
    </w:p>
    <w:p w14:paraId="56DE5945" w14:textId="77777777" w:rsidR="002C7328" w:rsidRPr="0032259F" w:rsidRDefault="002C7328" w:rsidP="00A15450">
      <w:pPr>
        <w:ind w:left="851"/>
        <w:rPr>
          <w:rFonts w:eastAsia="SimSun"/>
          <w:i/>
          <w:iCs/>
          <w:sz w:val="24"/>
          <w:szCs w:val="24"/>
          <w:lang w:val="en-GB" w:eastAsia="en-GB"/>
        </w:rPr>
      </w:pPr>
    </w:p>
    <w:p w14:paraId="783F4DCB" w14:textId="72461F92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In 3 controlled and 2 uncontrolled clinical studies among adult ITP patients receiving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(n=446), 17 patients experienced a total of 19 TEEs, which included (in descending order of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occurrence) deep vein thrombosis (n=6), pulmonary embolism (n=6), acute myocardial infarction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(n=2), cerebral infarction (n=2), embolism (n=1) (see section 4.4).</w:t>
      </w:r>
    </w:p>
    <w:p w14:paraId="2F985298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01A54FCA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In a placebo-controlled study (n=288, Safety population), following 2 weeks</w:t>
      </w:r>
      <w:r w:rsidRPr="0032259F">
        <w:rPr>
          <w:rFonts w:eastAsia="TimesNewRomanPSMT"/>
          <w:sz w:val="24"/>
          <w:szCs w:val="24"/>
          <w:lang w:val="en-GB" w:eastAsia="en-GB"/>
        </w:rPr>
        <w:t xml:space="preserve">’ </w:t>
      </w:r>
      <w:r w:rsidRPr="0032259F">
        <w:rPr>
          <w:rFonts w:eastAsia="SimSun"/>
          <w:sz w:val="24"/>
          <w:szCs w:val="24"/>
          <w:lang w:val="en-GB" w:eastAsia="en-GB"/>
        </w:rPr>
        <w:t xml:space="preserve">treatment in preparation for invasive procedures, 6 of 143 (4%) adult patients with chronic liver disease receiving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experienced 7 TEEs of the portal venous system and 2 of 145 (1%) patients in the placebo group experienced 3 TEEs. Five of the 6 patients treated with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experienced the TEE at a platelet count &gt;200 000/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μl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.</w:t>
      </w:r>
    </w:p>
    <w:p w14:paraId="3DF29F32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5AE70C8D" w14:textId="40A3AC85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No specific risk factors were identified in those patients who experienced a TEE with the exception of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platelet counts </w:t>
      </w:r>
      <w:r w:rsidRPr="0032259F">
        <w:rPr>
          <w:rFonts w:eastAsia="TimesNewRomanPSMT"/>
          <w:sz w:val="24"/>
          <w:szCs w:val="24"/>
          <w:lang w:val="en-GB" w:eastAsia="en-GB"/>
        </w:rPr>
        <w:t xml:space="preserve">≥200 </w:t>
      </w:r>
      <w:r w:rsidRPr="0032259F">
        <w:rPr>
          <w:rFonts w:eastAsia="SimSun"/>
          <w:sz w:val="24"/>
          <w:szCs w:val="24"/>
          <w:lang w:val="en-GB" w:eastAsia="en-GB"/>
        </w:rPr>
        <w:t>000/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μl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(see section 4.4).</w:t>
      </w:r>
    </w:p>
    <w:p w14:paraId="6CD950D7" w14:textId="77777777" w:rsidR="002C7328" w:rsidRPr="0032259F" w:rsidRDefault="002C7328" w:rsidP="00A15450">
      <w:pPr>
        <w:ind w:left="851"/>
        <w:rPr>
          <w:sz w:val="24"/>
          <w:szCs w:val="24"/>
          <w:lang w:val="en-GB" w:eastAsia="en-US"/>
        </w:rPr>
      </w:pPr>
    </w:p>
    <w:p w14:paraId="0585EDCA" w14:textId="3734EAD6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In controlled studies in thrombocytopenic patients with HCV (n=1 439), 38 out of 955 patients (4%)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treated with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experienced a TEE and 6 out of 484 patients (1%) in the placebo group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experienced TEEs. Portal vein thrombosis was the most common TEE in both treatment groups (2% in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patients treated with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versus &lt;1% for placebo) (see section 4.4). Patients with low albumin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TimesNewRomanPSMT"/>
          <w:sz w:val="24"/>
          <w:szCs w:val="24"/>
          <w:lang w:val="en-GB" w:eastAsia="en-GB"/>
        </w:rPr>
        <w:t>levels (≤35 </w:t>
      </w:r>
      <w:r w:rsidRPr="0032259F">
        <w:rPr>
          <w:rFonts w:eastAsia="SimSun"/>
          <w:sz w:val="24"/>
          <w:szCs w:val="24"/>
          <w:lang w:val="en-GB" w:eastAsia="en-GB"/>
        </w:rPr>
        <w:t xml:space="preserve">g/l) or </w:t>
      </w:r>
      <w:r w:rsidRPr="0032259F">
        <w:rPr>
          <w:rFonts w:eastAsia="TimesNewRomanPSMT"/>
          <w:sz w:val="24"/>
          <w:szCs w:val="24"/>
          <w:lang w:val="en-GB" w:eastAsia="en-GB"/>
        </w:rPr>
        <w:t xml:space="preserve">MELD ≥10 had a </w:t>
      </w:r>
      <w:r w:rsidRPr="0032259F">
        <w:rPr>
          <w:rFonts w:eastAsia="SimSun"/>
          <w:sz w:val="24"/>
          <w:szCs w:val="24"/>
          <w:lang w:val="en-GB" w:eastAsia="en-GB"/>
        </w:rPr>
        <w:t xml:space="preserve">2-fold </w:t>
      </w:r>
      <w:r w:rsidRPr="0032259F">
        <w:rPr>
          <w:rFonts w:eastAsia="SimSun"/>
          <w:sz w:val="24"/>
          <w:szCs w:val="24"/>
          <w:lang w:val="en-GB" w:eastAsia="en-GB"/>
        </w:rPr>
        <w:lastRenderedPageBreak/>
        <w:t xml:space="preserve">greater risk of TEEs than those with higher albumin levels; </w:t>
      </w:r>
      <w:r w:rsidRPr="0032259F">
        <w:rPr>
          <w:rFonts w:eastAsia="TimesNewRomanPSMT"/>
          <w:sz w:val="24"/>
          <w:szCs w:val="24"/>
          <w:lang w:val="en-GB" w:eastAsia="en-GB"/>
        </w:rPr>
        <w:t xml:space="preserve">those aged ≥60 </w:t>
      </w:r>
      <w:r w:rsidRPr="0032259F">
        <w:rPr>
          <w:rFonts w:eastAsia="SimSun"/>
          <w:sz w:val="24"/>
          <w:szCs w:val="24"/>
          <w:lang w:val="en-GB" w:eastAsia="en-GB"/>
        </w:rPr>
        <w:t>years had a 2-fold greater risk of TEEs compared to younger patients.</w:t>
      </w:r>
    </w:p>
    <w:p w14:paraId="7E00135B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63F37401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i/>
          <w:iCs/>
          <w:sz w:val="24"/>
          <w:szCs w:val="24"/>
          <w:u w:val="single"/>
          <w:lang w:val="en-GB" w:eastAsia="en-GB"/>
        </w:rPr>
        <w:t>Hepatic decompensation (use with interferon)</w:t>
      </w:r>
    </w:p>
    <w:p w14:paraId="0DB64493" w14:textId="77777777" w:rsidR="002C7328" w:rsidRPr="0032259F" w:rsidRDefault="002C7328" w:rsidP="00A15450">
      <w:pPr>
        <w:ind w:left="851"/>
        <w:rPr>
          <w:sz w:val="24"/>
          <w:szCs w:val="24"/>
          <w:lang w:val="en-GB" w:eastAsia="en-US"/>
        </w:rPr>
      </w:pPr>
    </w:p>
    <w:p w14:paraId="4A84388F" w14:textId="5007B480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Chronic HCV patients with cirrhosis may be at risk of hepatic decompensation when receiving alfa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interferon therapy. In 2 controlled clinical studies in thrombocytopenic patients with HCV, hepatic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decompensation (ascites, hepatic encephalopathy, variceal haemorrhage, spontaneous bacterial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peritonitis) was reported more frequently in the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arm (11%) than in the placebo arm (6%).</w:t>
      </w:r>
    </w:p>
    <w:p w14:paraId="323BB2D2" w14:textId="664619ED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TimesNewRomanPSMT"/>
          <w:sz w:val="24"/>
          <w:szCs w:val="24"/>
          <w:lang w:val="en-GB" w:eastAsia="en-GB"/>
        </w:rPr>
        <w:t>In patients with low albumin levels (≤35 </w:t>
      </w:r>
      <w:r w:rsidRPr="0032259F">
        <w:rPr>
          <w:rFonts w:eastAsia="SimSun"/>
          <w:sz w:val="24"/>
          <w:szCs w:val="24"/>
          <w:lang w:val="en-GB" w:eastAsia="en-GB"/>
        </w:rPr>
        <w:t xml:space="preserve">g/l) or MELD score </w:t>
      </w:r>
      <w:r w:rsidRPr="0032259F">
        <w:rPr>
          <w:rFonts w:eastAsia="TimesNewRomanPSMT"/>
          <w:sz w:val="24"/>
          <w:szCs w:val="24"/>
          <w:lang w:val="en-GB" w:eastAsia="en-GB"/>
        </w:rPr>
        <w:t xml:space="preserve">≥10 at baseline, there was a </w:t>
      </w:r>
      <w:r w:rsidRPr="0032259F">
        <w:rPr>
          <w:rFonts w:eastAsia="SimSun"/>
          <w:sz w:val="24"/>
          <w:szCs w:val="24"/>
          <w:lang w:val="en-GB" w:eastAsia="en-GB"/>
        </w:rPr>
        <w:t>3-fold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greater risk of hepatic decompensation and an increase in the risk of a fatal adverse event compared to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those with less advanced liver disease.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should only be administered to such patients after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careful consideration of the expected benefits in comparison with the risks. Patients with these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characteristics should be closely monitored for signs and symptoms of hepatic decompensation (see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section 4.4).</w:t>
      </w:r>
    </w:p>
    <w:p w14:paraId="3747E3ED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5BFFD96E" w14:textId="77777777" w:rsidR="002C7328" w:rsidRPr="0032259F" w:rsidRDefault="002C7328" w:rsidP="00A15450">
      <w:pPr>
        <w:ind w:left="851"/>
        <w:rPr>
          <w:rFonts w:eastAsia="SimSun"/>
          <w:i/>
          <w:iCs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i/>
          <w:iCs/>
          <w:sz w:val="24"/>
          <w:szCs w:val="24"/>
          <w:u w:val="single"/>
          <w:lang w:val="en-GB" w:eastAsia="en-GB"/>
        </w:rPr>
        <w:t>Hepatotoxicity</w:t>
      </w:r>
    </w:p>
    <w:p w14:paraId="0145451B" w14:textId="77777777" w:rsidR="002C7328" w:rsidRPr="0032259F" w:rsidRDefault="002C7328" w:rsidP="00A15450">
      <w:pPr>
        <w:ind w:left="851"/>
        <w:rPr>
          <w:rFonts w:eastAsia="SimSun"/>
          <w:iCs/>
          <w:sz w:val="24"/>
          <w:szCs w:val="24"/>
          <w:lang w:val="en-GB" w:eastAsia="en-GB"/>
        </w:rPr>
      </w:pPr>
    </w:p>
    <w:p w14:paraId="083AB075" w14:textId="5F7C426F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In the controlled clinical studies in chronic ITP with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, increases in serum ALT, AST and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bilirubin were observed (see section 4.4).</w:t>
      </w:r>
    </w:p>
    <w:p w14:paraId="4E903C3D" w14:textId="77777777" w:rsidR="002C7328" w:rsidRPr="0032259F" w:rsidRDefault="002C7328" w:rsidP="00A15450">
      <w:pPr>
        <w:ind w:left="851"/>
        <w:rPr>
          <w:sz w:val="24"/>
          <w:szCs w:val="24"/>
          <w:lang w:val="en-GB" w:eastAsia="en-US"/>
        </w:rPr>
      </w:pPr>
    </w:p>
    <w:p w14:paraId="2DA12547" w14:textId="1C8C59FB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These findings were mostly mild (Grade 1-2), reversible and not accompanied by clinically significant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symptoms that would indicate an impaired liver function. Across the 3 placebo-controlled studies in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adults with chronic ITP, 1 patient in the placebo group and 1 patient in the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group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experienced a Grade 4 liver test abnormality. In two placebo-controlled studies in paediatric patients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(aged 1 to 17 years) with chronic ITP, ALT </w:t>
      </w:r>
      <w:r w:rsidRPr="0032259F">
        <w:rPr>
          <w:rFonts w:eastAsia="SymbolMT"/>
          <w:sz w:val="24"/>
          <w:szCs w:val="24"/>
          <w:lang w:val="en-GB" w:eastAsia="en-GB"/>
        </w:rPr>
        <w:t>≥</w:t>
      </w:r>
      <w:r w:rsidRPr="0032259F">
        <w:rPr>
          <w:rFonts w:eastAsia="SimSun"/>
          <w:sz w:val="24"/>
          <w:szCs w:val="24"/>
          <w:lang w:val="en-GB" w:eastAsia="en-GB"/>
        </w:rPr>
        <w:t>3 x ULN was reported in 4.7% and 0% of the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and placebo groups, respectively.</w:t>
      </w:r>
    </w:p>
    <w:p w14:paraId="1A1FD276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666CFC36" w14:textId="27615518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In 2 controlled clinical studies in patients with HCV, ALT or AST </w:t>
      </w:r>
      <w:r w:rsidRPr="0032259F">
        <w:rPr>
          <w:rFonts w:eastAsia="SymbolMT"/>
          <w:sz w:val="24"/>
          <w:szCs w:val="24"/>
          <w:lang w:val="en-GB" w:eastAsia="en-GB"/>
        </w:rPr>
        <w:t>≥</w:t>
      </w:r>
      <w:r w:rsidRPr="0032259F">
        <w:rPr>
          <w:rFonts w:eastAsia="SimSun"/>
          <w:sz w:val="24"/>
          <w:szCs w:val="24"/>
          <w:lang w:val="en-GB" w:eastAsia="en-GB"/>
        </w:rPr>
        <w:t xml:space="preserve">3 x ULN was reported in 34% and 38% of the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and placebo groups, respectively. Most patients receiving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in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combination with peginterferon / ribavirin therapy will experience indirect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hyperbilirubinaemia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.</w:t>
      </w:r>
      <w:r w:rsidR="00F943F8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TimesNewRomanPSMT"/>
          <w:sz w:val="24"/>
          <w:szCs w:val="24"/>
          <w:lang w:val="en-GB" w:eastAsia="en-GB"/>
        </w:rPr>
        <w:t xml:space="preserve">Overall, total bilirubin ≥1.5 </w:t>
      </w:r>
      <w:r w:rsidRPr="0032259F">
        <w:rPr>
          <w:rFonts w:eastAsia="SimSun"/>
          <w:sz w:val="24"/>
          <w:szCs w:val="24"/>
          <w:lang w:val="en-GB" w:eastAsia="en-GB"/>
        </w:rPr>
        <w:t xml:space="preserve">x ULN was reported in 76% and 50% of the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and placebo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groups, respectively.</w:t>
      </w:r>
    </w:p>
    <w:p w14:paraId="7E149428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195BE446" w14:textId="67C72046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In the single-arm phase II monotherapy refractory SAA study, concurrent ALT or AST &gt;3 x ULN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with total (indirect) bilirubin &gt;1.5 x ULN were reported in 5% of patients. Total bilirubin &gt;1.5 x ULN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occurred in 14% of patients.</w:t>
      </w:r>
    </w:p>
    <w:p w14:paraId="755100C8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3F97F111" w14:textId="77777777" w:rsidR="002C7328" w:rsidRPr="0032259F" w:rsidRDefault="002C7328" w:rsidP="00A15450">
      <w:pPr>
        <w:ind w:left="851"/>
        <w:rPr>
          <w:rFonts w:eastAsia="SimSun"/>
          <w:i/>
          <w:iCs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i/>
          <w:iCs/>
          <w:sz w:val="24"/>
          <w:szCs w:val="24"/>
          <w:u w:val="single"/>
          <w:lang w:val="en-GB" w:eastAsia="en-GB"/>
        </w:rPr>
        <w:t>Thrombocytopenia following discontinuation of treatment</w:t>
      </w:r>
    </w:p>
    <w:p w14:paraId="4307EF1E" w14:textId="77777777" w:rsidR="002C7328" w:rsidRPr="0032259F" w:rsidRDefault="002C7328" w:rsidP="00A15450">
      <w:pPr>
        <w:ind w:left="851"/>
        <w:rPr>
          <w:rFonts w:eastAsia="SimSun"/>
          <w:i/>
          <w:iCs/>
          <w:sz w:val="24"/>
          <w:szCs w:val="24"/>
          <w:lang w:val="en-GB" w:eastAsia="en-GB"/>
        </w:rPr>
      </w:pPr>
    </w:p>
    <w:p w14:paraId="2BFBD023" w14:textId="7541A492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In the 3 controlled clinical ITP studies, transient decreases in platelet counts to levels lower than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baseline were observed following discontinuation of treatment in 8% and 8% of the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and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placebo groups, respectively (see section 4.4).</w:t>
      </w:r>
    </w:p>
    <w:p w14:paraId="766C91C6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3E214893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i/>
          <w:iCs/>
          <w:sz w:val="24"/>
          <w:szCs w:val="24"/>
          <w:u w:val="single"/>
          <w:lang w:val="en-GB" w:eastAsia="en-GB"/>
        </w:rPr>
        <w:t>Increased bone marrow reticulin</w:t>
      </w:r>
    </w:p>
    <w:p w14:paraId="1DE9FBC2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7769754F" w14:textId="65626CB9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Across the programme, no patients had evidence of clinically relevant bone marrow abnormalities or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clinical findings that would indicate bone marrow dysfunction. In a small number of ITP patients,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treatment was discontinued due to bone marrow reticulin (see section 4.4).</w:t>
      </w:r>
    </w:p>
    <w:p w14:paraId="23C65DE6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0C0D0052" w14:textId="77777777" w:rsidR="002C7328" w:rsidRPr="0032259F" w:rsidRDefault="002C7328" w:rsidP="00A15450">
      <w:pPr>
        <w:ind w:left="851"/>
        <w:rPr>
          <w:rFonts w:eastAsia="SimSun"/>
          <w:i/>
          <w:iCs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i/>
          <w:iCs/>
          <w:sz w:val="24"/>
          <w:szCs w:val="24"/>
          <w:u w:val="single"/>
          <w:lang w:val="en-GB" w:eastAsia="en-GB"/>
        </w:rPr>
        <w:t>Cytogenetic abnormalities</w:t>
      </w:r>
    </w:p>
    <w:p w14:paraId="69D2135E" w14:textId="77777777" w:rsidR="002C7328" w:rsidRPr="0032259F" w:rsidRDefault="002C7328" w:rsidP="00A15450">
      <w:pPr>
        <w:ind w:left="851"/>
        <w:rPr>
          <w:rFonts w:eastAsia="SimSun"/>
          <w:iCs/>
          <w:sz w:val="24"/>
          <w:szCs w:val="24"/>
          <w:lang w:val="en-GB" w:eastAsia="en-GB"/>
        </w:rPr>
      </w:pPr>
    </w:p>
    <w:p w14:paraId="4F829D11" w14:textId="6C8A321D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In the phase II refractory SAA clinical study with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with a starting dose of 50 mg/day</w:t>
      </w:r>
      <w:r w:rsidR="0034336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(escalated every 2 weeks to a maximum of 150 mg/day) (ELT112523), the incidence of new</w:t>
      </w:r>
      <w:r w:rsidR="002C14C2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cytogenetic abnormalities was observed in 17.1% of adult patients [7/41 (where 4 of them had changes</w:t>
      </w:r>
      <w:r w:rsidR="002C14C2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in chromosome 7)]. The median time on study to a cytogenetic abnormality was 2.9 months.</w:t>
      </w:r>
    </w:p>
    <w:p w14:paraId="60D0765B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3FB7488A" w14:textId="3686D25E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In the phase II refractory SAA clinical study with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at a dose of 150 mg/day (with ethnic or</w:t>
      </w:r>
      <w:r w:rsidR="002C14C2" w:rsidRPr="0032259F">
        <w:rPr>
          <w:rFonts w:eastAsia="SimSun"/>
          <w:sz w:val="24"/>
          <w:szCs w:val="24"/>
          <w:lang w:val="en-GB" w:eastAsia="en-GB"/>
        </w:rPr>
        <w:t xml:space="preserve"> </w:t>
      </w:r>
      <w:proofErr w:type="gramStart"/>
      <w:r w:rsidRPr="0032259F">
        <w:rPr>
          <w:rFonts w:eastAsia="SimSun"/>
          <w:sz w:val="24"/>
          <w:szCs w:val="24"/>
          <w:lang w:val="en-GB" w:eastAsia="en-GB"/>
        </w:rPr>
        <w:t>age related</w:t>
      </w:r>
      <w:proofErr w:type="gramEnd"/>
      <w:r w:rsidRPr="0032259F">
        <w:rPr>
          <w:rFonts w:eastAsia="SimSun"/>
          <w:sz w:val="24"/>
          <w:szCs w:val="24"/>
          <w:lang w:val="en-GB" w:eastAsia="en-GB"/>
        </w:rPr>
        <w:t xml:space="preserve"> modifications as indicated) (ELT116826), the incidence of new cytogenetic abnormalities</w:t>
      </w:r>
      <w:r w:rsidR="002C14C2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was observed in 22.6% of adult patients [7/31 (where 3 of them had changes in chromosome 7)]. All</w:t>
      </w:r>
      <w:r w:rsidR="002C14C2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7 patients had normal cytogenetics at baseline. Six patients had cytogenetic abnormality at Month 3 of</w:t>
      </w:r>
      <w:r w:rsidR="002C14C2" w:rsidRPr="0032259F">
        <w:rPr>
          <w:rFonts w:eastAsia="SimSun"/>
          <w:sz w:val="24"/>
          <w:szCs w:val="24"/>
          <w:lang w:val="en-GB" w:eastAsia="en-GB"/>
        </w:rPr>
        <w:t xml:space="preserve">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therapy and one patient had cytogenetic abnormality at Month 6.</w:t>
      </w:r>
    </w:p>
    <w:p w14:paraId="7566AEC5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7F4BB732" w14:textId="77777777" w:rsidR="002C7328" w:rsidRPr="0032259F" w:rsidRDefault="002C7328" w:rsidP="00A15450">
      <w:pPr>
        <w:ind w:left="851"/>
        <w:rPr>
          <w:rFonts w:eastAsia="SimSun"/>
          <w:i/>
          <w:iCs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i/>
          <w:iCs/>
          <w:sz w:val="24"/>
          <w:szCs w:val="24"/>
          <w:u w:val="single"/>
          <w:lang w:val="en-GB" w:eastAsia="en-GB"/>
        </w:rPr>
        <w:t>Haematologic malignancies</w:t>
      </w:r>
    </w:p>
    <w:p w14:paraId="16BFEE48" w14:textId="77777777" w:rsidR="002C7328" w:rsidRPr="0032259F" w:rsidRDefault="002C7328" w:rsidP="00A15450">
      <w:pPr>
        <w:ind w:left="851"/>
        <w:rPr>
          <w:rFonts w:eastAsia="SimSun"/>
          <w:i/>
          <w:iCs/>
          <w:sz w:val="24"/>
          <w:szCs w:val="24"/>
          <w:lang w:val="en-GB" w:eastAsia="en-GB"/>
        </w:rPr>
      </w:pPr>
    </w:p>
    <w:p w14:paraId="39609651" w14:textId="69CD7AD0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In the single-arm, open-label study in SAA, three (7%) patients were diagnosed with MDS following</w:t>
      </w:r>
      <w:r w:rsidR="002C14C2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treatment with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, in the two ongoing studies (ELT116826 and ELT116643), 1/28 (4%) and</w:t>
      </w:r>
      <w:r w:rsidR="002C14C2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1/62 (2%) patient has been diagnosed with MDS or AML in each study.</w:t>
      </w:r>
    </w:p>
    <w:p w14:paraId="49738408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69978FC2" w14:textId="77777777" w:rsidR="00A15450" w:rsidRPr="0032259F" w:rsidRDefault="00A15450" w:rsidP="00A15450">
      <w:pPr>
        <w:ind w:left="851"/>
        <w:rPr>
          <w:sz w:val="24"/>
          <w:szCs w:val="24"/>
          <w:u w:val="single"/>
          <w:lang w:val="en-GB"/>
        </w:rPr>
      </w:pPr>
      <w:r w:rsidRPr="0032259F">
        <w:rPr>
          <w:sz w:val="24"/>
          <w:szCs w:val="24"/>
          <w:u w:val="single"/>
          <w:lang w:val="en-GB"/>
        </w:rPr>
        <w:t>Reporting of suspected adverse reactions</w:t>
      </w:r>
    </w:p>
    <w:p w14:paraId="7672EDEC" w14:textId="77777777" w:rsidR="00A15450" w:rsidRPr="0032259F" w:rsidRDefault="00A15450" w:rsidP="00A15450">
      <w:pPr>
        <w:ind w:left="851"/>
        <w:rPr>
          <w:sz w:val="24"/>
          <w:szCs w:val="24"/>
          <w:lang w:val="en-GB"/>
        </w:rPr>
      </w:pPr>
      <w:r w:rsidRPr="0032259F">
        <w:rPr>
          <w:sz w:val="24"/>
          <w:szCs w:val="24"/>
          <w:lang w:val="en-GB"/>
        </w:rPr>
        <w:t>Reporting suspected adverse reactions after authorisation of the medicinal product is important. It allows continued monitoring of the benefit/risk balance of the medicinal product. Healthcare professionals are asked to report any suspected adverse reactions via:</w:t>
      </w:r>
    </w:p>
    <w:p w14:paraId="321E7EE1" w14:textId="77777777" w:rsidR="00A15450" w:rsidRPr="0032259F" w:rsidRDefault="00A15450" w:rsidP="00A15450">
      <w:pPr>
        <w:ind w:left="851"/>
        <w:rPr>
          <w:sz w:val="24"/>
          <w:szCs w:val="24"/>
          <w:lang w:val="en-GB"/>
        </w:rPr>
      </w:pPr>
    </w:p>
    <w:p w14:paraId="56F6593A" w14:textId="77777777" w:rsidR="00A15450" w:rsidRPr="00727038" w:rsidRDefault="00A15450" w:rsidP="00A15450">
      <w:pPr>
        <w:ind w:left="851"/>
        <w:rPr>
          <w:sz w:val="24"/>
          <w:szCs w:val="24"/>
        </w:rPr>
      </w:pPr>
      <w:r w:rsidRPr="00727038">
        <w:rPr>
          <w:sz w:val="24"/>
          <w:szCs w:val="24"/>
        </w:rPr>
        <w:t>Lægemiddelstyrelsen</w:t>
      </w:r>
    </w:p>
    <w:p w14:paraId="43C9D798" w14:textId="77777777" w:rsidR="00A15450" w:rsidRPr="00727038" w:rsidRDefault="00A15450" w:rsidP="00A15450">
      <w:pPr>
        <w:ind w:left="851"/>
        <w:rPr>
          <w:sz w:val="24"/>
          <w:szCs w:val="24"/>
        </w:rPr>
      </w:pPr>
      <w:r w:rsidRPr="00727038">
        <w:rPr>
          <w:sz w:val="24"/>
          <w:szCs w:val="24"/>
        </w:rPr>
        <w:t>Axel Heides Gade 1</w:t>
      </w:r>
    </w:p>
    <w:p w14:paraId="3160ADAC" w14:textId="77777777" w:rsidR="00A15450" w:rsidRPr="00727038" w:rsidRDefault="00A15450" w:rsidP="00A15450">
      <w:pPr>
        <w:ind w:left="851"/>
        <w:rPr>
          <w:sz w:val="24"/>
          <w:szCs w:val="24"/>
        </w:rPr>
      </w:pPr>
      <w:r w:rsidRPr="00727038">
        <w:rPr>
          <w:sz w:val="24"/>
          <w:szCs w:val="24"/>
        </w:rPr>
        <w:t>DK-2300 København S</w:t>
      </w:r>
    </w:p>
    <w:p w14:paraId="64F375F3" w14:textId="77777777" w:rsidR="00A15450" w:rsidRPr="0032259F" w:rsidRDefault="00A15450" w:rsidP="00A15450">
      <w:pPr>
        <w:ind w:left="851"/>
        <w:rPr>
          <w:sz w:val="24"/>
          <w:szCs w:val="24"/>
          <w:lang w:val="en-GB"/>
        </w:rPr>
      </w:pPr>
      <w:r w:rsidRPr="0032259F">
        <w:rPr>
          <w:sz w:val="24"/>
          <w:szCs w:val="24"/>
          <w:lang w:val="en-GB"/>
        </w:rPr>
        <w:t>Website: www.meldenbivirkning.dk</w:t>
      </w:r>
    </w:p>
    <w:p w14:paraId="70F7D4EE" w14:textId="77777777" w:rsidR="007C5D2A" w:rsidRPr="0032259F" w:rsidRDefault="007C5D2A" w:rsidP="007A4CC6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6EB09795" w14:textId="77777777" w:rsidR="007C5D2A" w:rsidRPr="0032259F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32259F">
        <w:rPr>
          <w:b/>
          <w:sz w:val="24"/>
          <w:szCs w:val="24"/>
          <w:lang w:val="en-GB"/>
        </w:rPr>
        <w:t>4.9</w:t>
      </w:r>
      <w:r w:rsidRPr="0032259F">
        <w:rPr>
          <w:b/>
          <w:sz w:val="24"/>
          <w:szCs w:val="24"/>
          <w:lang w:val="en-GB"/>
        </w:rPr>
        <w:tab/>
        <w:t>Overdose</w:t>
      </w:r>
    </w:p>
    <w:p w14:paraId="287D95E7" w14:textId="5319A6BC" w:rsidR="002C7328" w:rsidRPr="0032259F" w:rsidRDefault="002C7328" w:rsidP="00164CEC">
      <w:pPr>
        <w:autoSpaceDE w:val="0"/>
        <w:autoSpaceDN w:val="0"/>
        <w:adjustRightInd w:val="0"/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In the event of overdose, platelet counts may increase excessively and result in</w:t>
      </w:r>
      <w:r w:rsidR="00164CE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thrombotic/thromboembolic complications. In case of an overdose, consideration should be given to</w:t>
      </w:r>
      <w:r w:rsidR="00164CE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oral administration of a metal cation-containing preparation, such as calcium, aluminium, or</w:t>
      </w:r>
      <w:r w:rsidR="00164CE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magnesium preparations to chelate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and thus limit absorption. Platelet counts should be</w:t>
      </w:r>
      <w:r w:rsidR="00164CE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closely monitored. Treatment with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should be reinitiated in accordance with dosing and</w:t>
      </w:r>
      <w:r w:rsidR="00164CE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administration recommendations (see section 4.2).</w:t>
      </w:r>
    </w:p>
    <w:p w14:paraId="74EC75FD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3F7DDA22" w14:textId="7BE161A2" w:rsidR="002C7328" w:rsidRPr="0032259F" w:rsidRDefault="002C7328" w:rsidP="00164CEC">
      <w:pPr>
        <w:autoSpaceDE w:val="0"/>
        <w:autoSpaceDN w:val="0"/>
        <w:adjustRightInd w:val="0"/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In the clinical studies there was one report of overdose where the patient ingested 5 000 mg of</w:t>
      </w:r>
      <w:r w:rsidR="00164CEC" w:rsidRPr="0032259F">
        <w:rPr>
          <w:rFonts w:eastAsia="SimSun"/>
          <w:sz w:val="24"/>
          <w:szCs w:val="24"/>
          <w:lang w:val="en-GB" w:eastAsia="en-GB"/>
        </w:rPr>
        <w:t xml:space="preserve">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. Reported adverse reactions included mild rash, transient bradycardia, ALT and AST</w:t>
      </w:r>
      <w:r w:rsidR="00164CE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elevation, and fatigue. Liver enzymes measured between Days 2 and 18 after ingestion peaked at a</w:t>
      </w:r>
      <w:r w:rsidR="00164CE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1.6-fold ULN in AST, a 3.9-fold ULN in ALT, and a 2.4-fold ULN in total bilirubin. The platelet</w:t>
      </w:r>
      <w:r w:rsidR="00164CE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counts were 672 000/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μl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on Day 18 after ingestion and the maximum platelet count was 929 000/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μl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. All</w:t>
      </w:r>
      <w:r w:rsidR="00164CE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events were resolved without sequelae following treatment.</w:t>
      </w:r>
    </w:p>
    <w:p w14:paraId="5A2616B4" w14:textId="77777777" w:rsidR="002C7328" w:rsidRPr="0032259F" w:rsidRDefault="002C7328" w:rsidP="00A1545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33ECD410" w14:textId="06FBB1CE" w:rsidR="002C7328" w:rsidRPr="0032259F" w:rsidRDefault="002C7328" w:rsidP="00164CEC">
      <w:pPr>
        <w:autoSpaceDE w:val="0"/>
        <w:autoSpaceDN w:val="0"/>
        <w:adjustRightInd w:val="0"/>
        <w:ind w:left="851"/>
        <w:rPr>
          <w:spacing w:val="-3"/>
          <w:sz w:val="24"/>
          <w:szCs w:val="24"/>
          <w:u w:val="single"/>
          <w:lang w:val="en-GB" w:eastAsia="en-US"/>
        </w:rPr>
      </w:pPr>
      <w:r w:rsidRPr="0032259F">
        <w:rPr>
          <w:rFonts w:eastAsia="SimSun"/>
          <w:sz w:val="24"/>
          <w:szCs w:val="24"/>
          <w:lang w:val="en-GB" w:eastAsia="en-GB"/>
        </w:rPr>
        <w:lastRenderedPageBreak/>
        <w:t xml:space="preserve">Because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is not significantly renally excreted and is highly bound to plasma proteins,</w:t>
      </w:r>
      <w:r w:rsidR="00164CE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haemodialysis would not be expected to be an effective method to enhance the elimination of</w:t>
      </w:r>
      <w:r w:rsidR="00164CEC" w:rsidRPr="0032259F">
        <w:rPr>
          <w:rFonts w:eastAsia="SimSun"/>
          <w:sz w:val="24"/>
          <w:szCs w:val="24"/>
          <w:lang w:val="en-GB" w:eastAsia="en-GB"/>
        </w:rPr>
        <w:t xml:space="preserve">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.</w:t>
      </w:r>
    </w:p>
    <w:p w14:paraId="25A2ABF9" w14:textId="77777777" w:rsidR="007C5D2A" w:rsidRPr="0032259F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6CAC403A" w14:textId="77777777" w:rsidR="008F2F8C" w:rsidRPr="0032259F" w:rsidRDefault="0042292D" w:rsidP="0042292D">
      <w:pPr>
        <w:tabs>
          <w:tab w:val="left" w:pos="851"/>
        </w:tabs>
        <w:rPr>
          <w:b/>
          <w:sz w:val="24"/>
          <w:szCs w:val="24"/>
          <w:lang w:val="en-GB"/>
        </w:rPr>
      </w:pPr>
      <w:r w:rsidRPr="0032259F">
        <w:rPr>
          <w:b/>
          <w:sz w:val="24"/>
          <w:szCs w:val="24"/>
          <w:lang w:val="en-GB"/>
        </w:rPr>
        <w:t>4.10</w:t>
      </w:r>
      <w:r w:rsidRPr="0032259F">
        <w:rPr>
          <w:b/>
          <w:sz w:val="24"/>
          <w:szCs w:val="24"/>
          <w:lang w:val="en-GB"/>
        </w:rPr>
        <w:tab/>
        <w:t>Legal status</w:t>
      </w:r>
    </w:p>
    <w:p w14:paraId="2728E9EE" w14:textId="717C0BB0" w:rsidR="00AD2E36" w:rsidRPr="0032259F" w:rsidRDefault="00A15450" w:rsidP="00AD2E36">
      <w:pPr>
        <w:tabs>
          <w:tab w:val="left" w:pos="851"/>
        </w:tabs>
        <w:ind w:left="851"/>
        <w:rPr>
          <w:sz w:val="24"/>
          <w:szCs w:val="24"/>
          <w:lang w:val="en-GB"/>
        </w:rPr>
      </w:pPr>
      <w:r w:rsidRPr="0032259F">
        <w:rPr>
          <w:sz w:val="24"/>
          <w:szCs w:val="24"/>
          <w:lang w:val="en-GB"/>
        </w:rPr>
        <w:t>BEGR (only for hospitals)</w:t>
      </w:r>
    </w:p>
    <w:p w14:paraId="67A328D9" w14:textId="77777777" w:rsidR="007C5D2A" w:rsidRPr="0032259F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7963016B" w14:textId="77777777" w:rsidR="00AD2E36" w:rsidRPr="0032259F" w:rsidRDefault="00AD2E36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663A57FC" w14:textId="77777777" w:rsidR="007C5D2A" w:rsidRPr="0032259F" w:rsidRDefault="007C5D2A" w:rsidP="007C5D2A">
      <w:pPr>
        <w:tabs>
          <w:tab w:val="left" w:pos="851"/>
        </w:tabs>
        <w:rPr>
          <w:b/>
          <w:sz w:val="24"/>
          <w:szCs w:val="24"/>
          <w:lang w:val="en-GB"/>
        </w:rPr>
      </w:pPr>
      <w:r w:rsidRPr="0032259F">
        <w:rPr>
          <w:b/>
          <w:sz w:val="24"/>
          <w:szCs w:val="24"/>
          <w:lang w:val="en-GB"/>
        </w:rPr>
        <w:t>5.</w:t>
      </w:r>
      <w:r w:rsidRPr="0032259F">
        <w:rPr>
          <w:b/>
          <w:sz w:val="24"/>
          <w:szCs w:val="24"/>
          <w:lang w:val="en-GB"/>
        </w:rPr>
        <w:tab/>
        <w:t>PHARMACOLOGICAL PROPERTIES</w:t>
      </w:r>
    </w:p>
    <w:p w14:paraId="674E50F6" w14:textId="77777777" w:rsidR="007C5D2A" w:rsidRPr="0032259F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4284D538" w14:textId="77777777" w:rsidR="007C5D2A" w:rsidRPr="0032259F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32259F">
        <w:rPr>
          <w:b/>
          <w:sz w:val="24"/>
          <w:szCs w:val="24"/>
          <w:lang w:val="en-GB"/>
        </w:rPr>
        <w:t>5.1</w:t>
      </w:r>
      <w:r w:rsidRPr="0032259F">
        <w:rPr>
          <w:b/>
          <w:sz w:val="24"/>
          <w:szCs w:val="24"/>
          <w:lang w:val="en-GB"/>
        </w:rPr>
        <w:tab/>
        <w:t>Pharmacodynamic properties</w:t>
      </w:r>
      <w:r w:rsidRPr="0032259F">
        <w:rPr>
          <w:b/>
          <w:sz w:val="24"/>
          <w:szCs w:val="24"/>
          <w:lang w:val="en-GB"/>
        </w:rPr>
        <w:tab/>
      </w:r>
    </w:p>
    <w:p w14:paraId="729097E7" w14:textId="218F69BE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Pharmacotherapeutic group: Antihemorrhagics, other systemic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hemostatics</w:t>
      </w:r>
      <w:proofErr w:type="spellEnd"/>
      <w:r w:rsidR="00F943F8" w:rsidRPr="0032259F">
        <w:rPr>
          <w:rFonts w:eastAsia="SimSun"/>
          <w:sz w:val="24"/>
          <w:szCs w:val="24"/>
          <w:lang w:val="en-GB" w:eastAsia="en-GB"/>
        </w:rPr>
        <w:t>,</w:t>
      </w:r>
      <w:r w:rsidRPr="0032259F">
        <w:rPr>
          <w:rFonts w:eastAsia="SimSun"/>
          <w:sz w:val="24"/>
          <w:szCs w:val="24"/>
          <w:lang w:val="en-GB" w:eastAsia="en-GB"/>
        </w:rPr>
        <w:t xml:space="preserve"> ATC code: B02BX05.</w:t>
      </w:r>
    </w:p>
    <w:p w14:paraId="3020711B" w14:textId="77777777" w:rsidR="002C7328" w:rsidRPr="0032259F" w:rsidRDefault="002C7328" w:rsidP="00502830">
      <w:pPr>
        <w:ind w:left="851"/>
        <w:rPr>
          <w:sz w:val="24"/>
          <w:szCs w:val="24"/>
          <w:u w:val="single"/>
          <w:lang w:val="en-GB" w:eastAsia="en-US"/>
        </w:rPr>
      </w:pPr>
    </w:p>
    <w:p w14:paraId="679FD9C5" w14:textId="77777777" w:rsidR="002C7328" w:rsidRPr="0032259F" w:rsidRDefault="002C7328" w:rsidP="00502830">
      <w:pPr>
        <w:ind w:left="851"/>
        <w:rPr>
          <w:sz w:val="24"/>
          <w:szCs w:val="24"/>
          <w:u w:val="single"/>
          <w:lang w:val="en-GB"/>
        </w:rPr>
      </w:pPr>
      <w:r w:rsidRPr="0032259F">
        <w:rPr>
          <w:sz w:val="24"/>
          <w:szCs w:val="24"/>
          <w:u w:val="single"/>
          <w:lang w:val="en-GB"/>
        </w:rPr>
        <w:t>Mechanism of action</w:t>
      </w:r>
    </w:p>
    <w:p w14:paraId="7A7246E9" w14:textId="77777777" w:rsidR="002C7328" w:rsidRPr="0032259F" w:rsidRDefault="002C7328" w:rsidP="00502830">
      <w:pPr>
        <w:ind w:left="851"/>
        <w:rPr>
          <w:sz w:val="24"/>
          <w:szCs w:val="24"/>
          <w:u w:val="single"/>
          <w:lang w:val="en-GB"/>
        </w:rPr>
      </w:pPr>
    </w:p>
    <w:p w14:paraId="5F1D25A3" w14:textId="5570D3F7" w:rsidR="002C7328" w:rsidRPr="0032259F" w:rsidRDefault="002C7328" w:rsidP="00502830">
      <w:pPr>
        <w:ind w:left="851"/>
        <w:rPr>
          <w:sz w:val="24"/>
          <w:szCs w:val="24"/>
          <w:u w:val="single"/>
          <w:lang w:val="en-GB" w:eastAsia="en-US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TPO is the main cytokine involved in regulation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megakaryopoiesis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and platelet production, and is</w:t>
      </w:r>
      <w:r w:rsidR="00164CE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the endogenous ligand for the TPO-R.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interacts with the transmembrane domain of the</w:t>
      </w:r>
      <w:r w:rsidR="00164CE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human TPO-R and initiates signalling cascades similar but not identical to that of endogenous</w:t>
      </w:r>
      <w:r w:rsidR="00164CE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thrombopoietin (TPO), inducing proliferation and differentiation from bone marrow progenitor cells.</w:t>
      </w:r>
    </w:p>
    <w:p w14:paraId="7C39B760" w14:textId="77777777" w:rsidR="002C7328" w:rsidRPr="0032259F" w:rsidRDefault="002C7328" w:rsidP="00502830">
      <w:pPr>
        <w:ind w:left="851"/>
        <w:rPr>
          <w:sz w:val="24"/>
          <w:szCs w:val="24"/>
          <w:lang w:val="en-GB"/>
        </w:rPr>
      </w:pPr>
    </w:p>
    <w:p w14:paraId="4D3CE3EC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sz w:val="24"/>
          <w:szCs w:val="24"/>
          <w:u w:val="single"/>
          <w:lang w:val="en-GB" w:eastAsia="en-GB"/>
        </w:rPr>
        <w:t>Clinical efficacy and safety</w:t>
      </w:r>
    </w:p>
    <w:p w14:paraId="3400ACED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u w:val="single"/>
          <w:lang w:val="en-GB" w:eastAsia="en-GB"/>
        </w:rPr>
      </w:pPr>
    </w:p>
    <w:p w14:paraId="18F6D1EC" w14:textId="77777777" w:rsidR="002C7328" w:rsidRPr="0032259F" w:rsidRDefault="002C7328" w:rsidP="00502830">
      <w:pPr>
        <w:ind w:left="851"/>
        <w:rPr>
          <w:rFonts w:eastAsia="SimSun"/>
          <w:i/>
          <w:iCs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i/>
          <w:iCs/>
          <w:sz w:val="24"/>
          <w:szCs w:val="24"/>
          <w:u w:val="single"/>
          <w:lang w:val="en-GB" w:eastAsia="en-GB"/>
        </w:rPr>
        <w:t>Immune (primary) thrombocytopenia (ITP) studies</w:t>
      </w:r>
    </w:p>
    <w:p w14:paraId="4FE00BB2" w14:textId="77777777" w:rsidR="002C7328" w:rsidRPr="0032259F" w:rsidRDefault="002C7328" w:rsidP="00502830">
      <w:pPr>
        <w:ind w:left="851"/>
        <w:rPr>
          <w:rFonts w:eastAsia="SimSun"/>
          <w:i/>
          <w:iCs/>
          <w:sz w:val="24"/>
          <w:szCs w:val="24"/>
          <w:u w:val="single"/>
          <w:lang w:val="en-GB" w:eastAsia="en-GB"/>
        </w:rPr>
      </w:pPr>
    </w:p>
    <w:p w14:paraId="0EC847FF" w14:textId="1D9E73AD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Two </w:t>
      </w:r>
      <w:proofErr w:type="gramStart"/>
      <w:r w:rsidRPr="0032259F">
        <w:rPr>
          <w:rFonts w:eastAsia="SimSun"/>
          <w:sz w:val="24"/>
          <w:szCs w:val="24"/>
          <w:lang w:val="en-GB" w:eastAsia="en-GB"/>
        </w:rPr>
        <w:t>phase</w:t>
      </w:r>
      <w:proofErr w:type="gramEnd"/>
      <w:r w:rsidRPr="0032259F">
        <w:rPr>
          <w:rFonts w:eastAsia="SimSun"/>
          <w:sz w:val="24"/>
          <w:szCs w:val="24"/>
          <w:lang w:val="en-GB" w:eastAsia="en-GB"/>
        </w:rPr>
        <w:t xml:space="preserve"> III, randomised, double-blind, placebo-controlled studies RAISE (TRA102537) and</w:t>
      </w:r>
      <w:r w:rsidR="00164CE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TRA100773B and two open-label studies REPEAT (TRA108057) and EXTEND (TRA105325)</w:t>
      </w:r>
      <w:r w:rsidR="00164CE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evaluated the safety and efficacy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in adult patients with previously treated ITP. Overall,</w:t>
      </w:r>
      <w:r w:rsidR="00164CEC" w:rsidRPr="0032259F">
        <w:rPr>
          <w:rFonts w:eastAsia="SimSun"/>
          <w:sz w:val="24"/>
          <w:szCs w:val="24"/>
          <w:lang w:val="en-GB" w:eastAsia="en-GB"/>
        </w:rPr>
        <w:t xml:space="preserve">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was administered to 277 ITP patients for at least 6 months and 202 patients for at least</w:t>
      </w:r>
      <w:r w:rsidR="00164CE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1 year. The single-arm phase II study TAPER (CETB115J2411) evaluated the safety and efficacy of</w:t>
      </w:r>
      <w:r w:rsidR="00164CEC" w:rsidRPr="0032259F">
        <w:rPr>
          <w:rFonts w:eastAsia="SimSun"/>
          <w:sz w:val="24"/>
          <w:szCs w:val="24"/>
          <w:lang w:val="en-GB" w:eastAsia="en-GB"/>
        </w:rPr>
        <w:t xml:space="preserve">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and its ability to induce sustained response after treatment discontinuation in 105 adult</w:t>
      </w:r>
      <w:r w:rsidR="00164CE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ITP patients who relapsed or failed to respond to first-line corticosteroid treatment.</w:t>
      </w:r>
    </w:p>
    <w:p w14:paraId="347EC7FF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7ECB4A9D" w14:textId="77777777" w:rsidR="002C7328" w:rsidRPr="0032259F" w:rsidRDefault="002C7328" w:rsidP="00502830">
      <w:pPr>
        <w:ind w:left="851"/>
        <w:rPr>
          <w:rFonts w:eastAsia="SimSun"/>
          <w:i/>
          <w:iCs/>
          <w:sz w:val="24"/>
          <w:szCs w:val="24"/>
          <w:lang w:val="en-GB" w:eastAsia="en-GB"/>
        </w:rPr>
      </w:pPr>
      <w:r w:rsidRPr="0032259F">
        <w:rPr>
          <w:rFonts w:eastAsia="SimSun"/>
          <w:i/>
          <w:iCs/>
          <w:sz w:val="24"/>
          <w:szCs w:val="24"/>
          <w:lang w:val="en-GB" w:eastAsia="en-GB"/>
        </w:rPr>
        <w:t>Double-blind placebo-controlled studies</w:t>
      </w:r>
    </w:p>
    <w:p w14:paraId="5FC80BC6" w14:textId="2E3CC6F4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RAISE: 197 ITP patients were randomised 2:1,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(n=135) to placebo (n=62), and</w:t>
      </w:r>
      <w:r w:rsidR="00164CE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randomisation was stratified based upon splenectomy status, use of ITP medicinal products at baseline</w:t>
      </w:r>
      <w:r w:rsidR="00164CE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and baseline platelet count. The dose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was adjusted during the </w:t>
      </w:r>
      <w:proofErr w:type="gramStart"/>
      <w:r w:rsidRPr="0032259F">
        <w:rPr>
          <w:rFonts w:eastAsia="SimSun"/>
          <w:sz w:val="24"/>
          <w:szCs w:val="24"/>
          <w:lang w:val="en-GB" w:eastAsia="en-GB"/>
        </w:rPr>
        <w:t>6 month</w:t>
      </w:r>
      <w:proofErr w:type="gramEnd"/>
      <w:r w:rsidRPr="0032259F">
        <w:rPr>
          <w:rFonts w:eastAsia="SimSun"/>
          <w:sz w:val="24"/>
          <w:szCs w:val="24"/>
          <w:lang w:val="en-GB" w:eastAsia="en-GB"/>
        </w:rPr>
        <w:t xml:space="preserve"> treatment</w:t>
      </w:r>
      <w:r w:rsidR="00164CE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period based on individual platelet counts. All </w:t>
      </w:r>
      <w:proofErr w:type="gramStart"/>
      <w:r w:rsidRPr="0032259F">
        <w:rPr>
          <w:rFonts w:eastAsia="SimSun"/>
          <w:sz w:val="24"/>
          <w:szCs w:val="24"/>
          <w:lang w:val="en-GB" w:eastAsia="en-GB"/>
        </w:rPr>
        <w:t>patients</w:t>
      </w:r>
      <w:r w:rsidR="00F943F8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initiated</w:t>
      </w:r>
      <w:proofErr w:type="gramEnd"/>
      <w:r w:rsidRPr="0032259F">
        <w:rPr>
          <w:rFonts w:eastAsia="SimSun"/>
          <w:sz w:val="24"/>
          <w:szCs w:val="24"/>
          <w:lang w:val="en-GB" w:eastAsia="en-GB"/>
        </w:rPr>
        <w:t xml:space="preserve"> treatment with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50 mg.</w:t>
      </w:r>
      <w:r w:rsidR="00F943F8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From Day 29 to the end of treatment, 15 to 28%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-treated patients were maintained on</w:t>
      </w:r>
      <w:r w:rsidR="00164CE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TimesNewRomanPSMT"/>
          <w:sz w:val="24"/>
          <w:szCs w:val="24"/>
          <w:lang w:val="en-GB" w:eastAsia="en-GB"/>
        </w:rPr>
        <w:t>≤25 </w:t>
      </w:r>
      <w:r w:rsidRPr="0032259F">
        <w:rPr>
          <w:rFonts w:eastAsia="SimSun"/>
          <w:sz w:val="24"/>
          <w:szCs w:val="24"/>
          <w:lang w:val="en-GB" w:eastAsia="en-GB"/>
        </w:rPr>
        <w:t>mg and 29 to 53% received 75 mg.</w:t>
      </w:r>
    </w:p>
    <w:p w14:paraId="18789BA0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108C494B" w14:textId="77D5A66B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In addition, patients could taper off concomitant ITP medicinal products and receive rescue treatments</w:t>
      </w:r>
      <w:r w:rsidR="00164CE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as dictated by </w:t>
      </w:r>
      <w:r w:rsidRPr="0032259F">
        <w:rPr>
          <w:rFonts w:eastAsia="TimesNewRomanPSMT"/>
          <w:sz w:val="24"/>
          <w:szCs w:val="24"/>
          <w:lang w:val="en-GB" w:eastAsia="en-GB"/>
        </w:rPr>
        <w:t>local standard of care. More than half of all patients in each treatment group had ≥3</w:t>
      </w:r>
      <w:r w:rsidR="00164CEC" w:rsidRPr="0032259F">
        <w:rPr>
          <w:rFonts w:eastAsia="TimesNewRomanPSMT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prior ITP therapies and 36% had a prior splenectomy.</w:t>
      </w:r>
    </w:p>
    <w:p w14:paraId="70E48E12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69FBC1FB" w14:textId="4A9444AB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Median platelet counts at baseline were 16 000/</w:t>
      </w:r>
      <w:r w:rsidRPr="0032259F">
        <w:rPr>
          <w:rFonts w:eastAsia="Arial Unicode MS"/>
          <w:sz w:val="24"/>
          <w:szCs w:val="24"/>
          <w:lang w:val="en-GB" w:eastAsia="en-GB"/>
        </w:rPr>
        <w:t>µ</w:t>
      </w:r>
      <w:r w:rsidRPr="0032259F">
        <w:rPr>
          <w:rFonts w:eastAsia="SymbolMT"/>
          <w:sz w:val="24"/>
          <w:szCs w:val="24"/>
          <w:lang w:val="en-GB" w:eastAsia="en-GB"/>
        </w:rPr>
        <w:t xml:space="preserve">l </w:t>
      </w:r>
      <w:r w:rsidRPr="0032259F">
        <w:rPr>
          <w:rFonts w:eastAsia="SimSun"/>
          <w:sz w:val="24"/>
          <w:szCs w:val="24"/>
          <w:lang w:val="en-GB" w:eastAsia="en-GB"/>
        </w:rPr>
        <w:t xml:space="preserve">for both treatment groups and in the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="00164CE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group were maintained above 50 000/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μl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at all on-therapy visits starting at Day </w:t>
      </w:r>
      <w:r w:rsidRPr="0032259F">
        <w:rPr>
          <w:rFonts w:eastAsia="SimSun"/>
          <w:sz w:val="24"/>
          <w:szCs w:val="24"/>
          <w:lang w:val="en-GB" w:eastAsia="en-GB"/>
        </w:rPr>
        <w:lastRenderedPageBreak/>
        <w:t>15; in contrast, median</w:t>
      </w:r>
      <w:r w:rsidR="00164CE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platelet counts in the placebo group remained &lt;30 000/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μl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throughout the study.</w:t>
      </w:r>
    </w:p>
    <w:p w14:paraId="7A4DAE8B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4F5EEB70" w14:textId="754FC5D1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Platelet count response between 50 000-400 000/</w:t>
      </w:r>
      <w:r w:rsidRPr="0032259F">
        <w:rPr>
          <w:rFonts w:eastAsia="Arial Unicode MS"/>
          <w:sz w:val="24"/>
          <w:szCs w:val="24"/>
          <w:lang w:val="en-GB" w:eastAsia="en-GB"/>
        </w:rPr>
        <w:t>µ</w:t>
      </w:r>
      <w:r w:rsidRPr="0032259F">
        <w:rPr>
          <w:rFonts w:eastAsia="SimSun"/>
          <w:sz w:val="24"/>
          <w:szCs w:val="24"/>
          <w:lang w:val="en-GB" w:eastAsia="en-GB"/>
        </w:rPr>
        <w:t xml:space="preserve">l in the absence of rescue treatment was achieved by significantly more patients in the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treated group during the 6-month treatment period,</w:t>
      </w:r>
      <w:r w:rsidR="00164CE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p &lt;0.001. Fifty-four percent of the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-treated patients and 13% of placebo-treated patients</w:t>
      </w:r>
      <w:r w:rsidR="00164CE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achieved this level of response after 6 weeks of treatment. A similar platelet response was maintained</w:t>
      </w:r>
      <w:r w:rsidR="00164CE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throughout the study, with 52% and 16% of patients responding at the end of the 6-month treatment</w:t>
      </w:r>
      <w:r w:rsidR="00164CE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period.</w:t>
      </w:r>
    </w:p>
    <w:p w14:paraId="077B1383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17A84AAE" w14:textId="61F374ED" w:rsidR="002C7328" w:rsidRPr="0032259F" w:rsidRDefault="002C7328" w:rsidP="00F943F8">
      <w:pPr>
        <w:shd w:val="clear" w:color="auto" w:fill="FFFFFF"/>
        <w:ind w:left="1134" w:hanging="1134"/>
        <w:rPr>
          <w:rFonts w:eastAsia="SimSun"/>
          <w:b/>
          <w:bCs/>
          <w:sz w:val="24"/>
          <w:szCs w:val="24"/>
          <w:lang w:val="en-GB" w:eastAsia="en-GB"/>
        </w:rPr>
      </w:pPr>
      <w:r w:rsidRPr="0032259F">
        <w:rPr>
          <w:rFonts w:eastAsia="SimSun"/>
          <w:b/>
          <w:bCs/>
          <w:sz w:val="24"/>
          <w:szCs w:val="24"/>
          <w:lang w:val="en-GB" w:eastAsia="en-GB"/>
        </w:rPr>
        <w:t>Table 4</w:t>
      </w:r>
      <w:r w:rsidR="00F943F8" w:rsidRPr="0032259F">
        <w:rPr>
          <w:rFonts w:eastAsia="SimSun"/>
          <w:b/>
          <w:bCs/>
          <w:sz w:val="24"/>
          <w:szCs w:val="24"/>
          <w:lang w:val="en-GB" w:eastAsia="en-GB"/>
        </w:rPr>
        <w:tab/>
      </w:r>
      <w:r w:rsidRPr="0032259F">
        <w:rPr>
          <w:rFonts w:eastAsia="SimSun"/>
          <w:b/>
          <w:bCs/>
          <w:sz w:val="24"/>
          <w:szCs w:val="24"/>
          <w:lang w:val="en-GB" w:eastAsia="en-GB"/>
        </w:rPr>
        <w:t>Secondary efficacy results from RAISE</w:t>
      </w:r>
    </w:p>
    <w:p w14:paraId="2E45B0A1" w14:textId="77777777" w:rsidR="002C7328" w:rsidRPr="0032259F" w:rsidRDefault="002C7328" w:rsidP="002C7328">
      <w:pPr>
        <w:shd w:val="clear" w:color="auto" w:fill="FFFFFF"/>
        <w:ind w:left="10"/>
        <w:rPr>
          <w:rFonts w:eastAsia="SimSun"/>
          <w:b/>
          <w:bCs/>
          <w:sz w:val="24"/>
          <w:szCs w:val="24"/>
          <w:lang w:val="en-GB" w:eastAsia="en-GB"/>
        </w:rPr>
      </w:pPr>
    </w:p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6316"/>
        <w:gridCol w:w="1660"/>
        <w:gridCol w:w="1652"/>
      </w:tblGrid>
      <w:tr w:rsidR="002C7328" w:rsidRPr="0032259F" w14:paraId="23B711CF" w14:textId="77777777" w:rsidTr="00502830"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EBE7" w14:textId="77777777" w:rsidR="002C7328" w:rsidRPr="0032259F" w:rsidRDefault="002C7328">
            <w:pPr>
              <w:rPr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C77A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2259F">
              <w:rPr>
                <w:sz w:val="24"/>
                <w:szCs w:val="24"/>
              </w:rPr>
              <w:t>Eltrombopag</w:t>
            </w:r>
            <w:proofErr w:type="spellEnd"/>
          </w:p>
          <w:p w14:paraId="4FFC3C88" w14:textId="77777777" w:rsidR="002C7328" w:rsidRPr="0032259F" w:rsidRDefault="002C7328">
            <w:pPr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N=135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0380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Placebo</w:t>
            </w:r>
          </w:p>
          <w:p w14:paraId="2DB21407" w14:textId="77777777" w:rsidR="002C7328" w:rsidRPr="0032259F" w:rsidRDefault="002C7328">
            <w:pPr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N=62</w:t>
            </w:r>
          </w:p>
        </w:tc>
      </w:tr>
      <w:tr w:rsidR="002C7328" w:rsidRPr="0032259F" w14:paraId="59D581AE" w14:textId="77777777" w:rsidTr="0050283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EDB1" w14:textId="77777777" w:rsidR="002C7328" w:rsidRPr="0032259F" w:rsidRDefault="002C7328">
            <w:pPr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Key secondary endpoints</w:t>
            </w:r>
          </w:p>
        </w:tc>
      </w:tr>
      <w:tr w:rsidR="002C7328" w:rsidRPr="0032259F" w14:paraId="5656FE92" w14:textId="77777777" w:rsidTr="00502830">
        <w:trPr>
          <w:trHeight w:val="509"/>
        </w:trPr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65AD" w14:textId="00FBB920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Number of cumulative weeks with platelet counts ≥50 000 to 400 000/</w:t>
            </w:r>
            <w:proofErr w:type="spellStart"/>
            <w:r w:rsidRPr="0032259F">
              <w:rPr>
                <w:sz w:val="24"/>
                <w:szCs w:val="24"/>
              </w:rPr>
              <w:t>μl</w:t>
            </w:r>
            <w:proofErr w:type="spellEnd"/>
            <w:r w:rsidRPr="0032259F">
              <w:rPr>
                <w:sz w:val="24"/>
                <w:szCs w:val="24"/>
              </w:rPr>
              <w:t>, Mean (SD)</w:t>
            </w:r>
          </w:p>
          <w:p w14:paraId="5EA4707E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C7906" w14:textId="77777777" w:rsidR="002C7328" w:rsidRPr="0032259F" w:rsidRDefault="002C7328">
            <w:pPr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11.3 (9.46)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C08E" w14:textId="77777777" w:rsidR="002C7328" w:rsidRPr="0032259F" w:rsidRDefault="002C7328">
            <w:pPr>
              <w:tabs>
                <w:tab w:val="left" w:pos="1304"/>
              </w:tabs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2.4 (5.95)</w:t>
            </w:r>
          </w:p>
        </w:tc>
      </w:tr>
      <w:tr w:rsidR="002C7328" w:rsidRPr="0032259F" w14:paraId="01D05D86" w14:textId="77777777" w:rsidTr="00502830">
        <w:trPr>
          <w:trHeight w:val="238"/>
        </w:trPr>
        <w:tc>
          <w:tcPr>
            <w:tcW w:w="3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11F6" w14:textId="4C5C0369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2259F">
              <w:rPr>
                <w:rFonts w:eastAsia="TimesNewRomanPSMT"/>
                <w:sz w:val="24"/>
                <w:szCs w:val="24"/>
              </w:rPr>
              <w:t>Patients with ≥75% of assessments in the target range (50 000 to 400 000/</w:t>
            </w:r>
            <w:r w:rsidRPr="0032259F">
              <w:rPr>
                <w:rFonts w:eastAsia="Arial Unicode MS"/>
                <w:sz w:val="24"/>
                <w:szCs w:val="24"/>
              </w:rPr>
              <w:t>µ</w:t>
            </w:r>
            <w:r w:rsidRPr="0032259F">
              <w:rPr>
                <w:rFonts w:eastAsia="TimesNewRomanPSMT"/>
                <w:sz w:val="24"/>
                <w:szCs w:val="24"/>
              </w:rPr>
              <w:t>l), n (%)</w:t>
            </w:r>
          </w:p>
          <w:p w14:paraId="26CAEBED" w14:textId="77777777" w:rsidR="002C7328" w:rsidRPr="0032259F" w:rsidRDefault="002C7328">
            <w:pPr>
              <w:rPr>
                <w:sz w:val="24"/>
                <w:szCs w:val="24"/>
              </w:rPr>
            </w:pPr>
            <w:r w:rsidRPr="0032259F">
              <w:rPr>
                <w:i/>
                <w:iCs/>
                <w:sz w:val="24"/>
                <w:szCs w:val="24"/>
              </w:rPr>
              <w:t xml:space="preserve">      p-</w:t>
            </w:r>
            <w:r w:rsidRPr="0032259F">
              <w:rPr>
                <w:sz w:val="24"/>
                <w:szCs w:val="24"/>
              </w:rPr>
              <w:t xml:space="preserve">value </w:t>
            </w:r>
            <w:r w:rsidRPr="0032259F">
              <w:rPr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A99B" w14:textId="77777777" w:rsidR="002C7328" w:rsidRPr="0032259F" w:rsidRDefault="002C7328">
            <w:pPr>
              <w:tabs>
                <w:tab w:val="left" w:pos="1304"/>
              </w:tabs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51 (38)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763A" w14:textId="77777777" w:rsidR="002C7328" w:rsidRPr="0032259F" w:rsidRDefault="002C7328">
            <w:pPr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4 (7)</w:t>
            </w:r>
          </w:p>
        </w:tc>
      </w:tr>
      <w:tr w:rsidR="002C7328" w:rsidRPr="0032259F" w14:paraId="5172533C" w14:textId="77777777" w:rsidTr="00502830">
        <w:trPr>
          <w:trHeight w:val="320"/>
        </w:trPr>
        <w:tc>
          <w:tcPr>
            <w:tcW w:w="3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97FA" w14:textId="77777777" w:rsidR="002C7328" w:rsidRPr="0032259F" w:rsidRDefault="002C7328">
            <w:pPr>
              <w:rPr>
                <w:sz w:val="24"/>
                <w:szCs w:val="24"/>
              </w:rPr>
            </w:pP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116F" w14:textId="77777777" w:rsidR="002C7328" w:rsidRPr="0032259F" w:rsidRDefault="002C7328">
            <w:pPr>
              <w:jc w:val="center"/>
              <w:rPr>
                <w:sz w:val="24"/>
                <w:szCs w:val="24"/>
              </w:rPr>
            </w:pPr>
          </w:p>
          <w:p w14:paraId="1FF0C856" w14:textId="77777777" w:rsidR="002C7328" w:rsidRPr="0032259F" w:rsidRDefault="002C7328">
            <w:pPr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&lt;0.001</w:t>
            </w:r>
          </w:p>
          <w:p w14:paraId="73424C34" w14:textId="77777777" w:rsidR="002C7328" w:rsidRPr="0032259F" w:rsidRDefault="002C7328">
            <w:pPr>
              <w:jc w:val="center"/>
              <w:rPr>
                <w:sz w:val="24"/>
                <w:szCs w:val="24"/>
              </w:rPr>
            </w:pPr>
          </w:p>
        </w:tc>
      </w:tr>
      <w:tr w:rsidR="002C7328" w:rsidRPr="0032259F" w14:paraId="59D2A05C" w14:textId="77777777" w:rsidTr="00502830">
        <w:trPr>
          <w:trHeight w:val="290"/>
        </w:trPr>
        <w:tc>
          <w:tcPr>
            <w:tcW w:w="3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596E" w14:textId="4BA2F4A4" w:rsidR="002C7328" w:rsidRPr="0032259F" w:rsidRDefault="002C7328" w:rsidP="00164CEC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Patients with bleeding (WHO Grades 1-4) at any time during</w:t>
            </w:r>
            <w:r w:rsidR="00164CEC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6</w:t>
            </w:r>
            <w:r w:rsidR="00164CEC" w:rsidRPr="0032259F">
              <w:rPr>
                <w:sz w:val="24"/>
                <w:szCs w:val="24"/>
              </w:rPr>
              <w:t> </w:t>
            </w:r>
            <w:r w:rsidRPr="0032259F">
              <w:rPr>
                <w:sz w:val="24"/>
                <w:szCs w:val="24"/>
              </w:rPr>
              <w:t>months, n (%)</w:t>
            </w:r>
          </w:p>
          <w:p w14:paraId="5949CD1E" w14:textId="77777777" w:rsidR="002C7328" w:rsidRPr="0032259F" w:rsidRDefault="002C7328">
            <w:pPr>
              <w:rPr>
                <w:sz w:val="24"/>
                <w:szCs w:val="24"/>
              </w:rPr>
            </w:pPr>
            <w:r w:rsidRPr="0032259F">
              <w:rPr>
                <w:i/>
                <w:iCs/>
                <w:sz w:val="24"/>
                <w:szCs w:val="24"/>
              </w:rPr>
              <w:t xml:space="preserve">     p-</w:t>
            </w:r>
            <w:r w:rsidRPr="0032259F">
              <w:rPr>
                <w:sz w:val="24"/>
                <w:szCs w:val="24"/>
              </w:rPr>
              <w:t xml:space="preserve">value </w:t>
            </w:r>
            <w:r w:rsidRPr="0032259F">
              <w:rPr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D0FC" w14:textId="77777777" w:rsidR="002C7328" w:rsidRPr="0032259F" w:rsidRDefault="002C7328">
            <w:pPr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106 (79)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52A1" w14:textId="77777777" w:rsidR="002C7328" w:rsidRPr="0032259F" w:rsidRDefault="002C7328">
            <w:pPr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56 (93)</w:t>
            </w:r>
          </w:p>
        </w:tc>
      </w:tr>
      <w:tr w:rsidR="002C7328" w:rsidRPr="0032259F" w14:paraId="52D24FEA" w14:textId="77777777" w:rsidTr="00502830">
        <w:trPr>
          <w:trHeight w:val="470"/>
        </w:trPr>
        <w:tc>
          <w:tcPr>
            <w:tcW w:w="3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DA45" w14:textId="77777777" w:rsidR="002C7328" w:rsidRPr="0032259F" w:rsidRDefault="002C7328">
            <w:pPr>
              <w:rPr>
                <w:sz w:val="24"/>
                <w:szCs w:val="24"/>
              </w:rPr>
            </w:pP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2B4F" w14:textId="77777777" w:rsidR="002C7328" w:rsidRPr="0032259F" w:rsidRDefault="002C7328">
            <w:pPr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0.012</w:t>
            </w:r>
          </w:p>
        </w:tc>
      </w:tr>
      <w:tr w:rsidR="002C7328" w:rsidRPr="0032259F" w14:paraId="21C8DB89" w14:textId="77777777" w:rsidTr="00502830">
        <w:trPr>
          <w:trHeight w:val="400"/>
        </w:trPr>
        <w:tc>
          <w:tcPr>
            <w:tcW w:w="3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DAD9" w14:textId="4463373F" w:rsidR="002C7328" w:rsidRPr="0032259F" w:rsidRDefault="002C7328" w:rsidP="00164CEC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Patients with bleeding (WHO Grades 2-4) at any time during</w:t>
            </w:r>
            <w:r w:rsidR="00164CEC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6</w:t>
            </w:r>
            <w:r w:rsidR="00164CEC" w:rsidRPr="0032259F">
              <w:rPr>
                <w:sz w:val="24"/>
                <w:szCs w:val="24"/>
              </w:rPr>
              <w:t> </w:t>
            </w:r>
            <w:r w:rsidRPr="0032259F">
              <w:rPr>
                <w:sz w:val="24"/>
                <w:szCs w:val="24"/>
              </w:rPr>
              <w:t>months, n (%)</w:t>
            </w:r>
          </w:p>
          <w:p w14:paraId="0E779552" w14:textId="77777777" w:rsidR="002C7328" w:rsidRPr="0032259F" w:rsidRDefault="002C7328">
            <w:pPr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 xml:space="preserve">   </w:t>
            </w:r>
            <w:r w:rsidRPr="0032259F">
              <w:rPr>
                <w:i/>
                <w:iCs/>
                <w:sz w:val="24"/>
                <w:szCs w:val="24"/>
              </w:rPr>
              <w:t>p-</w:t>
            </w:r>
            <w:r w:rsidRPr="0032259F">
              <w:rPr>
                <w:sz w:val="24"/>
                <w:szCs w:val="24"/>
              </w:rPr>
              <w:t xml:space="preserve">value </w:t>
            </w:r>
            <w:r w:rsidRPr="0032259F">
              <w:rPr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2024" w14:textId="77777777" w:rsidR="002C7328" w:rsidRPr="0032259F" w:rsidRDefault="002C7328">
            <w:pPr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44 (33)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5C523" w14:textId="77777777" w:rsidR="002C7328" w:rsidRPr="0032259F" w:rsidRDefault="002C7328">
            <w:pPr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32 (53)</w:t>
            </w:r>
          </w:p>
        </w:tc>
      </w:tr>
      <w:tr w:rsidR="002C7328" w:rsidRPr="0032259F" w14:paraId="1FFB4667" w14:textId="77777777" w:rsidTr="00502830">
        <w:trPr>
          <w:trHeight w:val="360"/>
        </w:trPr>
        <w:tc>
          <w:tcPr>
            <w:tcW w:w="3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C826" w14:textId="77777777" w:rsidR="002C7328" w:rsidRPr="0032259F" w:rsidRDefault="002C7328">
            <w:pPr>
              <w:rPr>
                <w:sz w:val="24"/>
                <w:szCs w:val="24"/>
              </w:rPr>
            </w:pP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D282F" w14:textId="77777777" w:rsidR="002C7328" w:rsidRPr="0032259F" w:rsidRDefault="002C7328">
            <w:pPr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0.002</w:t>
            </w:r>
          </w:p>
        </w:tc>
      </w:tr>
      <w:tr w:rsidR="002C7328" w:rsidRPr="0032259F" w14:paraId="30DB0B78" w14:textId="77777777" w:rsidTr="00502830">
        <w:trPr>
          <w:trHeight w:val="290"/>
        </w:trPr>
        <w:tc>
          <w:tcPr>
            <w:tcW w:w="3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A128" w14:textId="77777777" w:rsidR="002C7328" w:rsidRPr="0032259F" w:rsidRDefault="002C7328">
            <w:pPr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Requiring rescue therapy, n (%)</w:t>
            </w:r>
          </w:p>
          <w:p w14:paraId="7CDB36CC" w14:textId="77777777" w:rsidR="002C7328" w:rsidRPr="0032259F" w:rsidRDefault="002C7328">
            <w:pPr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 xml:space="preserve">   </w:t>
            </w:r>
            <w:r w:rsidRPr="0032259F">
              <w:rPr>
                <w:i/>
                <w:iCs/>
                <w:sz w:val="24"/>
                <w:szCs w:val="24"/>
              </w:rPr>
              <w:t>p-</w:t>
            </w:r>
            <w:r w:rsidRPr="0032259F">
              <w:rPr>
                <w:sz w:val="24"/>
                <w:szCs w:val="24"/>
              </w:rPr>
              <w:t xml:space="preserve">value </w:t>
            </w:r>
            <w:r w:rsidRPr="0032259F">
              <w:rPr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23F4" w14:textId="77777777" w:rsidR="002C7328" w:rsidRPr="0032259F" w:rsidRDefault="002C7328">
            <w:pPr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24 (18)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F43A" w14:textId="77777777" w:rsidR="002C7328" w:rsidRPr="0032259F" w:rsidRDefault="002C7328">
            <w:pPr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25 (40)</w:t>
            </w:r>
          </w:p>
        </w:tc>
      </w:tr>
      <w:tr w:rsidR="002C7328" w:rsidRPr="0032259F" w14:paraId="245E7C6C" w14:textId="77777777" w:rsidTr="00502830">
        <w:trPr>
          <w:trHeight w:val="210"/>
        </w:trPr>
        <w:tc>
          <w:tcPr>
            <w:tcW w:w="3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DAFD" w14:textId="77777777" w:rsidR="002C7328" w:rsidRPr="0032259F" w:rsidRDefault="002C7328">
            <w:pPr>
              <w:rPr>
                <w:sz w:val="24"/>
                <w:szCs w:val="24"/>
              </w:rPr>
            </w:pP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4FCAE" w14:textId="77777777" w:rsidR="002C7328" w:rsidRPr="0032259F" w:rsidRDefault="002C7328">
            <w:pPr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0.001</w:t>
            </w:r>
          </w:p>
        </w:tc>
      </w:tr>
      <w:tr w:rsidR="002C7328" w:rsidRPr="0032259F" w14:paraId="5E8F38EA" w14:textId="77777777" w:rsidTr="00502830"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1393" w14:textId="77777777" w:rsidR="002C7328" w:rsidRPr="0032259F" w:rsidRDefault="002C7328">
            <w:pPr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Patients receiving ITP therapy at baseline (n)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3CE2A" w14:textId="77777777" w:rsidR="002C7328" w:rsidRPr="0032259F" w:rsidRDefault="002C7328">
            <w:pPr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63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D9FA" w14:textId="77777777" w:rsidR="002C7328" w:rsidRPr="0032259F" w:rsidRDefault="002C7328">
            <w:pPr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31</w:t>
            </w:r>
          </w:p>
        </w:tc>
      </w:tr>
      <w:tr w:rsidR="002C7328" w:rsidRPr="0032259F" w14:paraId="0308ED86" w14:textId="77777777" w:rsidTr="00502830">
        <w:trPr>
          <w:trHeight w:val="216"/>
        </w:trPr>
        <w:tc>
          <w:tcPr>
            <w:tcW w:w="3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3177" w14:textId="3E59A43D" w:rsidR="002C7328" w:rsidRPr="0032259F" w:rsidRDefault="002C7328" w:rsidP="00164CEC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  <w:vertAlign w:val="superscript"/>
              </w:rPr>
            </w:pPr>
            <w:r w:rsidRPr="0032259F">
              <w:rPr>
                <w:sz w:val="24"/>
                <w:szCs w:val="24"/>
              </w:rPr>
              <w:t>Patients who attempted to reduce or discontinue baseline</w:t>
            </w:r>
            <w:r w:rsidR="00164CEC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therapy, n (</w:t>
            </w:r>
            <w:proofErr w:type="gramStart"/>
            <w:r w:rsidRPr="0032259F">
              <w:rPr>
                <w:sz w:val="24"/>
                <w:szCs w:val="24"/>
              </w:rPr>
              <w:t>%)</w:t>
            </w:r>
            <w:r w:rsidRPr="0032259F">
              <w:rPr>
                <w:sz w:val="24"/>
                <w:szCs w:val="24"/>
                <w:vertAlign w:val="superscript"/>
              </w:rPr>
              <w:t>b</w:t>
            </w:r>
            <w:proofErr w:type="gramEnd"/>
          </w:p>
          <w:p w14:paraId="4A4C8403" w14:textId="77777777" w:rsidR="002C7328" w:rsidRPr="0032259F" w:rsidRDefault="002C7328">
            <w:pPr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 xml:space="preserve">   </w:t>
            </w:r>
            <w:r w:rsidRPr="0032259F">
              <w:rPr>
                <w:i/>
                <w:iCs/>
                <w:sz w:val="24"/>
                <w:szCs w:val="24"/>
              </w:rPr>
              <w:t>p-</w:t>
            </w:r>
            <w:r w:rsidRPr="0032259F">
              <w:rPr>
                <w:sz w:val="24"/>
                <w:szCs w:val="24"/>
              </w:rPr>
              <w:t xml:space="preserve">value </w:t>
            </w:r>
            <w:r w:rsidRPr="0032259F">
              <w:rPr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4280" w14:textId="77777777" w:rsidR="002C7328" w:rsidRPr="0032259F" w:rsidRDefault="002C7328">
            <w:pPr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37 (59)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196B" w14:textId="77777777" w:rsidR="002C7328" w:rsidRPr="0032259F" w:rsidRDefault="002C7328">
            <w:pPr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10 (32)</w:t>
            </w:r>
          </w:p>
        </w:tc>
      </w:tr>
      <w:tr w:rsidR="002C7328" w:rsidRPr="0032259F" w14:paraId="5957BD92" w14:textId="77777777" w:rsidTr="00502830">
        <w:trPr>
          <w:trHeight w:val="525"/>
        </w:trPr>
        <w:tc>
          <w:tcPr>
            <w:tcW w:w="3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E462" w14:textId="77777777" w:rsidR="002C7328" w:rsidRPr="0032259F" w:rsidRDefault="002C7328">
            <w:pPr>
              <w:rPr>
                <w:sz w:val="24"/>
                <w:szCs w:val="24"/>
              </w:rPr>
            </w:pPr>
          </w:p>
        </w:tc>
        <w:tc>
          <w:tcPr>
            <w:tcW w:w="1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27A6" w14:textId="77777777" w:rsidR="002C7328" w:rsidRPr="0032259F" w:rsidRDefault="002C7328">
            <w:pPr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0.016</w:t>
            </w:r>
          </w:p>
        </w:tc>
      </w:tr>
    </w:tbl>
    <w:p w14:paraId="1610766D" w14:textId="315DA47C" w:rsidR="002C7328" w:rsidRPr="0032259F" w:rsidRDefault="002C7328" w:rsidP="00164CEC">
      <w:pPr>
        <w:pStyle w:val="Listeafsnit"/>
        <w:numPr>
          <w:ilvl w:val="0"/>
          <w:numId w:val="7"/>
        </w:numPr>
        <w:shd w:val="clear" w:color="auto" w:fill="FFFFFF"/>
        <w:tabs>
          <w:tab w:val="clear" w:pos="567"/>
        </w:tabs>
        <w:spacing w:line="240" w:lineRule="auto"/>
        <w:ind w:left="284" w:hanging="284"/>
        <w:rPr>
          <w:sz w:val="24"/>
          <w:szCs w:val="24"/>
        </w:rPr>
      </w:pPr>
      <w:r w:rsidRPr="0032259F">
        <w:rPr>
          <w:sz w:val="24"/>
          <w:szCs w:val="24"/>
        </w:rPr>
        <w:t>Logistic regression model adjusted for randomisation stratification variables</w:t>
      </w:r>
    </w:p>
    <w:p w14:paraId="109BF071" w14:textId="48DBBCE3" w:rsidR="002C7328" w:rsidRPr="0032259F" w:rsidRDefault="002C7328" w:rsidP="00164CEC">
      <w:pPr>
        <w:pStyle w:val="Listeafsnit"/>
        <w:numPr>
          <w:ilvl w:val="0"/>
          <w:numId w:val="7"/>
        </w:numPr>
        <w:shd w:val="clear" w:color="auto" w:fill="FFFFFF"/>
        <w:tabs>
          <w:tab w:val="clear" w:pos="567"/>
        </w:tabs>
        <w:spacing w:line="240" w:lineRule="auto"/>
        <w:ind w:left="284" w:hanging="284"/>
        <w:rPr>
          <w:sz w:val="24"/>
          <w:szCs w:val="24"/>
        </w:rPr>
      </w:pPr>
      <w:r w:rsidRPr="0032259F">
        <w:rPr>
          <w:sz w:val="24"/>
          <w:szCs w:val="24"/>
        </w:rPr>
        <w:t xml:space="preserve">21 out of 63 (33%) patients treated with </w:t>
      </w:r>
      <w:proofErr w:type="spellStart"/>
      <w:r w:rsidRPr="0032259F">
        <w:rPr>
          <w:sz w:val="24"/>
          <w:szCs w:val="24"/>
        </w:rPr>
        <w:t>eltrombopag</w:t>
      </w:r>
      <w:proofErr w:type="spellEnd"/>
      <w:r w:rsidRPr="0032259F">
        <w:rPr>
          <w:sz w:val="24"/>
          <w:szCs w:val="24"/>
        </w:rPr>
        <w:t xml:space="preserve"> who were taking an ITP medicinal product at baseline permanently discontinued all baseline ITP medicinal products.</w:t>
      </w:r>
    </w:p>
    <w:p w14:paraId="4963E568" w14:textId="77777777" w:rsidR="002C7328" w:rsidRPr="0032259F" w:rsidRDefault="002C7328" w:rsidP="00502830">
      <w:pPr>
        <w:ind w:left="851"/>
        <w:rPr>
          <w:sz w:val="24"/>
          <w:szCs w:val="24"/>
          <w:lang w:val="en-GB"/>
        </w:rPr>
      </w:pPr>
    </w:p>
    <w:p w14:paraId="40CCDC69" w14:textId="2B0A1182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At baseline, more than 70% of ITP patients in each treatment group reported any bleeding (WHO</w:t>
      </w:r>
      <w:r w:rsidR="00164CE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Grades 1-4) and more than 20% reported clinically significant bleeding (WHO Grades 2-4),</w:t>
      </w:r>
      <w:r w:rsidR="00164CE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respectively. The proportion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-treated patients with any bleeding (Grades 1-4) and</w:t>
      </w:r>
      <w:r w:rsidR="00164CE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clinically significant bleeding (Grades 2-4) was reduced from baseline by approximately 50% from</w:t>
      </w:r>
      <w:r w:rsidR="00164CE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Day 15 to the end of treatment throughout the 6-month treatment period.</w:t>
      </w:r>
    </w:p>
    <w:p w14:paraId="0E306E81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31621C29" w14:textId="296528EC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TRA100773B: The primary efficacy endpoint was the proportion of responders, defined as ITP</w:t>
      </w:r>
      <w:r w:rsidR="00164CE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patients who had an increase in platelet counts to </w:t>
      </w:r>
      <w:r w:rsidRPr="0032259F">
        <w:rPr>
          <w:rFonts w:eastAsia="SymbolMT"/>
          <w:sz w:val="24"/>
          <w:szCs w:val="24"/>
          <w:lang w:val="en-GB" w:eastAsia="en-GB"/>
        </w:rPr>
        <w:t>≥</w:t>
      </w:r>
      <w:r w:rsidRPr="0032259F">
        <w:rPr>
          <w:rFonts w:eastAsia="SimSun"/>
          <w:sz w:val="24"/>
          <w:szCs w:val="24"/>
          <w:lang w:val="en-GB" w:eastAsia="en-GB"/>
        </w:rPr>
        <w:t>50 000/</w:t>
      </w:r>
      <w:r w:rsidRPr="0032259F">
        <w:rPr>
          <w:rFonts w:eastAsia="Arial Unicode MS"/>
          <w:sz w:val="24"/>
          <w:szCs w:val="24"/>
          <w:lang w:val="en-GB" w:eastAsia="en-GB"/>
        </w:rPr>
        <w:t>µ</w:t>
      </w:r>
      <w:r w:rsidRPr="0032259F">
        <w:rPr>
          <w:rFonts w:eastAsia="SimSun"/>
          <w:sz w:val="24"/>
          <w:szCs w:val="24"/>
          <w:lang w:val="en-GB" w:eastAsia="en-GB"/>
        </w:rPr>
        <w:t>l at Day 43 from a baseline of &lt;30 000/</w:t>
      </w:r>
      <w:r w:rsidRPr="0032259F">
        <w:rPr>
          <w:rFonts w:eastAsia="Arial Unicode MS"/>
          <w:sz w:val="24"/>
          <w:szCs w:val="24"/>
          <w:lang w:val="en-GB" w:eastAsia="en-GB"/>
        </w:rPr>
        <w:t>µ</w:t>
      </w:r>
      <w:r w:rsidRPr="0032259F">
        <w:rPr>
          <w:rFonts w:eastAsia="SimSun"/>
          <w:sz w:val="24"/>
          <w:szCs w:val="24"/>
          <w:lang w:val="en-GB" w:eastAsia="en-GB"/>
        </w:rPr>
        <w:t xml:space="preserve">l; patients who withdrew prematurely due to a platelet count </w:t>
      </w:r>
      <w:r w:rsidRPr="0032259F">
        <w:rPr>
          <w:rFonts w:eastAsia="SymbolMT"/>
          <w:sz w:val="24"/>
          <w:szCs w:val="24"/>
          <w:lang w:val="en-GB" w:eastAsia="en-GB"/>
        </w:rPr>
        <w:t>&gt;</w:t>
      </w:r>
      <w:r w:rsidRPr="0032259F">
        <w:rPr>
          <w:rFonts w:eastAsia="SimSun"/>
          <w:sz w:val="24"/>
          <w:szCs w:val="24"/>
          <w:lang w:val="en-GB" w:eastAsia="en-GB"/>
        </w:rPr>
        <w:t>200 000/</w:t>
      </w:r>
      <w:r w:rsidRPr="0032259F">
        <w:rPr>
          <w:rFonts w:eastAsia="Arial Unicode MS"/>
          <w:sz w:val="24"/>
          <w:szCs w:val="24"/>
          <w:lang w:val="en-GB" w:eastAsia="en-GB"/>
        </w:rPr>
        <w:t>µ</w:t>
      </w:r>
      <w:r w:rsidRPr="0032259F">
        <w:rPr>
          <w:rFonts w:eastAsia="SimSun"/>
          <w:sz w:val="24"/>
          <w:szCs w:val="24"/>
          <w:lang w:val="en-GB" w:eastAsia="en-GB"/>
        </w:rPr>
        <w:t xml:space="preserve">l were considered responders, those that discontinued for any other reason were considered </w:t>
      </w:r>
      <w:r w:rsidRPr="0032259F">
        <w:rPr>
          <w:rFonts w:eastAsia="SimSun"/>
          <w:sz w:val="24"/>
          <w:szCs w:val="24"/>
          <w:lang w:val="en-GB" w:eastAsia="en-GB"/>
        </w:rPr>
        <w:lastRenderedPageBreak/>
        <w:t xml:space="preserve">non-responders irrespective of platelet count. A total of 114 patients with previously treated ITP were randomised 2:1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(n=76) to placebo (n=38).</w:t>
      </w:r>
    </w:p>
    <w:p w14:paraId="1BDF30E1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5C62F55D" w14:textId="66C68F9D" w:rsidR="002C7328" w:rsidRPr="0032259F" w:rsidRDefault="002C7328" w:rsidP="00AD6E7B">
      <w:pPr>
        <w:autoSpaceDE w:val="0"/>
        <w:autoSpaceDN w:val="0"/>
        <w:adjustRightInd w:val="0"/>
        <w:ind w:left="1134" w:hanging="1134"/>
        <w:rPr>
          <w:rFonts w:eastAsia="SimSun"/>
          <w:b/>
          <w:bCs/>
          <w:sz w:val="24"/>
          <w:szCs w:val="24"/>
          <w:lang w:val="en-GB" w:eastAsia="en-GB"/>
        </w:rPr>
      </w:pPr>
      <w:r w:rsidRPr="0032259F">
        <w:rPr>
          <w:rFonts w:eastAsia="SimSun"/>
          <w:b/>
          <w:bCs/>
          <w:sz w:val="24"/>
          <w:szCs w:val="24"/>
          <w:lang w:val="en-GB" w:eastAsia="en-GB"/>
        </w:rPr>
        <w:t>Table 5</w:t>
      </w:r>
      <w:r w:rsidR="00AD6E7B" w:rsidRPr="0032259F">
        <w:rPr>
          <w:rFonts w:eastAsia="SimSun"/>
          <w:b/>
          <w:bCs/>
          <w:sz w:val="24"/>
          <w:szCs w:val="24"/>
          <w:lang w:val="en-GB" w:eastAsia="en-GB"/>
        </w:rPr>
        <w:tab/>
      </w:r>
      <w:r w:rsidRPr="0032259F">
        <w:rPr>
          <w:rFonts w:eastAsia="SimSun"/>
          <w:b/>
          <w:bCs/>
          <w:sz w:val="24"/>
          <w:szCs w:val="24"/>
          <w:lang w:val="en-GB" w:eastAsia="en-GB"/>
        </w:rPr>
        <w:t>Efficacy results from TRA100773B</w:t>
      </w:r>
    </w:p>
    <w:p w14:paraId="5B6BD184" w14:textId="77777777" w:rsidR="002C7328" w:rsidRPr="0032259F" w:rsidRDefault="002C7328" w:rsidP="002C7328">
      <w:pPr>
        <w:tabs>
          <w:tab w:val="left" w:pos="1304"/>
        </w:tabs>
        <w:autoSpaceDE w:val="0"/>
        <w:autoSpaceDN w:val="0"/>
        <w:adjustRightInd w:val="0"/>
        <w:rPr>
          <w:rFonts w:eastAsia="SimSun"/>
          <w:b/>
          <w:bCs/>
          <w:sz w:val="24"/>
          <w:szCs w:val="24"/>
          <w:lang w:val="en-GB" w:eastAsia="en-GB"/>
        </w:rPr>
      </w:pPr>
    </w:p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6418"/>
        <w:gridCol w:w="1625"/>
        <w:gridCol w:w="64"/>
        <w:gridCol w:w="1521"/>
      </w:tblGrid>
      <w:tr w:rsidR="002C7328" w:rsidRPr="0032259F" w14:paraId="2E90E015" w14:textId="77777777" w:rsidTr="00502830"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A1E6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D271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2259F">
              <w:rPr>
                <w:sz w:val="24"/>
                <w:szCs w:val="24"/>
              </w:rPr>
              <w:t>Eltrombopag</w:t>
            </w:r>
            <w:proofErr w:type="spellEnd"/>
          </w:p>
          <w:p w14:paraId="06E20362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N=74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8146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Placebo</w:t>
            </w:r>
          </w:p>
          <w:p w14:paraId="06741687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N=38</w:t>
            </w:r>
          </w:p>
        </w:tc>
      </w:tr>
      <w:tr w:rsidR="002C7328" w:rsidRPr="0032259F" w14:paraId="72CEC872" w14:textId="77777777" w:rsidTr="0050283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5176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Key primary endpoints</w:t>
            </w:r>
          </w:p>
        </w:tc>
      </w:tr>
      <w:tr w:rsidR="002C7328" w:rsidRPr="0032259F" w14:paraId="62578274" w14:textId="77777777" w:rsidTr="00502830"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C08B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Eligible for efficacy analysis, n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432C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73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F568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37</w:t>
            </w:r>
          </w:p>
        </w:tc>
      </w:tr>
      <w:tr w:rsidR="002C7328" w:rsidRPr="0032259F" w14:paraId="7104FF4D" w14:textId="77777777" w:rsidTr="00502830">
        <w:trPr>
          <w:trHeight w:val="310"/>
        </w:trPr>
        <w:tc>
          <w:tcPr>
            <w:tcW w:w="3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A0DB" w14:textId="38BD12F0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 xml:space="preserve">Patients with platelet count </w:t>
            </w:r>
            <w:r w:rsidRPr="0032259F">
              <w:rPr>
                <w:rFonts w:eastAsia="SymbolMT"/>
                <w:sz w:val="24"/>
                <w:szCs w:val="24"/>
              </w:rPr>
              <w:t>≥</w:t>
            </w:r>
            <w:r w:rsidRPr="0032259F">
              <w:rPr>
                <w:sz w:val="24"/>
                <w:szCs w:val="24"/>
              </w:rPr>
              <w:t>50 000/</w:t>
            </w:r>
            <w:r w:rsidRPr="0032259F">
              <w:rPr>
                <w:rFonts w:eastAsia="Arial Unicode MS"/>
                <w:sz w:val="24"/>
                <w:szCs w:val="24"/>
              </w:rPr>
              <w:t>µ</w:t>
            </w:r>
            <w:r w:rsidRPr="0032259F">
              <w:rPr>
                <w:sz w:val="24"/>
                <w:szCs w:val="24"/>
              </w:rPr>
              <w:t>l after up to 42 days</w:t>
            </w:r>
            <w:r w:rsidR="00713D61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of dosing (compared to a baseline count of &lt;30 000/</w:t>
            </w:r>
            <w:r w:rsidRPr="0032259F">
              <w:rPr>
                <w:rFonts w:eastAsia="Arial Unicode MS"/>
                <w:sz w:val="24"/>
                <w:szCs w:val="24"/>
              </w:rPr>
              <w:t>µ</w:t>
            </w:r>
            <w:r w:rsidRPr="0032259F">
              <w:rPr>
                <w:sz w:val="24"/>
                <w:szCs w:val="24"/>
              </w:rPr>
              <w:t>l), n</w:t>
            </w:r>
            <w:r w:rsidR="00713D61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(%)</w:t>
            </w:r>
          </w:p>
          <w:p w14:paraId="103BC389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59F">
              <w:rPr>
                <w:i/>
                <w:iCs/>
                <w:sz w:val="24"/>
                <w:szCs w:val="24"/>
              </w:rPr>
              <w:t>p-</w:t>
            </w:r>
            <w:proofErr w:type="spellStart"/>
            <w:r w:rsidRPr="0032259F">
              <w:rPr>
                <w:sz w:val="24"/>
                <w:szCs w:val="24"/>
              </w:rPr>
              <w:t>value</w:t>
            </w:r>
            <w:r w:rsidRPr="0032259F">
              <w:rPr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074E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43 (59)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1F71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6 (16)</w:t>
            </w:r>
          </w:p>
        </w:tc>
      </w:tr>
      <w:tr w:rsidR="002C7328" w:rsidRPr="0032259F" w14:paraId="30381F35" w14:textId="77777777" w:rsidTr="00502830">
        <w:trPr>
          <w:trHeight w:val="450"/>
        </w:trPr>
        <w:tc>
          <w:tcPr>
            <w:tcW w:w="3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113A" w14:textId="77777777" w:rsidR="002C7328" w:rsidRPr="0032259F" w:rsidRDefault="002C7328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B968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F6DB4BB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&lt;0.001</w:t>
            </w:r>
          </w:p>
          <w:p w14:paraId="3EBB3DA1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C7328" w:rsidRPr="0032259F" w14:paraId="72888DD6" w14:textId="77777777" w:rsidTr="0050283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064C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Key secondary endpoints</w:t>
            </w:r>
          </w:p>
        </w:tc>
      </w:tr>
      <w:tr w:rsidR="002C7328" w:rsidRPr="0032259F" w14:paraId="4C135D1F" w14:textId="77777777" w:rsidTr="00502830"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513C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Patients with a Day 43 bleeding assessment, n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6CCD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51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ADA4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30</w:t>
            </w:r>
          </w:p>
        </w:tc>
      </w:tr>
      <w:tr w:rsidR="002C7328" w:rsidRPr="0032259F" w14:paraId="3D99F516" w14:textId="77777777" w:rsidTr="00502830">
        <w:tc>
          <w:tcPr>
            <w:tcW w:w="3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415C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Bleeding (WHO Grades 1-4) n (%)</w:t>
            </w:r>
          </w:p>
          <w:p w14:paraId="57152121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0A4C1EF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59F">
              <w:rPr>
                <w:i/>
                <w:iCs/>
                <w:sz w:val="24"/>
                <w:szCs w:val="24"/>
              </w:rPr>
              <w:t>p-</w:t>
            </w:r>
            <w:proofErr w:type="spellStart"/>
            <w:r w:rsidRPr="0032259F">
              <w:rPr>
                <w:sz w:val="24"/>
                <w:szCs w:val="24"/>
              </w:rPr>
              <w:t>value</w:t>
            </w:r>
            <w:r w:rsidRPr="0032259F">
              <w:rPr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CA96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20 (39)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B163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18 (60)</w:t>
            </w:r>
          </w:p>
        </w:tc>
      </w:tr>
      <w:tr w:rsidR="002C7328" w:rsidRPr="0032259F" w14:paraId="7B715C59" w14:textId="77777777" w:rsidTr="00502830">
        <w:trPr>
          <w:trHeight w:val="392"/>
        </w:trPr>
        <w:tc>
          <w:tcPr>
            <w:tcW w:w="3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29D4" w14:textId="77777777" w:rsidR="002C7328" w:rsidRPr="0032259F" w:rsidRDefault="002C7328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85E1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9C5D6BE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0.029</w:t>
            </w:r>
          </w:p>
          <w:p w14:paraId="05CBEDE0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14:paraId="46F0C874" w14:textId="0AA4B877" w:rsidR="002C7328" w:rsidRPr="0032259F" w:rsidRDefault="002C7328" w:rsidP="00502830">
      <w:pPr>
        <w:pStyle w:val="Listeafsnit"/>
        <w:numPr>
          <w:ilvl w:val="0"/>
          <w:numId w:val="8"/>
        </w:numPr>
        <w:tabs>
          <w:tab w:val="clear" w:pos="567"/>
        </w:tabs>
        <w:autoSpaceDE w:val="0"/>
        <w:autoSpaceDN w:val="0"/>
        <w:adjustRightInd w:val="0"/>
        <w:ind w:left="284" w:hanging="284"/>
        <w:rPr>
          <w:rFonts w:eastAsia="SimSun"/>
          <w:sz w:val="24"/>
          <w:szCs w:val="24"/>
          <w:lang w:eastAsia="en-GB"/>
        </w:rPr>
      </w:pPr>
      <w:r w:rsidRPr="0032259F">
        <w:rPr>
          <w:rFonts w:eastAsia="SimSun"/>
          <w:sz w:val="24"/>
          <w:szCs w:val="24"/>
          <w:lang w:eastAsia="en-GB"/>
        </w:rPr>
        <w:t>Logistic regression model adjusted for randomisation stratification variables</w:t>
      </w:r>
    </w:p>
    <w:p w14:paraId="1E46E960" w14:textId="77777777" w:rsidR="002C7328" w:rsidRPr="0032259F" w:rsidRDefault="002C7328" w:rsidP="002C7328">
      <w:pPr>
        <w:tabs>
          <w:tab w:val="left" w:pos="1304"/>
        </w:tabs>
        <w:autoSpaceDE w:val="0"/>
        <w:autoSpaceDN w:val="0"/>
        <w:adjustRightInd w:val="0"/>
        <w:rPr>
          <w:rFonts w:eastAsia="SimSun"/>
          <w:sz w:val="24"/>
          <w:szCs w:val="24"/>
          <w:lang w:val="en-GB" w:eastAsia="en-GB"/>
        </w:rPr>
      </w:pPr>
    </w:p>
    <w:p w14:paraId="69035619" w14:textId="7265860D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In both RAISE and TRA100773B the response to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relative to placebo was similar</w:t>
      </w:r>
      <w:r w:rsidR="00713D6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TimesNewRomanPSMT"/>
          <w:sz w:val="24"/>
          <w:szCs w:val="24"/>
          <w:lang w:val="en-GB" w:eastAsia="en-GB"/>
        </w:rPr>
        <w:t xml:space="preserve">irrespective of ITP medicinal product use, splenectomy status and baseline platelet count (≤15 </w:t>
      </w:r>
      <w:r w:rsidRPr="0032259F">
        <w:rPr>
          <w:rFonts w:eastAsia="SimSun"/>
          <w:sz w:val="24"/>
          <w:szCs w:val="24"/>
          <w:lang w:val="en-GB" w:eastAsia="en-GB"/>
        </w:rPr>
        <w:t>000/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μl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,</w:t>
      </w:r>
      <w:r w:rsidR="00713D6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&gt;15 000/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μl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) at randomisation.</w:t>
      </w:r>
    </w:p>
    <w:p w14:paraId="400AFE2F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554AFDCA" w14:textId="74742EF6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In RAISE and TRA100773B studies, in the subgroup of ITP patients with baseline platelet count</w:t>
      </w:r>
      <w:r w:rsidR="00DE461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TimesNewRomanPSMT"/>
          <w:sz w:val="24"/>
          <w:szCs w:val="24"/>
          <w:lang w:val="en-GB" w:eastAsia="en-GB"/>
        </w:rPr>
        <w:t>≤15 000/</w:t>
      </w:r>
      <w:proofErr w:type="spellStart"/>
      <w:r w:rsidRPr="0032259F">
        <w:rPr>
          <w:rFonts w:eastAsia="TimesNewRomanPSMT"/>
          <w:sz w:val="24"/>
          <w:szCs w:val="24"/>
          <w:lang w:val="en-GB" w:eastAsia="en-GB"/>
        </w:rPr>
        <w:t>μl</w:t>
      </w:r>
      <w:proofErr w:type="spellEnd"/>
      <w:r w:rsidRPr="0032259F">
        <w:rPr>
          <w:rFonts w:eastAsia="TimesNewRomanPSMT"/>
          <w:sz w:val="24"/>
          <w:szCs w:val="24"/>
          <w:lang w:val="en-GB" w:eastAsia="en-GB"/>
        </w:rPr>
        <w:t xml:space="preserve"> the media</w:t>
      </w:r>
      <w:r w:rsidRPr="0032259F">
        <w:rPr>
          <w:rFonts w:eastAsia="SimSun"/>
          <w:sz w:val="24"/>
          <w:szCs w:val="24"/>
          <w:lang w:val="en-GB" w:eastAsia="en-GB"/>
        </w:rPr>
        <w:t>n platelet counts did not reach the target level (&gt;50 000/</w:t>
      </w:r>
      <w:r w:rsidRPr="0032259F">
        <w:rPr>
          <w:rFonts w:eastAsia="Arial Unicode MS"/>
          <w:sz w:val="24"/>
          <w:szCs w:val="24"/>
          <w:lang w:val="en-GB" w:eastAsia="en-GB"/>
        </w:rPr>
        <w:t>µ</w:t>
      </w:r>
      <w:r w:rsidRPr="0032259F">
        <w:rPr>
          <w:rFonts w:eastAsia="SimSun"/>
          <w:sz w:val="24"/>
          <w:szCs w:val="24"/>
          <w:lang w:val="en-GB" w:eastAsia="en-GB"/>
        </w:rPr>
        <w:t>l), although in both</w:t>
      </w:r>
      <w:r w:rsidR="00DE461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studies 43% of these patients treated with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responded after 6 weeks of treatment. In</w:t>
      </w:r>
      <w:r w:rsidR="00DE461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addition, in the RAISE study, 42% of patients with baseline platelet count </w:t>
      </w:r>
      <w:r w:rsidRPr="0032259F">
        <w:rPr>
          <w:rFonts w:eastAsia="TimesNewRomanPSMT"/>
          <w:sz w:val="24"/>
          <w:szCs w:val="24"/>
          <w:lang w:val="en-GB" w:eastAsia="en-GB"/>
        </w:rPr>
        <w:t xml:space="preserve">≤15 </w:t>
      </w:r>
      <w:r w:rsidRPr="0032259F">
        <w:rPr>
          <w:rFonts w:eastAsia="SimSun"/>
          <w:sz w:val="24"/>
          <w:szCs w:val="24"/>
          <w:lang w:val="en-GB" w:eastAsia="en-GB"/>
        </w:rPr>
        <w:t>0</w:t>
      </w:r>
      <w:r w:rsidRPr="0032259F">
        <w:rPr>
          <w:rFonts w:eastAsia="TimesNewRomanPSMT"/>
          <w:sz w:val="24"/>
          <w:szCs w:val="24"/>
          <w:lang w:val="en-GB" w:eastAsia="en-GB"/>
        </w:rPr>
        <w:t>00/</w:t>
      </w:r>
      <w:proofErr w:type="spellStart"/>
      <w:r w:rsidRPr="0032259F">
        <w:rPr>
          <w:rFonts w:eastAsia="TimesNewRomanPSMT"/>
          <w:sz w:val="24"/>
          <w:szCs w:val="24"/>
          <w:lang w:val="en-GB" w:eastAsia="en-GB"/>
        </w:rPr>
        <w:t>μl</w:t>
      </w:r>
      <w:proofErr w:type="spellEnd"/>
      <w:r w:rsidRPr="0032259F">
        <w:rPr>
          <w:rFonts w:eastAsia="TimesNewRomanPSMT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treated with</w:t>
      </w:r>
      <w:r w:rsidR="00DE4611" w:rsidRPr="0032259F">
        <w:rPr>
          <w:rFonts w:eastAsia="SimSun"/>
          <w:sz w:val="24"/>
          <w:szCs w:val="24"/>
          <w:lang w:val="en-GB" w:eastAsia="en-GB"/>
        </w:rPr>
        <w:t xml:space="preserve">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responded at the end of the 6-month treatment period. Forty-two to 60% of the</w:t>
      </w:r>
      <w:r w:rsidR="00DE4611" w:rsidRPr="0032259F">
        <w:rPr>
          <w:rFonts w:eastAsia="SimSun"/>
          <w:sz w:val="24"/>
          <w:szCs w:val="24"/>
          <w:lang w:val="en-GB" w:eastAsia="en-GB"/>
        </w:rPr>
        <w:t xml:space="preserve">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-treated patients in the RAISE study were receiving 75 mg from Day 29 to the end of</w:t>
      </w:r>
      <w:r w:rsidR="00DE461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treatment.</w:t>
      </w:r>
    </w:p>
    <w:p w14:paraId="38F720CD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7BB219F5" w14:textId="77777777" w:rsidR="002C7328" w:rsidRPr="0032259F" w:rsidRDefault="002C7328" w:rsidP="00502830">
      <w:pPr>
        <w:ind w:left="851"/>
        <w:rPr>
          <w:rFonts w:eastAsia="SimSun"/>
          <w:i/>
          <w:iCs/>
          <w:sz w:val="24"/>
          <w:szCs w:val="24"/>
          <w:lang w:val="en-GB" w:eastAsia="en-GB"/>
        </w:rPr>
      </w:pPr>
      <w:r w:rsidRPr="0032259F">
        <w:rPr>
          <w:rFonts w:eastAsia="SimSun"/>
          <w:i/>
          <w:iCs/>
          <w:sz w:val="24"/>
          <w:szCs w:val="24"/>
          <w:lang w:val="en-GB" w:eastAsia="en-GB"/>
        </w:rPr>
        <w:t>Open-label non-controlled studies</w:t>
      </w:r>
    </w:p>
    <w:p w14:paraId="0007C537" w14:textId="1577FEF9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REPEAT (TRA108057): This open-label, repeat-dose study (3 cycles of 6 weeks of treatment,</w:t>
      </w:r>
      <w:r w:rsidR="00DE461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followed by 4 weeks off treatment) showed that episodic use with multiple courses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has</w:t>
      </w:r>
      <w:r w:rsidR="00DE461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demonstrated no loss of response.</w:t>
      </w:r>
    </w:p>
    <w:p w14:paraId="452570D9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23974E59" w14:textId="699A6FF0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EXTEND (TRA105325):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was administered to 302 ITP patients in the open-label</w:t>
      </w:r>
      <w:r w:rsidR="00DE461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extension study, 218 patients completed 1 year, 180 completed 2 years, 107 completed 3 years, 75</w:t>
      </w:r>
      <w:r w:rsidR="00DE461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completed 4 years, 34 completed 5 years and 18 completed 6 years. The median baseline platelet count</w:t>
      </w:r>
      <w:r w:rsidR="00DE461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was 19 000/</w:t>
      </w:r>
      <w:r w:rsidRPr="0032259F">
        <w:rPr>
          <w:rFonts w:eastAsia="Arial Unicode MS"/>
          <w:sz w:val="24"/>
          <w:szCs w:val="24"/>
          <w:lang w:val="en-GB" w:eastAsia="en-GB"/>
        </w:rPr>
        <w:t>µ</w:t>
      </w:r>
      <w:r w:rsidRPr="0032259F">
        <w:rPr>
          <w:rFonts w:eastAsia="SimSun"/>
          <w:sz w:val="24"/>
          <w:szCs w:val="24"/>
          <w:lang w:val="en-GB" w:eastAsia="en-GB"/>
        </w:rPr>
        <w:t xml:space="preserve">l prior to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administration. Median platelet counts at 1, 2, 3, 4, 5, 6 and</w:t>
      </w:r>
      <w:r w:rsidR="00DE461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7 years on study were 85 000/</w:t>
      </w:r>
      <w:r w:rsidRPr="0032259F">
        <w:rPr>
          <w:rFonts w:eastAsia="Arial Unicode MS"/>
          <w:sz w:val="24"/>
          <w:szCs w:val="24"/>
          <w:lang w:val="en-GB" w:eastAsia="en-GB"/>
        </w:rPr>
        <w:t>µ</w:t>
      </w:r>
      <w:r w:rsidRPr="0032259F">
        <w:rPr>
          <w:rFonts w:eastAsia="SimSun"/>
          <w:sz w:val="24"/>
          <w:szCs w:val="24"/>
          <w:lang w:val="en-GB" w:eastAsia="en-GB"/>
        </w:rPr>
        <w:t>l, 85 000/</w:t>
      </w:r>
      <w:r w:rsidRPr="0032259F">
        <w:rPr>
          <w:rFonts w:eastAsia="Arial Unicode MS"/>
          <w:sz w:val="24"/>
          <w:szCs w:val="24"/>
          <w:lang w:val="en-GB" w:eastAsia="en-GB"/>
        </w:rPr>
        <w:t>µ</w:t>
      </w:r>
      <w:r w:rsidRPr="0032259F">
        <w:rPr>
          <w:rFonts w:eastAsia="SimSun"/>
          <w:sz w:val="24"/>
          <w:szCs w:val="24"/>
          <w:lang w:val="en-GB" w:eastAsia="en-GB"/>
        </w:rPr>
        <w:t>l, 105 000/</w:t>
      </w:r>
      <w:r w:rsidRPr="0032259F">
        <w:rPr>
          <w:rFonts w:eastAsia="Arial Unicode MS"/>
          <w:sz w:val="24"/>
          <w:szCs w:val="24"/>
          <w:lang w:val="en-GB" w:eastAsia="en-GB"/>
        </w:rPr>
        <w:t>µ</w:t>
      </w:r>
      <w:r w:rsidRPr="0032259F">
        <w:rPr>
          <w:rFonts w:eastAsia="SimSun"/>
          <w:sz w:val="24"/>
          <w:szCs w:val="24"/>
          <w:lang w:val="en-GB" w:eastAsia="en-GB"/>
        </w:rPr>
        <w:t>l, 64 000/</w:t>
      </w:r>
      <w:r w:rsidRPr="0032259F">
        <w:rPr>
          <w:rFonts w:eastAsia="Arial Unicode MS"/>
          <w:sz w:val="24"/>
          <w:szCs w:val="24"/>
          <w:lang w:val="en-GB" w:eastAsia="en-GB"/>
        </w:rPr>
        <w:t>µ</w:t>
      </w:r>
      <w:r w:rsidRPr="0032259F">
        <w:rPr>
          <w:rFonts w:eastAsia="SimSun"/>
          <w:sz w:val="24"/>
          <w:szCs w:val="24"/>
          <w:lang w:val="en-GB" w:eastAsia="en-GB"/>
        </w:rPr>
        <w:t>l, 75 000/</w:t>
      </w:r>
      <w:r w:rsidRPr="0032259F">
        <w:rPr>
          <w:rFonts w:eastAsia="Arial Unicode MS"/>
          <w:sz w:val="24"/>
          <w:szCs w:val="24"/>
          <w:lang w:val="en-GB" w:eastAsia="en-GB"/>
        </w:rPr>
        <w:t>µ</w:t>
      </w:r>
      <w:r w:rsidRPr="0032259F">
        <w:rPr>
          <w:rFonts w:eastAsia="SimSun"/>
          <w:sz w:val="24"/>
          <w:szCs w:val="24"/>
          <w:lang w:val="en-GB" w:eastAsia="en-GB"/>
        </w:rPr>
        <w:t>l, 119 000/</w:t>
      </w:r>
      <w:r w:rsidRPr="0032259F">
        <w:rPr>
          <w:rFonts w:eastAsia="Arial Unicode MS"/>
          <w:sz w:val="24"/>
          <w:szCs w:val="24"/>
          <w:lang w:val="en-GB" w:eastAsia="en-GB"/>
        </w:rPr>
        <w:t>µ</w:t>
      </w:r>
      <w:r w:rsidRPr="0032259F">
        <w:rPr>
          <w:rFonts w:eastAsia="SimSun"/>
          <w:sz w:val="24"/>
          <w:szCs w:val="24"/>
          <w:lang w:val="en-GB" w:eastAsia="en-GB"/>
        </w:rPr>
        <w:t>l and</w:t>
      </w:r>
      <w:r w:rsidR="00DE461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76 000/</w:t>
      </w:r>
      <w:r w:rsidRPr="0032259F">
        <w:rPr>
          <w:rFonts w:eastAsia="Arial Unicode MS"/>
          <w:sz w:val="24"/>
          <w:szCs w:val="24"/>
          <w:lang w:val="en-GB" w:eastAsia="en-GB"/>
        </w:rPr>
        <w:t>µ</w:t>
      </w:r>
      <w:r w:rsidRPr="0032259F">
        <w:rPr>
          <w:rFonts w:eastAsia="SimSun"/>
          <w:sz w:val="24"/>
          <w:szCs w:val="24"/>
          <w:lang w:val="en-GB" w:eastAsia="en-GB"/>
        </w:rPr>
        <w:t>l, respectively.</w:t>
      </w:r>
    </w:p>
    <w:p w14:paraId="7EA583B2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74D0F4D0" w14:textId="775F08BB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TAPER (CETB115J2411): This was a single-arm phase II study including ITP patients treated with</w:t>
      </w:r>
      <w:r w:rsidR="00DE4611" w:rsidRPr="0032259F">
        <w:rPr>
          <w:rFonts w:eastAsia="SimSun"/>
          <w:sz w:val="24"/>
          <w:szCs w:val="24"/>
          <w:lang w:val="en-GB" w:eastAsia="en-GB"/>
        </w:rPr>
        <w:t xml:space="preserve">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after first-line corticosteroid failure irrespective of time since diagnosis. A total of</w:t>
      </w:r>
      <w:r w:rsidR="00DE461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105 patients were enrolled on the study and started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treatment on 50 mg once daily (25 mg</w:t>
      </w:r>
      <w:r w:rsidR="00DE461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once daily for patients of East-/Southeast-Asian </w:t>
      </w:r>
      <w:r w:rsidRPr="0032259F">
        <w:rPr>
          <w:rFonts w:eastAsia="SimSun"/>
          <w:sz w:val="24"/>
          <w:szCs w:val="24"/>
          <w:lang w:val="en-GB" w:eastAsia="en-GB"/>
        </w:rPr>
        <w:lastRenderedPageBreak/>
        <w:t xml:space="preserve">ancestry). The dose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was adjusted</w:t>
      </w:r>
      <w:r w:rsidR="00DE461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during the treatment period based on individual platelet counts with the goal to achieve a platelet count</w:t>
      </w:r>
      <w:r w:rsidR="00DE461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TimesNewRomanPSMT"/>
          <w:sz w:val="24"/>
          <w:szCs w:val="24"/>
          <w:lang w:val="en-GB" w:eastAsia="en-GB"/>
        </w:rPr>
        <w:t xml:space="preserve">≥100 </w:t>
      </w:r>
      <w:r w:rsidRPr="0032259F">
        <w:rPr>
          <w:rFonts w:eastAsia="SimSun"/>
          <w:sz w:val="24"/>
          <w:szCs w:val="24"/>
          <w:lang w:val="en-GB" w:eastAsia="en-GB"/>
        </w:rPr>
        <w:t>000/</w:t>
      </w:r>
      <w:r w:rsidRPr="0032259F">
        <w:rPr>
          <w:rFonts w:eastAsia="Arial Unicode MS"/>
          <w:sz w:val="24"/>
          <w:szCs w:val="24"/>
          <w:lang w:val="en-GB" w:eastAsia="en-GB"/>
        </w:rPr>
        <w:t>µ</w:t>
      </w:r>
      <w:r w:rsidRPr="0032259F">
        <w:rPr>
          <w:rFonts w:eastAsia="SimSun"/>
          <w:sz w:val="24"/>
          <w:szCs w:val="24"/>
          <w:lang w:val="en-GB" w:eastAsia="en-GB"/>
        </w:rPr>
        <w:t>l.</w:t>
      </w:r>
    </w:p>
    <w:p w14:paraId="0F4CBB76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0DC066ED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Of the 105 patients who were enrolled in the study and who received at least one dose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, 69 patients (65.7%) completed treatment and 36 patients (34.3%) discontinued treatment early.</w:t>
      </w:r>
    </w:p>
    <w:p w14:paraId="29394965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15C1837B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Analysis of sustained response off treatment</w:t>
      </w:r>
    </w:p>
    <w:p w14:paraId="3BDDCCB7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The primary endpoint was the proportion of patients with sustained response off treatment until Month 12. Patients who reached a platelet count of ≥100 000/µl and maintained platelet counts around 100 000/µl for 2 months (no counts below 70 000/µl) were eligible for tapering off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and treatment discontinuation. To be considered as having achieved a sustained response off treatment, a patient had to maintain platelet counts ≥30 000/µl, in the absence of bleeding events or the use of rescue therapy, both during the treatment tapering period and following discontinuation of treatment until Month 12.</w:t>
      </w:r>
    </w:p>
    <w:p w14:paraId="470369D0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68FF2887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The duration of tapering was individualised depending on the starting dose and the response of the patient. The tapering schedule recommended dose reductions of 25 mg every 2 weeks if the platelet counts were stable. After the daily dose was reduced to 25 mg for 2 weeks, the dose of 25 mg was then only administered on alternate days for 2 weeks until treatment discontinuation. The tapering was done in smaller decrements of 12.5 mg every second week for patients of East-/Southeast-Asian ancestry. If a relapse (defined as platelet count &lt;30 000/µl) occurred, patients were offered a new course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at the appropriate starting dose.</w:t>
      </w:r>
    </w:p>
    <w:p w14:paraId="1FC2A653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09738B7B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Eighty-nine patients (84.8%) achieved a complete response (platelet count ≥100 000/µl) (Step 1, Table 6) and 65 patients (61.9%) maintained the complete response for at least 2 months with no platelet counts below 70 000/µl (Step 2, Table 6). Forty-four patients (41.9%) were able to be tapered off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until treatment discontinuation while maintaining platelet counts ≥30 000/µl in the absence of bleeding events or the use of rescue therapy (Step 3, Table 6).</w:t>
      </w:r>
    </w:p>
    <w:p w14:paraId="30BAB28B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1807E642" w14:textId="283E48AF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The study met the primary objective by demonstrating that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was able to induce sustained</w:t>
      </w:r>
      <w:r w:rsidR="00DE461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response off treatment, in the absence of bleeding events or the use of rescue therapy, by Month 12 in</w:t>
      </w:r>
      <w:r w:rsidR="00DE461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32 of the 105 enrolled patients (30.5%; p&lt;0.0001; 95% CI: 21.9, 40.2) (Step 4, Table 6). By Month 24,</w:t>
      </w:r>
      <w:r w:rsidR="00DE461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20 of the 105 enrolled patients (19.0%; 95% CI: 12.0, 27.9) maintained sustained response off</w:t>
      </w:r>
      <w:r w:rsidR="00DE4611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treatment in the absence of bleeding events or the use of rescue therapy (Step 5, Table 6).</w:t>
      </w:r>
    </w:p>
    <w:p w14:paraId="02193916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1CAFC2EE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The median duration of sustained response after treatment discontinuation to Month 12 was 33.3 weeks (min-max: 4-51), and the median duration of sustained response after treatment discontinuation to Month 24 was 88.6 weeks (min-max: 57-107).</w:t>
      </w:r>
    </w:p>
    <w:p w14:paraId="1DD5F84F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34A3C2FF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After tapering off and discontinuation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treatment, 12 patients had a loss of response, 8 of them re-started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and 7 had a recovery response.</w:t>
      </w:r>
    </w:p>
    <w:p w14:paraId="097C7161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1FBAC74B" w14:textId="29ACB8F4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During the 2-year follow-up, 6 out of 105 patients (5.7%) experienced thromboembolic events, of which 3 patients (2.9%) experienced deep vein thrombosis, 1 patient (1.0%) experienced superficial vein thrombosis, 1 patient (1.0%) experienced cavernous sinus thrombosis, 1 patient (1.0%) experienced cerebrovascular accident and 1 patient (1.0%) experienced pulmonary embolism. Of the</w:t>
      </w:r>
      <w:r w:rsidR="00AD6E7B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6 patients, 4 patients experienced</w:t>
      </w:r>
      <w:r w:rsidR="00AD6E7B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lastRenderedPageBreak/>
        <w:t>thromboembolic events that were reported at or greater than Grade 3, and 4 patients experienced thromboembolic event that were reported as serious. No fatal cases were reported.</w:t>
      </w:r>
    </w:p>
    <w:p w14:paraId="5B7C4C0E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4A7E9DAF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Twenty out of 105 patients (19.0%) experienced mild to severe haemorrhage events on treatment before tapering started. Five out of 65 patients (7.7%) who started tapering experienced mild to moderate haemorrhage events during tapering. No severe haemorrhage event occurred during tapering. Two out of 44 patients (4.5%) who tapered off and discontinued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treatment experienced mild to moderate haemorrhage events after treatment discontinuation until Month 12. No severe haemorrhage event occurred during this period. None of the patients who discontinued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and entered the </w:t>
      </w:r>
      <w:proofErr w:type="gramStart"/>
      <w:r w:rsidRPr="0032259F">
        <w:rPr>
          <w:rFonts w:eastAsia="SimSun"/>
          <w:sz w:val="24"/>
          <w:szCs w:val="24"/>
          <w:lang w:val="en-GB" w:eastAsia="en-GB"/>
        </w:rPr>
        <w:t>second year</w:t>
      </w:r>
      <w:proofErr w:type="gramEnd"/>
      <w:r w:rsidRPr="0032259F">
        <w:rPr>
          <w:rFonts w:eastAsia="SimSun"/>
          <w:sz w:val="24"/>
          <w:szCs w:val="24"/>
          <w:lang w:val="en-GB" w:eastAsia="en-GB"/>
        </w:rPr>
        <w:t xml:space="preserve"> follow-up experienced haemorrhage event during the second year. Two fatal intracranial haemorrhage events were reported during the 2-year follow-up. Both events occurred on treatment, not in the context of tapering. The events were not considered to be related to study treatment.</w:t>
      </w:r>
    </w:p>
    <w:p w14:paraId="7674324A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62BA3A6A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The overall safety analysis is consistent with previously reported data and the risk-benefit assessment remained unchanged for the use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in patients with ITP.</w:t>
      </w:r>
    </w:p>
    <w:p w14:paraId="1D5FE654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0313D4A0" w14:textId="6D0157F0" w:rsidR="002C7328" w:rsidRPr="0032259F" w:rsidRDefault="002C7328" w:rsidP="00DE4611">
      <w:pPr>
        <w:ind w:left="1134" w:hanging="1134"/>
        <w:rPr>
          <w:rFonts w:eastAsia="SimSun"/>
          <w:b/>
          <w:sz w:val="24"/>
          <w:szCs w:val="24"/>
          <w:lang w:val="en-GB" w:eastAsia="en-GB"/>
        </w:rPr>
      </w:pPr>
      <w:r w:rsidRPr="0032259F">
        <w:rPr>
          <w:rFonts w:eastAsia="SimSun"/>
          <w:b/>
          <w:sz w:val="24"/>
          <w:szCs w:val="24"/>
          <w:lang w:val="en-GB" w:eastAsia="en-GB"/>
        </w:rPr>
        <w:t>Table 6</w:t>
      </w:r>
      <w:r w:rsidR="00DE4611" w:rsidRPr="0032259F">
        <w:rPr>
          <w:rFonts w:eastAsia="SimSun"/>
          <w:b/>
          <w:sz w:val="24"/>
          <w:szCs w:val="24"/>
          <w:lang w:val="en-GB" w:eastAsia="en-GB"/>
        </w:rPr>
        <w:tab/>
      </w:r>
      <w:r w:rsidRPr="0032259F">
        <w:rPr>
          <w:rFonts w:eastAsia="SimSun"/>
          <w:b/>
          <w:sz w:val="24"/>
          <w:szCs w:val="24"/>
          <w:lang w:val="en-GB" w:eastAsia="en-GB"/>
        </w:rPr>
        <w:t>Proportion of patients with sustained response off treatment at Month 12 and at Month 24 (full analysis set) in TAPER</w:t>
      </w:r>
    </w:p>
    <w:p w14:paraId="2AD0A2C4" w14:textId="77777777" w:rsidR="002C7328" w:rsidRPr="0032259F" w:rsidRDefault="002C7328" w:rsidP="002C7328">
      <w:pPr>
        <w:tabs>
          <w:tab w:val="left" w:pos="1304"/>
        </w:tabs>
        <w:autoSpaceDE w:val="0"/>
        <w:autoSpaceDN w:val="0"/>
        <w:adjustRightInd w:val="0"/>
        <w:rPr>
          <w:rFonts w:eastAsia="SimSun"/>
          <w:sz w:val="24"/>
          <w:szCs w:val="24"/>
          <w:lang w:val="en-GB" w:eastAsia="en-GB"/>
        </w:rPr>
      </w:pPr>
    </w:p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3896"/>
        <w:gridCol w:w="1500"/>
        <w:gridCol w:w="1488"/>
        <w:gridCol w:w="1157"/>
        <w:gridCol w:w="1587"/>
      </w:tblGrid>
      <w:tr w:rsidR="002C7328" w:rsidRPr="0032259F" w14:paraId="285927FC" w14:textId="77777777" w:rsidTr="00502830">
        <w:trPr>
          <w:trHeight w:val="759"/>
        </w:trPr>
        <w:tc>
          <w:tcPr>
            <w:tcW w:w="2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0C3A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3EE171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2259F">
              <w:rPr>
                <w:b/>
                <w:bCs/>
                <w:sz w:val="24"/>
                <w:szCs w:val="24"/>
              </w:rPr>
              <w:t>All patients</w:t>
            </w:r>
          </w:p>
          <w:p w14:paraId="475B73C2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1A74ACCD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2259F">
              <w:rPr>
                <w:b/>
                <w:bCs/>
                <w:sz w:val="24"/>
                <w:szCs w:val="24"/>
              </w:rPr>
              <w:t>N=105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15E75A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2259F">
              <w:rPr>
                <w:b/>
                <w:bCs/>
                <w:sz w:val="24"/>
                <w:szCs w:val="24"/>
              </w:rPr>
              <w:t>Hypothesis testing</w:t>
            </w:r>
          </w:p>
        </w:tc>
      </w:tr>
      <w:tr w:rsidR="002C7328" w:rsidRPr="0032259F" w14:paraId="6752CA07" w14:textId="77777777" w:rsidTr="00502830">
        <w:trPr>
          <w:trHeight w:val="287"/>
        </w:trPr>
        <w:tc>
          <w:tcPr>
            <w:tcW w:w="2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C28A" w14:textId="77777777" w:rsidR="002C7328" w:rsidRPr="0032259F" w:rsidRDefault="002C7328">
            <w:pPr>
              <w:rPr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19BA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2259F">
              <w:rPr>
                <w:b/>
                <w:bCs/>
                <w:sz w:val="24"/>
                <w:szCs w:val="24"/>
              </w:rPr>
              <w:t>n (%)</w:t>
            </w:r>
          </w:p>
        </w:tc>
        <w:tc>
          <w:tcPr>
            <w:tcW w:w="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B621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2259F">
              <w:rPr>
                <w:b/>
                <w:sz w:val="24"/>
                <w:szCs w:val="24"/>
              </w:rPr>
              <w:t>95% CI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20DB7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2259F">
              <w:rPr>
                <w:b/>
                <w:bCs/>
                <w:sz w:val="24"/>
                <w:szCs w:val="24"/>
              </w:rPr>
              <w:t>p-value</w:t>
            </w:r>
          </w:p>
        </w:tc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1DBE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2259F">
              <w:rPr>
                <w:b/>
                <w:sz w:val="24"/>
                <w:szCs w:val="24"/>
              </w:rPr>
              <w:t>Reject H0</w:t>
            </w:r>
          </w:p>
        </w:tc>
      </w:tr>
      <w:tr w:rsidR="002C7328" w:rsidRPr="0032259F" w14:paraId="6FA72628" w14:textId="77777777" w:rsidTr="00502830"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5DBC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Step 1: Patients who reached platelet count ≥100 000/µl at least once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E46A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89 (84.8)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9EBC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(76.4, 91.0)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5F3F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E2A2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C7328" w:rsidRPr="0032259F" w14:paraId="43E3396A" w14:textId="77777777" w:rsidTr="00502830"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CD68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Step 2: Patients who maintained stable platelet count for 2 months after reaching 100 000/µl (no counts &lt;70 000/µl)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F8CE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65 (61.9)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D193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(51.9, 71.2)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CCF8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1465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C7328" w:rsidRPr="0032259F" w14:paraId="32002743" w14:textId="77777777" w:rsidTr="00502830"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5F5C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 xml:space="preserve">Step 3: Patients who were able to be tapered off </w:t>
            </w:r>
            <w:proofErr w:type="spellStart"/>
            <w:r w:rsidRPr="0032259F">
              <w:rPr>
                <w:sz w:val="24"/>
                <w:szCs w:val="24"/>
              </w:rPr>
              <w:t>eltrombopag</w:t>
            </w:r>
            <w:proofErr w:type="spellEnd"/>
            <w:r w:rsidRPr="0032259F">
              <w:rPr>
                <w:sz w:val="24"/>
                <w:szCs w:val="24"/>
              </w:rPr>
              <w:t xml:space="preserve"> until treatment discontinuation, maintaining platelet count ≥30 000/µL in the absence of bleeding events or use of any rescue therapy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D540B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44 (41.9)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FB26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(32.3, 51.9)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896B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9294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C7328" w:rsidRPr="0032259F" w14:paraId="38169D19" w14:textId="77777777" w:rsidTr="00502830"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F39B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Step 4: Patients with sustained response off treatment until Month 12, with platelet count maintained ≥30 000/µl in the absence of bleeding events or use of any rescue therapy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58F9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32 (30.5)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363A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(21.9, 40.2)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2CE1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&lt;0.0001*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9D76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Yes</w:t>
            </w:r>
          </w:p>
        </w:tc>
      </w:tr>
      <w:tr w:rsidR="002C7328" w:rsidRPr="0032259F" w14:paraId="7FC56A8C" w14:textId="77777777" w:rsidTr="00502830"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8AC4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Step 5: Patients with sustained response off treatment from Month 12 to Month 24, maintaining platelet count ≥30 000/µl in the absence of bleeding events or use of any rescue therapy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745E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20 (19.0)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1AF5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(12.0, 27.9)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F68D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7F59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C7328" w:rsidRPr="00727038" w14:paraId="07406FF5" w14:textId="77777777" w:rsidTr="00502830">
        <w:trPr>
          <w:trHeight w:val="104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684E" w14:textId="58FA6D49" w:rsidR="002C7328" w:rsidRPr="0032259F" w:rsidRDefault="002C7328" w:rsidP="00AD6E7B">
            <w:pPr>
              <w:tabs>
                <w:tab w:val="left" w:pos="45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lastRenderedPageBreak/>
              <w:t xml:space="preserve">N: </w:t>
            </w:r>
            <w:r w:rsidR="00AD6E7B" w:rsidRPr="0032259F">
              <w:rPr>
                <w:sz w:val="24"/>
                <w:szCs w:val="24"/>
              </w:rPr>
              <w:tab/>
            </w:r>
            <w:r w:rsidRPr="0032259F">
              <w:rPr>
                <w:sz w:val="24"/>
                <w:szCs w:val="24"/>
              </w:rPr>
              <w:t xml:space="preserve">The total number of patients in the treatment group. This is the denominator for </w:t>
            </w:r>
            <w:r w:rsidR="00AD6E7B" w:rsidRPr="0032259F">
              <w:rPr>
                <w:sz w:val="24"/>
                <w:szCs w:val="24"/>
              </w:rPr>
              <w:tab/>
            </w:r>
            <w:r w:rsidRPr="0032259F">
              <w:rPr>
                <w:sz w:val="24"/>
                <w:szCs w:val="24"/>
              </w:rPr>
              <w:t>percentage (%) calculation.</w:t>
            </w:r>
          </w:p>
          <w:p w14:paraId="25CF6476" w14:textId="1A3F6ADB" w:rsidR="002C7328" w:rsidRPr="0032259F" w:rsidRDefault="002C7328" w:rsidP="00AD6E7B">
            <w:pPr>
              <w:tabs>
                <w:tab w:val="left" w:pos="45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 xml:space="preserve">n: </w:t>
            </w:r>
            <w:r w:rsidR="00AD6E7B" w:rsidRPr="0032259F">
              <w:rPr>
                <w:sz w:val="24"/>
                <w:szCs w:val="24"/>
              </w:rPr>
              <w:tab/>
            </w:r>
            <w:r w:rsidRPr="0032259F">
              <w:rPr>
                <w:sz w:val="24"/>
                <w:szCs w:val="24"/>
              </w:rPr>
              <w:t>Number of patients in the corresponding category.</w:t>
            </w:r>
          </w:p>
          <w:p w14:paraId="204DBA77" w14:textId="5DAD60AC" w:rsidR="002C7328" w:rsidRPr="0032259F" w:rsidRDefault="00AD6E7B" w:rsidP="00AD6E7B">
            <w:pPr>
              <w:tabs>
                <w:tab w:val="left" w:pos="45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ab/>
            </w:r>
            <w:r w:rsidR="002C7328" w:rsidRPr="0032259F">
              <w:rPr>
                <w:sz w:val="24"/>
                <w:szCs w:val="24"/>
              </w:rPr>
              <w:t xml:space="preserve">The 95% CI for the frequency distribution was computed using Clopper-Pearson exact </w:t>
            </w:r>
            <w:r w:rsidRPr="0032259F">
              <w:rPr>
                <w:sz w:val="24"/>
                <w:szCs w:val="24"/>
              </w:rPr>
              <w:tab/>
            </w:r>
            <w:r w:rsidR="002C7328" w:rsidRPr="0032259F">
              <w:rPr>
                <w:sz w:val="24"/>
                <w:szCs w:val="24"/>
              </w:rPr>
              <w:t xml:space="preserve">method. Clopper-Pearson test was used for testing whether the proportion of responders </w:t>
            </w:r>
            <w:r w:rsidRPr="0032259F">
              <w:rPr>
                <w:sz w:val="24"/>
                <w:szCs w:val="24"/>
              </w:rPr>
              <w:tab/>
            </w:r>
            <w:r w:rsidR="002C7328" w:rsidRPr="0032259F">
              <w:rPr>
                <w:sz w:val="24"/>
                <w:szCs w:val="24"/>
              </w:rPr>
              <w:t>was &gt;15%. CI and p-values are reported.</w:t>
            </w:r>
          </w:p>
          <w:p w14:paraId="60F73887" w14:textId="5F6291B5" w:rsidR="002C7328" w:rsidRPr="0032259F" w:rsidRDefault="002C7328" w:rsidP="00AD6E7B">
            <w:pPr>
              <w:tabs>
                <w:tab w:val="left" w:pos="45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 xml:space="preserve">* </w:t>
            </w:r>
            <w:r w:rsidR="00AD6E7B" w:rsidRPr="0032259F">
              <w:rPr>
                <w:sz w:val="24"/>
                <w:szCs w:val="24"/>
              </w:rPr>
              <w:tab/>
            </w:r>
            <w:r w:rsidRPr="0032259F">
              <w:rPr>
                <w:sz w:val="24"/>
                <w:szCs w:val="24"/>
              </w:rPr>
              <w:t>Indicates statistical significance (one-sided) at the 0.05 level.</w:t>
            </w:r>
          </w:p>
        </w:tc>
      </w:tr>
    </w:tbl>
    <w:p w14:paraId="4E13C678" w14:textId="77777777" w:rsidR="002C7328" w:rsidRPr="0032259F" w:rsidRDefault="002C7328" w:rsidP="002C7328">
      <w:pPr>
        <w:tabs>
          <w:tab w:val="left" w:pos="1304"/>
        </w:tabs>
        <w:autoSpaceDE w:val="0"/>
        <w:autoSpaceDN w:val="0"/>
        <w:adjustRightInd w:val="0"/>
        <w:rPr>
          <w:rFonts w:eastAsia="SimSun"/>
          <w:sz w:val="24"/>
          <w:szCs w:val="24"/>
          <w:lang w:val="en-GB" w:eastAsia="en-GB"/>
        </w:rPr>
      </w:pPr>
    </w:p>
    <w:p w14:paraId="67B1D9D6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Results of response on treatment analysis by time since ITP diagnosis</w:t>
      </w:r>
    </w:p>
    <w:p w14:paraId="5FF37165" w14:textId="7837F6D5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An ad-hoc analysis was conducted on the n=105 patients by time since ITP diagnosis to assess the</w:t>
      </w:r>
      <w:r w:rsidR="00C65C8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response to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across four different ITP categories by time since diagnosis (newly diagnosed ITP&lt;3 months, persistent ITP 3 to &lt;6 months, persistent ITP 6 to </w:t>
      </w:r>
      <w:r w:rsidRPr="0032259F">
        <w:rPr>
          <w:rFonts w:eastAsia="TimesNewRomanPSMT"/>
          <w:sz w:val="24"/>
          <w:szCs w:val="24"/>
          <w:lang w:val="en-GB" w:eastAsia="en-GB"/>
        </w:rPr>
        <w:t>≤</w:t>
      </w:r>
      <w:r w:rsidRPr="0032259F">
        <w:rPr>
          <w:rFonts w:eastAsia="SimSun"/>
          <w:sz w:val="24"/>
          <w:szCs w:val="24"/>
          <w:lang w:val="en-GB" w:eastAsia="en-GB"/>
        </w:rPr>
        <w:t>12 months, and chronic ITP&gt;12 months). 49% of patients (n=51) had an ITP diagnosis of &lt;3 months, 20% (n=21) of 3 to</w:t>
      </w:r>
      <w:r w:rsidR="00C65C8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&lt;6 </w:t>
      </w:r>
      <w:r w:rsidRPr="0032259F">
        <w:rPr>
          <w:rFonts w:eastAsia="TimesNewRomanPSMT"/>
          <w:sz w:val="24"/>
          <w:szCs w:val="24"/>
          <w:lang w:val="en-GB" w:eastAsia="en-GB"/>
        </w:rPr>
        <w:t xml:space="preserve">months, 17% (n=18) of 6 to ≤12 </w:t>
      </w:r>
      <w:r w:rsidRPr="0032259F">
        <w:rPr>
          <w:rFonts w:eastAsia="SimSun"/>
          <w:sz w:val="24"/>
          <w:szCs w:val="24"/>
          <w:lang w:val="en-GB" w:eastAsia="en-GB"/>
        </w:rPr>
        <w:t>months and 14% (n=15) of &gt;12 months.</w:t>
      </w:r>
    </w:p>
    <w:p w14:paraId="195210A7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60A36E84" w14:textId="393FD4A8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Until the cut-off date (22-Oct-2021), patients were exposed to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for a median (Q1-Q3)</w:t>
      </w:r>
      <w:r w:rsidR="00C65C8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duration of 6.2 months (2.3-12.0 months). The median (Q1-Q3) platelet count at baseline was</w:t>
      </w:r>
      <w:r w:rsidR="00C65C8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16 000/</w:t>
      </w:r>
      <w:r w:rsidRPr="0032259F">
        <w:rPr>
          <w:rFonts w:eastAsia="Arial Unicode MS"/>
          <w:sz w:val="24"/>
          <w:szCs w:val="24"/>
          <w:lang w:val="en-GB" w:eastAsia="en-GB"/>
        </w:rPr>
        <w:t>µ</w:t>
      </w:r>
      <w:r w:rsidRPr="0032259F">
        <w:rPr>
          <w:rFonts w:eastAsia="SimSun"/>
          <w:sz w:val="24"/>
          <w:szCs w:val="24"/>
          <w:lang w:val="en-GB" w:eastAsia="en-GB"/>
        </w:rPr>
        <w:t>l (7 800-28 000/</w:t>
      </w:r>
      <w:r w:rsidRPr="0032259F">
        <w:rPr>
          <w:rFonts w:eastAsia="Arial Unicode MS"/>
          <w:sz w:val="24"/>
          <w:szCs w:val="24"/>
          <w:lang w:val="en-GB" w:eastAsia="en-GB"/>
        </w:rPr>
        <w:t>µ</w:t>
      </w:r>
      <w:r w:rsidRPr="0032259F">
        <w:rPr>
          <w:rFonts w:eastAsia="SimSun"/>
          <w:sz w:val="24"/>
          <w:szCs w:val="24"/>
          <w:lang w:val="en-GB" w:eastAsia="en-GB"/>
        </w:rPr>
        <w:t>l).</w:t>
      </w:r>
    </w:p>
    <w:p w14:paraId="78D3BADB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2383EA73" w14:textId="5CDB85EC" w:rsidR="002C7328" w:rsidRPr="0032259F" w:rsidRDefault="002C7328" w:rsidP="00502830">
      <w:pPr>
        <w:ind w:left="851"/>
        <w:rPr>
          <w:rFonts w:eastAsia="TimesNewRomanPSMT"/>
          <w:sz w:val="24"/>
          <w:szCs w:val="24"/>
          <w:lang w:val="en-GB" w:eastAsia="en-GB"/>
        </w:rPr>
      </w:pPr>
      <w:r w:rsidRPr="0032259F">
        <w:rPr>
          <w:rFonts w:eastAsia="TimesNewRomanPSMT"/>
          <w:sz w:val="24"/>
          <w:szCs w:val="24"/>
          <w:lang w:val="en-GB" w:eastAsia="en-GB"/>
        </w:rPr>
        <w:t>Platelet count response defined as a platelet count ≥50 000/</w:t>
      </w:r>
      <w:r w:rsidRPr="0032259F">
        <w:rPr>
          <w:rFonts w:eastAsia="Arial Unicode MS"/>
          <w:sz w:val="24"/>
          <w:szCs w:val="24"/>
          <w:lang w:val="en-GB" w:eastAsia="en-GB"/>
        </w:rPr>
        <w:t>µ</w:t>
      </w:r>
      <w:r w:rsidRPr="0032259F">
        <w:rPr>
          <w:rFonts w:eastAsia="TimesNewRomanPSMT"/>
          <w:sz w:val="24"/>
          <w:szCs w:val="24"/>
          <w:lang w:val="en-GB" w:eastAsia="en-GB"/>
        </w:rPr>
        <w:t>l at least once by Week 9 without rescue</w:t>
      </w:r>
      <w:r w:rsidR="00C65C85" w:rsidRPr="0032259F">
        <w:rPr>
          <w:rFonts w:eastAsia="TimesNewRomanPSMT"/>
          <w:sz w:val="24"/>
          <w:szCs w:val="24"/>
          <w:lang w:val="en-GB" w:eastAsia="en-GB"/>
        </w:rPr>
        <w:t xml:space="preserve"> </w:t>
      </w:r>
      <w:r w:rsidRPr="0032259F">
        <w:rPr>
          <w:rFonts w:eastAsia="TimesNewRomanPSMT"/>
          <w:sz w:val="24"/>
          <w:szCs w:val="24"/>
          <w:lang w:val="en-GB" w:eastAsia="en-GB"/>
        </w:rPr>
        <w:t>therapy was achieved in 84% (95% CI: 71% to 93%) of newly diagnosed ITP patients, 91% (95% CI:</w:t>
      </w:r>
      <w:r w:rsidR="00C65C85" w:rsidRPr="0032259F">
        <w:rPr>
          <w:rFonts w:eastAsia="TimesNewRomanPSMT"/>
          <w:sz w:val="24"/>
          <w:szCs w:val="24"/>
          <w:lang w:val="en-GB" w:eastAsia="en-GB"/>
        </w:rPr>
        <w:t xml:space="preserve"> </w:t>
      </w:r>
      <w:r w:rsidRPr="0032259F">
        <w:rPr>
          <w:rFonts w:eastAsia="TimesNewRomanPSMT"/>
          <w:sz w:val="24"/>
          <w:szCs w:val="24"/>
          <w:lang w:val="en-GB" w:eastAsia="en-GB"/>
        </w:rPr>
        <w:t>70% to 99%) and 94% (95% CI: 73% to 100%) of persistent ITP patients (i.e. with ITP diagnosis 3 to</w:t>
      </w:r>
      <w:r w:rsidR="00C65C85" w:rsidRPr="0032259F">
        <w:rPr>
          <w:rFonts w:eastAsia="TimesNewRomanPSMT"/>
          <w:sz w:val="24"/>
          <w:szCs w:val="24"/>
          <w:lang w:val="en-GB" w:eastAsia="en-GB"/>
        </w:rPr>
        <w:t xml:space="preserve"> </w:t>
      </w:r>
      <w:r w:rsidRPr="0032259F">
        <w:rPr>
          <w:rFonts w:eastAsia="TimesNewRomanPSMT"/>
          <w:sz w:val="24"/>
          <w:szCs w:val="24"/>
          <w:lang w:val="en-GB" w:eastAsia="en-GB"/>
        </w:rPr>
        <w:t>&lt;6 months and 6 to ≤12 months, respectively), and in 87% (95% CI: 60% to 98%) of chronic ITP</w:t>
      </w:r>
      <w:r w:rsidR="00C65C85" w:rsidRPr="0032259F">
        <w:rPr>
          <w:rFonts w:eastAsia="TimesNewRomanPSMT"/>
          <w:sz w:val="24"/>
          <w:szCs w:val="24"/>
          <w:lang w:val="en-GB" w:eastAsia="en-GB"/>
        </w:rPr>
        <w:t xml:space="preserve"> </w:t>
      </w:r>
      <w:r w:rsidRPr="0032259F">
        <w:rPr>
          <w:rFonts w:eastAsia="TimesNewRomanPSMT"/>
          <w:sz w:val="24"/>
          <w:szCs w:val="24"/>
          <w:lang w:val="en-GB" w:eastAsia="en-GB"/>
        </w:rPr>
        <w:t>patients.</w:t>
      </w:r>
    </w:p>
    <w:p w14:paraId="16C6124D" w14:textId="77777777" w:rsidR="002C7328" w:rsidRPr="0032259F" w:rsidRDefault="002C7328" w:rsidP="00502830">
      <w:pPr>
        <w:ind w:left="851"/>
        <w:rPr>
          <w:rFonts w:eastAsia="TimesNewRomanPSMT"/>
          <w:sz w:val="24"/>
          <w:szCs w:val="24"/>
          <w:lang w:val="en-GB" w:eastAsia="en-GB"/>
        </w:rPr>
      </w:pPr>
    </w:p>
    <w:p w14:paraId="7F8EE349" w14:textId="3555B920" w:rsidR="002C7328" w:rsidRPr="0032259F" w:rsidRDefault="002C7328" w:rsidP="00502830">
      <w:pPr>
        <w:ind w:left="851"/>
        <w:rPr>
          <w:rFonts w:eastAsia="TimesNewRomanPSMT"/>
          <w:sz w:val="24"/>
          <w:szCs w:val="24"/>
          <w:lang w:val="en-GB" w:eastAsia="en-GB"/>
        </w:rPr>
      </w:pPr>
      <w:r w:rsidRPr="0032259F">
        <w:rPr>
          <w:rFonts w:eastAsia="TimesNewRomanPSMT"/>
          <w:sz w:val="24"/>
          <w:szCs w:val="24"/>
          <w:lang w:val="en-GB" w:eastAsia="en-GB"/>
        </w:rPr>
        <w:t>The rate of complete response, defined as platelet count ≥100 000/</w:t>
      </w:r>
      <w:r w:rsidRPr="0032259F">
        <w:rPr>
          <w:rFonts w:eastAsia="Arial Unicode MS"/>
          <w:sz w:val="24"/>
          <w:szCs w:val="24"/>
          <w:lang w:val="en-GB" w:eastAsia="en-GB"/>
        </w:rPr>
        <w:t>µ</w:t>
      </w:r>
      <w:r w:rsidRPr="0032259F">
        <w:rPr>
          <w:rFonts w:eastAsia="TimesNewRomanPSMT"/>
          <w:sz w:val="24"/>
          <w:szCs w:val="24"/>
          <w:lang w:val="en-GB" w:eastAsia="en-GB"/>
        </w:rPr>
        <w:t>l at least once by Week 9 without</w:t>
      </w:r>
      <w:r w:rsidR="00C65C85" w:rsidRPr="0032259F">
        <w:rPr>
          <w:rFonts w:eastAsia="TimesNewRomanPSMT"/>
          <w:sz w:val="24"/>
          <w:szCs w:val="24"/>
          <w:lang w:val="en-GB" w:eastAsia="en-GB"/>
        </w:rPr>
        <w:t xml:space="preserve"> </w:t>
      </w:r>
      <w:r w:rsidRPr="0032259F">
        <w:rPr>
          <w:rFonts w:eastAsia="TimesNewRomanPSMT"/>
          <w:sz w:val="24"/>
          <w:szCs w:val="24"/>
          <w:lang w:val="en-GB" w:eastAsia="en-GB"/>
        </w:rPr>
        <w:t>rescue therapy, was 75% (95% CI: 60% to 86%) in newly diagnosed ITP patients, 76% (95% CI: 53%</w:t>
      </w:r>
      <w:r w:rsidR="00C65C85" w:rsidRPr="0032259F">
        <w:rPr>
          <w:rFonts w:eastAsia="TimesNewRomanPSMT"/>
          <w:sz w:val="24"/>
          <w:szCs w:val="24"/>
          <w:lang w:val="en-GB" w:eastAsia="en-GB"/>
        </w:rPr>
        <w:t xml:space="preserve"> </w:t>
      </w:r>
      <w:r w:rsidRPr="0032259F">
        <w:rPr>
          <w:rFonts w:eastAsia="TimesNewRomanPSMT"/>
          <w:sz w:val="24"/>
          <w:szCs w:val="24"/>
          <w:lang w:val="en-GB" w:eastAsia="en-GB"/>
        </w:rPr>
        <w:t>to 92%) and 72% (95% CI: 47% to 90%) in persistent ITP patients (ITP diagnosis 3 to &lt;6 months and 6 to ≤12 months, respectively), and 87% (95% CI: 60% to 98%) in chronic ITP patients.</w:t>
      </w:r>
    </w:p>
    <w:p w14:paraId="27B26D7E" w14:textId="77777777" w:rsidR="002C7328" w:rsidRPr="0032259F" w:rsidRDefault="002C7328" w:rsidP="00502830">
      <w:pPr>
        <w:ind w:left="851"/>
        <w:rPr>
          <w:rFonts w:eastAsia="TimesNewRomanPSMT"/>
          <w:sz w:val="24"/>
          <w:szCs w:val="24"/>
          <w:lang w:val="en-GB" w:eastAsia="en-GB"/>
        </w:rPr>
      </w:pPr>
    </w:p>
    <w:p w14:paraId="031F4BED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The rate of durable response, defined as a platelet count </w:t>
      </w:r>
      <w:r w:rsidRPr="0032259F">
        <w:rPr>
          <w:rFonts w:eastAsia="TimesNewRomanPSMT"/>
          <w:sz w:val="24"/>
          <w:szCs w:val="24"/>
          <w:lang w:val="en-GB" w:eastAsia="en-GB"/>
        </w:rPr>
        <w:t xml:space="preserve">≥50 </w:t>
      </w:r>
      <w:r w:rsidRPr="0032259F">
        <w:rPr>
          <w:rFonts w:eastAsia="SimSun"/>
          <w:sz w:val="24"/>
          <w:szCs w:val="24"/>
          <w:lang w:val="en-GB" w:eastAsia="en-GB"/>
        </w:rPr>
        <w:t>000/</w:t>
      </w:r>
      <w:r w:rsidRPr="0032259F">
        <w:rPr>
          <w:rFonts w:eastAsia="Arial Unicode MS"/>
          <w:sz w:val="24"/>
          <w:szCs w:val="24"/>
          <w:lang w:val="en-GB" w:eastAsia="en-GB"/>
        </w:rPr>
        <w:t>µ</w:t>
      </w:r>
      <w:r w:rsidRPr="0032259F">
        <w:rPr>
          <w:rFonts w:eastAsia="SimSun"/>
          <w:sz w:val="24"/>
          <w:szCs w:val="24"/>
          <w:lang w:val="en-GB" w:eastAsia="en-GB"/>
        </w:rPr>
        <w:t xml:space="preserve">l for at least 6 out of 8 consecutive assessments without rescue therapy during the first 6 months on study, was 71% (95% CI: 56% to 83%) in newly diagnosed ITP patients, 81% (95% CI: 58% to 95%) and 72% (95% CI: 47% to 90.3%) in persistent ITP patients (ITP diagnosis  3 to &lt;6 months and 6 to </w:t>
      </w:r>
      <w:r w:rsidRPr="0032259F">
        <w:rPr>
          <w:rFonts w:eastAsia="TimesNewRomanPSMT"/>
          <w:sz w:val="24"/>
          <w:szCs w:val="24"/>
          <w:lang w:val="en-GB" w:eastAsia="en-GB"/>
        </w:rPr>
        <w:t>≤</w:t>
      </w:r>
      <w:r w:rsidRPr="0032259F">
        <w:rPr>
          <w:rFonts w:eastAsia="SimSun"/>
          <w:sz w:val="24"/>
          <w:szCs w:val="24"/>
          <w:lang w:val="en-GB" w:eastAsia="en-GB"/>
        </w:rPr>
        <w:t>12 months, respectively), and 80% (95% CI: 52% to 96%) in chronic ITP patients.</w:t>
      </w:r>
    </w:p>
    <w:p w14:paraId="62B06BB5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64A46F5D" w14:textId="5B973164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When assessed with the WHO Bleeding Scale, the proportion of newly diagnosed and persistent ITP</w:t>
      </w:r>
      <w:r w:rsidR="00C65C8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patients without bleeding at Week 4 ranged from 88% to 95% compared to 37% to 57% at baseline.</w:t>
      </w:r>
      <w:r w:rsid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For chronic ITP patients it was 93% compared to 73% at baseline.</w:t>
      </w:r>
    </w:p>
    <w:p w14:paraId="135141CB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06735046" w14:textId="4C238825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The safety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was consistent across all ITP categories and in line with its known safety</w:t>
      </w:r>
      <w:r w:rsidR="00C65C8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profile.</w:t>
      </w:r>
    </w:p>
    <w:p w14:paraId="10DB2F4D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2B5A96BA" w14:textId="28BB81B1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Clinical studies comparing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to other treatment options (e.g. splenectomy) have not been</w:t>
      </w:r>
      <w:r w:rsidR="00C65C8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conducted. The long-term safety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should be considered prior to starting therapy.</w:t>
      </w:r>
    </w:p>
    <w:p w14:paraId="4D55207B" w14:textId="524EA005" w:rsidR="0032259F" w:rsidRDefault="0032259F">
      <w:pPr>
        <w:rPr>
          <w:rFonts w:eastAsia="SimSun"/>
          <w:sz w:val="24"/>
          <w:szCs w:val="24"/>
          <w:lang w:val="en-GB" w:eastAsia="en-GB"/>
        </w:rPr>
      </w:pPr>
      <w:r>
        <w:rPr>
          <w:rFonts w:eastAsia="SimSun"/>
          <w:sz w:val="24"/>
          <w:szCs w:val="24"/>
          <w:lang w:val="en-GB" w:eastAsia="en-GB"/>
        </w:rPr>
        <w:br w:type="page"/>
      </w:r>
    </w:p>
    <w:p w14:paraId="2D5DBFBA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55CBF064" w14:textId="77777777" w:rsidR="002C7328" w:rsidRPr="0032259F" w:rsidRDefault="002C7328" w:rsidP="00502830">
      <w:pPr>
        <w:ind w:left="851"/>
        <w:rPr>
          <w:rFonts w:eastAsia="SimSun"/>
          <w:i/>
          <w:iCs/>
          <w:sz w:val="24"/>
          <w:szCs w:val="24"/>
          <w:lang w:val="en-GB" w:eastAsia="en-GB"/>
        </w:rPr>
      </w:pPr>
      <w:r w:rsidRPr="0032259F">
        <w:rPr>
          <w:rFonts w:eastAsia="SimSun"/>
          <w:i/>
          <w:iCs/>
          <w:sz w:val="24"/>
          <w:szCs w:val="24"/>
          <w:lang w:val="en-GB" w:eastAsia="en-GB"/>
        </w:rPr>
        <w:t>Paediatric population (aged 1 to 17 years)</w:t>
      </w:r>
    </w:p>
    <w:p w14:paraId="0BD200C7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The safety and efficacy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in paediatric patients have been investigated two studies.</w:t>
      </w:r>
    </w:p>
    <w:p w14:paraId="12747A9C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19905B83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iCs/>
          <w:sz w:val="24"/>
          <w:szCs w:val="24"/>
          <w:lang w:val="en-GB" w:eastAsia="en-GB"/>
        </w:rPr>
        <w:t>TRA115450 (PETIT2)</w:t>
      </w:r>
      <w:r w:rsidRPr="0032259F">
        <w:rPr>
          <w:rFonts w:eastAsia="SimSun"/>
          <w:sz w:val="24"/>
          <w:szCs w:val="24"/>
          <w:lang w:val="en-GB" w:eastAsia="en-GB"/>
        </w:rPr>
        <w:t xml:space="preserve">: </w:t>
      </w:r>
    </w:p>
    <w:p w14:paraId="521363D7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The primary endpoint was a sustained response, defined as the proportion of patients receiving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, compared to placebo, achieving platelet counts </w:t>
      </w:r>
      <w:r w:rsidRPr="0032259F">
        <w:rPr>
          <w:rFonts w:eastAsia="TimesNewRomanPSMT"/>
          <w:sz w:val="24"/>
          <w:szCs w:val="24"/>
          <w:lang w:val="en-GB" w:eastAsia="en-GB"/>
        </w:rPr>
        <w:t xml:space="preserve">≥50 </w:t>
      </w:r>
      <w:r w:rsidRPr="0032259F">
        <w:rPr>
          <w:rFonts w:eastAsia="SimSun"/>
          <w:sz w:val="24"/>
          <w:szCs w:val="24"/>
          <w:lang w:val="en-GB" w:eastAsia="en-GB"/>
        </w:rPr>
        <w:t>000/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μl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for at least 6 out of 8 weeks (in the absence of rescue therapy), between weeks 5 to 12 during the double-blind randomised period. Patients were diagnosed with chronic ITP for at least 1 year and were refractory or relapsed to at least one prior ITP therapy or unable to continue other ITP treatments for a medical reason and had platelet count &lt;30 000/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μl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. Ninety-two patients were randomised by three age cohort strata (2:1) to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(n=63) or placebo (n=29). The dose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could be adjusted based on individual platelet counts.</w:t>
      </w:r>
    </w:p>
    <w:p w14:paraId="4CEA123C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7E295177" w14:textId="5FCB8EE3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Overall, a significantly greater proportion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patients (40%) compared with placebo</w:t>
      </w:r>
      <w:r w:rsidR="00C65C8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patients (3%) achieved the primary endpoint (Odds Ratio: 18.0 [95% CI: 2.3, 140.9] p &lt;0.001) which</w:t>
      </w:r>
      <w:r w:rsidR="00C65C8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was similar across the three age cohorts (Table 7).</w:t>
      </w:r>
    </w:p>
    <w:p w14:paraId="12274C07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71BC7AE6" w14:textId="7109CB35" w:rsidR="002C7328" w:rsidRPr="0032259F" w:rsidRDefault="002C7328" w:rsidP="00C65C85">
      <w:pPr>
        <w:ind w:left="1134" w:hanging="1134"/>
        <w:rPr>
          <w:rFonts w:eastAsia="SimSun"/>
          <w:b/>
          <w:sz w:val="24"/>
          <w:szCs w:val="24"/>
          <w:lang w:val="en-GB" w:eastAsia="en-GB"/>
        </w:rPr>
      </w:pPr>
      <w:r w:rsidRPr="0032259F">
        <w:rPr>
          <w:rFonts w:eastAsia="SimSun"/>
          <w:b/>
          <w:sz w:val="24"/>
          <w:szCs w:val="24"/>
          <w:lang w:val="en-GB" w:eastAsia="en-GB"/>
        </w:rPr>
        <w:t>Table 7</w:t>
      </w:r>
      <w:r w:rsidR="00C65C85" w:rsidRPr="0032259F">
        <w:rPr>
          <w:rFonts w:eastAsia="SimSun"/>
          <w:b/>
          <w:sz w:val="24"/>
          <w:szCs w:val="24"/>
          <w:lang w:val="en-GB" w:eastAsia="en-GB"/>
        </w:rPr>
        <w:tab/>
      </w:r>
      <w:r w:rsidRPr="0032259F">
        <w:rPr>
          <w:rFonts w:eastAsia="SimSun"/>
          <w:b/>
          <w:sz w:val="24"/>
          <w:szCs w:val="24"/>
          <w:lang w:val="en-GB" w:eastAsia="en-GB"/>
        </w:rPr>
        <w:t>Sustained platelet response rates by age cohort in paediatric patients with chronic</w:t>
      </w:r>
      <w:r w:rsidR="00502830" w:rsidRPr="0032259F">
        <w:rPr>
          <w:rFonts w:eastAsia="SimSun"/>
          <w:b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b/>
          <w:sz w:val="24"/>
          <w:szCs w:val="24"/>
          <w:lang w:val="en-GB" w:eastAsia="en-GB"/>
        </w:rPr>
        <w:t>ITP.</w:t>
      </w:r>
    </w:p>
    <w:p w14:paraId="66C3C39C" w14:textId="77777777" w:rsidR="002C7328" w:rsidRPr="0032259F" w:rsidRDefault="002C7328" w:rsidP="002C7328">
      <w:pPr>
        <w:tabs>
          <w:tab w:val="left" w:pos="1304"/>
        </w:tabs>
        <w:autoSpaceDE w:val="0"/>
        <w:autoSpaceDN w:val="0"/>
        <w:adjustRightInd w:val="0"/>
        <w:ind w:left="993"/>
        <w:rPr>
          <w:rFonts w:eastAsia="SimSun"/>
          <w:b/>
          <w:bCs/>
          <w:sz w:val="24"/>
          <w:szCs w:val="24"/>
          <w:lang w:val="en-GB" w:eastAsia="en-GB"/>
        </w:rPr>
      </w:pPr>
    </w:p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C7328" w:rsidRPr="0032259F" w14:paraId="4F6EE9D4" w14:textId="77777777" w:rsidTr="00502830">
        <w:trPr>
          <w:trHeight w:val="916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33D3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2509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2259F">
              <w:rPr>
                <w:sz w:val="24"/>
                <w:szCs w:val="24"/>
              </w:rPr>
              <w:t>Eltrombopag</w:t>
            </w:r>
            <w:proofErr w:type="spellEnd"/>
          </w:p>
          <w:p w14:paraId="105A75A8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n/N (%)</w:t>
            </w:r>
          </w:p>
          <w:p w14:paraId="79606806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[95% CI]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9EA7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Placebo</w:t>
            </w:r>
          </w:p>
          <w:p w14:paraId="0E6A1283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n/N (%)</w:t>
            </w:r>
          </w:p>
          <w:p w14:paraId="1654D4A8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[95% CI]</w:t>
            </w:r>
          </w:p>
        </w:tc>
      </w:tr>
      <w:tr w:rsidR="002C7328" w:rsidRPr="0032259F" w14:paraId="4B3BBB9E" w14:textId="77777777" w:rsidTr="00502830">
        <w:trPr>
          <w:trHeight w:val="555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37B7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Cohort 1 (12 to 17 years)</w:t>
            </w:r>
          </w:p>
          <w:p w14:paraId="2F1F4F2F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F2D8089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Cohort 2 (6 to 11 years)</w:t>
            </w:r>
          </w:p>
          <w:p w14:paraId="6FA8E607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D8D87B7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Cohort 3 (1 to 5 years)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43FB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9/23 (39%)</w:t>
            </w:r>
          </w:p>
          <w:p w14:paraId="7AE8DF7A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[20%, 61%]</w:t>
            </w:r>
          </w:p>
          <w:p w14:paraId="52D24FB8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11/26 (42%)</w:t>
            </w:r>
          </w:p>
          <w:p w14:paraId="69491E2F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[23%, 63%]</w:t>
            </w:r>
          </w:p>
          <w:p w14:paraId="3517D0D5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5/14 (36%)</w:t>
            </w:r>
          </w:p>
          <w:p w14:paraId="6DB35A76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[13%, 65%]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4DF7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1/10 (10%)</w:t>
            </w:r>
          </w:p>
          <w:p w14:paraId="3195C231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[0%, 45%]</w:t>
            </w:r>
          </w:p>
          <w:p w14:paraId="594793E3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0/13 (0%)</w:t>
            </w:r>
          </w:p>
          <w:p w14:paraId="2A014D3F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[N/A]</w:t>
            </w:r>
          </w:p>
          <w:p w14:paraId="0EFD454D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0/6 (0%)</w:t>
            </w:r>
          </w:p>
          <w:p w14:paraId="25586587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[N/A]</w:t>
            </w:r>
          </w:p>
        </w:tc>
      </w:tr>
    </w:tbl>
    <w:p w14:paraId="4D99727E" w14:textId="77777777" w:rsidR="002C7328" w:rsidRPr="0032259F" w:rsidRDefault="002C7328" w:rsidP="002C7328">
      <w:pPr>
        <w:tabs>
          <w:tab w:val="left" w:pos="1304"/>
        </w:tabs>
        <w:autoSpaceDE w:val="0"/>
        <w:autoSpaceDN w:val="0"/>
        <w:adjustRightInd w:val="0"/>
        <w:rPr>
          <w:rFonts w:eastAsia="SimSun"/>
          <w:sz w:val="24"/>
          <w:szCs w:val="24"/>
          <w:lang w:val="en-GB" w:eastAsia="en-GB"/>
        </w:rPr>
      </w:pPr>
    </w:p>
    <w:p w14:paraId="6E5FBD3C" w14:textId="7C549E2A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Statistically fewer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patients required rescue treatment during the randomised period</w:t>
      </w:r>
      <w:r w:rsidR="00C65C8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compared to placebo patients (19% [12/63] vs. 24% [7/29], p=0.032).</w:t>
      </w:r>
    </w:p>
    <w:p w14:paraId="69EB88A7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540C8DA9" w14:textId="41C27C00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At baseline, 71% of patients in the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group and 69% in the placebo group reported any</w:t>
      </w:r>
      <w:r w:rsidR="00C65C8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bleeding (WHO Grades 1-4). At Week 12, the proportion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patients reporting any</w:t>
      </w:r>
      <w:r w:rsidR="00C65C8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bleeding was decreased to half of baseline (36%). In comparison, at Week 12, 55% of placebo patients</w:t>
      </w:r>
      <w:r w:rsidR="00C65C8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reported any bleeding.</w:t>
      </w:r>
    </w:p>
    <w:p w14:paraId="00A365A3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7A4EA4A6" w14:textId="0162A169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Patients were permitted to reduce or discontinue baseline ITP therapy only during the open-label phase</w:t>
      </w:r>
      <w:r w:rsidR="00C65C8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of the study and 53% (8/15) of patients were able to reduce (n=1) or discontinue (n=7) baseline ITP</w:t>
      </w:r>
      <w:r w:rsidR="00C65C8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therapy, mainly corticosteroids, without needing rescue therapy.</w:t>
      </w:r>
    </w:p>
    <w:p w14:paraId="360F6AEB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08858188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iCs/>
          <w:sz w:val="24"/>
          <w:szCs w:val="24"/>
          <w:lang w:val="en-GB" w:eastAsia="en-GB"/>
        </w:rPr>
        <w:t>TRA108062 (PETIT)</w:t>
      </w:r>
      <w:r w:rsidRPr="0032259F">
        <w:rPr>
          <w:rFonts w:eastAsia="SimSun"/>
          <w:sz w:val="24"/>
          <w:szCs w:val="24"/>
          <w:lang w:val="en-GB" w:eastAsia="en-GB"/>
        </w:rPr>
        <w:t xml:space="preserve">: </w:t>
      </w:r>
    </w:p>
    <w:p w14:paraId="04C6EED0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The primary endpoint was the proportion of patients achieving platelet counts</w:t>
      </w:r>
      <w:r w:rsidRPr="0032259F">
        <w:rPr>
          <w:rFonts w:eastAsia="TimesNewRomanPSMT"/>
          <w:sz w:val="24"/>
          <w:szCs w:val="24"/>
          <w:lang w:val="en-GB" w:eastAsia="en-GB"/>
        </w:rPr>
        <w:t xml:space="preserve"> ≥</w:t>
      </w:r>
      <w:r w:rsidRPr="0032259F">
        <w:rPr>
          <w:rFonts w:eastAsia="SimSun"/>
          <w:sz w:val="24"/>
          <w:szCs w:val="24"/>
          <w:lang w:val="en-GB" w:eastAsia="en-GB"/>
        </w:rPr>
        <w:t>50 000/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μl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at least once between weeks 1 and 6 of the randomised period. Patients were diagnosed with ITP for at least 6 months and were refractory or relapsed to at least one prior ITP therapy with a platelet count &lt;30 000/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μl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(n=67). During the randomised period of the </w:t>
      </w:r>
      <w:r w:rsidRPr="0032259F">
        <w:rPr>
          <w:rFonts w:eastAsia="SimSun"/>
          <w:sz w:val="24"/>
          <w:szCs w:val="24"/>
          <w:lang w:val="en-GB" w:eastAsia="en-GB"/>
        </w:rPr>
        <w:lastRenderedPageBreak/>
        <w:t xml:space="preserve">study, patients were randomised by three age cohort strata (2:1) to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(n=45) or placebo (n=22). The dose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could be adjusted based on individual platelet counts.</w:t>
      </w:r>
    </w:p>
    <w:p w14:paraId="5EC46213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4915ACB3" w14:textId="354E80C4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Overall, a significantly greater proportion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patients (62%) compared with placebo</w:t>
      </w:r>
      <w:r w:rsidR="00C65C8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patients (32%) met the primary endpoint (Odds Ratio: 4.3 [95% CI: 1.4, 13.3] p=0.011).</w:t>
      </w:r>
    </w:p>
    <w:p w14:paraId="5F8F3813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53DF80FB" w14:textId="0AAAA771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Sustained response was seen in 50% of the initial responders during 20 out of 24 weeks in the</w:t>
      </w:r>
      <w:r w:rsidR="00C65C8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PETIT 2 study and 15 out of 24 weeks in the PETIT Study.</w:t>
      </w:r>
    </w:p>
    <w:p w14:paraId="40641119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59F0C5D8" w14:textId="77777777" w:rsidR="002C7328" w:rsidRPr="0032259F" w:rsidRDefault="002C7328" w:rsidP="00502830">
      <w:pPr>
        <w:ind w:left="851"/>
        <w:rPr>
          <w:rFonts w:eastAsia="SimSun"/>
          <w:i/>
          <w:iCs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i/>
          <w:iCs/>
          <w:sz w:val="24"/>
          <w:szCs w:val="24"/>
          <w:u w:val="single"/>
          <w:lang w:val="en-GB" w:eastAsia="en-GB"/>
        </w:rPr>
        <w:t>Chronic hepatitis C associated thrombocytopenia studies</w:t>
      </w:r>
    </w:p>
    <w:p w14:paraId="04E2E08A" w14:textId="77777777" w:rsidR="002C7328" w:rsidRPr="0032259F" w:rsidRDefault="002C7328" w:rsidP="00502830">
      <w:pPr>
        <w:ind w:left="851"/>
        <w:rPr>
          <w:rFonts w:eastAsia="SimSun"/>
          <w:i/>
          <w:iCs/>
          <w:sz w:val="24"/>
          <w:szCs w:val="24"/>
          <w:u w:val="single"/>
          <w:lang w:val="en-GB" w:eastAsia="en-GB"/>
        </w:rPr>
      </w:pPr>
    </w:p>
    <w:p w14:paraId="7025781F" w14:textId="2812E45A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The efficacy and safety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for the treatment of thrombocytopenia in patients with HCV</w:t>
      </w:r>
      <w:r w:rsidR="00C65C8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infection were evaluated in two randomised, double-blind, placebo-controlled studies. ENABLE 1</w:t>
      </w:r>
      <w:r w:rsidR="00C65C8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utilised peginterferon alfa-2a plus ribavirin for antiviral treatment and ENABLE 2 utilised</w:t>
      </w:r>
      <w:r w:rsidR="00C65C8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peginterferon alfa-2b plus ribavirin. Patients did not receive direct acting antiviral agents. In both</w:t>
      </w:r>
      <w:r w:rsidR="00C65C8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studies, patients with a platelet count of &lt;75 000/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μl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were enrolled and stratified by platelet count</w:t>
      </w:r>
      <w:r w:rsidR="00C65C8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(&lt;50 </w:t>
      </w:r>
      <w:r w:rsidRPr="0032259F">
        <w:rPr>
          <w:rFonts w:eastAsia="TimesNewRomanPSMT"/>
          <w:sz w:val="24"/>
          <w:szCs w:val="24"/>
          <w:lang w:val="en-GB" w:eastAsia="en-GB"/>
        </w:rPr>
        <w:t>000/</w:t>
      </w:r>
      <w:proofErr w:type="spellStart"/>
      <w:r w:rsidRPr="0032259F">
        <w:rPr>
          <w:rFonts w:eastAsia="TimesNewRomanPSMT"/>
          <w:sz w:val="24"/>
          <w:szCs w:val="24"/>
          <w:lang w:val="en-GB" w:eastAsia="en-GB"/>
        </w:rPr>
        <w:t>μl</w:t>
      </w:r>
      <w:proofErr w:type="spellEnd"/>
      <w:r w:rsidRPr="0032259F">
        <w:rPr>
          <w:rFonts w:eastAsia="TimesNewRomanPSMT"/>
          <w:sz w:val="24"/>
          <w:szCs w:val="24"/>
          <w:lang w:val="en-GB" w:eastAsia="en-GB"/>
        </w:rPr>
        <w:t xml:space="preserve"> and ≥50 </w:t>
      </w:r>
      <w:r w:rsidRPr="0032259F">
        <w:rPr>
          <w:rFonts w:eastAsia="SimSun"/>
          <w:sz w:val="24"/>
          <w:szCs w:val="24"/>
          <w:lang w:val="en-GB" w:eastAsia="en-GB"/>
        </w:rPr>
        <w:t>000/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μl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to &lt;75 000/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μl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), screening HCV RNA (&lt;800 000 IU/ml and</w:t>
      </w:r>
      <w:r w:rsidR="00C65C8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TimesNewRomanPSMT"/>
          <w:sz w:val="24"/>
          <w:szCs w:val="24"/>
          <w:lang w:val="en-GB" w:eastAsia="en-GB"/>
        </w:rPr>
        <w:t xml:space="preserve">≥800 </w:t>
      </w:r>
      <w:r w:rsidRPr="0032259F">
        <w:rPr>
          <w:rFonts w:eastAsia="SimSun"/>
          <w:sz w:val="24"/>
          <w:szCs w:val="24"/>
          <w:lang w:val="en-GB" w:eastAsia="en-GB"/>
        </w:rPr>
        <w:t>000 IU/ml), and HCV genotype (genotype 2/3, and genotype 1/4/6).</w:t>
      </w:r>
    </w:p>
    <w:p w14:paraId="687E2C61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5ED5D88E" w14:textId="19626C3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Baseline disease characteristics were similar in both studies and were consistent with compensated</w:t>
      </w:r>
      <w:r w:rsidR="00C65C8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cirrhotic HCV patient population. The majority of patients were HCV genotype 1 (64%) and had</w:t>
      </w:r>
      <w:r w:rsidR="00C65C8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bridging fibrosis/cirrhosis. Thirty-one percent of patients had been treated with prior HCV therapies,</w:t>
      </w:r>
      <w:r w:rsidR="00C65C8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primarily pegylated interferon plus ribavirin. The median baseline platelet count was 59 500/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μl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in both</w:t>
      </w:r>
      <w:r w:rsidR="00C65C8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treatment groups: 0.8%, 28% and 72% of the patients recruited had platelet counts &lt;20 000/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μl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,</w:t>
      </w:r>
      <w:r w:rsidR="00C65C8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&lt;50 </w:t>
      </w:r>
      <w:r w:rsidRPr="0032259F">
        <w:rPr>
          <w:rFonts w:eastAsia="TimesNewRomanPSMT"/>
          <w:sz w:val="24"/>
          <w:szCs w:val="24"/>
          <w:lang w:val="en-GB" w:eastAsia="en-GB"/>
        </w:rPr>
        <w:t>000/</w:t>
      </w:r>
      <w:proofErr w:type="spellStart"/>
      <w:r w:rsidRPr="0032259F">
        <w:rPr>
          <w:rFonts w:eastAsia="TimesNewRomanPSMT"/>
          <w:sz w:val="24"/>
          <w:szCs w:val="24"/>
          <w:lang w:val="en-GB" w:eastAsia="en-GB"/>
        </w:rPr>
        <w:t>μl</w:t>
      </w:r>
      <w:proofErr w:type="spellEnd"/>
      <w:r w:rsidRPr="0032259F">
        <w:rPr>
          <w:rFonts w:eastAsia="TimesNewRomanPSMT"/>
          <w:sz w:val="24"/>
          <w:szCs w:val="24"/>
          <w:lang w:val="en-GB" w:eastAsia="en-GB"/>
        </w:rPr>
        <w:t xml:space="preserve"> and ≥50 </w:t>
      </w:r>
      <w:r w:rsidRPr="0032259F">
        <w:rPr>
          <w:rFonts w:eastAsia="SimSun"/>
          <w:sz w:val="24"/>
          <w:szCs w:val="24"/>
          <w:lang w:val="en-GB" w:eastAsia="en-GB"/>
        </w:rPr>
        <w:t>000/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μl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respectively.</w:t>
      </w:r>
    </w:p>
    <w:p w14:paraId="4CE1AEDB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08FDD749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The studies consisted of two phases </w:t>
      </w:r>
      <w:r w:rsidRPr="0032259F">
        <w:rPr>
          <w:rFonts w:eastAsia="TimesNewRomanPSMT"/>
          <w:sz w:val="24"/>
          <w:szCs w:val="24"/>
          <w:lang w:val="en-GB" w:eastAsia="en-GB"/>
        </w:rPr>
        <w:t xml:space="preserve">– </w:t>
      </w:r>
      <w:r w:rsidRPr="0032259F">
        <w:rPr>
          <w:rFonts w:eastAsia="SimSun"/>
          <w:sz w:val="24"/>
          <w:szCs w:val="24"/>
          <w:lang w:val="en-GB" w:eastAsia="en-GB"/>
        </w:rPr>
        <w:t>a pre-antiviral treatment phase and an antiviral treatment phase.</w:t>
      </w:r>
    </w:p>
    <w:p w14:paraId="2D0E0738" w14:textId="201AEF2F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In the pre-antiviral treatment phase, patients received open-label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to increase the platelet</w:t>
      </w:r>
      <w:r w:rsidR="00C65C8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TimesNewRomanPSMT"/>
          <w:sz w:val="24"/>
          <w:szCs w:val="24"/>
          <w:lang w:val="en-GB" w:eastAsia="en-GB"/>
        </w:rPr>
        <w:t>count to ≥90 000/</w:t>
      </w:r>
      <w:proofErr w:type="spellStart"/>
      <w:r w:rsidRPr="0032259F">
        <w:rPr>
          <w:rFonts w:eastAsia="TimesNewRomanPSMT"/>
          <w:sz w:val="24"/>
          <w:szCs w:val="24"/>
          <w:lang w:val="en-GB" w:eastAsia="en-GB"/>
        </w:rPr>
        <w:t>μl</w:t>
      </w:r>
      <w:proofErr w:type="spellEnd"/>
      <w:r w:rsidRPr="0032259F">
        <w:rPr>
          <w:rFonts w:eastAsia="TimesNewRomanPSMT"/>
          <w:sz w:val="24"/>
          <w:szCs w:val="24"/>
          <w:lang w:val="en-GB" w:eastAsia="en-GB"/>
        </w:rPr>
        <w:t xml:space="preserve"> for ENABLE 1 and ≥100 </w:t>
      </w:r>
      <w:r w:rsidRPr="0032259F">
        <w:rPr>
          <w:rFonts w:eastAsia="SimSun"/>
          <w:sz w:val="24"/>
          <w:szCs w:val="24"/>
          <w:lang w:val="en-GB" w:eastAsia="en-GB"/>
        </w:rPr>
        <w:t>000/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μl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for ENABLE 2. The median time to achieve the</w:t>
      </w:r>
      <w:r w:rsidR="00C65C85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tar</w:t>
      </w:r>
      <w:r w:rsidRPr="0032259F">
        <w:rPr>
          <w:rFonts w:eastAsia="TimesNewRomanPSMT"/>
          <w:sz w:val="24"/>
          <w:szCs w:val="24"/>
          <w:lang w:val="en-GB" w:eastAsia="en-GB"/>
        </w:rPr>
        <w:t xml:space="preserve">get platelet count ≥90 </w:t>
      </w:r>
      <w:r w:rsidRPr="0032259F">
        <w:rPr>
          <w:rFonts w:eastAsia="SimSun"/>
          <w:sz w:val="24"/>
          <w:szCs w:val="24"/>
          <w:lang w:val="en-GB" w:eastAsia="en-GB"/>
        </w:rPr>
        <w:t>000/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μl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(ENABLE </w:t>
      </w:r>
      <w:r w:rsidRPr="0032259F">
        <w:rPr>
          <w:rFonts w:eastAsia="TimesNewRomanPSMT"/>
          <w:sz w:val="24"/>
          <w:szCs w:val="24"/>
          <w:lang w:val="en-GB" w:eastAsia="en-GB"/>
        </w:rPr>
        <w:t xml:space="preserve">1) or ≥100 </w:t>
      </w:r>
      <w:r w:rsidRPr="0032259F">
        <w:rPr>
          <w:rFonts w:eastAsia="SimSun"/>
          <w:sz w:val="24"/>
          <w:szCs w:val="24"/>
          <w:lang w:val="en-GB" w:eastAsia="en-GB"/>
        </w:rPr>
        <w:t>000/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μl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(ENABLE 2) was 2 weeks.</w:t>
      </w:r>
    </w:p>
    <w:p w14:paraId="0E37CA29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630DF427" w14:textId="534AE4BD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The primary efficacy endpoint for both studies was sustained virologic response (SVR), defined as the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percentage of patients with no detectable HCV-RNA at 24 weeks after completion of the planned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treatment period.</w:t>
      </w:r>
    </w:p>
    <w:p w14:paraId="295C66DE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103DDACF" w14:textId="18C7EDE6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In both HCV studies, a significantly greater proportion of patients treated with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(n=201,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21%) achieved SVR compared to those treated with placebo (n=65, 13%) (see Table 8). The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improvement in the proportion of patients who achieved SVR was consistent across all subgroups in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the randomisation strata (baseline platelet counts (&lt;50 000 vs. &gt;50 000), viral load (&lt;800 000 IU/ml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TimesNewRomanPSMT"/>
          <w:sz w:val="24"/>
          <w:szCs w:val="24"/>
          <w:lang w:val="en-GB" w:eastAsia="en-GB"/>
        </w:rPr>
        <w:t xml:space="preserve">vs. ≥800 </w:t>
      </w:r>
      <w:r w:rsidRPr="0032259F">
        <w:rPr>
          <w:rFonts w:eastAsia="SimSun"/>
          <w:sz w:val="24"/>
          <w:szCs w:val="24"/>
          <w:lang w:val="en-GB" w:eastAsia="en-GB"/>
        </w:rPr>
        <w:t>000 IU/ml) and genotype (2/3 vs. 1/4/6)).</w:t>
      </w:r>
    </w:p>
    <w:p w14:paraId="2FFFF132" w14:textId="64BA0A07" w:rsidR="006908A9" w:rsidRPr="0032259F" w:rsidRDefault="006908A9">
      <w:pPr>
        <w:rPr>
          <w:iCs/>
          <w:noProof/>
          <w:sz w:val="24"/>
          <w:szCs w:val="24"/>
          <w:lang w:val="en-GB" w:eastAsia="en-US"/>
        </w:rPr>
      </w:pPr>
      <w:r w:rsidRPr="0032259F">
        <w:rPr>
          <w:iCs/>
          <w:noProof/>
          <w:sz w:val="24"/>
          <w:szCs w:val="24"/>
          <w:lang w:val="en-GB" w:eastAsia="en-US"/>
        </w:rPr>
        <w:br w:type="page"/>
      </w:r>
    </w:p>
    <w:p w14:paraId="501F8E73" w14:textId="77777777" w:rsidR="002C7328" w:rsidRPr="0032259F" w:rsidRDefault="002C7328" w:rsidP="00502830">
      <w:pPr>
        <w:ind w:left="851"/>
        <w:rPr>
          <w:iCs/>
          <w:noProof/>
          <w:sz w:val="24"/>
          <w:szCs w:val="24"/>
          <w:lang w:val="en-GB" w:eastAsia="en-US"/>
        </w:rPr>
      </w:pPr>
    </w:p>
    <w:p w14:paraId="08D4D546" w14:textId="77359F2B" w:rsidR="002C7328" w:rsidRPr="0032259F" w:rsidRDefault="002C7328" w:rsidP="00B443BC">
      <w:pPr>
        <w:numPr>
          <w:ilvl w:val="12"/>
          <w:numId w:val="0"/>
        </w:numPr>
        <w:ind w:left="993" w:right="-2" w:hanging="993"/>
        <w:rPr>
          <w:rFonts w:eastAsia="SimSun"/>
          <w:b/>
          <w:bCs/>
          <w:sz w:val="24"/>
          <w:szCs w:val="24"/>
          <w:lang w:val="en-GB" w:eastAsia="en-GB"/>
        </w:rPr>
      </w:pPr>
      <w:r w:rsidRPr="0032259F">
        <w:rPr>
          <w:rFonts w:eastAsia="SimSun"/>
          <w:b/>
          <w:bCs/>
          <w:sz w:val="24"/>
          <w:szCs w:val="24"/>
          <w:lang w:val="en-GB" w:eastAsia="en-GB"/>
        </w:rPr>
        <w:t>Table 8</w:t>
      </w:r>
      <w:r w:rsidR="00B443BC" w:rsidRPr="0032259F">
        <w:rPr>
          <w:rFonts w:eastAsia="SimSun"/>
          <w:b/>
          <w:bCs/>
          <w:sz w:val="24"/>
          <w:szCs w:val="24"/>
          <w:lang w:val="en-GB" w:eastAsia="en-GB"/>
        </w:rPr>
        <w:tab/>
      </w:r>
      <w:r w:rsidRPr="0032259F">
        <w:rPr>
          <w:rFonts w:eastAsia="SimSun"/>
          <w:b/>
          <w:bCs/>
          <w:sz w:val="24"/>
          <w:szCs w:val="24"/>
          <w:lang w:val="en-GB" w:eastAsia="en-GB"/>
        </w:rPr>
        <w:t>Virologic response in HCV patients in ENABLE 1 and ENABLE 2</w:t>
      </w:r>
    </w:p>
    <w:p w14:paraId="68068431" w14:textId="77777777" w:rsidR="002C7328" w:rsidRPr="0032259F" w:rsidRDefault="002C7328" w:rsidP="002C7328">
      <w:pPr>
        <w:numPr>
          <w:ilvl w:val="12"/>
          <w:numId w:val="0"/>
        </w:numPr>
        <w:ind w:right="-2"/>
        <w:rPr>
          <w:rFonts w:eastAsia="SimSun"/>
          <w:b/>
          <w:bCs/>
          <w:sz w:val="24"/>
          <w:szCs w:val="24"/>
          <w:lang w:val="en-GB" w:eastAsia="en-GB"/>
        </w:rPr>
      </w:pPr>
    </w:p>
    <w:tbl>
      <w:tblPr>
        <w:tblStyle w:val="Tabel-Gitter"/>
        <w:tblW w:w="5003" w:type="pct"/>
        <w:tblInd w:w="-5" w:type="dxa"/>
        <w:tblLook w:val="04A0" w:firstRow="1" w:lastRow="0" w:firstColumn="1" w:lastColumn="0" w:noHBand="0" w:noVBand="1"/>
      </w:tblPr>
      <w:tblGrid>
        <w:gridCol w:w="454"/>
        <w:gridCol w:w="1401"/>
        <w:gridCol w:w="1271"/>
        <w:gridCol w:w="306"/>
        <w:gridCol w:w="1016"/>
        <w:gridCol w:w="1504"/>
        <w:gridCol w:w="73"/>
        <w:gridCol w:w="1016"/>
        <w:gridCol w:w="1566"/>
        <w:gridCol w:w="11"/>
        <w:gridCol w:w="502"/>
        <w:gridCol w:w="514"/>
      </w:tblGrid>
      <w:tr w:rsidR="002C7328" w:rsidRPr="0032259F" w14:paraId="513074C7" w14:textId="77777777" w:rsidTr="00502830"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3A9E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B209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32259F">
              <w:rPr>
                <w:b/>
                <w:bCs/>
                <w:sz w:val="24"/>
                <w:szCs w:val="24"/>
              </w:rPr>
              <w:t>Pooled data</w:t>
            </w:r>
          </w:p>
        </w:tc>
        <w:tc>
          <w:tcPr>
            <w:tcW w:w="1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0006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32259F">
              <w:rPr>
                <w:b/>
                <w:bCs/>
                <w:sz w:val="24"/>
                <w:szCs w:val="24"/>
              </w:rPr>
              <w:t>ENABLE 1</w:t>
            </w:r>
            <w:r w:rsidRPr="0032259F">
              <w:rPr>
                <w:b/>
                <w:bCs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D0A7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32259F">
              <w:rPr>
                <w:b/>
                <w:bCs/>
                <w:sz w:val="24"/>
                <w:szCs w:val="24"/>
              </w:rPr>
              <w:t>ENABLE 2</w:t>
            </w:r>
            <w:r w:rsidRPr="0032259F">
              <w:rPr>
                <w:b/>
                <w:bCs/>
                <w:sz w:val="24"/>
                <w:szCs w:val="24"/>
                <w:vertAlign w:val="superscript"/>
              </w:rPr>
              <w:t>b</w:t>
            </w:r>
          </w:p>
        </w:tc>
      </w:tr>
      <w:tr w:rsidR="002C7328" w:rsidRPr="0032259F" w14:paraId="0085F73A" w14:textId="77777777" w:rsidTr="00502830"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6ADD" w14:textId="403BB833" w:rsidR="002C7328" w:rsidRPr="0032259F" w:rsidRDefault="002C7328" w:rsidP="00B443BC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Patients achieving</w:t>
            </w:r>
            <w:r w:rsidR="00B443BC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target platelet counts</w:t>
            </w:r>
            <w:r w:rsidR="00B443BC" w:rsidRPr="0032259F">
              <w:rPr>
                <w:sz w:val="24"/>
                <w:szCs w:val="24"/>
              </w:rPr>
              <w:t xml:space="preserve"> </w:t>
            </w:r>
            <w:r w:rsidRPr="0032259F">
              <w:rPr>
                <w:sz w:val="24"/>
                <w:szCs w:val="24"/>
              </w:rPr>
              <w:t>and initiating antiviral</w:t>
            </w:r>
            <w:r w:rsidR="00B443BC" w:rsidRPr="0032259F">
              <w:rPr>
                <w:sz w:val="24"/>
                <w:szCs w:val="24"/>
              </w:rPr>
              <w:t xml:space="preserve"> </w:t>
            </w:r>
            <w:proofErr w:type="spellStart"/>
            <w:r w:rsidRPr="0032259F">
              <w:rPr>
                <w:sz w:val="24"/>
                <w:szCs w:val="24"/>
              </w:rPr>
              <w:t>therapy</w:t>
            </w:r>
            <w:r w:rsidRPr="0032259F">
              <w:rPr>
                <w:bCs/>
                <w:sz w:val="24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1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7B06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rPr>
                <w:sz w:val="24"/>
                <w:szCs w:val="24"/>
              </w:rPr>
            </w:pPr>
          </w:p>
          <w:p w14:paraId="68206DBE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1 439/1 520 (95%)</w:t>
            </w:r>
          </w:p>
        </w:tc>
        <w:tc>
          <w:tcPr>
            <w:tcW w:w="1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06B0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rPr>
                <w:b/>
                <w:bCs/>
                <w:sz w:val="24"/>
                <w:szCs w:val="24"/>
              </w:rPr>
            </w:pPr>
          </w:p>
          <w:p w14:paraId="245060A9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680/715 (95%)</w:t>
            </w:r>
          </w:p>
        </w:tc>
        <w:tc>
          <w:tcPr>
            <w:tcW w:w="1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FB40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rPr>
                <w:b/>
                <w:bCs/>
                <w:sz w:val="24"/>
                <w:szCs w:val="24"/>
              </w:rPr>
            </w:pPr>
          </w:p>
          <w:p w14:paraId="19EBA782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759/805 (94%)</w:t>
            </w:r>
          </w:p>
        </w:tc>
      </w:tr>
      <w:tr w:rsidR="002C7328" w:rsidRPr="0032259F" w14:paraId="1276ED81" w14:textId="77777777" w:rsidTr="00502830"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2D1C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5820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rPr>
                <w:b/>
                <w:bCs/>
                <w:sz w:val="24"/>
                <w:szCs w:val="24"/>
              </w:rPr>
            </w:pPr>
            <w:proofErr w:type="spellStart"/>
            <w:r w:rsidRPr="0032259F">
              <w:rPr>
                <w:b/>
                <w:bCs/>
                <w:sz w:val="24"/>
                <w:szCs w:val="24"/>
              </w:rPr>
              <w:t>Eltrombopag</w:t>
            </w:r>
            <w:proofErr w:type="spell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9781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rPr>
                <w:b/>
                <w:bCs/>
                <w:sz w:val="24"/>
                <w:szCs w:val="24"/>
              </w:rPr>
            </w:pPr>
            <w:r w:rsidRPr="0032259F">
              <w:rPr>
                <w:b/>
                <w:bCs/>
                <w:sz w:val="24"/>
                <w:szCs w:val="24"/>
              </w:rPr>
              <w:t>Placebo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2A26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rPr>
                <w:b/>
                <w:bCs/>
                <w:sz w:val="24"/>
                <w:szCs w:val="24"/>
              </w:rPr>
            </w:pPr>
            <w:proofErr w:type="spellStart"/>
            <w:r w:rsidRPr="0032259F">
              <w:rPr>
                <w:b/>
                <w:bCs/>
                <w:sz w:val="24"/>
                <w:szCs w:val="24"/>
              </w:rPr>
              <w:t>Eltrombopag</w:t>
            </w:r>
            <w:proofErr w:type="spell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B810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rPr>
                <w:b/>
                <w:bCs/>
                <w:sz w:val="24"/>
                <w:szCs w:val="24"/>
              </w:rPr>
            </w:pPr>
            <w:r w:rsidRPr="0032259F">
              <w:rPr>
                <w:b/>
                <w:bCs/>
                <w:sz w:val="24"/>
                <w:szCs w:val="24"/>
              </w:rPr>
              <w:t>Placebo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29DB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rPr>
                <w:b/>
                <w:bCs/>
                <w:sz w:val="24"/>
                <w:szCs w:val="24"/>
              </w:rPr>
            </w:pPr>
            <w:proofErr w:type="spellStart"/>
            <w:r w:rsidRPr="0032259F">
              <w:rPr>
                <w:b/>
                <w:bCs/>
                <w:sz w:val="24"/>
                <w:szCs w:val="24"/>
              </w:rPr>
              <w:t>Eltrombopag</w:t>
            </w:r>
            <w:proofErr w:type="spellEnd"/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B3EA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rPr>
                <w:b/>
                <w:bCs/>
                <w:sz w:val="24"/>
                <w:szCs w:val="24"/>
              </w:rPr>
            </w:pPr>
            <w:r w:rsidRPr="0032259F">
              <w:rPr>
                <w:b/>
                <w:bCs/>
                <w:sz w:val="24"/>
                <w:szCs w:val="24"/>
              </w:rPr>
              <w:t>Placebo</w:t>
            </w:r>
          </w:p>
        </w:tc>
      </w:tr>
      <w:tr w:rsidR="002C7328" w:rsidRPr="0032259F" w14:paraId="3C8D4C1C" w14:textId="77777777" w:rsidTr="00502830"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02455" w14:textId="1BB053AA" w:rsidR="002C7328" w:rsidRPr="0032259F" w:rsidRDefault="002C7328" w:rsidP="00B443BC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2259F">
              <w:rPr>
                <w:b/>
                <w:bCs/>
                <w:sz w:val="24"/>
                <w:szCs w:val="24"/>
              </w:rPr>
              <w:t>Total number of</w:t>
            </w:r>
            <w:r w:rsidR="00B443BC" w:rsidRPr="0032259F">
              <w:rPr>
                <w:b/>
                <w:bCs/>
                <w:sz w:val="24"/>
                <w:szCs w:val="24"/>
              </w:rPr>
              <w:t xml:space="preserve"> </w:t>
            </w:r>
            <w:r w:rsidRPr="0032259F">
              <w:rPr>
                <w:b/>
                <w:bCs/>
                <w:sz w:val="24"/>
                <w:szCs w:val="24"/>
              </w:rPr>
              <w:t>patients entering</w:t>
            </w:r>
            <w:r w:rsidR="00B443BC" w:rsidRPr="0032259F">
              <w:rPr>
                <w:b/>
                <w:bCs/>
                <w:sz w:val="24"/>
                <w:szCs w:val="24"/>
              </w:rPr>
              <w:t xml:space="preserve"> </w:t>
            </w:r>
            <w:r w:rsidRPr="0032259F">
              <w:rPr>
                <w:b/>
                <w:bCs/>
                <w:sz w:val="24"/>
                <w:szCs w:val="24"/>
              </w:rPr>
              <w:t>antiviral treatment</w:t>
            </w:r>
            <w:r w:rsidR="00B443BC" w:rsidRPr="0032259F">
              <w:rPr>
                <w:b/>
                <w:bCs/>
                <w:sz w:val="24"/>
                <w:szCs w:val="24"/>
              </w:rPr>
              <w:t xml:space="preserve"> </w:t>
            </w:r>
            <w:r w:rsidRPr="0032259F">
              <w:rPr>
                <w:b/>
                <w:bCs/>
                <w:sz w:val="24"/>
                <w:szCs w:val="24"/>
              </w:rPr>
              <w:t>phase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E7837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32259F">
              <w:rPr>
                <w:b/>
                <w:bCs/>
                <w:sz w:val="24"/>
                <w:szCs w:val="24"/>
              </w:rPr>
              <w:t>n=956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6BDAE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32259F">
              <w:rPr>
                <w:b/>
                <w:bCs/>
                <w:sz w:val="24"/>
                <w:szCs w:val="24"/>
              </w:rPr>
              <w:t>n=485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A509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32259F">
              <w:rPr>
                <w:b/>
                <w:bCs/>
                <w:sz w:val="24"/>
                <w:szCs w:val="24"/>
              </w:rPr>
              <w:t>n=450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2889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32259F">
              <w:rPr>
                <w:b/>
                <w:bCs/>
                <w:sz w:val="24"/>
                <w:szCs w:val="24"/>
              </w:rPr>
              <w:t>n=232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B037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32259F">
              <w:rPr>
                <w:b/>
                <w:bCs/>
                <w:sz w:val="24"/>
                <w:szCs w:val="24"/>
              </w:rPr>
              <w:t>n=506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FA67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32259F">
              <w:rPr>
                <w:b/>
                <w:bCs/>
                <w:sz w:val="24"/>
                <w:szCs w:val="24"/>
              </w:rPr>
              <w:t>n=253</w:t>
            </w:r>
          </w:p>
        </w:tc>
      </w:tr>
      <w:tr w:rsidR="002C7328" w:rsidRPr="0032259F" w14:paraId="264301FC" w14:textId="77777777" w:rsidTr="00502830"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B068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3E48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32259F">
              <w:rPr>
                <w:b/>
                <w:bCs/>
                <w:sz w:val="24"/>
                <w:szCs w:val="24"/>
              </w:rPr>
              <w:t>% patients achieving virologic response</w:t>
            </w:r>
          </w:p>
        </w:tc>
      </w:tr>
      <w:tr w:rsidR="002C7328" w:rsidRPr="0032259F" w14:paraId="1AFD40AA" w14:textId="77777777" w:rsidTr="00502830"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F25E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2259F">
              <w:rPr>
                <w:b/>
                <w:bCs/>
                <w:sz w:val="24"/>
                <w:szCs w:val="24"/>
              </w:rPr>
              <w:t xml:space="preserve">Overall SVR </w:t>
            </w:r>
            <w:r w:rsidRPr="0032259F">
              <w:rPr>
                <w:b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E77A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21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9F961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13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D1B6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23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F3EE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14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CFDF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19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72C2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13</w:t>
            </w:r>
          </w:p>
        </w:tc>
      </w:tr>
      <w:tr w:rsidR="002C7328" w:rsidRPr="0032259F" w14:paraId="54AC5768" w14:textId="77777777" w:rsidTr="00502830"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787B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2259F">
              <w:rPr>
                <w:i/>
                <w:iCs/>
                <w:sz w:val="24"/>
                <w:szCs w:val="24"/>
              </w:rPr>
              <w:t>HCV RNA Genotype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AC14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20E3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441F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3C6E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1DFB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EDBE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rPr>
                <w:b/>
                <w:bCs/>
                <w:sz w:val="24"/>
                <w:szCs w:val="24"/>
              </w:rPr>
            </w:pPr>
          </w:p>
        </w:tc>
      </w:tr>
      <w:tr w:rsidR="002C7328" w:rsidRPr="0032259F" w14:paraId="77D9A415" w14:textId="77777777" w:rsidTr="00502830"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1243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Genotype 2/3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7A3E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35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778F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25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9D64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35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C34C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24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2F666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34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A550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25</w:t>
            </w:r>
          </w:p>
        </w:tc>
      </w:tr>
      <w:tr w:rsidR="002C7328" w:rsidRPr="0032259F" w14:paraId="588D6B9D" w14:textId="77777777" w:rsidTr="00502830"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B868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Genotype 1/4/6</w:t>
            </w:r>
            <w:r w:rsidRPr="0032259F">
              <w:rPr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5481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15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DA44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8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30DA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18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0659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10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2E11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13</w:t>
            </w:r>
          </w:p>
        </w:tc>
        <w:tc>
          <w:tcPr>
            <w:tcW w:w="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22AF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7</w:t>
            </w:r>
          </w:p>
        </w:tc>
      </w:tr>
      <w:tr w:rsidR="002C7328" w:rsidRPr="0032259F" w14:paraId="3319D262" w14:textId="77777777" w:rsidTr="00502830"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5049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i/>
                <w:iCs/>
                <w:sz w:val="24"/>
                <w:szCs w:val="24"/>
              </w:rPr>
              <w:t>Albumin levels</w:t>
            </w:r>
            <w:r w:rsidRPr="0032259F">
              <w:rPr>
                <w:i/>
                <w:iCs/>
                <w:sz w:val="24"/>
                <w:szCs w:val="24"/>
                <w:vertAlign w:val="superscript"/>
              </w:rPr>
              <w:t xml:space="preserve"> f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C9BA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A9CD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3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1763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rPr>
                <w:b/>
                <w:bCs/>
                <w:sz w:val="24"/>
                <w:szCs w:val="24"/>
              </w:rPr>
            </w:pPr>
          </w:p>
        </w:tc>
      </w:tr>
      <w:tr w:rsidR="002C7328" w:rsidRPr="0032259F" w14:paraId="7F583D60" w14:textId="77777777" w:rsidTr="00502830"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D3E5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rFonts w:eastAsia="TimesNewRomanPSMT"/>
                <w:sz w:val="24"/>
                <w:szCs w:val="24"/>
              </w:rPr>
              <w:t>≤35g/l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A6F2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11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78F2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8</w:t>
            </w:r>
          </w:p>
        </w:tc>
        <w:tc>
          <w:tcPr>
            <w:tcW w:w="253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917C" w14:textId="77777777" w:rsidR="002C7328" w:rsidRPr="0032259F" w:rsidRDefault="002C732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7328" w:rsidRPr="0032259F" w14:paraId="69D4076D" w14:textId="77777777" w:rsidTr="00502830"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8B53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&gt;35g/l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EE4F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25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099F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16</w:t>
            </w:r>
          </w:p>
        </w:tc>
        <w:tc>
          <w:tcPr>
            <w:tcW w:w="253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BFBA" w14:textId="77777777" w:rsidR="002C7328" w:rsidRPr="0032259F" w:rsidRDefault="002C732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7328" w:rsidRPr="0032259F" w14:paraId="641C3068" w14:textId="77777777" w:rsidTr="00502830"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DE08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2259F">
              <w:rPr>
                <w:i/>
                <w:iCs/>
                <w:sz w:val="24"/>
                <w:szCs w:val="24"/>
              </w:rPr>
              <w:t xml:space="preserve">MELD </w:t>
            </w:r>
            <w:proofErr w:type="spellStart"/>
            <w:r w:rsidRPr="0032259F">
              <w:rPr>
                <w:i/>
                <w:iCs/>
                <w:sz w:val="24"/>
                <w:szCs w:val="24"/>
              </w:rPr>
              <w:t>score</w:t>
            </w:r>
            <w:r w:rsidRPr="0032259F">
              <w:rPr>
                <w:i/>
                <w:iCs/>
                <w:sz w:val="24"/>
                <w:szCs w:val="24"/>
                <w:vertAlign w:val="superscript"/>
              </w:rPr>
              <w:t>f</w:t>
            </w:r>
            <w:proofErr w:type="spellEnd"/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8EEE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18E0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3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301A" w14:textId="77777777" w:rsidR="002C7328" w:rsidRPr="0032259F" w:rsidRDefault="002C732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7328" w:rsidRPr="0032259F" w14:paraId="28C9432F" w14:textId="77777777" w:rsidTr="00502830"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F341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2259F">
              <w:rPr>
                <w:rFonts w:eastAsia="TimesNewRomanPSMT"/>
                <w:sz w:val="24"/>
                <w:szCs w:val="24"/>
              </w:rPr>
              <w:t>≥10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C68C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18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E311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10</w:t>
            </w:r>
          </w:p>
        </w:tc>
        <w:tc>
          <w:tcPr>
            <w:tcW w:w="253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E6D4" w14:textId="77777777" w:rsidR="002C7328" w:rsidRPr="0032259F" w:rsidRDefault="002C732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7328" w:rsidRPr="0032259F" w14:paraId="4212E91C" w14:textId="77777777" w:rsidTr="00502830"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38C4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&lt;10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971C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23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FA31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b/>
                <w:bCs/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17</w:t>
            </w:r>
          </w:p>
        </w:tc>
        <w:tc>
          <w:tcPr>
            <w:tcW w:w="2533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0EBB" w14:textId="77777777" w:rsidR="002C7328" w:rsidRPr="0032259F" w:rsidRDefault="002C732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C7328" w:rsidRPr="00727038" w14:paraId="7C78BA1E" w14:textId="77777777" w:rsidTr="00502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7" w:type="pct"/>
        </w:trPr>
        <w:tc>
          <w:tcPr>
            <w:tcW w:w="365" w:type="pct"/>
            <w:hideMark/>
          </w:tcPr>
          <w:p w14:paraId="2668CBD1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rPr>
                <w:bCs/>
                <w:sz w:val="24"/>
                <w:szCs w:val="24"/>
              </w:rPr>
            </w:pPr>
            <w:r w:rsidRPr="0032259F"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4338" w:type="pct"/>
            <w:gridSpan w:val="10"/>
            <w:hideMark/>
          </w:tcPr>
          <w:p w14:paraId="1D5FC634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2259F">
              <w:rPr>
                <w:sz w:val="24"/>
                <w:szCs w:val="24"/>
              </w:rPr>
              <w:t>Eltrombopag</w:t>
            </w:r>
            <w:proofErr w:type="spellEnd"/>
            <w:r w:rsidRPr="0032259F">
              <w:rPr>
                <w:sz w:val="24"/>
                <w:szCs w:val="24"/>
              </w:rPr>
              <w:t xml:space="preserve"> given in combination with peginterferon alfa-2a (180 </w:t>
            </w:r>
            <w:proofErr w:type="spellStart"/>
            <w:r w:rsidRPr="0032259F">
              <w:rPr>
                <w:rFonts w:eastAsia="TimesNewRomanPSMT"/>
                <w:sz w:val="24"/>
                <w:szCs w:val="24"/>
              </w:rPr>
              <w:t>μ</w:t>
            </w:r>
            <w:r w:rsidRPr="0032259F">
              <w:rPr>
                <w:sz w:val="24"/>
                <w:szCs w:val="24"/>
              </w:rPr>
              <w:t>g</w:t>
            </w:r>
            <w:proofErr w:type="spellEnd"/>
            <w:r w:rsidRPr="0032259F">
              <w:rPr>
                <w:sz w:val="24"/>
                <w:szCs w:val="24"/>
              </w:rPr>
              <w:t xml:space="preserve"> once weekly for</w:t>
            </w:r>
          </w:p>
          <w:p w14:paraId="7E4371FC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48 weeks for genotypes 1/4/6; 24 weeks for genotype 2/3) plus ribavirin (800 to 1 200 mg daily in 2 divided doses orally)</w:t>
            </w:r>
          </w:p>
        </w:tc>
      </w:tr>
      <w:tr w:rsidR="002C7328" w:rsidRPr="00727038" w14:paraId="72C8A41A" w14:textId="77777777" w:rsidTr="00502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7" w:type="pct"/>
        </w:trPr>
        <w:tc>
          <w:tcPr>
            <w:tcW w:w="365" w:type="pct"/>
            <w:hideMark/>
          </w:tcPr>
          <w:p w14:paraId="3E890E8E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rPr>
                <w:bCs/>
                <w:sz w:val="24"/>
                <w:szCs w:val="24"/>
              </w:rPr>
            </w:pPr>
            <w:r w:rsidRPr="0032259F">
              <w:rPr>
                <w:bCs/>
                <w:sz w:val="24"/>
                <w:szCs w:val="24"/>
              </w:rPr>
              <w:t>b</w:t>
            </w:r>
          </w:p>
        </w:tc>
        <w:tc>
          <w:tcPr>
            <w:tcW w:w="4338" w:type="pct"/>
            <w:gridSpan w:val="10"/>
            <w:hideMark/>
          </w:tcPr>
          <w:p w14:paraId="2B002897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32259F">
              <w:rPr>
                <w:sz w:val="24"/>
                <w:szCs w:val="24"/>
              </w:rPr>
              <w:t>Eltrombopag</w:t>
            </w:r>
            <w:proofErr w:type="spellEnd"/>
            <w:r w:rsidRPr="0032259F">
              <w:rPr>
                <w:sz w:val="24"/>
                <w:szCs w:val="24"/>
              </w:rPr>
              <w:t xml:space="preserve"> given in combination with peginterferon alfa-2b (1.5 </w:t>
            </w:r>
            <w:proofErr w:type="spellStart"/>
            <w:r w:rsidRPr="0032259F">
              <w:rPr>
                <w:rFonts w:eastAsia="TimesNewRomanPSMT"/>
                <w:sz w:val="24"/>
                <w:szCs w:val="24"/>
              </w:rPr>
              <w:t>μ</w:t>
            </w:r>
            <w:r w:rsidRPr="0032259F">
              <w:rPr>
                <w:sz w:val="24"/>
                <w:szCs w:val="24"/>
              </w:rPr>
              <w:t>g</w:t>
            </w:r>
            <w:proofErr w:type="spellEnd"/>
            <w:r w:rsidRPr="0032259F">
              <w:rPr>
                <w:sz w:val="24"/>
                <w:szCs w:val="24"/>
              </w:rPr>
              <w:t>/kg once weekly for</w:t>
            </w:r>
          </w:p>
          <w:p w14:paraId="4021FBE0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48 weeks for genotype 1/4/6; 24 weeks for genotype 2/3) plus ribavirin (800 to 1 400 mg orally in 2 divided doses)</w:t>
            </w:r>
          </w:p>
        </w:tc>
      </w:tr>
      <w:tr w:rsidR="002C7328" w:rsidRPr="00727038" w14:paraId="2F47512F" w14:textId="77777777" w:rsidTr="00502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7" w:type="pct"/>
        </w:trPr>
        <w:tc>
          <w:tcPr>
            <w:tcW w:w="365" w:type="pct"/>
            <w:hideMark/>
          </w:tcPr>
          <w:p w14:paraId="164C7096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rPr>
                <w:bCs/>
                <w:sz w:val="24"/>
                <w:szCs w:val="24"/>
              </w:rPr>
            </w:pPr>
            <w:r w:rsidRPr="0032259F">
              <w:rPr>
                <w:bCs/>
                <w:sz w:val="24"/>
                <w:szCs w:val="24"/>
              </w:rPr>
              <w:t>c</w:t>
            </w:r>
          </w:p>
        </w:tc>
        <w:tc>
          <w:tcPr>
            <w:tcW w:w="4338" w:type="pct"/>
            <w:gridSpan w:val="10"/>
            <w:hideMark/>
          </w:tcPr>
          <w:p w14:paraId="0D87D6C7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 xml:space="preserve">Target platelet count was </w:t>
            </w:r>
            <w:r w:rsidRPr="0032259F">
              <w:rPr>
                <w:rFonts w:eastAsia="SymbolMT"/>
                <w:sz w:val="24"/>
                <w:szCs w:val="24"/>
              </w:rPr>
              <w:t>≥</w:t>
            </w:r>
            <w:r w:rsidRPr="0032259F">
              <w:rPr>
                <w:sz w:val="24"/>
                <w:szCs w:val="24"/>
              </w:rPr>
              <w:t>90 000/</w:t>
            </w:r>
            <w:proofErr w:type="spellStart"/>
            <w:r w:rsidRPr="0032259F">
              <w:rPr>
                <w:sz w:val="24"/>
                <w:szCs w:val="24"/>
              </w:rPr>
              <w:t>μl</w:t>
            </w:r>
            <w:proofErr w:type="spellEnd"/>
            <w:r w:rsidRPr="0032259F">
              <w:rPr>
                <w:sz w:val="24"/>
                <w:szCs w:val="24"/>
              </w:rPr>
              <w:t xml:space="preserve"> for ENABLE 1 and </w:t>
            </w:r>
            <w:r w:rsidRPr="0032259F">
              <w:rPr>
                <w:rFonts w:eastAsia="SymbolMT"/>
                <w:sz w:val="24"/>
                <w:szCs w:val="24"/>
              </w:rPr>
              <w:t>≥</w:t>
            </w:r>
            <w:r w:rsidRPr="0032259F">
              <w:rPr>
                <w:sz w:val="24"/>
                <w:szCs w:val="24"/>
              </w:rPr>
              <w:t>100 000/</w:t>
            </w:r>
            <w:proofErr w:type="spellStart"/>
            <w:r w:rsidRPr="0032259F">
              <w:rPr>
                <w:sz w:val="24"/>
                <w:szCs w:val="24"/>
              </w:rPr>
              <w:t>μl</w:t>
            </w:r>
            <w:proofErr w:type="spellEnd"/>
            <w:r w:rsidRPr="0032259F">
              <w:rPr>
                <w:sz w:val="24"/>
                <w:szCs w:val="24"/>
              </w:rPr>
              <w:t xml:space="preserve"> for ENABLE 2. For ENABLE 1, 682 patients were randomised to the antiviral treatment phase; </w:t>
            </w:r>
            <w:proofErr w:type="gramStart"/>
            <w:r w:rsidRPr="0032259F">
              <w:rPr>
                <w:sz w:val="24"/>
                <w:szCs w:val="24"/>
              </w:rPr>
              <w:t>however</w:t>
            </w:r>
            <w:proofErr w:type="gramEnd"/>
            <w:r w:rsidRPr="0032259F">
              <w:rPr>
                <w:sz w:val="24"/>
                <w:szCs w:val="24"/>
              </w:rPr>
              <w:t xml:space="preserve"> 2 patients then withdrew consent prior to receiving antiviral therapy.</w:t>
            </w:r>
          </w:p>
        </w:tc>
      </w:tr>
      <w:tr w:rsidR="002C7328" w:rsidRPr="0032259F" w14:paraId="553E8ABE" w14:textId="77777777" w:rsidTr="00502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7" w:type="pct"/>
        </w:trPr>
        <w:tc>
          <w:tcPr>
            <w:tcW w:w="365" w:type="pct"/>
            <w:hideMark/>
          </w:tcPr>
          <w:p w14:paraId="5E023716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rPr>
                <w:bCs/>
                <w:sz w:val="24"/>
                <w:szCs w:val="24"/>
              </w:rPr>
            </w:pPr>
            <w:r w:rsidRPr="0032259F">
              <w:rPr>
                <w:rFonts w:eastAsia="TimesNewRomanPSMT"/>
                <w:sz w:val="24"/>
                <w:szCs w:val="24"/>
              </w:rPr>
              <w:t>d</w:t>
            </w:r>
          </w:p>
        </w:tc>
        <w:tc>
          <w:tcPr>
            <w:tcW w:w="4338" w:type="pct"/>
            <w:gridSpan w:val="10"/>
            <w:hideMark/>
          </w:tcPr>
          <w:p w14:paraId="16083DFB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rPr>
                <w:b/>
                <w:bCs/>
                <w:sz w:val="24"/>
                <w:szCs w:val="24"/>
              </w:rPr>
            </w:pPr>
            <w:r w:rsidRPr="0032259F">
              <w:rPr>
                <w:i/>
                <w:iCs/>
                <w:sz w:val="24"/>
                <w:szCs w:val="24"/>
              </w:rPr>
              <w:t>p-</w:t>
            </w:r>
            <w:r w:rsidRPr="0032259F">
              <w:rPr>
                <w:sz w:val="24"/>
                <w:szCs w:val="24"/>
              </w:rPr>
              <w:t xml:space="preserve">value &lt;0.05 for </w:t>
            </w:r>
            <w:proofErr w:type="spellStart"/>
            <w:r w:rsidRPr="0032259F">
              <w:rPr>
                <w:sz w:val="24"/>
                <w:szCs w:val="24"/>
              </w:rPr>
              <w:t>eltrombopag</w:t>
            </w:r>
            <w:proofErr w:type="spellEnd"/>
            <w:r w:rsidRPr="0032259F">
              <w:rPr>
                <w:sz w:val="24"/>
                <w:szCs w:val="24"/>
              </w:rPr>
              <w:t xml:space="preserve"> versus placebo</w:t>
            </w:r>
          </w:p>
        </w:tc>
      </w:tr>
      <w:tr w:rsidR="002C7328" w:rsidRPr="00727038" w14:paraId="71B41221" w14:textId="77777777" w:rsidTr="00502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7" w:type="pct"/>
        </w:trPr>
        <w:tc>
          <w:tcPr>
            <w:tcW w:w="365" w:type="pct"/>
            <w:hideMark/>
          </w:tcPr>
          <w:p w14:paraId="5B5D7C94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rPr>
                <w:bCs/>
                <w:sz w:val="24"/>
                <w:szCs w:val="24"/>
              </w:rPr>
            </w:pPr>
            <w:r w:rsidRPr="0032259F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4338" w:type="pct"/>
            <w:gridSpan w:val="10"/>
            <w:hideMark/>
          </w:tcPr>
          <w:p w14:paraId="2C8126A3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rPr>
                <w:b/>
                <w:bCs/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64% patients participating in ENABLE 1 and ENABLE 2 were genotype 1</w:t>
            </w:r>
          </w:p>
        </w:tc>
      </w:tr>
      <w:tr w:rsidR="002C7328" w:rsidRPr="0032259F" w14:paraId="41113CD6" w14:textId="77777777" w:rsidTr="005028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7" w:type="pct"/>
        </w:trPr>
        <w:tc>
          <w:tcPr>
            <w:tcW w:w="365" w:type="pct"/>
            <w:hideMark/>
          </w:tcPr>
          <w:p w14:paraId="242870CE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rPr>
                <w:bCs/>
                <w:sz w:val="24"/>
                <w:szCs w:val="24"/>
              </w:rPr>
            </w:pPr>
            <w:r w:rsidRPr="0032259F">
              <w:rPr>
                <w:bCs/>
                <w:sz w:val="24"/>
                <w:szCs w:val="24"/>
              </w:rPr>
              <w:t>f</w:t>
            </w:r>
          </w:p>
        </w:tc>
        <w:tc>
          <w:tcPr>
            <w:tcW w:w="4338" w:type="pct"/>
            <w:gridSpan w:val="10"/>
            <w:hideMark/>
          </w:tcPr>
          <w:p w14:paraId="3E7C4935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rPr>
                <w:b/>
                <w:bCs/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Post-hoc analyses</w:t>
            </w:r>
          </w:p>
        </w:tc>
      </w:tr>
    </w:tbl>
    <w:p w14:paraId="4D57BBA0" w14:textId="77777777" w:rsidR="002C7328" w:rsidRPr="0032259F" w:rsidRDefault="002C7328" w:rsidP="002C7328">
      <w:pPr>
        <w:numPr>
          <w:ilvl w:val="12"/>
          <w:numId w:val="0"/>
        </w:numPr>
        <w:ind w:right="-2"/>
        <w:rPr>
          <w:rFonts w:eastAsia="SimSun"/>
          <w:bCs/>
          <w:sz w:val="24"/>
          <w:szCs w:val="24"/>
          <w:lang w:val="en-GB" w:eastAsia="en-GB"/>
        </w:rPr>
      </w:pPr>
    </w:p>
    <w:p w14:paraId="444032A3" w14:textId="554C865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Other secondary findings of the studies included the following: significantly fewer patients treated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with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prematurely discontinued antiviral therapy compared to placebo (45% vs. 60%,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p=&lt;0.0001). A greater proportion of patients on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did not require any antiviral dose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reduction as compared to placebo (45% vs. 27%).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treatment delayed and reduced the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number of peginterferon dose reductions.</w:t>
      </w:r>
    </w:p>
    <w:p w14:paraId="6DE361EA" w14:textId="65A8BECC" w:rsidR="006908A9" w:rsidRPr="0032259F" w:rsidRDefault="006908A9">
      <w:pPr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br w:type="page"/>
      </w:r>
    </w:p>
    <w:p w14:paraId="15AC7CF7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473051E2" w14:textId="77777777" w:rsidR="002C7328" w:rsidRPr="0032259F" w:rsidRDefault="002C7328" w:rsidP="00502830">
      <w:pPr>
        <w:ind w:left="851"/>
        <w:rPr>
          <w:rFonts w:eastAsia="SimSun"/>
          <w:i/>
          <w:iCs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i/>
          <w:iCs/>
          <w:sz w:val="24"/>
          <w:szCs w:val="24"/>
          <w:u w:val="single"/>
          <w:lang w:val="en-GB" w:eastAsia="en-GB"/>
        </w:rPr>
        <w:t>Severe aplastic anaemia</w:t>
      </w:r>
    </w:p>
    <w:p w14:paraId="23C218F4" w14:textId="77777777" w:rsidR="002C7328" w:rsidRPr="0032259F" w:rsidRDefault="002C7328" w:rsidP="00502830">
      <w:pPr>
        <w:ind w:left="851"/>
        <w:rPr>
          <w:rFonts w:eastAsia="SimSun"/>
          <w:iCs/>
          <w:sz w:val="24"/>
          <w:szCs w:val="24"/>
          <w:lang w:val="en-GB" w:eastAsia="en-GB"/>
        </w:rPr>
      </w:pPr>
    </w:p>
    <w:p w14:paraId="64C51BDD" w14:textId="39B6041E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was studied in a single-arm, single-centre open-label study in 43 patients with severe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aplastic anaemia with refractory thrombocytopenia following at least one prior immunosuppressive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TimesNewRomanPSMT"/>
          <w:sz w:val="24"/>
          <w:szCs w:val="24"/>
          <w:lang w:val="en-GB" w:eastAsia="en-GB"/>
        </w:rPr>
        <w:t xml:space="preserve">therapy (IST) and who had a platelet count ≤30 </w:t>
      </w:r>
      <w:r w:rsidRPr="0032259F">
        <w:rPr>
          <w:rFonts w:eastAsia="SimSun"/>
          <w:sz w:val="24"/>
          <w:szCs w:val="24"/>
          <w:lang w:val="en-GB" w:eastAsia="en-GB"/>
        </w:rPr>
        <w:t>000/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μl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.</w:t>
      </w:r>
    </w:p>
    <w:p w14:paraId="78CAD369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13974271" w14:textId="4939DF1A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The majority of patients</w:t>
      </w:r>
      <w:r w:rsidRPr="0032259F">
        <w:rPr>
          <w:rFonts w:eastAsia="TimesNewRomanPSMT"/>
          <w:sz w:val="24"/>
          <w:szCs w:val="24"/>
          <w:lang w:val="en-GB" w:eastAsia="en-GB"/>
        </w:rPr>
        <w:t>, 33 (77%), were considered to have ‘primary refractory disease’, defined as</w:t>
      </w:r>
      <w:r w:rsidR="00B443BC" w:rsidRPr="0032259F">
        <w:rPr>
          <w:rFonts w:eastAsia="TimesNewRomanPSMT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having no prior adequate response to IST in any lineage. The remaining 10 patients had insufficient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platelet response to prior therapies. All 10 had received at least 2 prior IST regimens and 50% had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received at least 3 prior IST regimens. Patients with diagnosis of Fanconi anaemia, infection not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TimesNewRomanPSMT"/>
          <w:sz w:val="24"/>
          <w:szCs w:val="24"/>
          <w:lang w:val="en-GB" w:eastAsia="en-GB"/>
        </w:rPr>
        <w:t>responding to appropriate therapy, PNH clone size in neutrophils of ≥50%, where excluded from</w:t>
      </w:r>
      <w:r w:rsidR="00B443BC" w:rsidRPr="0032259F">
        <w:rPr>
          <w:rFonts w:eastAsia="TimesNewRomanPSMT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participation.</w:t>
      </w:r>
    </w:p>
    <w:p w14:paraId="2CDCB04F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55A88354" w14:textId="2F668E9E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At baseline the median platelet count was 20 000/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μl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, haemoglobin was 8.4 g/dl, ANC was 0.58 x 10</w:t>
      </w:r>
      <w:r w:rsidRPr="0032259F">
        <w:rPr>
          <w:rFonts w:eastAsia="SimSun"/>
          <w:sz w:val="24"/>
          <w:szCs w:val="24"/>
          <w:vertAlign w:val="superscript"/>
          <w:lang w:val="en-GB" w:eastAsia="en-GB"/>
        </w:rPr>
        <w:t>9</w:t>
      </w:r>
      <w:r w:rsidRPr="0032259F">
        <w:rPr>
          <w:rFonts w:eastAsia="SimSun"/>
          <w:sz w:val="24"/>
          <w:szCs w:val="24"/>
          <w:lang w:val="en-GB" w:eastAsia="en-GB"/>
        </w:rPr>
        <w:t>/l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and absolute reticulocyte count was 24.3 x10</w:t>
      </w:r>
      <w:r w:rsidRPr="0032259F">
        <w:rPr>
          <w:rFonts w:eastAsia="SimSun"/>
          <w:sz w:val="24"/>
          <w:szCs w:val="24"/>
          <w:vertAlign w:val="superscript"/>
          <w:lang w:val="en-GB" w:eastAsia="en-GB"/>
        </w:rPr>
        <w:t>9</w:t>
      </w:r>
      <w:r w:rsidRPr="0032259F">
        <w:rPr>
          <w:rFonts w:eastAsia="SimSun"/>
          <w:sz w:val="24"/>
          <w:szCs w:val="24"/>
          <w:lang w:val="en-GB" w:eastAsia="en-GB"/>
        </w:rPr>
        <w:t>/l. Eighty-six percent of patients were RBC transfusion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dependent, and 91% were platelet transfusion dependent. The majority of patients (84%) had received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at least 2 prior immunosuppressive therapies. Three patients had cytogenetic abnormalities at baseline.</w:t>
      </w:r>
    </w:p>
    <w:p w14:paraId="3CC30149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3B7EC81A" w14:textId="40163998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The primary endpoint was haematological response assessed after 12 weeks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treatment.</w:t>
      </w:r>
      <w:r w:rsidR="006908A9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Haematological response was defined as meeting one or more of the following criteria: 1) platelet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count increases to 20 000/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μl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above baseline or stable platelet counts with transfusion independence for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a minimum of 8 weeks; 2) haemoglobin increase by &gt;1.5g/dl</w:t>
      </w:r>
      <w:r w:rsidRPr="0032259F">
        <w:rPr>
          <w:rFonts w:eastAsia="TimesNewRomanPSMT"/>
          <w:sz w:val="24"/>
          <w:szCs w:val="24"/>
          <w:lang w:val="en-GB" w:eastAsia="en-GB"/>
        </w:rPr>
        <w:t xml:space="preserve">, or a reduction in ≥4 </w:t>
      </w:r>
      <w:r w:rsidRPr="0032259F">
        <w:rPr>
          <w:rFonts w:eastAsia="SimSun"/>
          <w:sz w:val="24"/>
          <w:szCs w:val="24"/>
          <w:lang w:val="en-GB" w:eastAsia="en-GB"/>
        </w:rPr>
        <w:t>units of red blood cell (RBC) transfusions for 8 consecutive weeks; 3) absolute neutrophil count (ANC) increase of 100% or an ANC increase &gt;0.5 x 10</w:t>
      </w:r>
      <w:r w:rsidRPr="0032259F">
        <w:rPr>
          <w:rFonts w:eastAsia="SimSun"/>
          <w:sz w:val="24"/>
          <w:szCs w:val="24"/>
          <w:vertAlign w:val="superscript"/>
          <w:lang w:val="en-GB" w:eastAsia="en-GB"/>
        </w:rPr>
        <w:t>9</w:t>
      </w:r>
      <w:r w:rsidRPr="0032259F">
        <w:rPr>
          <w:rFonts w:eastAsia="SimSun"/>
          <w:sz w:val="24"/>
          <w:szCs w:val="24"/>
          <w:lang w:val="en-GB" w:eastAsia="en-GB"/>
        </w:rPr>
        <w:t>/l.</w:t>
      </w:r>
    </w:p>
    <w:p w14:paraId="09CF6CD5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2B420148" w14:textId="76E1BB44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The haematological response rate was 40% (17/43 patients; 95 % CI 25, 56), the majority were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unilineage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responses (13/17, 76%) whilst there were 3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bilineage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and 1 trilineage responses at week 12.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was discontinued after 16 weeks if no haematological response or transfusion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independence was observed. Patients who responded continued therapy in an extension phase of the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study. A total of 14 patients entered the extension phase of the trial. Nine of these patients achieved a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multi-lineage response, 4 of the 9 remain on treatment and 5 tapered off treatment with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and maintained the response (median follow up: 20.6 months, range: 5.7 to 22.5 months). The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remaining 5 patients discontinued treatment, three </w:t>
      </w:r>
      <w:proofErr w:type="gramStart"/>
      <w:r w:rsidRPr="0032259F">
        <w:rPr>
          <w:rFonts w:eastAsia="SimSun"/>
          <w:sz w:val="24"/>
          <w:szCs w:val="24"/>
          <w:lang w:val="en-GB" w:eastAsia="en-GB"/>
        </w:rPr>
        <w:t>due</w:t>
      </w:r>
      <w:proofErr w:type="gramEnd"/>
      <w:r w:rsidRPr="0032259F">
        <w:rPr>
          <w:rFonts w:eastAsia="SimSun"/>
          <w:sz w:val="24"/>
          <w:szCs w:val="24"/>
          <w:lang w:val="en-GB" w:eastAsia="en-GB"/>
        </w:rPr>
        <w:t xml:space="preserve"> to relapse at the month 3 extension visit.</w:t>
      </w:r>
    </w:p>
    <w:p w14:paraId="1E37F6A8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7F65BBD4" w14:textId="0B93D9BE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During treatment with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59% (23/39) became platelet transfusion independent (28 days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without platelet transfusion) and 27% (10/37) became RBC transfusion independent (56 days without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RBC transfusion). The longest platelet transfusion-free period for non-responders was 27 days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(median). The longest platelet transfusion-free period for responders was 287 days (median). The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longest RBC transfusion-free period for non-responders was 29 days (median). The longest RBC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transfusion-free period for responders was 266 days (median).</w:t>
      </w:r>
    </w:p>
    <w:p w14:paraId="7CE3BBEF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6CCCBF65" w14:textId="3D937E65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Over 50% of responders who were transfusion-dependent at baseline, had &gt;80% reduction in both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platelet and RBC transfusion requirements compared to baseline.</w:t>
      </w:r>
    </w:p>
    <w:p w14:paraId="05D7793C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69B234B3" w14:textId="49B2909B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Preliminary results from a supportive study (Study ELT116826), an ongoing non-randomised,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phase II, single-arm, open-label study in refractory SAA patients, showed </w:t>
      </w:r>
      <w:r w:rsidRPr="0032259F">
        <w:rPr>
          <w:rFonts w:eastAsia="SimSun"/>
          <w:sz w:val="24"/>
          <w:szCs w:val="24"/>
          <w:lang w:val="en-GB" w:eastAsia="en-GB"/>
        </w:rPr>
        <w:lastRenderedPageBreak/>
        <w:t>consistent results. Data are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limited to 21 out of the planned 60 patients with haematological responses reported by 52% of patients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at 6 months. Multilineage responses were reported by 45% of patients.</w:t>
      </w:r>
    </w:p>
    <w:p w14:paraId="4E21700A" w14:textId="77777777" w:rsidR="007C5D2A" w:rsidRPr="0032259F" w:rsidRDefault="007C5D2A" w:rsidP="00502830">
      <w:pPr>
        <w:ind w:left="851"/>
        <w:rPr>
          <w:sz w:val="24"/>
          <w:szCs w:val="24"/>
          <w:lang w:val="en-GB"/>
        </w:rPr>
      </w:pPr>
    </w:p>
    <w:p w14:paraId="73D41D8D" w14:textId="626259CE" w:rsidR="007C5D2A" w:rsidRPr="0032259F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32259F">
        <w:rPr>
          <w:b/>
          <w:sz w:val="24"/>
          <w:szCs w:val="24"/>
          <w:lang w:val="en-GB"/>
        </w:rPr>
        <w:t>5.2</w:t>
      </w:r>
      <w:r w:rsidRPr="0032259F">
        <w:rPr>
          <w:b/>
          <w:sz w:val="24"/>
          <w:szCs w:val="24"/>
          <w:lang w:val="en-GB"/>
        </w:rPr>
        <w:tab/>
        <w:t>Pharmacokinetic properties</w:t>
      </w:r>
    </w:p>
    <w:p w14:paraId="0231C655" w14:textId="77777777" w:rsidR="006908A9" w:rsidRPr="0032259F" w:rsidRDefault="006908A9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4D6C746E" w14:textId="2FAC5B27" w:rsidR="002C7328" w:rsidRPr="0032259F" w:rsidRDefault="002C7328" w:rsidP="00502830">
      <w:pPr>
        <w:ind w:left="851"/>
        <w:rPr>
          <w:rFonts w:eastAsia="SimSun"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sz w:val="24"/>
          <w:szCs w:val="24"/>
          <w:u w:val="single"/>
          <w:lang w:val="en-GB" w:eastAsia="en-GB"/>
        </w:rPr>
        <w:t>Pharmacokinetics</w:t>
      </w:r>
    </w:p>
    <w:p w14:paraId="54BB8ACF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742332E5" w14:textId="32A86AD8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The plasma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concentration-time data collected in 88 patients with ITP in studies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TRA100773A and TRA100773B were combined with data from 111 healthy adult subjects in a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population PK analysis. Plasma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AUC((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0-</w:t>
      </w:r>
      <w:r w:rsidRPr="0032259F">
        <w:rPr>
          <w:rFonts w:eastAsia="SymbolMT"/>
          <w:sz w:val="24"/>
          <w:szCs w:val="24"/>
          <w:vertAlign w:val="subscript"/>
          <w:lang w:val="en-GB" w:eastAsia="en-GB"/>
        </w:rPr>
        <w:t>τ</w:t>
      </w:r>
      <w:r w:rsidRPr="0032259F">
        <w:rPr>
          <w:rFonts w:eastAsia="SimSun"/>
          <w:sz w:val="24"/>
          <w:szCs w:val="24"/>
          <w:lang w:val="en-GB" w:eastAsia="en-GB"/>
        </w:rPr>
        <w:t xml:space="preserve">) and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C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max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estimates for ITP patients are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presented (Table 9).</w:t>
      </w:r>
    </w:p>
    <w:p w14:paraId="0564776D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759FD3B5" w14:textId="67997E37" w:rsidR="002C7328" w:rsidRPr="0032259F" w:rsidRDefault="002C7328" w:rsidP="00B443BC">
      <w:pPr>
        <w:autoSpaceDE w:val="0"/>
        <w:autoSpaceDN w:val="0"/>
        <w:adjustRightInd w:val="0"/>
        <w:ind w:left="993" w:hanging="993"/>
        <w:rPr>
          <w:rFonts w:eastAsia="SimSun"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b/>
          <w:bCs/>
          <w:sz w:val="24"/>
          <w:szCs w:val="24"/>
          <w:lang w:val="en-GB" w:eastAsia="en-GB"/>
        </w:rPr>
        <w:t xml:space="preserve">Table 9 </w:t>
      </w:r>
      <w:r w:rsidR="00B443BC" w:rsidRPr="0032259F">
        <w:rPr>
          <w:rFonts w:eastAsia="SimSun"/>
          <w:b/>
          <w:bCs/>
          <w:sz w:val="24"/>
          <w:szCs w:val="24"/>
          <w:lang w:val="en-GB" w:eastAsia="en-GB"/>
        </w:rPr>
        <w:tab/>
      </w:r>
      <w:r w:rsidRPr="0032259F">
        <w:rPr>
          <w:rFonts w:eastAsia="SimSun"/>
          <w:b/>
          <w:bCs/>
          <w:sz w:val="24"/>
          <w:szCs w:val="24"/>
          <w:lang w:val="en-GB" w:eastAsia="en-GB"/>
        </w:rPr>
        <w:t xml:space="preserve">Geometric mean (95% confidence intervals) of steady-state plasma </w:t>
      </w:r>
      <w:proofErr w:type="spellStart"/>
      <w:r w:rsidRPr="0032259F">
        <w:rPr>
          <w:rFonts w:eastAsia="SimSun"/>
          <w:b/>
          <w:bCs/>
          <w:sz w:val="24"/>
          <w:szCs w:val="24"/>
          <w:lang w:val="en-GB" w:eastAsia="en-GB"/>
        </w:rPr>
        <w:t>eltrombopag</w:t>
      </w:r>
      <w:proofErr w:type="spellEnd"/>
      <w:r w:rsidR="00B443BC" w:rsidRPr="0032259F">
        <w:rPr>
          <w:rFonts w:eastAsia="SimSun"/>
          <w:b/>
          <w:bCs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b/>
          <w:bCs/>
          <w:sz w:val="24"/>
          <w:szCs w:val="24"/>
          <w:lang w:val="en-GB" w:eastAsia="en-GB"/>
        </w:rPr>
        <w:t>pharmacokinetic parameters in adults with ITP</w:t>
      </w:r>
    </w:p>
    <w:p w14:paraId="0F89C5C3" w14:textId="77777777" w:rsidR="002C7328" w:rsidRPr="0032259F" w:rsidRDefault="002C7328" w:rsidP="002C7328">
      <w:pPr>
        <w:numPr>
          <w:ilvl w:val="12"/>
          <w:numId w:val="0"/>
        </w:numPr>
        <w:ind w:right="-2"/>
        <w:rPr>
          <w:rFonts w:eastAsia="SimSun"/>
          <w:sz w:val="24"/>
          <w:szCs w:val="24"/>
          <w:lang w:val="en-GB" w:eastAsia="en-GB"/>
        </w:rPr>
      </w:pPr>
    </w:p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C7328" w:rsidRPr="0032259F" w14:paraId="5251C69B" w14:textId="77777777" w:rsidTr="00502830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78D2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2259F">
              <w:rPr>
                <w:b/>
                <w:bCs/>
                <w:sz w:val="24"/>
                <w:szCs w:val="24"/>
              </w:rPr>
              <w:t>Eltrombopag</w:t>
            </w:r>
            <w:proofErr w:type="spellEnd"/>
            <w:r w:rsidRPr="0032259F">
              <w:rPr>
                <w:b/>
                <w:bCs/>
                <w:sz w:val="24"/>
                <w:szCs w:val="24"/>
              </w:rPr>
              <w:t xml:space="preserve"> dose,</w:t>
            </w:r>
          </w:p>
          <w:p w14:paraId="164BE5DC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b/>
                <w:sz w:val="24"/>
                <w:szCs w:val="24"/>
              </w:rPr>
            </w:pPr>
            <w:r w:rsidRPr="0032259F">
              <w:rPr>
                <w:b/>
                <w:bCs/>
                <w:sz w:val="24"/>
                <w:szCs w:val="24"/>
              </w:rPr>
              <w:t>once daily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ED07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b/>
                <w:sz w:val="24"/>
                <w:szCs w:val="24"/>
              </w:rPr>
            </w:pPr>
            <w:r w:rsidRPr="0032259F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2A05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2259F">
              <w:rPr>
                <w:b/>
                <w:bCs/>
                <w:sz w:val="24"/>
                <w:szCs w:val="24"/>
              </w:rPr>
              <w:t>AUC</w:t>
            </w:r>
            <w:r w:rsidRPr="0032259F">
              <w:rPr>
                <w:b/>
                <w:bCs/>
                <w:sz w:val="24"/>
                <w:szCs w:val="24"/>
                <w:vertAlign w:val="subscript"/>
              </w:rPr>
              <w:t>(0-</w:t>
            </w:r>
            <w:r w:rsidRPr="0032259F">
              <w:rPr>
                <w:rFonts w:eastAsia="SymbolMT"/>
                <w:b/>
                <w:sz w:val="24"/>
                <w:szCs w:val="24"/>
                <w:vertAlign w:val="subscript"/>
              </w:rPr>
              <w:t>τ</w:t>
            </w:r>
            <w:r w:rsidRPr="0032259F">
              <w:rPr>
                <w:b/>
                <w:bCs/>
                <w:sz w:val="24"/>
                <w:szCs w:val="24"/>
                <w:vertAlign w:val="subscript"/>
              </w:rPr>
              <w:t>)</w:t>
            </w:r>
            <w:r w:rsidRPr="0032259F">
              <w:rPr>
                <w:b/>
                <w:bCs/>
                <w:sz w:val="24"/>
                <w:szCs w:val="24"/>
              </w:rPr>
              <w:t xml:space="preserve"> </w:t>
            </w:r>
            <w:r w:rsidRPr="0032259F">
              <w:rPr>
                <w:b/>
                <w:bCs/>
                <w:sz w:val="24"/>
                <w:szCs w:val="24"/>
                <w:vertAlign w:val="superscript"/>
              </w:rPr>
              <w:t>a</w:t>
            </w:r>
            <w:r w:rsidRPr="0032259F">
              <w:rPr>
                <w:b/>
                <w:bCs/>
                <w:sz w:val="24"/>
                <w:szCs w:val="24"/>
              </w:rPr>
              <w:t xml:space="preserve">, </w:t>
            </w:r>
            <w:r w:rsidRPr="0032259F">
              <w:rPr>
                <w:rFonts w:eastAsia="Arial Unicode MS"/>
                <w:b/>
                <w:sz w:val="24"/>
                <w:szCs w:val="24"/>
              </w:rPr>
              <w:t>µ</w:t>
            </w:r>
            <w:proofErr w:type="spellStart"/>
            <w:r w:rsidRPr="0032259F">
              <w:rPr>
                <w:b/>
                <w:bCs/>
                <w:sz w:val="24"/>
                <w:szCs w:val="24"/>
              </w:rPr>
              <w:t>g.h</w:t>
            </w:r>
            <w:proofErr w:type="spellEnd"/>
            <w:r w:rsidRPr="0032259F">
              <w:rPr>
                <w:b/>
                <w:bCs/>
                <w:sz w:val="24"/>
                <w:szCs w:val="24"/>
              </w:rPr>
              <w:t>/ml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BAAF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2259F">
              <w:rPr>
                <w:b/>
                <w:bCs/>
                <w:sz w:val="24"/>
                <w:szCs w:val="24"/>
              </w:rPr>
              <w:t>C</w:t>
            </w:r>
            <w:r w:rsidRPr="0032259F">
              <w:rPr>
                <w:b/>
                <w:bCs/>
                <w:sz w:val="24"/>
                <w:szCs w:val="24"/>
                <w:vertAlign w:val="subscript"/>
              </w:rPr>
              <w:t>max</w:t>
            </w:r>
            <w:proofErr w:type="spellEnd"/>
            <w:r w:rsidRPr="0032259F">
              <w:rPr>
                <w:b/>
                <w:bCs/>
                <w:sz w:val="24"/>
                <w:szCs w:val="24"/>
              </w:rPr>
              <w:t xml:space="preserve"> </w:t>
            </w:r>
            <w:r w:rsidRPr="0032259F">
              <w:rPr>
                <w:b/>
                <w:bCs/>
                <w:sz w:val="24"/>
                <w:szCs w:val="24"/>
                <w:vertAlign w:val="superscript"/>
              </w:rPr>
              <w:t>a</w:t>
            </w:r>
            <w:r w:rsidRPr="0032259F">
              <w:rPr>
                <w:b/>
                <w:bCs/>
                <w:sz w:val="24"/>
                <w:szCs w:val="24"/>
              </w:rPr>
              <w:t xml:space="preserve">, </w:t>
            </w:r>
            <w:r w:rsidRPr="0032259F">
              <w:rPr>
                <w:rFonts w:eastAsia="Arial Unicode MS"/>
                <w:b/>
                <w:sz w:val="24"/>
                <w:szCs w:val="24"/>
              </w:rPr>
              <w:t>µ</w:t>
            </w:r>
            <w:r w:rsidRPr="0032259F">
              <w:rPr>
                <w:b/>
                <w:bCs/>
                <w:sz w:val="24"/>
                <w:szCs w:val="24"/>
              </w:rPr>
              <w:t>g/ml</w:t>
            </w:r>
          </w:p>
        </w:tc>
      </w:tr>
      <w:tr w:rsidR="002C7328" w:rsidRPr="0032259F" w14:paraId="296DB7B1" w14:textId="77777777" w:rsidTr="00502830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0BE4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30 mg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ECAB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28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107F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47 (39, 58)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B0B3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3.78 (3.18, 4.49)</w:t>
            </w:r>
          </w:p>
        </w:tc>
      </w:tr>
      <w:tr w:rsidR="002C7328" w:rsidRPr="0032259F" w14:paraId="798F9E66" w14:textId="77777777" w:rsidTr="00502830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D418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50 mg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91E8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34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4E6C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108 (88, 134)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303F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8.01 (6.73, 9.53)</w:t>
            </w:r>
          </w:p>
        </w:tc>
      </w:tr>
      <w:tr w:rsidR="002C7328" w:rsidRPr="0032259F" w14:paraId="31F9A091" w14:textId="77777777" w:rsidTr="00502830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B421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75 mg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203F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26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C496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168 (143, 198)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9513" w14:textId="77777777" w:rsidR="002C7328" w:rsidRPr="0032259F" w:rsidRDefault="002C7328">
            <w:pPr>
              <w:numPr>
                <w:ilvl w:val="12"/>
                <w:numId w:val="0"/>
              </w:numPr>
              <w:ind w:right="-2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12.7 (11.0, 14.5)</w:t>
            </w:r>
          </w:p>
        </w:tc>
      </w:tr>
    </w:tbl>
    <w:p w14:paraId="5091AA06" w14:textId="19E10FE6" w:rsidR="002C7328" w:rsidRPr="0032259F" w:rsidRDefault="002C7328" w:rsidP="00502830">
      <w:pPr>
        <w:pStyle w:val="Listeafsnit"/>
        <w:numPr>
          <w:ilvl w:val="0"/>
          <w:numId w:val="10"/>
        </w:numPr>
        <w:tabs>
          <w:tab w:val="clear" w:pos="567"/>
        </w:tabs>
        <w:ind w:left="284" w:right="-2" w:hanging="284"/>
        <w:rPr>
          <w:rFonts w:eastAsia="SimSun"/>
          <w:sz w:val="24"/>
          <w:szCs w:val="24"/>
          <w:lang w:eastAsia="en-GB"/>
        </w:rPr>
      </w:pPr>
      <w:r w:rsidRPr="0032259F">
        <w:rPr>
          <w:rFonts w:eastAsia="SimSun"/>
          <w:sz w:val="24"/>
          <w:szCs w:val="24"/>
          <w:lang w:eastAsia="en-GB"/>
        </w:rPr>
        <w:t>AUC</w:t>
      </w:r>
      <w:r w:rsidRPr="0032259F">
        <w:rPr>
          <w:rFonts w:eastAsia="SimSun"/>
          <w:sz w:val="24"/>
          <w:szCs w:val="24"/>
          <w:vertAlign w:val="subscript"/>
          <w:lang w:eastAsia="en-GB"/>
        </w:rPr>
        <w:t>(0-τ)</w:t>
      </w:r>
      <w:r w:rsidRPr="0032259F">
        <w:rPr>
          <w:rFonts w:eastAsia="SimSun"/>
          <w:sz w:val="24"/>
          <w:szCs w:val="24"/>
          <w:lang w:eastAsia="en-GB"/>
        </w:rPr>
        <w:t xml:space="preserve"> and </w:t>
      </w:r>
      <w:proofErr w:type="spellStart"/>
      <w:r w:rsidRPr="0032259F">
        <w:rPr>
          <w:rFonts w:eastAsia="SimSun"/>
          <w:sz w:val="24"/>
          <w:szCs w:val="24"/>
          <w:lang w:eastAsia="en-GB"/>
        </w:rPr>
        <w:t>C</w:t>
      </w:r>
      <w:r w:rsidRPr="0032259F">
        <w:rPr>
          <w:rFonts w:eastAsia="SimSun"/>
          <w:sz w:val="24"/>
          <w:szCs w:val="24"/>
          <w:vertAlign w:val="subscript"/>
          <w:lang w:eastAsia="en-GB"/>
        </w:rPr>
        <w:t>max</w:t>
      </w:r>
      <w:proofErr w:type="spellEnd"/>
      <w:r w:rsidRPr="0032259F">
        <w:rPr>
          <w:rFonts w:eastAsia="SimSun"/>
          <w:sz w:val="24"/>
          <w:szCs w:val="24"/>
          <w:vertAlign w:val="subscript"/>
          <w:lang w:eastAsia="en-GB"/>
        </w:rPr>
        <w:t xml:space="preserve"> </w:t>
      </w:r>
      <w:r w:rsidRPr="0032259F">
        <w:rPr>
          <w:rFonts w:eastAsia="SimSun"/>
          <w:sz w:val="24"/>
          <w:szCs w:val="24"/>
          <w:lang w:eastAsia="en-GB"/>
        </w:rPr>
        <w:t>based on population PK post-hoc estimates.</w:t>
      </w:r>
    </w:p>
    <w:p w14:paraId="7F348FBA" w14:textId="77777777" w:rsidR="002C7328" w:rsidRPr="0032259F" w:rsidRDefault="002C7328" w:rsidP="002C7328">
      <w:pPr>
        <w:numPr>
          <w:ilvl w:val="12"/>
          <w:numId w:val="0"/>
        </w:numPr>
        <w:tabs>
          <w:tab w:val="left" w:pos="1304"/>
        </w:tabs>
        <w:ind w:left="567" w:right="-2" w:hanging="567"/>
        <w:rPr>
          <w:rFonts w:eastAsia="SimSun"/>
          <w:sz w:val="24"/>
          <w:szCs w:val="24"/>
          <w:lang w:val="en-GB" w:eastAsia="en-GB"/>
        </w:rPr>
      </w:pPr>
    </w:p>
    <w:p w14:paraId="194023B8" w14:textId="26D815A3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Plasma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concentration-time data collected in 590 patients with HCV enrolled in phase III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studies TPL103922/ENABLE 1 and TPL108390/ENABLE 2 were combined with data from patients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with HCV enrolled in the phase II study TPL102357 and healthy adult subjects in a population PK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analysis. Plasma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C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max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and AUC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(0-</w:t>
      </w:r>
      <w:r w:rsidRPr="0032259F">
        <w:rPr>
          <w:rFonts w:eastAsia="SymbolMT"/>
          <w:sz w:val="24"/>
          <w:szCs w:val="24"/>
          <w:vertAlign w:val="subscript"/>
          <w:lang w:val="en-GB" w:eastAsia="en-GB"/>
        </w:rPr>
        <w:t>τ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)</w:t>
      </w:r>
      <w:r w:rsidRPr="0032259F">
        <w:rPr>
          <w:rFonts w:eastAsia="SimSun"/>
          <w:sz w:val="24"/>
          <w:szCs w:val="24"/>
          <w:lang w:val="en-GB" w:eastAsia="en-GB"/>
        </w:rPr>
        <w:t xml:space="preserve"> estimates for patients with HCV enrolled in the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phase III studies are presented for each dose studied in Table 10.</w:t>
      </w:r>
    </w:p>
    <w:p w14:paraId="4CA6FE5F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71B802D6" w14:textId="68C8B135" w:rsidR="002C7328" w:rsidRPr="0032259F" w:rsidRDefault="002C7328" w:rsidP="00B443BC">
      <w:pPr>
        <w:autoSpaceDE w:val="0"/>
        <w:autoSpaceDN w:val="0"/>
        <w:adjustRightInd w:val="0"/>
        <w:ind w:left="1276" w:hanging="1276"/>
        <w:rPr>
          <w:rFonts w:eastAsia="SimSun"/>
          <w:b/>
          <w:bCs/>
          <w:sz w:val="24"/>
          <w:szCs w:val="24"/>
          <w:lang w:val="en-GB" w:eastAsia="en-GB"/>
        </w:rPr>
      </w:pPr>
      <w:r w:rsidRPr="0032259F">
        <w:rPr>
          <w:rFonts w:eastAsia="SimSun"/>
          <w:b/>
          <w:bCs/>
          <w:sz w:val="24"/>
          <w:szCs w:val="24"/>
          <w:lang w:val="en-GB" w:eastAsia="en-GB"/>
        </w:rPr>
        <w:t xml:space="preserve">Table 10 </w:t>
      </w:r>
      <w:r w:rsidR="00B443BC" w:rsidRPr="0032259F">
        <w:rPr>
          <w:rFonts w:eastAsia="SimSun"/>
          <w:b/>
          <w:bCs/>
          <w:sz w:val="24"/>
          <w:szCs w:val="24"/>
          <w:lang w:val="en-GB" w:eastAsia="en-GB"/>
        </w:rPr>
        <w:tab/>
      </w:r>
      <w:r w:rsidRPr="0032259F">
        <w:rPr>
          <w:rFonts w:eastAsia="SimSun"/>
          <w:b/>
          <w:bCs/>
          <w:sz w:val="24"/>
          <w:szCs w:val="24"/>
          <w:lang w:val="en-GB" w:eastAsia="en-GB"/>
        </w:rPr>
        <w:t xml:space="preserve">Geometric mean (95% CI) steady-state plasma </w:t>
      </w:r>
      <w:proofErr w:type="spellStart"/>
      <w:r w:rsidRPr="0032259F">
        <w:rPr>
          <w:rFonts w:eastAsia="SimSun"/>
          <w:b/>
          <w:bCs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b/>
          <w:bCs/>
          <w:sz w:val="24"/>
          <w:szCs w:val="24"/>
          <w:lang w:val="en-GB" w:eastAsia="en-GB"/>
        </w:rPr>
        <w:t xml:space="preserve"> pharmacokinetic</w:t>
      </w:r>
      <w:r w:rsidR="00B443BC" w:rsidRPr="0032259F">
        <w:rPr>
          <w:rFonts w:eastAsia="SimSun"/>
          <w:b/>
          <w:bCs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b/>
          <w:bCs/>
          <w:sz w:val="24"/>
          <w:szCs w:val="24"/>
          <w:lang w:val="en-GB" w:eastAsia="en-GB"/>
        </w:rPr>
        <w:t>parameters in patients with chronic HCV</w:t>
      </w:r>
    </w:p>
    <w:p w14:paraId="3B51AF53" w14:textId="77777777" w:rsidR="002C7328" w:rsidRPr="0032259F" w:rsidRDefault="002C7328" w:rsidP="002C7328">
      <w:pPr>
        <w:numPr>
          <w:ilvl w:val="12"/>
          <w:numId w:val="0"/>
        </w:numPr>
        <w:tabs>
          <w:tab w:val="left" w:pos="1304"/>
        </w:tabs>
        <w:ind w:left="567" w:right="-2" w:hanging="567"/>
        <w:rPr>
          <w:rFonts w:eastAsia="SimSun"/>
          <w:b/>
          <w:bCs/>
          <w:sz w:val="24"/>
          <w:szCs w:val="24"/>
          <w:lang w:val="en-GB" w:eastAsia="en-GB"/>
        </w:rPr>
      </w:pPr>
    </w:p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2921"/>
        <w:gridCol w:w="2199"/>
        <w:gridCol w:w="2265"/>
        <w:gridCol w:w="2243"/>
      </w:tblGrid>
      <w:tr w:rsidR="002C7328" w:rsidRPr="0032259F" w14:paraId="6622FDC5" w14:textId="77777777" w:rsidTr="00502830">
        <w:trPr>
          <w:trHeight w:val="541"/>
        </w:trPr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C610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2259F">
              <w:rPr>
                <w:b/>
                <w:bCs/>
                <w:sz w:val="24"/>
                <w:szCs w:val="24"/>
              </w:rPr>
              <w:t>Eltrombopag</w:t>
            </w:r>
            <w:proofErr w:type="spellEnd"/>
            <w:r w:rsidRPr="0032259F">
              <w:rPr>
                <w:b/>
                <w:bCs/>
                <w:sz w:val="24"/>
                <w:szCs w:val="24"/>
              </w:rPr>
              <w:t xml:space="preserve"> dose</w:t>
            </w:r>
          </w:p>
          <w:p w14:paraId="231E3585" w14:textId="77777777" w:rsidR="002C7328" w:rsidRPr="0032259F" w:rsidRDefault="002C7328">
            <w:pPr>
              <w:numPr>
                <w:ilvl w:val="12"/>
                <w:numId w:val="0"/>
              </w:numPr>
              <w:tabs>
                <w:tab w:val="left" w:pos="1304"/>
              </w:tabs>
              <w:ind w:right="-2"/>
              <w:jc w:val="center"/>
              <w:rPr>
                <w:sz w:val="24"/>
                <w:szCs w:val="24"/>
              </w:rPr>
            </w:pPr>
            <w:r w:rsidRPr="0032259F">
              <w:rPr>
                <w:b/>
                <w:bCs/>
                <w:sz w:val="24"/>
                <w:szCs w:val="24"/>
              </w:rPr>
              <w:t>(once daily)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03C2" w14:textId="77777777" w:rsidR="002C7328" w:rsidRPr="0032259F" w:rsidRDefault="002C7328">
            <w:pPr>
              <w:numPr>
                <w:ilvl w:val="12"/>
                <w:numId w:val="0"/>
              </w:numPr>
              <w:tabs>
                <w:tab w:val="left" w:pos="1304"/>
              </w:tabs>
              <w:ind w:right="-2"/>
              <w:jc w:val="center"/>
              <w:rPr>
                <w:sz w:val="24"/>
                <w:szCs w:val="24"/>
              </w:rPr>
            </w:pPr>
            <w:r w:rsidRPr="0032259F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1E84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2259F">
              <w:rPr>
                <w:b/>
                <w:bCs/>
                <w:sz w:val="24"/>
                <w:szCs w:val="24"/>
              </w:rPr>
              <w:t>AUC</w:t>
            </w:r>
            <w:r w:rsidRPr="0032259F">
              <w:rPr>
                <w:b/>
                <w:bCs/>
                <w:sz w:val="24"/>
                <w:szCs w:val="24"/>
                <w:vertAlign w:val="subscript"/>
              </w:rPr>
              <w:t>(0-</w:t>
            </w:r>
            <w:r w:rsidRPr="0032259F">
              <w:rPr>
                <w:rFonts w:eastAsia="SymbolMT"/>
                <w:sz w:val="24"/>
                <w:szCs w:val="24"/>
                <w:vertAlign w:val="subscript"/>
              </w:rPr>
              <w:t>τ</w:t>
            </w:r>
            <w:r w:rsidRPr="0032259F">
              <w:rPr>
                <w:b/>
                <w:bCs/>
                <w:sz w:val="24"/>
                <w:szCs w:val="24"/>
                <w:vertAlign w:val="subscript"/>
              </w:rPr>
              <w:t>)</w:t>
            </w:r>
          </w:p>
          <w:p w14:paraId="68607D26" w14:textId="77777777" w:rsidR="002C7328" w:rsidRPr="0032259F" w:rsidRDefault="002C7328">
            <w:pPr>
              <w:numPr>
                <w:ilvl w:val="12"/>
                <w:numId w:val="0"/>
              </w:numPr>
              <w:tabs>
                <w:tab w:val="left" w:pos="1304"/>
              </w:tabs>
              <w:ind w:right="-2"/>
              <w:jc w:val="center"/>
              <w:rPr>
                <w:sz w:val="24"/>
                <w:szCs w:val="24"/>
              </w:rPr>
            </w:pPr>
            <w:r w:rsidRPr="0032259F">
              <w:rPr>
                <w:b/>
                <w:bCs/>
                <w:sz w:val="24"/>
                <w:szCs w:val="24"/>
              </w:rPr>
              <w:t>(</w:t>
            </w:r>
            <w:r w:rsidRPr="0032259F">
              <w:rPr>
                <w:rFonts w:eastAsia="Arial Unicode MS"/>
                <w:b/>
                <w:sz w:val="24"/>
                <w:szCs w:val="24"/>
              </w:rPr>
              <w:t>µ</w:t>
            </w:r>
            <w:proofErr w:type="spellStart"/>
            <w:r w:rsidRPr="0032259F">
              <w:rPr>
                <w:b/>
                <w:bCs/>
                <w:sz w:val="24"/>
                <w:szCs w:val="24"/>
              </w:rPr>
              <w:t>g.h</w:t>
            </w:r>
            <w:proofErr w:type="spellEnd"/>
            <w:r w:rsidRPr="0032259F">
              <w:rPr>
                <w:b/>
                <w:bCs/>
                <w:sz w:val="24"/>
                <w:szCs w:val="24"/>
              </w:rPr>
              <w:t>/ml)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1AC8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2259F">
              <w:rPr>
                <w:b/>
                <w:bCs/>
                <w:sz w:val="24"/>
                <w:szCs w:val="24"/>
              </w:rPr>
              <w:t>C</w:t>
            </w:r>
            <w:r w:rsidRPr="0032259F">
              <w:rPr>
                <w:b/>
                <w:bCs/>
                <w:sz w:val="24"/>
                <w:szCs w:val="24"/>
                <w:vertAlign w:val="subscript"/>
              </w:rPr>
              <w:t>max</w:t>
            </w:r>
            <w:proofErr w:type="spellEnd"/>
          </w:p>
          <w:p w14:paraId="2A464DCA" w14:textId="77777777" w:rsidR="002C7328" w:rsidRPr="0032259F" w:rsidRDefault="002C7328">
            <w:pPr>
              <w:numPr>
                <w:ilvl w:val="12"/>
                <w:numId w:val="0"/>
              </w:numPr>
              <w:tabs>
                <w:tab w:val="left" w:pos="1304"/>
              </w:tabs>
              <w:ind w:right="-2"/>
              <w:jc w:val="center"/>
              <w:rPr>
                <w:sz w:val="24"/>
                <w:szCs w:val="24"/>
              </w:rPr>
            </w:pPr>
            <w:r w:rsidRPr="0032259F">
              <w:rPr>
                <w:b/>
                <w:bCs/>
                <w:sz w:val="24"/>
                <w:szCs w:val="24"/>
              </w:rPr>
              <w:t>(</w:t>
            </w:r>
            <w:r w:rsidRPr="0032259F">
              <w:rPr>
                <w:rFonts w:eastAsia="Arial Unicode MS"/>
                <w:b/>
                <w:sz w:val="24"/>
                <w:szCs w:val="24"/>
              </w:rPr>
              <w:t>µ</w:t>
            </w:r>
            <w:r w:rsidRPr="0032259F">
              <w:rPr>
                <w:b/>
                <w:bCs/>
                <w:sz w:val="24"/>
                <w:szCs w:val="24"/>
              </w:rPr>
              <w:t>g/ml)</w:t>
            </w:r>
          </w:p>
        </w:tc>
      </w:tr>
      <w:tr w:rsidR="002C7328" w:rsidRPr="0032259F" w14:paraId="4C302F19" w14:textId="77777777" w:rsidTr="00502830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6207" w14:textId="77777777" w:rsidR="002C7328" w:rsidRPr="0032259F" w:rsidRDefault="002C7328">
            <w:pPr>
              <w:numPr>
                <w:ilvl w:val="12"/>
                <w:numId w:val="0"/>
              </w:numPr>
              <w:tabs>
                <w:tab w:val="left" w:pos="1304"/>
              </w:tabs>
              <w:ind w:right="-2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25 mg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A33A" w14:textId="77777777" w:rsidR="002C7328" w:rsidRPr="0032259F" w:rsidRDefault="002C7328">
            <w:pPr>
              <w:numPr>
                <w:ilvl w:val="12"/>
                <w:numId w:val="0"/>
              </w:numPr>
              <w:tabs>
                <w:tab w:val="left" w:pos="1304"/>
              </w:tabs>
              <w:ind w:right="-2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330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A523" w14:textId="77777777" w:rsidR="002C7328" w:rsidRPr="0032259F" w:rsidRDefault="002C7328">
            <w:pPr>
              <w:numPr>
                <w:ilvl w:val="12"/>
                <w:numId w:val="0"/>
              </w:numPr>
              <w:tabs>
                <w:tab w:val="left" w:pos="1304"/>
              </w:tabs>
              <w:ind w:right="-2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118</w:t>
            </w:r>
          </w:p>
          <w:p w14:paraId="79910AF9" w14:textId="77777777" w:rsidR="002C7328" w:rsidRPr="0032259F" w:rsidRDefault="002C7328">
            <w:pPr>
              <w:numPr>
                <w:ilvl w:val="12"/>
                <w:numId w:val="0"/>
              </w:numPr>
              <w:tabs>
                <w:tab w:val="left" w:pos="1304"/>
              </w:tabs>
              <w:ind w:right="-2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(109,128)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FBCD" w14:textId="77777777" w:rsidR="002C7328" w:rsidRPr="0032259F" w:rsidRDefault="002C7328">
            <w:pPr>
              <w:numPr>
                <w:ilvl w:val="12"/>
                <w:numId w:val="0"/>
              </w:numPr>
              <w:tabs>
                <w:tab w:val="left" w:pos="1304"/>
              </w:tabs>
              <w:ind w:right="-2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6.40</w:t>
            </w:r>
          </w:p>
          <w:p w14:paraId="72EEBF5C" w14:textId="77777777" w:rsidR="002C7328" w:rsidRPr="0032259F" w:rsidRDefault="002C7328">
            <w:pPr>
              <w:numPr>
                <w:ilvl w:val="12"/>
                <w:numId w:val="0"/>
              </w:numPr>
              <w:tabs>
                <w:tab w:val="left" w:pos="1304"/>
              </w:tabs>
              <w:ind w:right="-2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(5.97, 6.86)</w:t>
            </w:r>
          </w:p>
        </w:tc>
      </w:tr>
      <w:tr w:rsidR="002C7328" w:rsidRPr="0032259F" w14:paraId="21F30FAE" w14:textId="77777777" w:rsidTr="00502830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A387" w14:textId="77777777" w:rsidR="002C7328" w:rsidRPr="0032259F" w:rsidRDefault="002C7328">
            <w:pPr>
              <w:numPr>
                <w:ilvl w:val="12"/>
                <w:numId w:val="0"/>
              </w:numPr>
              <w:tabs>
                <w:tab w:val="left" w:pos="1304"/>
              </w:tabs>
              <w:ind w:right="-2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50 mg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5CE4" w14:textId="77777777" w:rsidR="002C7328" w:rsidRPr="0032259F" w:rsidRDefault="002C7328">
            <w:pPr>
              <w:numPr>
                <w:ilvl w:val="12"/>
                <w:numId w:val="0"/>
              </w:numPr>
              <w:tabs>
                <w:tab w:val="left" w:pos="1304"/>
              </w:tabs>
              <w:ind w:right="-2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119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7191" w14:textId="77777777" w:rsidR="002C7328" w:rsidRPr="0032259F" w:rsidRDefault="002C7328">
            <w:pPr>
              <w:numPr>
                <w:ilvl w:val="12"/>
                <w:numId w:val="0"/>
              </w:numPr>
              <w:tabs>
                <w:tab w:val="left" w:pos="1304"/>
              </w:tabs>
              <w:ind w:right="-2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166</w:t>
            </w:r>
          </w:p>
          <w:p w14:paraId="745EA03D" w14:textId="77777777" w:rsidR="002C7328" w:rsidRPr="0032259F" w:rsidRDefault="002C7328">
            <w:pPr>
              <w:numPr>
                <w:ilvl w:val="12"/>
                <w:numId w:val="0"/>
              </w:numPr>
              <w:tabs>
                <w:tab w:val="left" w:pos="1304"/>
              </w:tabs>
              <w:ind w:right="-2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(143,192)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38D2" w14:textId="77777777" w:rsidR="002C7328" w:rsidRPr="0032259F" w:rsidRDefault="002C7328">
            <w:pPr>
              <w:numPr>
                <w:ilvl w:val="12"/>
                <w:numId w:val="0"/>
              </w:numPr>
              <w:tabs>
                <w:tab w:val="left" w:pos="1304"/>
              </w:tabs>
              <w:ind w:right="-2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9.08</w:t>
            </w:r>
          </w:p>
          <w:p w14:paraId="542EC972" w14:textId="77777777" w:rsidR="002C7328" w:rsidRPr="0032259F" w:rsidRDefault="002C7328">
            <w:pPr>
              <w:numPr>
                <w:ilvl w:val="12"/>
                <w:numId w:val="0"/>
              </w:numPr>
              <w:tabs>
                <w:tab w:val="left" w:pos="1304"/>
              </w:tabs>
              <w:ind w:right="-2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(7.96, 10.35)</w:t>
            </w:r>
          </w:p>
        </w:tc>
      </w:tr>
      <w:tr w:rsidR="002C7328" w:rsidRPr="0032259F" w14:paraId="76277F97" w14:textId="77777777" w:rsidTr="00502830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43F5" w14:textId="77777777" w:rsidR="002C7328" w:rsidRPr="0032259F" w:rsidRDefault="002C7328">
            <w:pPr>
              <w:numPr>
                <w:ilvl w:val="12"/>
                <w:numId w:val="0"/>
              </w:numPr>
              <w:tabs>
                <w:tab w:val="left" w:pos="1304"/>
              </w:tabs>
              <w:ind w:right="-2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75 mg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B4E5" w14:textId="77777777" w:rsidR="002C7328" w:rsidRPr="0032259F" w:rsidRDefault="002C7328">
            <w:pPr>
              <w:numPr>
                <w:ilvl w:val="12"/>
                <w:numId w:val="0"/>
              </w:numPr>
              <w:tabs>
                <w:tab w:val="left" w:pos="1304"/>
              </w:tabs>
              <w:ind w:right="-2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45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7315" w14:textId="77777777" w:rsidR="002C7328" w:rsidRPr="0032259F" w:rsidRDefault="002C7328">
            <w:pPr>
              <w:numPr>
                <w:ilvl w:val="12"/>
                <w:numId w:val="0"/>
              </w:numPr>
              <w:tabs>
                <w:tab w:val="left" w:pos="1304"/>
              </w:tabs>
              <w:ind w:right="-2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301</w:t>
            </w:r>
          </w:p>
          <w:p w14:paraId="5287C7D1" w14:textId="77777777" w:rsidR="002C7328" w:rsidRPr="0032259F" w:rsidRDefault="002C7328">
            <w:pPr>
              <w:numPr>
                <w:ilvl w:val="12"/>
                <w:numId w:val="0"/>
              </w:numPr>
              <w:tabs>
                <w:tab w:val="left" w:pos="1304"/>
              </w:tabs>
              <w:ind w:right="-2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(250,363)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78F0" w14:textId="77777777" w:rsidR="002C7328" w:rsidRPr="0032259F" w:rsidRDefault="002C7328">
            <w:pPr>
              <w:numPr>
                <w:ilvl w:val="12"/>
                <w:numId w:val="0"/>
              </w:numPr>
              <w:tabs>
                <w:tab w:val="left" w:pos="1304"/>
              </w:tabs>
              <w:ind w:right="-2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16.71</w:t>
            </w:r>
          </w:p>
          <w:p w14:paraId="0C716B21" w14:textId="77777777" w:rsidR="002C7328" w:rsidRPr="0032259F" w:rsidRDefault="002C7328">
            <w:pPr>
              <w:numPr>
                <w:ilvl w:val="12"/>
                <w:numId w:val="0"/>
              </w:numPr>
              <w:tabs>
                <w:tab w:val="left" w:pos="1304"/>
              </w:tabs>
              <w:ind w:right="-2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(14.26, 19.58)</w:t>
            </w:r>
          </w:p>
        </w:tc>
      </w:tr>
      <w:tr w:rsidR="002C7328" w:rsidRPr="0032259F" w14:paraId="2F4088F7" w14:textId="77777777" w:rsidTr="00502830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C34E" w14:textId="77777777" w:rsidR="002C7328" w:rsidRPr="0032259F" w:rsidRDefault="002C7328">
            <w:pPr>
              <w:numPr>
                <w:ilvl w:val="12"/>
                <w:numId w:val="0"/>
              </w:numPr>
              <w:tabs>
                <w:tab w:val="left" w:pos="1304"/>
              </w:tabs>
              <w:ind w:right="-2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100 mg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867D" w14:textId="77777777" w:rsidR="002C7328" w:rsidRPr="0032259F" w:rsidRDefault="002C7328">
            <w:pPr>
              <w:numPr>
                <w:ilvl w:val="12"/>
                <w:numId w:val="0"/>
              </w:numPr>
              <w:tabs>
                <w:tab w:val="left" w:pos="1304"/>
              </w:tabs>
              <w:ind w:right="-2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96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4C9D" w14:textId="77777777" w:rsidR="002C7328" w:rsidRPr="0032259F" w:rsidRDefault="002C7328">
            <w:pPr>
              <w:numPr>
                <w:ilvl w:val="12"/>
                <w:numId w:val="0"/>
              </w:numPr>
              <w:tabs>
                <w:tab w:val="left" w:pos="1304"/>
              </w:tabs>
              <w:ind w:right="-2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354</w:t>
            </w:r>
          </w:p>
          <w:p w14:paraId="2EB30FC2" w14:textId="77777777" w:rsidR="002C7328" w:rsidRPr="0032259F" w:rsidRDefault="002C7328">
            <w:pPr>
              <w:numPr>
                <w:ilvl w:val="12"/>
                <w:numId w:val="0"/>
              </w:numPr>
              <w:tabs>
                <w:tab w:val="left" w:pos="1304"/>
              </w:tabs>
              <w:ind w:right="-2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(304, 411)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4E89" w14:textId="77777777" w:rsidR="002C7328" w:rsidRPr="0032259F" w:rsidRDefault="002C7328">
            <w:pPr>
              <w:numPr>
                <w:ilvl w:val="12"/>
                <w:numId w:val="0"/>
              </w:numPr>
              <w:tabs>
                <w:tab w:val="left" w:pos="1304"/>
              </w:tabs>
              <w:ind w:right="-2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19.19</w:t>
            </w:r>
          </w:p>
          <w:p w14:paraId="3D819511" w14:textId="77777777" w:rsidR="002C7328" w:rsidRPr="0032259F" w:rsidRDefault="002C7328">
            <w:pPr>
              <w:numPr>
                <w:ilvl w:val="12"/>
                <w:numId w:val="0"/>
              </w:numPr>
              <w:tabs>
                <w:tab w:val="left" w:pos="1304"/>
              </w:tabs>
              <w:ind w:right="-2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(16.81, 21.91)</w:t>
            </w:r>
          </w:p>
        </w:tc>
      </w:tr>
    </w:tbl>
    <w:p w14:paraId="59D332C3" w14:textId="77777777" w:rsidR="002C7328" w:rsidRPr="0032259F" w:rsidRDefault="002C7328" w:rsidP="002C7328">
      <w:pPr>
        <w:tabs>
          <w:tab w:val="left" w:pos="1304"/>
        </w:tabs>
        <w:autoSpaceDE w:val="0"/>
        <w:autoSpaceDN w:val="0"/>
        <w:adjustRightInd w:val="0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Data presented as geometric mean (95% CI).</w:t>
      </w:r>
    </w:p>
    <w:p w14:paraId="79F723F2" w14:textId="07731D39" w:rsidR="002C7328" w:rsidRPr="0032259F" w:rsidRDefault="002C7328" w:rsidP="00B443BC">
      <w:pPr>
        <w:tabs>
          <w:tab w:val="left" w:pos="1304"/>
        </w:tabs>
        <w:autoSpaceDE w:val="0"/>
        <w:autoSpaceDN w:val="0"/>
        <w:adjustRightInd w:val="0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AUC 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(0-τ)</w:t>
      </w:r>
      <w:r w:rsidRPr="0032259F">
        <w:rPr>
          <w:rFonts w:eastAsia="SimSun"/>
          <w:sz w:val="24"/>
          <w:szCs w:val="24"/>
          <w:lang w:val="en-GB" w:eastAsia="en-GB"/>
        </w:rPr>
        <w:t xml:space="preserve"> and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C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max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based on population PK post-hoc estimates at the highest dose in the data for each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patient.</w:t>
      </w:r>
    </w:p>
    <w:p w14:paraId="192B048F" w14:textId="4A925237" w:rsidR="006908A9" w:rsidRPr="0032259F" w:rsidRDefault="006908A9">
      <w:pPr>
        <w:rPr>
          <w:iCs/>
          <w:noProof/>
          <w:sz w:val="24"/>
          <w:szCs w:val="24"/>
          <w:lang w:val="en-GB" w:eastAsia="en-US"/>
        </w:rPr>
      </w:pPr>
      <w:r w:rsidRPr="0032259F">
        <w:rPr>
          <w:iCs/>
          <w:noProof/>
          <w:sz w:val="24"/>
          <w:szCs w:val="24"/>
          <w:lang w:val="en-GB" w:eastAsia="en-US"/>
        </w:rPr>
        <w:br w:type="page"/>
      </w:r>
    </w:p>
    <w:p w14:paraId="6A68EFAE" w14:textId="77777777" w:rsidR="002C7328" w:rsidRPr="0032259F" w:rsidRDefault="002C7328" w:rsidP="002C7328">
      <w:pPr>
        <w:numPr>
          <w:ilvl w:val="12"/>
          <w:numId w:val="0"/>
        </w:numPr>
        <w:ind w:right="-2"/>
        <w:rPr>
          <w:iCs/>
          <w:noProof/>
          <w:sz w:val="24"/>
          <w:szCs w:val="24"/>
          <w:lang w:val="en-GB" w:eastAsia="en-US"/>
        </w:rPr>
      </w:pPr>
    </w:p>
    <w:p w14:paraId="225AAF5A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sz w:val="24"/>
          <w:szCs w:val="24"/>
          <w:u w:val="single"/>
          <w:lang w:val="en-GB" w:eastAsia="en-GB"/>
        </w:rPr>
        <w:t>Absorption and bioavailability</w:t>
      </w:r>
    </w:p>
    <w:p w14:paraId="0C05DB87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3FE405ED" w14:textId="5EAC6F7B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is absorbed with a peak concentration occurring 2 to 6 hours after oral administration.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Administration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concomitantly with antacids and other products containing polyvalent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cations such as dairy products and mineral supplements significantly reduces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exposure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(see section 4.2)</w:t>
      </w:r>
      <w:r w:rsidRPr="0032259F">
        <w:rPr>
          <w:rFonts w:eastAsia="SimSun"/>
          <w:i/>
          <w:iCs/>
          <w:sz w:val="24"/>
          <w:szCs w:val="24"/>
          <w:lang w:val="en-GB" w:eastAsia="en-GB"/>
        </w:rPr>
        <w:t xml:space="preserve">. </w:t>
      </w:r>
      <w:r w:rsidRPr="0032259F">
        <w:rPr>
          <w:rFonts w:eastAsia="SimSun"/>
          <w:sz w:val="24"/>
          <w:szCs w:val="24"/>
          <w:lang w:val="en-GB" w:eastAsia="en-GB"/>
        </w:rPr>
        <w:t xml:space="preserve">In a relative bioavailability study in adults, the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powder for oral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suspension delivered 22% higher plasma </w:t>
      </w:r>
      <w:proofErr w:type="gramStart"/>
      <w:r w:rsidRPr="0032259F">
        <w:rPr>
          <w:rFonts w:eastAsia="SimSun"/>
          <w:sz w:val="24"/>
          <w:szCs w:val="24"/>
          <w:lang w:val="en-GB" w:eastAsia="en-GB"/>
        </w:rPr>
        <w:t>AUC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(</w:t>
      </w:r>
      <w:proofErr w:type="gramEnd"/>
      <w:r w:rsidRPr="0032259F">
        <w:rPr>
          <w:rFonts w:eastAsia="SimSun"/>
          <w:sz w:val="24"/>
          <w:szCs w:val="24"/>
          <w:vertAlign w:val="subscript"/>
          <w:lang w:val="en-GB" w:eastAsia="en-GB"/>
        </w:rPr>
        <w:t>0-∞)</w:t>
      </w:r>
      <w:r w:rsidRPr="0032259F">
        <w:rPr>
          <w:rFonts w:eastAsia="SimSun"/>
          <w:sz w:val="24"/>
          <w:szCs w:val="24"/>
          <w:lang w:val="en-GB" w:eastAsia="en-GB"/>
        </w:rPr>
        <w:t xml:space="preserve"> than the film-coated tablet formulation. The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absolute oral bioavailability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after administration to humans has not been established.</w:t>
      </w:r>
    </w:p>
    <w:p w14:paraId="266376B2" w14:textId="7559FD5D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Based on urinary excretion and metabolites eliminated in faeces, the oral absorption of drug-related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material following administration of a single 75 mg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solution dose was estimated to be at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least 52%.</w:t>
      </w:r>
    </w:p>
    <w:p w14:paraId="50CD451C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6DE110B8" w14:textId="77777777" w:rsidR="002C7328" w:rsidRPr="0032259F" w:rsidRDefault="002C7328" w:rsidP="00502830">
      <w:pPr>
        <w:ind w:left="851"/>
        <w:rPr>
          <w:b/>
          <w:noProof/>
          <w:sz w:val="24"/>
          <w:szCs w:val="24"/>
          <w:u w:val="single"/>
          <w:lang w:val="en-GB" w:eastAsia="en-US"/>
        </w:rPr>
      </w:pPr>
      <w:r w:rsidRPr="0032259F">
        <w:rPr>
          <w:rFonts w:eastAsia="SimSun"/>
          <w:sz w:val="24"/>
          <w:szCs w:val="24"/>
          <w:u w:val="single"/>
          <w:lang w:val="en-GB" w:eastAsia="en-GB"/>
        </w:rPr>
        <w:t>Distribution</w:t>
      </w:r>
    </w:p>
    <w:p w14:paraId="6E4B62F8" w14:textId="77777777" w:rsidR="002C7328" w:rsidRPr="0032259F" w:rsidRDefault="002C7328" w:rsidP="00502830">
      <w:pPr>
        <w:ind w:left="851"/>
        <w:rPr>
          <w:b/>
          <w:noProof/>
          <w:sz w:val="24"/>
          <w:szCs w:val="24"/>
          <w:lang w:val="en-GB"/>
        </w:rPr>
      </w:pPr>
    </w:p>
    <w:p w14:paraId="4AD88339" w14:textId="46C7179C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is highly bound to human plasma proteins (&gt;99.9%), predominantly to albumin.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is a substrate for BCRP, but is not a substrate for P-glycoprotein or OATP1B1.</w:t>
      </w:r>
    </w:p>
    <w:p w14:paraId="6F2EEE48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7678326B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sz w:val="24"/>
          <w:szCs w:val="24"/>
          <w:u w:val="single"/>
          <w:lang w:val="en-GB" w:eastAsia="en-GB"/>
        </w:rPr>
        <w:t>Biotransformation</w:t>
      </w:r>
    </w:p>
    <w:p w14:paraId="7C333338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450097DF" w14:textId="1E3558C6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is primarily metabolised through cleavage, oxidation and conjugation with glucuronic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acid, glutathione, or cysteine. In a human radiolabel study,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accounted for approximately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64% of plasma radiocarbon AUC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0-∞</w:t>
      </w:r>
      <w:r w:rsidRPr="0032259F">
        <w:rPr>
          <w:rFonts w:eastAsia="SimSun"/>
          <w:sz w:val="24"/>
          <w:szCs w:val="24"/>
          <w:lang w:val="en-GB" w:eastAsia="en-GB"/>
        </w:rPr>
        <w:t xml:space="preserve"> Minor metabolites due to glucuronidation and oxidation were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also detected. </w:t>
      </w:r>
      <w:r w:rsidRPr="0032259F">
        <w:rPr>
          <w:rFonts w:eastAsia="SimSun"/>
          <w:i/>
          <w:iCs/>
          <w:sz w:val="24"/>
          <w:szCs w:val="24"/>
          <w:lang w:val="en-GB" w:eastAsia="en-GB"/>
        </w:rPr>
        <w:t xml:space="preserve">In vitro </w:t>
      </w:r>
      <w:r w:rsidRPr="0032259F">
        <w:rPr>
          <w:rFonts w:eastAsia="SimSun"/>
          <w:sz w:val="24"/>
          <w:szCs w:val="24"/>
          <w:lang w:val="en-GB" w:eastAsia="en-GB"/>
        </w:rPr>
        <w:t>studies suggest that CYP1A2 and CYP2C8 are responsible for oxidative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metabolism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. Uridine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diphosphoglucuronyl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transferase UGT1A1 and UGT1A3 are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responsible for glucuronidation, and bacteria in the lower gastrointestinal tract may be responsible for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the cleavage pathway.</w:t>
      </w:r>
    </w:p>
    <w:p w14:paraId="42CF240C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1FA6B8A1" w14:textId="77777777" w:rsidR="002C7328" w:rsidRPr="0032259F" w:rsidRDefault="002C7328" w:rsidP="00502830">
      <w:pPr>
        <w:ind w:left="851"/>
        <w:rPr>
          <w:noProof/>
          <w:sz w:val="24"/>
          <w:szCs w:val="24"/>
          <w:u w:val="single"/>
          <w:lang w:val="en-GB" w:eastAsia="en-US"/>
        </w:rPr>
      </w:pPr>
      <w:r w:rsidRPr="0032259F">
        <w:rPr>
          <w:rFonts w:eastAsia="SimSun"/>
          <w:sz w:val="24"/>
          <w:szCs w:val="24"/>
          <w:u w:val="single"/>
          <w:lang w:val="en-GB" w:eastAsia="en-GB"/>
        </w:rPr>
        <w:t>Elimination</w:t>
      </w:r>
    </w:p>
    <w:p w14:paraId="5A05AAEA" w14:textId="77777777" w:rsidR="002C7328" w:rsidRPr="0032259F" w:rsidRDefault="002C7328" w:rsidP="00502830">
      <w:pPr>
        <w:ind w:left="851"/>
        <w:rPr>
          <w:noProof/>
          <w:sz w:val="24"/>
          <w:szCs w:val="24"/>
          <w:lang w:val="en-GB"/>
        </w:rPr>
      </w:pPr>
    </w:p>
    <w:p w14:paraId="022FE3FD" w14:textId="74F9C920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Absorbed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is extensively metabolised. The predominant route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excretion is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via faeces (59%) with 31% of the dose found in the urine as metabolites. Unchanged parent compound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(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) is not detected in urine. Unchanged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excreted in faeces accounts for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approximately 20% of the dose. The plasma elimination half-life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is approximately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21-32 hours.</w:t>
      </w:r>
    </w:p>
    <w:p w14:paraId="024A0135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6C1D0CBE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sz w:val="24"/>
          <w:szCs w:val="24"/>
          <w:u w:val="single"/>
          <w:lang w:val="en-GB" w:eastAsia="en-GB"/>
        </w:rPr>
        <w:t>Pharmacokinetic interactions</w:t>
      </w:r>
    </w:p>
    <w:p w14:paraId="317ED898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1BC4CF1F" w14:textId="4AB7B62E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Based on a human study with radiolabelled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, glucuronidation plays a minor role in the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metabolism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. Human liver microsome studies identified UGT1A1 and UGT1A3 as the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enzymes responsible for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glucuronidation.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was an inhibitor of a number of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UGT enzymes </w:t>
      </w:r>
      <w:r w:rsidRPr="0032259F">
        <w:rPr>
          <w:rFonts w:eastAsia="SimSun"/>
          <w:i/>
          <w:iCs/>
          <w:sz w:val="24"/>
          <w:szCs w:val="24"/>
          <w:lang w:val="en-GB" w:eastAsia="en-GB"/>
        </w:rPr>
        <w:t>in vitro</w:t>
      </w:r>
      <w:r w:rsidRPr="0032259F">
        <w:rPr>
          <w:rFonts w:eastAsia="SimSun"/>
          <w:sz w:val="24"/>
          <w:szCs w:val="24"/>
          <w:lang w:val="en-GB" w:eastAsia="en-GB"/>
        </w:rPr>
        <w:t>. Clinically significant drug interactions involving glucuronidation are not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anticipated due to limited contribution of individual UGT enzymes in the glucuronidation of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.</w:t>
      </w:r>
    </w:p>
    <w:p w14:paraId="684A982C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1DD51641" w14:textId="78805180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Approximately 21% of an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dose could undergo oxidative metabolism. Human liver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microsome studies identified CYP1A2 and CYP2C8 as the enzymes responsible for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lastRenderedPageBreak/>
        <w:t>eltrombopag</w:t>
      </w:r>
      <w:proofErr w:type="spellEnd"/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oxidation.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does not inhibit or induce CYP enzymes based on </w:t>
      </w:r>
      <w:r w:rsidRPr="0032259F">
        <w:rPr>
          <w:rFonts w:eastAsia="SimSun"/>
          <w:i/>
          <w:iCs/>
          <w:sz w:val="24"/>
          <w:szCs w:val="24"/>
          <w:lang w:val="en-GB" w:eastAsia="en-GB"/>
        </w:rPr>
        <w:t xml:space="preserve">in vitro </w:t>
      </w:r>
      <w:r w:rsidRPr="0032259F">
        <w:rPr>
          <w:rFonts w:eastAsia="SimSun"/>
          <w:sz w:val="24"/>
          <w:szCs w:val="24"/>
          <w:lang w:val="en-GB" w:eastAsia="en-GB"/>
        </w:rPr>
        <w:t xml:space="preserve">and </w:t>
      </w:r>
      <w:r w:rsidRPr="0032259F">
        <w:rPr>
          <w:rFonts w:eastAsia="SimSun"/>
          <w:i/>
          <w:iCs/>
          <w:sz w:val="24"/>
          <w:szCs w:val="24"/>
          <w:lang w:val="en-GB" w:eastAsia="en-GB"/>
        </w:rPr>
        <w:t xml:space="preserve">in vivo </w:t>
      </w:r>
      <w:r w:rsidRPr="0032259F">
        <w:rPr>
          <w:rFonts w:eastAsia="SimSun"/>
          <w:sz w:val="24"/>
          <w:szCs w:val="24"/>
          <w:lang w:val="en-GB" w:eastAsia="en-GB"/>
        </w:rPr>
        <w:t>data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(see section 4.5).</w:t>
      </w:r>
    </w:p>
    <w:p w14:paraId="12C38173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01E81EA0" w14:textId="1F7CFABD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i/>
          <w:iCs/>
          <w:sz w:val="24"/>
          <w:szCs w:val="24"/>
          <w:lang w:val="en-GB" w:eastAsia="en-GB"/>
        </w:rPr>
        <w:t xml:space="preserve">In vitro </w:t>
      </w:r>
      <w:r w:rsidRPr="0032259F">
        <w:rPr>
          <w:rFonts w:eastAsia="SimSun"/>
          <w:sz w:val="24"/>
          <w:szCs w:val="24"/>
          <w:lang w:val="en-GB" w:eastAsia="en-GB"/>
        </w:rPr>
        <w:t xml:space="preserve">studies demonstrate that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is an inhibitor of the OATP1B1 transporter and an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inhibitor of the BCRP transporter and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increased exposure of the OATP1B1 and BCRP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substrate rosuvastatin in a clinical drug interaction study (see section 4.5). In clinical studies with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, a dose reduction of statins by 50% was recommended.</w:t>
      </w:r>
    </w:p>
    <w:p w14:paraId="40EB8D28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5102A731" w14:textId="14A93BB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chelates with polyvalent cations such as iron, calcium, magnesium, aluminium, selenium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and zinc (see sections 4.2 and 4.5).</w:t>
      </w:r>
    </w:p>
    <w:p w14:paraId="6DD4F477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722DF3ED" w14:textId="503BE7BE" w:rsidR="002C7328" w:rsidRPr="0032259F" w:rsidRDefault="002C7328" w:rsidP="00502830">
      <w:pPr>
        <w:ind w:left="851"/>
        <w:rPr>
          <w:rFonts w:eastAsia="SimSun"/>
          <w:i/>
          <w:iCs/>
          <w:sz w:val="24"/>
          <w:szCs w:val="24"/>
          <w:lang w:val="en-GB" w:eastAsia="en-GB"/>
        </w:rPr>
      </w:pPr>
      <w:r w:rsidRPr="0032259F">
        <w:rPr>
          <w:rFonts w:eastAsia="SimSun"/>
          <w:i/>
          <w:iCs/>
          <w:sz w:val="24"/>
          <w:szCs w:val="24"/>
          <w:lang w:val="en-GB" w:eastAsia="en-GB"/>
        </w:rPr>
        <w:t xml:space="preserve">In vitro </w:t>
      </w:r>
      <w:r w:rsidRPr="0032259F">
        <w:rPr>
          <w:rFonts w:eastAsia="SimSun"/>
          <w:sz w:val="24"/>
          <w:szCs w:val="24"/>
          <w:lang w:val="en-GB" w:eastAsia="en-GB"/>
        </w:rPr>
        <w:t xml:space="preserve">studies demonstrated that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is not a substrate for the organic anion transporter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polypeptide, OATP1B1, but is an inhibitor of this transporter (IC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50</w:t>
      </w:r>
      <w:r w:rsidRPr="0032259F">
        <w:rPr>
          <w:rFonts w:eastAsia="SimSun"/>
          <w:sz w:val="24"/>
          <w:szCs w:val="24"/>
          <w:lang w:val="en-GB" w:eastAsia="en-GB"/>
        </w:rPr>
        <w:t xml:space="preserve"> value of 2.7 </w:t>
      </w:r>
      <w:r w:rsidRPr="0032259F">
        <w:rPr>
          <w:rFonts w:eastAsia="Arial Unicode MS"/>
          <w:sz w:val="24"/>
          <w:szCs w:val="24"/>
          <w:lang w:val="en-GB" w:eastAsia="en-GB"/>
        </w:rPr>
        <w:t>µ</w:t>
      </w:r>
      <w:r w:rsidRPr="0032259F">
        <w:rPr>
          <w:rFonts w:eastAsia="SimSun"/>
          <w:sz w:val="24"/>
          <w:szCs w:val="24"/>
          <w:lang w:val="en-GB" w:eastAsia="en-GB"/>
        </w:rPr>
        <w:t xml:space="preserve">M [1.2 </w:t>
      </w:r>
      <w:proofErr w:type="spellStart"/>
      <w:r w:rsidRPr="0032259F">
        <w:rPr>
          <w:rFonts w:eastAsia="TimesNewRomanPSMT"/>
          <w:sz w:val="24"/>
          <w:szCs w:val="24"/>
          <w:lang w:val="en-GB" w:eastAsia="en-GB"/>
        </w:rPr>
        <w:t>μg</w:t>
      </w:r>
      <w:proofErr w:type="spellEnd"/>
      <w:r w:rsidRPr="0032259F">
        <w:rPr>
          <w:rFonts w:eastAsia="TimesNewRomanPSMT"/>
          <w:sz w:val="24"/>
          <w:szCs w:val="24"/>
          <w:lang w:val="en-GB" w:eastAsia="en-GB"/>
        </w:rPr>
        <w:t>/ml</w:t>
      </w:r>
      <w:r w:rsidRPr="0032259F">
        <w:rPr>
          <w:rFonts w:eastAsia="SimSun"/>
          <w:sz w:val="24"/>
          <w:szCs w:val="24"/>
          <w:lang w:val="en-GB" w:eastAsia="en-GB"/>
        </w:rPr>
        <w:t xml:space="preserve">]). </w:t>
      </w:r>
      <w:r w:rsidRPr="0032259F">
        <w:rPr>
          <w:rFonts w:eastAsia="SimSun"/>
          <w:i/>
          <w:iCs/>
          <w:sz w:val="24"/>
          <w:szCs w:val="24"/>
          <w:lang w:val="en-GB" w:eastAsia="en-GB"/>
        </w:rPr>
        <w:t>In</w:t>
      </w:r>
      <w:r w:rsidR="00B443BC" w:rsidRPr="0032259F">
        <w:rPr>
          <w:rFonts w:eastAsia="SimSun"/>
          <w:i/>
          <w:iCs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i/>
          <w:iCs/>
          <w:sz w:val="24"/>
          <w:szCs w:val="24"/>
          <w:lang w:val="en-GB" w:eastAsia="en-GB"/>
        </w:rPr>
        <w:t xml:space="preserve">vitro </w:t>
      </w:r>
      <w:r w:rsidRPr="0032259F">
        <w:rPr>
          <w:rFonts w:eastAsia="SimSun"/>
          <w:sz w:val="24"/>
          <w:szCs w:val="24"/>
          <w:lang w:val="en-GB" w:eastAsia="en-GB"/>
        </w:rPr>
        <w:t xml:space="preserve">studies also demonstrated that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is a breast cancer resistance protein (BCRP) substrate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and inhibitor (IC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50</w:t>
      </w:r>
      <w:r w:rsidRPr="0032259F">
        <w:rPr>
          <w:rFonts w:eastAsia="SimSun"/>
          <w:sz w:val="24"/>
          <w:szCs w:val="24"/>
          <w:lang w:val="en-GB" w:eastAsia="en-GB"/>
        </w:rPr>
        <w:t xml:space="preserve"> value of 2.7 </w:t>
      </w:r>
      <w:r w:rsidRPr="0032259F">
        <w:rPr>
          <w:rFonts w:eastAsia="Arial Unicode MS"/>
          <w:sz w:val="24"/>
          <w:szCs w:val="24"/>
          <w:lang w:val="en-GB" w:eastAsia="en-GB"/>
        </w:rPr>
        <w:t>µ</w:t>
      </w:r>
      <w:r w:rsidRPr="0032259F">
        <w:rPr>
          <w:rFonts w:eastAsia="SimSun"/>
          <w:sz w:val="24"/>
          <w:szCs w:val="24"/>
          <w:lang w:val="en-GB" w:eastAsia="en-GB"/>
        </w:rPr>
        <w:t xml:space="preserve">M [1.2 </w:t>
      </w:r>
      <w:r w:rsidRPr="0032259F">
        <w:rPr>
          <w:rFonts w:eastAsia="Arial Unicode MS"/>
          <w:sz w:val="24"/>
          <w:szCs w:val="24"/>
          <w:lang w:val="en-GB" w:eastAsia="en-GB"/>
        </w:rPr>
        <w:t>µ</w:t>
      </w:r>
      <w:r w:rsidRPr="0032259F">
        <w:rPr>
          <w:rFonts w:eastAsia="TimesNewRomanPSMT"/>
          <w:sz w:val="24"/>
          <w:szCs w:val="24"/>
          <w:lang w:val="en-GB" w:eastAsia="en-GB"/>
        </w:rPr>
        <w:t>g/ml</w:t>
      </w:r>
      <w:r w:rsidRPr="0032259F">
        <w:rPr>
          <w:rFonts w:eastAsia="SimSun"/>
          <w:sz w:val="24"/>
          <w:szCs w:val="24"/>
          <w:lang w:val="en-GB" w:eastAsia="en-GB"/>
        </w:rPr>
        <w:t>])</w:t>
      </w:r>
      <w:r w:rsidRPr="0032259F">
        <w:rPr>
          <w:rFonts w:eastAsia="SimSun"/>
          <w:i/>
          <w:iCs/>
          <w:sz w:val="24"/>
          <w:szCs w:val="24"/>
          <w:lang w:val="en-GB" w:eastAsia="en-GB"/>
        </w:rPr>
        <w:t>.</w:t>
      </w:r>
    </w:p>
    <w:p w14:paraId="67F3C527" w14:textId="77777777" w:rsidR="002C7328" w:rsidRPr="0032259F" w:rsidRDefault="002C7328" w:rsidP="00502830">
      <w:pPr>
        <w:ind w:left="851"/>
        <w:rPr>
          <w:rFonts w:eastAsia="SimSun"/>
          <w:i/>
          <w:iCs/>
          <w:sz w:val="24"/>
          <w:szCs w:val="24"/>
          <w:lang w:val="en-GB" w:eastAsia="en-GB"/>
        </w:rPr>
      </w:pPr>
    </w:p>
    <w:p w14:paraId="0DDF6554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sz w:val="24"/>
          <w:szCs w:val="24"/>
          <w:u w:val="single"/>
          <w:lang w:val="en-GB" w:eastAsia="en-GB"/>
        </w:rPr>
        <w:t>Special patient population</w:t>
      </w:r>
    </w:p>
    <w:p w14:paraId="4E3EFA2B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6110155E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i/>
          <w:iCs/>
          <w:sz w:val="24"/>
          <w:szCs w:val="24"/>
          <w:u w:val="single"/>
          <w:lang w:val="en-GB" w:eastAsia="en-GB"/>
        </w:rPr>
        <w:t>Renal impairment</w:t>
      </w:r>
    </w:p>
    <w:p w14:paraId="41109782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105B0083" w14:textId="6D0F4AB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The pharmacokinetics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have been studied after administration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to adult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patients with renal impairment. Following administration of a single 50 mg dose, the AUC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0-</w:t>
      </w:r>
      <w:r w:rsidRPr="0032259F">
        <w:rPr>
          <w:rFonts w:eastAsia="SymbolMT"/>
          <w:sz w:val="24"/>
          <w:szCs w:val="24"/>
          <w:vertAlign w:val="subscript"/>
          <w:lang w:val="en-GB" w:eastAsia="en-GB"/>
        </w:rPr>
        <w:t>∞</w:t>
      </w:r>
      <w:r w:rsidRPr="0032259F">
        <w:rPr>
          <w:rFonts w:eastAsia="SymbolMT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of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was 32% to 36% lower in patients with mild to moderate renal impairment, and 60%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lower in patients with severe renal impairment compared with healthy volunteers. There was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substantial variability and significant overlap in exposures between patients with renal impairment and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healthy volunteers. Unbound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(active) concentrations for this highly protein-bound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medicinal product were not measured. Patients with impaired renal function should use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with caution and close monitoring, for example by testing serum creatinine and/or urine analysis (see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section 4.2). The efficacy and safety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have not been established in patients with both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moderate to severe renal impairment and hepatic impairment.</w:t>
      </w:r>
    </w:p>
    <w:p w14:paraId="0E2F646E" w14:textId="77777777" w:rsidR="002C7328" w:rsidRPr="0032259F" w:rsidRDefault="002C7328" w:rsidP="00502830">
      <w:pPr>
        <w:ind w:left="851"/>
        <w:rPr>
          <w:noProof/>
          <w:sz w:val="24"/>
          <w:szCs w:val="24"/>
          <w:lang w:val="en-GB" w:eastAsia="en-US"/>
        </w:rPr>
      </w:pPr>
    </w:p>
    <w:p w14:paraId="4B2C8456" w14:textId="77777777" w:rsidR="002C7328" w:rsidRPr="0032259F" w:rsidRDefault="002C7328" w:rsidP="00502830">
      <w:pPr>
        <w:ind w:left="851"/>
        <w:rPr>
          <w:rFonts w:eastAsia="SimSun"/>
          <w:i/>
          <w:iCs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i/>
          <w:iCs/>
          <w:sz w:val="24"/>
          <w:szCs w:val="24"/>
          <w:u w:val="single"/>
          <w:lang w:val="en-GB" w:eastAsia="en-GB"/>
        </w:rPr>
        <w:t>Hepatic impairment</w:t>
      </w:r>
    </w:p>
    <w:p w14:paraId="05DDAFD0" w14:textId="77777777" w:rsidR="002C7328" w:rsidRPr="0032259F" w:rsidRDefault="002C7328" w:rsidP="00502830">
      <w:pPr>
        <w:ind w:left="851"/>
        <w:rPr>
          <w:rFonts w:eastAsia="SimSun"/>
          <w:i/>
          <w:iCs/>
          <w:sz w:val="24"/>
          <w:szCs w:val="24"/>
          <w:lang w:val="en-GB" w:eastAsia="en-GB"/>
        </w:rPr>
      </w:pPr>
    </w:p>
    <w:p w14:paraId="2A3AB370" w14:textId="694C319A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The pharmacokinetics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have been studied after administration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to adult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patients with hepatic impairment. Following the administration of a single 50 mg dose, the AUC 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0-∞</w:t>
      </w:r>
      <w:r w:rsidRPr="0032259F">
        <w:rPr>
          <w:rFonts w:eastAsia="SymbolMT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of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was 41% higher in patients with mild hepatic impairment and 80% to 93% higher in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patients with moderate to severe hepatic impairment compared with healthy volunteers. There was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substantial variability and significant overlap in exposures between patients with hepatic impairment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and healthy volunteers. Unbound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(active) concentrations for this highly protein-bound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medicinal product were not measured.</w:t>
      </w:r>
    </w:p>
    <w:p w14:paraId="29029825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2C80093B" w14:textId="4E9C3C38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The influence of hepatic impairment on the pharmacokinetics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following repeat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administration was evaluated using a population pharmacokinetic analysis in 28 healthy adults and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714 patients with hepatic impairment (673 patients with HCV and 41 patients with chronic liver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disease of other aetiology). Of the 714 patients, 642 were with mild hepatic impairment, 67 with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moderate hepatic impairment, and 2 with severe hepatic impairment. Compared to healthy volunteers,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patients with mild hepatic impairment had approximately 111% (95% CI: 45% to 283%) higher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plasma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AUC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(0-</w:t>
      </w:r>
      <w:r w:rsidRPr="0032259F">
        <w:rPr>
          <w:rFonts w:eastAsia="SymbolMT"/>
          <w:sz w:val="24"/>
          <w:szCs w:val="24"/>
          <w:vertAlign w:val="subscript"/>
          <w:lang w:val="en-GB" w:eastAsia="en-GB"/>
        </w:rPr>
        <w:t>τ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)</w:t>
      </w:r>
      <w:r w:rsidRPr="0032259F">
        <w:rPr>
          <w:rFonts w:eastAsia="SimSun"/>
          <w:sz w:val="24"/>
          <w:szCs w:val="24"/>
          <w:lang w:val="en-GB" w:eastAsia="en-GB"/>
        </w:rPr>
        <w:t xml:space="preserve"> values </w:t>
      </w:r>
      <w:r w:rsidRPr="0032259F">
        <w:rPr>
          <w:rFonts w:eastAsia="SimSun"/>
          <w:sz w:val="24"/>
          <w:szCs w:val="24"/>
          <w:lang w:val="en-GB" w:eastAsia="en-GB"/>
        </w:rPr>
        <w:lastRenderedPageBreak/>
        <w:t>and patients with moderate hepatic impairment had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approximately 183% (95% CI: 90% to 459%) higher plasma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AUC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(0-</w:t>
      </w:r>
      <w:r w:rsidRPr="0032259F">
        <w:rPr>
          <w:rFonts w:eastAsia="SymbolMT"/>
          <w:sz w:val="24"/>
          <w:szCs w:val="24"/>
          <w:vertAlign w:val="subscript"/>
          <w:lang w:val="en-GB" w:eastAsia="en-GB"/>
        </w:rPr>
        <w:t>τ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)</w:t>
      </w:r>
      <w:r w:rsidRPr="0032259F">
        <w:rPr>
          <w:rFonts w:eastAsia="SimSun"/>
          <w:sz w:val="24"/>
          <w:szCs w:val="24"/>
          <w:lang w:val="en-GB" w:eastAsia="en-GB"/>
        </w:rPr>
        <w:t xml:space="preserve"> values.</w:t>
      </w:r>
    </w:p>
    <w:p w14:paraId="46EEF54C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54169820" w14:textId="764C80F6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Therefore,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should not be used in ITP patients with hepatic impairment (Child-Pugh score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TimesNewRomanPSMT"/>
          <w:sz w:val="24"/>
          <w:szCs w:val="24"/>
          <w:lang w:val="en-GB" w:eastAsia="en-GB"/>
        </w:rPr>
        <w:t>≥5) unless the expected benefit outweighs the identified risk of portal venous thrombosis (see</w:t>
      </w:r>
      <w:r w:rsidR="00B443BC" w:rsidRPr="0032259F">
        <w:rPr>
          <w:rFonts w:eastAsia="TimesNewRomanPSMT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sections 4.2 and 4.4). For patients with HCV initiate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at a dose of 25 mg once daily (see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section 4.2).</w:t>
      </w:r>
    </w:p>
    <w:p w14:paraId="01D6D5E7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29D8B3F8" w14:textId="77777777" w:rsidR="002C7328" w:rsidRPr="0032259F" w:rsidRDefault="002C7328" w:rsidP="00502830">
      <w:pPr>
        <w:ind w:left="851"/>
        <w:rPr>
          <w:rFonts w:eastAsia="SimSun"/>
          <w:i/>
          <w:iCs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i/>
          <w:iCs/>
          <w:sz w:val="24"/>
          <w:szCs w:val="24"/>
          <w:u w:val="single"/>
          <w:lang w:val="en-GB" w:eastAsia="en-GB"/>
        </w:rPr>
        <w:t>Race</w:t>
      </w:r>
    </w:p>
    <w:p w14:paraId="797CFBA6" w14:textId="77777777" w:rsidR="002C7328" w:rsidRPr="0032259F" w:rsidRDefault="002C7328" w:rsidP="00502830">
      <w:pPr>
        <w:ind w:left="851"/>
        <w:rPr>
          <w:rFonts w:eastAsia="SimSun"/>
          <w:i/>
          <w:iCs/>
          <w:sz w:val="24"/>
          <w:szCs w:val="24"/>
          <w:lang w:val="en-GB" w:eastAsia="en-GB"/>
        </w:rPr>
      </w:pPr>
    </w:p>
    <w:p w14:paraId="76CF5DAF" w14:textId="08C5D44E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The influence of East-Asian ethnicity on the pharmacokinetics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was evaluated using a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population pharmacokinetic analysis in 111 healthy adults (31 East-Asians) and 88 patients with ITP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(18 East-Asians). Based on estimates from the population pharmacokinetic analysis, East-Asian ITP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patients had approximately 49% higher plasma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AUC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(0-</w:t>
      </w:r>
      <w:r w:rsidRPr="0032259F">
        <w:rPr>
          <w:rFonts w:eastAsia="SymbolMT"/>
          <w:sz w:val="24"/>
          <w:szCs w:val="24"/>
          <w:vertAlign w:val="subscript"/>
          <w:lang w:val="en-GB" w:eastAsia="en-GB"/>
        </w:rPr>
        <w:t>τ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)</w:t>
      </w:r>
      <w:r w:rsidRPr="0032259F">
        <w:rPr>
          <w:rFonts w:eastAsia="SimSun"/>
          <w:sz w:val="24"/>
          <w:szCs w:val="24"/>
          <w:lang w:val="en-GB" w:eastAsia="en-GB"/>
        </w:rPr>
        <w:t xml:space="preserve"> values as compared to non- East-Asian patients who were predominantly Caucasian (see section 4.2).</w:t>
      </w:r>
    </w:p>
    <w:p w14:paraId="0C49E94E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60FCA66A" w14:textId="2A3A4A73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The influence of East-/Southeast-Asian ethnicity on the pharmacokinetics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was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evaluated using a population pharmacokinetic analysis in 635 patients with HCV (145 East-Asians and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69 Southeast-Asians). Based on estimates from the population pharmacokinetic analysis, East-/Southeast-Asian patients had approximately 55% higher plasma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AUC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(0-</w:t>
      </w:r>
      <w:r w:rsidRPr="0032259F">
        <w:rPr>
          <w:rFonts w:eastAsia="SymbolMT"/>
          <w:sz w:val="24"/>
          <w:szCs w:val="24"/>
          <w:vertAlign w:val="subscript"/>
          <w:lang w:val="en-GB" w:eastAsia="en-GB"/>
        </w:rPr>
        <w:t>τ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)</w:t>
      </w:r>
      <w:r w:rsidRPr="0032259F">
        <w:rPr>
          <w:rFonts w:eastAsia="SimSun"/>
          <w:sz w:val="24"/>
          <w:szCs w:val="24"/>
          <w:lang w:val="en-GB" w:eastAsia="en-GB"/>
        </w:rPr>
        <w:t xml:space="preserve"> values as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compared to patients of other races who were predominantly Caucasian (see section 4.2).</w:t>
      </w:r>
    </w:p>
    <w:p w14:paraId="57890C12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3FA0E708" w14:textId="77777777" w:rsidR="002C7328" w:rsidRPr="0032259F" w:rsidRDefault="002C7328" w:rsidP="00502830">
      <w:pPr>
        <w:ind w:left="851"/>
        <w:rPr>
          <w:rFonts w:eastAsia="SimSun"/>
          <w:i/>
          <w:iCs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i/>
          <w:iCs/>
          <w:sz w:val="24"/>
          <w:szCs w:val="24"/>
          <w:u w:val="single"/>
          <w:lang w:val="en-GB" w:eastAsia="en-GB"/>
        </w:rPr>
        <w:t>Gender</w:t>
      </w:r>
    </w:p>
    <w:p w14:paraId="1ACBE53E" w14:textId="77777777" w:rsidR="002C7328" w:rsidRPr="0032259F" w:rsidRDefault="002C7328" w:rsidP="00502830">
      <w:pPr>
        <w:ind w:left="851"/>
        <w:rPr>
          <w:rFonts w:eastAsia="SimSun"/>
          <w:i/>
          <w:iCs/>
          <w:sz w:val="24"/>
          <w:szCs w:val="24"/>
          <w:lang w:val="en-GB" w:eastAsia="en-GB"/>
        </w:rPr>
      </w:pPr>
    </w:p>
    <w:p w14:paraId="2272E9D9" w14:textId="52F515CD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The influence of gender on the pharmacokinetics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was evaluated using a population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pharmacokinetic analysis in 111 healthy adults (14 females) and 88 patients with ITP (57 females).</w:t>
      </w:r>
    </w:p>
    <w:p w14:paraId="7E4806EF" w14:textId="2279DA31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Based on estimates from the population pharmacokinetic analysis, female ITP patients had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approximately 23% higher plasma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AUC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(0-</w:t>
      </w:r>
      <w:r w:rsidRPr="0032259F">
        <w:rPr>
          <w:rFonts w:eastAsia="SymbolMT"/>
          <w:sz w:val="24"/>
          <w:szCs w:val="24"/>
          <w:vertAlign w:val="subscript"/>
          <w:lang w:val="en-GB" w:eastAsia="en-GB"/>
        </w:rPr>
        <w:t>τ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)</w:t>
      </w:r>
      <w:r w:rsidRPr="0032259F">
        <w:rPr>
          <w:rFonts w:eastAsia="SimSun"/>
          <w:sz w:val="24"/>
          <w:szCs w:val="24"/>
          <w:lang w:val="en-GB" w:eastAsia="en-GB"/>
        </w:rPr>
        <w:t xml:space="preserve"> as compared to male patients, without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adjustment for body weight differences.</w:t>
      </w:r>
    </w:p>
    <w:p w14:paraId="2C3F03D3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50407C3B" w14:textId="140F32A9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The influence of gender on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pharmacokinetics was evaluated using population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pharmacokinetics analysis in 635 patients with HCV (260 females). Based on model estimate, female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HCV patient had approximately 41% higher plasma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AUC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(0-</w:t>
      </w:r>
      <w:r w:rsidRPr="0032259F">
        <w:rPr>
          <w:rFonts w:eastAsia="SymbolMT"/>
          <w:sz w:val="24"/>
          <w:szCs w:val="24"/>
          <w:vertAlign w:val="subscript"/>
          <w:lang w:val="en-GB" w:eastAsia="en-GB"/>
        </w:rPr>
        <w:t>τ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)</w:t>
      </w:r>
      <w:r w:rsidRPr="0032259F">
        <w:rPr>
          <w:rFonts w:eastAsia="SimSun"/>
          <w:sz w:val="24"/>
          <w:szCs w:val="24"/>
          <w:lang w:val="en-GB" w:eastAsia="en-GB"/>
        </w:rPr>
        <w:t xml:space="preserve"> as compared to male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patients.</w:t>
      </w:r>
    </w:p>
    <w:p w14:paraId="54EAC3DE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4D68ECB8" w14:textId="77777777" w:rsidR="002C7328" w:rsidRPr="0032259F" w:rsidRDefault="002C7328" w:rsidP="00502830">
      <w:pPr>
        <w:ind w:left="851"/>
        <w:rPr>
          <w:rFonts w:eastAsia="SimSun"/>
          <w:i/>
          <w:iCs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i/>
          <w:iCs/>
          <w:sz w:val="24"/>
          <w:szCs w:val="24"/>
          <w:u w:val="single"/>
          <w:lang w:val="en-GB" w:eastAsia="en-GB"/>
        </w:rPr>
        <w:t>Age</w:t>
      </w:r>
    </w:p>
    <w:p w14:paraId="4D4E3D36" w14:textId="77777777" w:rsidR="002C7328" w:rsidRPr="0032259F" w:rsidRDefault="002C7328" w:rsidP="00502830">
      <w:pPr>
        <w:ind w:left="851"/>
        <w:rPr>
          <w:rFonts w:eastAsia="SimSun"/>
          <w:i/>
          <w:iCs/>
          <w:sz w:val="24"/>
          <w:szCs w:val="24"/>
          <w:lang w:val="en-GB" w:eastAsia="en-GB"/>
        </w:rPr>
      </w:pPr>
    </w:p>
    <w:p w14:paraId="0CA3DBA9" w14:textId="0430C35A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The influence of age on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pharmacokinetics was evaluated using population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pharmacokinetics analysis in 28 healthy subjects, 673 patients with HCV, and 41 patients with chronic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liver disease of other aetiology ranging from 19 to 74 years old. There are no PK data on the use of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proofErr w:type="spellStart"/>
      <w:r w:rsidRPr="0032259F">
        <w:rPr>
          <w:rFonts w:eastAsia="TimesNewRomanPSMT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TimesNewRomanPSMT"/>
          <w:sz w:val="24"/>
          <w:szCs w:val="24"/>
          <w:lang w:val="en-GB" w:eastAsia="en-GB"/>
        </w:rPr>
        <w:t xml:space="preserve"> in patients ≥75 years. Based on model estimate, elderly (≥65 </w:t>
      </w:r>
      <w:r w:rsidRPr="0032259F">
        <w:rPr>
          <w:rFonts w:eastAsia="SimSun"/>
          <w:sz w:val="24"/>
          <w:szCs w:val="24"/>
          <w:lang w:val="en-GB" w:eastAsia="en-GB"/>
        </w:rPr>
        <w:t>years) patients had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approximately 41% higher plasma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AUC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(0-</w:t>
      </w:r>
      <w:r w:rsidRPr="0032259F">
        <w:rPr>
          <w:rFonts w:eastAsia="SymbolMT"/>
          <w:sz w:val="24"/>
          <w:szCs w:val="24"/>
          <w:vertAlign w:val="subscript"/>
          <w:lang w:val="en-GB" w:eastAsia="en-GB"/>
        </w:rPr>
        <w:t>τ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)</w:t>
      </w:r>
      <w:r w:rsidRPr="0032259F">
        <w:rPr>
          <w:rFonts w:eastAsia="SimSun"/>
          <w:sz w:val="24"/>
          <w:szCs w:val="24"/>
          <w:lang w:val="en-GB" w:eastAsia="en-GB"/>
        </w:rPr>
        <w:t xml:space="preserve"> as compared to younger patients (see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section 4.2).</w:t>
      </w:r>
    </w:p>
    <w:p w14:paraId="052E99B2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67CAF716" w14:textId="77777777" w:rsidR="002C7328" w:rsidRPr="0032259F" w:rsidRDefault="002C7328" w:rsidP="00502830">
      <w:pPr>
        <w:ind w:left="851"/>
        <w:rPr>
          <w:rFonts w:eastAsia="SimSun"/>
          <w:i/>
          <w:iCs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i/>
          <w:iCs/>
          <w:sz w:val="24"/>
          <w:szCs w:val="24"/>
          <w:u w:val="single"/>
          <w:lang w:val="en-GB" w:eastAsia="en-GB"/>
        </w:rPr>
        <w:t>Paediatric Population (aged 1 to 17 years)</w:t>
      </w:r>
    </w:p>
    <w:p w14:paraId="7075F463" w14:textId="77777777" w:rsidR="002C7328" w:rsidRPr="0032259F" w:rsidRDefault="002C7328" w:rsidP="00502830">
      <w:pPr>
        <w:ind w:left="851"/>
        <w:rPr>
          <w:rFonts w:eastAsia="SimSun"/>
          <w:i/>
          <w:iCs/>
          <w:sz w:val="24"/>
          <w:szCs w:val="24"/>
          <w:lang w:val="en-GB" w:eastAsia="en-GB"/>
        </w:rPr>
      </w:pPr>
    </w:p>
    <w:p w14:paraId="54CC1149" w14:textId="1C70014F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The pharmacokinetics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have been evaluated in 168 paediatric ITP patients dosed once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daily in two studies, TRA108062/PETIT and TRA115450/PETIT-2. Plasma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lastRenderedPageBreak/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apparent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clearance following oral administration (CL/F) increased with increasing body weight. The effects of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race and sex on plasma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CL/F estimates were consistent between paediatric and adult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patients. East-/Southeast-Asian paediatric ITP patients had approximately 43% higher plasma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AUC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(0-</w:t>
      </w:r>
      <w:r w:rsidRPr="0032259F">
        <w:rPr>
          <w:rFonts w:eastAsia="SymbolMT"/>
          <w:sz w:val="24"/>
          <w:szCs w:val="24"/>
          <w:vertAlign w:val="subscript"/>
          <w:lang w:val="en-GB" w:eastAsia="en-GB"/>
        </w:rPr>
        <w:t>τ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)</w:t>
      </w:r>
      <w:r w:rsidRPr="0032259F">
        <w:rPr>
          <w:rFonts w:eastAsia="SimSun"/>
          <w:sz w:val="24"/>
          <w:szCs w:val="24"/>
          <w:lang w:val="en-GB" w:eastAsia="en-GB"/>
        </w:rPr>
        <w:t xml:space="preserve"> values as compared to non-Asian patients. Female paediatric ITP patients had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approximately 25% higher plasma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AUC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(0-</w:t>
      </w:r>
      <w:r w:rsidRPr="0032259F">
        <w:rPr>
          <w:rFonts w:eastAsia="SymbolMT"/>
          <w:sz w:val="24"/>
          <w:szCs w:val="24"/>
          <w:vertAlign w:val="subscript"/>
          <w:lang w:val="en-GB" w:eastAsia="en-GB"/>
        </w:rPr>
        <w:t>τ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)</w:t>
      </w:r>
      <w:r w:rsidRPr="0032259F">
        <w:rPr>
          <w:rFonts w:eastAsia="SimSun"/>
          <w:sz w:val="24"/>
          <w:szCs w:val="24"/>
          <w:lang w:val="en-GB" w:eastAsia="en-GB"/>
        </w:rPr>
        <w:t xml:space="preserve"> values as compared to male patients.</w:t>
      </w:r>
    </w:p>
    <w:p w14:paraId="33C0060C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78B9C2AD" w14:textId="5FF8A389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The pharmacokinetic parameters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in paediatric patients with ITP are shown in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Table 11.</w:t>
      </w:r>
    </w:p>
    <w:p w14:paraId="096E5825" w14:textId="77777777" w:rsidR="002C7328" w:rsidRPr="0032259F" w:rsidRDefault="002C7328" w:rsidP="002C7328">
      <w:pPr>
        <w:tabs>
          <w:tab w:val="left" w:pos="1304"/>
        </w:tabs>
        <w:autoSpaceDE w:val="0"/>
        <w:autoSpaceDN w:val="0"/>
        <w:adjustRightInd w:val="0"/>
        <w:jc w:val="both"/>
        <w:rPr>
          <w:rFonts w:eastAsia="SimSun"/>
          <w:sz w:val="24"/>
          <w:szCs w:val="24"/>
          <w:lang w:val="en-GB" w:eastAsia="en-GB"/>
        </w:rPr>
      </w:pPr>
    </w:p>
    <w:p w14:paraId="2A8EBED7" w14:textId="41B716E2" w:rsidR="002C7328" w:rsidRPr="0032259F" w:rsidRDefault="002C7328" w:rsidP="00B443BC">
      <w:pPr>
        <w:autoSpaceDE w:val="0"/>
        <w:autoSpaceDN w:val="0"/>
        <w:adjustRightInd w:val="0"/>
        <w:ind w:left="1134" w:hanging="1134"/>
        <w:rPr>
          <w:rFonts w:eastAsia="SimSun"/>
          <w:b/>
          <w:bCs/>
          <w:sz w:val="24"/>
          <w:szCs w:val="24"/>
          <w:lang w:val="en-GB" w:eastAsia="en-GB"/>
        </w:rPr>
      </w:pPr>
      <w:r w:rsidRPr="0032259F">
        <w:rPr>
          <w:rFonts w:eastAsia="SimSun"/>
          <w:b/>
          <w:bCs/>
          <w:sz w:val="24"/>
          <w:szCs w:val="24"/>
          <w:lang w:val="en-GB" w:eastAsia="en-GB"/>
        </w:rPr>
        <w:t xml:space="preserve">Table 11 </w:t>
      </w:r>
      <w:r w:rsidR="00B443BC" w:rsidRPr="0032259F">
        <w:rPr>
          <w:rFonts w:eastAsia="SimSun"/>
          <w:b/>
          <w:bCs/>
          <w:sz w:val="24"/>
          <w:szCs w:val="24"/>
          <w:lang w:val="en-GB" w:eastAsia="en-GB"/>
        </w:rPr>
        <w:tab/>
      </w:r>
      <w:r w:rsidRPr="0032259F">
        <w:rPr>
          <w:rFonts w:eastAsia="SimSun"/>
          <w:b/>
          <w:bCs/>
          <w:sz w:val="24"/>
          <w:szCs w:val="24"/>
          <w:lang w:val="en-GB" w:eastAsia="en-GB"/>
        </w:rPr>
        <w:t xml:space="preserve">Geometric mean (95% CI) steady-state plasma </w:t>
      </w:r>
      <w:proofErr w:type="spellStart"/>
      <w:r w:rsidRPr="0032259F">
        <w:rPr>
          <w:rFonts w:eastAsia="SimSun"/>
          <w:b/>
          <w:bCs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b/>
          <w:bCs/>
          <w:sz w:val="24"/>
          <w:szCs w:val="24"/>
          <w:lang w:val="en-GB" w:eastAsia="en-GB"/>
        </w:rPr>
        <w:t xml:space="preserve"> pharmacokinetic</w:t>
      </w:r>
      <w:r w:rsidR="00B443BC" w:rsidRPr="0032259F">
        <w:rPr>
          <w:rFonts w:eastAsia="SimSun"/>
          <w:b/>
          <w:bCs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b/>
          <w:bCs/>
          <w:sz w:val="24"/>
          <w:szCs w:val="24"/>
          <w:lang w:val="en-GB" w:eastAsia="en-GB"/>
        </w:rPr>
        <w:t>parameters in paediatric patients with ITP (50 mg once daily dosing regimen)</w:t>
      </w:r>
    </w:p>
    <w:p w14:paraId="413C0E81" w14:textId="77777777" w:rsidR="002C7328" w:rsidRPr="0032259F" w:rsidRDefault="002C7328" w:rsidP="002C7328">
      <w:pPr>
        <w:tabs>
          <w:tab w:val="left" w:pos="1304"/>
        </w:tabs>
        <w:autoSpaceDE w:val="0"/>
        <w:autoSpaceDN w:val="0"/>
        <w:adjustRightInd w:val="0"/>
        <w:jc w:val="both"/>
        <w:rPr>
          <w:rFonts w:eastAsia="SimSun"/>
          <w:b/>
          <w:bCs/>
          <w:sz w:val="24"/>
          <w:szCs w:val="24"/>
          <w:lang w:val="en-GB" w:eastAsia="en-GB"/>
        </w:rPr>
      </w:pPr>
    </w:p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C7328" w:rsidRPr="00727038" w14:paraId="12A96B6B" w14:textId="77777777" w:rsidTr="0050283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40E2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2259F">
              <w:rPr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E5A9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2259F">
              <w:rPr>
                <w:b/>
                <w:bCs/>
                <w:sz w:val="24"/>
                <w:szCs w:val="24"/>
              </w:rPr>
              <w:t>C</w:t>
            </w:r>
            <w:r w:rsidRPr="0032259F">
              <w:rPr>
                <w:b/>
                <w:bCs/>
                <w:sz w:val="24"/>
                <w:szCs w:val="24"/>
                <w:vertAlign w:val="subscript"/>
              </w:rPr>
              <w:t>max</w:t>
            </w:r>
            <w:proofErr w:type="spellEnd"/>
          </w:p>
          <w:p w14:paraId="03F549C8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2259F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32259F">
              <w:rPr>
                <w:b/>
                <w:bCs/>
                <w:sz w:val="24"/>
                <w:szCs w:val="24"/>
              </w:rPr>
              <w:t>μg</w:t>
            </w:r>
            <w:proofErr w:type="spellEnd"/>
            <w:r w:rsidRPr="0032259F">
              <w:rPr>
                <w:b/>
                <w:bCs/>
                <w:sz w:val="24"/>
                <w:szCs w:val="24"/>
              </w:rPr>
              <w:t>/ml)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38C6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2259F">
              <w:rPr>
                <w:b/>
                <w:bCs/>
                <w:sz w:val="24"/>
                <w:szCs w:val="24"/>
              </w:rPr>
              <w:t>AUC</w:t>
            </w:r>
            <w:r w:rsidRPr="0032259F">
              <w:rPr>
                <w:b/>
                <w:bCs/>
                <w:sz w:val="24"/>
                <w:szCs w:val="24"/>
                <w:vertAlign w:val="subscript"/>
              </w:rPr>
              <w:t>(0-</w:t>
            </w:r>
            <w:r w:rsidRPr="0032259F">
              <w:rPr>
                <w:rFonts w:eastAsia="SymbolMT"/>
                <w:b/>
                <w:sz w:val="24"/>
                <w:szCs w:val="24"/>
                <w:vertAlign w:val="subscript"/>
              </w:rPr>
              <w:t>τ</w:t>
            </w:r>
            <w:r w:rsidRPr="0032259F">
              <w:rPr>
                <w:b/>
                <w:bCs/>
                <w:sz w:val="24"/>
                <w:szCs w:val="24"/>
                <w:vertAlign w:val="subscript"/>
              </w:rPr>
              <w:t>)</w:t>
            </w:r>
          </w:p>
          <w:p w14:paraId="79BAE9D4" w14:textId="77777777" w:rsidR="002C7328" w:rsidRPr="0032259F" w:rsidRDefault="002C7328">
            <w:pPr>
              <w:tabs>
                <w:tab w:val="left" w:pos="509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2259F">
              <w:rPr>
                <w:b/>
                <w:bCs/>
                <w:sz w:val="24"/>
                <w:szCs w:val="24"/>
              </w:rPr>
              <w:t>(μg.hr/ml)</w:t>
            </w:r>
          </w:p>
        </w:tc>
      </w:tr>
      <w:tr w:rsidR="002C7328" w:rsidRPr="0032259F" w14:paraId="6D762D17" w14:textId="77777777" w:rsidTr="0050283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B606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12 to 17 years (n=62)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C8F7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6.80</w:t>
            </w:r>
          </w:p>
          <w:p w14:paraId="5DAB7BD4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(6.17, 7.50)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5487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103</w:t>
            </w:r>
          </w:p>
          <w:p w14:paraId="054970B9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(91.1, 116)</w:t>
            </w:r>
          </w:p>
        </w:tc>
      </w:tr>
      <w:tr w:rsidR="002C7328" w:rsidRPr="0032259F" w14:paraId="7FF63EAD" w14:textId="77777777" w:rsidTr="0050283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BAEC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6 to 11 years (n=68)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DB69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10.3</w:t>
            </w:r>
          </w:p>
          <w:p w14:paraId="6A6CFF4B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(9.42, 11.2)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CA44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153</w:t>
            </w:r>
          </w:p>
          <w:p w14:paraId="517E93BB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(137, 170)</w:t>
            </w:r>
          </w:p>
        </w:tc>
      </w:tr>
      <w:tr w:rsidR="002C7328" w:rsidRPr="0032259F" w14:paraId="71C24F82" w14:textId="77777777" w:rsidTr="00502830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7992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1 to 5 years (n=38)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A04B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11.6</w:t>
            </w:r>
          </w:p>
          <w:p w14:paraId="764D374F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(10.4, 12.9)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B848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162</w:t>
            </w:r>
          </w:p>
          <w:p w14:paraId="0C5D48E6" w14:textId="77777777" w:rsidR="002C7328" w:rsidRPr="0032259F" w:rsidRDefault="002C7328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259F">
              <w:rPr>
                <w:sz w:val="24"/>
                <w:szCs w:val="24"/>
              </w:rPr>
              <w:t>(139, 187)</w:t>
            </w:r>
          </w:p>
        </w:tc>
      </w:tr>
    </w:tbl>
    <w:p w14:paraId="2B7E95F9" w14:textId="3A4BE7E1" w:rsidR="007C5D2A" w:rsidRPr="0032259F" w:rsidRDefault="002C7328" w:rsidP="00B443BC">
      <w:pPr>
        <w:tabs>
          <w:tab w:val="left" w:pos="1304"/>
        </w:tabs>
        <w:autoSpaceDE w:val="0"/>
        <w:autoSpaceDN w:val="0"/>
        <w:adjustRightInd w:val="0"/>
        <w:rPr>
          <w:sz w:val="24"/>
          <w:szCs w:val="24"/>
          <w:lang w:val="en-GB"/>
        </w:rPr>
      </w:pPr>
      <w:r w:rsidRPr="0032259F">
        <w:rPr>
          <w:rFonts w:eastAsia="SimSun"/>
          <w:sz w:val="24"/>
          <w:szCs w:val="24"/>
          <w:lang w:val="en-GB" w:eastAsia="en-GB"/>
        </w:rPr>
        <w:t>Data presented as geometric mean (95% CI). AUC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(0-</w:t>
      </w:r>
      <w:r w:rsidRPr="0032259F">
        <w:rPr>
          <w:rFonts w:eastAsia="SymbolMT"/>
          <w:sz w:val="24"/>
          <w:szCs w:val="24"/>
          <w:vertAlign w:val="subscript"/>
          <w:lang w:val="en-GB" w:eastAsia="en-GB"/>
        </w:rPr>
        <w:t>τ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)</w:t>
      </w:r>
      <w:r w:rsidRPr="0032259F">
        <w:rPr>
          <w:rFonts w:eastAsia="SimSun"/>
          <w:sz w:val="24"/>
          <w:szCs w:val="24"/>
          <w:lang w:val="en-GB" w:eastAsia="en-GB"/>
        </w:rPr>
        <w:t xml:space="preserve"> and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Cmax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based on population PK post-hoc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estimates</w:t>
      </w:r>
      <w:r w:rsidR="00B443BC" w:rsidRPr="0032259F">
        <w:rPr>
          <w:rFonts w:eastAsia="SimSun"/>
          <w:sz w:val="24"/>
          <w:szCs w:val="24"/>
          <w:lang w:val="en-GB" w:eastAsia="en-GB"/>
        </w:rPr>
        <w:t>.</w:t>
      </w:r>
    </w:p>
    <w:p w14:paraId="324C2CBA" w14:textId="77777777" w:rsidR="007C5D2A" w:rsidRPr="0032259F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2F5CA90C" w14:textId="77777777" w:rsidR="007C5D2A" w:rsidRPr="0032259F" w:rsidRDefault="00180A12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32259F">
        <w:rPr>
          <w:b/>
          <w:sz w:val="24"/>
          <w:szCs w:val="24"/>
          <w:lang w:val="en-GB"/>
        </w:rPr>
        <w:t>5.3</w:t>
      </w:r>
      <w:r w:rsidRPr="0032259F">
        <w:rPr>
          <w:b/>
          <w:sz w:val="24"/>
          <w:szCs w:val="24"/>
          <w:lang w:val="en-GB"/>
        </w:rPr>
        <w:tab/>
        <w:t>Preclinical safety data</w:t>
      </w:r>
    </w:p>
    <w:p w14:paraId="1AE8E2D4" w14:textId="77777777" w:rsidR="006908A9" w:rsidRPr="0032259F" w:rsidRDefault="006908A9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14EE5F31" w14:textId="56BFE60A" w:rsidR="002C7328" w:rsidRPr="0032259F" w:rsidRDefault="002C7328" w:rsidP="00502830">
      <w:pPr>
        <w:ind w:left="851"/>
        <w:rPr>
          <w:rFonts w:eastAsia="SimSun"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sz w:val="24"/>
          <w:szCs w:val="24"/>
          <w:u w:val="single"/>
          <w:lang w:val="en-GB" w:eastAsia="en-GB"/>
        </w:rPr>
        <w:t>Safety pharmacology and repeat-dose toxicity</w:t>
      </w:r>
    </w:p>
    <w:p w14:paraId="17C68836" w14:textId="77777777" w:rsidR="002C7328" w:rsidRPr="0032259F" w:rsidRDefault="002C7328" w:rsidP="00502830">
      <w:pPr>
        <w:ind w:left="851"/>
        <w:rPr>
          <w:sz w:val="24"/>
          <w:szCs w:val="24"/>
          <w:lang w:val="en-GB" w:eastAsia="pl-PL"/>
        </w:rPr>
      </w:pPr>
    </w:p>
    <w:p w14:paraId="6828E2C6" w14:textId="69051CBD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does not stimulate platelet production in mice, rats or dogs because of unique TPO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receptor specificity. Therefore, data from these animals do not fully model potential adverse effects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related to the pharmacology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in humans, including the reproduction and carcinogenicity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studies.</w:t>
      </w:r>
    </w:p>
    <w:p w14:paraId="0390A578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6C8667F4" w14:textId="6D70BADC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 xml:space="preserve">Treatment-related cataracts were detected in rodents and were dose and time-dependent. </w:t>
      </w:r>
      <w:r w:rsidRPr="0032259F">
        <w:rPr>
          <w:rFonts w:eastAsia="TimesNewRomanPSMT"/>
          <w:sz w:val="24"/>
          <w:szCs w:val="24"/>
          <w:lang w:val="en-GB" w:eastAsia="en-GB"/>
        </w:rPr>
        <w:t xml:space="preserve">At ≥6 </w:t>
      </w:r>
      <w:r w:rsidRPr="0032259F">
        <w:rPr>
          <w:rFonts w:eastAsia="SimSun"/>
          <w:sz w:val="24"/>
          <w:szCs w:val="24"/>
          <w:lang w:val="en-GB" w:eastAsia="en-GB"/>
        </w:rPr>
        <w:t>times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the human clinical exposure in adult ITP patients at 75 mg/day and 3 times the human clinical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exposure in adult HCV patients at 100 mg/day, based on AUC, cataracts were observed in mice after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6 weeks and rats after 28 weeks of dosing. At </w:t>
      </w:r>
      <w:r w:rsidRPr="0032259F">
        <w:rPr>
          <w:rFonts w:eastAsia="SymbolMT"/>
          <w:sz w:val="24"/>
          <w:szCs w:val="24"/>
          <w:lang w:val="en-GB" w:eastAsia="en-GB"/>
        </w:rPr>
        <w:t>≥</w:t>
      </w:r>
      <w:r w:rsidRPr="0032259F">
        <w:rPr>
          <w:rFonts w:eastAsia="SimSun"/>
          <w:sz w:val="24"/>
          <w:szCs w:val="24"/>
          <w:lang w:val="en-GB" w:eastAsia="en-GB"/>
        </w:rPr>
        <w:t>4 times the human clinical exposure in ITP patients at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75 mg/day and 2 times the human exposure in HCV patients at 100 mg/day, based on AUC, cataracts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were observed in mice after 13 weeks and in rats after 39 weeks of dosing. At non-tolerated doses in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pre-weaning juvenile rats dosed from Days 4-32 (approximately equating to a 2-year-old human at the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end of the dosing period), ocular opacities were observed (histology not performed) at 9 times the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maximum human clinical exposure in paediatric ITP patients at 75 mg/day, based on AUC. However,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cataracts were not observed in juvenile rats given tolerated doses at 5 times the human clinical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exposure in paediatric ITP patients, based on AUC. Cataracts have not been observed in adult dogs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after 52 weeks of dosing at 2 times the human clinical exposure in adult or paediatric ITP patients at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75 mg/day and equivalent to the human clinical exposure in HCV patients at 100 mg/day, based on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AUC).</w:t>
      </w:r>
    </w:p>
    <w:p w14:paraId="7B4EEB81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3721D591" w14:textId="7E12E76E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Renal tubular toxicity was observed in studies of up to 14 days duration in mice and rats at exposures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that were generally associated with morbidity and mortality. Tubular toxicity </w:t>
      </w:r>
      <w:r w:rsidRPr="0032259F">
        <w:rPr>
          <w:rFonts w:eastAsia="SimSun"/>
          <w:sz w:val="24"/>
          <w:szCs w:val="24"/>
          <w:lang w:val="en-GB" w:eastAsia="en-GB"/>
        </w:rPr>
        <w:lastRenderedPageBreak/>
        <w:t>was also observed in a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2-year oral carcinogenicity study in mice at doses of 25, 75 and 150 mg/kg/day. Effects were less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severe at lower doses and were characterised by a spectrum of regenerative changes. The exposure at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the lowest dose was 1.2 or 0.8 times the human clinical exposure based on AUC in adult or paediatric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ITP patients at 75 mg/day and 0.6 times the human clinical exposure in HCV patients at 100 mg/day,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based on AUC. Renal effects were not observed in rats after 28 weeks or in dogs after 52 weeks at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exposures 4 and 2 times the human clinical exposure in adult ITP patients and 3 and 2 times the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human clinical exposure in paediatric ITP patients at 75 mg/day and 2 times and equivalent to the</w:t>
      </w:r>
      <w:r w:rsidR="00B443BC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human clinical exposure in HCV patients at 100 mg/day, based on AUC.</w:t>
      </w:r>
    </w:p>
    <w:p w14:paraId="280AFF42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6A3C396E" w14:textId="0723A8DE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Hepatocyte degeneration and/or necrosis, often accompanied by increased serum liver enzymes, was</w:t>
      </w:r>
      <w:r w:rsidR="00F61FFE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observed in mice, rats and dogs at doses that were associated with morbidity and mortality or were</w:t>
      </w:r>
      <w:r w:rsidR="00F61FFE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poorly tolerated. No hepatic effects were observed after chronic dosing in rats (28 weeks) and in dogs</w:t>
      </w:r>
      <w:r w:rsidR="00F61FFE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(52 weeks) at 4 or 2 times the human clinical exposure in adult ITP patients and 3 or 2 times the human clinical exposure in paediatric ITP patients at 75 mg/day and 2 times or equivalent to the human clinical exposure in HCV patients at 100 mg/day, based on AUC.</w:t>
      </w:r>
    </w:p>
    <w:p w14:paraId="23742A0C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66B9D90B" w14:textId="671EEDF9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At poorly tolerated doses in rats and dogs (&gt;10 or 7 times the human clinical exposure in adult or</w:t>
      </w:r>
      <w:r w:rsidR="00F61FFE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paediatric ITP patients at 75 mg/day and&gt;4 times the human clinical exposure in HCV patients at</w:t>
      </w:r>
      <w:r w:rsidR="00F61FFE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100 mg/day, based on AUC), decreased reticulocyte counts and regenerative bone marrow erythroid</w:t>
      </w:r>
      <w:r w:rsidR="00F61FFE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hyperplasia (rats only) were observed in short-term studies. There were no effects of note on red cell</w:t>
      </w:r>
      <w:r w:rsidR="00F61FFE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mass or reticulocyte counts after dosing for up to 28 weeks in rats, 52 weeks in dogs and 2 years in</w:t>
      </w:r>
      <w:r w:rsidR="00F61FFE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mice or rats at maximally tolerated doses which were 2 to 4 times human clinical exposure in adult or</w:t>
      </w:r>
      <w:r w:rsidR="00F61FFE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paediatric ITP patients at 75 </w:t>
      </w:r>
      <w:r w:rsidRPr="0032259F">
        <w:rPr>
          <w:rFonts w:eastAsia="TimesNewRomanPSMT"/>
          <w:sz w:val="24"/>
          <w:szCs w:val="24"/>
          <w:lang w:val="en-GB" w:eastAsia="en-GB"/>
        </w:rPr>
        <w:t xml:space="preserve">mg/day and ≤2 </w:t>
      </w:r>
      <w:r w:rsidRPr="0032259F">
        <w:rPr>
          <w:rFonts w:eastAsia="SimSun"/>
          <w:sz w:val="24"/>
          <w:szCs w:val="24"/>
          <w:lang w:val="en-GB" w:eastAsia="en-GB"/>
        </w:rPr>
        <w:t>times the human clinical exposure in HCV patients at</w:t>
      </w:r>
      <w:r w:rsidR="00F61FFE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100 mg/day, based on AUC.</w:t>
      </w:r>
    </w:p>
    <w:p w14:paraId="02C86506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0DCBEAA6" w14:textId="3A49ECB9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Endosteal hyperostosis was observed in a 28-week toxicity study in rats at a non-tolerated dose of</w:t>
      </w:r>
      <w:r w:rsidR="00F61FFE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60 mg/kg/day (6 times or 4 times the human clinical exposure in adult or paediatric ITP patients at</w:t>
      </w:r>
      <w:r w:rsidR="00F61FFE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75 mg/day and 3 times the human clinical exposure in HCV patients at 100 mg/day, based on AUC).</w:t>
      </w:r>
      <w:r w:rsidR="00F61FFE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There were no bone changes observed in mice or rats after lifetime exposure (2 years) at 4 times or</w:t>
      </w:r>
      <w:r w:rsidR="00F61FFE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2 times the human clinical exposure in adult or paediatric ITP patients at 75 mg/day and 2 times the</w:t>
      </w:r>
      <w:r w:rsidR="00F61FFE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human clinical exposure in HCV patients at 100 mg/day, based on AUC.</w:t>
      </w:r>
    </w:p>
    <w:p w14:paraId="62F5AAD5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05A7A6FE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sz w:val="24"/>
          <w:szCs w:val="24"/>
          <w:u w:val="single"/>
          <w:lang w:val="en-GB" w:eastAsia="en-GB"/>
        </w:rPr>
        <w:t>Carcinogenicity and mutagenicity</w:t>
      </w:r>
    </w:p>
    <w:p w14:paraId="0BBE0A2F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71FF538E" w14:textId="7B454B85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was not carcinogenic in mice at doses up to 75 mg/kg/day or in rats at doses up to</w:t>
      </w:r>
      <w:r w:rsidR="00F61FFE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40 mg/kg/day (exposures up to 4 or 2 times the human clinical exposure in adult or paediatric ITP</w:t>
      </w:r>
      <w:r w:rsidR="00F61FFE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patients at 75 mg/day and 2 times the human clinical exposure in HCV patients at 100 mg/day, based</w:t>
      </w:r>
      <w:r w:rsidR="00F61FFE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on AUC).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was not mutagenic or clastogenic in a bacterial mutation assay or in two </w:t>
      </w:r>
      <w:r w:rsidRPr="0032259F">
        <w:rPr>
          <w:rFonts w:eastAsia="SimSun"/>
          <w:i/>
          <w:iCs/>
          <w:sz w:val="24"/>
          <w:szCs w:val="24"/>
          <w:lang w:val="en-GB" w:eastAsia="en-GB"/>
        </w:rPr>
        <w:t>in</w:t>
      </w:r>
      <w:r w:rsidR="00F61FFE" w:rsidRPr="0032259F">
        <w:rPr>
          <w:rFonts w:eastAsia="SimSun"/>
          <w:i/>
          <w:iCs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i/>
          <w:iCs/>
          <w:sz w:val="24"/>
          <w:szCs w:val="24"/>
          <w:lang w:val="en-GB" w:eastAsia="en-GB"/>
        </w:rPr>
        <w:t xml:space="preserve">vivo </w:t>
      </w:r>
      <w:r w:rsidRPr="0032259F">
        <w:rPr>
          <w:rFonts w:eastAsia="SimSun"/>
          <w:sz w:val="24"/>
          <w:szCs w:val="24"/>
          <w:lang w:val="en-GB" w:eastAsia="en-GB"/>
        </w:rPr>
        <w:t>assays in rats (micronucleus and unscheduled DNA synthesis, 10 times or 8 times the human</w:t>
      </w:r>
      <w:r w:rsidR="00F61FFE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clinical exposure in adult or paediatric ITP patients at 75 mg/day and 7 times the human clinical</w:t>
      </w:r>
      <w:r w:rsidR="00F61FFE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exposure in HCV patients at 100 mg/day, based on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C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max</w:t>
      </w:r>
      <w:proofErr w:type="spellEnd"/>
      <w:r w:rsidRPr="0032259F">
        <w:rPr>
          <w:rFonts w:eastAsia="SimSun"/>
          <w:sz w:val="24"/>
          <w:szCs w:val="24"/>
          <w:vertAlign w:val="subscript"/>
          <w:lang w:val="en-GB" w:eastAsia="en-GB"/>
        </w:rPr>
        <w:t xml:space="preserve">). </w:t>
      </w:r>
      <w:r w:rsidRPr="0032259F">
        <w:rPr>
          <w:rFonts w:eastAsia="SimSun"/>
          <w:sz w:val="24"/>
          <w:szCs w:val="24"/>
          <w:lang w:val="en-GB" w:eastAsia="en-GB"/>
        </w:rPr>
        <w:t xml:space="preserve">In the </w:t>
      </w:r>
      <w:r w:rsidRPr="0032259F">
        <w:rPr>
          <w:rFonts w:eastAsia="SimSun"/>
          <w:i/>
          <w:iCs/>
          <w:sz w:val="24"/>
          <w:szCs w:val="24"/>
          <w:lang w:val="en-GB" w:eastAsia="en-GB"/>
        </w:rPr>
        <w:t xml:space="preserve">in vitro </w:t>
      </w:r>
      <w:r w:rsidRPr="0032259F">
        <w:rPr>
          <w:rFonts w:eastAsia="SimSun"/>
          <w:sz w:val="24"/>
          <w:szCs w:val="24"/>
          <w:lang w:val="en-GB" w:eastAsia="en-GB"/>
        </w:rPr>
        <w:t>mouse lymphoma assay,</w:t>
      </w:r>
      <w:r w:rsidR="00F61FFE" w:rsidRPr="0032259F">
        <w:rPr>
          <w:rFonts w:eastAsia="SimSun"/>
          <w:sz w:val="24"/>
          <w:szCs w:val="24"/>
          <w:lang w:val="en-GB" w:eastAsia="en-GB"/>
        </w:rPr>
        <w:t xml:space="preserve">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was marginally positive (&lt;3-fold increase in mutation frequency). These </w:t>
      </w:r>
      <w:r w:rsidRPr="0032259F">
        <w:rPr>
          <w:rFonts w:eastAsia="SimSun"/>
          <w:i/>
          <w:iCs/>
          <w:sz w:val="24"/>
          <w:szCs w:val="24"/>
          <w:lang w:val="en-GB" w:eastAsia="en-GB"/>
        </w:rPr>
        <w:t xml:space="preserve">in vitro </w:t>
      </w:r>
      <w:r w:rsidRPr="0032259F">
        <w:rPr>
          <w:rFonts w:eastAsia="SimSun"/>
          <w:sz w:val="24"/>
          <w:szCs w:val="24"/>
          <w:lang w:val="en-GB" w:eastAsia="en-GB"/>
        </w:rPr>
        <w:t xml:space="preserve">and </w:t>
      </w:r>
      <w:r w:rsidRPr="0032259F">
        <w:rPr>
          <w:rFonts w:eastAsia="SimSun"/>
          <w:i/>
          <w:iCs/>
          <w:sz w:val="24"/>
          <w:szCs w:val="24"/>
          <w:lang w:val="en-GB" w:eastAsia="en-GB"/>
        </w:rPr>
        <w:t>in</w:t>
      </w:r>
      <w:r w:rsidR="00F61FFE" w:rsidRPr="0032259F">
        <w:rPr>
          <w:rFonts w:eastAsia="SimSun"/>
          <w:i/>
          <w:iCs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i/>
          <w:iCs/>
          <w:sz w:val="24"/>
          <w:szCs w:val="24"/>
          <w:lang w:val="en-GB" w:eastAsia="en-GB"/>
        </w:rPr>
        <w:t xml:space="preserve">vivo </w:t>
      </w:r>
      <w:r w:rsidRPr="0032259F">
        <w:rPr>
          <w:rFonts w:eastAsia="SimSun"/>
          <w:sz w:val="24"/>
          <w:szCs w:val="24"/>
          <w:lang w:val="en-GB" w:eastAsia="en-GB"/>
        </w:rPr>
        <w:t xml:space="preserve">findings suggest that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does not pose a genotoxic risk to humans.</w:t>
      </w:r>
    </w:p>
    <w:p w14:paraId="6B3574C8" w14:textId="7352A6A5" w:rsidR="006908A9" w:rsidRPr="0032259F" w:rsidRDefault="006908A9">
      <w:pPr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br w:type="page"/>
      </w:r>
    </w:p>
    <w:p w14:paraId="44CFFAA8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7CCE02C8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sz w:val="24"/>
          <w:szCs w:val="24"/>
          <w:u w:val="single"/>
          <w:lang w:val="en-GB" w:eastAsia="en-GB"/>
        </w:rPr>
        <w:t>Reproductive toxicity</w:t>
      </w:r>
    </w:p>
    <w:p w14:paraId="064DA2AE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0AA45825" w14:textId="638677D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did not affect female fertility, early embryonic development or embryofoetal</w:t>
      </w:r>
      <w:r w:rsidR="00F61FFE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development in rats at doses up to 20 mg/kg/day (2 times the human clinical exposure in adult or</w:t>
      </w:r>
      <w:r w:rsidR="00F61FFE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adolescent (12-17 years old) ITP patients at 75 mg/day and equivalent to the human clinical exposure in HCV patients at 100 mg/day, based on AUC). </w:t>
      </w:r>
      <w:proofErr w:type="gramStart"/>
      <w:r w:rsidRPr="0032259F">
        <w:rPr>
          <w:rFonts w:eastAsia="SimSun"/>
          <w:sz w:val="24"/>
          <w:szCs w:val="24"/>
          <w:lang w:val="en-GB" w:eastAsia="en-GB"/>
        </w:rPr>
        <w:t>Also</w:t>
      </w:r>
      <w:proofErr w:type="gramEnd"/>
      <w:r w:rsidRPr="0032259F">
        <w:rPr>
          <w:rFonts w:eastAsia="SimSun"/>
          <w:sz w:val="24"/>
          <w:szCs w:val="24"/>
          <w:lang w:val="en-GB" w:eastAsia="en-GB"/>
        </w:rPr>
        <w:t xml:space="preserve"> there was no effect on embryofoetal development in rabbits at doses up to 150 mg/kg/day, the highest dose tested (0.3 to 0.5 times the human clinical exposure in ITP patients at 75 mg/day and HCV patients at 100 mg/day, based on AUC). However, at a maternally toxic dose of 60 mg/kg/day (6 times the human clinical exposure in ITP patients at 75 mg/day and 3 times the human clinical exposure in HCV patients at 100 mg/day, based on AUC) in rats,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treatment was associated with embryo lethality (increased pre- and post-implantation loss), reduced foetal body weight and gravid uterine weight in the female fertility study and a low incidence of cervical ribs and reduced foetal body weight in the embryofoetal development study.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should be used during pregnancy only if the expected benefit justifies the potential risk to the foetus (see section 4.6).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did not affect male fertility in rats at doses up to 40 mg/kg/day, the highest dose tested (3 times the human clinical exposure in ITP patients at 75 mg/day and 2 times the human clinical exposure in HCV patients at 100 mg/day, based on AUC). In the pre- and post-natal development study in rats, there were no undesirable effects on pregnancy, parturition or lactation of F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0</w:t>
      </w:r>
      <w:r w:rsidRPr="0032259F">
        <w:rPr>
          <w:rFonts w:eastAsia="SimSun"/>
          <w:sz w:val="24"/>
          <w:szCs w:val="24"/>
          <w:lang w:val="en-GB" w:eastAsia="en-GB"/>
        </w:rPr>
        <w:t xml:space="preserve"> female rats at maternally non-toxic doses (10 and 20 mg/kg/day) and no effects on the growth, development,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neurobehavioural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or reproductive function of the offspring (F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1</w:t>
      </w:r>
      <w:r w:rsidRPr="0032259F">
        <w:rPr>
          <w:rFonts w:eastAsia="SimSun"/>
          <w:sz w:val="24"/>
          <w:szCs w:val="24"/>
          <w:lang w:val="en-GB" w:eastAsia="en-GB"/>
        </w:rPr>
        <w:t xml:space="preserve">).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was detected in the plasma of all F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1</w:t>
      </w:r>
      <w:r w:rsidRPr="0032259F">
        <w:rPr>
          <w:rFonts w:eastAsia="SimSun"/>
          <w:sz w:val="24"/>
          <w:szCs w:val="24"/>
          <w:lang w:val="en-GB" w:eastAsia="en-GB"/>
        </w:rPr>
        <w:t xml:space="preserve"> rat pups for the entire </w:t>
      </w:r>
      <w:proofErr w:type="gramStart"/>
      <w:r w:rsidRPr="0032259F">
        <w:rPr>
          <w:rFonts w:eastAsia="SimSun"/>
          <w:sz w:val="24"/>
          <w:szCs w:val="24"/>
          <w:lang w:val="en-GB" w:eastAsia="en-GB"/>
        </w:rPr>
        <w:t>22 hour</w:t>
      </w:r>
      <w:proofErr w:type="gramEnd"/>
      <w:r w:rsidRPr="0032259F">
        <w:rPr>
          <w:rFonts w:eastAsia="SimSun"/>
          <w:sz w:val="24"/>
          <w:szCs w:val="24"/>
          <w:lang w:val="en-GB" w:eastAsia="en-GB"/>
        </w:rPr>
        <w:t xml:space="preserve"> sampling period following administration of medicinal product to the F</w:t>
      </w:r>
      <w:r w:rsidRPr="0032259F">
        <w:rPr>
          <w:rFonts w:eastAsia="SimSun"/>
          <w:sz w:val="24"/>
          <w:szCs w:val="24"/>
          <w:vertAlign w:val="subscript"/>
          <w:lang w:val="en-GB" w:eastAsia="en-GB"/>
        </w:rPr>
        <w:t>0</w:t>
      </w:r>
      <w:r w:rsidRPr="0032259F">
        <w:rPr>
          <w:rFonts w:eastAsia="SimSun"/>
          <w:sz w:val="24"/>
          <w:szCs w:val="24"/>
          <w:lang w:val="en-GB" w:eastAsia="en-GB"/>
        </w:rPr>
        <w:t xml:space="preserve"> dams, suggesting that rat pup exposure to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was likely via lactation.</w:t>
      </w:r>
    </w:p>
    <w:p w14:paraId="5DD6308C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7D115208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sz w:val="24"/>
          <w:szCs w:val="24"/>
          <w:u w:val="single"/>
          <w:lang w:val="en-GB" w:eastAsia="en-GB"/>
        </w:rPr>
        <w:t>Phototoxicity</w:t>
      </w:r>
    </w:p>
    <w:p w14:paraId="1C8501AF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026E729A" w14:textId="4585733C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i/>
          <w:iCs/>
          <w:sz w:val="24"/>
          <w:szCs w:val="24"/>
          <w:lang w:val="en-GB" w:eastAsia="en-GB"/>
        </w:rPr>
        <w:t xml:space="preserve">In vitro </w:t>
      </w:r>
      <w:r w:rsidRPr="0032259F">
        <w:rPr>
          <w:rFonts w:eastAsia="SimSun"/>
          <w:sz w:val="24"/>
          <w:szCs w:val="24"/>
          <w:lang w:val="en-GB" w:eastAsia="en-GB"/>
        </w:rPr>
        <w:t xml:space="preserve">studies with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suggest a potential phototoxicity risk; however, in rodents there was</w:t>
      </w:r>
      <w:r w:rsidR="00F61FFE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no evidence of cutaneous phototoxicity (10 or 7 times the human clinical exposure in adult or</w:t>
      </w:r>
      <w:r w:rsidR="00F61FFE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paediatric ITP patients at 75 mg/day and 5 times the human clinical exposure in HCV patients at</w:t>
      </w:r>
      <w:r w:rsidR="00F61FFE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100 mg/day, based on AUC) or ocular phototoxicity (</w:t>
      </w:r>
      <w:r w:rsidRPr="0032259F">
        <w:rPr>
          <w:rFonts w:eastAsia="SymbolMT"/>
          <w:sz w:val="24"/>
          <w:szCs w:val="24"/>
          <w:lang w:val="en-GB" w:eastAsia="en-GB"/>
        </w:rPr>
        <w:t>≥</w:t>
      </w:r>
      <w:r w:rsidRPr="0032259F">
        <w:rPr>
          <w:rFonts w:eastAsia="SimSun"/>
          <w:sz w:val="24"/>
          <w:szCs w:val="24"/>
          <w:lang w:val="en-GB" w:eastAsia="en-GB"/>
        </w:rPr>
        <w:t>4 times the human clinical exposure in adult or</w:t>
      </w:r>
      <w:r w:rsidR="00F61FFE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paediatric ITP patients at 75 mg/day and 3 times the human clinical exposure in HCV patients at</w:t>
      </w:r>
      <w:r w:rsidR="00F61FFE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100 mg/day, based on AUC). Furthermore, a clinical pharmacology study in 36 subjects showed no</w:t>
      </w:r>
      <w:r w:rsidR="00F61FFE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evidence that photosensitivity was increased following administration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75 mg. This was</w:t>
      </w:r>
      <w:r w:rsidR="00F61FFE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measured by delayed phototoxic index. Nevertheless, a potential risk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photoallergy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cannot be ruled</w:t>
      </w:r>
      <w:r w:rsidR="00F61FFE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out since no specific preclinical study could be performed.</w:t>
      </w:r>
    </w:p>
    <w:p w14:paraId="622F2AFA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4690B007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u w:val="single"/>
          <w:lang w:val="en-GB" w:eastAsia="en-GB"/>
        </w:rPr>
      </w:pPr>
      <w:r w:rsidRPr="0032259F">
        <w:rPr>
          <w:rFonts w:eastAsia="SimSun"/>
          <w:sz w:val="24"/>
          <w:szCs w:val="24"/>
          <w:u w:val="single"/>
          <w:lang w:val="en-GB" w:eastAsia="en-GB"/>
        </w:rPr>
        <w:t>Juvenile animal studies</w:t>
      </w:r>
    </w:p>
    <w:p w14:paraId="37BDCE5E" w14:textId="77777777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</w:p>
    <w:p w14:paraId="37696EBE" w14:textId="19918F02" w:rsidR="002C7328" w:rsidRPr="0032259F" w:rsidRDefault="002C7328" w:rsidP="00502830">
      <w:pPr>
        <w:ind w:left="851"/>
        <w:rPr>
          <w:rFonts w:eastAsia="SimSun"/>
          <w:sz w:val="24"/>
          <w:szCs w:val="24"/>
          <w:lang w:val="en-GB" w:eastAsia="en-GB"/>
        </w:rPr>
      </w:pPr>
      <w:r w:rsidRPr="0032259F">
        <w:rPr>
          <w:rFonts w:eastAsia="SimSun"/>
          <w:sz w:val="24"/>
          <w:szCs w:val="24"/>
          <w:lang w:val="en-GB" w:eastAsia="en-GB"/>
        </w:rPr>
        <w:t>At non-tolerated doses in pre-weaning rats, ocular opacities were observed. At tolerated doses, no</w:t>
      </w:r>
      <w:r w:rsidR="00F61FFE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TimesNewRomanPSMT"/>
          <w:sz w:val="24"/>
          <w:szCs w:val="24"/>
          <w:lang w:val="en-GB" w:eastAsia="en-GB"/>
        </w:rPr>
        <w:t>ocular opacities were observed (see above subsection ‘Safety pharmacology and repeat</w:t>
      </w:r>
      <w:r w:rsidRPr="0032259F">
        <w:rPr>
          <w:rFonts w:eastAsia="SimSun"/>
          <w:sz w:val="24"/>
          <w:szCs w:val="24"/>
          <w:lang w:val="en-GB" w:eastAsia="en-GB"/>
        </w:rPr>
        <w:t>-</w:t>
      </w:r>
      <w:r w:rsidRPr="0032259F">
        <w:rPr>
          <w:rFonts w:eastAsia="TimesNewRomanPSMT"/>
          <w:sz w:val="24"/>
          <w:szCs w:val="24"/>
          <w:lang w:val="en-GB" w:eastAsia="en-GB"/>
        </w:rPr>
        <w:t>dose toxicity’).</w:t>
      </w:r>
      <w:r w:rsidR="00F61FFE" w:rsidRPr="0032259F">
        <w:rPr>
          <w:rFonts w:eastAsia="TimesNewRomanPSMT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In conclusion, </w:t>
      </w:r>
      <w:proofErr w:type="gramStart"/>
      <w:r w:rsidRPr="0032259F">
        <w:rPr>
          <w:rFonts w:eastAsia="SimSun"/>
          <w:sz w:val="24"/>
          <w:szCs w:val="24"/>
          <w:lang w:val="en-GB" w:eastAsia="en-GB"/>
        </w:rPr>
        <w:t>taking into account</w:t>
      </w:r>
      <w:proofErr w:type="gramEnd"/>
      <w:r w:rsidRPr="0032259F">
        <w:rPr>
          <w:rFonts w:eastAsia="SimSun"/>
          <w:sz w:val="24"/>
          <w:szCs w:val="24"/>
          <w:lang w:val="en-GB" w:eastAsia="en-GB"/>
        </w:rPr>
        <w:t xml:space="preserve"> the exposure margins based on AUC, a risk of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>-related</w:t>
      </w:r>
      <w:r w:rsidR="00F61FFE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>cataracts in paediatric patients cannot be excluded. There are no findings in juvenile rats to suggest a</w:t>
      </w:r>
      <w:r w:rsidR="00F61FFE" w:rsidRPr="0032259F">
        <w:rPr>
          <w:rFonts w:eastAsia="SimSun"/>
          <w:sz w:val="24"/>
          <w:szCs w:val="24"/>
          <w:lang w:val="en-GB" w:eastAsia="en-GB"/>
        </w:rPr>
        <w:t xml:space="preserve"> </w:t>
      </w:r>
      <w:r w:rsidRPr="0032259F">
        <w:rPr>
          <w:rFonts w:eastAsia="SimSun"/>
          <w:sz w:val="24"/>
          <w:szCs w:val="24"/>
          <w:lang w:val="en-GB" w:eastAsia="en-GB"/>
        </w:rPr>
        <w:t xml:space="preserve">greater risk of toxicity with </w:t>
      </w:r>
      <w:proofErr w:type="spellStart"/>
      <w:r w:rsidRPr="0032259F">
        <w:rPr>
          <w:rFonts w:eastAsia="SimSun"/>
          <w:sz w:val="24"/>
          <w:szCs w:val="24"/>
          <w:lang w:val="en-GB" w:eastAsia="en-GB"/>
        </w:rPr>
        <w:t>eltrombopag</w:t>
      </w:r>
      <w:proofErr w:type="spellEnd"/>
      <w:r w:rsidRPr="0032259F">
        <w:rPr>
          <w:rFonts w:eastAsia="SimSun"/>
          <w:sz w:val="24"/>
          <w:szCs w:val="24"/>
          <w:lang w:val="en-GB" w:eastAsia="en-GB"/>
        </w:rPr>
        <w:t xml:space="preserve"> treatment in paediatric vs. adult ITP patients.</w:t>
      </w:r>
    </w:p>
    <w:p w14:paraId="02121D33" w14:textId="002806B0" w:rsidR="007C5D2A" w:rsidRPr="0032259F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1A9541F1" w14:textId="77777777" w:rsidR="00F61FFE" w:rsidRPr="0032259F" w:rsidRDefault="00F61FFE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0BF6D88A" w14:textId="77777777" w:rsidR="007C5D2A" w:rsidRPr="0032259F" w:rsidRDefault="009925C9" w:rsidP="007C5D2A">
      <w:pPr>
        <w:ind w:left="851" w:hanging="851"/>
        <w:rPr>
          <w:b/>
          <w:sz w:val="24"/>
          <w:szCs w:val="24"/>
          <w:lang w:val="en-GB"/>
        </w:rPr>
      </w:pPr>
      <w:r w:rsidRPr="0032259F">
        <w:rPr>
          <w:b/>
          <w:sz w:val="24"/>
          <w:szCs w:val="24"/>
          <w:lang w:val="en-GB"/>
        </w:rPr>
        <w:lastRenderedPageBreak/>
        <w:t>6.</w:t>
      </w:r>
      <w:r w:rsidR="007C5D2A" w:rsidRPr="0032259F">
        <w:rPr>
          <w:b/>
          <w:sz w:val="24"/>
          <w:szCs w:val="24"/>
          <w:lang w:val="en-GB"/>
        </w:rPr>
        <w:tab/>
        <w:t>PHARMACEUTICAL PARTICULARS</w:t>
      </w:r>
    </w:p>
    <w:p w14:paraId="17DDE3A7" w14:textId="77777777" w:rsidR="007C5D2A" w:rsidRPr="0032259F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36734D02" w14:textId="77777777" w:rsidR="007C5D2A" w:rsidRPr="0032259F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32259F">
        <w:rPr>
          <w:b/>
          <w:sz w:val="24"/>
          <w:szCs w:val="24"/>
          <w:lang w:val="en-GB"/>
        </w:rPr>
        <w:t>6.1</w:t>
      </w:r>
      <w:r w:rsidRPr="0032259F">
        <w:rPr>
          <w:b/>
          <w:sz w:val="24"/>
          <w:szCs w:val="24"/>
          <w:lang w:val="en-GB"/>
        </w:rPr>
        <w:tab/>
        <w:t>List of excipients</w:t>
      </w:r>
    </w:p>
    <w:p w14:paraId="4A531EB4" w14:textId="77777777" w:rsidR="00F61FFE" w:rsidRPr="0032259F" w:rsidRDefault="00F61FFE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</w:p>
    <w:p w14:paraId="52FABB35" w14:textId="0C69DA9E" w:rsidR="002C7328" w:rsidRPr="0032259F" w:rsidRDefault="004745B3" w:rsidP="00502830">
      <w:pPr>
        <w:ind w:left="851"/>
        <w:rPr>
          <w:rFonts w:eastAsiaTheme="minorEastAsia"/>
          <w:sz w:val="24"/>
          <w:szCs w:val="24"/>
          <w:u w:val="single"/>
          <w:lang w:val="en-GB" w:eastAsia="el-GR"/>
        </w:rPr>
      </w:pPr>
      <w:proofErr w:type="spellStart"/>
      <w:r w:rsidRPr="0032259F">
        <w:rPr>
          <w:rFonts w:eastAsiaTheme="minorEastAsia"/>
          <w:sz w:val="24"/>
          <w:szCs w:val="24"/>
          <w:u w:val="single"/>
          <w:lang w:val="en-GB" w:eastAsia="el-GR"/>
        </w:rPr>
        <w:t>Eltrombopag</w:t>
      </w:r>
      <w:proofErr w:type="spellEnd"/>
      <w:r w:rsidRPr="0032259F">
        <w:rPr>
          <w:rFonts w:eastAsiaTheme="minorEastAsia"/>
          <w:sz w:val="24"/>
          <w:szCs w:val="24"/>
          <w:u w:val="single"/>
          <w:lang w:val="en-GB" w:eastAsia="el-GR"/>
        </w:rPr>
        <w:t xml:space="preserve"> "</w:t>
      </w:r>
      <w:proofErr w:type="spellStart"/>
      <w:r w:rsidRPr="0032259F">
        <w:rPr>
          <w:rFonts w:eastAsiaTheme="minorEastAsia"/>
          <w:sz w:val="24"/>
          <w:szCs w:val="24"/>
          <w:u w:val="single"/>
          <w:lang w:val="en-GB" w:eastAsia="el-GR"/>
        </w:rPr>
        <w:t>Vipharm</w:t>
      </w:r>
      <w:proofErr w:type="spellEnd"/>
      <w:r w:rsidRPr="0032259F">
        <w:rPr>
          <w:rFonts w:eastAsiaTheme="minorEastAsia"/>
          <w:sz w:val="24"/>
          <w:szCs w:val="24"/>
          <w:u w:val="single"/>
          <w:lang w:val="en-GB" w:eastAsia="el-GR"/>
        </w:rPr>
        <w:t>"</w:t>
      </w:r>
      <w:r w:rsidR="002C7328" w:rsidRPr="0032259F">
        <w:rPr>
          <w:rFonts w:eastAsiaTheme="minorEastAsia"/>
          <w:sz w:val="24"/>
          <w:szCs w:val="24"/>
          <w:u w:val="single"/>
          <w:lang w:val="en-GB" w:eastAsia="el-GR"/>
        </w:rPr>
        <w:t xml:space="preserve"> 12.5 mg film-coated tablets</w:t>
      </w:r>
    </w:p>
    <w:p w14:paraId="77ECC94D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</w:p>
    <w:p w14:paraId="51F38223" w14:textId="77777777" w:rsidR="002C7328" w:rsidRPr="0032259F" w:rsidRDefault="002C7328" w:rsidP="00502830">
      <w:pPr>
        <w:ind w:left="851"/>
        <w:rPr>
          <w:rFonts w:eastAsiaTheme="minorEastAsia"/>
          <w:i/>
          <w:iCs/>
          <w:sz w:val="24"/>
          <w:szCs w:val="24"/>
          <w:u w:val="single"/>
          <w:lang w:val="en-GB" w:eastAsia="el-GR"/>
        </w:rPr>
      </w:pPr>
      <w:r w:rsidRPr="0032259F">
        <w:rPr>
          <w:rFonts w:eastAsiaTheme="minorEastAsia"/>
          <w:i/>
          <w:iCs/>
          <w:sz w:val="24"/>
          <w:szCs w:val="24"/>
          <w:u w:val="single"/>
          <w:lang w:val="en-GB" w:eastAsia="el-GR"/>
        </w:rPr>
        <w:t xml:space="preserve">Tablet core </w:t>
      </w:r>
    </w:p>
    <w:p w14:paraId="05D4599A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  <w:r w:rsidRPr="0032259F">
        <w:rPr>
          <w:rFonts w:eastAsiaTheme="minorEastAsia"/>
          <w:sz w:val="24"/>
          <w:szCs w:val="24"/>
          <w:lang w:val="en-GB" w:eastAsia="el-GR"/>
        </w:rPr>
        <w:t>Mannitol (E421)</w:t>
      </w:r>
    </w:p>
    <w:p w14:paraId="3E7E171A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  <w:r w:rsidRPr="0032259F">
        <w:rPr>
          <w:rFonts w:eastAsiaTheme="minorEastAsia"/>
          <w:sz w:val="24"/>
          <w:szCs w:val="24"/>
          <w:lang w:val="en-GB" w:eastAsia="el-GR"/>
        </w:rPr>
        <w:t>Microcrystalline cellulose</w:t>
      </w:r>
    </w:p>
    <w:p w14:paraId="06491618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  <w:r w:rsidRPr="0032259F">
        <w:rPr>
          <w:rFonts w:eastAsiaTheme="minorEastAsia"/>
          <w:sz w:val="24"/>
          <w:szCs w:val="24"/>
          <w:lang w:val="en-GB" w:eastAsia="el-GR"/>
        </w:rPr>
        <w:t>Povidone</w:t>
      </w:r>
    </w:p>
    <w:p w14:paraId="3CE13B6F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  <w:r w:rsidRPr="0032259F">
        <w:rPr>
          <w:rFonts w:eastAsiaTheme="minorEastAsia"/>
          <w:sz w:val="24"/>
          <w:szCs w:val="24"/>
          <w:lang w:val="en-GB" w:eastAsia="el-GR"/>
        </w:rPr>
        <w:t>Sodium starch glycolate</w:t>
      </w:r>
    </w:p>
    <w:p w14:paraId="27B1EB51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  <w:r w:rsidRPr="0032259F">
        <w:rPr>
          <w:rFonts w:eastAsiaTheme="minorEastAsia"/>
          <w:sz w:val="24"/>
          <w:szCs w:val="24"/>
          <w:lang w:val="en-GB" w:eastAsia="el-GR"/>
        </w:rPr>
        <w:t xml:space="preserve">Magnesium stearate </w:t>
      </w:r>
    </w:p>
    <w:p w14:paraId="6F9D3BAB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</w:p>
    <w:p w14:paraId="7E0706A1" w14:textId="77777777" w:rsidR="002C7328" w:rsidRPr="0032259F" w:rsidRDefault="002C7328" w:rsidP="00502830">
      <w:pPr>
        <w:ind w:left="851"/>
        <w:rPr>
          <w:rFonts w:eastAsiaTheme="minorEastAsia"/>
          <w:i/>
          <w:iCs/>
          <w:sz w:val="24"/>
          <w:szCs w:val="24"/>
          <w:u w:val="single"/>
          <w:lang w:val="en-GB" w:eastAsia="el-GR"/>
        </w:rPr>
      </w:pPr>
      <w:r w:rsidRPr="0032259F">
        <w:rPr>
          <w:rFonts w:eastAsiaTheme="minorEastAsia"/>
          <w:i/>
          <w:iCs/>
          <w:sz w:val="24"/>
          <w:szCs w:val="24"/>
          <w:u w:val="single"/>
          <w:lang w:val="en-GB" w:eastAsia="el-GR"/>
        </w:rPr>
        <w:t xml:space="preserve">Tablet coating </w:t>
      </w:r>
    </w:p>
    <w:p w14:paraId="6E9643E6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  <w:r w:rsidRPr="0032259F">
        <w:rPr>
          <w:rFonts w:eastAsiaTheme="minorEastAsia"/>
          <w:sz w:val="24"/>
          <w:szCs w:val="24"/>
          <w:lang w:val="en-GB" w:eastAsia="el-GR"/>
        </w:rPr>
        <w:t>Titanium dioxide (E171)</w:t>
      </w:r>
    </w:p>
    <w:p w14:paraId="15B7C0AC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  <w:r w:rsidRPr="0032259F">
        <w:rPr>
          <w:rFonts w:eastAsiaTheme="minorEastAsia"/>
          <w:sz w:val="24"/>
          <w:szCs w:val="24"/>
          <w:lang w:val="en-GB" w:eastAsia="el-GR"/>
        </w:rPr>
        <w:t>Hypromellose (E464)</w:t>
      </w:r>
    </w:p>
    <w:p w14:paraId="45675289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  <w:r w:rsidRPr="0032259F">
        <w:rPr>
          <w:rFonts w:eastAsiaTheme="minorEastAsia"/>
          <w:sz w:val="24"/>
          <w:szCs w:val="24"/>
          <w:lang w:val="en-GB" w:eastAsia="el-GR"/>
        </w:rPr>
        <w:t>Macrogol (E1521)</w:t>
      </w:r>
    </w:p>
    <w:p w14:paraId="27D6399F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  <w:r w:rsidRPr="0032259F">
        <w:rPr>
          <w:rFonts w:eastAsiaTheme="minorEastAsia"/>
          <w:sz w:val="24"/>
          <w:szCs w:val="24"/>
          <w:lang w:val="en-GB" w:eastAsia="el-GR"/>
        </w:rPr>
        <w:t>Polysorbate 80 (E433)</w:t>
      </w:r>
    </w:p>
    <w:p w14:paraId="606D5928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</w:p>
    <w:p w14:paraId="5E024FE9" w14:textId="694046B5" w:rsidR="002C7328" w:rsidRPr="0032259F" w:rsidRDefault="004745B3" w:rsidP="00502830">
      <w:pPr>
        <w:ind w:left="851"/>
        <w:rPr>
          <w:rFonts w:eastAsiaTheme="minorEastAsia"/>
          <w:sz w:val="24"/>
          <w:szCs w:val="24"/>
          <w:u w:val="single"/>
          <w:lang w:val="en-GB" w:eastAsia="el-GR"/>
        </w:rPr>
      </w:pPr>
      <w:proofErr w:type="spellStart"/>
      <w:r w:rsidRPr="0032259F">
        <w:rPr>
          <w:rFonts w:eastAsiaTheme="minorEastAsia"/>
          <w:sz w:val="24"/>
          <w:szCs w:val="24"/>
          <w:u w:val="single"/>
          <w:lang w:val="en-GB" w:eastAsia="el-GR"/>
        </w:rPr>
        <w:t>Eltrombopag</w:t>
      </w:r>
      <w:proofErr w:type="spellEnd"/>
      <w:r w:rsidRPr="0032259F">
        <w:rPr>
          <w:rFonts w:eastAsiaTheme="minorEastAsia"/>
          <w:sz w:val="24"/>
          <w:szCs w:val="24"/>
          <w:u w:val="single"/>
          <w:lang w:val="en-GB" w:eastAsia="el-GR"/>
        </w:rPr>
        <w:t xml:space="preserve"> "</w:t>
      </w:r>
      <w:proofErr w:type="spellStart"/>
      <w:r w:rsidRPr="0032259F">
        <w:rPr>
          <w:rFonts w:eastAsiaTheme="minorEastAsia"/>
          <w:sz w:val="24"/>
          <w:szCs w:val="24"/>
          <w:u w:val="single"/>
          <w:lang w:val="en-GB" w:eastAsia="el-GR"/>
        </w:rPr>
        <w:t>Vipharm</w:t>
      </w:r>
      <w:proofErr w:type="spellEnd"/>
      <w:r w:rsidRPr="0032259F">
        <w:rPr>
          <w:rFonts w:eastAsiaTheme="minorEastAsia"/>
          <w:sz w:val="24"/>
          <w:szCs w:val="24"/>
          <w:u w:val="single"/>
          <w:lang w:val="en-GB" w:eastAsia="el-GR"/>
        </w:rPr>
        <w:t>"</w:t>
      </w:r>
      <w:r w:rsidR="002C7328" w:rsidRPr="0032259F">
        <w:rPr>
          <w:rFonts w:eastAsiaTheme="minorEastAsia"/>
          <w:sz w:val="24"/>
          <w:szCs w:val="24"/>
          <w:u w:val="single"/>
          <w:lang w:val="en-GB" w:eastAsia="el-GR"/>
        </w:rPr>
        <w:t xml:space="preserve"> 25 mg film-coated tablets</w:t>
      </w:r>
    </w:p>
    <w:p w14:paraId="19C08B91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</w:p>
    <w:p w14:paraId="0AB6FF10" w14:textId="77777777" w:rsidR="002C7328" w:rsidRPr="0032259F" w:rsidRDefault="002C7328" w:rsidP="00502830">
      <w:pPr>
        <w:ind w:left="851"/>
        <w:rPr>
          <w:rFonts w:eastAsiaTheme="minorEastAsia"/>
          <w:i/>
          <w:iCs/>
          <w:sz w:val="24"/>
          <w:szCs w:val="24"/>
          <w:u w:val="single"/>
          <w:lang w:val="en-GB" w:eastAsia="el-GR"/>
        </w:rPr>
      </w:pPr>
      <w:r w:rsidRPr="0032259F">
        <w:rPr>
          <w:rFonts w:eastAsiaTheme="minorEastAsia"/>
          <w:i/>
          <w:iCs/>
          <w:sz w:val="24"/>
          <w:szCs w:val="24"/>
          <w:u w:val="single"/>
          <w:lang w:val="en-GB" w:eastAsia="el-GR"/>
        </w:rPr>
        <w:t xml:space="preserve">Tablet core </w:t>
      </w:r>
    </w:p>
    <w:p w14:paraId="2963C3EF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  <w:r w:rsidRPr="0032259F">
        <w:rPr>
          <w:rFonts w:eastAsiaTheme="minorEastAsia"/>
          <w:sz w:val="24"/>
          <w:szCs w:val="24"/>
          <w:lang w:val="en-GB" w:eastAsia="el-GR"/>
        </w:rPr>
        <w:t>Mannitol (E421)</w:t>
      </w:r>
    </w:p>
    <w:p w14:paraId="7360675C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  <w:r w:rsidRPr="0032259F">
        <w:rPr>
          <w:rFonts w:eastAsiaTheme="minorEastAsia"/>
          <w:sz w:val="24"/>
          <w:szCs w:val="24"/>
          <w:lang w:val="en-GB" w:eastAsia="el-GR"/>
        </w:rPr>
        <w:t>Microcrystalline cellulose</w:t>
      </w:r>
    </w:p>
    <w:p w14:paraId="546A35D2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  <w:r w:rsidRPr="0032259F">
        <w:rPr>
          <w:rFonts w:eastAsiaTheme="minorEastAsia"/>
          <w:sz w:val="24"/>
          <w:szCs w:val="24"/>
          <w:lang w:val="en-GB" w:eastAsia="el-GR"/>
        </w:rPr>
        <w:t>Povidone</w:t>
      </w:r>
    </w:p>
    <w:p w14:paraId="099FADCE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  <w:r w:rsidRPr="0032259F">
        <w:rPr>
          <w:rFonts w:eastAsiaTheme="minorEastAsia"/>
          <w:sz w:val="24"/>
          <w:szCs w:val="24"/>
          <w:lang w:val="en-GB" w:eastAsia="el-GR"/>
        </w:rPr>
        <w:t>Sodium starch glycolate</w:t>
      </w:r>
    </w:p>
    <w:p w14:paraId="4DDB7C9F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  <w:r w:rsidRPr="0032259F">
        <w:rPr>
          <w:rFonts w:eastAsiaTheme="minorEastAsia"/>
          <w:sz w:val="24"/>
          <w:szCs w:val="24"/>
          <w:lang w:val="en-GB" w:eastAsia="el-GR"/>
        </w:rPr>
        <w:t xml:space="preserve">Magnesium stearate </w:t>
      </w:r>
    </w:p>
    <w:p w14:paraId="7848AFDB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</w:p>
    <w:p w14:paraId="178F6B6F" w14:textId="77777777" w:rsidR="002C7328" w:rsidRPr="0032259F" w:rsidRDefault="002C7328" w:rsidP="00502830">
      <w:pPr>
        <w:ind w:left="851"/>
        <w:rPr>
          <w:rFonts w:eastAsiaTheme="minorEastAsia"/>
          <w:i/>
          <w:iCs/>
          <w:sz w:val="24"/>
          <w:szCs w:val="24"/>
          <w:u w:val="single"/>
          <w:lang w:val="en-GB" w:eastAsia="el-GR"/>
        </w:rPr>
      </w:pPr>
      <w:r w:rsidRPr="0032259F">
        <w:rPr>
          <w:rFonts w:eastAsiaTheme="minorEastAsia"/>
          <w:i/>
          <w:iCs/>
          <w:sz w:val="24"/>
          <w:szCs w:val="24"/>
          <w:u w:val="single"/>
          <w:lang w:val="en-GB" w:eastAsia="el-GR"/>
        </w:rPr>
        <w:t xml:space="preserve">Tablet coating </w:t>
      </w:r>
    </w:p>
    <w:p w14:paraId="74193300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  <w:r w:rsidRPr="0032259F">
        <w:rPr>
          <w:rFonts w:eastAsiaTheme="minorEastAsia"/>
          <w:sz w:val="24"/>
          <w:szCs w:val="24"/>
          <w:lang w:val="en-GB" w:eastAsia="el-GR"/>
        </w:rPr>
        <w:t>Titanium dioxide (E171)</w:t>
      </w:r>
    </w:p>
    <w:p w14:paraId="05C67141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  <w:r w:rsidRPr="0032259F">
        <w:rPr>
          <w:rFonts w:eastAsiaTheme="minorEastAsia"/>
          <w:sz w:val="24"/>
          <w:szCs w:val="24"/>
          <w:lang w:val="en-GB" w:eastAsia="el-GR"/>
        </w:rPr>
        <w:t>Hypromellose (E464)</w:t>
      </w:r>
    </w:p>
    <w:p w14:paraId="28F36D9B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  <w:r w:rsidRPr="0032259F">
        <w:rPr>
          <w:rFonts w:eastAsiaTheme="minorEastAsia"/>
          <w:sz w:val="24"/>
          <w:szCs w:val="24"/>
          <w:lang w:val="en-GB" w:eastAsia="el-GR"/>
        </w:rPr>
        <w:t>Macrogol (E1521)</w:t>
      </w:r>
    </w:p>
    <w:p w14:paraId="1DC0A67B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  <w:r w:rsidRPr="0032259F">
        <w:rPr>
          <w:rFonts w:eastAsiaTheme="minorEastAsia"/>
          <w:sz w:val="24"/>
          <w:szCs w:val="24"/>
          <w:lang w:val="en-GB" w:eastAsia="el-GR"/>
        </w:rPr>
        <w:t>Polysorbate 80 (E433)</w:t>
      </w:r>
    </w:p>
    <w:p w14:paraId="02BF87FE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</w:p>
    <w:p w14:paraId="08D0BD72" w14:textId="3CEE73E9" w:rsidR="002C7328" w:rsidRPr="0032259F" w:rsidRDefault="004745B3" w:rsidP="00502830">
      <w:pPr>
        <w:ind w:left="851"/>
        <w:rPr>
          <w:rFonts w:eastAsiaTheme="minorEastAsia"/>
          <w:sz w:val="24"/>
          <w:szCs w:val="24"/>
          <w:u w:val="single"/>
          <w:lang w:val="en-GB" w:eastAsia="el-GR"/>
        </w:rPr>
      </w:pPr>
      <w:proofErr w:type="spellStart"/>
      <w:r w:rsidRPr="0032259F">
        <w:rPr>
          <w:rFonts w:eastAsiaTheme="minorEastAsia"/>
          <w:sz w:val="24"/>
          <w:szCs w:val="24"/>
          <w:u w:val="single"/>
          <w:lang w:val="en-GB" w:eastAsia="el-GR"/>
        </w:rPr>
        <w:t>Eltrombopag</w:t>
      </w:r>
      <w:proofErr w:type="spellEnd"/>
      <w:r w:rsidRPr="0032259F">
        <w:rPr>
          <w:rFonts w:eastAsiaTheme="minorEastAsia"/>
          <w:sz w:val="24"/>
          <w:szCs w:val="24"/>
          <w:u w:val="single"/>
          <w:lang w:val="en-GB" w:eastAsia="el-GR"/>
        </w:rPr>
        <w:t xml:space="preserve"> "</w:t>
      </w:r>
      <w:proofErr w:type="spellStart"/>
      <w:r w:rsidRPr="0032259F">
        <w:rPr>
          <w:rFonts w:eastAsiaTheme="minorEastAsia"/>
          <w:sz w:val="24"/>
          <w:szCs w:val="24"/>
          <w:u w:val="single"/>
          <w:lang w:val="en-GB" w:eastAsia="el-GR"/>
        </w:rPr>
        <w:t>Vipharm</w:t>
      </w:r>
      <w:proofErr w:type="spellEnd"/>
      <w:r w:rsidRPr="0032259F">
        <w:rPr>
          <w:rFonts w:eastAsiaTheme="minorEastAsia"/>
          <w:sz w:val="24"/>
          <w:szCs w:val="24"/>
          <w:u w:val="single"/>
          <w:lang w:val="en-GB" w:eastAsia="el-GR"/>
        </w:rPr>
        <w:t>"</w:t>
      </w:r>
      <w:r w:rsidR="002C7328" w:rsidRPr="0032259F">
        <w:rPr>
          <w:rFonts w:eastAsiaTheme="minorEastAsia"/>
          <w:sz w:val="24"/>
          <w:szCs w:val="24"/>
          <w:u w:val="single"/>
          <w:lang w:val="en-GB" w:eastAsia="el-GR"/>
        </w:rPr>
        <w:t xml:space="preserve"> 50 mg film-coated tablets</w:t>
      </w:r>
    </w:p>
    <w:p w14:paraId="4B006B4C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</w:p>
    <w:p w14:paraId="6A212BDF" w14:textId="77777777" w:rsidR="002C7328" w:rsidRPr="0032259F" w:rsidRDefault="002C7328" w:rsidP="00502830">
      <w:pPr>
        <w:ind w:left="851"/>
        <w:rPr>
          <w:rFonts w:eastAsiaTheme="minorEastAsia"/>
          <w:i/>
          <w:iCs/>
          <w:sz w:val="24"/>
          <w:szCs w:val="24"/>
          <w:u w:val="single"/>
          <w:lang w:val="en-GB" w:eastAsia="el-GR"/>
        </w:rPr>
      </w:pPr>
      <w:r w:rsidRPr="0032259F">
        <w:rPr>
          <w:rFonts w:eastAsiaTheme="minorEastAsia"/>
          <w:i/>
          <w:iCs/>
          <w:sz w:val="24"/>
          <w:szCs w:val="24"/>
          <w:u w:val="single"/>
          <w:lang w:val="en-GB" w:eastAsia="el-GR"/>
        </w:rPr>
        <w:t xml:space="preserve">Tablet core </w:t>
      </w:r>
    </w:p>
    <w:p w14:paraId="159D02CD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  <w:r w:rsidRPr="0032259F">
        <w:rPr>
          <w:rFonts w:eastAsiaTheme="minorEastAsia"/>
          <w:sz w:val="24"/>
          <w:szCs w:val="24"/>
          <w:lang w:val="en-GB" w:eastAsia="el-GR"/>
        </w:rPr>
        <w:t>Mannitol (E421)</w:t>
      </w:r>
    </w:p>
    <w:p w14:paraId="43811E75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  <w:r w:rsidRPr="0032259F">
        <w:rPr>
          <w:rFonts w:eastAsiaTheme="minorEastAsia"/>
          <w:sz w:val="24"/>
          <w:szCs w:val="24"/>
          <w:lang w:val="en-GB" w:eastAsia="el-GR"/>
        </w:rPr>
        <w:t>Microcrystalline cellulose</w:t>
      </w:r>
    </w:p>
    <w:p w14:paraId="4B7A39E2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  <w:r w:rsidRPr="0032259F">
        <w:rPr>
          <w:rFonts w:eastAsiaTheme="minorEastAsia"/>
          <w:sz w:val="24"/>
          <w:szCs w:val="24"/>
          <w:lang w:val="en-GB" w:eastAsia="el-GR"/>
        </w:rPr>
        <w:t>Povidone</w:t>
      </w:r>
    </w:p>
    <w:p w14:paraId="2B0B629A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  <w:r w:rsidRPr="0032259F">
        <w:rPr>
          <w:rFonts w:eastAsiaTheme="minorEastAsia"/>
          <w:sz w:val="24"/>
          <w:szCs w:val="24"/>
          <w:lang w:val="en-GB" w:eastAsia="el-GR"/>
        </w:rPr>
        <w:t>Sodium starch glycolate</w:t>
      </w:r>
    </w:p>
    <w:p w14:paraId="6ED27D11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  <w:r w:rsidRPr="0032259F">
        <w:rPr>
          <w:rFonts w:eastAsiaTheme="minorEastAsia"/>
          <w:sz w:val="24"/>
          <w:szCs w:val="24"/>
          <w:lang w:val="en-GB" w:eastAsia="el-GR"/>
        </w:rPr>
        <w:t xml:space="preserve">Magnesium stearate </w:t>
      </w:r>
    </w:p>
    <w:p w14:paraId="1C14EE30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</w:p>
    <w:p w14:paraId="6A026866" w14:textId="77777777" w:rsidR="002C7328" w:rsidRPr="0032259F" w:rsidRDefault="002C7328" w:rsidP="00502830">
      <w:pPr>
        <w:ind w:left="851"/>
        <w:rPr>
          <w:rFonts w:eastAsiaTheme="minorEastAsia"/>
          <w:i/>
          <w:iCs/>
          <w:sz w:val="24"/>
          <w:szCs w:val="24"/>
          <w:u w:val="single"/>
          <w:lang w:val="en-GB" w:eastAsia="el-GR"/>
        </w:rPr>
      </w:pPr>
      <w:r w:rsidRPr="0032259F">
        <w:rPr>
          <w:rFonts w:eastAsiaTheme="minorEastAsia"/>
          <w:i/>
          <w:iCs/>
          <w:sz w:val="24"/>
          <w:szCs w:val="24"/>
          <w:u w:val="single"/>
          <w:lang w:val="en-GB" w:eastAsia="el-GR"/>
        </w:rPr>
        <w:t xml:space="preserve">Tablet coating </w:t>
      </w:r>
    </w:p>
    <w:p w14:paraId="796BFD66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  <w:r w:rsidRPr="0032259F">
        <w:rPr>
          <w:rFonts w:eastAsiaTheme="minorEastAsia"/>
          <w:sz w:val="24"/>
          <w:szCs w:val="24"/>
          <w:lang w:val="en-GB" w:eastAsia="el-GR"/>
        </w:rPr>
        <w:t>Titanium dioxide (E171)</w:t>
      </w:r>
    </w:p>
    <w:p w14:paraId="3EE524EC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  <w:r w:rsidRPr="0032259F">
        <w:rPr>
          <w:rFonts w:eastAsiaTheme="minorEastAsia"/>
          <w:sz w:val="24"/>
          <w:szCs w:val="24"/>
          <w:lang w:val="en-GB" w:eastAsia="el-GR"/>
        </w:rPr>
        <w:t>Hypromellose (E464)</w:t>
      </w:r>
    </w:p>
    <w:p w14:paraId="77C636BE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  <w:r w:rsidRPr="0032259F">
        <w:rPr>
          <w:rFonts w:eastAsiaTheme="minorEastAsia"/>
          <w:sz w:val="24"/>
          <w:szCs w:val="24"/>
          <w:lang w:val="en-GB" w:eastAsia="el-GR"/>
        </w:rPr>
        <w:t>Macrogol (E1521)</w:t>
      </w:r>
    </w:p>
    <w:p w14:paraId="0A2EFC08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  <w:r w:rsidRPr="0032259F">
        <w:rPr>
          <w:rFonts w:eastAsiaTheme="minorEastAsia"/>
          <w:sz w:val="24"/>
          <w:szCs w:val="24"/>
          <w:lang w:val="en-GB" w:eastAsia="el-GR"/>
        </w:rPr>
        <w:t xml:space="preserve">Iron oxide red (E172) </w:t>
      </w:r>
    </w:p>
    <w:p w14:paraId="47876CB0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  <w:r w:rsidRPr="0032259F">
        <w:rPr>
          <w:rFonts w:eastAsiaTheme="minorEastAsia"/>
          <w:sz w:val="24"/>
          <w:szCs w:val="24"/>
          <w:lang w:val="en-GB" w:eastAsia="el-GR"/>
        </w:rPr>
        <w:t xml:space="preserve">Iron oxide yellow (E172) </w:t>
      </w:r>
    </w:p>
    <w:p w14:paraId="02D64622" w14:textId="0091093B" w:rsidR="0032259F" w:rsidRDefault="0032259F">
      <w:pPr>
        <w:rPr>
          <w:rFonts w:eastAsiaTheme="minorEastAsia"/>
          <w:sz w:val="24"/>
          <w:szCs w:val="24"/>
          <w:lang w:val="en-GB" w:eastAsia="el-GR"/>
        </w:rPr>
      </w:pPr>
      <w:r>
        <w:rPr>
          <w:rFonts w:eastAsiaTheme="minorEastAsia"/>
          <w:sz w:val="24"/>
          <w:szCs w:val="24"/>
          <w:lang w:val="en-GB" w:eastAsia="el-GR"/>
        </w:rPr>
        <w:br w:type="page"/>
      </w:r>
    </w:p>
    <w:p w14:paraId="571BDAEC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</w:p>
    <w:p w14:paraId="714D381A" w14:textId="42773CCC" w:rsidR="002C7328" w:rsidRPr="0032259F" w:rsidRDefault="004745B3" w:rsidP="00502830">
      <w:pPr>
        <w:ind w:left="851"/>
        <w:rPr>
          <w:rFonts w:eastAsiaTheme="minorEastAsia"/>
          <w:sz w:val="24"/>
          <w:szCs w:val="24"/>
          <w:u w:val="single"/>
          <w:lang w:val="en-GB" w:eastAsia="el-GR"/>
        </w:rPr>
      </w:pPr>
      <w:proofErr w:type="spellStart"/>
      <w:r w:rsidRPr="0032259F">
        <w:rPr>
          <w:rFonts w:eastAsiaTheme="minorEastAsia"/>
          <w:sz w:val="24"/>
          <w:szCs w:val="24"/>
          <w:u w:val="single"/>
          <w:lang w:val="en-GB" w:eastAsia="el-GR"/>
        </w:rPr>
        <w:t>Eltrombopag</w:t>
      </w:r>
      <w:proofErr w:type="spellEnd"/>
      <w:r w:rsidRPr="0032259F">
        <w:rPr>
          <w:rFonts w:eastAsiaTheme="minorEastAsia"/>
          <w:sz w:val="24"/>
          <w:szCs w:val="24"/>
          <w:u w:val="single"/>
          <w:lang w:val="en-GB" w:eastAsia="el-GR"/>
        </w:rPr>
        <w:t xml:space="preserve"> "</w:t>
      </w:r>
      <w:proofErr w:type="spellStart"/>
      <w:r w:rsidRPr="0032259F">
        <w:rPr>
          <w:rFonts w:eastAsiaTheme="minorEastAsia"/>
          <w:sz w:val="24"/>
          <w:szCs w:val="24"/>
          <w:u w:val="single"/>
          <w:lang w:val="en-GB" w:eastAsia="el-GR"/>
        </w:rPr>
        <w:t>Vipharm</w:t>
      </w:r>
      <w:proofErr w:type="spellEnd"/>
      <w:r w:rsidRPr="0032259F">
        <w:rPr>
          <w:rFonts w:eastAsiaTheme="minorEastAsia"/>
          <w:sz w:val="24"/>
          <w:szCs w:val="24"/>
          <w:u w:val="single"/>
          <w:lang w:val="en-GB" w:eastAsia="el-GR"/>
        </w:rPr>
        <w:t>"</w:t>
      </w:r>
      <w:r w:rsidR="002C7328" w:rsidRPr="0032259F">
        <w:rPr>
          <w:rFonts w:eastAsiaTheme="minorEastAsia"/>
          <w:sz w:val="24"/>
          <w:szCs w:val="24"/>
          <w:u w:val="single"/>
          <w:lang w:val="en-GB" w:eastAsia="el-GR"/>
        </w:rPr>
        <w:t xml:space="preserve"> 75 mg film-coated tablets</w:t>
      </w:r>
    </w:p>
    <w:p w14:paraId="3A6E2EAA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</w:p>
    <w:p w14:paraId="30010BD9" w14:textId="77777777" w:rsidR="002C7328" w:rsidRPr="0032259F" w:rsidRDefault="002C7328" w:rsidP="00502830">
      <w:pPr>
        <w:ind w:left="851"/>
        <w:rPr>
          <w:rFonts w:eastAsiaTheme="minorEastAsia"/>
          <w:i/>
          <w:iCs/>
          <w:sz w:val="24"/>
          <w:szCs w:val="24"/>
          <w:u w:val="single"/>
          <w:lang w:val="en-GB" w:eastAsia="el-GR"/>
        </w:rPr>
      </w:pPr>
      <w:r w:rsidRPr="0032259F">
        <w:rPr>
          <w:rFonts w:eastAsiaTheme="minorEastAsia"/>
          <w:i/>
          <w:iCs/>
          <w:sz w:val="24"/>
          <w:szCs w:val="24"/>
          <w:u w:val="single"/>
          <w:lang w:val="en-GB" w:eastAsia="el-GR"/>
        </w:rPr>
        <w:t xml:space="preserve">Tablet core </w:t>
      </w:r>
    </w:p>
    <w:p w14:paraId="33304060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  <w:r w:rsidRPr="0032259F">
        <w:rPr>
          <w:rFonts w:eastAsiaTheme="minorEastAsia"/>
          <w:sz w:val="24"/>
          <w:szCs w:val="24"/>
          <w:lang w:val="en-GB" w:eastAsia="el-GR"/>
        </w:rPr>
        <w:t>Mannitol (E421)</w:t>
      </w:r>
    </w:p>
    <w:p w14:paraId="5D2273B9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  <w:r w:rsidRPr="0032259F">
        <w:rPr>
          <w:rFonts w:eastAsiaTheme="minorEastAsia"/>
          <w:sz w:val="24"/>
          <w:szCs w:val="24"/>
          <w:lang w:val="en-GB" w:eastAsia="el-GR"/>
        </w:rPr>
        <w:t>Microcrystalline cellulose</w:t>
      </w:r>
    </w:p>
    <w:p w14:paraId="0DBE59AD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  <w:r w:rsidRPr="0032259F">
        <w:rPr>
          <w:rFonts w:eastAsiaTheme="minorEastAsia"/>
          <w:sz w:val="24"/>
          <w:szCs w:val="24"/>
          <w:lang w:val="en-GB" w:eastAsia="el-GR"/>
        </w:rPr>
        <w:t>Povidone</w:t>
      </w:r>
    </w:p>
    <w:p w14:paraId="5A82F0AD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  <w:r w:rsidRPr="0032259F">
        <w:rPr>
          <w:rFonts w:eastAsiaTheme="minorEastAsia"/>
          <w:sz w:val="24"/>
          <w:szCs w:val="24"/>
          <w:lang w:val="en-GB" w:eastAsia="el-GR"/>
        </w:rPr>
        <w:t>Sodium starch glycolate</w:t>
      </w:r>
    </w:p>
    <w:p w14:paraId="6C580AD7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  <w:r w:rsidRPr="0032259F">
        <w:rPr>
          <w:rFonts w:eastAsiaTheme="minorEastAsia"/>
          <w:sz w:val="24"/>
          <w:szCs w:val="24"/>
          <w:lang w:val="en-GB" w:eastAsia="el-GR"/>
        </w:rPr>
        <w:t xml:space="preserve">Magnesium stearate </w:t>
      </w:r>
    </w:p>
    <w:p w14:paraId="08A4CCD3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</w:p>
    <w:p w14:paraId="355271BA" w14:textId="77777777" w:rsidR="002C7328" w:rsidRPr="0032259F" w:rsidRDefault="002C7328" w:rsidP="00502830">
      <w:pPr>
        <w:ind w:left="851"/>
        <w:rPr>
          <w:rFonts w:eastAsiaTheme="minorEastAsia"/>
          <w:i/>
          <w:iCs/>
          <w:sz w:val="24"/>
          <w:szCs w:val="24"/>
          <w:u w:val="single"/>
          <w:lang w:val="en-GB" w:eastAsia="el-GR"/>
        </w:rPr>
      </w:pPr>
      <w:r w:rsidRPr="0032259F">
        <w:rPr>
          <w:rFonts w:eastAsiaTheme="minorEastAsia"/>
          <w:i/>
          <w:iCs/>
          <w:sz w:val="24"/>
          <w:szCs w:val="24"/>
          <w:u w:val="single"/>
          <w:lang w:val="en-GB" w:eastAsia="el-GR"/>
        </w:rPr>
        <w:t xml:space="preserve">Tablet coating </w:t>
      </w:r>
    </w:p>
    <w:p w14:paraId="36E1B374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  <w:r w:rsidRPr="0032259F">
        <w:rPr>
          <w:rFonts w:eastAsiaTheme="minorEastAsia"/>
          <w:sz w:val="24"/>
          <w:szCs w:val="24"/>
          <w:lang w:val="en-GB" w:eastAsia="el-GR"/>
        </w:rPr>
        <w:t>Titanium dioxide (E171)</w:t>
      </w:r>
    </w:p>
    <w:p w14:paraId="0BAE3C8A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  <w:r w:rsidRPr="0032259F">
        <w:rPr>
          <w:rFonts w:eastAsiaTheme="minorEastAsia"/>
          <w:sz w:val="24"/>
          <w:szCs w:val="24"/>
          <w:lang w:val="en-GB" w:eastAsia="el-GR"/>
        </w:rPr>
        <w:t>Hypromellose (E464)</w:t>
      </w:r>
    </w:p>
    <w:p w14:paraId="365533FA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  <w:r w:rsidRPr="0032259F">
        <w:rPr>
          <w:rFonts w:eastAsiaTheme="minorEastAsia"/>
          <w:sz w:val="24"/>
          <w:szCs w:val="24"/>
          <w:lang w:val="en-GB" w:eastAsia="el-GR"/>
        </w:rPr>
        <w:t>Macrogol (E1521)</w:t>
      </w:r>
    </w:p>
    <w:p w14:paraId="7DB7E059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  <w:r w:rsidRPr="0032259F">
        <w:rPr>
          <w:rFonts w:eastAsiaTheme="minorEastAsia"/>
          <w:sz w:val="24"/>
          <w:szCs w:val="24"/>
          <w:lang w:val="en-GB" w:eastAsia="el-GR"/>
        </w:rPr>
        <w:t xml:space="preserve">Iron oxide red (E172) </w:t>
      </w:r>
    </w:p>
    <w:p w14:paraId="1226B111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  <w:r w:rsidRPr="0032259F">
        <w:rPr>
          <w:rFonts w:eastAsiaTheme="minorEastAsia"/>
          <w:sz w:val="24"/>
          <w:szCs w:val="24"/>
          <w:lang w:val="en-GB" w:eastAsia="el-GR"/>
        </w:rPr>
        <w:t xml:space="preserve">Iron oxide black (E172) </w:t>
      </w:r>
    </w:p>
    <w:p w14:paraId="35B2E20A" w14:textId="77777777" w:rsidR="007C5D2A" w:rsidRPr="0032259F" w:rsidRDefault="007C5D2A" w:rsidP="003D727E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2A9657E7" w14:textId="77777777" w:rsidR="007C5D2A" w:rsidRPr="0032259F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32259F">
        <w:rPr>
          <w:b/>
          <w:sz w:val="24"/>
          <w:szCs w:val="24"/>
          <w:lang w:val="en-GB"/>
        </w:rPr>
        <w:t>6.2</w:t>
      </w:r>
      <w:r w:rsidRPr="0032259F">
        <w:rPr>
          <w:b/>
          <w:sz w:val="24"/>
          <w:szCs w:val="24"/>
          <w:lang w:val="en-GB"/>
        </w:rPr>
        <w:tab/>
        <w:t>Incompatibilities</w:t>
      </w:r>
    </w:p>
    <w:p w14:paraId="1AE44D4F" w14:textId="77777777" w:rsidR="002C7328" w:rsidRPr="0032259F" w:rsidRDefault="002C7328" w:rsidP="00502830">
      <w:pPr>
        <w:ind w:left="851"/>
        <w:rPr>
          <w:noProof/>
          <w:sz w:val="24"/>
          <w:szCs w:val="24"/>
          <w:lang w:val="en-GB"/>
        </w:rPr>
      </w:pPr>
      <w:r w:rsidRPr="0032259F">
        <w:rPr>
          <w:noProof/>
          <w:sz w:val="24"/>
          <w:szCs w:val="24"/>
          <w:lang w:val="en-GB"/>
        </w:rPr>
        <w:t xml:space="preserve">Not applicable. </w:t>
      </w:r>
    </w:p>
    <w:p w14:paraId="5A6C3B48" w14:textId="77777777" w:rsidR="007C5D2A" w:rsidRPr="0032259F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052B255B" w14:textId="77777777" w:rsidR="007C5D2A" w:rsidRPr="0032259F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32259F">
        <w:rPr>
          <w:b/>
          <w:sz w:val="24"/>
          <w:szCs w:val="24"/>
          <w:lang w:val="en-GB"/>
        </w:rPr>
        <w:t>6.3</w:t>
      </w:r>
      <w:r w:rsidRPr="0032259F">
        <w:rPr>
          <w:b/>
          <w:sz w:val="24"/>
          <w:szCs w:val="24"/>
          <w:lang w:val="en-GB"/>
        </w:rPr>
        <w:tab/>
        <w:t>Shelf</w:t>
      </w:r>
      <w:r w:rsidR="00B45DC5" w:rsidRPr="0032259F">
        <w:rPr>
          <w:b/>
          <w:sz w:val="24"/>
          <w:szCs w:val="24"/>
          <w:lang w:val="en-GB"/>
        </w:rPr>
        <w:t xml:space="preserve"> </w:t>
      </w:r>
      <w:r w:rsidRPr="0032259F">
        <w:rPr>
          <w:b/>
          <w:sz w:val="24"/>
          <w:szCs w:val="24"/>
          <w:lang w:val="en-GB"/>
        </w:rPr>
        <w:t>life</w:t>
      </w:r>
    </w:p>
    <w:p w14:paraId="1E01A32A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  <w:r w:rsidRPr="0032259F">
        <w:rPr>
          <w:sz w:val="24"/>
          <w:szCs w:val="24"/>
          <w:lang w:val="en-GB"/>
        </w:rPr>
        <w:t>36 months</w:t>
      </w:r>
      <w:r w:rsidRPr="0032259F">
        <w:rPr>
          <w:rFonts w:eastAsiaTheme="minorEastAsia"/>
          <w:sz w:val="24"/>
          <w:szCs w:val="24"/>
          <w:lang w:val="en-GB" w:eastAsia="el-GR"/>
        </w:rPr>
        <w:t>.</w:t>
      </w:r>
    </w:p>
    <w:p w14:paraId="6251114D" w14:textId="77777777" w:rsidR="007C5D2A" w:rsidRPr="0032259F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5B119442" w14:textId="77777777" w:rsidR="007C5D2A" w:rsidRPr="0032259F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32259F">
        <w:rPr>
          <w:b/>
          <w:sz w:val="24"/>
          <w:szCs w:val="24"/>
          <w:lang w:val="en-GB"/>
        </w:rPr>
        <w:t>6.4</w:t>
      </w:r>
      <w:r w:rsidRPr="0032259F">
        <w:rPr>
          <w:b/>
          <w:sz w:val="24"/>
          <w:szCs w:val="24"/>
          <w:lang w:val="en-GB"/>
        </w:rPr>
        <w:tab/>
        <w:t>Special precautions for storage</w:t>
      </w:r>
    </w:p>
    <w:p w14:paraId="00AB7B50" w14:textId="64537303" w:rsidR="002C7328" w:rsidRPr="0032259F" w:rsidRDefault="004745B3" w:rsidP="00502830">
      <w:pPr>
        <w:ind w:left="851"/>
        <w:rPr>
          <w:rFonts w:eastAsiaTheme="minorEastAsia"/>
          <w:sz w:val="24"/>
          <w:szCs w:val="24"/>
          <w:highlight w:val="yellow"/>
          <w:lang w:val="en-GB" w:eastAsia="el-GR"/>
        </w:rPr>
      </w:pPr>
      <w:proofErr w:type="spellStart"/>
      <w:r w:rsidRPr="0032259F">
        <w:rPr>
          <w:rFonts w:eastAsiaTheme="minorEastAsia"/>
          <w:sz w:val="24"/>
          <w:szCs w:val="24"/>
          <w:lang w:val="en-GB" w:eastAsia="el-GR"/>
        </w:rPr>
        <w:t>Eltrombopag</w:t>
      </w:r>
      <w:proofErr w:type="spellEnd"/>
      <w:r w:rsidRPr="0032259F">
        <w:rPr>
          <w:rFonts w:eastAsiaTheme="minorEastAsia"/>
          <w:sz w:val="24"/>
          <w:szCs w:val="24"/>
          <w:lang w:val="en-GB" w:eastAsia="el-GR"/>
        </w:rPr>
        <w:t xml:space="preserve"> "</w:t>
      </w:r>
      <w:proofErr w:type="spellStart"/>
      <w:r w:rsidRPr="0032259F">
        <w:rPr>
          <w:rFonts w:eastAsiaTheme="minorEastAsia"/>
          <w:sz w:val="24"/>
          <w:szCs w:val="24"/>
          <w:lang w:val="en-GB" w:eastAsia="el-GR"/>
        </w:rPr>
        <w:t>Vipharm</w:t>
      </w:r>
      <w:proofErr w:type="spellEnd"/>
      <w:r w:rsidRPr="0032259F">
        <w:rPr>
          <w:rFonts w:eastAsiaTheme="minorEastAsia"/>
          <w:sz w:val="24"/>
          <w:szCs w:val="24"/>
          <w:lang w:val="en-GB" w:eastAsia="el-GR"/>
        </w:rPr>
        <w:t>"</w:t>
      </w:r>
      <w:r w:rsidR="002C7328" w:rsidRPr="0032259F">
        <w:rPr>
          <w:rFonts w:eastAsiaTheme="minorEastAsia"/>
          <w:sz w:val="24"/>
          <w:szCs w:val="24"/>
          <w:lang w:val="en-GB" w:eastAsia="el-GR"/>
        </w:rPr>
        <w:t xml:space="preserve"> 12.5 mg and 25 mg film-coated tablets does not require any special storage conditions.</w:t>
      </w:r>
    </w:p>
    <w:p w14:paraId="4DA6617C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</w:p>
    <w:p w14:paraId="02F6BF73" w14:textId="18740F38" w:rsidR="002C7328" w:rsidRPr="0032259F" w:rsidRDefault="004745B3" w:rsidP="00502830">
      <w:pPr>
        <w:ind w:left="851"/>
        <w:rPr>
          <w:rFonts w:eastAsiaTheme="minorEastAsia"/>
          <w:sz w:val="24"/>
          <w:szCs w:val="24"/>
          <w:highlight w:val="yellow"/>
          <w:lang w:val="en-GB" w:eastAsia="el-GR"/>
        </w:rPr>
      </w:pPr>
      <w:proofErr w:type="spellStart"/>
      <w:r w:rsidRPr="0032259F">
        <w:rPr>
          <w:rFonts w:eastAsiaTheme="minorEastAsia"/>
          <w:sz w:val="24"/>
          <w:szCs w:val="24"/>
          <w:lang w:val="en-GB" w:eastAsia="el-GR"/>
        </w:rPr>
        <w:t>Eltrombopag</w:t>
      </w:r>
      <w:proofErr w:type="spellEnd"/>
      <w:r w:rsidRPr="0032259F">
        <w:rPr>
          <w:rFonts w:eastAsiaTheme="minorEastAsia"/>
          <w:sz w:val="24"/>
          <w:szCs w:val="24"/>
          <w:lang w:val="en-GB" w:eastAsia="el-GR"/>
        </w:rPr>
        <w:t xml:space="preserve"> "</w:t>
      </w:r>
      <w:proofErr w:type="spellStart"/>
      <w:r w:rsidRPr="0032259F">
        <w:rPr>
          <w:rFonts w:eastAsiaTheme="minorEastAsia"/>
          <w:sz w:val="24"/>
          <w:szCs w:val="24"/>
          <w:lang w:val="en-GB" w:eastAsia="el-GR"/>
        </w:rPr>
        <w:t>Vipharm</w:t>
      </w:r>
      <w:proofErr w:type="spellEnd"/>
      <w:r w:rsidRPr="0032259F">
        <w:rPr>
          <w:rFonts w:eastAsiaTheme="minorEastAsia"/>
          <w:sz w:val="24"/>
          <w:szCs w:val="24"/>
          <w:lang w:val="en-GB" w:eastAsia="el-GR"/>
        </w:rPr>
        <w:t>"</w:t>
      </w:r>
      <w:r w:rsidR="002C7328" w:rsidRPr="0032259F">
        <w:rPr>
          <w:rFonts w:eastAsiaTheme="minorEastAsia"/>
          <w:sz w:val="24"/>
          <w:szCs w:val="24"/>
          <w:lang w:val="en-GB" w:eastAsia="el-GR"/>
        </w:rPr>
        <w:t xml:space="preserve"> 50 mg and 75 mg film-coated tablets does not require any special temperature storage conditions; store in the original packaging in order to protect from light.</w:t>
      </w:r>
    </w:p>
    <w:p w14:paraId="3A5FD728" w14:textId="77777777" w:rsidR="007C5D2A" w:rsidRPr="0032259F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09CDF8FE" w14:textId="77777777" w:rsidR="007C5D2A" w:rsidRPr="0032259F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32259F">
        <w:rPr>
          <w:b/>
          <w:sz w:val="24"/>
          <w:szCs w:val="24"/>
          <w:lang w:val="en-GB"/>
        </w:rPr>
        <w:t>6.5</w:t>
      </w:r>
      <w:r w:rsidRPr="0032259F">
        <w:rPr>
          <w:b/>
          <w:sz w:val="24"/>
          <w:szCs w:val="24"/>
          <w:lang w:val="en-GB"/>
        </w:rPr>
        <w:tab/>
        <w:t>Nature and contents of container</w:t>
      </w:r>
    </w:p>
    <w:p w14:paraId="3649AE7A" w14:textId="77777777" w:rsidR="006908A9" w:rsidRPr="0032259F" w:rsidRDefault="006908A9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</w:p>
    <w:p w14:paraId="55579316" w14:textId="79CFDC77" w:rsidR="002C7328" w:rsidRPr="0032259F" w:rsidRDefault="002C7328" w:rsidP="00502830">
      <w:pPr>
        <w:ind w:left="851"/>
        <w:rPr>
          <w:rFonts w:eastAsiaTheme="minorEastAsia"/>
          <w:sz w:val="24"/>
          <w:szCs w:val="24"/>
          <w:u w:val="single"/>
          <w:lang w:val="en-GB" w:eastAsia="el-GR"/>
        </w:rPr>
      </w:pPr>
      <w:r w:rsidRPr="0032259F">
        <w:rPr>
          <w:rFonts w:eastAsiaTheme="minorEastAsia"/>
          <w:sz w:val="24"/>
          <w:szCs w:val="24"/>
          <w:u w:val="single"/>
          <w:lang w:val="en-GB" w:eastAsia="el-GR"/>
        </w:rPr>
        <w:t>Film-coated tablets</w:t>
      </w:r>
    </w:p>
    <w:p w14:paraId="2D138A91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  <w:proofErr w:type="spellStart"/>
      <w:r w:rsidRPr="0032259F">
        <w:rPr>
          <w:rFonts w:eastAsiaTheme="minorEastAsia"/>
          <w:sz w:val="24"/>
          <w:szCs w:val="24"/>
          <w:lang w:val="en-GB" w:eastAsia="el-GR"/>
        </w:rPr>
        <w:t>Aluminum</w:t>
      </w:r>
      <w:proofErr w:type="spellEnd"/>
      <w:r w:rsidRPr="0032259F">
        <w:rPr>
          <w:rFonts w:eastAsiaTheme="minorEastAsia"/>
          <w:sz w:val="24"/>
          <w:szCs w:val="24"/>
          <w:lang w:val="en-GB" w:eastAsia="el-GR"/>
        </w:rPr>
        <w:t xml:space="preserve"> blisters (PA/Alu/PVC/Alu) in a carton containing 14 or 28 or 84 film-coated tablets.</w:t>
      </w:r>
    </w:p>
    <w:p w14:paraId="61B7B4DD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</w:p>
    <w:p w14:paraId="5FA27A78" w14:textId="77777777" w:rsidR="002C7328" w:rsidRPr="0032259F" w:rsidRDefault="002C7328" w:rsidP="00502830">
      <w:pPr>
        <w:ind w:left="851"/>
        <w:rPr>
          <w:rFonts w:eastAsiaTheme="minorEastAsia"/>
          <w:sz w:val="24"/>
          <w:szCs w:val="24"/>
          <w:lang w:val="en-GB" w:eastAsia="el-GR"/>
        </w:rPr>
      </w:pPr>
      <w:r w:rsidRPr="0032259F">
        <w:rPr>
          <w:rFonts w:eastAsiaTheme="minorEastAsia"/>
          <w:sz w:val="24"/>
          <w:szCs w:val="24"/>
          <w:lang w:val="en-GB" w:eastAsia="el-GR"/>
        </w:rPr>
        <w:t>Not all pack sizes may be marketed.</w:t>
      </w:r>
    </w:p>
    <w:p w14:paraId="52B7CB43" w14:textId="77777777" w:rsidR="007C5D2A" w:rsidRPr="0032259F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6FFDB3A9" w14:textId="77777777" w:rsidR="007C5D2A" w:rsidRPr="0032259F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32259F">
        <w:rPr>
          <w:b/>
          <w:sz w:val="24"/>
          <w:szCs w:val="24"/>
          <w:lang w:val="en-GB"/>
        </w:rPr>
        <w:t>6.6</w:t>
      </w:r>
      <w:r w:rsidRPr="0032259F">
        <w:rPr>
          <w:b/>
          <w:sz w:val="24"/>
          <w:szCs w:val="24"/>
          <w:lang w:val="en-GB"/>
        </w:rPr>
        <w:tab/>
        <w:t>Special precautions for disposal and other handling</w:t>
      </w:r>
    </w:p>
    <w:p w14:paraId="255C4D27" w14:textId="77777777" w:rsidR="002C7328" w:rsidRPr="0032259F" w:rsidRDefault="002C7328" w:rsidP="00502830">
      <w:pPr>
        <w:ind w:left="851"/>
        <w:rPr>
          <w:sz w:val="24"/>
          <w:szCs w:val="24"/>
          <w:lang w:val="en-GB"/>
        </w:rPr>
      </w:pPr>
      <w:r w:rsidRPr="0032259F">
        <w:rPr>
          <w:sz w:val="24"/>
          <w:szCs w:val="24"/>
          <w:lang w:val="en-GB"/>
        </w:rPr>
        <w:t>Any unused medicinal product or waste material should be disposed of in accordance with local requirements.</w:t>
      </w:r>
    </w:p>
    <w:p w14:paraId="6F47A216" w14:textId="77777777" w:rsidR="007C5D2A" w:rsidRPr="0032259F" w:rsidRDefault="007C5D2A" w:rsidP="00AB4376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2A2207ED" w14:textId="77777777" w:rsidR="007C5D2A" w:rsidRPr="0032259F" w:rsidRDefault="007C5D2A" w:rsidP="007C5D2A">
      <w:pPr>
        <w:tabs>
          <w:tab w:val="left" w:pos="851"/>
        </w:tabs>
        <w:ind w:left="851" w:hanging="851"/>
        <w:jc w:val="both"/>
        <w:rPr>
          <w:b/>
          <w:sz w:val="24"/>
          <w:szCs w:val="24"/>
          <w:lang w:val="en-GB"/>
        </w:rPr>
      </w:pPr>
      <w:r w:rsidRPr="0032259F">
        <w:rPr>
          <w:b/>
          <w:sz w:val="24"/>
          <w:szCs w:val="24"/>
          <w:lang w:val="en-GB"/>
        </w:rPr>
        <w:t>7.</w:t>
      </w:r>
      <w:r w:rsidRPr="0032259F">
        <w:rPr>
          <w:b/>
          <w:sz w:val="24"/>
          <w:szCs w:val="24"/>
          <w:lang w:val="en-GB"/>
        </w:rPr>
        <w:tab/>
        <w:t>MARKETING AUTHORISATION HOLDER</w:t>
      </w:r>
    </w:p>
    <w:p w14:paraId="54FFB488" w14:textId="77777777" w:rsidR="002C7328" w:rsidRPr="0032259F" w:rsidRDefault="002C7328" w:rsidP="00502830">
      <w:pPr>
        <w:ind w:left="851"/>
        <w:rPr>
          <w:sz w:val="24"/>
          <w:szCs w:val="24"/>
          <w:lang w:val="en-GB"/>
        </w:rPr>
      </w:pPr>
      <w:proofErr w:type="spellStart"/>
      <w:r w:rsidRPr="0032259F">
        <w:rPr>
          <w:sz w:val="24"/>
          <w:szCs w:val="24"/>
          <w:lang w:val="en-GB"/>
        </w:rPr>
        <w:t>Vipharm</w:t>
      </w:r>
      <w:proofErr w:type="spellEnd"/>
      <w:r w:rsidRPr="0032259F">
        <w:rPr>
          <w:sz w:val="24"/>
          <w:szCs w:val="24"/>
          <w:lang w:val="en-GB"/>
        </w:rPr>
        <w:t xml:space="preserve"> S.A.</w:t>
      </w:r>
    </w:p>
    <w:p w14:paraId="70BDAF94" w14:textId="77777777" w:rsidR="002C7328" w:rsidRPr="0032259F" w:rsidRDefault="002C7328" w:rsidP="00502830">
      <w:pPr>
        <w:ind w:left="851"/>
        <w:rPr>
          <w:sz w:val="24"/>
          <w:szCs w:val="24"/>
          <w:lang w:val="en-GB"/>
        </w:rPr>
      </w:pPr>
      <w:r w:rsidRPr="0032259F">
        <w:rPr>
          <w:sz w:val="24"/>
          <w:szCs w:val="24"/>
          <w:lang w:val="en-GB"/>
        </w:rPr>
        <w:t xml:space="preserve">ul. A. i F. </w:t>
      </w:r>
      <w:proofErr w:type="spellStart"/>
      <w:r w:rsidRPr="0032259F">
        <w:rPr>
          <w:sz w:val="24"/>
          <w:szCs w:val="24"/>
          <w:lang w:val="en-GB"/>
        </w:rPr>
        <w:t>Radziwiłłów</w:t>
      </w:r>
      <w:proofErr w:type="spellEnd"/>
      <w:r w:rsidRPr="0032259F">
        <w:rPr>
          <w:sz w:val="24"/>
          <w:szCs w:val="24"/>
          <w:lang w:val="en-GB"/>
        </w:rPr>
        <w:t xml:space="preserve"> 9</w:t>
      </w:r>
    </w:p>
    <w:p w14:paraId="3805A95E" w14:textId="77777777" w:rsidR="002C7328" w:rsidRPr="0032259F" w:rsidRDefault="002C7328" w:rsidP="00502830">
      <w:pPr>
        <w:ind w:left="851"/>
        <w:rPr>
          <w:sz w:val="24"/>
          <w:szCs w:val="24"/>
          <w:lang w:val="en-GB"/>
        </w:rPr>
      </w:pPr>
      <w:r w:rsidRPr="0032259F">
        <w:rPr>
          <w:sz w:val="24"/>
          <w:szCs w:val="24"/>
          <w:lang w:val="en-GB"/>
        </w:rPr>
        <w:t xml:space="preserve">05-850 </w:t>
      </w:r>
      <w:proofErr w:type="spellStart"/>
      <w:r w:rsidRPr="0032259F">
        <w:rPr>
          <w:sz w:val="24"/>
          <w:szCs w:val="24"/>
          <w:lang w:val="en-GB"/>
        </w:rPr>
        <w:t>Ożarów</w:t>
      </w:r>
      <w:proofErr w:type="spellEnd"/>
      <w:r w:rsidRPr="0032259F">
        <w:rPr>
          <w:sz w:val="24"/>
          <w:szCs w:val="24"/>
          <w:lang w:val="en-GB"/>
        </w:rPr>
        <w:t xml:space="preserve"> Mazowiecki</w:t>
      </w:r>
    </w:p>
    <w:p w14:paraId="4C3F4481" w14:textId="77777777" w:rsidR="002C7328" w:rsidRPr="0032259F" w:rsidRDefault="002C7328" w:rsidP="00502830">
      <w:pPr>
        <w:ind w:left="851"/>
        <w:rPr>
          <w:sz w:val="24"/>
          <w:szCs w:val="24"/>
          <w:lang w:val="en-GB"/>
        </w:rPr>
      </w:pPr>
      <w:r w:rsidRPr="0032259F">
        <w:rPr>
          <w:sz w:val="24"/>
          <w:szCs w:val="24"/>
          <w:lang w:val="en-GB"/>
        </w:rPr>
        <w:t>Poland</w:t>
      </w:r>
    </w:p>
    <w:p w14:paraId="7696D228" w14:textId="7257FC0B" w:rsidR="005A6661" w:rsidRPr="0032259F" w:rsidRDefault="005A6661">
      <w:pPr>
        <w:rPr>
          <w:sz w:val="24"/>
          <w:szCs w:val="24"/>
          <w:lang w:val="en-GB"/>
        </w:rPr>
      </w:pPr>
      <w:r w:rsidRPr="0032259F">
        <w:rPr>
          <w:sz w:val="24"/>
          <w:szCs w:val="24"/>
          <w:lang w:val="en-GB"/>
        </w:rPr>
        <w:br w:type="page"/>
      </w:r>
    </w:p>
    <w:p w14:paraId="346D24B6" w14:textId="77777777" w:rsidR="007C5D2A" w:rsidRPr="0032259F" w:rsidRDefault="007C5D2A" w:rsidP="00A85D26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</w:p>
    <w:p w14:paraId="4A6B080A" w14:textId="77777777" w:rsidR="007C5D2A" w:rsidRPr="0032259F" w:rsidRDefault="007C5D2A" w:rsidP="007C5D2A">
      <w:pPr>
        <w:ind w:left="851" w:hanging="851"/>
        <w:jc w:val="both"/>
        <w:rPr>
          <w:b/>
          <w:sz w:val="24"/>
          <w:szCs w:val="24"/>
          <w:lang w:val="en-GB"/>
        </w:rPr>
      </w:pPr>
      <w:r w:rsidRPr="0032259F">
        <w:rPr>
          <w:b/>
          <w:sz w:val="24"/>
          <w:szCs w:val="24"/>
          <w:lang w:val="en-GB"/>
        </w:rPr>
        <w:t>8.</w:t>
      </w:r>
      <w:r w:rsidRPr="0032259F">
        <w:rPr>
          <w:b/>
          <w:sz w:val="24"/>
          <w:szCs w:val="24"/>
          <w:lang w:val="en-GB"/>
        </w:rPr>
        <w:tab/>
        <w:t>MARKETING AUTHORISATION NUMBER(S)</w:t>
      </w:r>
    </w:p>
    <w:p w14:paraId="07204778" w14:textId="15D5D6E7" w:rsidR="007C5D2A" w:rsidRPr="0032259F" w:rsidRDefault="002C7328" w:rsidP="009006C0">
      <w:pPr>
        <w:tabs>
          <w:tab w:val="left" w:pos="851"/>
          <w:tab w:val="left" w:pos="1985"/>
        </w:tabs>
        <w:ind w:left="851"/>
        <w:rPr>
          <w:sz w:val="24"/>
          <w:szCs w:val="24"/>
          <w:lang w:val="en-GB"/>
        </w:rPr>
      </w:pPr>
      <w:r w:rsidRPr="0032259F">
        <w:rPr>
          <w:sz w:val="24"/>
          <w:szCs w:val="24"/>
          <w:lang w:val="en-GB"/>
        </w:rPr>
        <w:t xml:space="preserve">12,5 mg: </w:t>
      </w:r>
      <w:r w:rsidR="009006C0" w:rsidRPr="0032259F">
        <w:rPr>
          <w:sz w:val="24"/>
          <w:szCs w:val="24"/>
          <w:lang w:val="en-GB"/>
        </w:rPr>
        <w:tab/>
      </w:r>
      <w:r w:rsidRPr="0032259F">
        <w:rPr>
          <w:sz w:val="24"/>
          <w:szCs w:val="24"/>
          <w:lang w:val="en-GB"/>
        </w:rPr>
        <w:t>69548</w:t>
      </w:r>
    </w:p>
    <w:p w14:paraId="6AEEB701" w14:textId="47A21F5A" w:rsidR="002C7328" w:rsidRPr="0032259F" w:rsidRDefault="002C7328" w:rsidP="009006C0">
      <w:pPr>
        <w:tabs>
          <w:tab w:val="left" w:pos="851"/>
          <w:tab w:val="left" w:pos="1985"/>
        </w:tabs>
        <w:ind w:left="851"/>
        <w:rPr>
          <w:sz w:val="24"/>
          <w:szCs w:val="24"/>
          <w:lang w:val="en-GB"/>
        </w:rPr>
      </w:pPr>
      <w:r w:rsidRPr="0032259F">
        <w:rPr>
          <w:sz w:val="24"/>
          <w:szCs w:val="24"/>
          <w:lang w:val="en-GB"/>
        </w:rPr>
        <w:t xml:space="preserve">25 mg: </w:t>
      </w:r>
      <w:r w:rsidR="009006C0" w:rsidRPr="0032259F">
        <w:rPr>
          <w:sz w:val="24"/>
          <w:szCs w:val="24"/>
          <w:lang w:val="en-GB"/>
        </w:rPr>
        <w:tab/>
      </w:r>
      <w:r w:rsidRPr="0032259F">
        <w:rPr>
          <w:sz w:val="24"/>
          <w:szCs w:val="24"/>
          <w:lang w:val="en-GB"/>
        </w:rPr>
        <w:t>69549</w:t>
      </w:r>
    </w:p>
    <w:p w14:paraId="6899BC91" w14:textId="3199ABD1" w:rsidR="002C7328" w:rsidRPr="0032259F" w:rsidRDefault="002C7328" w:rsidP="009006C0">
      <w:pPr>
        <w:tabs>
          <w:tab w:val="left" w:pos="851"/>
          <w:tab w:val="left" w:pos="1985"/>
        </w:tabs>
        <w:ind w:left="851"/>
        <w:rPr>
          <w:sz w:val="24"/>
          <w:szCs w:val="24"/>
          <w:lang w:val="en-GB"/>
        </w:rPr>
      </w:pPr>
      <w:r w:rsidRPr="0032259F">
        <w:rPr>
          <w:sz w:val="24"/>
          <w:szCs w:val="24"/>
          <w:lang w:val="en-GB"/>
        </w:rPr>
        <w:t xml:space="preserve">50 mg: </w:t>
      </w:r>
      <w:r w:rsidR="009006C0" w:rsidRPr="0032259F">
        <w:rPr>
          <w:sz w:val="24"/>
          <w:szCs w:val="24"/>
          <w:lang w:val="en-GB"/>
        </w:rPr>
        <w:tab/>
      </w:r>
      <w:r w:rsidRPr="0032259F">
        <w:rPr>
          <w:sz w:val="24"/>
          <w:szCs w:val="24"/>
          <w:lang w:val="en-GB"/>
        </w:rPr>
        <w:t>69550</w:t>
      </w:r>
    </w:p>
    <w:p w14:paraId="637AE3B5" w14:textId="6F614EE2" w:rsidR="002C7328" w:rsidRPr="0032259F" w:rsidRDefault="002C7328" w:rsidP="009006C0">
      <w:pPr>
        <w:tabs>
          <w:tab w:val="left" w:pos="851"/>
          <w:tab w:val="left" w:pos="1985"/>
        </w:tabs>
        <w:ind w:left="851"/>
        <w:rPr>
          <w:sz w:val="24"/>
          <w:szCs w:val="24"/>
          <w:lang w:val="en-GB"/>
        </w:rPr>
      </w:pPr>
      <w:r w:rsidRPr="0032259F">
        <w:rPr>
          <w:sz w:val="24"/>
          <w:szCs w:val="24"/>
          <w:lang w:val="en-GB"/>
        </w:rPr>
        <w:t xml:space="preserve">75 mg: </w:t>
      </w:r>
      <w:r w:rsidR="009006C0" w:rsidRPr="0032259F">
        <w:rPr>
          <w:sz w:val="24"/>
          <w:szCs w:val="24"/>
          <w:lang w:val="en-GB"/>
        </w:rPr>
        <w:tab/>
      </w:r>
      <w:r w:rsidRPr="0032259F">
        <w:rPr>
          <w:sz w:val="24"/>
          <w:szCs w:val="24"/>
          <w:lang w:val="en-GB"/>
        </w:rPr>
        <w:t>69551</w:t>
      </w:r>
    </w:p>
    <w:p w14:paraId="7C628648" w14:textId="77777777" w:rsidR="007C5D2A" w:rsidRPr="0032259F" w:rsidRDefault="007C5D2A" w:rsidP="00180A12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</w:p>
    <w:p w14:paraId="6AC66121" w14:textId="77777777" w:rsidR="007C5D2A" w:rsidRPr="0032259F" w:rsidRDefault="007C5D2A" w:rsidP="007C5D2A">
      <w:pPr>
        <w:tabs>
          <w:tab w:val="left" w:pos="851"/>
        </w:tabs>
        <w:jc w:val="both"/>
        <w:rPr>
          <w:sz w:val="24"/>
          <w:szCs w:val="24"/>
          <w:lang w:val="en-GB"/>
        </w:rPr>
      </w:pPr>
      <w:r w:rsidRPr="0032259F">
        <w:rPr>
          <w:b/>
          <w:sz w:val="24"/>
          <w:szCs w:val="24"/>
          <w:lang w:val="en-GB"/>
        </w:rPr>
        <w:t>9.</w:t>
      </w:r>
      <w:r w:rsidRPr="0032259F">
        <w:rPr>
          <w:b/>
          <w:sz w:val="24"/>
          <w:szCs w:val="24"/>
          <w:lang w:val="en-GB"/>
        </w:rPr>
        <w:tab/>
        <w:t>DATE OF FIRST AUTHORISATION</w:t>
      </w:r>
    </w:p>
    <w:p w14:paraId="57891B42" w14:textId="0F530A92" w:rsidR="007C5D2A" w:rsidRPr="0032259F" w:rsidRDefault="00727038" w:rsidP="00A85D26">
      <w:pPr>
        <w:ind w:left="851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18 February 2025</w:t>
      </w:r>
    </w:p>
    <w:p w14:paraId="41E79EF3" w14:textId="77777777" w:rsidR="007C5D2A" w:rsidRPr="0032259F" w:rsidRDefault="007C5D2A" w:rsidP="003E0341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</w:p>
    <w:p w14:paraId="6DC9A04C" w14:textId="77777777" w:rsidR="007C5D2A" w:rsidRPr="0032259F" w:rsidRDefault="007C5D2A" w:rsidP="007C5D2A">
      <w:pPr>
        <w:tabs>
          <w:tab w:val="left" w:pos="851"/>
        </w:tabs>
        <w:jc w:val="both"/>
        <w:rPr>
          <w:sz w:val="24"/>
          <w:szCs w:val="24"/>
          <w:lang w:val="en-GB"/>
        </w:rPr>
      </w:pPr>
      <w:r w:rsidRPr="0032259F">
        <w:rPr>
          <w:b/>
          <w:sz w:val="24"/>
          <w:szCs w:val="24"/>
          <w:lang w:val="en-GB"/>
        </w:rPr>
        <w:t>10.</w:t>
      </w:r>
      <w:r w:rsidRPr="0032259F">
        <w:rPr>
          <w:b/>
          <w:sz w:val="24"/>
          <w:szCs w:val="24"/>
          <w:lang w:val="en-GB"/>
        </w:rPr>
        <w:tab/>
        <w:t>DATE OF REVISION OF THE TEXT</w:t>
      </w:r>
    </w:p>
    <w:p w14:paraId="6B178382" w14:textId="51A5769C" w:rsidR="007C5D2A" w:rsidRPr="0032259F" w:rsidRDefault="002C7328" w:rsidP="003E0341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r w:rsidRPr="0032259F">
        <w:rPr>
          <w:sz w:val="24"/>
          <w:szCs w:val="24"/>
          <w:lang w:val="en-GB"/>
        </w:rPr>
        <w:t>-</w:t>
      </w:r>
    </w:p>
    <w:sectPr w:rsidR="007C5D2A" w:rsidRPr="0032259F" w:rsidSect="004A3B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D7C4D" w14:textId="77777777" w:rsidR="00C65C85" w:rsidRDefault="00C65C85">
      <w:r>
        <w:separator/>
      </w:r>
    </w:p>
  </w:endnote>
  <w:endnote w:type="continuationSeparator" w:id="0">
    <w:p w14:paraId="2FA8162F" w14:textId="77777777" w:rsidR="00C65C85" w:rsidRDefault="00C6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77702" w14:textId="77777777" w:rsidR="00C65C85" w:rsidRDefault="00C65C8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7AF60" w14:textId="77777777" w:rsidR="00C65C85" w:rsidRDefault="00C65C85">
    <w:pPr>
      <w:pStyle w:val="Sidefod"/>
      <w:pBdr>
        <w:bottom w:val="single" w:sz="6" w:space="1" w:color="auto"/>
      </w:pBdr>
    </w:pPr>
  </w:p>
  <w:p w14:paraId="411F98DE" w14:textId="77777777" w:rsidR="00C65C85" w:rsidRDefault="00C65C85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74384FD1" w14:textId="51F23296" w:rsidR="00C65C85" w:rsidRDefault="00C65C85" w:rsidP="00AC033C">
    <w:pPr>
      <w:pStyle w:val="Sidefod"/>
      <w:tabs>
        <w:tab w:val="clear" w:pos="4819"/>
        <w:tab w:val="left" w:pos="8364"/>
      </w:tabs>
      <w:rPr>
        <w:i/>
        <w:sz w:val="18"/>
      </w:rPr>
    </w:pP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5A6661">
      <w:rPr>
        <w:i/>
        <w:noProof/>
        <w:snapToGrid w:val="0"/>
        <w:sz w:val="18"/>
      </w:rPr>
      <w:t>Eltrombopag Vipharm, filmovertrukne tabletter 12,5 mg, 25 mg, 50 mg og 75 mg.docx</w:t>
    </w:r>
    <w:r>
      <w:rPr>
        <w:i/>
        <w:snapToGrid w:val="0"/>
        <w:sz w:val="18"/>
      </w:rPr>
      <w:fldChar w:fldCharType="end"/>
    </w:r>
    <w:r>
      <w:rPr>
        <w:i/>
        <w:snapToGrid w:val="0"/>
        <w:sz w:val="18"/>
      </w:rPr>
      <w:tab/>
      <w:t xml:space="preserve">Page </w:t>
    </w: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>
      <w:rPr>
        <w:i/>
        <w:snapToGrid w:val="0"/>
        <w:sz w:val="18"/>
      </w:rPr>
      <w:t xml:space="preserve"> of </w:t>
    </w: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ABFCD" w14:textId="77777777" w:rsidR="00C65C85" w:rsidRDefault="00C65C85">
    <w:pPr>
      <w:pStyle w:val="Sidefod"/>
      <w:pBdr>
        <w:bottom w:val="single" w:sz="6" w:space="1" w:color="auto"/>
      </w:pBdr>
      <w:tabs>
        <w:tab w:val="clear" w:pos="4819"/>
        <w:tab w:val="left" w:pos="8789"/>
      </w:tabs>
      <w:rPr>
        <w:i/>
        <w:snapToGrid w:val="0"/>
        <w:sz w:val="18"/>
      </w:rPr>
    </w:pPr>
  </w:p>
  <w:p w14:paraId="32BCE042" w14:textId="77777777" w:rsidR="00C65C85" w:rsidRDefault="00C65C85">
    <w:pPr>
      <w:pStyle w:val="Sidefod"/>
      <w:tabs>
        <w:tab w:val="clear" w:pos="4819"/>
        <w:tab w:val="left" w:pos="8789"/>
      </w:tabs>
      <w:rPr>
        <w:i/>
        <w:snapToGrid w:val="0"/>
        <w:sz w:val="18"/>
      </w:rPr>
    </w:pPr>
  </w:p>
  <w:p w14:paraId="12F41414" w14:textId="28831FAD" w:rsidR="00C65C85" w:rsidRDefault="00C65C85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5A6661">
      <w:rPr>
        <w:i/>
        <w:noProof/>
        <w:snapToGrid w:val="0"/>
        <w:sz w:val="18"/>
      </w:rPr>
      <w:t>Eltrombopag Vipharm, filmovertrukne tabletter 12,5 mg, 25 mg, 50 mg og 75 mg.docx</w:t>
    </w:r>
    <w:r>
      <w:rPr>
        <w:i/>
        <w:snapToGrid w:val="0"/>
        <w:sz w:val="18"/>
      </w:rPr>
      <w:fldChar w:fldCharType="end"/>
    </w:r>
    <w:r>
      <w:rPr>
        <w:i/>
        <w:snapToGrid w:val="0"/>
        <w:sz w:val="18"/>
      </w:rPr>
      <w:tab/>
      <w:t xml:space="preserve">Page </w:t>
    </w: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>
      <w:rPr>
        <w:i/>
        <w:snapToGrid w:val="0"/>
        <w:sz w:val="18"/>
      </w:rPr>
      <w:t xml:space="preserve"> of </w:t>
    </w: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CC018" w14:textId="77777777" w:rsidR="00C65C85" w:rsidRDefault="00C65C85">
      <w:r>
        <w:separator/>
      </w:r>
    </w:p>
  </w:footnote>
  <w:footnote w:type="continuationSeparator" w:id="0">
    <w:p w14:paraId="6A66E1DC" w14:textId="77777777" w:rsidR="00C65C85" w:rsidRDefault="00C65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18156" w14:textId="77777777" w:rsidR="00C65C85" w:rsidRDefault="00C65C8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E32DF" w14:textId="77777777" w:rsidR="00C65C85" w:rsidRDefault="00C65C85">
    <w:pPr>
      <w:pStyle w:val="Sidehoved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2EDD3" w14:textId="77777777" w:rsidR="00C65C85" w:rsidRDefault="00C65C8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1A86"/>
    <w:multiLevelType w:val="multilevel"/>
    <w:tmpl w:val="D4ECF4E0"/>
    <w:lvl w:ilvl="0">
      <w:start w:val="4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" w15:restartNumberingAfterBreak="0">
    <w:nsid w:val="03C2602A"/>
    <w:multiLevelType w:val="hybridMultilevel"/>
    <w:tmpl w:val="EC8C595A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F74F8A"/>
    <w:multiLevelType w:val="hybridMultilevel"/>
    <w:tmpl w:val="63FAC8AA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F744A"/>
    <w:multiLevelType w:val="hybridMultilevel"/>
    <w:tmpl w:val="FE9C41B2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EA178C"/>
    <w:multiLevelType w:val="hybridMultilevel"/>
    <w:tmpl w:val="8E6C6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87C87"/>
    <w:multiLevelType w:val="hybridMultilevel"/>
    <w:tmpl w:val="A00EB34C"/>
    <w:lvl w:ilvl="0" w:tplc="08A29892">
      <w:start w:val="1"/>
      <w:numFmt w:val="bullet"/>
      <w:lvlText w:val="♦"/>
      <w:lvlJc w:val="left"/>
      <w:pPr>
        <w:ind w:left="360" w:hanging="360"/>
      </w:pPr>
      <w:rPr>
        <w:rFonts w:ascii="Times New Roman" w:hAnsi="Times New Roman" w:cs="Times New Roman" w:hint="default"/>
        <w:vertAlign w:val="baselin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BE6F9D"/>
    <w:multiLevelType w:val="multilevel"/>
    <w:tmpl w:val="5D748B4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8" w15:restartNumberingAfterBreak="0">
    <w:nsid w:val="6E9C1BE4"/>
    <w:multiLevelType w:val="hybridMultilevel"/>
    <w:tmpl w:val="5AB439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645BF"/>
    <w:multiLevelType w:val="hybridMultilevel"/>
    <w:tmpl w:val="D41CBCF4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63"/>
    <w:rsid w:val="00056601"/>
    <w:rsid w:val="000C3846"/>
    <w:rsid w:val="000C6218"/>
    <w:rsid w:val="000D3C9D"/>
    <w:rsid w:val="000F0D47"/>
    <w:rsid w:val="000F7CFC"/>
    <w:rsid w:val="001242DE"/>
    <w:rsid w:val="00164809"/>
    <w:rsid w:val="00164CEC"/>
    <w:rsid w:val="00180A12"/>
    <w:rsid w:val="00214331"/>
    <w:rsid w:val="00214CF4"/>
    <w:rsid w:val="00281F03"/>
    <w:rsid w:val="0029458A"/>
    <w:rsid w:val="002A1587"/>
    <w:rsid w:val="002B27C5"/>
    <w:rsid w:val="002C14C2"/>
    <w:rsid w:val="002C7328"/>
    <w:rsid w:val="002F5CD1"/>
    <w:rsid w:val="002F6D9C"/>
    <w:rsid w:val="00303008"/>
    <w:rsid w:val="0032259F"/>
    <w:rsid w:val="00343365"/>
    <w:rsid w:val="00373B55"/>
    <w:rsid w:val="003D727E"/>
    <w:rsid w:val="003E0341"/>
    <w:rsid w:val="003E3402"/>
    <w:rsid w:val="003F4736"/>
    <w:rsid w:val="00401B49"/>
    <w:rsid w:val="0042292D"/>
    <w:rsid w:val="00437D5B"/>
    <w:rsid w:val="00440254"/>
    <w:rsid w:val="004745B3"/>
    <w:rsid w:val="004860D3"/>
    <w:rsid w:val="004A3BF4"/>
    <w:rsid w:val="004A5DB3"/>
    <w:rsid w:val="00502830"/>
    <w:rsid w:val="005152D9"/>
    <w:rsid w:val="00533AD4"/>
    <w:rsid w:val="00534849"/>
    <w:rsid w:val="00544863"/>
    <w:rsid w:val="00560102"/>
    <w:rsid w:val="00562EA1"/>
    <w:rsid w:val="005A498B"/>
    <w:rsid w:val="005A6661"/>
    <w:rsid w:val="00617BB8"/>
    <w:rsid w:val="006207FF"/>
    <w:rsid w:val="00680052"/>
    <w:rsid w:val="00683267"/>
    <w:rsid w:val="006844E9"/>
    <w:rsid w:val="006908A9"/>
    <w:rsid w:val="006B3847"/>
    <w:rsid w:val="0070292B"/>
    <w:rsid w:val="00713D61"/>
    <w:rsid w:val="00727038"/>
    <w:rsid w:val="0075453D"/>
    <w:rsid w:val="007A4CC6"/>
    <w:rsid w:val="007C3623"/>
    <w:rsid w:val="007C5D2A"/>
    <w:rsid w:val="007F1E00"/>
    <w:rsid w:val="00827444"/>
    <w:rsid w:val="008400E3"/>
    <w:rsid w:val="00864538"/>
    <w:rsid w:val="00873B4F"/>
    <w:rsid w:val="00881805"/>
    <w:rsid w:val="008A24F6"/>
    <w:rsid w:val="008E51AE"/>
    <w:rsid w:val="008F2F8C"/>
    <w:rsid w:val="009006C0"/>
    <w:rsid w:val="009925C9"/>
    <w:rsid w:val="009C16F9"/>
    <w:rsid w:val="00A15450"/>
    <w:rsid w:val="00A179D0"/>
    <w:rsid w:val="00A358A3"/>
    <w:rsid w:val="00A46747"/>
    <w:rsid w:val="00A80446"/>
    <w:rsid w:val="00A85D26"/>
    <w:rsid w:val="00A9153A"/>
    <w:rsid w:val="00AB4376"/>
    <w:rsid w:val="00AC033C"/>
    <w:rsid w:val="00AD2E36"/>
    <w:rsid w:val="00AD6E7B"/>
    <w:rsid w:val="00B42035"/>
    <w:rsid w:val="00B443BC"/>
    <w:rsid w:val="00B45DC5"/>
    <w:rsid w:val="00BD3490"/>
    <w:rsid w:val="00C26226"/>
    <w:rsid w:val="00C3571D"/>
    <w:rsid w:val="00C54F0B"/>
    <w:rsid w:val="00C65C85"/>
    <w:rsid w:val="00C82621"/>
    <w:rsid w:val="00CB1423"/>
    <w:rsid w:val="00D02508"/>
    <w:rsid w:val="00D778CC"/>
    <w:rsid w:val="00D82FE9"/>
    <w:rsid w:val="00D97B77"/>
    <w:rsid w:val="00DB6A85"/>
    <w:rsid w:val="00DE4611"/>
    <w:rsid w:val="00E06B32"/>
    <w:rsid w:val="00E1290F"/>
    <w:rsid w:val="00E36A80"/>
    <w:rsid w:val="00EB21D7"/>
    <w:rsid w:val="00EE3EB7"/>
    <w:rsid w:val="00F57E16"/>
    <w:rsid w:val="00F60336"/>
    <w:rsid w:val="00F61FFE"/>
    <w:rsid w:val="00F943F8"/>
    <w:rsid w:val="00F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25F5C"/>
  <w15:chartTrackingRefBased/>
  <w15:docId w15:val="{6F581EC1-7921-4911-953E-9676354E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3B55"/>
    <w:rPr>
      <w:sz w:val="23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rsid w:val="00373B55"/>
    <w:pPr>
      <w:jc w:val="center"/>
    </w:pPr>
    <w:rPr>
      <w:b/>
      <w:sz w:val="24"/>
    </w:rPr>
  </w:style>
  <w:style w:type="paragraph" w:styleId="Sidehoved">
    <w:name w:val="header"/>
    <w:basedOn w:val="Normal"/>
    <w:rsid w:val="00373B55"/>
    <w:pPr>
      <w:tabs>
        <w:tab w:val="center" w:pos="4819"/>
        <w:tab w:val="right" w:pos="9638"/>
      </w:tabs>
    </w:pPr>
    <w:rPr>
      <w:sz w:val="24"/>
    </w:rPr>
  </w:style>
  <w:style w:type="paragraph" w:styleId="Sidefod">
    <w:name w:val="footer"/>
    <w:basedOn w:val="Normal"/>
    <w:rsid w:val="00373B55"/>
    <w:pPr>
      <w:tabs>
        <w:tab w:val="center" w:pos="4819"/>
        <w:tab w:val="right" w:pos="9638"/>
      </w:tabs>
    </w:pPr>
    <w:rPr>
      <w:sz w:val="24"/>
    </w:rPr>
  </w:style>
  <w:style w:type="character" w:styleId="Sidetal">
    <w:name w:val="page number"/>
    <w:basedOn w:val="Standardskrifttypeiafsnit"/>
    <w:rsid w:val="00373B55"/>
  </w:style>
  <w:style w:type="character" w:styleId="Kommentarhenvisning">
    <w:name w:val="annotation reference"/>
    <w:basedOn w:val="Standardskrifttypeiafsnit"/>
    <w:semiHidden/>
    <w:rsid w:val="00373B55"/>
    <w:rPr>
      <w:sz w:val="16"/>
    </w:rPr>
  </w:style>
  <w:style w:type="paragraph" w:styleId="Kommentartekst">
    <w:name w:val="annotation text"/>
    <w:basedOn w:val="Normal"/>
    <w:link w:val="KommentartekstTegn"/>
    <w:semiHidden/>
    <w:rsid w:val="00373B55"/>
    <w:rPr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A5DB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A5DB3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B4F"/>
    <w:rPr>
      <w:b/>
      <w:bCs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873B4F"/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B4F"/>
    <w:rPr>
      <w:b/>
      <w:bCs/>
    </w:rPr>
  </w:style>
  <w:style w:type="paragraph" w:styleId="Listeafsnit">
    <w:name w:val="List Paragraph"/>
    <w:basedOn w:val="Normal"/>
    <w:uiPriority w:val="34"/>
    <w:qFormat/>
    <w:rsid w:val="002C7328"/>
    <w:pPr>
      <w:tabs>
        <w:tab w:val="left" w:pos="567"/>
      </w:tabs>
      <w:spacing w:line="260" w:lineRule="exact"/>
      <w:ind w:left="720"/>
      <w:contextualSpacing/>
    </w:pPr>
    <w:rPr>
      <w:sz w:val="22"/>
      <w:lang w:val="en-GB" w:eastAsia="en-US"/>
    </w:rPr>
  </w:style>
  <w:style w:type="table" w:styleId="Tabel-Gitter">
    <w:name w:val="Table Grid"/>
    <w:basedOn w:val="Tabel-Normal"/>
    <w:rsid w:val="002C7328"/>
    <w:rPr>
      <w:rFonts w:eastAsia="SimSun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6-01-SKB%20SPC%20Hum%20skabelon%20-%20engelsk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006-01-SKB SPC Hum skabelon - engelsk.dotx</Template>
  <TotalTime>138</TotalTime>
  <Pages>43</Pages>
  <Words>16306</Words>
  <Characters>94216</Characters>
  <Application>Microsoft Office Word</Application>
  <DocSecurity>0</DocSecurity>
  <Lines>785</Lines>
  <Paragraphs>220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2023050048, MT</dc:description>
  <cp:lastModifiedBy>Gitte Jørgensen</cp:lastModifiedBy>
  <cp:revision>18</cp:revision>
  <cp:lastPrinted>2006-02-24T09:31:00Z</cp:lastPrinted>
  <dcterms:created xsi:type="dcterms:W3CDTF">2025-02-18T07:28:00Z</dcterms:created>
  <dcterms:modified xsi:type="dcterms:W3CDTF">2025-02-18T13:40:00Z</dcterms:modified>
</cp:coreProperties>
</file>