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03A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D8981F7" wp14:editId="5F4BBA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2A41BA8" w14:textId="77777777" w:rsidR="009260DE" w:rsidRPr="00C84483" w:rsidRDefault="009260DE" w:rsidP="009260DE">
      <w:pPr>
        <w:pStyle w:val="Titel"/>
        <w:tabs>
          <w:tab w:val="right" w:pos="9356"/>
        </w:tabs>
        <w:jc w:val="left"/>
        <w:rPr>
          <w:b w:val="0"/>
          <w:szCs w:val="24"/>
          <w:lang w:eastAsia="en-US"/>
        </w:rPr>
      </w:pPr>
    </w:p>
    <w:p w14:paraId="3CC5AFA8" w14:textId="47EF517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1480F">
        <w:rPr>
          <w:szCs w:val="24"/>
        </w:rPr>
        <w:t>28. marts 2025</w:t>
      </w:r>
    </w:p>
    <w:p w14:paraId="06F09FA5" w14:textId="77777777" w:rsidR="009260DE" w:rsidRPr="00C84483" w:rsidRDefault="009260DE" w:rsidP="009260DE">
      <w:pPr>
        <w:pStyle w:val="Titel"/>
        <w:tabs>
          <w:tab w:val="left" w:pos="8222"/>
        </w:tabs>
        <w:jc w:val="left"/>
        <w:rPr>
          <w:b w:val="0"/>
          <w:szCs w:val="24"/>
        </w:rPr>
      </w:pPr>
    </w:p>
    <w:p w14:paraId="582927B9" w14:textId="77777777" w:rsidR="009260DE" w:rsidRPr="00C84483" w:rsidRDefault="009260DE" w:rsidP="009260DE">
      <w:pPr>
        <w:pStyle w:val="Titel"/>
        <w:jc w:val="left"/>
        <w:rPr>
          <w:b w:val="0"/>
          <w:szCs w:val="24"/>
        </w:rPr>
      </w:pPr>
    </w:p>
    <w:p w14:paraId="3DE5D98C" w14:textId="77777777" w:rsidR="009260DE" w:rsidRPr="00C84483" w:rsidRDefault="009260DE" w:rsidP="009260DE">
      <w:pPr>
        <w:pStyle w:val="Titel"/>
        <w:jc w:val="left"/>
        <w:rPr>
          <w:b w:val="0"/>
          <w:szCs w:val="24"/>
        </w:rPr>
      </w:pPr>
    </w:p>
    <w:p w14:paraId="35D79492" w14:textId="77777777" w:rsidR="009260DE" w:rsidRPr="00C84483" w:rsidRDefault="009260DE" w:rsidP="009260DE">
      <w:pPr>
        <w:jc w:val="center"/>
        <w:rPr>
          <w:b/>
          <w:sz w:val="24"/>
          <w:szCs w:val="24"/>
        </w:rPr>
      </w:pPr>
      <w:r w:rsidRPr="00C84483">
        <w:rPr>
          <w:b/>
          <w:sz w:val="24"/>
          <w:szCs w:val="24"/>
        </w:rPr>
        <w:t>PRODUKTRESUMÉ</w:t>
      </w:r>
    </w:p>
    <w:p w14:paraId="2A6B6E2C" w14:textId="77777777" w:rsidR="009260DE" w:rsidRPr="00C84483" w:rsidRDefault="009260DE" w:rsidP="009260DE">
      <w:pPr>
        <w:jc w:val="center"/>
        <w:rPr>
          <w:b/>
          <w:sz w:val="24"/>
          <w:szCs w:val="24"/>
        </w:rPr>
      </w:pPr>
    </w:p>
    <w:p w14:paraId="766E4C3F" w14:textId="77777777" w:rsidR="009260DE" w:rsidRDefault="009260DE" w:rsidP="009260DE">
      <w:pPr>
        <w:jc w:val="center"/>
        <w:rPr>
          <w:b/>
          <w:sz w:val="24"/>
          <w:szCs w:val="24"/>
        </w:rPr>
      </w:pPr>
      <w:r w:rsidRPr="00C84483">
        <w:rPr>
          <w:b/>
          <w:sz w:val="24"/>
          <w:szCs w:val="24"/>
        </w:rPr>
        <w:t>for</w:t>
      </w:r>
    </w:p>
    <w:p w14:paraId="00700AEC" w14:textId="77777777" w:rsidR="000B058C" w:rsidRPr="00C84483" w:rsidRDefault="000B058C" w:rsidP="009260DE">
      <w:pPr>
        <w:jc w:val="center"/>
        <w:rPr>
          <w:b/>
          <w:sz w:val="24"/>
          <w:szCs w:val="24"/>
        </w:rPr>
      </w:pPr>
    </w:p>
    <w:p w14:paraId="655FA0ED" w14:textId="77777777" w:rsidR="009260DE" w:rsidRPr="00C84483" w:rsidRDefault="0066391E" w:rsidP="009260DE">
      <w:pPr>
        <w:jc w:val="center"/>
        <w:rPr>
          <w:b/>
          <w:sz w:val="24"/>
          <w:szCs w:val="24"/>
        </w:rPr>
      </w:pPr>
      <w:r>
        <w:rPr>
          <w:b/>
          <w:sz w:val="24"/>
          <w:szCs w:val="24"/>
        </w:rPr>
        <w:t>Eltrombopag "Vivanta", filmovertrukne tabletter</w:t>
      </w:r>
    </w:p>
    <w:p w14:paraId="20AD8FD9" w14:textId="77777777" w:rsidR="009260DE" w:rsidRPr="00C84483" w:rsidRDefault="009260DE" w:rsidP="009260DE">
      <w:pPr>
        <w:jc w:val="both"/>
        <w:rPr>
          <w:sz w:val="24"/>
          <w:szCs w:val="24"/>
        </w:rPr>
      </w:pPr>
    </w:p>
    <w:p w14:paraId="3D743E6A" w14:textId="77777777" w:rsidR="009260DE" w:rsidRPr="00C84483" w:rsidRDefault="009260DE" w:rsidP="009260DE">
      <w:pPr>
        <w:jc w:val="both"/>
        <w:rPr>
          <w:sz w:val="24"/>
          <w:szCs w:val="24"/>
        </w:rPr>
      </w:pPr>
    </w:p>
    <w:p w14:paraId="2F8B466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D185B06" w14:textId="13FE5236" w:rsidR="009260DE" w:rsidRPr="00C84483" w:rsidRDefault="008B50F2" w:rsidP="009260DE">
      <w:pPr>
        <w:tabs>
          <w:tab w:val="left" w:pos="851"/>
        </w:tabs>
        <w:ind w:left="851"/>
        <w:rPr>
          <w:sz w:val="24"/>
          <w:szCs w:val="24"/>
        </w:rPr>
      </w:pPr>
      <w:r>
        <w:rPr>
          <w:sz w:val="24"/>
          <w:szCs w:val="24"/>
        </w:rPr>
        <w:t>33372</w:t>
      </w:r>
    </w:p>
    <w:p w14:paraId="7A68AFD8" w14:textId="77777777" w:rsidR="009260DE" w:rsidRPr="00C84483" w:rsidRDefault="009260DE" w:rsidP="009260DE">
      <w:pPr>
        <w:tabs>
          <w:tab w:val="left" w:pos="851"/>
        </w:tabs>
        <w:ind w:left="851"/>
        <w:rPr>
          <w:sz w:val="24"/>
          <w:szCs w:val="24"/>
        </w:rPr>
      </w:pPr>
    </w:p>
    <w:p w14:paraId="1D2EFA4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E44B66F" w14:textId="0E96F814" w:rsidR="009260DE" w:rsidRPr="00C84483" w:rsidRDefault="008B50F2" w:rsidP="009260DE">
      <w:pPr>
        <w:tabs>
          <w:tab w:val="left" w:pos="851"/>
        </w:tabs>
        <w:ind w:left="851"/>
        <w:rPr>
          <w:sz w:val="24"/>
          <w:szCs w:val="24"/>
        </w:rPr>
      </w:pPr>
      <w:r>
        <w:rPr>
          <w:sz w:val="24"/>
          <w:szCs w:val="24"/>
        </w:rPr>
        <w:t>Eltrombopag "Vivanta"</w:t>
      </w:r>
    </w:p>
    <w:p w14:paraId="1D179A17" w14:textId="77777777" w:rsidR="009260DE" w:rsidRPr="00C84483" w:rsidRDefault="009260DE" w:rsidP="009260DE">
      <w:pPr>
        <w:tabs>
          <w:tab w:val="left" w:pos="851"/>
        </w:tabs>
        <w:ind w:left="851"/>
        <w:rPr>
          <w:sz w:val="24"/>
          <w:szCs w:val="24"/>
        </w:rPr>
      </w:pPr>
    </w:p>
    <w:p w14:paraId="2D7F2F0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26F6ED8" w14:textId="535A7BF0" w:rsidR="008B50F2" w:rsidRDefault="008B50F2" w:rsidP="008B50F2">
      <w:pPr>
        <w:tabs>
          <w:tab w:val="left" w:pos="851"/>
        </w:tabs>
        <w:ind w:left="851"/>
        <w:rPr>
          <w:sz w:val="24"/>
          <w:szCs w:val="24"/>
        </w:rPr>
      </w:pPr>
      <w:r w:rsidRPr="008B50F2">
        <w:rPr>
          <w:sz w:val="24"/>
          <w:szCs w:val="24"/>
        </w:rPr>
        <w:t>Hver filmovertrukket tablet indeholder eltrombopagolamin svarende til 25 mg eltrombopag.</w:t>
      </w:r>
    </w:p>
    <w:p w14:paraId="51518A11" w14:textId="77777777" w:rsidR="008B50F2" w:rsidRPr="008B50F2" w:rsidRDefault="008B50F2" w:rsidP="008B50F2">
      <w:pPr>
        <w:tabs>
          <w:tab w:val="left" w:pos="851"/>
        </w:tabs>
        <w:ind w:left="851"/>
        <w:rPr>
          <w:sz w:val="24"/>
          <w:szCs w:val="24"/>
        </w:rPr>
      </w:pPr>
    </w:p>
    <w:p w14:paraId="27FC2C36" w14:textId="402A8CE3" w:rsidR="008B50F2" w:rsidRDefault="008B50F2" w:rsidP="008B50F2">
      <w:pPr>
        <w:tabs>
          <w:tab w:val="left" w:pos="851"/>
        </w:tabs>
        <w:ind w:left="851"/>
        <w:rPr>
          <w:sz w:val="24"/>
          <w:szCs w:val="24"/>
        </w:rPr>
      </w:pPr>
      <w:r w:rsidRPr="008B50F2">
        <w:rPr>
          <w:sz w:val="24"/>
          <w:szCs w:val="24"/>
        </w:rPr>
        <w:t>Hver filmovertrukket tablet indeholder eltrombopagolamin svarende til 50 mg eltrombopag.</w:t>
      </w:r>
    </w:p>
    <w:p w14:paraId="3B6BAAB8" w14:textId="77777777" w:rsidR="008B50F2" w:rsidRPr="008B50F2" w:rsidRDefault="008B50F2" w:rsidP="008B50F2">
      <w:pPr>
        <w:tabs>
          <w:tab w:val="left" w:pos="851"/>
        </w:tabs>
        <w:ind w:left="851"/>
        <w:rPr>
          <w:sz w:val="24"/>
          <w:szCs w:val="24"/>
        </w:rPr>
      </w:pPr>
    </w:p>
    <w:p w14:paraId="1038E1FF" w14:textId="77777777" w:rsidR="008B50F2" w:rsidRPr="008B50F2" w:rsidRDefault="008B50F2" w:rsidP="008B50F2">
      <w:pPr>
        <w:tabs>
          <w:tab w:val="left" w:pos="851"/>
        </w:tabs>
        <w:ind w:left="851"/>
        <w:rPr>
          <w:sz w:val="24"/>
          <w:szCs w:val="24"/>
        </w:rPr>
      </w:pPr>
      <w:r w:rsidRPr="008B50F2">
        <w:rPr>
          <w:sz w:val="24"/>
          <w:szCs w:val="24"/>
        </w:rPr>
        <w:t>Hver filmovertrukket tablet indeholder eltrombopagolamin svarende til 75 mg eltrombopag.</w:t>
      </w:r>
    </w:p>
    <w:p w14:paraId="7142A6F6" w14:textId="77777777" w:rsidR="008B50F2" w:rsidRPr="008B50F2" w:rsidRDefault="008B50F2" w:rsidP="008B50F2">
      <w:pPr>
        <w:tabs>
          <w:tab w:val="left" w:pos="851"/>
        </w:tabs>
        <w:ind w:left="851"/>
        <w:rPr>
          <w:sz w:val="24"/>
          <w:szCs w:val="24"/>
        </w:rPr>
      </w:pPr>
    </w:p>
    <w:p w14:paraId="250C1578" w14:textId="77777777" w:rsidR="008B50F2" w:rsidRPr="008B50F2" w:rsidRDefault="008B50F2" w:rsidP="008B50F2">
      <w:pPr>
        <w:tabs>
          <w:tab w:val="left" w:pos="851"/>
        </w:tabs>
        <w:ind w:left="851"/>
        <w:rPr>
          <w:sz w:val="24"/>
          <w:szCs w:val="24"/>
        </w:rPr>
      </w:pPr>
      <w:r w:rsidRPr="008B50F2">
        <w:rPr>
          <w:sz w:val="24"/>
          <w:szCs w:val="24"/>
        </w:rPr>
        <w:t>Alle hjælpestoffer er anført under pkt. 6.1.</w:t>
      </w:r>
    </w:p>
    <w:p w14:paraId="5D65BE37" w14:textId="77777777" w:rsidR="009260DE" w:rsidRPr="00C84483" w:rsidRDefault="009260DE" w:rsidP="009260DE">
      <w:pPr>
        <w:tabs>
          <w:tab w:val="left" w:pos="851"/>
        </w:tabs>
        <w:ind w:left="851"/>
        <w:rPr>
          <w:sz w:val="24"/>
          <w:szCs w:val="24"/>
        </w:rPr>
      </w:pPr>
    </w:p>
    <w:p w14:paraId="233F399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FB0E5F2" w14:textId="2C812EE9" w:rsidR="008B50F2" w:rsidRPr="008B50F2" w:rsidRDefault="008B50F2" w:rsidP="008B50F2">
      <w:pPr>
        <w:tabs>
          <w:tab w:val="left" w:pos="851"/>
        </w:tabs>
        <w:ind w:left="851"/>
        <w:rPr>
          <w:sz w:val="24"/>
          <w:szCs w:val="24"/>
        </w:rPr>
      </w:pPr>
      <w:r w:rsidRPr="008B50F2">
        <w:rPr>
          <w:sz w:val="24"/>
          <w:szCs w:val="24"/>
        </w:rPr>
        <w:t>Filmovertrukne tabletter</w:t>
      </w:r>
    </w:p>
    <w:p w14:paraId="5072545F" w14:textId="77777777" w:rsidR="008B50F2" w:rsidRPr="008B50F2" w:rsidRDefault="008B50F2" w:rsidP="008B50F2">
      <w:pPr>
        <w:tabs>
          <w:tab w:val="left" w:pos="851"/>
        </w:tabs>
        <w:ind w:left="851"/>
        <w:rPr>
          <w:sz w:val="24"/>
          <w:szCs w:val="24"/>
        </w:rPr>
      </w:pPr>
    </w:p>
    <w:p w14:paraId="18D65AAE" w14:textId="77777777" w:rsidR="008B50F2" w:rsidRPr="008B50F2" w:rsidRDefault="008B50F2" w:rsidP="008B50F2">
      <w:pPr>
        <w:tabs>
          <w:tab w:val="left" w:pos="851"/>
        </w:tabs>
        <w:ind w:left="851"/>
        <w:rPr>
          <w:sz w:val="24"/>
          <w:szCs w:val="24"/>
          <w:u w:val="single"/>
        </w:rPr>
      </w:pPr>
      <w:r w:rsidRPr="008B50F2">
        <w:rPr>
          <w:sz w:val="24"/>
          <w:szCs w:val="24"/>
          <w:u w:val="single"/>
        </w:rPr>
        <w:t>25 mg</w:t>
      </w:r>
    </w:p>
    <w:p w14:paraId="4D1BAA16" w14:textId="208807CD" w:rsidR="008B50F2" w:rsidRPr="008B50F2" w:rsidRDefault="008B50F2" w:rsidP="008B50F2">
      <w:pPr>
        <w:tabs>
          <w:tab w:val="left" w:pos="851"/>
        </w:tabs>
        <w:ind w:left="851"/>
        <w:rPr>
          <w:sz w:val="24"/>
          <w:szCs w:val="24"/>
        </w:rPr>
      </w:pPr>
      <w:r w:rsidRPr="008B50F2">
        <w:rPr>
          <w:sz w:val="24"/>
          <w:szCs w:val="24"/>
        </w:rPr>
        <w:t>Lyseorange til orange, runde, bikonvekse, cirka 7 mm i diameter, filmovertrukne tabletter, præget med “ME” på den ene side og “13” på den anden side.</w:t>
      </w:r>
    </w:p>
    <w:p w14:paraId="3958E536" w14:textId="77777777" w:rsidR="008B50F2" w:rsidRPr="008B50F2" w:rsidRDefault="008B50F2" w:rsidP="008B50F2">
      <w:pPr>
        <w:tabs>
          <w:tab w:val="left" w:pos="851"/>
        </w:tabs>
        <w:ind w:left="851"/>
        <w:rPr>
          <w:sz w:val="24"/>
          <w:szCs w:val="24"/>
        </w:rPr>
      </w:pPr>
    </w:p>
    <w:p w14:paraId="7308D8C4" w14:textId="77777777" w:rsidR="008B50F2" w:rsidRPr="008B50F2" w:rsidRDefault="008B50F2" w:rsidP="008B50F2">
      <w:pPr>
        <w:tabs>
          <w:tab w:val="left" w:pos="851"/>
        </w:tabs>
        <w:ind w:left="851"/>
        <w:rPr>
          <w:sz w:val="24"/>
          <w:szCs w:val="24"/>
          <w:u w:val="single"/>
        </w:rPr>
      </w:pPr>
      <w:r w:rsidRPr="008B50F2">
        <w:rPr>
          <w:sz w:val="24"/>
          <w:szCs w:val="24"/>
          <w:u w:val="single"/>
        </w:rPr>
        <w:t>50 mg</w:t>
      </w:r>
    </w:p>
    <w:p w14:paraId="225E0C94" w14:textId="37F95399" w:rsidR="008B50F2" w:rsidRPr="008B50F2" w:rsidRDefault="008B50F2" w:rsidP="008B50F2">
      <w:pPr>
        <w:tabs>
          <w:tab w:val="left" w:pos="851"/>
        </w:tabs>
        <w:ind w:left="851"/>
        <w:rPr>
          <w:sz w:val="24"/>
          <w:szCs w:val="24"/>
        </w:rPr>
      </w:pPr>
      <w:r w:rsidRPr="008B50F2">
        <w:rPr>
          <w:sz w:val="24"/>
          <w:szCs w:val="24"/>
        </w:rPr>
        <w:t>Lyseblå til blå, runde, bikonvekse, cirka 9 mm i diameter, filmovertrukne tabletter, præget med “ME” på den ene side og “14” på den anden side.</w:t>
      </w:r>
    </w:p>
    <w:p w14:paraId="0D1559F1" w14:textId="77777777" w:rsidR="008B50F2" w:rsidRPr="008B50F2" w:rsidRDefault="008B50F2" w:rsidP="008B50F2">
      <w:pPr>
        <w:tabs>
          <w:tab w:val="left" w:pos="851"/>
        </w:tabs>
        <w:ind w:left="851"/>
        <w:rPr>
          <w:sz w:val="24"/>
          <w:szCs w:val="24"/>
        </w:rPr>
      </w:pPr>
    </w:p>
    <w:p w14:paraId="2BB9FB86" w14:textId="77777777" w:rsidR="008B50F2" w:rsidRPr="008B50F2" w:rsidRDefault="008B50F2" w:rsidP="008B50F2">
      <w:pPr>
        <w:tabs>
          <w:tab w:val="left" w:pos="851"/>
        </w:tabs>
        <w:ind w:left="851"/>
        <w:rPr>
          <w:sz w:val="24"/>
          <w:szCs w:val="24"/>
          <w:u w:val="single"/>
        </w:rPr>
      </w:pPr>
      <w:r w:rsidRPr="008B50F2">
        <w:rPr>
          <w:sz w:val="24"/>
          <w:szCs w:val="24"/>
          <w:u w:val="single"/>
        </w:rPr>
        <w:t>75 mg</w:t>
      </w:r>
    </w:p>
    <w:p w14:paraId="072833AB" w14:textId="2CFAC73B" w:rsidR="008B50F2" w:rsidRPr="008B50F2" w:rsidRDefault="008B50F2" w:rsidP="008B50F2">
      <w:pPr>
        <w:tabs>
          <w:tab w:val="left" w:pos="851"/>
        </w:tabs>
        <w:ind w:left="851"/>
        <w:rPr>
          <w:sz w:val="24"/>
          <w:szCs w:val="24"/>
        </w:rPr>
      </w:pPr>
      <w:r w:rsidRPr="008B50F2">
        <w:rPr>
          <w:sz w:val="24"/>
          <w:szCs w:val="24"/>
        </w:rPr>
        <w:t>Brune, runde, bikonvekse, cirka 10 mm i diameter, filmovertrukne tabletter, præget med “ME” på den ene side og “15” på den anden side.</w:t>
      </w:r>
    </w:p>
    <w:p w14:paraId="2C52D4AE" w14:textId="77777777" w:rsidR="008B50F2" w:rsidRPr="008B50F2" w:rsidRDefault="008B50F2" w:rsidP="008B50F2">
      <w:pPr>
        <w:tabs>
          <w:tab w:val="left" w:pos="851"/>
        </w:tabs>
        <w:ind w:left="851"/>
        <w:rPr>
          <w:sz w:val="24"/>
          <w:szCs w:val="24"/>
        </w:rPr>
      </w:pPr>
    </w:p>
    <w:p w14:paraId="4892EE7D" w14:textId="77777777" w:rsidR="009260DE" w:rsidRPr="00C84483" w:rsidRDefault="009260DE" w:rsidP="009260DE">
      <w:pPr>
        <w:tabs>
          <w:tab w:val="left" w:pos="851"/>
        </w:tabs>
        <w:ind w:left="851"/>
        <w:rPr>
          <w:sz w:val="24"/>
          <w:szCs w:val="24"/>
        </w:rPr>
      </w:pPr>
    </w:p>
    <w:p w14:paraId="47D4185D" w14:textId="77777777" w:rsidR="009260DE" w:rsidRPr="00C84483" w:rsidRDefault="009260DE" w:rsidP="009260DE">
      <w:pPr>
        <w:tabs>
          <w:tab w:val="left" w:pos="851"/>
        </w:tabs>
        <w:ind w:left="851"/>
        <w:rPr>
          <w:sz w:val="24"/>
          <w:szCs w:val="24"/>
        </w:rPr>
      </w:pPr>
    </w:p>
    <w:p w14:paraId="2EB7714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E8204FD" w14:textId="77777777" w:rsidR="009260DE" w:rsidRPr="00C84483" w:rsidRDefault="009260DE" w:rsidP="009260DE">
      <w:pPr>
        <w:tabs>
          <w:tab w:val="left" w:pos="851"/>
        </w:tabs>
        <w:ind w:left="851"/>
        <w:rPr>
          <w:b/>
          <w:sz w:val="24"/>
          <w:szCs w:val="24"/>
        </w:rPr>
      </w:pPr>
    </w:p>
    <w:p w14:paraId="6D06475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E7C8D92" w14:textId="77777777" w:rsidR="00927B43" w:rsidRPr="00927B43" w:rsidRDefault="00927B43" w:rsidP="00927B43">
      <w:pPr>
        <w:tabs>
          <w:tab w:val="left" w:pos="851"/>
        </w:tabs>
        <w:ind w:left="851"/>
        <w:rPr>
          <w:sz w:val="24"/>
          <w:szCs w:val="24"/>
        </w:rPr>
      </w:pPr>
      <w:r w:rsidRPr="00927B43">
        <w:rPr>
          <w:sz w:val="24"/>
          <w:szCs w:val="24"/>
        </w:rPr>
        <w:t>Eltrombopag "Vivanta" er indiceret til behandling af voksne patienter med primær immun trombocytopeni (ITP) som er refraktære over for anden behandling (f.eks. kortikosteroider og immunglobuliner) (se pkt. 4.2 og 5.1).</w:t>
      </w:r>
    </w:p>
    <w:p w14:paraId="4B500064" w14:textId="77777777" w:rsidR="00927B43" w:rsidRPr="00927B43" w:rsidRDefault="00927B43" w:rsidP="00927B43">
      <w:pPr>
        <w:tabs>
          <w:tab w:val="left" w:pos="851"/>
        </w:tabs>
        <w:ind w:left="851"/>
        <w:rPr>
          <w:sz w:val="24"/>
          <w:szCs w:val="24"/>
        </w:rPr>
      </w:pPr>
    </w:p>
    <w:p w14:paraId="572BDAD0" w14:textId="77777777" w:rsidR="00927B43" w:rsidRPr="00927B43" w:rsidRDefault="00927B43" w:rsidP="00927B43">
      <w:pPr>
        <w:tabs>
          <w:tab w:val="left" w:pos="851"/>
        </w:tabs>
        <w:ind w:left="851"/>
        <w:rPr>
          <w:sz w:val="24"/>
          <w:szCs w:val="24"/>
        </w:rPr>
      </w:pPr>
      <w:r w:rsidRPr="00927B43">
        <w:rPr>
          <w:sz w:val="24"/>
          <w:szCs w:val="24"/>
        </w:rPr>
        <w:t>Eltrombopag "Vivanta" er indiceret til behandling af pædiatriske patienter i alderen 1 år og derover med primær immun trombocytopeni (ITP) med en varighed på 6 måneder eller længere fra diagnose og som er refraktære over for anden behandling (f.eks. kortikosteroider eller immunglobuliner) (se pkt. 4.2 og 5.1).</w:t>
      </w:r>
    </w:p>
    <w:p w14:paraId="48763946" w14:textId="77777777" w:rsidR="00927B43" w:rsidRPr="00927B43" w:rsidRDefault="00927B43" w:rsidP="00927B43">
      <w:pPr>
        <w:tabs>
          <w:tab w:val="left" w:pos="851"/>
        </w:tabs>
        <w:ind w:left="851"/>
        <w:rPr>
          <w:sz w:val="24"/>
          <w:szCs w:val="24"/>
        </w:rPr>
      </w:pPr>
    </w:p>
    <w:p w14:paraId="7A8018DA" w14:textId="77777777" w:rsidR="00927B43" w:rsidRPr="00927B43" w:rsidRDefault="00927B43" w:rsidP="00927B43">
      <w:pPr>
        <w:tabs>
          <w:tab w:val="left" w:pos="851"/>
        </w:tabs>
        <w:ind w:left="851"/>
        <w:rPr>
          <w:sz w:val="24"/>
          <w:szCs w:val="24"/>
        </w:rPr>
      </w:pPr>
      <w:r w:rsidRPr="00927B43">
        <w:rPr>
          <w:sz w:val="24"/>
          <w:szCs w:val="24"/>
        </w:rPr>
        <w:t>Eltrombopag "Vivanta" er indiceret til behandling af trombocytopeni hos voksne patienter med kronisk hepatitis C-virusinfektion (HCV-infektion), hvor graden af trombocytopeni er den primære årsag til, at optimal interferonbaseret behandling ikke kan opstartes eller fortsættes (se pkt. 4.4 og 5.1).</w:t>
      </w:r>
    </w:p>
    <w:p w14:paraId="78551C07" w14:textId="77777777" w:rsidR="009260DE" w:rsidRPr="00C84483" w:rsidRDefault="009260DE" w:rsidP="009260DE">
      <w:pPr>
        <w:tabs>
          <w:tab w:val="left" w:pos="851"/>
        </w:tabs>
        <w:ind w:left="851"/>
        <w:rPr>
          <w:sz w:val="24"/>
          <w:szCs w:val="24"/>
        </w:rPr>
      </w:pPr>
    </w:p>
    <w:p w14:paraId="74213C4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30F2CEA" w14:textId="77777777" w:rsidR="00927B43" w:rsidRPr="00927B43" w:rsidRDefault="00927B43" w:rsidP="00927B43">
      <w:pPr>
        <w:tabs>
          <w:tab w:val="left" w:pos="851"/>
        </w:tabs>
        <w:ind w:left="851"/>
        <w:rPr>
          <w:sz w:val="24"/>
          <w:szCs w:val="24"/>
        </w:rPr>
      </w:pPr>
      <w:r w:rsidRPr="00927B43">
        <w:rPr>
          <w:sz w:val="24"/>
          <w:szCs w:val="24"/>
        </w:rPr>
        <w:t>Behandling med eltrombopag må kun indledes og vedligeholdes af en læge med erfaring i behandling af trombocytopeni eller behandling af kronisk hepatitis C og komplikationer til denne sygdom.</w:t>
      </w:r>
    </w:p>
    <w:p w14:paraId="383AD6DA" w14:textId="77777777" w:rsidR="00927B43" w:rsidRPr="00927B43" w:rsidRDefault="00927B43" w:rsidP="00927B43">
      <w:pPr>
        <w:tabs>
          <w:tab w:val="left" w:pos="851"/>
        </w:tabs>
        <w:ind w:left="851"/>
        <w:rPr>
          <w:sz w:val="24"/>
          <w:szCs w:val="24"/>
          <w:u w:val="single"/>
        </w:rPr>
      </w:pPr>
    </w:p>
    <w:p w14:paraId="44513014" w14:textId="77777777" w:rsidR="00927B43" w:rsidRPr="00927B43" w:rsidRDefault="00927B43" w:rsidP="00927B43">
      <w:pPr>
        <w:tabs>
          <w:tab w:val="left" w:pos="851"/>
        </w:tabs>
        <w:ind w:left="851"/>
        <w:rPr>
          <w:sz w:val="24"/>
          <w:szCs w:val="24"/>
          <w:u w:val="single"/>
        </w:rPr>
      </w:pPr>
      <w:r w:rsidRPr="00927B43">
        <w:rPr>
          <w:sz w:val="24"/>
          <w:szCs w:val="24"/>
          <w:u w:val="single"/>
        </w:rPr>
        <w:t>Dosering</w:t>
      </w:r>
    </w:p>
    <w:p w14:paraId="2D402D9B" w14:textId="77777777" w:rsidR="00927B43" w:rsidRPr="00927B43" w:rsidRDefault="00927B43" w:rsidP="00927B43">
      <w:pPr>
        <w:tabs>
          <w:tab w:val="left" w:pos="851"/>
        </w:tabs>
        <w:ind w:left="851"/>
        <w:rPr>
          <w:sz w:val="24"/>
          <w:szCs w:val="24"/>
        </w:rPr>
      </w:pPr>
      <w:r w:rsidRPr="00927B43">
        <w:rPr>
          <w:sz w:val="24"/>
          <w:szCs w:val="24"/>
        </w:rPr>
        <w:t>Doseringen af eltrombopag skal tilpasses den enkelte patient på baggrund af patientens trombocyttal. Målet for behandlingen med eltrombopag bør ikke være at normalisere trombocyttallet.</w:t>
      </w:r>
    </w:p>
    <w:p w14:paraId="12224F7B" w14:textId="77777777" w:rsidR="00927B43" w:rsidRPr="00927B43" w:rsidRDefault="00927B43" w:rsidP="00927B43">
      <w:pPr>
        <w:tabs>
          <w:tab w:val="left" w:pos="851"/>
        </w:tabs>
        <w:ind w:left="851"/>
        <w:rPr>
          <w:sz w:val="24"/>
          <w:szCs w:val="24"/>
        </w:rPr>
      </w:pPr>
    </w:p>
    <w:p w14:paraId="494FCFB0" w14:textId="77777777" w:rsidR="00927B43" w:rsidRPr="00927B43" w:rsidRDefault="00927B43" w:rsidP="00927B43">
      <w:pPr>
        <w:tabs>
          <w:tab w:val="left" w:pos="851"/>
        </w:tabs>
        <w:ind w:left="851"/>
        <w:rPr>
          <w:sz w:val="24"/>
          <w:szCs w:val="24"/>
        </w:rPr>
      </w:pPr>
      <w:r w:rsidRPr="00927B43">
        <w:rPr>
          <w:sz w:val="24"/>
          <w:szCs w:val="24"/>
        </w:rPr>
        <w:t>Eltrombopag er tilgængelig som pulver til oral suspension under andre produktnavne.</w:t>
      </w:r>
    </w:p>
    <w:p w14:paraId="15DF8103" w14:textId="77777777" w:rsidR="00927B43" w:rsidRPr="00927B43" w:rsidRDefault="00927B43" w:rsidP="00927B43">
      <w:pPr>
        <w:tabs>
          <w:tab w:val="left" w:pos="851"/>
        </w:tabs>
        <w:ind w:left="851"/>
        <w:rPr>
          <w:sz w:val="24"/>
          <w:szCs w:val="24"/>
        </w:rPr>
      </w:pPr>
      <w:r w:rsidRPr="00927B43">
        <w:rPr>
          <w:sz w:val="24"/>
          <w:szCs w:val="24"/>
        </w:rPr>
        <w:t>Pulveret til oral suspension kan medføre højere eksponering for eltrombopag end tabletformuleringerne (se pkt. 5.2). Ved skift mellem tabletter og pulver til oral susppension skal trombocyttællinger monitoreres ugentligt i 2 uger.</w:t>
      </w:r>
    </w:p>
    <w:p w14:paraId="3A64FD0C" w14:textId="77777777" w:rsidR="00927B43" w:rsidRPr="00927B43" w:rsidRDefault="00927B43" w:rsidP="00927B43">
      <w:pPr>
        <w:tabs>
          <w:tab w:val="left" w:pos="851"/>
        </w:tabs>
        <w:ind w:left="851"/>
        <w:rPr>
          <w:sz w:val="24"/>
          <w:szCs w:val="24"/>
        </w:rPr>
      </w:pPr>
    </w:p>
    <w:p w14:paraId="4F4C8E99"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Immun (primær) trombocytopeni</w:t>
      </w:r>
    </w:p>
    <w:p w14:paraId="028353CC" w14:textId="77777777" w:rsidR="00927B43" w:rsidRPr="00927B43" w:rsidRDefault="00927B43" w:rsidP="00927B43">
      <w:pPr>
        <w:tabs>
          <w:tab w:val="left" w:pos="851"/>
        </w:tabs>
        <w:ind w:left="851"/>
        <w:rPr>
          <w:sz w:val="24"/>
          <w:szCs w:val="24"/>
        </w:rPr>
      </w:pPr>
      <w:r w:rsidRPr="00927B43">
        <w:rPr>
          <w:sz w:val="24"/>
          <w:szCs w:val="24"/>
        </w:rPr>
        <w:t>Den laveste dosis af eltrombopag, hvormed der kan opnås og fastholdes et trombocyttal på ≥ 50 000 pr. μl, skal anvendes. Dosisjusteringer er baseret på trombocyttalresponset. Eltrombopag må ikke anvendes til at normalisere trombocyttallet. I kliniske studier steg trombocyttallene generelt inden for 1 til 2 uger efter opstart af eltrombopag og faldt 1 til 2 uger efter seponering.</w:t>
      </w:r>
    </w:p>
    <w:p w14:paraId="03325DFA" w14:textId="77777777" w:rsidR="00927B43" w:rsidRPr="00927B43" w:rsidRDefault="00927B43" w:rsidP="00927B43">
      <w:pPr>
        <w:tabs>
          <w:tab w:val="left" w:pos="851"/>
        </w:tabs>
        <w:ind w:left="851"/>
        <w:rPr>
          <w:sz w:val="24"/>
          <w:szCs w:val="24"/>
        </w:rPr>
      </w:pPr>
    </w:p>
    <w:p w14:paraId="3E4C0163" w14:textId="77777777" w:rsidR="00927B43" w:rsidRPr="00927B43" w:rsidRDefault="00927B43" w:rsidP="00927B43">
      <w:pPr>
        <w:tabs>
          <w:tab w:val="left" w:pos="851"/>
        </w:tabs>
        <w:ind w:left="851"/>
        <w:rPr>
          <w:i/>
          <w:iCs/>
          <w:sz w:val="24"/>
          <w:szCs w:val="24"/>
        </w:rPr>
      </w:pPr>
      <w:r w:rsidRPr="00927B43">
        <w:rPr>
          <w:i/>
          <w:iCs/>
          <w:sz w:val="24"/>
          <w:szCs w:val="24"/>
        </w:rPr>
        <w:t>Voksne og pædiatrisk population i alderen 6 til 17 år</w:t>
      </w:r>
    </w:p>
    <w:p w14:paraId="04DDFAF8" w14:textId="77777777" w:rsidR="00927B43" w:rsidRPr="00927B43" w:rsidRDefault="00927B43" w:rsidP="00927B43">
      <w:pPr>
        <w:tabs>
          <w:tab w:val="left" w:pos="851"/>
        </w:tabs>
        <w:ind w:left="851"/>
        <w:rPr>
          <w:sz w:val="24"/>
          <w:szCs w:val="24"/>
        </w:rPr>
      </w:pPr>
      <w:r w:rsidRPr="00927B43">
        <w:rPr>
          <w:sz w:val="24"/>
          <w:szCs w:val="24"/>
        </w:rPr>
        <w:t>Den anbefalede startdosis af eltrombopag er 50 mg én gang daglig. Patienter af øst-/sydøstasiatisk oprindelselse skal begynde med en nedsat dosis på 25 mg eltrombopag én gang daglig (se pkt. 5.2).</w:t>
      </w:r>
    </w:p>
    <w:p w14:paraId="52F1BD48" w14:textId="77777777" w:rsidR="00927B43" w:rsidRPr="00927B43" w:rsidRDefault="00927B43" w:rsidP="00927B43">
      <w:pPr>
        <w:tabs>
          <w:tab w:val="left" w:pos="851"/>
        </w:tabs>
        <w:ind w:left="851"/>
        <w:rPr>
          <w:sz w:val="24"/>
          <w:szCs w:val="24"/>
        </w:rPr>
      </w:pPr>
    </w:p>
    <w:p w14:paraId="1EF74E0C" w14:textId="77777777" w:rsidR="00927B43" w:rsidRPr="00927B43" w:rsidRDefault="00927B43" w:rsidP="00927B43">
      <w:pPr>
        <w:tabs>
          <w:tab w:val="left" w:pos="851"/>
        </w:tabs>
        <w:ind w:left="851"/>
        <w:rPr>
          <w:i/>
          <w:iCs/>
          <w:sz w:val="24"/>
          <w:szCs w:val="24"/>
        </w:rPr>
      </w:pPr>
      <w:r w:rsidRPr="00927B43">
        <w:rPr>
          <w:i/>
          <w:iCs/>
          <w:sz w:val="24"/>
          <w:szCs w:val="24"/>
        </w:rPr>
        <w:t>Pædiatrisk population i alderen 1 til 5 år</w:t>
      </w:r>
    </w:p>
    <w:p w14:paraId="1079E280" w14:textId="77777777" w:rsidR="00927B43" w:rsidRPr="00927B43" w:rsidRDefault="00927B43" w:rsidP="00927B43">
      <w:pPr>
        <w:tabs>
          <w:tab w:val="left" w:pos="851"/>
        </w:tabs>
        <w:ind w:left="851"/>
        <w:rPr>
          <w:sz w:val="24"/>
          <w:szCs w:val="24"/>
        </w:rPr>
      </w:pPr>
      <w:r w:rsidRPr="00927B43">
        <w:rPr>
          <w:sz w:val="24"/>
          <w:szCs w:val="24"/>
        </w:rPr>
        <w:t>Den anbefalede startdosis af eltrombopag er 25 mg én gang daglig.</w:t>
      </w:r>
    </w:p>
    <w:p w14:paraId="2EF30E8F" w14:textId="01479628" w:rsidR="0077543A" w:rsidRDefault="0077543A">
      <w:pPr>
        <w:rPr>
          <w:sz w:val="24"/>
          <w:szCs w:val="24"/>
        </w:rPr>
      </w:pPr>
      <w:r>
        <w:rPr>
          <w:sz w:val="24"/>
          <w:szCs w:val="24"/>
        </w:rPr>
        <w:br w:type="page"/>
      </w:r>
    </w:p>
    <w:p w14:paraId="32582CF0" w14:textId="77777777" w:rsidR="00927B43" w:rsidRPr="00927B43" w:rsidRDefault="00927B43" w:rsidP="00927B43">
      <w:pPr>
        <w:tabs>
          <w:tab w:val="left" w:pos="851"/>
        </w:tabs>
        <w:ind w:left="851"/>
        <w:rPr>
          <w:sz w:val="24"/>
          <w:szCs w:val="24"/>
        </w:rPr>
      </w:pPr>
    </w:p>
    <w:p w14:paraId="3D82576B" w14:textId="77777777" w:rsidR="00927B43" w:rsidRPr="00927B43" w:rsidRDefault="00927B43" w:rsidP="00927B43">
      <w:pPr>
        <w:tabs>
          <w:tab w:val="left" w:pos="851"/>
        </w:tabs>
        <w:ind w:left="851"/>
        <w:rPr>
          <w:i/>
          <w:iCs/>
          <w:sz w:val="24"/>
          <w:szCs w:val="24"/>
        </w:rPr>
      </w:pPr>
      <w:r w:rsidRPr="00927B43">
        <w:rPr>
          <w:i/>
          <w:iCs/>
          <w:sz w:val="24"/>
          <w:szCs w:val="24"/>
        </w:rPr>
        <w:t>Monitorering og dosisjustering</w:t>
      </w:r>
    </w:p>
    <w:p w14:paraId="4C608B0C" w14:textId="77777777" w:rsidR="00927B43" w:rsidRPr="00927B43" w:rsidRDefault="00927B43" w:rsidP="00927B43">
      <w:pPr>
        <w:tabs>
          <w:tab w:val="left" w:pos="851"/>
        </w:tabs>
        <w:ind w:left="851"/>
        <w:rPr>
          <w:sz w:val="24"/>
          <w:szCs w:val="24"/>
        </w:rPr>
      </w:pPr>
      <w:r w:rsidRPr="00927B43">
        <w:rPr>
          <w:sz w:val="24"/>
          <w:szCs w:val="24"/>
        </w:rPr>
        <w:t xml:space="preserve">Når behandlingen med eltrombopag er sat i gang, skal dosis justeres efter behov, så der opnås og fastholdes et trombocyttal på ≥ 50 000 pr. μl, for at nedsætte risikoen for blødning. Den daglige dosis på maksimalt 75 mg i døgnet, må ikke overskrides. </w:t>
      </w:r>
    </w:p>
    <w:p w14:paraId="2EC329C5" w14:textId="77777777" w:rsidR="00927B43" w:rsidRPr="00927B43" w:rsidRDefault="00927B43" w:rsidP="00927B43">
      <w:pPr>
        <w:tabs>
          <w:tab w:val="left" w:pos="851"/>
        </w:tabs>
        <w:ind w:left="851"/>
        <w:rPr>
          <w:sz w:val="24"/>
          <w:szCs w:val="24"/>
        </w:rPr>
      </w:pPr>
    </w:p>
    <w:p w14:paraId="10263F50" w14:textId="77777777" w:rsidR="00927B43" w:rsidRPr="00927B43" w:rsidRDefault="00927B43" w:rsidP="00927B43">
      <w:pPr>
        <w:tabs>
          <w:tab w:val="left" w:pos="851"/>
        </w:tabs>
        <w:ind w:left="851"/>
        <w:rPr>
          <w:sz w:val="24"/>
          <w:szCs w:val="24"/>
        </w:rPr>
      </w:pPr>
      <w:r w:rsidRPr="00927B43">
        <w:rPr>
          <w:sz w:val="24"/>
          <w:szCs w:val="24"/>
        </w:rPr>
        <w:t>Klinisk hæmatologi og levertal skal monitoreres regelmæssigt i hele behandlingsperioden med eltrombopag, og dosis skal ændres ud fra trombocyttallet, som vist i tabel 1. Under behandling med eltrombopag skal det fuldstændige blodbillede (komplet blodtælling (CBC)) inklusive trombocyttal og perifer blodudstrygning vurderes ugentligt, indtil der opnås et stabilt trombocyttal (≥ 50 000 pr. μl i mindst 4 uger). Herefter analyseres CBC inklusive trombocyttal og perifer blodudstrygning hver måned.</w:t>
      </w:r>
    </w:p>
    <w:p w14:paraId="2657A440" w14:textId="77777777" w:rsidR="00927B43" w:rsidRPr="00927B43" w:rsidRDefault="00927B43" w:rsidP="00927B43">
      <w:pPr>
        <w:tabs>
          <w:tab w:val="left" w:pos="851"/>
        </w:tabs>
        <w:ind w:left="851"/>
        <w:rPr>
          <w:sz w:val="24"/>
          <w:szCs w:val="24"/>
        </w:rPr>
      </w:pPr>
    </w:p>
    <w:p w14:paraId="0B44E9F8" w14:textId="0F209E17" w:rsidR="00927B43" w:rsidRPr="00927B43" w:rsidRDefault="00927B43" w:rsidP="0077543A">
      <w:pPr>
        <w:tabs>
          <w:tab w:val="left" w:pos="851"/>
          <w:tab w:val="left" w:pos="1843"/>
        </w:tabs>
        <w:ind w:left="851"/>
        <w:rPr>
          <w:b/>
          <w:bCs/>
          <w:sz w:val="24"/>
          <w:szCs w:val="24"/>
        </w:rPr>
      </w:pPr>
      <w:r w:rsidRPr="00927B43">
        <w:rPr>
          <w:b/>
          <w:bCs/>
          <w:sz w:val="24"/>
          <w:szCs w:val="24"/>
        </w:rPr>
        <w:t>Tabel 1</w:t>
      </w:r>
      <w:r w:rsidR="0077543A">
        <w:rPr>
          <w:b/>
          <w:bCs/>
          <w:sz w:val="24"/>
          <w:szCs w:val="24"/>
        </w:rPr>
        <w:tab/>
      </w:r>
      <w:r w:rsidRPr="00927B43">
        <w:rPr>
          <w:b/>
          <w:bCs/>
          <w:sz w:val="24"/>
          <w:szCs w:val="24"/>
        </w:rPr>
        <w:t>Dosisjustering af eltrombopag hos patienter med ITP</w:t>
      </w:r>
    </w:p>
    <w:p w14:paraId="6DD083D7" w14:textId="5B8E1F83" w:rsidR="00927B43" w:rsidRDefault="00927B43" w:rsidP="0077543A">
      <w:pPr>
        <w:tabs>
          <w:tab w:val="left" w:pos="851"/>
          <w:tab w:val="left" w:pos="7580"/>
        </w:tabs>
        <w:ind w:left="851"/>
        <w:rPr>
          <w:b/>
          <w:bCs/>
          <w:sz w:val="24"/>
          <w:szCs w:val="24"/>
        </w:rPr>
      </w:pPr>
    </w:p>
    <w:tbl>
      <w:tblPr>
        <w:tblStyle w:val="Tabel-Gitter"/>
        <w:tblW w:w="0" w:type="auto"/>
        <w:tblInd w:w="846" w:type="dxa"/>
        <w:tblLook w:val="04A0" w:firstRow="1" w:lastRow="0" w:firstColumn="1" w:lastColumn="0" w:noHBand="0" w:noVBand="1"/>
      </w:tblPr>
      <w:tblGrid>
        <w:gridCol w:w="2972"/>
        <w:gridCol w:w="5670"/>
      </w:tblGrid>
      <w:tr w:rsidR="0077543A" w14:paraId="0081DFE2" w14:textId="77777777" w:rsidTr="0077543A">
        <w:tc>
          <w:tcPr>
            <w:tcW w:w="2972" w:type="dxa"/>
            <w:tcBorders>
              <w:top w:val="single" w:sz="4" w:space="0" w:color="auto"/>
              <w:left w:val="single" w:sz="4" w:space="0" w:color="auto"/>
              <w:bottom w:val="single" w:sz="4" w:space="0" w:color="auto"/>
              <w:right w:val="single" w:sz="4" w:space="0" w:color="auto"/>
            </w:tcBorders>
            <w:hideMark/>
          </w:tcPr>
          <w:p w14:paraId="67C3915E" w14:textId="77777777" w:rsidR="0077543A" w:rsidRDefault="0077543A">
            <w:pPr>
              <w:pStyle w:val="TableParagraph"/>
              <w:ind w:left="1005"/>
              <w:rPr>
                <w:highlight w:val="green"/>
                <w:lang w:val="da-DK"/>
              </w:rPr>
            </w:pPr>
            <w:r>
              <w:rPr>
                <w:lang w:val="da-DK"/>
              </w:rPr>
              <w:t>Trombocyttal</w:t>
            </w:r>
          </w:p>
        </w:tc>
        <w:tc>
          <w:tcPr>
            <w:tcW w:w="5670" w:type="dxa"/>
            <w:tcBorders>
              <w:top w:val="single" w:sz="4" w:space="0" w:color="auto"/>
              <w:left w:val="single" w:sz="4" w:space="0" w:color="auto"/>
              <w:bottom w:val="single" w:sz="4" w:space="0" w:color="auto"/>
              <w:right w:val="single" w:sz="4" w:space="0" w:color="auto"/>
            </w:tcBorders>
            <w:hideMark/>
          </w:tcPr>
          <w:p w14:paraId="54ACB3FD" w14:textId="77777777" w:rsidR="0077543A" w:rsidRDefault="0077543A">
            <w:pPr>
              <w:pStyle w:val="TableParagraph"/>
              <w:ind w:left="1663"/>
              <w:rPr>
                <w:highlight w:val="green"/>
                <w:lang w:val="da-DK"/>
              </w:rPr>
            </w:pPr>
            <w:r>
              <w:rPr>
                <w:lang w:val="da-DK"/>
              </w:rPr>
              <w:t>Dosisjustering eller respons</w:t>
            </w:r>
          </w:p>
        </w:tc>
      </w:tr>
      <w:tr w:rsidR="0077543A" w14:paraId="7D6C9607" w14:textId="77777777" w:rsidTr="0077543A">
        <w:tc>
          <w:tcPr>
            <w:tcW w:w="2972" w:type="dxa"/>
            <w:tcBorders>
              <w:top w:val="single" w:sz="4" w:space="0" w:color="auto"/>
              <w:left w:val="single" w:sz="4" w:space="0" w:color="auto"/>
              <w:bottom w:val="single" w:sz="4" w:space="0" w:color="auto"/>
              <w:right w:val="single" w:sz="4" w:space="0" w:color="auto"/>
            </w:tcBorders>
            <w:hideMark/>
          </w:tcPr>
          <w:p w14:paraId="117694F5" w14:textId="77777777" w:rsidR="0077543A" w:rsidRDefault="0077543A">
            <w:pPr>
              <w:pStyle w:val="TableParagraph"/>
              <w:spacing w:line="240" w:lineRule="auto"/>
              <w:rPr>
                <w:lang w:val="da-DK"/>
              </w:rPr>
            </w:pPr>
            <w:r>
              <w:rPr>
                <w:lang w:val="da-DK"/>
              </w:rPr>
              <w:t>&lt;50 000 pr. μl efter mindst 2 ugers behandling</w:t>
            </w:r>
          </w:p>
        </w:tc>
        <w:tc>
          <w:tcPr>
            <w:tcW w:w="5670" w:type="dxa"/>
            <w:tcBorders>
              <w:top w:val="single" w:sz="4" w:space="0" w:color="auto"/>
              <w:left w:val="single" w:sz="4" w:space="0" w:color="auto"/>
              <w:bottom w:val="single" w:sz="4" w:space="0" w:color="auto"/>
              <w:right w:val="single" w:sz="4" w:space="0" w:color="auto"/>
            </w:tcBorders>
            <w:hideMark/>
          </w:tcPr>
          <w:p w14:paraId="0D3D22CC" w14:textId="77777777" w:rsidR="0077543A" w:rsidRDefault="0077543A">
            <w:pPr>
              <w:pStyle w:val="TableParagraph"/>
              <w:spacing w:line="240" w:lineRule="auto"/>
              <w:ind w:left="100"/>
              <w:rPr>
                <w:highlight w:val="green"/>
                <w:lang w:val="da-DK"/>
              </w:rPr>
            </w:pPr>
            <w:r>
              <w:rPr>
                <w:lang w:val="da-DK"/>
              </w:rPr>
              <w:t>Daglig dosis øges med 25 mg op til et maksimum på 75 mg/dag</w:t>
            </w:r>
            <w:r>
              <w:rPr>
                <w:sz w:val="20"/>
                <w:lang w:val="da-DK"/>
              </w:rPr>
              <w:t>*</w:t>
            </w:r>
            <w:r>
              <w:rPr>
                <w:lang w:val="da-DK"/>
              </w:rPr>
              <w:t>.</w:t>
            </w:r>
          </w:p>
        </w:tc>
      </w:tr>
      <w:tr w:rsidR="0077543A" w14:paraId="521DE77B" w14:textId="77777777" w:rsidTr="0077543A">
        <w:tc>
          <w:tcPr>
            <w:tcW w:w="2972" w:type="dxa"/>
            <w:tcBorders>
              <w:top w:val="single" w:sz="4" w:space="0" w:color="auto"/>
              <w:left w:val="single" w:sz="4" w:space="0" w:color="auto"/>
              <w:bottom w:val="single" w:sz="4" w:space="0" w:color="auto"/>
              <w:right w:val="single" w:sz="4" w:space="0" w:color="auto"/>
            </w:tcBorders>
            <w:hideMark/>
          </w:tcPr>
          <w:p w14:paraId="49C48FA7" w14:textId="77777777" w:rsidR="0077543A" w:rsidRDefault="0077543A">
            <w:pPr>
              <w:pStyle w:val="TableParagraph"/>
              <w:spacing w:line="240" w:lineRule="auto"/>
              <w:rPr>
                <w:lang w:val="da-DK"/>
              </w:rPr>
            </w:pPr>
            <w:r>
              <w:rPr>
                <w:rFonts w:ascii="Symbol" w:hAnsi="Symbol"/>
                <w:lang w:val="da-DK"/>
              </w:rPr>
              <w:t></w:t>
            </w:r>
            <w:r>
              <w:rPr>
                <w:lang w:val="da-DK"/>
              </w:rPr>
              <w:t xml:space="preserve">50 000 pr. μl til </w:t>
            </w:r>
            <w:r>
              <w:rPr>
                <w:rFonts w:ascii="Symbol" w:hAnsi="Symbol"/>
                <w:lang w:val="da-DK"/>
              </w:rPr>
              <w:t></w:t>
            </w:r>
            <w:r>
              <w:rPr>
                <w:lang w:val="da-DK"/>
              </w:rPr>
              <w:t>150 000 pr. μl</w:t>
            </w:r>
          </w:p>
        </w:tc>
        <w:tc>
          <w:tcPr>
            <w:tcW w:w="5670" w:type="dxa"/>
            <w:tcBorders>
              <w:top w:val="single" w:sz="4" w:space="0" w:color="auto"/>
              <w:left w:val="single" w:sz="4" w:space="0" w:color="auto"/>
              <w:bottom w:val="single" w:sz="4" w:space="0" w:color="auto"/>
              <w:right w:val="single" w:sz="4" w:space="0" w:color="auto"/>
            </w:tcBorders>
            <w:hideMark/>
          </w:tcPr>
          <w:p w14:paraId="14C7DAB4" w14:textId="77777777" w:rsidR="0077543A" w:rsidRDefault="0077543A">
            <w:pPr>
              <w:pStyle w:val="TableParagraph"/>
              <w:spacing w:line="240" w:lineRule="auto"/>
              <w:ind w:left="100"/>
              <w:rPr>
                <w:lang w:val="da-DK"/>
              </w:rPr>
            </w:pPr>
            <w:r>
              <w:rPr>
                <w:lang w:val="da-DK"/>
              </w:rPr>
              <w:t>Anvend laveste eltrombopag-dosis og/eller anden ITP-medicin for at fastholde et trombocyttal, hvor blødning undgås eller reduceres.</w:t>
            </w:r>
          </w:p>
        </w:tc>
      </w:tr>
      <w:tr w:rsidR="0077543A" w14:paraId="5B220D41" w14:textId="77777777" w:rsidTr="0077543A">
        <w:tc>
          <w:tcPr>
            <w:tcW w:w="2972" w:type="dxa"/>
            <w:tcBorders>
              <w:top w:val="single" w:sz="4" w:space="0" w:color="auto"/>
              <w:left w:val="single" w:sz="4" w:space="0" w:color="auto"/>
              <w:bottom w:val="single" w:sz="4" w:space="0" w:color="auto"/>
              <w:right w:val="single" w:sz="4" w:space="0" w:color="auto"/>
            </w:tcBorders>
            <w:hideMark/>
          </w:tcPr>
          <w:p w14:paraId="60464D72" w14:textId="77777777" w:rsidR="0077543A" w:rsidRDefault="0077543A">
            <w:pPr>
              <w:pStyle w:val="TableParagraph"/>
              <w:spacing w:line="240" w:lineRule="auto"/>
              <w:rPr>
                <w:lang w:val="da-DK"/>
              </w:rPr>
            </w:pPr>
            <w:r>
              <w:rPr>
                <w:lang w:val="da-DK"/>
              </w:rPr>
              <w:t xml:space="preserve">&gt;150 000 pr. μl til </w:t>
            </w:r>
            <w:r>
              <w:rPr>
                <w:rFonts w:ascii="Symbol" w:hAnsi="Symbol"/>
                <w:lang w:val="da-DK"/>
              </w:rPr>
              <w:t></w:t>
            </w:r>
            <w:r>
              <w:rPr>
                <w:lang w:val="da-DK"/>
              </w:rPr>
              <w:t>250 000 pr. μl</w:t>
            </w:r>
          </w:p>
        </w:tc>
        <w:tc>
          <w:tcPr>
            <w:tcW w:w="5670" w:type="dxa"/>
            <w:tcBorders>
              <w:top w:val="single" w:sz="4" w:space="0" w:color="auto"/>
              <w:left w:val="single" w:sz="4" w:space="0" w:color="auto"/>
              <w:bottom w:val="single" w:sz="4" w:space="0" w:color="auto"/>
              <w:right w:val="single" w:sz="4" w:space="0" w:color="auto"/>
            </w:tcBorders>
            <w:hideMark/>
          </w:tcPr>
          <w:p w14:paraId="0416009C" w14:textId="77777777" w:rsidR="0077543A" w:rsidRDefault="0077543A">
            <w:pPr>
              <w:pStyle w:val="TableParagraph"/>
              <w:spacing w:line="240" w:lineRule="auto"/>
              <w:ind w:left="100"/>
              <w:rPr>
                <w:lang w:val="da-DK"/>
              </w:rPr>
            </w:pPr>
            <w:r>
              <w:rPr>
                <w:lang w:val="da-DK"/>
              </w:rPr>
              <w:t>Nedsæt den daglige dosis med 25 mg. Vent derefter 2 uger for at vurdere virkningen af dette og evt. efterfølgende dosisjusteringer</w:t>
            </w:r>
            <w:r>
              <w:rPr>
                <w:position w:val="8"/>
                <w:sz w:val="14"/>
                <w:lang w:val="da-DK"/>
              </w:rPr>
              <w:t xml:space="preserve"> ♦</w:t>
            </w:r>
            <w:r>
              <w:rPr>
                <w:lang w:val="da-DK"/>
              </w:rPr>
              <w:t>.</w:t>
            </w:r>
          </w:p>
        </w:tc>
      </w:tr>
      <w:tr w:rsidR="0077543A" w14:paraId="15C878DF" w14:textId="77777777" w:rsidTr="0077543A">
        <w:tc>
          <w:tcPr>
            <w:tcW w:w="2972" w:type="dxa"/>
            <w:tcBorders>
              <w:top w:val="single" w:sz="4" w:space="0" w:color="auto"/>
              <w:left w:val="single" w:sz="4" w:space="0" w:color="auto"/>
              <w:bottom w:val="single" w:sz="4" w:space="0" w:color="auto"/>
              <w:right w:val="single" w:sz="4" w:space="0" w:color="auto"/>
            </w:tcBorders>
            <w:hideMark/>
          </w:tcPr>
          <w:p w14:paraId="44635360" w14:textId="77777777" w:rsidR="0077543A" w:rsidRDefault="0077543A">
            <w:pPr>
              <w:pStyle w:val="TableParagraph"/>
              <w:spacing w:line="240" w:lineRule="auto"/>
              <w:rPr>
                <w:lang w:val="da-DK"/>
              </w:rPr>
            </w:pPr>
            <w:r>
              <w:rPr>
                <w:lang w:val="da-DK"/>
              </w:rPr>
              <w:t xml:space="preserve">&gt;250 000 pr. μl  </w:t>
            </w:r>
          </w:p>
        </w:tc>
        <w:tc>
          <w:tcPr>
            <w:tcW w:w="5670" w:type="dxa"/>
            <w:tcBorders>
              <w:top w:val="single" w:sz="4" w:space="0" w:color="auto"/>
              <w:left w:val="single" w:sz="4" w:space="0" w:color="auto"/>
              <w:bottom w:val="single" w:sz="4" w:space="0" w:color="auto"/>
              <w:right w:val="single" w:sz="4" w:space="0" w:color="auto"/>
            </w:tcBorders>
          </w:tcPr>
          <w:p w14:paraId="31825EC5" w14:textId="77777777" w:rsidR="0077543A" w:rsidRDefault="0077543A">
            <w:pPr>
              <w:pStyle w:val="TableParagraph"/>
              <w:spacing w:line="240" w:lineRule="auto"/>
              <w:ind w:left="100"/>
              <w:rPr>
                <w:lang w:val="da-DK"/>
              </w:rPr>
            </w:pPr>
            <w:r>
              <w:rPr>
                <w:lang w:val="da-DK"/>
              </w:rPr>
              <w:t>Seponer eltrombopag; forøg monitoreringen af trombocyttallet til to gange om ugen.</w:t>
            </w:r>
          </w:p>
          <w:p w14:paraId="717A7DAF" w14:textId="77777777" w:rsidR="0077543A" w:rsidRDefault="0077543A">
            <w:pPr>
              <w:pStyle w:val="TableParagraph"/>
              <w:spacing w:before="9" w:line="240" w:lineRule="auto"/>
              <w:ind w:left="0"/>
              <w:rPr>
                <w:b/>
                <w:sz w:val="21"/>
                <w:lang w:val="da-DK"/>
              </w:rPr>
            </w:pPr>
          </w:p>
          <w:p w14:paraId="0334A5C7" w14:textId="77777777" w:rsidR="0077543A" w:rsidRDefault="0077543A">
            <w:pPr>
              <w:pStyle w:val="TableParagraph"/>
              <w:spacing w:line="240" w:lineRule="auto"/>
              <w:ind w:left="100"/>
              <w:rPr>
                <w:lang w:val="da-DK"/>
              </w:rPr>
            </w:pPr>
            <w:r>
              <w:rPr>
                <w:lang w:val="da-DK"/>
              </w:rPr>
              <w:t>Når trombocyttallet er ≤ 100 000 pr. μl, sættes behandlingen i gang igen med en daglig dosis, der er nedsat med 25 mg.</w:t>
            </w:r>
          </w:p>
        </w:tc>
      </w:tr>
    </w:tbl>
    <w:p w14:paraId="206F9035" w14:textId="6BD2B7AE" w:rsidR="00927B43" w:rsidRPr="0077543A" w:rsidRDefault="00927B43" w:rsidP="00927B43">
      <w:pPr>
        <w:tabs>
          <w:tab w:val="left" w:pos="851"/>
        </w:tabs>
        <w:ind w:left="851"/>
        <w:rPr>
          <w:sz w:val="20"/>
        </w:rPr>
      </w:pPr>
      <w:r w:rsidRPr="0077543A">
        <w:rPr>
          <w:sz w:val="20"/>
        </w:rPr>
        <w:t>* For patienter, der tager 25 mg eltrombopag en gang hver anden dag, øges dosis til 25 mg én gang</w:t>
      </w:r>
      <w:r w:rsidR="0077543A" w:rsidRPr="0077543A">
        <w:rPr>
          <w:sz w:val="20"/>
        </w:rPr>
        <w:t xml:space="preserve"> </w:t>
      </w:r>
      <w:r w:rsidRPr="0077543A">
        <w:rPr>
          <w:sz w:val="20"/>
        </w:rPr>
        <w:t>daglig.</w:t>
      </w:r>
    </w:p>
    <w:p w14:paraId="72FC092F" w14:textId="77777777" w:rsidR="00927B43" w:rsidRPr="0077543A" w:rsidRDefault="00927B43" w:rsidP="00927B43">
      <w:pPr>
        <w:tabs>
          <w:tab w:val="left" w:pos="851"/>
        </w:tabs>
        <w:ind w:left="851"/>
        <w:rPr>
          <w:sz w:val="20"/>
        </w:rPr>
      </w:pPr>
      <w:r w:rsidRPr="0077543A">
        <w:rPr>
          <w:sz w:val="20"/>
        </w:rPr>
        <w:t>♦ For patienter, der tager 25 mg eltrombopag én gang daglig, bør det overvejes at dosere med 12,5 mg én gang daglig eller alternativt en dosis på 25 mg en gang hver anden dag.</w:t>
      </w:r>
    </w:p>
    <w:p w14:paraId="49F9384D" w14:textId="77777777" w:rsidR="00927B43" w:rsidRPr="00927B43" w:rsidRDefault="00927B43" w:rsidP="00927B43">
      <w:pPr>
        <w:tabs>
          <w:tab w:val="left" w:pos="851"/>
        </w:tabs>
        <w:ind w:left="851"/>
        <w:rPr>
          <w:sz w:val="24"/>
          <w:szCs w:val="24"/>
        </w:rPr>
      </w:pPr>
    </w:p>
    <w:p w14:paraId="78F1AEEC" w14:textId="77777777" w:rsidR="00927B43" w:rsidRPr="00927B43" w:rsidRDefault="00927B43" w:rsidP="00927B43">
      <w:pPr>
        <w:tabs>
          <w:tab w:val="left" w:pos="851"/>
        </w:tabs>
        <w:ind w:left="851"/>
        <w:rPr>
          <w:sz w:val="24"/>
          <w:szCs w:val="24"/>
        </w:rPr>
      </w:pPr>
      <w:r w:rsidRPr="00927B43">
        <w:rPr>
          <w:sz w:val="24"/>
          <w:szCs w:val="24"/>
        </w:rPr>
        <w:t>Eltrombopag kan gives sammen med andre ITP-lægemidler. Dosis af andre ITP-lægemidler bør ændres efter behov, for at undgå for store stigninger i trombocyttallet under behandlingen med eltrombopag.</w:t>
      </w:r>
    </w:p>
    <w:p w14:paraId="6AD0827A" w14:textId="77777777" w:rsidR="00927B43" w:rsidRPr="00927B43" w:rsidRDefault="00927B43" w:rsidP="00927B43">
      <w:pPr>
        <w:tabs>
          <w:tab w:val="left" w:pos="851"/>
        </w:tabs>
        <w:ind w:left="851"/>
        <w:rPr>
          <w:sz w:val="24"/>
          <w:szCs w:val="24"/>
        </w:rPr>
      </w:pPr>
    </w:p>
    <w:p w14:paraId="5C2A6E24" w14:textId="77777777" w:rsidR="00927B43" w:rsidRPr="00927B43" w:rsidRDefault="00927B43" w:rsidP="00927B43">
      <w:pPr>
        <w:tabs>
          <w:tab w:val="left" w:pos="851"/>
        </w:tabs>
        <w:ind w:left="851"/>
        <w:rPr>
          <w:sz w:val="24"/>
          <w:szCs w:val="24"/>
        </w:rPr>
      </w:pPr>
      <w:r w:rsidRPr="00927B43">
        <w:rPr>
          <w:sz w:val="24"/>
          <w:szCs w:val="24"/>
        </w:rPr>
        <w:t>Det er nødvendigt at observere effekten af alle dosisjusteringer på patientens trombocyttal i mindst 2 uger, før endnu en dosisjustering overvejes.</w:t>
      </w:r>
    </w:p>
    <w:p w14:paraId="62D0439A" w14:textId="77777777" w:rsidR="00927B43" w:rsidRPr="00927B43" w:rsidRDefault="00927B43" w:rsidP="00927B43">
      <w:pPr>
        <w:tabs>
          <w:tab w:val="left" w:pos="851"/>
        </w:tabs>
        <w:ind w:left="851"/>
        <w:rPr>
          <w:sz w:val="24"/>
          <w:szCs w:val="24"/>
        </w:rPr>
      </w:pPr>
    </w:p>
    <w:p w14:paraId="6ABE53B1" w14:textId="77777777" w:rsidR="00927B43" w:rsidRPr="00927B43" w:rsidRDefault="00927B43" w:rsidP="00927B43">
      <w:pPr>
        <w:tabs>
          <w:tab w:val="left" w:pos="851"/>
        </w:tabs>
        <w:ind w:left="851"/>
        <w:rPr>
          <w:sz w:val="24"/>
          <w:szCs w:val="24"/>
        </w:rPr>
      </w:pPr>
      <w:r w:rsidRPr="00927B43">
        <w:rPr>
          <w:sz w:val="24"/>
          <w:szCs w:val="24"/>
        </w:rPr>
        <w:t>Den normale dosisjustering af eltrombopag – enten forøgelse eller reduktion – er 25 mg én gang daglig.</w:t>
      </w:r>
    </w:p>
    <w:p w14:paraId="229DAAF5" w14:textId="77777777" w:rsidR="00927B43" w:rsidRPr="00927B43" w:rsidRDefault="00927B43" w:rsidP="00927B43">
      <w:pPr>
        <w:tabs>
          <w:tab w:val="left" w:pos="851"/>
        </w:tabs>
        <w:ind w:left="851"/>
        <w:rPr>
          <w:sz w:val="24"/>
          <w:szCs w:val="24"/>
        </w:rPr>
      </w:pPr>
    </w:p>
    <w:p w14:paraId="15B443EF" w14:textId="77777777" w:rsidR="00927B43" w:rsidRPr="00927B43" w:rsidRDefault="00927B43" w:rsidP="00927B43">
      <w:pPr>
        <w:tabs>
          <w:tab w:val="left" w:pos="851"/>
        </w:tabs>
        <w:ind w:left="851"/>
        <w:rPr>
          <w:i/>
          <w:iCs/>
          <w:sz w:val="24"/>
          <w:szCs w:val="24"/>
        </w:rPr>
      </w:pPr>
      <w:r w:rsidRPr="00927B43">
        <w:rPr>
          <w:i/>
          <w:iCs/>
          <w:sz w:val="24"/>
          <w:szCs w:val="24"/>
        </w:rPr>
        <w:t>Seponering</w:t>
      </w:r>
    </w:p>
    <w:p w14:paraId="3F9EF3E0" w14:textId="77777777" w:rsidR="00927B43" w:rsidRPr="00927B43" w:rsidRDefault="00927B43" w:rsidP="00927B43">
      <w:pPr>
        <w:tabs>
          <w:tab w:val="left" w:pos="851"/>
        </w:tabs>
        <w:ind w:left="851"/>
        <w:rPr>
          <w:sz w:val="24"/>
          <w:szCs w:val="24"/>
        </w:rPr>
      </w:pPr>
      <w:r w:rsidRPr="00927B43">
        <w:rPr>
          <w:sz w:val="24"/>
          <w:szCs w:val="24"/>
        </w:rPr>
        <w:t>Eltrombopag skal seponeres, hvis trombocyttallet ikke stiger til et niveau, der er tilstrækkeligt til at undgå klinisk vigtig blødning efter 4 ugers behandling med 75 mg eltrombopag daglig.</w:t>
      </w:r>
    </w:p>
    <w:p w14:paraId="4FFEC03A" w14:textId="77777777" w:rsidR="00927B43" w:rsidRPr="00927B43" w:rsidRDefault="00927B43" w:rsidP="00927B43">
      <w:pPr>
        <w:tabs>
          <w:tab w:val="left" w:pos="851"/>
        </w:tabs>
        <w:ind w:left="851"/>
        <w:rPr>
          <w:sz w:val="24"/>
          <w:szCs w:val="24"/>
        </w:rPr>
      </w:pPr>
    </w:p>
    <w:p w14:paraId="7B214177" w14:textId="77777777" w:rsidR="00927B43" w:rsidRPr="00927B43" w:rsidRDefault="00927B43" w:rsidP="00927B43">
      <w:pPr>
        <w:tabs>
          <w:tab w:val="left" w:pos="851"/>
        </w:tabs>
        <w:ind w:left="851"/>
        <w:rPr>
          <w:sz w:val="24"/>
          <w:szCs w:val="24"/>
        </w:rPr>
      </w:pPr>
      <w:r w:rsidRPr="00927B43">
        <w:rPr>
          <w:sz w:val="24"/>
          <w:szCs w:val="24"/>
        </w:rPr>
        <w:t>Patienterne skal vurderes klinisk regelmæssigt, og den behandlende læge skal i hvert enkelt tilfælde afgøre, om behandlingen skal fortsætte. Hos ikke-splenektomerede patienter bør dette inkludere evaluering i forhold til splenektomi. Der kan forekomme trombocytopeni igen ved seponering af behandlingen (se pkt. 4.4).</w:t>
      </w:r>
    </w:p>
    <w:p w14:paraId="45D96E9D" w14:textId="77777777" w:rsidR="00927B43" w:rsidRPr="00927B43" w:rsidRDefault="00927B43" w:rsidP="00927B43">
      <w:pPr>
        <w:tabs>
          <w:tab w:val="left" w:pos="851"/>
        </w:tabs>
        <w:ind w:left="851"/>
        <w:rPr>
          <w:sz w:val="24"/>
          <w:szCs w:val="24"/>
        </w:rPr>
      </w:pPr>
    </w:p>
    <w:p w14:paraId="41754498" w14:textId="77777777" w:rsidR="00927B43" w:rsidRPr="00927B43" w:rsidRDefault="00927B43" w:rsidP="00927B43">
      <w:pPr>
        <w:tabs>
          <w:tab w:val="left" w:pos="851"/>
        </w:tabs>
        <w:ind w:left="851"/>
        <w:rPr>
          <w:i/>
          <w:iCs/>
          <w:sz w:val="24"/>
          <w:szCs w:val="24"/>
          <w:u w:val="single"/>
        </w:rPr>
      </w:pPr>
      <w:r w:rsidRPr="00927B43">
        <w:rPr>
          <w:i/>
          <w:iCs/>
          <w:sz w:val="24"/>
          <w:szCs w:val="24"/>
          <w:u w:val="single"/>
        </w:rPr>
        <w:lastRenderedPageBreak/>
        <w:t>Trombocytopeni i forbindelse med kronisk hepatitis C (HCV)</w:t>
      </w:r>
    </w:p>
    <w:p w14:paraId="721C356D" w14:textId="77777777" w:rsidR="00927B43" w:rsidRPr="00927B43" w:rsidRDefault="00927B43" w:rsidP="00927B43">
      <w:pPr>
        <w:tabs>
          <w:tab w:val="left" w:pos="851"/>
        </w:tabs>
        <w:ind w:left="851"/>
        <w:rPr>
          <w:sz w:val="24"/>
          <w:szCs w:val="24"/>
        </w:rPr>
      </w:pPr>
      <w:r w:rsidRPr="00927B43">
        <w:rPr>
          <w:sz w:val="24"/>
          <w:szCs w:val="24"/>
        </w:rPr>
        <w:t xml:space="preserve">Når eltrombopag gives i kombination med antivirale lægemidler, skal de fulde produktresuméer for de respektive samtidigt administrerede lægemidler konsulteres for at få de fuldstændige detaljer om relevante sikkerhedsoplysninger eller kontraindikationer. </w:t>
      </w:r>
    </w:p>
    <w:p w14:paraId="3F3A7C80" w14:textId="77777777" w:rsidR="00927B43" w:rsidRPr="00927B43" w:rsidRDefault="00927B43" w:rsidP="00927B43">
      <w:pPr>
        <w:tabs>
          <w:tab w:val="left" w:pos="851"/>
        </w:tabs>
        <w:ind w:left="851"/>
        <w:rPr>
          <w:sz w:val="24"/>
          <w:szCs w:val="24"/>
        </w:rPr>
      </w:pPr>
    </w:p>
    <w:p w14:paraId="41C7158A" w14:textId="77777777" w:rsidR="00927B43" w:rsidRPr="00927B43" w:rsidRDefault="00927B43" w:rsidP="00927B43">
      <w:pPr>
        <w:tabs>
          <w:tab w:val="left" w:pos="851"/>
        </w:tabs>
        <w:ind w:left="851"/>
        <w:rPr>
          <w:sz w:val="24"/>
          <w:szCs w:val="24"/>
        </w:rPr>
      </w:pPr>
      <w:r w:rsidRPr="00927B43">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 de kliniske retningslinjer. Under den antivirale behandling bør formålet med behandlingen være at fastholde trombocyttallet på et niveau, som forebygger risikoen for blødningskomplikationer, normalt ca. 50 000-75 000 pr. μl. Et trombocyttal &gt; 75 000 pr. μl bør undgås. Den laveste dosis af eltrombopag, hvormed formålet opnås, skal anvendes. Dosisjusteringer skal baseres på trombocyttalresponset.</w:t>
      </w:r>
    </w:p>
    <w:p w14:paraId="0D921D36" w14:textId="77777777" w:rsidR="00927B43" w:rsidRPr="00927B43" w:rsidRDefault="00927B43" w:rsidP="00927B43">
      <w:pPr>
        <w:tabs>
          <w:tab w:val="left" w:pos="851"/>
        </w:tabs>
        <w:ind w:left="851"/>
        <w:rPr>
          <w:sz w:val="24"/>
          <w:szCs w:val="24"/>
        </w:rPr>
      </w:pPr>
    </w:p>
    <w:p w14:paraId="39775E6F" w14:textId="77777777" w:rsidR="00927B43" w:rsidRPr="00927B43" w:rsidRDefault="00927B43" w:rsidP="00927B43">
      <w:pPr>
        <w:tabs>
          <w:tab w:val="left" w:pos="851"/>
        </w:tabs>
        <w:ind w:left="851"/>
        <w:rPr>
          <w:i/>
          <w:iCs/>
          <w:sz w:val="24"/>
          <w:szCs w:val="24"/>
        </w:rPr>
      </w:pPr>
      <w:r w:rsidRPr="00927B43">
        <w:rPr>
          <w:i/>
          <w:iCs/>
          <w:sz w:val="24"/>
          <w:szCs w:val="24"/>
        </w:rPr>
        <w:t>Startdosis</w:t>
      </w:r>
    </w:p>
    <w:p w14:paraId="336E9C8B" w14:textId="77777777" w:rsidR="00927B43" w:rsidRPr="00927B43" w:rsidRDefault="00927B43" w:rsidP="00927B43">
      <w:pPr>
        <w:tabs>
          <w:tab w:val="left" w:pos="851"/>
        </w:tabs>
        <w:ind w:left="851"/>
        <w:rPr>
          <w:sz w:val="24"/>
          <w:szCs w:val="24"/>
        </w:rPr>
      </w:pPr>
      <w:r w:rsidRPr="00927B43">
        <w:rPr>
          <w:sz w:val="24"/>
          <w:szCs w:val="24"/>
        </w:rPr>
        <w:t>Eltrombopagbehandling bør indledes med en startdosis på 25 mg én gang daglig. Det er ikke nødvendigt at justere doseringen hos patienter af øst-/sydøstasiatisk oprindelse med HCV eller hos patienter med let nedsat leverfunktion (se pkt 5.2).</w:t>
      </w:r>
    </w:p>
    <w:p w14:paraId="357860A1" w14:textId="77777777" w:rsidR="00927B43" w:rsidRPr="00927B43" w:rsidRDefault="00927B43" w:rsidP="00927B43">
      <w:pPr>
        <w:tabs>
          <w:tab w:val="left" w:pos="851"/>
        </w:tabs>
        <w:ind w:left="851"/>
        <w:rPr>
          <w:sz w:val="24"/>
          <w:szCs w:val="24"/>
        </w:rPr>
      </w:pPr>
    </w:p>
    <w:p w14:paraId="661FDC0C" w14:textId="77777777" w:rsidR="00927B43" w:rsidRPr="00927B43" w:rsidRDefault="00927B43" w:rsidP="00927B43">
      <w:pPr>
        <w:tabs>
          <w:tab w:val="left" w:pos="851"/>
        </w:tabs>
        <w:ind w:left="851"/>
        <w:rPr>
          <w:i/>
          <w:iCs/>
          <w:sz w:val="24"/>
          <w:szCs w:val="24"/>
        </w:rPr>
      </w:pPr>
      <w:r w:rsidRPr="00927B43">
        <w:rPr>
          <w:i/>
          <w:iCs/>
          <w:sz w:val="24"/>
          <w:szCs w:val="24"/>
        </w:rPr>
        <w:t>Monitorering og dosisjustering</w:t>
      </w:r>
    </w:p>
    <w:p w14:paraId="6F49B736" w14:textId="77777777" w:rsidR="00927B43" w:rsidRPr="00927B43" w:rsidRDefault="00927B43" w:rsidP="00927B43">
      <w:pPr>
        <w:tabs>
          <w:tab w:val="left" w:pos="851"/>
        </w:tabs>
        <w:ind w:left="851"/>
        <w:rPr>
          <w:sz w:val="24"/>
          <w:szCs w:val="24"/>
        </w:rPr>
      </w:pPr>
      <w:r w:rsidRPr="00927B43">
        <w:rPr>
          <w:sz w:val="24"/>
          <w:szCs w:val="24"/>
        </w:rPr>
        <w:t>Dosis af eltrombopag justeres med 25 mg hver 2. uge, indtil det tilsigtede trombocyttal, der er påkrævet til at indlede antiviral behandling, er opnået. Trombocyttallet skal monitoreres hver uge, forud for indledning af den antivirale behandling. Ved opstart af den antivirale behandling kan trombocyttallet falde, hvorfor samtidig dosisreduktion af eltrombopag bør undgås (se tabel 2).</w:t>
      </w:r>
    </w:p>
    <w:p w14:paraId="7A06804F" w14:textId="77777777" w:rsidR="00927B43" w:rsidRPr="00927B43" w:rsidRDefault="00927B43" w:rsidP="00927B43">
      <w:pPr>
        <w:tabs>
          <w:tab w:val="left" w:pos="851"/>
        </w:tabs>
        <w:ind w:left="851"/>
        <w:rPr>
          <w:sz w:val="24"/>
          <w:szCs w:val="24"/>
        </w:rPr>
      </w:pPr>
    </w:p>
    <w:p w14:paraId="667553E7" w14:textId="77777777" w:rsidR="00927B43" w:rsidRPr="00927B43" w:rsidRDefault="00927B43" w:rsidP="00927B43">
      <w:pPr>
        <w:tabs>
          <w:tab w:val="left" w:pos="851"/>
        </w:tabs>
        <w:ind w:left="851"/>
        <w:rPr>
          <w:sz w:val="24"/>
          <w:szCs w:val="24"/>
        </w:rPr>
      </w:pPr>
      <w:r w:rsidRPr="00927B43">
        <w:rPr>
          <w:sz w:val="24"/>
          <w:szCs w:val="24"/>
        </w:rPr>
        <w:t>Under den antivirale behandling justeres dosis af eltrombopag som påkrævet for at undgå dosisreduktioner af peginterferon som følge af et fald i trombocyttallet, der kan resultere i blødningsrisiko (se tabel 2). Trombocyttallet monitoreres ugentligt under den antivirale behandling, indtil der er opnået et stabilt trombocyttal normalt omkring 50 000-75 000 pr. μl. Herefter foretages der hver måned CBC’er, herunder trombocyttællinger og udstrygninger af perifert blod. Dosisreduktioner på 25 mg af den daglige dosis skal overvejes, hvis trombocyttallet overstiger det tilsigtede. Det anbefales at vente i 2 uger efter dosisjusteringen med at vurdere effekten af denne og eventuelt efterfølgende dosisjusteringer.</w:t>
      </w:r>
    </w:p>
    <w:p w14:paraId="3E20B2D7" w14:textId="77777777" w:rsidR="00927B43" w:rsidRPr="00927B43" w:rsidRDefault="00927B43" w:rsidP="00927B43">
      <w:pPr>
        <w:tabs>
          <w:tab w:val="left" w:pos="851"/>
        </w:tabs>
        <w:ind w:left="851"/>
        <w:rPr>
          <w:sz w:val="24"/>
          <w:szCs w:val="24"/>
        </w:rPr>
      </w:pPr>
    </w:p>
    <w:p w14:paraId="0779A77E" w14:textId="77777777" w:rsidR="00927B43" w:rsidRPr="00927B43" w:rsidRDefault="00927B43" w:rsidP="00927B43">
      <w:pPr>
        <w:tabs>
          <w:tab w:val="left" w:pos="851"/>
        </w:tabs>
        <w:ind w:left="851"/>
        <w:rPr>
          <w:sz w:val="24"/>
          <w:szCs w:val="24"/>
        </w:rPr>
      </w:pPr>
      <w:r w:rsidRPr="00927B43">
        <w:rPr>
          <w:sz w:val="24"/>
          <w:szCs w:val="24"/>
        </w:rPr>
        <w:t>Dosis af eltrombopag må ikke overstige 100 mg én gang daglig.</w:t>
      </w:r>
    </w:p>
    <w:p w14:paraId="611B47E4" w14:textId="77777777" w:rsidR="00927B43" w:rsidRPr="00927B43" w:rsidRDefault="00927B43" w:rsidP="00927B43">
      <w:pPr>
        <w:tabs>
          <w:tab w:val="left" w:pos="851"/>
        </w:tabs>
        <w:ind w:left="851"/>
        <w:rPr>
          <w:sz w:val="24"/>
          <w:szCs w:val="24"/>
        </w:rPr>
      </w:pPr>
    </w:p>
    <w:p w14:paraId="6EA1DBBA" w14:textId="2E81C55F" w:rsidR="00927B43" w:rsidRDefault="00927B43" w:rsidP="0077543A">
      <w:pPr>
        <w:tabs>
          <w:tab w:val="left" w:pos="1843"/>
        </w:tabs>
        <w:ind w:left="1843" w:hanging="992"/>
        <w:rPr>
          <w:b/>
          <w:bCs/>
          <w:sz w:val="24"/>
          <w:szCs w:val="24"/>
        </w:rPr>
      </w:pPr>
      <w:r w:rsidRPr="00927B43">
        <w:rPr>
          <w:b/>
          <w:bCs/>
          <w:sz w:val="24"/>
          <w:szCs w:val="24"/>
        </w:rPr>
        <w:t>Tabel 2</w:t>
      </w:r>
      <w:r w:rsidR="0077543A">
        <w:rPr>
          <w:b/>
          <w:bCs/>
          <w:sz w:val="24"/>
          <w:szCs w:val="24"/>
        </w:rPr>
        <w:tab/>
      </w:r>
      <w:r w:rsidRPr="00927B43">
        <w:rPr>
          <w:b/>
          <w:bCs/>
          <w:sz w:val="24"/>
          <w:szCs w:val="24"/>
        </w:rPr>
        <w:t>Dosisjustering af eltrombopag hos patienter med HCV i antiviral behandling</w:t>
      </w:r>
    </w:p>
    <w:p w14:paraId="4AA9C4F8" w14:textId="6DF63382" w:rsidR="0077543A" w:rsidRDefault="0077543A" w:rsidP="00927B43">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2830"/>
        <w:gridCol w:w="5664"/>
      </w:tblGrid>
      <w:tr w:rsidR="0077543A" w14:paraId="3662DD69" w14:textId="77777777" w:rsidTr="0077543A">
        <w:tc>
          <w:tcPr>
            <w:tcW w:w="2830" w:type="dxa"/>
            <w:tcBorders>
              <w:top w:val="single" w:sz="4" w:space="0" w:color="auto"/>
              <w:left w:val="single" w:sz="4" w:space="0" w:color="auto"/>
              <w:bottom w:val="single" w:sz="4" w:space="0" w:color="auto"/>
              <w:right w:val="single" w:sz="4" w:space="0" w:color="auto"/>
            </w:tcBorders>
            <w:hideMark/>
          </w:tcPr>
          <w:p w14:paraId="44B3C2F4" w14:textId="77777777" w:rsidR="0077543A" w:rsidRDefault="0077543A">
            <w:pPr>
              <w:pStyle w:val="TableParagraph"/>
              <w:spacing w:line="240" w:lineRule="auto"/>
              <w:ind w:left="98"/>
              <w:rPr>
                <w:highlight w:val="green"/>
                <w:lang w:val="da-DK"/>
              </w:rPr>
            </w:pPr>
            <w:r>
              <w:rPr>
                <w:lang w:val="da-DK"/>
              </w:rPr>
              <w:t>Trombocyttal</w:t>
            </w:r>
          </w:p>
        </w:tc>
        <w:tc>
          <w:tcPr>
            <w:tcW w:w="5664" w:type="dxa"/>
            <w:tcBorders>
              <w:top w:val="single" w:sz="4" w:space="0" w:color="auto"/>
              <w:left w:val="single" w:sz="4" w:space="0" w:color="auto"/>
              <w:bottom w:val="single" w:sz="4" w:space="0" w:color="auto"/>
              <w:right w:val="single" w:sz="4" w:space="0" w:color="auto"/>
            </w:tcBorders>
            <w:hideMark/>
          </w:tcPr>
          <w:p w14:paraId="3F4ADF3C" w14:textId="77777777" w:rsidR="0077543A" w:rsidRDefault="0077543A">
            <w:pPr>
              <w:pStyle w:val="TableParagraph"/>
              <w:spacing w:line="240" w:lineRule="auto"/>
              <w:ind w:left="98"/>
              <w:rPr>
                <w:highlight w:val="green"/>
                <w:lang w:val="da-DK"/>
              </w:rPr>
            </w:pPr>
            <w:r>
              <w:rPr>
                <w:lang w:val="da-DK"/>
              </w:rPr>
              <w:t>Dosisjustering eller respons</w:t>
            </w:r>
          </w:p>
        </w:tc>
      </w:tr>
      <w:tr w:rsidR="0077543A" w14:paraId="301F836D" w14:textId="77777777" w:rsidTr="0077543A">
        <w:tc>
          <w:tcPr>
            <w:tcW w:w="2830" w:type="dxa"/>
            <w:tcBorders>
              <w:top w:val="single" w:sz="4" w:space="0" w:color="auto"/>
              <w:left w:val="single" w:sz="4" w:space="0" w:color="auto"/>
              <w:bottom w:val="single" w:sz="4" w:space="0" w:color="auto"/>
              <w:right w:val="single" w:sz="4" w:space="0" w:color="auto"/>
            </w:tcBorders>
            <w:hideMark/>
          </w:tcPr>
          <w:p w14:paraId="09D4CC1B" w14:textId="77777777" w:rsidR="0077543A" w:rsidRDefault="0077543A">
            <w:pPr>
              <w:pStyle w:val="TableParagraph"/>
              <w:spacing w:line="240" w:lineRule="auto"/>
              <w:ind w:left="98"/>
              <w:rPr>
                <w:lang w:val="da-DK"/>
              </w:rPr>
            </w:pPr>
            <w:r>
              <w:rPr>
                <w:lang w:val="da-DK"/>
              </w:rPr>
              <w:t>&lt;50 000 pr. μl efter mindst</w:t>
            </w:r>
          </w:p>
          <w:p w14:paraId="43A6DBCF" w14:textId="77777777" w:rsidR="0077543A" w:rsidRDefault="0077543A">
            <w:pPr>
              <w:pStyle w:val="TableParagraph"/>
              <w:spacing w:line="240" w:lineRule="auto"/>
              <w:ind w:left="98"/>
              <w:rPr>
                <w:lang w:val="da-DK"/>
              </w:rPr>
            </w:pPr>
            <w:r>
              <w:rPr>
                <w:lang w:val="da-DK"/>
              </w:rPr>
              <w:t>2 ugers behandling</w:t>
            </w:r>
          </w:p>
        </w:tc>
        <w:tc>
          <w:tcPr>
            <w:tcW w:w="5664" w:type="dxa"/>
            <w:tcBorders>
              <w:top w:val="single" w:sz="4" w:space="0" w:color="auto"/>
              <w:left w:val="single" w:sz="4" w:space="0" w:color="auto"/>
              <w:bottom w:val="single" w:sz="4" w:space="0" w:color="auto"/>
              <w:right w:val="single" w:sz="4" w:space="0" w:color="auto"/>
            </w:tcBorders>
            <w:hideMark/>
          </w:tcPr>
          <w:p w14:paraId="734B7049" w14:textId="77777777" w:rsidR="0077543A" w:rsidRDefault="0077543A">
            <w:pPr>
              <w:pStyle w:val="TableParagraph"/>
              <w:spacing w:line="240" w:lineRule="auto"/>
              <w:ind w:left="98"/>
              <w:rPr>
                <w:lang w:val="da-DK"/>
              </w:rPr>
            </w:pPr>
            <w:r>
              <w:rPr>
                <w:lang w:val="da-DK"/>
              </w:rPr>
              <w:t>Daglig dosis øges med 25 mg op til et maksimum på 100 mg/dag.</w:t>
            </w:r>
          </w:p>
        </w:tc>
      </w:tr>
      <w:tr w:rsidR="0077543A" w14:paraId="174867EF" w14:textId="77777777" w:rsidTr="0077543A">
        <w:tc>
          <w:tcPr>
            <w:tcW w:w="2830" w:type="dxa"/>
            <w:tcBorders>
              <w:top w:val="single" w:sz="4" w:space="0" w:color="auto"/>
              <w:left w:val="single" w:sz="4" w:space="0" w:color="auto"/>
              <w:bottom w:val="single" w:sz="4" w:space="0" w:color="auto"/>
              <w:right w:val="single" w:sz="4" w:space="0" w:color="auto"/>
            </w:tcBorders>
            <w:hideMark/>
          </w:tcPr>
          <w:p w14:paraId="4401BD72" w14:textId="77777777" w:rsidR="0077543A" w:rsidRDefault="0077543A">
            <w:pPr>
              <w:pStyle w:val="TableParagraph"/>
              <w:spacing w:line="240" w:lineRule="auto"/>
              <w:ind w:left="98"/>
              <w:rPr>
                <w:lang w:val="da-DK"/>
              </w:rPr>
            </w:pPr>
            <w:r>
              <w:rPr>
                <w:lang w:val="da-DK"/>
              </w:rPr>
              <w:t>≥50 000 pr. μl til ≤100 000 pr. μl</w:t>
            </w:r>
          </w:p>
        </w:tc>
        <w:tc>
          <w:tcPr>
            <w:tcW w:w="5664" w:type="dxa"/>
            <w:tcBorders>
              <w:top w:val="single" w:sz="4" w:space="0" w:color="auto"/>
              <w:left w:val="single" w:sz="4" w:space="0" w:color="auto"/>
              <w:bottom w:val="single" w:sz="4" w:space="0" w:color="auto"/>
              <w:right w:val="single" w:sz="4" w:space="0" w:color="auto"/>
            </w:tcBorders>
            <w:hideMark/>
          </w:tcPr>
          <w:p w14:paraId="11CD97E2" w14:textId="77777777" w:rsidR="0077543A" w:rsidRDefault="0077543A">
            <w:pPr>
              <w:pStyle w:val="TableParagraph"/>
              <w:spacing w:line="240" w:lineRule="auto"/>
              <w:ind w:left="98"/>
              <w:rPr>
                <w:lang w:val="da-DK"/>
              </w:rPr>
            </w:pPr>
            <w:r>
              <w:rPr>
                <w:lang w:val="da-DK"/>
              </w:rPr>
              <w:t>Brug den lavest mulige dosis af eltrombopag for at undgå dosisreduktioner af peginterferon.</w:t>
            </w:r>
          </w:p>
        </w:tc>
      </w:tr>
      <w:tr w:rsidR="0077543A" w14:paraId="00EB8DEC" w14:textId="77777777" w:rsidTr="0077543A">
        <w:tc>
          <w:tcPr>
            <w:tcW w:w="2830" w:type="dxa"/>
            <w:tcBorders>
              <w:top w:val="single" w:sz="4" w:space="0" w:color="auto"/>
              <w:left w:val="single" w:sz="4" w:space="0" w:color="auto"/>
              <w:bottom w:val="single" w:sz="4" w:space="0" w:color="auto"/>
              <w:right w:val="single" w:sz="4" w:space="0" w:color="auto"/>
            </w:tcBorders>
            <w:hideMark/>
          </w:tcPr>
          <w:p w14:paraId="4FC80374" w14:textId="77777777" w:rsidR="0077543A" w:rsidRDefault="0077543A">
            <w:pPr>
              <w:pStyle w:val="TableParagraph"/>
              <w:spacing w:line="240" w:lineRule="auto"/>
              <w:ind w:left="98"/>
              <w:rPr>
                <w:lang w:val="da-DK"/>
              </w:rPr>
            </w:pPr>
            <w:r>
              <w:rPr>
                <w:lang w:val="da-DK"/>
              </w:rPr>
              <w:t>&gt;100 000 pr. μl til ≤150 000 pr. μl</w:t>
            </w:r>
          </w:p>
        </w:tc>
        <w:tc>
          <w:tcPr>
            <w:tcW w:w="5664" w:type="dxa"/>
            <w:tcBorders>
              <w:top w:val="single" w:sz="4" w:space="0" w:color="auto"/>
              <w:left w:val="single" w:sz="4" w:space="0" w:color="auto"/>
              <w:bottom w:val="single" w:sz="4" w:space="0" w:color="auto"/>
              <w:right w:val="single" w:sz="4" w:space="0" w:color="auto"/>
            </w:tcBorders>
            <w:hideMark/>
          </w:tcPr>
          <w:p w14:paraId="47396BDB" w14:textId="77777777" w:rsidR="0077543A" w:rsidRDefault="0077543A">
            <w:pPr>
              <w:pStyle w:val="TableParagraph"/>
              <w:spacing w:line="240" w:lineRule="auto"/>
              <w:ind w:left="98"/>
              <w:rPr>
                <w:lang w:val="da-DK"/>
              </w:rPr>
            </w:pPr>
            <w:r>
              <w:rPr>
                <w:lang w:val="da-DK"/>
              </w:rPr>
              <w:t>Nedsæt den daglige dosis med 25 mg. Afvent 2 uger for at vurdere virkningen af denne og evt. efterfølgende dosisjusteringer</w:t>
            </w:r>
            <w:r>
              <w:rPr>
                <w:position w:val="8"/>
                <w:sz w:val="14"/>
                <w:lang w:val="da-DK"/>
              </w:rPr>
              <w:t xml:space="preserve"> ♦</w:t>
            </w:r>
            <w:r>
              <w:rPr>
                <w:lang w:val="da-DK"/>
              </w:rPr>
              <w:t>.</w:t>
            </w:r>
          </w:p>
        </w:tc>
      </w:tr>
      <w:tr w:rsidR="0077543A" w14:paraId="5B3D8F4F" w14:textId="77777777" w:rsidTr="0077543A">
        <w:tc>
          <w:tcPr>
            <w:tcW w:w="2830" w:type="dxa"/>
            <w:tcBorders>
              <w:top w:val="single" w:sz="4" w:space="0" w:color="auto"/>
              <w:left w:val="single" w:sz="4" w:space="0" w:color="auto"/>
              <w:bottom w:val="single" w:sz="4" w:space="0" w:color="auto"/>
              <w:right w:val="single" w:sz="4" w:space="0" w:color="auto"/>
            </w:tcBorders>
            <w:hideMark/>
          </w:tcPr>
          <w:p w14:paraId="67B056A5" w14:textId="77777777" w:rsidR="0077543A" w:rsidRDefault="0077543A">
            <w:pPr>
              <w:pStyle w:val="TableParagraph"/>
              <w:spacing w:line="240" w:lineRule="auto"/>
              <w:ind w:left="98"/>
              <w:rPr>
                <w:lang w:val="da-DK"/>
              </w:rPr>
            </w:pPr>
            <w:r>
              <w:rPr>
                <w:lang w:val="da-DK"/>
              </w:rPr>
              <w:t>&gt;150 000 pr. μl</w:t>
            </w:r>
          </w:p>
        </w:tc>
        <w:tc>
          <w:tcPr>
            <w:tcW w:w="5664" w:type="dxa"/>
            <w:tcBorders>
              <w:top w:val="single" w:sz="4" w:space="0" w:color="auto"/>
              <w:left w:val="single" w:sz="4" w:space="0" w:color="auto"/>
              <w:bottom w:val="single" w:sz="4" w:space="0" w:color="auto"/>
              <w:right w:val="single" w:sz="4" w:space="0" w:color="auto"/>
            </w:tcBorders>
          </w:tcPr>
          <w:p w14:paraId="72F8F5D2" w14:textId="77777777" w:rsidR="0077543A" w:rsidRDefault="0077543A">
            <w:pPr>
              <w:pStyle w:val="TableParagraph"/>
              <w:spacing w:line="240" w:lineRule="auto"/>
              <w:ind w:left="98"/>
              <w:rPr>
                <w:lang w:val="da-DK"/>
              </w:rPr>
            </w:pPr>
            <w:r>
              <w:rPr>
                <w:lang w:val="da-DK"/>
              </w:rPr>
              <w:t>Seponer eltrombopag; forøg monitoreringen af trombocyttallet til to gange om ugen.</w:t>
            </w:r>
          </w:p>
          <w:p w14:paraId="53FB6496" w14:textId="77777777" w:rsidR="0077543A" w:rsidRDefault="0077543A">
            <w:pPr>
              <w:pStyle w:val="TableParagraph"/>
              <w:spacing w:line="240" w:lineRule="auto"/>
              <w:ind w:left="98"/>
              <w:rPr>
                <w:lang w:val="da-DK"/>
              </w:rPr>
            </w:pPr>
          </w:p>
          <w:p w14:paraId="6E4EAC86" w14:textId="77777777" w:rsidR="0077543A" w:rsidRDefault="0077543A">
            <w:pPr>
              <w:pStyle w:val="TableParagraph"/>
              <w:spacing w:line="240" w:lineRule="auto"/>
              <w:ind w:left="98"/>
              <w:rPr>
                <w:lang w:val="da-DK"/>
              </w:rPr>
            </w:pPr>
            <w:r>
              <w:rPr>
                <w:lang w:val="da-DK"/>
              </w:rPr>
              <w:lastRenderedPageBreak/>
              <w:t>Når trombocyttallet er ≤ 100 000 pr. μl, genopstartes behandlingen med en daglig dosis, der er nedsat med 25 mg*.</w:t>
            </w:r>
          </w:p>
        </w:tc>
      </w:tr>
    </w:tbl>
    <w:p w14:paraId="2B6BD9FD" w14:textId="77777777" w:rsidR="00927B43" w:rsidRPr="0077543A" w:rsidRDefault="00927B43" w:rsidP="00927B43">
      <w:pPr>
        <w:tabs>
          <w:tab w:val="left" w:pos="851"/>
        </w:tabs>
        <w:ind w:left="851"/>
        <w:rPr>
          <w:sz w:val="20"/>
        </w:rPr>
      </w:pPr>
      <w:r w:rsidRPr="0077543A">
        <w:rPr>
          <w:sz w:val="20"/>
        </w:rPr>
        <w:lastRenderedPageBreak/>
        <w:t>* Hos patienter, der tager 25 mg eltrombopag én gang dagligt, bør det overvejes at genopstarte behandling med 25 mg doseret hver anden dag.</w:t>
      </w:r>
    </w:p>
    <w:p w14:paraId="63968185" w14:textId="77777777" w:rsidR="00927B43" w:rsidRPr="0077543A" w:rsidRDefault="00927B43" w:rsidP="00927B43">
      <w:pPr>
        <w:tabs>
          <w:tab w:val="left" w:pos="851"/>
        </w:tabs>
        <w:ind w:left="851"/>
        <w:rPr>
          <w:sz w:val="20"/>
        </w:rPr>
      </w:pPr>
      <w:r w:rsidRPr="0077543A">
        <w:rPr>
          <w:sz w:val="20"/>
        </w:rPr>
        <w:t>♦ Ved opstart af den antivirale behandling kan trombocyttallet falde, hvorfor samtidig dosisreduktion af eltrombopag skal undgås.</w:t>
      </w:r>
    </w:p>
    <w:p w14:paraId="1FF3B784" w14:textId="77777777" w:rsidR="00927B43" w:rsidRPr="00927B43" w:rsidRDefault="00927B43" w:rsidP="00927B43">
      <w:pPr>
        <w:tabs>
          <w:tab w:val="left" w:pos="851"/>
        </w:tabs>
        <w:ind w:left="851"/>
        <w:rPr>
          <w:sz w:val="24"/>
          <w:szCs w:val="24"/>
        </w:rPr>
      </w:pPr>
    </w:p>
    <w:p w14:paraId="63D40184" w14:textId="77777777" w:rsidR="00927B43" w:rsidRPr="00927B43" w:rsidRDefault="00927B43" w:rsidP="00927B43">
      <w:pPr>
        <w:tabs>
          <w:tab w:val="left" w:pos="851"/>
        </w:tabs>
        <w:ind w:left="851"/>
        <w:rPr>
          <w:i/>
          <w:iCs/>
          <w:sz w:val="24"/>
          <w:szCs w:val="24"/>
        </w:rPr>
      </w:pPr>
      <w:r w:rsidRPr="00927B43">
        <w:rPr>
          <w:i/>
          <w:iCs/>
          <w:sz w:val="24"/>
          <w:szCs w:val="24"/>
        </w:rPr>
        <w:t>Seponering</w:t>
      </w:r>
    </w:p>
    <w:p w14:paraId="574B187E" w14:textId="77777777" w:rsidR="00927B43" w:rsidRPr="00927B43" w:rsidRDefault="00927B43" w:rsidP="00927B43">
      <w:pPr>
        <w:tabs>
          <w:tab w:val="left" w:pos="851"/>
        </w:tabs>
        <w:ind w:left="851"/>
        <w:rPr>
          <w:sz w:val="24"/>
          <w:szCs w:val="24"/>
        </w:rPr>
      </w:pPr>
      <w:r w:rsidRPr="00927B43">
        <w:rPr>
          <w:sz w:val="24"/>
          <w:szCs w:val="24"/>
        </w:rPr>
        <w:t>Hvis trombocyttallet, som er nødvendigt for at opstarte den antivirale behandling, ikke er opnået efter 2 ugers behandling med 100 mg eltrombopag daglig, skal eltrombopag seponeres.</w:t>
      </w:r>
    </w:p>
    <w:p w14:paraId="76F7770E" w14:textId="77777777" w:rsidR="00927B43" w:rsidRPr="00927B43" w:rsidRDefault="00927B43" w:rsidP="00927B43">
      <w:pPr>
        <w:tabs>
          <w:tab w:val="left" w:pos="851"/>
        </w:tabs>
        <w:ind w:left="851"/>
        <w:rPr>
          <w:sz w:val="24"/>
          <w:szCs w:val="24"/>
        </w:rPr>
      </w:pPr>
    </w:p>
    <w:p w14:paraId="0E9F59C3" w14:textId="77777777" w:rsidR="00927B43" w:rsidRPr="00927B43" w:rsidRDefault="00927B43" w:rsidP="00927B43">
      <w:pPr>
        <w:tabs>
          <w:tab w:val="left" w:pos="851"/>
        </w:tabs>
        <w:ind w:left="851"/>
        <w:rPr>
          <w:sz w:val="24"/>
          <w:szCs w:val="24"/>
        </w:rPr>
      </w:pPr>
      <w:r w:rsidRPr="00927B43">
        <w:rPr>
          <w:sz w:val="24"/>
          <w:szCs w:val="24"/>
        </w:rPr>
        <w:t>Behandlingen med eltrombopag bør afsluttes, når den antivirale behandling seponeres, medmindre andet taler imod dette. Udtalt trombocyttalrespons eller afgørende unormale levertal kræver også seponering.</w:t>
      </w:r>
    </w:p>
    <w:p w14:paraId="1243431E" w14:textId="77777777" w:rsidR="00927B43" w:rsidRPr="00927B43" w:rsidRDefault="00927B43" w:rsidP="00927B43">
      <w:pPr>
        <w:tabs>
          <w:tab w:val="left" w:pos="851"/>
        </w:tabs>
        <w:ind w:left="851"/>
        <w:rPr>
          <w:sz w:val="24"/>
          <w:szCs w:val="24"/>
        </w:rPr>
      </w:pPr>
    </w:p>
    <w:p w14:paraId="39728EFF" w14:textId="77777777" w:rsidR="00927B43" w:rsidRPr="0077543A" w:rsidRDefault="00927B43" w:rsidP="00927B43">
      <w:pPr>
        <w:tabs>
          <w:tab w:val="left" w:pos="851"/>
        </w:tabs>
        <w:ind w:left="851"/>
        <w:rPr>
          <w:i/>
          <w:iCs/>
          <w:sz w:val="24"/>
          <w:szCs w:val="24"/>
          <w:u w:val="single"/>
        </w:rPr>
      </w:pPr>
      <w:r w:rsidRPr="0077543A">
        <w:rPr>
          <w:i/>
          <w:iCs/>
          <w:sz w:val="24"/>
          <w:szCs w:val="24"/>
          <w:u w:val="single"/>
        </w:rPr>
        <w:t>Særlige populationer</w:t>
      </w:r>
    </w:p>
    <w:p w14:paraId="7AE48FD8" w14:textId="77777777" w:rsidR="00927B43" w:rsidRPr="00927B43" w:rsidRDefault="00927B43" w:rsidP="00927B43">
      <w:pPr>
        <w:tabs>
          <w:tab w:val="left" w:pos="851"/>
        </w:tabs>
        <w:ind w:left="851"/>
        <w:rPr>
          <w:i/>
          <w:iCs/>
          <w:sz w:val="24"/>
          <w:szCs w:val="24"/>
          <w:u w:val="single"/>
        </w:rPr>
      </w:pPr>
    </w:p>
    <w:p w14:paraId="2D6F4F0D" w14:textId="77777777" w:rsidR="00927B43" w:rsidRPr="00927B43" w:rsidRDefault="00927B43" w:rsidP="00927B43">
      <w:pPr>
        <w:tabs>
          <w:tab w:val="left" w:pos="851"/>
        </w:tabs>
        <w:ind w:left="851"/>
        <w:rPr>
          <w:i/>
          <w:iCs/>
          <w:sz w:val="24"/>
          <w:szCs w:val="24"/>
        </w:rPr>
      </w:pPr>
      <w:r w:rsidRPr="00927B43">
        <w:rPr>
          <w:i/>
          <w:iCs/>
          <w:sz w:val="24"/>
          <w:szCs w:val="24"/>
        </w:rPr>
        <w:t>Nedsat nyrefunktion</w:t>
      </w:r>
    </w:p>
    <w:p w14:paraId="223869AF" w14:textId="77777777" w:rsidR="00927B43" w:rsidRPr="00927B43" w:rsidRDefault="00927B43" w:rsidP="00927B43">
      <w:pPr>
        <w:tabs>
          <w:tab w:val="left" w:pos="851"/>
        </w:tabs>
        <w:ind w:left="851"/>
        <w:rPr>
          <w:sz w:val="24"/>
          <w:szCs w:val="24"/>
        </w:rPr>
      </w:pPr>
      <w:r w:rsidRPr="00927B43">
        <w:rPr>
          <w:sz w:val="24"/>
          <w:szCs w:val="24"/>
        </w:rPr>
        <w:t>Det er ikke nødvendigt med dosisændringer til patienter med nedsat nyrefunktion. Patienter med nedsat nyrefunktion skal anvende eltrombopag med forsigtighed og overvåges nøje ved f.eks. at måle serum-kreatinin og/eller foretage urinanalyse (se pkt. 5.2).</w:t>
      </w:r>
    </w:p>
    <w:p w14:paraId="693B2EBF" w14:textId="77777777" w:rsidR="00927B43" w:rsidRPr="00927B43" w:rsidRDefault="00927B43" w:rsidP="00927B43">
      <w:pPr>
        <w:tabs>
          <w:tab w:val="left" w:pos="851"/>
        </w:tabs>
        <w:ind w:left="851"/>
        <w:rPr>
          <w:sz w:val="24"/>
          <w:szCs w:val="24"/>
        </w:rPr>
      </w:pPr>
    </w:p>
    <w:p w14:paraId="1E7D3CDD" w14:textId="77777777" w:rsidR="00927B43" w:rsidRPr="00927B43" w:rsidRDefault="00927B43" w:rsidP="00927B43">
      <w:pPr>
        <w:tabs>
          <w:tab w:val="left" w:pos="851"/>
        </w:tabs>
        <w:ind w:left="851"/>
        <w:rPr>
          <w:i/>
          <w:iCs/>
          <w:sz w:val="24"/>
          <w:szCs w:val="24"/>
        </w:rPr>
      </w:pPr>
      <w:r w:rsidRPr="00927B43">
        <w:rPr>
          <w:i/>
          <w:iCs/>
          <w:sz w:val="24"/>
          <w:szCs w:val="24"/>
        </w:rPr>
        <w:t>Nedsat leverfunktion</w:t>
      </w:r>
    </w:p>
    <w:p w14:paraId="4594BE34" w14:textId="77777777" w:rsidR="00927B43" w:rsidRPr="00927B43" w:rsidRDefault="00927B43" w:rsidP="00927B43">
      <w:pPr>
        <w:tabs>
          <w:tab w:val="left" w:pos="851"/>
        </w:tabs>
        <w:ind w:left="851"/>
        <w:rPr>
          <w:sz w:val="24"/>
          <w:szCs w:val="24"/>
        </w:rPr>
      </w:pPr>
      <w:r w:rsidRPr="00927B43">
        <w:rPr>
          <w:sz w:val="24"/>
          <w:szCs w:val="24"/>
        </w:rPr>
        <w:t>Eltrombopag bør ikke gives til ITP-patienter med nedsat leverfunktion (Child-Pugh score ≥ 5), medmindre den forventede fordel ved behandlingen er større end den identificerede risiko for portal venetrombose (se pkt. 4.4).</w:t>
      </w:r>
    </w:p>
    <w:p w14:paraId="7651BB83" w14:textId="77777777" w:rsidR="00927B43" w:rsidRPr="00927B43" w:rsidRDefault="00927B43" w:rsidP="00927B43">
      <w:pPr>
        <w:tabs>
          <w:tab w:val="left" w:pos="851"/>
        </w:tabs>
        <w:ind w:left="851"/>
        <w:rPr>
          <w:sz w:val="24"/>
          <w:szCs w:val="24"/>
        </w:rPr>
      </w:pPr>
    </w:p>
    <w:p w14:paraId="38937CA3" w14:textId="77777777" w:rsidR="00927B43" w:rsidRPr="00927B43" w:rsidRDefault="00927B43" w:rsidP="00927B43">
      <w:pPr>
        <w:tabs>
          <w:tab w:val="left" w:pos="851"/>
        </w:tabs>
        <w:ind w:left="851"/>
        <w:rPr>
          <w:sz w:val="24"/>
          <w:szCs w:val="24"/>
        </w:rPr>
      </w:pPr>
      <w:r w:rsidRPr="00927B43">
        <w:rPr>
          <w:sz w:val="24"/>
          <w:szCs w:val="24"/>
        </w:rPr>
        <w:t>Hvis behandlingen med eltrombopag vurderes at være nødvendig for ITP-patienter med nedsat leverfunktion, skal startdosis være 25 mg én gang daglig. Efter opstart med denne eltrombopag-dosis bør der være et observationsinterval på 3 uger, før dosis øges.</w:t>
      </w:r>
    </w:p>
    <w:p w14:paraId="0D21505C" w14:textId="77777777" w:rsidR="00927B43" w:rsidRPr="00927B43" w:rsidRDefault="00927B43" w:rsidP="00927B43">
      <w:pPr>
        <w:tabs>
          <w:tab w:val="left" w:pos="851"/>
        </w:tabs>
        <w:ind w:left="851"/>
        <w:rPr>
          <w:sz w:val="24"/>
          <w:szCs w:val="24"/>
        </w:rPr>
      </w:pPr>
    </w:p>
    <w:p w14:paraId="5214966A" w14:textId="77777777" w:rsidR="00927B43" w:rsidRPr="00927B43" w:rsidRDefault="00927B43" w:rsidP="00927B43">
      <w:pPr>
        <w:tabs>
          <w:tab w:val="left" w:pos="851"/>
        </w:tabs>
        <w:ind w:left="851"/>
        <w:rPr>
          <w:sz w:val="24"/>
          <w:szCs w:val="24"/>
        </w:rPr>
      </w:pPr>
      <w:r w:rsidRPr="00927B43">
        <w:rPr>
          <w:sz w:val="24"/>
          <w:szCs w:val="24"/>
        </w:rPr>
        <w:t>Det er ikke nødvendigt at foretage dosisjustering hos trombocytopeniske patienter med kronisk HCV og let nedsat leverfunktion (Child-Pugh score ≤ 6). Startdosis af eltrombopag hos patienter med kronisk HCV med nedsat leverfunktion bør være 25 mg én gang daglig (se pkt. 5.2). Efter opstart med denne eltrombopag-dosis hos patienter med nedsat leverfunktion bør der være et observationsinterval på 2 uger, før dosis øges.</w:t>
      </w:r>
    </w:p>
    <w:p w14:paraId="7ADB34CD" w14:textId="77777777" w:rsidR="00927B43" w:rsidRPr="00927B43" w:rsidRDefault="00927B43" w:rsidP="00927B43">
      <w:pPr>
        <w:tabs>
          <w:tab w:val="left" w:pos="851"/>
        </w:tabs>
        <w:ind w:left="851"/>
        <w:rPr>
          <w:sz w:val="24"/>
          <w:szCs w:val="24"/>
        </w:rPr>
      </w:pPr>
    </w:p>
    <w:p w14:paraId="46858393" w14:textId="77777777" w:rsidR="00927B43" w:rsidRPr="00927B43" w:rsidRDefault="00927B43" w:rsidP="00927B43">
      <w:pPr>
        <w:tabs>
          <w:tab w:val="left" w:pos="851"/>
        </w:tabs>
        <w:ind w:left="851"/>
        <w:rPr>
          <w:sz w:val="24"/>
          <w:szCs w:val="24"/>
        </w:rPr>
      </w:pPr>
      <w:r w:rsidRPr="00927B43">
        <w:rPr>
          <w:sz w:val="24"/>
          <w:szCs w:val="24"/>
        </w:rPr>
        <w:t>For patienter behandlet med eltrombopag er der øget risiko for bivirkninger, herunder dekompenseret leversygdom og tromboemboliske hændelser (TEEs), hos trombocytopeniske patienter med fremskreden kronisk leversygdom, som behandles med eltrombopag forud for et invasivt indgreb eller hos HCV-patienter, som får antiviral behandling (se pkt. 4.4 og 4.8).</w:t>
      </w:r>
    </w:p>
    <w:p w14:paraId="0B1575D9" w14:textId="77777777" w:rsidR="00927B43" w:rsidRPr="00927B43" w:rsidRDefault="00927B43" w:rsidP="00927B43">
      <w:pPr>
        <w:tabs>
          <w:tab w:val="left" w:pos="851"/>
        </w:tabs>
        <w:ind w:left="851"/>
        <w:rPr>
          <w:sz w:val="24"/>
          <w:szCs w:val="24"/>
        </w:rPr>
      </w:pPr>
    </w:p>
    <w:p w14:paraId="5156B855" w14:textId="77777777" w:rsidR="00927B43" w:rsidRPr="00927B43" w:rsidRDefault="00927B43" w:rsidP="00927B43">
      <w:pPr>
        <w:tabs>
          <w:tab w:val="left" w:pos="851"/>
        </w:tabs>
        <w:ind w:left="851"/>
        <w:rPr>
          <w:i/>
          <w:iCs/>
          <w:sz w:val="24"/>
          <w:szCs w:val="24"/>
        </w:rPr>
      </w:pPr>
      <w:r w:rsidRPr="00927B43">
        <w:rPr>
          <w:i/>
          <w:iCs/>
          <w:sz w:val="24"/>
          <w:szCs w:val="24"/>
        </w:rPr>
        <w:t>Ældre</w:t>
      </w:r>
    </w:p>
    <w:p w14:paraId="06EA7F0E" w14:textId="77777777" w:rsidR="00927B43" w:rsidRPr="00927B43" w:rsidRDefault="00927B43" w:rsidP="00927B43">
      <w:pPr>
        <w:tabs>
          <w:tab w:val="left" w:pos="851"/>
        </w:tabs>
        <w:ind w:left="851"/>
        <w:rPr>
          <w:sz w:val="24"/>
          <w:szCs w:val="24"/>
        </w:rPr>
      </w:pPr>
      <w:r w:rsidRPr="00927B43">
        <w:rPr>
          <w:sz w:val="24"/>
          <w:szCs w:val="24"/>
        </w:rPr>
        <w:t xml:space="preserve">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 mellem patienter, der var 65 år eller ældre og yngre patienter. Anden rapporteret, klinisk erfaring har ikke identificeret forskelle i respons </w:t>
      </w:r>
      <w:r w:rsidRPr="00927B43">
        <w:rPr>
          <w:sz w:val="24"/>
          <w:szCs w:val="24"/>
        </w:rPr>
        <w:lastRenderedPageBreak/>
        <w:t>mellem ældre og yngre patienter, men større følsomhed hos nogle ældre patienter kan ikke udelukkes (se pkt. 5.2).</w:t>
      </w:r>
    </w:p>
    <w:p w14:paraId="6D18FE52" w14:textId="77777777" w:rsidR="00927B43" w:rsidRPr="00927B43" w:rsidRDefault="00927B43" w:rsidP="00927B43">
      <w:pPr>
        <w:tabs>
          <w:tab w:val="left" w:pos="851"/>
        </w:tabs>
        <w:ind w:left="851"/>
        <w:rPr>
          <w:sz w:val="24"/>
          <w:szCs w:val="24"/>
        </w:rPr>
      </w:pPr>
    </w:p>
    <w:p w14:paraId="72E17F81" w14:textId="77777777" w:rsidR="00927B43" w:rsidRPr="00927B43" w:rsidRDefault="00927B43" w:rsidP="00927B43">
      <w:pPr>
        <w:tabs>
          <w:tab w:val="left" w:pos="851"/>
        </w:tabs>
        <w:ind w:left="851"/>
        <w:rPr>
          <w:sz w:val="24"/>
          <w:szCs w:val="24"/>
        </w:rPr>
      </w:pPr>
      <w:r w:rsidRPr="00927B43">
        <w:rPr>
          <w:sz w:val="24"/>
          <w:szCs w:val="24"/>
        </w:rPr>
        <w:t>Der er begrænsede data for anvendelsen af eltrombopag hos HCV-patienter over 75 år. Der skal udvises forsigtighed ved behandling af disse patienter (se pkt. 4.4).</w:t>
      </w:r>
    </w:p>
    <w:p w14:paraId="4FE57179" w14:textId="77777777" w:rsidR="00927B43" w:rsidRPr="00927B43" w:rsidRDefault="00927B43" w:rsidP="00927B43">
      <w:pPr>
        <w:tabs>
          <w:tab w:val="left" w:pos="851"/>
        </w:tabs>
        <w:ind w:left="851"/>
        <w:rPr>
          <w:sz w:val="24"/>
          <w:szCs w:val="24"/>
        </w:rPr>
      </w:pPr>
    </w:p>
    <w:p w14:paraId="303F014E" w14:textId="77777777" w:rsidR="00927B43" w:rsidRPr="00927B43" w:rsidRDefault="00927B43" w:rsidP="00927B43">
      <w:pPr>
        <w:tabs>
          <w:tab w:val="left" w:pos="851"/>
        </w:tabs>
        <w:ind w:left="851"/>
        <w:rPr>
          <w:i/>
          <w:iCs/>
          <w:sz w:val="24"/>
          <w:szCs w:val="24"/>
        </w:rPr>
      </w:pPr>
      <w:r w:rsidRPr="00927B43">
        <w:rPr>
          <w:i/>
          <w:iCs/>
          <w:sz w:val="24"/>
          <w:szCs w:val="24"/>
        </w:rPr>
        <w:t>Øst-/sydøstasiatiske patienter</w:t>
      </w:r>
    </w:p>
    <w:p w14:paraId="7C21D8B6" w14:textId="77777777" w:rsidR="00927B43" w:rsidRPr="00927B43" w:rsidRDefault="00927B43" w:rsidP="00927B43">
      <w:pPr>
        <w:tabs>
          <w:tab w:val="left" w:pos="851"/>
        </w:tabs>
        <w:ind w:left="851"/>
        <w:rPr>
          <w:sz w:val="24"/>
          <w:szCs w:val="24"/>
        </w:rPr>
      </w:pPr>
      <w:r w:rsidRPr="00927B43">
        <w:rPr>
          <w:sz w:val="24"/>
          <w:szCs w:val="24"/>
        </w:rPr>
        <w:t>Hos voksne og pædiatriske patienter af øst-/sydøstasiatisk oprindelse, herunder patienter med nedsat leverfunktion, bør eltrombopag startes med en dosis på 25 mg én gang daglig (se pkt. 5.2).</w:t>
      </w:r>
    </w:p>
    <w:p w14:paraId="3983B3FB" w14:textId="77777777" w:rsidR="00927B43" w:rsidRPr="00927B43" w:rsidRDefault="00927B43" w:rsidP="00927B43">
      <w:pPr>
        <w:tabs>
          <w:tab w:val="left" w:pos="851"/>
        </w:tabs>
        <w:ind w:left="851"/>
        <w:rPr>
          <w:sz w:val="24"/>
          <w:szCs w:val="24"/>
        </w:rPr>
      </w:pPr>
    </w:p>
    <w:p w14:paraId="0C9C7363" w14:textId="77777777" w:rsidR="00927B43" w:rsidRPr="00927B43" w:rsidRDefault="00927B43" w:rsidP="00927B43">
      <w:pPr>
        <w:tabs>
          <w:tab w:val="left" w:pos="851"/>
        </w:tabs>
        <w:ind w:left="851"/>
        <w:rPr>
          <w:sz w:val="24"/>
          <w:szCs w:val="24"/>
        </w:rPr>
      </w:pPr>
      <w:r w:rsidRPr="00927B43">
        <w:rPr>
          <w:sz w:val="24"/>
          <w:szCs w:val="24"/>
        </w:rPr>
        <w:t>Trombocyttallet skal stadig monitoreres, og standardkriterierne for yderligere dosisændringer skal følges.</w:t>
      </w:r>
    </w:p>
    <w:p w14:paraId="69035037" w14:textId="77777777" w:rsidR="00927B43" w:rsidRPr="00927B43" w:rsidRDefault="00927B43" w:rsidP="00927B43">
      <w:pPr>
        <w:tabs>
          <w:tab w:val="left" w:pos="851"/>
        </w:tabs>
        <w:ind w:left="851"/>
        <w:rPr>
          <w:sz w:val="24"/>
          <w:szCs w:val="24"/>
        </w:rPr>
      </w:pPr>
    </w:p>
    <w:p w14:paraId="3F29311C" w14:textId="77777777" w:rsidR="00927B43" w:rsidRPr="00927B43" w:rsidRDefault="00927B43" w:rsidP="00927B43">
      <w:pPr>
        <w:tabs>
          <w:tab w:val="left" w:pos="851"/>
        </w:tabs>
        <w:ind w:left="851"/>
        <w:rPr>
          <w:i/>
          <w:iCs/>
          <w:sz w:val="24"/>
          <w:szCs w:val="24"/>
        </w:rPr>
      </w:pPr>
      <w:r w:rsidRPr="00927B43">
        <w:rPr>
          <w:i/>
          <w:iCs/>
          <w:sz w:val="24"/>
          <w:szCs w:val="24"/>
        </w:rPr>
        <w:t>Pædiatrisk population</w:t>
      </w:r>
    </w:p>
    <w:p w14:paraId="2A4DE4ED" w14:textId="77777777" w:rsidR="00927B43" w:rsidRPr="00927B43" w:rsidRDefault="00927B43" w:rsidP="00927B43">
      <w:pPr>
        <w:tabs>
          <w:tab w:val="left" w:pos="851"/>
        </w:tabs>
        <w:ind w:left="851"/>
        <w:rPr>
          <w:sz w:val="24"/>
          <w:szCs w:val="24"/>
        </w:rPr>
      </w:pPr>
      <w:r w:rsidRPr="00927B43">
        <w:rPr>
          <w:sz w:val="24"/>
          <w:szCs w:val="24"/>
        </w:rPr>
        <w:t>Eltrombopag "Vivanta" bør ikke anvendes til børn under et år med ITP på grund af utilstrækkelige data om sikkerhed og virkning. Eltrombopags sikkerhed og virkning hos børn og unge (&lt; 18 år) med kronisk HCV-relateret trombocytopeni er ikke klarlagt. Der foreligger ingen data.</w:t>
      </w:r>
    </w:p>
    <w:p w14:paraId="09542534" w14:textId="77777777" w:rsidR="00927B43" w:rsidRPr="00927B43" w:rsidRDefault="00927B43" w:rsidP="00927B43">
      <w:pPr>
        <w:tabs>
          <w:tab w:val="left" w:pos="851"/>
        </w:tabs>
        <w:ind w:left="851"/>
        <w:rPr>
          <w:sz w:val="24"/>
          <w:szCs w:val="24"/>
        </w:rPr>
      </w:pPr>
    </w:p>
    <w:p w14:paraId="7C23EBD7" w14:textId="77777777" w:rsidR="00927B43" w:rsidRPr="00927B43" w:rsidRDefault="00927B43" w:rsidP="00927B43">
      <w:pPr>
        <w:tabs>
          <w:tab w:val="left" w:pos="851"/>
        </w:tabs>
        <w:ind w:left="851"/>
        <w:rPr>
          <w:sz w:val="24"/>
          <w:szCs w:val="24"/>
          <w:u w:val="single"/>
        </w:rPr>
      </w:pPr>
      <w:r w:rsidRPr="00927B43">
        <w:rPr>
          <w:sz w:val="24"/>
          <w:szCs w:val="24"/>
          <w:u w:val="single"/>
        </w:rPr>
        <w:t>Administration</w:t>
      </w:r>
    </w:p>
    <w:p w14:paraId="03F872E5" w14:textId="77777777" w:rsidR="00927B43" w:rsidRPr="00927B43" w:rsidRDefault="00927B43" w:rsidP="00927B43">
      <w:pPr>
        <w:tabs>
          <w:tab w:val="left" w:pos="851"/>
        </w:tabs>
        <w:ind w:left="851"/>
        <w:rPr>
          <w:sz w:val="24"/>
          <w:szCs w:val="24"/>
        </w:rPr>
      </w:pPr>
      <w:r w:rsidRPr="00927B43">
        <w:rPr>
          <w:sz w:val="24"/>
          <w:szCs w:val="24"/>
        </w:rPr>
        <w:t>Oral anvendelse.</w:t>
      </w:r>
    </w:p>
    <w:p w14:paraId="6D5C7EC6" w14:textId="77777777" w:rsidR="00927B43" w:rsidRPr="00927B43" w:rsidRDefault="00927B43" w:rsidP="00927B43">
      <w:pPr>
        <w:tabs>
          <w:tab w:val="left" w:pos="851"/>
        </w:tabs>
        <w:ind w:left="851"/>
        <w:rPr>
          <w:sz w:val="24"/>
          <w:szCs w:val="24"/>
        </w:rPr>
      </w:pPr>
      <w:r w:rsidRPr="00927B43">
        <w:rPr>
          <w:sz w:val="24"/>
          <w:szCs w:val="24"/>
        </w:rPr>
        <w:t>Tabletterne skal tages mindst to timer før eller fire timer efter antacida, mejeriprodukter (eller andre calciumholdige fødevarer) eller mineraltilskud med polyvalente kationer (f.eks. jern, calcium, magnesium, aluminium, selen og zink) (se pkt. 4.5 og 5.2).</w:t>
      </w:r>
    </w:p>
    <w:p w14:paraId="5B434E84" w14:textId="77777777" w:rsidR="009260DE" w:rsidRPr="00C84483" w:rsidRDefault="009260DE" w:rsidP="009260DE">
      <w:pPr>
        <w:tabs>
          <w:tab w:val="left" w:pos="851"/>
        </w:tabs>
        <w:ind w:left="851"/>
        <w:rPr>
          <w:sz w:val="24"/>
          <w:szCs w:val="24"/>
        </w:rPr>
      </w:pPr>
    </w:p>
    <w:p w14:paraId="4027FC8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AA79BCC" w14:textId="77777777" w:rsidR="00927B43" w:rsidRPr="00927B43" w:rsidRDefault="00927B43" w:rsidP="00927B43">
      <w:pPr>
        <w:tabs>
          <w:tab w:val="left" w:pos="851"/>
        </w:tabs>
        <w:ind w:left="851"/>
        <w:rPr>
          <w:sz w:val="24"/>
          <w:szCs w:val="24"/>
        </w:rPr>
      </w:pPr>
      <w:r w:rsidRPr="00927B43">
        <w:rPr>
          <w:sz w:val="24"/>
          <w:szCs w:val="24"/>
        </w:rPr>
        <w:t>Overfølsomhed over for eltrombopag eller over for et eller flere af hjælpestofferne anført i pkt. 6.1.</w:t>
      </w:r>
    </w:p>
    <w:p w14:paraId="31F00960" w14:textId="77777777" w:rsidR="009260DE" w:rsidRPr="00C84483" w:rsidRDefault="009260DE" w:rsidP="009260DE">
      <w:pPr>
        <w:tabs>
          <w:tab w:val="left" w:pos="851"/>
        </w:tabs>
        <w:ind w:left="851"/>
        <w:rPr>
          <w:sz w:val="24"/>
          <w:szCs w:val="24"/>
        </w:rPr>
      </w:pPr>
    </w:p>
    <w:p w14:paraId="60A4675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A68A6B4" w14:textId="77777777" w:rsidR="00927B43" w:rsidRPr="00927B43" w:rsidRDefault="00927B43" w:rsidP="00927B43">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8494"/>
      </w:tblGrid>
      <w:tr w:rsidR="00927B43" w:rsidRPr="00927B43" w14:paraId="6D3567F8" w14:textId="77777777" w:rsidTr="0077543A">
        <w:tc>
          <w:tcPr>
            <w:tcW w:w="8494" w:type="dxa"/>
            <w:tcBorders>
              <w:top w:val="single" w:sz="4" w:space="0" w:color="auto"/>
              <w:left w:val="single" w:sz="4" w:space="0" w:color="auto"/>
              <w:bottom w:val="single" w:sz="4" w:space="0" w:color="auto"/>
              <w:right w:val="single" w:sz="4" w:space="0" w:color="auto"/>
            </w:tcBorders>
            <w:hideMark/>
          </w:tcPr>
          <w:p w14:paraId="2BD032B1" w14:textId="77777777" w:rsidR="00927B43" w:rsidRPr="00927B43" w:rsidRDefault="00927B43" w:rsidP="0077543A">
            <w:pPr>
              <w:rPr>
                <w:sz w:val="24"/>
                <w:szCs w:val="24"/>
              </w:rPr>
            </w:pPr>
            <w:r w:rsidRPr="00927B43">
              <w:rPr>
                <w:sz w:val="24"/>
                <w:szCs w:val="24"/>
              </w:rPr>
              <w:t xml:space="preserve">Der er en øget risiko for bivirkninger, herunder potentielt dødelig dekompenseret leversygdom og tromboemboliske hændelser, hos trombocytopeniske HCV-patienter med fremskreden kronisk leversygdom, defineret som albumin-niveau ≤ 35 g/l eller en </w:t>
            </w:r>
            <w:r w:rsidRPr="00927B43">
              <w:rPr>
                <w:i/>
                <w:iCs/>
                <w:sz w:val="24"/>
                <w:szCs w:val="24"/>
              </w:rPr>
              <w:t>Model for End Stage Liver Disease</w:t>
            </w:r>
            <w:r w:rsidRPr="00927B43">
              <w:rPr>
                <w:sz w:val="24"/>
                <w:szCs w:val="24"/>
              </w:rPr>
              <w:t xml:space="preserve"> (MELD)-score ≥ 10, hvis de behandles med eltrombopag i kombination med interferonbehandling. Fordelene ved behandling med hensyn til opnåelse af opretholdt virologisk resons (SVR) sammenlignet med placebo var beskedne hos disse patienter (specielt for patienter med </w:t>
            </w:r>
            <w:r w:rsidRPr="00927B43">
              <w:rPr>
                <w:i/>
                <w:iCs/>
                <w:sz w:val="24"/>
                <w:szCs w:val="24"/>
              </w:rPr>
              <w:t>baseline</w:t>
            </w:r>
            <w:r w:rsidRPr="00927B43">
              <w:rPr>
                <w:sz w:val="24"/>
                <w:szCs w:val="24"/>
              </w:rPr>
              <w:t xml:space="preserve"> albumin-niveau ≤ 35 g/l) sammenlignet med gruppen overordnet set. Behandling med eltrombopag hos disse patienter skal opstartes af en læge med erfaring i behandling af fremskreden HCV, og kun hvis det kræves på grund af risiko for trombocytopeni eller er nødvendigt for at kunne vedligeholde antiviral behandling. Hvis behandling er klinisk indiceret, kræves tæt monitorering af disse patienter.</w:t>
            </w:r>
          </w:p>
        </w:tc>
      </w:tr>
    </w:tbl>
    <w:p w14:paraId="34E293B9" w14:textId="77777777" w:rsidR="00927B43" w:rsidRPr="00927B43" w:rsidRDefault="00927B43" w:rsidP="00927B43">
      <w:pPr>
        <w:tabs>
          <w:tab w:val="left" w:pos="851"/>
        </w:tabs>
        <w:ind w:left="851"/>
        <w:rPr>
          <w:b/>
          <w:bCs/>
          <w:sz w:val="24"/>
          <w:szCs w:val="24"/>
        </w:rPr>
      </w:pPr>
    </w:p>
    <w:p w14:paraId="7349F925" w14:textId="77777777" w:rsidR="00927B43" w:rsidRPr="00927B43" w:rsidRDefault="00927B43" w:rsidP="00927B43">
      <w:pPr>
        <w:tabs>
          <w:tab w:val="left" w:pos="851"/>
        </w:tabs>
        <w:ind w:left="851"/>
        <w:rPr>
          <w:sz w:val="24"/>
          <w:szCs w:val="24"/>
          <w:u w:val="single"/>
        </w:rPr>
      </w:pPr>
      <w:r w:rsidRPr="00927B43">
        <w:rPr>
          <w:sz w:val="24"/>
          <w:szCs w:val="24"/>
          <w:u w:val="single"/>
        </w:rPr>
        <w:t>Kombination med direkte aktive antivirale lægemidler</w:t>
      </w:r>
    </w:p>
    <w:p w14:paraId="182BC5C3" w14:textId="77777777" w:rsidR="00927B43" w:rsidRPr="00927B43" w:rsidRDefault="00927B43" w:rsidP="00927B43">
      <w:pPr>
        <w:tabs>
          <w:tab w:val="left" w:pos="851"/>
        </w:tabs>
        <w:ind w:left="851"/>
        <w:rPr>
          <w:sz w:val="24"/>
          <w:szCs w:val="24"/>
        </w:rPr>
      </w:pPr>
      <w:r w:rsidRPr="00927B43">
        <w:rPr>
          <w:sz w:val="24"/>
          <w:szCs w:val="24"/>
        </w:rPr>
        <w:t>Sikkerhed og virkning er ikke undersøgt i kombination med direkte aktive antivirale lægemidler, som er godkendt til behandling af kronisk hepatitis C-infektion.</w:t>
      </w:r>
    </w:p>
    <w:p w14:paraId="624E7B37" w14:textId="78CA22C7" w:rsidR="0077543A" w:rsidRDefault="0077543A">
      <w:pPr>
        <w:rPr>
          <w:sz w:val="24"/>
          <w:szCs w:val="24"/>
        </w:rPr>
      </w:pPr>
      <w:r>
        <w:rPr>
          <w:sz w:val="24"/>
          <w:szCs w:val="24"/>
        </w:rPr>
        <w:br w:type="page"/>
      </w:r>
    </w:p>
    <w:p w14:paraId="7DA52200" w14:textId="77777777" w:rsidR="00927B43" w:rsidRPr="00927B43" w:rsidRDefault="00927B43" w:rsidP="00927B43">
      <w:pPr>
        <w:tabs>
          <w:tab w:val="left" w:pos="851"/>
        </w:tabs>
        <w:ind w:left="851"/>
        <w:rPr>
          <w:sz w:val="24"/>
          <w:szCs w:val="24"/>
        </w:rPr>
      </w:pPr>
    </w:p>
    <w:p w14:paraId="77D9E1B7" w14:textId="77777777" w:rsidR="00927B43" w:rsidRPr="00927B43" w:rsidRDefault="00927B43" w:rsidP="00927B43">
      <w:pPr>
        <w:tabs>
          <w:tab w:val="left" w:pos="851"/>
        </w:tabs>
        <w:ind w:left="851"/>
        <w:rPr>
          <w:sz w:val="24"/>
          <w:szCs w:val="24"/>
          <w:u w:val="single"/>
        </w:rPr>
      </w:pPr>
      <w:r w:rsidRPr="00927B43">
        <w:rPr>
          <w:sz w:val="24"/>
          <w:szCs w:val="24"/>
          <w:u w:val="single"/>
        </w:rPr>
        <w:t>Risiko for hepatotoksicitet</w:t>
      </w:r>
    </w:p>
    <w:p w14:paraId="4D073094" w14:textId="77777777" w:rsidR="00927B43" w:rsidRPr="00927B43" w:rsidRDefault="00927B43" w:rsidP="00927B43">
      <w:pPr>
        <w:tabs>
          <w:tab w:val="left" w:pos="851"/>
        </w:tabs>
        <w:ind w:left="851"/>
        <w:rPr>
          <w:sz w:val="24"/>
          <w:szCs w:val="24"/>
        </w:rPr>
      </w:pPr>
      <w:r w:rsidRPr="00927B43">
        <w:rPr>
          <w:sz w:val="24"/>
          <w:szCs w:val="24"/>
        </w:rPr>
        <w:t>Administration af eltrombopag kan forårsage unormal leverfunktion og svær hepatotoksicitet, hvilket kan være livstruende (se pkt. 4.8).</w:t>
      </w:r>
    </w:p>
    <w:p w14:paraId="27DF8671" w14:textId="77777777" w:rsidR="00927B43" w:rsidRPr="00927B43" w:rsidRDefault="00927B43" w:rsidP="00927B43">
      <w:pPr>
        <w:tabs>
          <w:tab w:val="left" w:pos="851"/>
        </w:tabs>
        <w:ind w:left="851"/>
        <w:rPr>
          <w:sz w:val="24"/>
          <w:szCs w:val="24"/>
        </w:rPr>
      </w:pPr>
    </w:p>
    <w:p w14:paraId="45356D60" w14:textId="77777777" w:rsidR="00927B43" w:rsidRPr="00927B43" w:rsidRDefault="00927B43" w:rsidP="00927B43">
      <w:pPr>
        <w:tabs>
          <w:tab w:val="left" w:pos="851"/>
        </w:tabs>
        <w:ind w:left="851"/>
        <w:rPr>
          <w:sz w:val="24"/>
          <w:szCs w:val="24"/>
        </w:rPr>
      </w:pPr>
      <w:r w:rsidRPr="00927B43">
        <w:rPr>
          <w:sz w:val="24"/>
          <w:szCs w:val="24"/>
        </w:rPr>
        <w:t xml:space="preserve">Serum-alaninaminotransferase (ALAT), -aspartataminotranferase (ASAT) og -bilirubin skal måles, 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 vender tilbage til udgangsniveauet. Eltrombopag skal seponeres, hvis ALAT-tallene stiger (for patienter med normal leverfunktion: ≥ 3 gange den øvre normalgrænse [x ULN], for patienter med forhøjede transminaser forud for behandlingen: den laveste værdi af ≥ 3 gange </w:t>
      </w:r>
      <w:r w:rsidRPr="00927B43">
        <w:rPr>
          <w:i/>
          <w:iCs/>
          <w:sz w:val="24"/>
          <w:szCs w:val="24"/>
        </w:rPr>
        <w:t>baseline</w:t>
      </w:r>
      <w:r w:rsidRPr="00927B43">
        <w:rPr>
          <w:sz w:val="24"/>
          <w:szCs w:val="24"/>
        </w:rPr>
        <w:t xml:space="preserve"> eller &gt; 5 gange den øvre normalgrænse) og er:</w:t>
      </w:r>
    </w:p>
    <w:p w14:paraId="2DB1CAED" w14:textId="77777777" w:rsidR="00927B43" w:rsidRPr="00927B43" w:rsidRDefault="00927B43" w:rsidP="0077543A">
      <w:pPr>
        <w:numPr>
          <w:ilvl w:val="0"/>
          <w:numId w:val="6"/>
        </w:numPr>
        <w:tabs>
          <w:tab w:val="left" w:pos="851"/>
        </w:tabs>
        <w:ind w:left="1134" w:hanging="283"/>
        <w:rPr>
          <w:sz w:val="24"/>
          <w:szCs w:val="24"/>
        </w:rPr>
      </w:pPr>
      <w:r w:rsidRPr="00927B43">
        <w:rPr>
          <w:sz w:val="24"/>
          <w:szCs w:val="24"/>
        </w:rPr>
        <w:t>progressive, eller</w:t>
      </w:r>
    </w:p>
    <w:p w14:paraId="18C2B1C7" w14:textId="77777777" w:rsidR="00927B43" w:rsidRPr="00927B43" w:rsidRDefault="00927B43" w:rsidP="0077543A">
      <w:pPr>
        <w:numPr>
          <w:ilvl w:val="0"/>
          <w:numId w:val="6"/>
        </w:numPr>
        <w:tabs>
          <w:tab w:val="left" w:pos="851"/>
        </w:tabs>
        <w:ind w:left="1134" w:hanging="283"/>
        <w:rPr>
          <w:sz w:val="24"/>
          <w:szCs w:val="24"/>
        </w:rPr>
      </w:pPr>
      <w:r w:rsidRPr="00927B43">
        <w:rPr>
          <w:sz w:val="24"/>
          <w:szCs w:val="24"/>
        </w:rPr>
        <w:t>varer ved i ≥ 4 uger, eller</w:t>
      </w:r>
    </w:p>
    <w:p w14:paraId="002AE44E" w14:textId="77777777" w:rsidR="00927B43" w:rsidRPr="00927B43" w:rsidRDefault="00927B43" w:rsidP="0077543A">
      <w:pPr>
        <w:numPr>
          <w:ilvl w:val="0"/>
          <w:numId w:val="6"/>
        </w:numPr>
        <w:tabs>
          <w:tab w:val="left" w:pos="851"/>
        </w:tabs>
        <w:ind w:left="1134" w:hanging="283"/>
        <w:rPr>
          <w:sz w:val="24"/>
          <w:szCs w:val="24"/>
        </w:rPr>
      </w:pPr>
      <w:r w:rsidRPr="00927B43">
        <w:rPr>
          <w:sz w:val="24"/>
          <w:szCs w:val="24"/>
        </w:rPr>
        <w:t>ledsages af øget direkte bilirubin, eller</w:t>
      </w:r>
    </w:p>
    <w:p w14:paraId="088542FB" w14:textId="77777777" w:rsidR="00927B43" w:rsidRPr="00927B43" w:rsidRDefault="00927B43" w:rsidP="0077543A">
      <w:pPr>
        <w:numPr>
          <w:ilvl w:val="0"/>
          <w:numId w:val="6"/>
        </w:numPr>
        <w:tabs>
          <w:tab w:val="left" w:pos="851"/>
        </w:tabs>
        <w:ind w:left="1134" w:hanging="283"/>
        <w:rPr>
          <w:sz w:val="24"/>
          <w:szCs w:val="24"/>
        </w:rPr>
      </w:pPr>
      <w:r w:rsidRPr="00927B43">
        <w:rPr>
          <w:sz w:val="24"/>
          <w:szCs w:val="24"/>
        </w:rPr>
        <w:t>ledsages af kliniske symptomer på leverskader eller tegn på hepatisk dekompensation</w:t>
      </w:r>
    </w:p>
    <w:p w14:paraId="7B6744F7" w14:textId="77777777" w:rsidR="00927B43" w:rsidRPr="00927B43" w:rsidRDefault="00927B43" w:rsidP="00927B43">
      <w:pPr>
        <w:tabs>
          <w:tab w:val="left" w:pos="851"/>
        </w:tabs>
        <w:ind w:left="851"/>
        <w:rPr>
          <w:sz w:val="24"/>
          <w:szCs w:val="24"/>
        </w:rPr>
      </w:pPr>
    </w:p>
    <w:p w14:paraId="43CD9F46" w14:textId="77777777" w:rsidR="00927B43" w:rsidRPr="00927B43" w:rsidRDefault="00927B43" w:rsidP="00927B43">
      <w:pPr>
        <w:tabs>
          <w:tab w:val="left" w:pos="851"/>
        </w:tabs>
        <w:ind w:left="851"/>
        <w:rPr>
          <w:sz w:val="24"/>
          <w:szCs w:val="24"/>
        </w:rPr>
      </w:pPr>
      <w:r w:rsidRPr="00927B43">
        <w:rPr>
          <w:sz w:val="24"/>
          <w:szCs w:val="24"/>
        </w:rPr>
        <w:t>Der skal udvises forsigtighed, når eltrombopag administreres til patienter med leversygdom. Der bør anvendes en lavere eltrombopag-startdosis til ITP- og SAA-patienter og tæt monitorering er nødvendig ved administration af eltrombopag til patienter med nedsat leverfunktion (se pkt. 4.2).</w:t>
      </w:r>
    </w:p>
    <w:p w14:paraId="1334330E" w14:textId="77777777" w:rsidR="00927B43" w:rsidRPr="00927B43" w:rsidRDefault="00927B43" w:rsidP="00927B43">
      <w:pPr>
        <w:tabs>
          <w:tab w:val="left" w:pos="851"/>
        </w:tabs>
        <w:ind w:left="851"/>
        <w:rPr>
          <w:sz w:val="24"/>
          <w:szCs w:val="24"/>
        </w:rPr>
      </w:pPr>
    </w:p>
    <w:p w14:paraId="54975A9B" w14:textId="77777777" w:rsidR="00927B43" w:rsidRPr="00927B43" w:rsidRDefault="00927B43" w:rsidP="00927B43">
      <w:pPr>
        <w:tabs>
          <w:tab w:val="left" w:pos="851"/>
        </w:tabs>
        <w:ind w:left="851"/>
        <w:rPr>
          <w:sz w:val="24"/>
          <w:szCs w:val="24"/>
          <w:u w:val="single"/>
        </w:rPr>
      </w:pPr>
      <w:r w:rsidRPr="00927B43">
        <w:rPr>
          <w:sz w:val="24"/>
          <w:szCs w:val="24"/>
          <w:u w:val="single"/>
        </w:rPr>
        <w:t>Dekompenseret leversygdom (anvendelse med interferon)</w:t>
      </w:r>
    </w:p>
    <w:p w14:paraId="1FA15AA9" w14:textId="77777777" w:rsidR="00927B43" w:rsidRPr="00927B43" w:rsidRDefault="00927B43" w:rsidP="00927B43">
      <w:pPr>
        <w:tabs>
          <w:tab w:val="left" w:pos="851"/>
        </w:tabs>
        <w:ind w:left="851"/>
        <w:rPr>
          <w:sz w:val="24"/>
          <w:szCs w:val="24"/>
        </w:rPr>
      </w:pPr>
      <w:r w:rsidRPr="00927B43">
        <w:rPr>
          <w:sz w:val="24"/>
          <w:szCs w:val="24"/>
        </w:rPr>
        <w:t xml:space="preserve">Dekompenseret leversygdom hos patienter med kronisk hepatitis C: Det er nødvendigt at monitorere patienter med lave albumin-niveauer (≤ 35 g/l) eller med MELD-score ≥ 10 ved </w:t>
      </w:r>
      <w:r w:rsidRPr="00927B43">
        <w:rPr>
          <w:i/>
          <w:iCs/>
          <w:sz w:val="24"/>
          <w:szCs w:val="24"/>
        </w:rPr>
        <w:t>baseline</w:t>
      </w:r>
      <w:r w:rsidRPr="00927B43">
        <w:rPr>
          <w:sz w:val="24"/>
          <w:szCs w:val="24"/>
        </w:rPr>
        <w:t>.</w:t>
      </w:r>
    </w:p>
    <w:p w14:paraId="0C1FD07A" w14:textId="77777777" w:rsidR="00927B43" w:rsidRPr="00927B43" w:rsidRDefault="00927B43" w:rsidP="00927B43">
      <w:pPr>
        <w:tabs>
          <w:tab w:val="left" w:pos="851"/>
        </w:tabs>
        <w:ind w:left="851"/>
        <w:rPr>
          <w:sz w:val="24"/>
          <w:szCs w:val="24"/>
        </w:rPr>
      </w:pPr>
    </w:p>
    <w:p w14:paraId="3B8D8BF2" w14:textId="77777777" w:rsidR="00927B43" w:rsidRPr="00927B43" w:rsidRDefault="00927B43" w:rsidP="00927B43">
      <w:pPr>
        <w:tabs>
          <w:tab w:val="left" w:pos="851"/>
        </w:tabs>
        <w:ind w:left="851"/>
        <w:rPr>
          <w:sz w:val="24"/>
          <w:szCs w:val="24"/>
        </w:rPr>
      </w:pPr>
      <w:r w:rsidRPr="00927B43">
        <w:rPr>
          <w:sz w:val="24"/>
          <w:szCs w:val="24"/>
        </w:rPr>
        <w:t xml:space="preserve">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 armen (11 %) end i placebo armen (6 %). Hos patienter med lavt albumin-niveau (≤ 35 g/l) eller med en MELD-score ≥ 10 ved </w:t>
      </w:r>
      <w:r w:rsidRPr="00927B43">
        <w:rPr>
          <w:i/>
          <w:iCs/>
          <w:sz w:val="24"/>
          <w:szCs w:val="24"/>
        </w:rPr>
        <w:t>baseline</w:t>
      </w:r>
      <w:r w:rsidRPr="00927B43">
        <w:rPr>
          <w:sz w:val="24"/>
          <w:szCs w:val="24"/>
        </w:rPr>
        <w:t xml:space="preserve"> var der 3 gange øget risiko for dekompenseret leversygdom og en øget risiko for en dødelig bivirkning sammenlignet med patienter, med mindre fremskreden sygdom. Fordelene ved behandling med hensyn til opnåelse af SVR sammenlignet med placebo var beskedne hos disse patienter (specielt for patienter med </w:t>
      </w:r>
      <w:r w:rsidRPr="00927B43">
        <w:rPr>
          <w:i/>
          <w:iCs/>
          <w:sz w:val="24"/>
          <w:szCs w:val="24"/>
        </w:rPr>
        <w:t>baseline</w:t>
      </w:r>
      <w:r w:rsidRPr="00927B43">
        <w:rPr>
          <w:sz w:val="24"/>
          <w:szCs w:val="24"/>
        </w:rPr>
        <w:t xml:space="preserve"> albumin-niveau ≤ 35 g/l) sammenlignet med gruppen overordnet set. Eltrombopag skal kun administreres til disse patienter efter grundig overvejelse om forventede fordele i forhold til mulige risici. 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14:paraId="403EA286" w14:textId="77777777" w:rsidR="00927B43" w:rsidRPr="00927B43" w:rsidRDefault="00927B43" w:rsidP="00927B43">
      <w:pPr>
        <w:tabs>
          <w:tab w:val="left" w:pos="851"/>
        </w:tabs>
        <w:ind w:left="851"/>
        <w:rPr>
          <w:sz w:val="24"/>
          <w:szCs w:val="24"/>
        </w:rPr>
      </w:pPr>
    </w:p>
    <w:p w14:paraId="3DEDBFD4" w14:textId="77777777" w:rsidR="00927B43" w:rsidRPr="00927B43" w:rsidRDefault="00927B43" w:rsidP="00927B43">
      <w:pPr>
        <w:tabs>
          <w:tab w:val="left" w:pos="851"/>
        </w:tabs>
        <w:ind w:left="851"/>
        <w:rPr>
          <w:sz w:val="24"/>
          <w:szCs w:val="24"/>
          <w:u w:val="single"/>
        </w:rPr>
      </w:pPr>
      <w:r w:rsidRPr="00927B43">
        <w:rPr>
          <w:sz w:val="24"/>
          <w:szCs w:val="24"/>
          <w:u w:val="single"/>
        </w:rPr>
        <w:t>Trombotiske/tromboemboliske komplikationer</w:t>
      </w:r>
    </w:p>
    <w:p w14:paraId="3EE432FC" w14:textId="77777777" w:rsidR="00927B43" w:rsidRPr="00927B43" w:rsidRDefault="00927B43" w:rsidP="00927B43">
      <w:pPr>
        <w:tabs>
          <w:tab w:val="left" w:pos="851"/>
        </w:tabs>
        <w:ind w:left="851"/>
        <w:rPr>
          <w:sz w:val="24"/>
          <w:szCs w:val="24"/>
        </w:rPr>
      </w:pPr>
      <w:r w:rsidRPr="00927B43">
        <w:rPr>
          <w:sz w:val="24"/>
          <w:szCs w:val="24"/>
        </w:rPr>
        <w:t xml:space="preserve">I kontrollerede studier med trombocytopeniske patienter med HCV, som modtog interferon behandling (n = 1 439), oplevede 38 ud af 955 patienter (4 %) som fik eltrombopag, og 6 </w:t>
      </w:r>
      <w:r w:rsidRPr="00927B43">
        <w:rPr>
          <w:sz w:val="24"/>
          <w:szCs w:val="24"/>
        </w:rPr>
        <w:lastRenderedPageBreak/>
        <w:t>ud af 484 patienter (1 %) i placebogruppen TEEs. Rapporterede trombotiske/tromboemboliske komplikationer inkluderede både venøse og arterielle hændelser. Størstedelen af TEEs var ikke alvorlige og var ikke længere til stede ved studiets afslutning. Portal venetrombose var den almindeligste TEE i begge behandlingsgrupper (2 % hos patienter, der fik eltrombopag i forhold til &lt; 1 % i placebogruppen). Der var ingen specifik sammenhæng mellem, hvornår behandlingen blev opstartet og tidspunktet for hvornår TEE indtraf. Patienter med lave albumin-niveauer (≤ 35 g/l) eller med MELD ≥ 10 havde 2 gange øget risiko for at få TEEs i forhold til patienter med højere albumin-niveauer; patienter ≥ 60 år havde 2 gange øget risiko for at få TEEs sammenlignet med yngre patienter. Eltrombopag skal kun administreres til sådanne patienter efter grundig overvejelse af forventede fordele i forhold til risici. Patienterne skal monitoreres tæt for tegn og symptomer på TEE.</w:t>
      </w:r>
    </w:p>
    <w:p w14:paraId="5384B6AD" w14:textId="77777777" w:rsidR="00927B43" w:rsidRPr="00927B43" w:rsidRDefault="00927B43" w:rsidP="00927B43">
      <w:pPr>
        <w:tabs>
          <w:tab w:val="left" w:pos="851"/>
        </w:tabs>
        <w:ind w:left="851"/>
        <w:rPr>
          <w:sz w:val="24"/>
          <w:szCs w:val="24"/>
        </w:rPr>
      </w:pPr>
    </w:p>
    <w:p w14:paraId="2560EF7A" w14:textId="77777777" w:rsidR="00927B43" w:rsidRPr="00927B43" w:rsidRDefault="00927B43" w:rsidP="00927B43">
      <w:pPr>
        <w:tabs>
          <w:tab w:val="left" w:pos="851"/>
        </w:tabs>
        <w:ind w:left="851"/>
        <w:rPr>
          <w:sz w:val="24"/>
          <w:szCs w:val="24"/>
        </w:rPr>
      </w:pPr>
      <w:r w:rsidRPr="00927B43">
        <w:rPr>
          <w:sz w:val="24"/>
          <w:szCs w:val="24"/>
        </w:rPr>
        <w:t>Det er fundet, at risikoen for TEEs øges hos patienter med kronisk leversygdom (CLD), der behandles med 75 mg eltrombopag én gang daglig i 2 uger forud for invasive indgreb. Seks ud af 143 (4 %) voksne patienter med CLD, der fik eltrombopag, oplevede TEEs (alle i det portale venesystem) og to ud af 145 (1 %) patienter i placebogruppen oplevede TEEs (én i det portale venesystem og ét myokardieinfarkt). Fem ud af de seks patienter, der blev behandlet med eltrombopag, oplevede de trombotiske komplikationer ved et trombocyttal &gt; 200 000 pr. μl og inden for 30 dage efter sidste eltrombopag-dosis. Eltrombopag er ikke indiceret til behandling af trombocytopeni hos patienter med kronisk leversygdom som forberedelse til invasive indgreb.</w:t>
      </w:r>
    </w:p>
    <w:p w14:paraId="12CFF2FD" w14:textId="77777777" w:rsidR="00927B43" w:rsidRPr="00927B43" w:rsidRDefault="00927B43" w:rsidP="00927B43">
      <w:pPr>
        <w:tabs>
          <w:tab w:val="left" w:pos="851"/>
        </w:tabs>
        <w:ind w:left="851"/>
        <w:rPr>
          <w:sz w:val="24"/>
          <w:szCs w:val="24"/>
        </w:rPr>
      </w:pPr>
    </w:p>
    <w:p w14:paraId="4EA99B51" w14:textId="77777777" w:rsidR="00927B43" w:rsidRPr="00927B43" w:rsidRDefault="00927B43" w:rsidP="00927B43">
      <w:pPr>
        <w:tabs>
          <w:tab w:val="left" w:pos="851"/>
        </w:tabs>
        <w:ind w:left="851"/>
        <w:rPr>
          <w:sz w:val="24"/>
          <w:szCs w:val="24"/>
        </w:rPr>
      </w:pPr>
      <w:r w:rsidRPr="00927B43">
        <w:rPr>
          <w:sz w:val="24"/>
          <w:szCs w:val="24"/>
        </w:rPr>
        <w:t xml:space="preserve">I kliniske ITP-studier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langvarig immobilisering, malignitet, brug af kontraceptiva, hormonbehandling, operation/traume, overvægt eller rygning. Trombocyttallet skal følges nøje, og reduktion af dosis eller seponering af eltrombopag skal overvejes, hvis trombocyttallet overstiger det forventede niveau (se pkt. 4.2). Balancen mellem fordele og ulemper skal overvejes hos patienter med risiko for TEEs af enhver ætiologi. </w:t>
      </w:r>
    </w:p>
    <w:p w14:paraId="5BB8503C" w14:textId="77777777" w:rsidR="00927B43" w:rsidRPr="00927B43" w:rsidRDefault="00927B43" w:rsidP="00927B43">
      <w:pPr>
        <w:tabs>
          <w:tab w:val="left" w:pos="851"/>
        </w:tabs>
        <w:ind w:left="851"/>
        <w:rPr>
          <w:sz w:val="24"/>
          <w:szCs w:val="24"/>
        </w:rPr>
      </w:pPr>
    </w:p>
    <w:p w14:paraId="48EAF785" w14:textId="77777777" w:rsidR="00927B43" w:rsidRPr="00927B43" w:rsidRDefault="00927B43" w:rsidP="00927B43">
      <w:pPr>
        <w:tabs>
          <w:tab w:val="left" w:pos="851"/>
        </w:tabs>
        <w:ind w:left="851"/>
        <w:rPr>
          <w:sz w:val="24"/>
          <w:szCs w:val="24"/>
        </w:rPr>
      </w:pPr>
      <w:r w:rsidRPr="00927B43">
        <w:rPr>
          <w:sz w:val="24"/>
          <w:szCs w:val="24"/>
        </w:rPr>
        <w:t>Der er ikke identificeret nogen tilfælde af TEE fra et klinisk studie med refraktær SAA, men 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14:paraId="79268E77" w14:textId="77777777" w:rsidR="00927B43" w:rsidRPr="00927B43" w:rsidRDefault="00927B43" w:rsidP="00927B43">
      <w:pPr>
        <w:tabs>
          <w:tab w:val="left" w:pos="851"/>
        </w:tabs>
        <w:ind w:left="851"/>
        <w:rPr>
          <w:sz w:val="24"/>
          <w:szCs w:val="24"/>
        </w:rPr>
      </w:pPr>
    </w:p>
    <w:p w14:paraId="573473AC" w14:textId="77777777" w:rsidR="00927B43" w:rsidRPr="00927B43" w:rsidRDefault="00927B43" w:rsidP="00927B43">
      <w:pPr>
        <w:tabs>
          <w:tab w:val="left" w:pos="851"/>
        </w:tabs>
        <w:ind w:left="851"/>
        <w:rPr>
          <w:sz w:val="24"/>
          <w:szCs w:val="24"/>
        </w:rPr>
      </w:pPr>
      <w:r w:rsidRPr="00927B43">
        <w:rPr>
          <w:sz w:val="24"/>
          <w:szCs w:val="24"/>
        </w:rPr>
        <w:t>Eltrombopag bør ikke gives til patienter med nedsat leverfunktion (Child-Pugh score ≥ 5), medmindre fordelene ved behandlingen er større end den identificerede risiko for portal venetrombose. Hvis behandling vurderes at være nødvendig, skal der udvises forsigtighed ved administration af eltrombopag til ITP-patienter med nedsat leverfunktion (se pkt. 4.2 og 4.8).</w:t>
      </w:r>
    </w:p>
    <w:p w14:paraId="124684D9" w14:textId="77777777" w:rsidR="00927B43" w:rsidRPr="00927B43" w:rsidRDefault="00927B43" w:rsidP="00927B43">
      <w:pPr>
        <w:tabs>
          <w:tab w:val="left" w:pos="851"/>
        </w:tabs>
        <w:ind w:left="851"/>
        <w:rPr>
          <w:sz w:val="24"/>
          <w:szCs w:val="24"/>
        </w:rPr>
      </w:pPr>
    </w:p>
    <w:p w14:paraId="366339DF" w14:textId="77777777" w:rsidR="00927B43" w:rsidRPr="00927B43" w:rsidRDefault="00927B43" w:rsidP="00927B43">
      <w:pPr>
        <w:tabs>
          <w:tab w:val="left" w:pos="851"/>
        </w:tabs>
        <w:ind w:left="851"/>
        <w:rPr>
          <w:sz w:val="24"/>
          <w:szCs w:val="24"/>
          <w:u w:val="single"/>
        </w:rPr>
      </w:pPr>
      <w:r w:rsidRPr="00927B43">
        <w:rPr>
          <w:sz w:val="24"/>
          <w:szCs w:val="24"/>
          <w:u w:val="single"/>
        </w:rPr>
        <w:t>Blødning efter seponering af eltrombopag</w:t>
      </w:r>
    </w:p>
    <w:p w14:paraId="5322881C" w14:textId="77777777" w:rsidR="00927B43" w:rsidRPr="00927B43" w:rsidRDefault="00927B43" w:rsidP="00927B43">
      <w:pPr>
        <w:tabs>
          <w:tab w:val="left" w:pos="851"/>
        </w:tabs>
        <w:ind w:left="851"/>
        <w:rPr>
          <w:sz w:val="24"/>
          <w:szCs w:val="24"/>
        </w:rPr>
      </w:pPr>
      <w:r w:rsidRPr="00927B43">
        <w:rPr>
          <w:sz w:val="24"/>
          <w:szCs w:val="24"/>
        </w:rPr>
        <w:t xml:space="preserve">Trombocytopeni kan med en vis sandsynlighed forekomme igen ved seponering af eltrombopag. Efter seponeringen vender trombocyttallet tilbage til udgangsniveauet i løbet af 2 uger hos de fleste patienter, hvilket øger blødningsrisikoen og i visse tilfælde kan føre til blødning. Risikoen øges, hvis eltrombopag-behandlingen seponeres, mens der stadig </w:t>
      </w:r>
      <w:r w:rsidRPr="00927B43">
        <w:rPr>
          <w:sz w:val="24"/>
          <w:szCs w:val="24"/>
        </w:rPr>
        <w:lastRenderedPageBreak/>
        <w:t xml:space="preserve">gives antikoagulantia eller trombocythæmmere. Hvis behandlingen med eltrombopag seponeres, anbefales det, at patienten igen behandles med ITP-medicin ud fra de gældende retningslinjer. Yderligere medicinsk behandling kan omfatte seponering af antikoagulantia og/eller trombocythæmmere, ændret antikoagulation eller støttende behandling med trombocytter. Trombocyttallet skal monitoreres hver uge i 4 uger efter seponering af eltrombopag. </w:t>
      </w:r>
    </w:p>
    <w:p w14:paraId="6ECC85D7" w14:textId="77777777" w:rsidR="00927B43" w:rsidRPr="00927B43" w:rsidRDefault="00927B43" w:rsidP="00927B43">
      <w:pPr>
        <w:tabs>
          <w:tab w:val="left" w:pos="851"/>
        </w:tabs>
        <w:ind w:left="851"/>
        <w:rPr>
          <w:sz w:val="24"/>
          <w:szCs w:val="24"/>
        </w:rPr>
      </w:pPr>
    </w:p>
    <w:p w14:paraId="373789FC" w14:textId="77777777" w:rsidR="00927B43" w:rsidRPr="00927B43" w:rsidRDefault="00927B43" w:rsidP="00927B43">
      <w:pPr>
        <w:tabs>
          <w:tab w:val="left" w:pos="851"/>
        </w:tabs>
        <w:ind w:left="851"/>
        <w:rPr>
          <w:sz w:val="24"/>
          <w:szCs w:val="24"/>
        </w:rPr>
      </w:pPr>
      <w:r w:rsidRPr="00927B43">
        <w:rPr>
          <w:sz w:val="24"/>
          <w:szCs w:val="24"/>
        </w:rPr>
        <w:t>I kliniske studier med HCV-patienter blev gastrointestinal blødning, herunder alvorlige og dødelige tilfælde, rapporteret med en højere incidens efter seponering af peginterferon, ribavirin og eltrombopag. Efter seponering af behandling skal patienterne observeres for tegn og symptomer på gastrointestinal blødning.</w:t>
      </w:r>
    </w:p>
    <w:p w14:paraId="68B54C34" w14:textId="77777777" w:rsidR="00927B43" w:rsidRPr="00927B43" w:rsidRDefault="00927B43" w:rsidP="00927B43">
      <w:pPr>
        <w:tabs>
          <w:tab w:val="left" w:pos="851"/>
        </w:tabs>
        <w:ind w:left="851"/>
        <w:rPr>
          <w:sz w:val="24"/>
          <w:szCs w:val="24"/>
        </w:rPr>
      </w:pPr>
    </w:p>
    <w:p w14:paraId="0E3967EC" w14:textId="77777777" w:rsidR="00927B43" w:rsidRPr="00927B43" w:rsidRDefault="00927B43" w:rsidP="00927B43">
      <w:pPr>
        <w:tabs>
          <w:tab w:val="left" w:pos="851"/>
        </w:tabs>
        <w:ind w:left="851"/>
        <w:rPr>
          <w:sz w:val="24"/>
          <w:szCs w:val="24"/>
          <w:u w:val="single"/>
        </w:rPr>
      </w:pPr>
      <w:r w:rsidRPr="00927B43">
        <w:rPr>
          <w:sz w:val="24"/>
          <w:szCs w:val="24"/>
          <w:u w:val="single"/>
        </w:rPr>
        <w:t>Dannelse af knoglemarvsretikulin og risiko for knoglemarvsfibrose</w:t>
      </w:r>
    </w:p>
    <w:p w14:paraId="01F1C385" w14:textId="77777777" w:rsidR="00927B43" w:rsidRPr="00927B43" w:rsidRDefault="00927B43" w:rsidP="00927B43">
      <w:pPr>
        <w:tabs>
          <w:tab w:val="left" w:pos="851"/>
        </w:tabs>
        <w:ind w:left="851"/>
        <w:rPr>
          <w:sz w:val="24"/>
          <w:szCs w:val="24"/>
        </w:rPr>
      </w:pPr>
      <w:r w:rsidRPr="00927B43">
        <w:rPr>
          <w:sz w:val="24"/>
          <w:szCs w:val="24"/>
        </w:rPr>
        <w:t>Eltrombopag kan muligvis øge risikoen for udvikling eller progression af retikulinfibre i knoglemarven. Relevansen af dette fund er – som for andre trombopoietin-receptor(TPO-R)-agonister – endnu ikke fastslået.</w:t>
      </w:r>
    </w:p>
    <w:p w14:paraId="32E6714D" w14:textId="77777777" w:rsidR="00927B43" w:rsidRPr="00927B43" w:rsidRDefault="00927B43" w:rsidP="00927B43">
      <w:pPr>
        <w:tabs>
          <w:tab w:val="left" w:pos="851"/>
        </w:tabs>
        <w:ind w:left="851"/>
        <w:rPr>
          <w:sz w:val="24"/>
          <w:szCs w:val="24"/>
        </w:rPr>
      </w:pPr>
    </w:p>
    <w:p w14:paraId="4D95625A" w14:textId="77777777" w:rsidR="00927B43" w:rsidRPr="00927B43" w:rsidRDefault="00927B43" w:rsidP="00927B43">
      <w:pPr>
        <w:tabs>
          <w:tab w:val="left" w:pos="851"/>
        </w:tabs>
        <w:ind w:left="851"/>
        <w:rPr>
          <w:sz w:val="24"/>
          <w:szCs w:val="24"/>
        </w:rPr>
      </w:pPr>
      <w:r w:rsidRPr="00927B43">
        <w:rPr>
          <w:sz w:val="24"/>
          <w:szCs w:val="24"/>
        </w:rPr>
        <w:t>Før behandling med eltrombopag indledes, skal den perifere blodudstrygning undersøges nøje med henblik på at fastlægge et udgangsniveau for cellemorfologiske abnormiteter. Efter fastlæggelse af 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dråbe-formede, røde blodlegemer med kerne eller umodne hvide blodlegemer) eller cytopeni(er). Hvis patienten udvikler nye eller forværrede morfologiske abnormiteter eller cytopeni(er), skal behandlingen med eltrombopag standses, og knoglemarvsbiopsi inklusive farvning for fibrose skal overvejes.</w:t>
      </w:r>
    </w:p>
    <w:p w14:paraId="76EAFD32" w14:textId="77777777" w:rsidR="00927B43" w:rsidRPr="00927B43" w:rsidRDefault="00927B43" w:rsidP="00927B43">
      <w:pPr>
        <w:tabs>
          <w:tab w:val="left" w:pos="851"/>
        </w:tabs>
        <w:ind w:left="851"/>
        <w:rPr>
          <w:sz w:val="24"/>
          <w:szCs w:val="24"/>
        </w:rPr>
      </w:pPr>
    </w:p>
    <w:p w14:paraId="30005396" w14:textId="77777777" w:rsidR="00927B43" w:rsidRPr="00927B43" w:rsidRDefault="00927B43" w:rsidP="00927B43">
      <w:pPr>
        <w:tabs>
          <w:tab w:val="left" w:pos="851"/>
        </w:tabs>
        <w:ind w:left="851"/>
        <w:rPr>
          <w:sz w:val="24"/>
          <w:szCs w:val="24"/>
          <w:u w:val="single"/>
        </w:rPr>
      </w:pPr>
      <w:r w:rsidRPr="00927B43">
        <w:rPr>
          <w:sz w:val="24"/>
          <w:szCs w:val="24"/>
          <w:u w:val="single"/>
        </w:rPr>
        <w:t>Forværring af eksisterende myelodysplastisk syndrom (MDS)</w:t>
      </w:r>
    </w:p>
    <w:p w14:paraId="0EFDC86B" w14:textId="77777777" w:rsidR="00927B43" w:rsidRPr="00927B43" w:rsidRDefault="00927B43" w:rsidP="00927B43">
      <w:pPr>
        <w:tabs>
          <w:tab w:val="left" w:pos="851"/>
        </w:tabs>
        <w:ind w:left="851"/>
        <w:rPr>
          <w:sz w:val="24"/>
          <w:szCs w:val="24"/>
        </w:rPr>
      </w:pPr>
      <w:r w:rsidRPr="00927B43">
        <w:rPr>
          <w:sz w:val="24"/>
          <w:szCs w:val="24"/>
        </w:rPr>
        <w:t xml:space="preserve">Der er en teoretisk bekymring for at TPO-R-agonister kan stimulere progression af eksisterende hæmatologiske maligniteter såsom MDS. TPO-R-agonister er vækstfaktorer, som fører til trombopoietisk progenitorcelle-ekspansion, differentiering og trombocytdannelse. TPO-R udtrykkes overvejende på overfladen af celler af myeloid herkomst. </w:t>
      </w:r>
    </w:p>
    <w:p w14:paraId="38FE64CC" w14:textId="77777777" w:rsidR="00927B43" w:rsidRPr="00927B43" w:rsidRDefault="00927B43" w:rsidP="00927B43">
      <w:pPr>
        <w:tabs>
          <w:tab w:val="left" w:pos="851"/>
        </w:tabs>
        <w:ind w:left="851"/>
        <w:rPr>
          <w:sz w:val="24"/>
          <w:szCs w:val="24"/>
        </w:rPr>
      </w:pPr>
    </w:p>
    <w:p w14:paraId="126DBB3B" w14:textId="77777777" w:rsidR="00927B43" w:rsidRPr="00927B43" w:rsidRDefault="00927B43" w:rsidP="00927B43">
      <w:pPr>
        <w:tabs>
          <w:tab w:val="left" w:pos="851"/>
        </w:tabs>
        <w:ind w:left="851"/>
        <w:rPr>
          <w:sz w:val="24"/>
          <w:szCs w:val="24"/>
        </w:rPr>
      </w:pPr>
      <w:r w:rsidRPr="00927B43">
        <w:rPr>
          <w:sz w:val="24"/>
          <w:szCs w:val="24"/>
        </w:rPr>
        <w:t>Hos patienter med MDS blev der i kliniske studier med en TPO-R-agonist set tilfælde af forbigående stigning i blastcelletal og rapporteret tilfælde af progression af MDS til akut myeloid leukæmi (AML).</w:t>
      </w:r>
    </w:p>
    <w:p w14:paraId="16B48719" w14:textId="77777777" w:rsidR="00927B43" w:rsidRPr="00927B43" w:rsidRDefault="00927B43" w:rsidP="00927B43">
      <w:pPr>
        <w:tabs>
          <w:tab w:val="left" w:pos="851"/>
        </w:tabs>
        <w:ind w:left="851"/>
        <w:rPr>
          <w:sz w:val="24"/>
          <w:szCs w:val="24"/>
        </w:rPr>
      </w:pPr>
    </w:p>
    <w:p w14:paraId="26AF9A8F" w14:textId="77777777" w:rsidR="00927B43" w:rsidRPr="00927B43" w:rsidRDefault="00927B43" w:rsidP="00927B43">
      <w:pPr>
        <w:tabs>
          <w:tab w:val="left" w:pos="851"/>
        </w:tabs>
        <w:ind w:left="851"/>
        <w:rPr>
          <w:sz w:val="24"/>
          <w:szCs w:val="24"/>
        </w:rPr>
      </w:pPr>
      <w:r w:rsidRPr="00927B43">
        <w:rPr>
          <w:sz w:val="24"/>
          <w:szCs w:val="24"/>
        </w:rPr>
        <w:t>En ITP- eller SAA-diagnose hos voksne og ældre patienter bør bekræftes ved udelukkelse af andre kliniske diagnoser forbundet med trombocytopeni – især skal MDS-diagnosen udelukkes. Det bør overvejes at udføre knoglemarvsaspiration og -biopsi i løbet af sygdommen og behandlingen – især hos patienter over 60 år samt hos patienter med systemiske symptomer eller unormale tegn som f.eks. øget antal perifere blastceller.</w:t>
      </w:r>
    </w:p>
    <w:p w14:paraId="39C91693" w14:textId="77777777" w:rsidR="00927B43" w:rsidRPr="00927B43" w:rsidRDefault="00927B43" w:rsidP="00927B43">
      <w:pPr>
        <w:tabs>
          <w:tab w:val="left" w:pos="851"/>
        </w:tabs>
        <w:ind w:left="851"/>
        <w:rPr>
          <w:sz w:val="24"/>
          <w:szCs w:val="24"/>
        </w:rPr>
      </w:pPr>
    </w:p>
    <w:p w14:paraId="7273C8D6" w14:textId="77777777" w:rsidR="00927B43" w:rsidRPr="00927B43" w:rsidRDefault="00927B43" w:rsidP="00927B43">
      <w:pPr>
        <w:tabs>
          <w:tab w:val="left" w:pos="851"/>
        </w:tabs>
        <w:ind w:left="851"/>
        <w:rPr>
          <w:sz w:val="24"/>
          <w:szCs w:val="24"/>
        </w:rPr>
      </w:pPr>
      <w:r w:rsidRPr="00927B43">
        <w:rPr>
          <w:sz w:val="24"/>
          <w:szCs w:val="24"/>
        </w:rPr>
        <w:t>Eltrombopag virkning og sikkerhed til behandling af trombocytopeni i forbindelse med MDS, er ikke fastslået. Uden for kliniske studier bør eltrombopag ikke anvendes til at behandle trombocytopeni i forbindelse med MDS.</w:t>
      </w:r>
    </w:p>
    <w:p w14:paraId="5EECA5DD" w14:textId="77777777" w:rsidR="00927B43" w:rsidRPr="00927B43" w:rsidRDefault="00927B43" w:rsidP="00927B43">
      <w:pPr>
        <w:tabs>
          <w:tab w:val="left" w:pos="851"/>
        </w:tabs>
        <w:ind w:left="851"/>
        <w:rPr>
          <w:sz w:val="24"/>
          <w:szCs w:val="24"/>
        </w:rPr>
      </w:pPr>
    </w:p>
    <w:p w14:paraId="37A3ED52" w14:textId="77777777" w:rsidR="00927B43" w:rsidRPr="00927B43" w:rsidRDefault="00927B43" w:rsidP="00927B43">
      <w:pPr>
        <w:tabs>
          <w:tab w:val="left" w:pos="851"/>
        </w:tabs>
        <w:ind w:left="851"/>
        <w:rPr>
          <w:sz w:val="24"/>
          <w:szCs w:val="24"/>
          <w:u w:val="single"/>
        </w:rPr>
      </w:pPr>
      <w:r w:rsidRPr="00927B43">
        <w:rPr>
          <w:sz w:val="24"/>
          <w:szCs w:val="24"/>
          <w:u w:val="single"/>
        </w:rPr>
        <w:t>Cytogenetiske anomalier og progression til MDS/AML hos patienter med SAA</w:t>
      </w:r>
    </w:p>
    <w:p w14:paraId="36EA60E0" w14:textId="77777777" w:rsidR="00927B43" w:rsidRPr="00927B43" w:rsidRDefault="00927B43" w:rsidP="00927B43">
      <w:pPr>
        <w:tabs>
          <w:tab w:val="left" w:pos="851"/>
        </w:tabs>
        <w:ind w:left="851"/>
        <w:rPr>
          <w:sz w:val="24"/>
          <w:szCs w:val="24"/>
        </w:rPr>
      </w:pPr>
      <w:r w:rsidRPr="00927B43">
        <w:rPr>
          <w:sz w:val="24"/>
          <w:szCs w:val="24"/>
        </w:rPr>
        <w:t xml:space="preserve">Det vides, at der forekommer cytogenetiske anomalier hos SAA-patienter. Det vides ikke, hvorvidt eltrombopag øger risikoen for cytogenetiske anomalier hos patienter med SAA. I </w:t>
      </w:r>
      <w:r w:rsidRPr="00927B43">
        <w:rPr>
          <w:sz w:val="24"/>
          <w:szCs w:val="24"/>
        </w:rPr>
        <w:lastRenderedPageBreak/>
        <w:t>det kliniske fase II refraktær SSA-studie med eltrombopag med en startdosis på 50 mg/dag (øget hver 2 uge til maksimalt 150 mg/dag) (ELT112523), blev nye cytogenetiske anomalier set hos 17,1 % af voksne patienter [7/41 (hvoraf 4 havde ændringer i kromosom 7)]. Mediantiden indtil en cytogenetisk anomali var 2,9 måneder i studiet.</w:t>
      </w:r>
    </w:p>
    <w:p w14:paraId="58935494" w14:textId="77777777" w:rsidR="00927B43" w:rsidRPr="00927B43" w:rsidRDefault="00927B43" w:rsidP="00927B43">
      <w:pPr>
        <w:tabs>
          <w:tab w:val="left" w:pos="851"/>
        </w:tabs>
        <w:ind w:left="851"/>
        <w:rPr>
          <w:sz w:val="24"/>
          <w:szCs w:val="24"/>
        </w:rPr>
      </w:pPr>
    </w:p>
    <w:p w14:paraId="27209E7D" w14:textId="77777777" w:rsidR="00927B43" w:rsidRPr="00927B43" w:rsidRDefault="00927B43" w:rsidP="00927B43">
      <w:pPr>
        <w:tabs>
          <w:tab w:val="left" w:pos="851"/>
        </w:tabs>
        <w:ind w:left="851"/>
        <w:rPr>
          <w:sz w:val="24"/>
          <w:szCs w:val="24"/>
        </w:rPr>
      </w:pPr>
      <w:r w:rsidRPr="00927B43">
        <w:rPr>
          <w:sz w:val="24"/>
          <w:szCs w:val="24"/>
        </w:rPr>
        <w:t xml:space="preserve">I det kliniske fase II-studie til refraktær SAA med eltrombopag ved en dosis på 150 mg/dag (med etnisk eller aldersrelaterede modifikationer som indiceret) (ELT116826), blev nye cytogenetiske anomalier set hos 22,6 % af voksne patienter [7/31 (hvoraf 3 havde ændringer i kromosom 7)]. Alle 7 patienter havde normal cytogenetik ved </w:t>
      </w:r>
      <w:r w:rsidRPr="00927B43">
        <w:rPr>
          <w:i/>
          <w:iCs/>
          <w:sz w:val="24"/>
          <w:szCs w:val="24"/>
        </w:rPr>
        <w:t>baseline</w:t>
      </w:r>
      <w:r w:rsidRPr="00927B43">
        <w:rPr>
          <w:sz w:val="24"/>
          <w:szCs w:val="24"/>
        </w:rPr>
        <w:t>. Seks patienter havde cytogenetisk anomalitet ved måned 3 af behandling med eltrombopag, og en patient havde cytogenetisk anomalitet ved måned 6.</w:t>
      </w:r>
    </w:p>
    <w:p w14:paraId="296CEA64" w14:textId="77777777" w:rsidR="00927B43" w:rsidRPr="00927B43" w:rsidRDefault="00927B43" w:rsidP="00927B43">
      <w:pPr>
        <w:tabs>
          <w:tab w:val="left" w:pos="851"/>
        </w:tabs>
        <w:ind w:left="851"/>
        <w:rPr>
          <w:sz w:val="24"/>
          <w:szCs w:val="24"/>
        </w:rPr>
      </w:pPr>
    </w:p>
    <w:p w14:paraId="5268D505" w14:textId="77777777" w:rsidR="00927B43" w:rsidRPr="00927B43" w:rsidRDefault="00927B43" w:rsidP="00927B43">
      <w:pPr>
        <w:tabs>
          <w:tab w:val="left" w:pos="851"/>
        </w:tabs>
        <w:ind w:left="851"/>
        <w:rPr>
          <w:sz w:val="24"/>
          <w:szCs w:val="24"/>
        </w:rPr>
      </w:pPr>
      <w:r w:rsidRPr="00927B43">
        <w:rPr>
          <w:sz w:val="24"/>
          <w:szCs w:val="24"/>
        </w:rPr>
        <w:t>I kliniske SAA-studier med eltrombopag blev 4 % af patienterne (5/133) diagnosticeret med MDS. Mediantiden, til diagnosen blev stillet, var 3 måneder fra behandlingsstart med eltrombopag.</w:t>
      </w:r>
    </w:p>
    <w:p w14:paraId="1AC100BA" w14:textId="77777777" w:rsidR="00927B43" w:rsidRPr="00927B43" w:rsidRDefault="00927B43" w:rsidP="00927B43">
      <w:pPr>
        <w:tabs>
          <w:tab w:val="left" w:pos="851"/>
        </w:tabs>
        <w:ind w:left="851"/>
        <w:rPr>
          <w:sz w:val="24"/>
          <w:szCs w:val="24"/>
        </w:rPr>
      </w:pPr>
    </w:p>
    <w:p w14:paraId="7945A639" w14:textId="77777777" w:rsidR="00927B43" w:rsidRPr="00927B43" w:rsidRDefault="00927B43" w:rsidP="00927B43">
      <w:pPr>
        <w:tabs>
          <w:tab w:val="left" w:pos="851"/>
        </w:tabs>
        <w:ind w:left="851"/>
        <w:rPr>
          <w:sz w:val="24"/>
          <w:szCs w:val="24"/>
        </w:rPr>
      </w:pPr>
      <w:r w:rsidRPr="00927B43">
        <w:rPr>
          <w:sz w:val="24"/>
          <w:szCs w:val="24"/>
        </w:rPr>
        <w:t>Hos SAA-patienter, som er refraktære over for eller tidligere er stærkt behandlede med immunsuppressiv behandling, anbefales det at udføre en cytogenetisk analyse af et knoglemarvsaspirat inden opstart af eltrombopag, efter 3 måneders behandling og efter yderligere 6 måneder. Hvis der ses nye cytogenetiske anomalier, skal det vurderes, hvorvidt det er hensigtsmæssigt at fortsætte eltrombopag.</w:t>
      </w:r>
    </w:p>
    <w:p w14:paraId="0006E3EE" w14:textId="77777777" w:rsidR="00927B43" w:rsidRPr="00927B43" w:rsidRDefault="00927B43" w:rsidP="00927B43">
      <w:pPr>
        <w:tabs>
          <w:tab w:val="left" w:pos="851"/>
        </w:tabs>
        <w:ind w:left="851"/>
        <w:rPr>
          <w:sz w:val="24"/>
          <w:szCs w:val="24"/>
        </w:rPr>
      </w:pPr>
    </w:p>
    <w:p w14:paraId="2362C175" w14:textId="77777777" w:rsidR="00927B43" w:rsidRPr="00927B43" w:rsidRDefault="00927B43" w:rsidP="00927B43">
      <w:pPr>
        <w:tabs>
          <w:tab w:val="left" w:pos="851"/>
        </w:tabs>
        <w:ind w:left="851"/>
        <w:rPr>
          <w:sz w:val="24"/>
          <w:szCs w:val="24"/>
          <w:u w:val="single"/>
        </w:rPr>
      </w:pPr>
      <w:r w:rsidRPr="00927B43">
        <w:rPr>
          <w:sz w:val="24"/>
          <w:szCs w:val="24"/>
          <w:u w:val="single"/>
        </w:rPr>
        <w:t>Okulære forandringer</w:t>
      </w:r>
    </w:p>
    <w:p w14:paraId="252F6F61" w14:textId="77777777" w:rsidR="00927B43" w:rsidRPr="00927B43" w:rsidRDefault="00927B43" w:rsidP="00927B43">
      <w:pPr>
        <w:tabs>
          <w:tab w:val="left" w:pos="851"/>
        </w:tabs>
        <w:ind w:left="851"/>
        <w:rPr>
          <w:sz w:val="24"/>
          <w:szCs w:val="24"/>
        </w:rPr>
      </w:pPr>
      <w:r w:rsidRPr="00927B43">
        <w:rPr>
          <w:sz w:val="24"/>
          <w:szCs w:val="24"/>
        </w:rPr>
        <w:t xml:space="preserve">Der er konstateret katarakt hos gnavere i toksikologiske studier med eltrombopag (se pkt. 5.3). I kontrollerede kliniske studier hos trombocytopeniske patienter med HCV, som fik interferon behandling (n = 1 439) blev der rapporteret progression af forud-eksisterende </w:t>
      </w:r>
      <w:r w:rsidRPr="00927B43">
        <w:rPr>
          <w:i/>
          <w:iCs/>
          <w:sz w:val="24"/>
          <w:szCs w:val="24"/>
        </w:rPr>
        <w:t>baseline</w:t>
      </w:r>
      <w:r w:rsidRPr="00927B43">
        <w:rPr>
          <w:sz w:val="24"/>
          <w:szCs w:val="24"/>
        </w:rPr>
        <w:t xml:space="preserve"> katarakt eller opstået katarakt hos 8 % af patienterne i eltrombopaggruppen og hos 5 % i placebogruppen. Retinal blødning, for det meste Grad 1 eller 2, er rapporteret for HCV-patienter, som fik interferon, ribavirin og eltrombopag (hos 2 % i eltrombopaggruppen og hos 2 % i placebogruppen). Blødning forekom på overfladen af retina (præretinal), under retina (subretinal) eller i det retinale væv. Rutinemæssig oftalmologisk monitorering af patienterne anbefales.</w:t>
      </w:r>
    </w:p>
    <w:p w14:paraId="27D09808" w14:textId="77777777" w:rsidR="00927B43" w:rsidRPr="00927B43" w:rsidRDefault="00927B43" w:rsidP="00927B43">
      <w:pPr>
        <w:tabs>
          <w:tab w:val="left" w:pos="851"/>
        </w:tabs>
        <w:ind w:left="851"/>
        <w:rPr>
          <w:sz w:val="24"/>
          <w:szCs w:val="24"/>
        </w:rPr>
      </w:pPr>
    </w:p>
    <w:p w14:paraId="086542CD" w14:textId="77777777" w:rsidR="00927B43" w:rsidRPr="00927B43" w:rsidRDefault="00927B43" w:rsidP="00927B43">
      <w:pPr>
        <w:tabs>
          <w:tab w:val="left" w:pos="851"/>
        </w:tabs>
        <w:ind w:left="851"/>
        <w:rPr>
          <w:sz w:val="24"/>
          <w:szCs w:val="24"/>
          <w:u w:val="single"/>
        </w:rPr>
      </w:pPr>
      <w:r w:rsidRPr="00927B43">
        <w:rPr>
          <w:sz w:val="24"/>
          <w:szCs w:val="24"/>
          <w:u w:val="single"/>
        </w:rPr>
        <w:t>QT/QTc-forlængelse</w:t>
      </w:r>
    </w:p>
    <w:p w14:paraId="0372C8AF" w14:textId="77777777" w:rsidR="00927B43" w:rsidRPr="00927B43" w:rsidRDefault="00927B43" w:rsidP="00927B43">
      <w:pPr>
        <w:tabs>
          <w:tab w:val="left" w:pos="851"/>
        </w:tabs>
        <w:ind w:left="851"/>
        <w:rPr>
          <w:sz w:val="24"/>
          <w:szCs w:val="24"/>
        </w:rPr>
      </w:pPr>
      <w:r w:rsidRPr="00927B43">
        <w:rPr>
          <w:sz w:val="24"/>
          <w:szCs w:val="24"/>
        </w:rPr>
        <w:t>Et QT-studie med raske frivillige, som fik 150 mg eltrombopag om dagen, viste ikke klinisk signifikant påvirkning af hjertets repolarisering. Forlængelse af QTc-intervallet er rapporteret i kliniske studier hos patienter med ITP og hos trombocytopeniske patienter med HCV. Den kliniske betydning af disse QTc-forlængelser er ukendt.</w:t>
      </w:r>
    </w:p>
    <w:p w14:paraId="6589A60F" w14:textId="77777777" w:rsidR="00927B43" w:rsidRPr="00927B43" w:rsidRDefault="00927B43" w:rsidP="00927B43">
      <w:pPr>
        <w:tabs>
          <w:tab w:val="left" w:pos="851"/>
        </w:tabs>
        <w:ind w:left="851"/>
        <w:rPr>
          <w:sz w:val="24"/>
          <w:szCs w:val="24"/>
        </w:rPr>
      </w:pPr>
    </w:p>
    <w:p w14:paraId="6CB46809" w14:textId="77777777" w:rsidR="00927B43" w:rsidRPr="00927B43" w:rsidRDefault="00927B43" w:rsidP="00927B43">
      <w:pPr>
        <w:tabs>
          <w:tab w:val="left" w:pos="851"/>
        </w:tabs>
        <w:ind w:left="851"/>
        <w:rPr>
          <w:sz w:val="24"/>
          <w:szCs w:val="24"/>
          <w:u w:val="single"/>
        </w:rPr>
      </w:pPr>
      <w:r w:rsidRPr="00927B43">
        <w:rPr>
          <w:sz w:val="24"/>
          <w:szCs w:val="24"/>
          <w:u w:val="single"/>
        </w:rPr>
        <w:t>Manglende respons på eltrombopag</w:t>
      </w:r>
    </w:p>
    <w:p w14:paraId="30B16AE2" w14:textId="77777777" w:rsidR="00927B43" w:rsidRPr="00927B43" w:rsidRDefault="00927B43" w:rsidP="00927B43">
      <w:pPr>
        <w:tabs>
          <w:tab w:val="left" w:pos="851"/>
        </w:tabs>
        <w:ind w:left="851"/>
        <w:rPr>
          <w:sz w:val="24"/>
          <w:szCs w:val="24"/>
        </w:rPr>
      </w:pPr>
      <w:r w:rsidRPr="00927B43">
        <w:rPr>
          <w:sz w:val="24"/>
          <w:szCs w:val="24"/>
        </w:rPr>
        <w:t>Ved problemer med manglende respons eller opretholdelse af trombocytresponset ved behandling med eltrombopag i det anbefalede dosisinterval, skal der søges efter årsagen til dette inklusive øget knoglemarvsretikulin.</w:t>
      </w:r>
    </w:p>
    <w:p w14:paraId="215E3213" w14:textId="77777777" w:rsidR="00927B43" w:rsidRPr="00927B43" w:rsidRDefault="00927B43" w:rsidP="00927B43">
      <w:pPr>
        <w:tabs>
          <w:tab w:val="left" w:pos="851"/>
        </w:tabs>
        <w:ind w:left="851"/>
        <w:rPr>
          <w:sz w:val="24"/>
          <w:szCs w:val="24"/>
        </w:rPr>
      </w:pPr>
    </w:p>
    <w:p w14:paraId="35B3D1CE" w14:textId="77777777" w:rsidR="00927B43" w:rsidRPr="00927B43" w:rsidRDefault="00927B43" w:rsidP="00927B43">
      <w:pPr>
        <w:tabs>
          <w:tab w:val="left" w:pos="851"/>
        </w:tabs>
        <w:ind w:left="851"/>
        <w:rPr>
          <w:sz w:val="24"/>
          <w:szCs w:val="24"/>
          <w:u w:val="single"/>
        </w:rPr>
      </w:pPr>
      <w:r w:rsidRPr="00927B43">
        <w:rPr>
          <w:sz w:val="24"/>
          <w:szCs w:val="24"/>
          <w:u w:val="single"/>
        </w:rPr>
        <w:t>Pædiatrisk population</w:t>
      </w:r>
    </w:p>
    <w:p w14:paraId="4D9EC004" w14:textId="77777777" w:rsidR="00927B43" w:rsidRPr="00927B43" w:rsidRDefault="00927B43" w:rsidP="00927B43">
      <w:pPr>
        <w:tabs>
          <w:tab w:val="left" w:pos="851"/>
        </w:tabs>
        <w:ind w:left="851"/>
        <w:rPr>
          <w:sz w:val="24"/>
          <w:szCs w:val="24"/>
        </w:rPr>
      </w:pPr>
      <w:r w:rsidRPr="00927B43">
        <w:rPr>
          <w:sz w:val="24"/>
          <w:szCs w:val="24"/>
        </w:rPr>
        <w:t>De ovenstående advarsler og forsigtighedsregler for ITP, gælder også for den pædiatriske population.</w:t>
      </w:r>
    </w:p>
    <w:p w14:paraId="550123F1" w14:textId="77777777" w:rsidR="00927B43" w:rsidRPr="00927B43" w:rsidRDefault="00927B43" w:rsidP="00927B43">
      <w:pPr>
        <w:tabs>
          <w:tab w:val="left" w:pos="851"/>
        </w:tabs>
        <w:ind w:left="851"/>
        <w:rPr>
          <w:sz w:val="24"/>
          <w:szCs w:val="24"/>
          <w:u w:val="single"/>
        </w:rPr>
      </w:pPr>
    </w:p>
    <w:p w14:paraId="27CCB091" w14:textId="77777777" w:rsidR="00927B43" w:rsidRPr="00927B43" w:rsidRDefault="00927B43" w:rsidP="00927B43">
      <w:pPr>
        <w:tabs>
          <w:tab w:val="left" w:pos="851"/>
        </w:tabs>
        <w:ind w:left="851"/>
        <w:rPr>
          <w:sz w:val="24"/>
          <w:szCs w:val="24"/>
          <w:u w:val="single"/>
        </w:rPr>
      </w:pPr>
      <w:r w:rsidRPr="00927B43">
        <w:rPr>
          <w:sz w:val="24"/>
          <w:szCs w:val="24"/>
          <w:u w:val="single"/>
        </w:rPr>
        <w:t>Påvirkning af laboratorieundersøgelser</w:t>
      </w:r>
    </w:p>
    <w:p w14:paraId="40DF4C38" w14:textId="77777777" w:rsidR="00927B43" w:rsidRPr="00927B43" w:rsidRDefault="00927B43" w:rsidP="00927B43">
      <w:pPr>
        <w:tabs>
          <w:tab w:val="left" w:pos="851"/>
        </w:tabs>
        <w:ind w:left="851"/>
        <w:rPr>
          <w:sz w:val="24"/>
          <w:szCs w:val="24"/>
        </w:rPr>
      </w:pPr>
      <w:r w:rsidRPr="00927B43">
        <w:rPr>
          <w:sz w:val="24"/>
          <w:szCs w:val="24"/>
        </w:rPr>
        <w:t xml:space="preserve">Eltrombopag er stærkt farvet og kan derfor potentielt påvirke visse laboratorieundersøgelser. Der er blevet rapporteret misfarvning af serum og påvirkning af </w:t>
      </w:r>
      <w:r w:rsidRPr="00927B43">
        <w:rPr>
          <w:sz w:val="24"/>
          <w:szCs w:val="24"/>
        </w:rPr>
        <w:lastRenderedPageBreak/>
        <w:t>total bilirubin- og kreatininundersøgelser hos patienter, der tager eltrombopag. Hvis laboratorieresultater og kliniske observationer er modstridende, kan gentagen undersøgelse ved hjælp af en anden metode muligvis hjælpe med at bestemme resultaternes validitet.</w:t>
      </w:r>
    </w:p>
    <w:p w14:paraId="517BD995" w14:textId="77777777" w:rsidR="00927B43" w:rsidRPr="00927B43" w:rsidRDefault="00927B43" w:rsidP="00927B43">
      <w:pPr>
        <w:tabs>
          <w:tab w:val="left" w:pos="851"/>
        </w:tabs>
        <w:ind w:left="851"/>
        <w:rPr>
          <w:sz w:val="24"/>
          <w:szCs w:val="24"/>
        </w:rPr>
      </w:pPr>
    </w:p>
    <w:p w14:paraId="17570FC9" w14:textId="77777777" w:rsidR="00927B43" w:rsidRPr="00927B43" w:rsidRDefault="00927B43" w:rsidP="00927B43">
      <w:pPr>
        <w:tabs>
          <w:tab w:val="left" w:pos="851"/>
        </w:tabs>
        <w:ind w:left="851"/>
        <w:rPr>
          <w:sz w:val="24"/>
          <w:szCs w:val="24"/>
          <w:u w:val="single"/>
        </w:rPr>
      </w:pPr>
      <w:r w:rsidRPr="00927B43">
        <w:rPr>
          <w:sz w:val="24"/>
          <w:szCs w:val="24"/>
          <w:u w:val="single"/>
        </w:rPr>
        <w:t>Natriumindhold</w:t>
      </w:r>
    </w:p>
    <w:p w14:paraId="1E67B4E6" w14:textId="77777777" w:rsidR="00927B43" w:rsidRPr="00927B43" w:rsidRDefault="00927B43" w:rsidP="00927B43">
      <w:pPr>
        <w:tabs>
          <w:tab w:val="left" w:pos="851"/>
        </w:tabs>
        <w:ind w:left="851"/>
        <w:rPr>
          <w:sz w:val="24"/>
          <w:szCs w:val="24"/>
        </w:rPr>
      </w:pPr>
      <w:r w:rsidRPr="00927B43">
        <w:rPr>
          <w:sz w:val="24"/>
          <w:szCs w:val="24"/>
        </w:rPr>
        <w:t>Dette lægemiddel indeholder mindre end 1 mmol (23 mg) natrium pr. filmovertrukken tablet, dvs. det er i det væsentlige natriumfrit.</w:t>
      </w:r>
    </w:p>
    <w:p w14:paraId="6479E70B" w14:textId="77777777" w:rsidR="009260DE" w:rsidRPr="00C84483" w:rsidRDefault="009260DE" w:rsidP="009260DE">
      <w:pPr>
        <w:tabs>
          <w:tab w:val="left" w:pos="851"/>
        </w:tabs>
        <w:ind w:left="851"/>
        <w:rPr>
          <w:sz w:val="24"/>
          <w:szCs w:val="24"/>
        </w:rPr>
      </w:pPr>
    </w:p>
    <w:p w14:paraId="33A174C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F34E340" w14:textId="77777777" w:rsidR="0049304C" w:rsidRDefault="0049304C" w:rsidP="00927B43">
      <w:pPr>
        <w:tabs>
          <w:tab w:val="left" w:pos="851"/>
        </w:tabs>
        <w:ind w:left="851"/>
        <w:rPr>
          <w:sz w:val="24"/>
          <w:szCs w:val="24"/>
          <w:u w:val="single"/>
        </w:rPr>
      </w:pPr>
    </w:p>
    <w:p w14:paraId="47CBB883" w14:textId="188E8945" w:rsidR="00927B43" w:rsidRPr="00927B43" w:rsidRDefault="00927B43" w:rsidP="00927B43">
      <w:pPr>
        <w:tabs>
          <w:tab w:val="left" w:pos="851"/>
        </w:tabs>
        <w:ind w:left="851"/>
        <w:rPr>
          <w:sz w:val="24"/>
          <w:szCs w:val="24"/>
          <w:u w:val="single"/>
        </w:rPr>
      </w:pPr>
      <w:r w:rsidRPr="00927B43">
        <w:rPr>
          <w:sz w:val="24"/>
          <w:szCs w:val="24"/>
          <w:u w:val="single"/>
        </w:rPr>
        <w:t>Effekt af eltrombopag på andre lægemidler</w:t>
      </w:r>
    </w:p>
    <w:p w14:paraId="6D724DF5" w14:textId="77777777" w:rsidR="00927B43" w:rsidRPr="00927B43" w:rsidRDefault="00927B43" w:rsidP="00927B43">
      <w:pPr>
        <w:tabs>
          <w:tab w:val="left" w:pos="851"/>
        </w:tabs>
        <w:ind w:left="851"/>
        <w:rPr>
          <w:sz w:val="24"/>
          <w:szCs w:val="24"/>
          <w:u w:val="single"/>
        </w:rPr>
      </w:pPr>
    </w:p>
    <w:p w14:paraId="55259E13"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HMG-CoA reduktasehæmmere</w:t>
      </w:r>
    </w:p>
    <w:p w14:paraId="4580CDD1" w14:textId="77777777" w:rsidR="00927B43" w:rsidRPr="00927B43" w:rsidRDefault="00927B43" w:rsidP="00927B43">
      <w:pPr>
        <w:tabs>
          <w:tab w:val="left" w:pos="851"/>
        </w:tabs>
        <w:ind w:left="851"/>
        <w:rPr>
          <w:sz w:val="24"/>
          <w:szCs w:val="24"/>
        </w:rPr>
      </w:pPr>
      <w:r w:rsidRPr="00927B43">
        <w:rPr>
          <w:sz w:val="24"/>
          <w:szCs w:val="24"/>
        </w:rPr>
        <w:t>Administration af eltrombopag 75 mg én gang daglig i 5 dage til 39 raske voksne, sammen med en enkelt 10 mg dosis af OATP1B1- og BCRP-substratet rosuvastatin, øgede plasma-rosuvastatin C</w:t>
      </w:r>
      <w:r w:rsidRPr="00927B43">
        <w:rPr>
          <w:sz w:val="24"/>
          <w:szCs w:val="24"/>
          <w:vertAlign w:val="subscript"/>
        </w:rPr>
        <w:t xml:space="preserve">max </w:t>
      </w:r>
      <w:r w:rsidRPr="00927B43">
        <w:rPr>
          <w:sz w:val="24"/>
          <w:szCs w:val="24"/>
        </w:rPr>
        <w:t>med 103 % (90 % konfidensinterval [CI]: 82-126 %) og AUC</w:t>
      </w:r>
      <w:r w:rsidRPr="00927B43">
        <w:rPr>
          <w:sz w:val="24"/>
          <w:szCs w:val="24"/>
          <w:vertAlign w:val="subscript"/>
        </w:rPr>
        <w:t>0-∞</w:t>
      </w:r>
      <w:r w:rsidRPr="00927B43">
        <w:rPr>
          <w:sz w:val="24"/>
          <w:szCs w:val="24"/>
        </w:rPr>
        <w:t xml:space="preserve"> med 55 % (90 % CI: 42-69 %). 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14:paraId="7964AD74" w14:textId="77777777" w:rsidR="00927B43" w:rsidRPr="00927B43" w:rsidRDefault="00927B43" w:rsidP="00927B43">
      <w:pPr>
        <w:tabs>
          <w:tab w:val="left" w:pos="851"/>
        </w:tabs>
        <w:ind w:left="851"/>
        <w:rPr>
          <w:sz w:val="24"/>
          <w:szCs w:val="24"/>
        </w:rPr>
      </w:pPr>
    </w:p>
    <w:p w14:paraId="265F35E0"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OATP1B1- og BCRP-substrater</w:t>
      </w:r>
    </w:p>
    <w:p w14:paraId="5203AAB1" w14:textId="77777777" w:rsidR="00927B43" w:rsidRPr="00927B43" w:rsidRDefault="00927B43" w:rsidP="00927B43">
      <w:pPr>
        <w:tabs>
          <w:tab w:val="left" w:pos="851"/>
        </w:tabs>
        <w:ind w:left="851"/>
        <w:rPr>
          <w:sz w:val="24"/>
          <w:szCs w:val="24"/>
        </w:rPr>
      </w:pPr>
      <w:r w:rsidRPr="00927B43">
        <w:rPr>
          <w:sz w:val="24"/>
          <w:szCs w:val="24"/>
        </w:rPr>
        <w:t>Samtidig administration af eltrombopag og OATP1B1-substrater (f.eks. methotrexat) og BCRP-substrater (f.eks. topotecan og methotrexat) skal foregå med forsigtighed (se pkt. 5.2).</w:t>
      </w:r>
    </w:p>
    <w:p w14:paraId="71B8194C" w14:textId="77777777" w:rsidR="00927B43" w:rsidRPr="00927B43" w:rsidRDefault="00927B43" w:rsidP="00927B43">
      <w:pPr>
        <w:tabs>
          <w:tab w:val="left" w:pos="851"/>
        </w:tabs>
        <w:ind w:left="851"/>
        <w:rPr>
          <w:sz w:val="24"/>
          <w:szCs w:val="24"/>
        </w:rPr>
      </w:pPr>
    </w:p>
    <w:p w14:paraId="3EAF6003"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CYP-substrater</w:t>
      </w:r>
    </w:p>
    <w:p w14:paraId="37F10E61" w14:textId="12D2A15C" w:rsidR="00927B43" w:rsidRPr="00927B43" w:rsidRDefault="00927B43" w:rsidP="00927B43">
      <w:pPr>
        <w:tabs>
          <w:tab w:val="left" w:pos="851"/>
        </w:tabs>
        <w:ind w:left="851"/>
        <w:rPr>
          <w:sz w:val="24"/>
          <w:szCs w:val="24"/>
        </w:rPr>
      </w:pPr>
      <w:r w:rsidRPr="00927B43">
        <w:rPr>
          <w:sz w:val="24"/>
          <w:szCs w:val="24"/>
        </w:rPr>
        <w:t>I st</w:t>
      </w:r>
      <w:r w:rsidR="005F3B3D">
        <w:rPr>
          <w:sz w:val="24"/>
          <w:szCs w:val="24"/>
        </w:rPr>
        <w:t>u</w:t>
      </w:r>
      <w:r w:rsidRPr="00927B43">
        <w:rPr>
          <w:sz w:val="24"/>
          <w:szCs w:val="24"/>
        </w:rPr>
        <w:t xml:space="preserve">dier med humane levermikrosomer sås ingen </w:t>
      </w:r>
      <w:r w:rsidRPr="00927B43">
        <w:rPr>
          <w:i/>
          <w:iCs/>
          <w:sz w:val="24"/>
          <w:szCs w:val="24"/>
        </w:rPr>
        <w:t>in vitro</w:t>
      </w:r>
      <w:r w:rsidRPr="00927B43">
        <w:rPr>
          <w:sz w:val="24"/>
          <w:szCs w:val="24"/>
        </w:rPr>
        <w:t>-hæmning med eltrombopag (op til 100 μM) af følgende CYP-enzymer: 1A2, 2A6, 2C19, 2D6, 2E1, 3A4/5 og 4A9/11 med paclitaxel og diclofenac som substrater, mens eltrombopag hæmmede CYP2C8 og CYP2C9. Administration af eltrombopag 75 mg én gang daglig i 7 dage til 24 raske mænd, hverken hæmmede eller inducerede metaboliseringen af substrater for 1A2 (caffein), 2C19 (omeprazol), 2C9 (fluriprofen) eller 3A4 (midazolam) hos mennesker. Der forventes ingen klinisk signifikante interaktioner ved samtidig administration af eltrombopag og CYP450-substrater (se pkt. 5.2).</w:t>
      </w:r>
    </w:p>
    <w:p w14:paraId="35C1648C" w14:textId="77777777" w:rsidR="00927B43" w:rsidRPr="00927B43" w:rsidRDefault="00927B43" w:rsidP="00927B43">
      <w:pPr>
        <w:tabs>
          <w:tab w:val="left" w:pos="851"/>
        </w:tabs>
        <w:ind w:left="851"/>
        <w:rPr>
          <w:sz w:val="24"/>
          <w:szCs w:val="24"/>
        </w:rPr>
      </w:pPr>
    </w:p>
    <w:p w14:paraId="573B295F"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HCV-proteasehæmmere</w:t>
      </w:r>
    </w:p>
    <w:p w14:paraId="3D5A616F" w14:textId="77777777" w:rsidR="00927B43" w:rsidRPr="00927B43" w:rsidRDefault="00927B43" w:rsidP="00927B43">
      <w:pPr>
        <w:tabs>
          <w:tab w:val="left" w:pos="851"/>
        </w:tabs>
        <w:ind w:left="851"/>
        <w:rPr>
          <w:sz w:val="24"/>
          <w:szCs w:val="24"/>
        </w:rPr>
      </w:pPr>
      <w:r w:rsidRPr="00927B43">
        <w:rPr>
          <w:sz w:val="24"/>
          <w:szCs w:val="24"/>
        </w:rPr>
        <w:t xml:space="preserve">Dosisjustering er ikke nødvendig, hverken når eltrombopag administreres sammen med telaprevir eller bonceprevir. Samtidig administration af en enkelt dosis eltrombopag på 200 mg og telaprevir 750 mg hver 8. time ændrede ikke plasmaniveauerne af telaprevir. </w:t>
      </w:r>
    </w:p>
    <w:p w14:paraId="4F58B0EC" w14:textId="77777777" w:rsidR="00927B43" w:rsidRPr="00927B43" w:rsidRDefault="00927B43" w:rsidP="00927B43">
      <w:pPr>
        <w:tabs>
          <w:tab w:val="left" w:pos="851"/>
        </w:tabs>
        <w:ind w:left="851"/>
        <w:rPr>
          <w:sz w:val="24"/>
          <w:szCs w:val="24"/>
        </w:rPr>
      </w:pPr>
    </w:p>
    <w:p w14:paraId="18882029" w14:textId="77777777" w:rsidR="00927B43" w:rsidRPr="00927B43" w:rsidRDefault="00927B43" w:rsidP="00927B43">
      <w:pPr>
        <w:tabs>
          <w:tab w:val="left" w:pos="851"/>
        </w:tabs>
        <w:ind w:left="851"/>
        <w:rPr>
          <w:sz w:val="24"/>
          <w:szCs w:val="24"/>
        </w:rPr>
      </w:pPr>
      <w:r w:rsidRPr="00927B43">
        <w:rPr>
          <w:sz w:val="24"/>
          <w:szCs w:val="24"/>
        </w:rPr>
        <w:t>Samtidig administration af en enkelt dosis eltrombopag på 200 mg og boceprevir 800 mg hver 8. time ændrede ikke plasma-boceprevir-AUC</w:t>
      </w:r>
      <w:r w:rsidRPr="00927B43">
        <w:rPr>
          <w:sz w:val="24"/>
          <w:szCs w:val="24"/>
          <w:vertAlign w:val="subscript"/>
        </w:rPr>
        <w:t>(0-τ)</w:t>
      </w:r>
      <w:r w:rsidRPr="00927B43">
        <w:rPr>
          <w:sz w:val="24"/>
          <w:szCs w:val="24"/>
        </w:rPr>
        <w:t>, men øgede C</w:t>
      </w:r>
      <w:r w:rsidRPr="00927B43">
        <w:rPr>
          <w:sz w:val="24"/>
          <w:szCs w:val="24"/>
          <w:vertAlign w:val="subscript"/>
        </w:rPr>
        <w:t>max</w:t>
      </w:r>
      <w:r w:rsidRPr="00927B43">
        <w:rPr>
          <w:sz w:val="24"/>
          <w:szCs w:val="24"/>
        </w:rPr>
        <w:t xml:space="preserve"> med 20 % og nedsatte C</w:t>
      </w:r>
      <w:r w:rsidRPr="00927B43">
        <w:rPr>
          <w:sz w:val="24"/>
          <w:szCs w:val="24"/>
          <w:vertAlign w:val="subscript"/>
        </w:rPr>
        <w:t>min</w:t>
      </w:r>
      <w:r w:rsidRPr="00927B43">
        <w:rPr>
          <w:sz w:val="24"/>
          <w:szCs w:val="24"/>
        </w:rPr>
        <w:t xml:space="preserve"> med 32 %. Den kliniske relevans af den lavere C</w:t>
      </w:r>
      <w:r w:rsidRPr="00927B43">
        <w:rPr>
          <w:sz w:val="24"/>
          <w:szCs w:val="24"/>
          <w:vertAlign w:val="subscript"/>
        </w:rPr>
        <w:t>min</w:t>
      </w:r>
      <w:r w:rsidRPr="00927B43">
        <w:rPr>
          <w:sz w:val="24"/>
          <w:szCs w:val="24"/>
        </w:rPr>
        <w:t xml:space="preserve"> er ikke undersøgt, og øget klinisk monitorering og måling af laboratorieværdier for HCV-suppression anbefales.</w:t>
      </w:r>
    </w:p>
    <w:p w14:paraId="394670E1" w14:textId="15F4F362" w:rsidR="005F3B3D" w:rsidRDefault="00927B43" w:rsidP="00927B43">
      <w:pPr>
        <w:tabs>
          <w:tab w:val="left" w:pos="851"/>
        </w:tabs>
        <w:ind w:left="851"/>
        <w:rPr>
          <w:sz w:val="24"/>
          <w:szCs w:val="24"/>
        </w:rPr>
      </w:pPr>
      <w:r w:rsidRPr="00927B43">
        <w:rPr>
          <w:sz w:val="24"/>
          <w:szCs w:val="24"/>
        </w:rPr>
        <w:t xml:space="preserve"> </w:t>
      </w:r>
    </w:p>
    <w:p w14:paraId="7129B3F7" w14:textId="77777777" w:rsidR="005F3B3D" w:rsidRDefault="005F3B3D">
      <w:pPr>
        <w:rPr>
          <w:sz w:val="24"/>
          <w:szCs w:val="24"/>
        </w:rPr>
      </w:pPr>
      <w:r>
        <w:rPr>
          <w:sz w:val="24"/>
          <w:szCs w:val="24"/>
        </w:rPr>
        <w:br w:type="page"/>
      </w:r>
    </w:p>
    <w:p w14:paraId="48F2640C" w14:textId="77777777" w:rsidR="00927B43" w:rsidRPr="00927B43" w:rsidRDefault="00927B43" w:rsidP="00927B43">
      <w:pPr>
        <w:tabs>
          <w:tab w:val="left" w:pos="851"/>
        </w:tabs>
        <w:ind w:left="851"/>
        <w:rPr>
          <w:sz w:val="24"/>
          <w:szCs w:val="24"/>
        </w:rPr>
      </w:pPr>
    </w:p>
    <w:p w14:paraId="5E65331D" w14:textId="77777777" w:rsidR="00927B43" w:rsidRPr="00927B43" w:rsidRDefault="00927B43" w:rsidP="00927B43">
      <w:pPr>
        <w:tabs>
          <w:tab w:val="left" w:pos="851"/>
        </w:tabs>
        <w:ind w:left="851"/>
        <w:rPr>
          <w:sz w:val="24"/>
          <w:szCs w:val="24"/>
          <w:u w:val="single"/>
        </w:rPr>
      </w:pPr>
      <w:r w:rsidRPr="00927B43">
        <w:rPr>
          <w:sz w:val="24"/>
          <w:szCs w:val="24"/>
          <w:u w:val="single"/>
        </w:rPr>
        <w:t>Effekt af andre lægemidler på eltrombopag</w:t>
      </w:r>
    </w:p>
    <w:p w14:paraId="6B66D565" w14:textId="77777777" w:rsidR="00927B43" w:rsidRPr="00927B43" w:rsidRDefault="00927B43" w:rsidP="00927B43">
      <w:pPr>
        <w:tabs>
          <w:tab w:val="left" w:pos="851"/>
        </w:tabs>
        <w:ind w:left="851"/>
        <w:rPr>
          <w:sz w:val="24"/>
          <w:szCs w:val="24"/>
          <w:u w:val="single"/>
        </w:rPr>
      </w:pPr>
    </w:p>
    <w:p w14:paraId="6315792D"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Ciclosporin</w:t>
      </w:r>
    </w:p>
    <w:p w14:paraId="4B9F064F" w14:textId="77777777" w:rsidR="00927B43" w:rsidRPr="00927B43" w:rsidRDefault="00927B43" w:rsidP="00927B43">
      <w:pPr>
        <w:tabs>
          <w:tab w:val="left" w:pos="851"/>
        </w:tabs>
        <w:ind w:left="851"/>
        <w:rPr>
          <w:sz w:val="24"/>
          <w:szCs w:val="24"/>
        </w:rPr>
      </w:pPr>
      <w:r w:rsidRPr="00927B43">
        <w:rPr>
          <w:sz w:val="24"/>
          <w:szCs w:val="24"/>
        </w:rPr>
        <w:t>Ved samtidig adminstration af 200 mg og 600 mg ciclosporin (en BCRP-hæmmer) blev der observeret et fald i eksponeringen af eltrombopag (se pkt. 5.2). Samtidig administration af 200 mg ciclosporin reducerede eltrombopags C</w:t>
      </w:r>
      <w:r w:rsidRPr="00927B43">
        <w:rPr>
          <w:sz w:val="24"/>
          <w:szCs w:val="24"/>
          <w:vertAlign w:val="subscript"/>
        </w:rPr>
        <w:t>max</w:t>
      </w:r>
      <w:r w:rsidRPr="00927B43">
        <w:rPr>
          <w:sz w:val="24"/>
          <w:szCs w:val="24"/>
        </w:rPr>
        <w:t xml:space="preserve"> og AUC</w:t>
      </w:r>
      <w:r w:rsidRPr="00927B43">
        <w:rPr>
          <w:sz w:val="24"/>
          <w:szCs w:val="24"/>
          <w:vertAlign w:val="subscript"/>
        </w:rPr>
        <w:t>0-∞</w:t>
      </w:r>
      <w:r w:rsidRPr="00927B43">
        <w:rPr>
          <w:sz w:val="24"/>
          <w:szCs w:val="24"/>
        </w:rPr>
        <w:t xml:space="preserve"> med henholdsvis 25 % og 18 %. Samtidig administration af 600 mg ciclosporin reducerede eltrombopags C</w:t>
      </w:r>
      <w:r w:rsidRPr="00927B43">
        <w:rPr>
          <w:sz w:val="24"/>
          <w:szCs w:val="24"/>
          <w:vertAlign w:val="subscript"/>
        </w:rPr>
        <w:t>max</w:t>
      </w:r>
      <w:r w:rsidRPr="00927B43">
        <w:rPr>
          <w:sz w:val="24"/>
          <w:szCs w:val="24"/>
        </w:rPr>
        <w:t xml:space="preserve"> og AUC</w:t>
      </w:r>
      <w:r w:rsidRPr="00927B43">
        <w:rPr>
          <w:sz w:val="24"/>
          <w:szCs w:val="24"/>
          <w:vertAlign w:val="subscript"/>
        </w:rPr>
        <w:t>0-∞</w:t>
      </w:r>
      <w:r w:rsidRPr="00927B43">
        <w:rPr>
          <w:sz w:val="24"/>
          <w:szCs w:val="24"/>
        </w:rPr>
        <w:t xml:space="preserve"> med henholdsvis 39 % og 24 %. 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r w:rsidRPr="00927B43">
        <w:rPr>
          <w:sz w:val="24"/>
          <w:szCs w:val="24"/>
          <w:vertAlign w:val="subscript"/>
        </w:rPr>
        <w:t xml:space="preserve"> </w:t>
      </w:r>
    </w:p>
    <w:p w14:paraId="2EC1EA14" w14:textId="77777777" w:rsidR="00927B43" w:rsidRPr="00927B43" w:rsidRDefault="00927B43" w:rsidP="00927B43">
      <w:pPr>
        <w:tabs>
          <w:tab w:val="left" w:pos="851"/>
        </w:tabs>
        <w:ind w:left="851"/>
        <w:rPr>
          <w:sz w:val="24"/>
          <w:szCs w:val="24"/>
        </w:rPr>
      </w:pPr>
    </w:p>
    <w:p w14:paraId="603DD1E3"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Polyvalente kationer (chelering)</w:t>
      </w:r>
    </w:p>
    <w:p w14:paraId="1578A386" w14:textId="77777777" w:rsidR="00927B43" w:rsidRPr="00927B43" w:rsidRDefault="00927B43" w:rsidP="00927B43">
      <w:pPr>
        <w:tabs>
          <w:tab w:val="left" w:pos="851"/>
        </w:tabs>
        <w:ind w:left="851"/>
        <w:rPr>
          <w:sz w:val="24"/>
          <w:szCs w:val="24"/>
        </w:rPr>
      </w:pPr>
      <w:r w:rsidRPr="00927B43">
        <w:rPr>
          <w:sz w:val="24"/>
          <w:szCs w:val="24"/>
        </w:rPr>
        <w:t>Eltrombopag chelerer med polyvalente kationer som f.eks. jern, calcium, magnesium, aluminium, selen og zink. Administration af en enkelt dosis eltrombopag 75 mg med et polyvalent kation-holdigt antacida (1524 mg aluminiumhydroxid og 1425 mg magnesiumcarbonat) nedsatte plasmaeltrombopag- AUC</w:t>
      </w:r>
      <w:r w:rsidRPr="00927B43">
        <w:rPr>
          <w:sz w:val="24"/>
          <w:szCs w:val="24"/>
          <w:vertAlign w:val="subscript"/>
        </w:rPr>
        <w:t>0-∞</w:t>
      </w:r>
      <w:r w:rsidRPr="00927B43">
        <w:rPr>
          <w:sz w:val="24"/>
          <w:szCs w:val="24"/>
        </w:rPr>
        <w:t xml:space="preserve"> med 70 % (90 % CI: 64 %, 76 %) og C</w:t>
      </w:r>
      <w:r w:rsidRPr="00927B43">
        <w:rPr>
          <w:sz w:val="24"/>
          <w:szCs w:val="24"/>
          <w:vertAlign w:val="subscript"/>
        </w:rPr>
        <w:t>max</w:t>
      </w:r>
      <w:r w:rsidRPr="00927B43">
        <w:rPr>
          <w:sz w:val="24"/>
          <w:szCs w:val="24"/>
        </w:rPr>
        <w:t xml:space="preserve"> med 70 % (90 % CI: 62 %, 76 %). Eltrombopag skal tages mindst to timer før eller fire timer efter produkter, såsom antacida, mejeriprodukter eller mineraltilskud, der indeholder polyvalente kationer, for at undgå en signifikant reducering af absorptionen af eltrombopag pga. chelering (se pkt. 4.2 og 5.2).</w:t>
      </w:r>
    </w:p>
    <w:p w14:paraId="50261230" w14:textId="77777777" w:rsidR="00927B43" w:rsidRPr="00927B43" w:rsidRDefault="00927B43" w:rsidP="00927B43">
      <w:pPr>
        <w:tabs>
          <w:tab w:val="left" w:pos="851"/>
        </w:tabs>
        <w:ind w:left="851"/>
        <w:rPr>
          <w:sz w:val="24"/>
          <w:szCs w:val="24"/>
        </w:rPr>
      </w:pPr>
    </w:p>
    <w:p w14:paraId="5F94925A"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Lopinavir/ritonavir</w:t>
      </w:r>
    </w:p>
    <w:p w14:paraId="09F20AE3" w14:textId="77777777" w:rsidR="00927B43" w:rsidRPr="00927B43" w:rsidRDefault="00927B43" w:rsidP="00927B43">
      <w:pPr>
        <w:tabs>
          <w:tab w:val="left" w:pos="851"/>
        </w:tabs>
        <w:ind w:left="851"/>
        <w:rPr>
          <w:sz w:val="24"/>
          <w:szCs w:val="24"/>
        </w:rPr>
      </w:pPr>
      <w:r w:rsidRPr="00927B43">
        <w:rPr>
          <w:sz w:val="24"/>
          <w:szCs w:val="24"/>
        </w:rPr>
        <w:t>Samtidig administration af eltrombopag og lopinavir/ritonavir kan medføre et fald i koncentrationen af eltrombopag. Et studie med 40 raske frivillige viste, at samtidig administration af en enkelt 100 mg dosis af eltrombopag og en gentagen dosis lopinavir/ritonavir 400/100 mg to gange daglig, resulterede i en reduktion af plasma-eltrombopag- AUC</w:t>
      </w:r>
      <w:r w:rsidRPr="00927B43">
        <w:rPr>
          <w:sz w:val="24"/>
          <w:szCs w:val="24"/>
          <w:vertAlign w:val="subscript"/>
        </w:rPr>
        <w:t>0-∞</w:t>
      </w:r>
      <w:r w:rsidRPr="00927B43">
        <w:rPr>
          <w:sz w:val="24"/>
          <w:szCs w:val="24"/>
        </w:rPr>
        <w:t xml:space="preserve"> med 17 % (90 % CI: 6,6 %, 26,6 %). Derfor bør samtidig administration af eltrombopag og lopinavir/ritonavir ske med forsigtighed. Trombocyttallet skal monitoreres tæt for at sikre den mest hensigtsmæssige dosis af eltrombopag, når lopinavir/ritonavir-behandling påbegyndes eller stoppes.</w:t>
      </w:r>
    </w:p>
    <w:p w14:paraId="25986615" w14:textId="77777777" w:rsidR="00927B43" w:rsidRPr="00927B43" w:rsidRDefault="00927B43" w:rsidP="00927B43">
      <w:pPr>
        <w:tabs>
          <w:tab w:val="left" w:pos="851"/>
        </w:tabs>
        <w:ind w:left="851"/>
        <w:rPr>
          <w:sz w:val="24"/>
          <w:szCs w:val="24"/>
        </w:rPr>
      </w:pPr>
    </w:p>
    <w:p w14:paraId="6290EF45"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CYP1A2- og CYP2C8-hæmmere og -induktorer</w:t>
      </w:r>
    </w:p>
    <w:p w14:paraId="1C590628" w14:textId="77777777" w:rsidR="00927B43" w:rsidRPr="00927B43" w:rsidRDefault="00927B43" w:rsidP="00927B43">
      <w:pPr>
        <w:tabs>
          <w:tab w:val="left" w:pos="851"/>
        </w:tabs>
        <w:ind w:left="851"/>
        <w:rPr>
          <w:sz w:val="24"/>
          <w:szCs w:val="24"/>
        </w:rPr>
      </w:pPr>
      <w:r w:rsidRPr="00927B43">
        <w:rPr>
          <w:sz w:val="24"/>
          <w:szCs w:val="24"/>
        </w:rPr>
        <w:t xml:space="preserve">Eltrombopag metaboliseres via mange </w:t>
      </w:r>
      <w:r w:rsidRPr="00927B43">
        <w:rPr>
          <w:i/>
          <w:iCs/>
          <w:sz w:val="24"/>
          <w:szCs w:val="24"/>
        </w:rPr>
        <w:t>pathways</w:t>
      </w:r>
      <w:r w:rsidRPr="00927B43">
        <w:rPr>
          <w:sz w:val="24"/>
          <w:szCs w:val="24"/>
        </w:rPr>
        <w:t>, herunder CYP1A2, CYP2C8, UGT1A1 og UGT1A3 (se pkt. 5.2). Lægemidler, der hæmmer eller inducerer et enkelt enzym, påvirker med lille sandsynlighed signifikant plasmakoncentrationen af eltrombopag, hvorimod lægemidler, der hæmmer eller inducerer flere enzymer, potentialt kan øge (f.eks. fluvoxamin) eller sænke (f.eks. rifampicin) koncentrationen af eltrombopag.</w:t>
      </w:r>
    </w:p>
    <w:p w14:paraId="1E4DFD62" w14:textId="77777777" w:rsidR="00927B43" w:rsidRPr="00927B43" w:rsidRDefault="00927B43" w:rsidP="00927B43">
      <w:pPr>
        <w:tabs>
          <w:tab w:val="left" w:pos="851"/>
        </w:tabs>
        <w:ind w:left="851"/>
        <w:rPr>
          <w:sz w:val="24"/>
          <w:szCs w:val="24"/>
        </w:rPr>
      </w:pPr>
    </w:p>
    <w:p w14:paraId="30FE4BB4" w14:textId="77777777" w:rsidR="00927B43" w:rsidRPr="00927B43" w:rsidRDefault="00927B43" w:rsidP="00927B43">
      <w:pPr>
        <w:tabs>
          <w:tab w:val="left" w:pos="851"/>
        </w:tabs>
        <w:ind w:left="851"/>
        <w:rPr>
          <w:i/>
          <w:iCs/>
          <w:sz w:val="24"/>
          <w:szCs w:val="24"/>
          <w:u w:val="single"/>
        </w:rPr>
      </w:pPr>
      <w:r w:rsidRPr="00927B43">
        <w:rPr>
          <w:i/>
          <w:iCs/>
          <w:sz w:val="24"/>
          <w:szCs w:val="24"/>
          <w:u w:val="single"/>
        </w:rPr>
        <w:t>HCV-proteasehæmmere</w:t>
      </w:r>
    </w:p>
    <w:p w14:paraId="0B34FB21" w14:textId="77777777" w:rsidR="00927B43" w:rsidRPr="00927B43" w:rsidRDefault="00927B43" w:rsidP="00927B43">
      <w:pPr>
        <w:tabs>
          <w:tab w:val="left" w:pos="851"/>
        </w:tabs>
        <w:ind w:left="851"/>
        <w:rPr>
          <w:sz w:val="24"/>
          <w:szCs w:val="24"/>
        </w:rPr>
      </w:pPr>
      <w:r w:rsidRPr="00927B43">
        <w:rPr>
          <w:sz w:val="24"/>
          <w:szCs w:val="24"/>
        </w:rPr>
        <w:t>Resultater af interaktion mellem lægemidler i et farmakokinetisk studie viste at co-administration med gentagne doser af boceprevir 800 mg hver 8. time eller telaprevir 750 mg hver 8. time med en enkelt dosis af eltrombopag 200 mg ikke ændrede plasmaeksponeringen af eltrombopag til en grad, der var klinisk signifikant.</w:t>
      </w:r>
    </w:p>
    <w:p w14:paraId="0A92C6FB" w14:textId="77777777" w:rsidR="00927B43" w:rsidRPr="00927B43" w:rsidRDefault="00927B43" w:rsidP="00927B43">
      <w:pPr>
        <w:tabs>
          <w:tab w:val="left" w:pos="851"/>
        </w:tabs>
        <w:ind w:left="851"/>
        <w:rPr>
          <w:sz w:val="24"/>
          <w:szCs w:val="24"/>
        </w:rPr>
      </w:pPr>
    </w:p>
    <w:p w14:paraId="3BE8422E" w14:textId="77777777" w:rsidR="00927B43" w:rsidRPr="00927B43" w:rsidRDefault="00927B43" w:rsidP="00927B43">
      <w:pPr>
        <w:tabs>
          <w:tab w:val="left" w:pos="851"/>
        </w:tabs>
        <w:ind w:left="851"/>
        <w:rPr>
          <w:sz w:val="24"/>
          <w:szCs w:val="24"/>
          <w:u w:val="single"/>
        </w:rPr>
      </w:pPr>
      <w:r w:rsidRPr="00927B43">
        <w:rPr>
          <w:sz w:val="24"/>
          <w:szCs w:val="24"/>
          <w:u w:val="single"/>
        </w:rPr>
        <w:t>Lægemidler til behandling af ITP</w:t>
      </w:r>
    </w:p>
    <w:p w14:paraId="2174F56E" w14:textId="77777777" w:rsidR="00927B43" w:rsidRPr="00927B43" w:rsidRDefault="00927B43" w:rsidP="00927B43">
      <w:pPr>
        <w:tabs>
          <w:tab w:val="left" w:pos="851"/>
        </w:tabs>
        <w:ind w:left="851"/>
        <w:rPr>
          <w:sz w:val="24"/>
          <w:szCs w:val="24"/>
        </w:rPr>
      </w:pPr>
      <w:r w:rsidRPr="00927B43">
        <w:rPr>
          <w:sz w:val="24"/>
          <w:szCs w:val="24"/>
        </w:rPr>
        <w:t xml:space="preserve">I kliniske studier er følgende lægemidler anvendt i kombination med eltrombopag til behandling af ITP: Kortikosteroider, danazol og/eller azathioprin, intravenøs immunglobulin (IVIG) og anti-D immunglobulin. Trombocyttallet skal monitoreres, når </w:t>
      </w:r>
      <w:r w:rsidRPr="00927B43">
        <w:rPr>
          <w:sz w:val="24"/>
          <w:szCs w:val="24"/>
        </w:rPr>
        <w:lastRenderedPageBreak/>
        <w:t>eltrombopag kombineres med andre lægemidler til behandling af ITP, for at undgå, at trombocyttallet falder uden for det anbefalede interval (se pkt. 4.2).</w:t>
      </w:r>
    </w:p>
    <w:p w14:paraId="1EF8366F" w14:textId="77777777" w:rsidR="00927B43" w:rsidRPr="00927B43" w:rsidRDefault="00927B43" w:rsidP="00927B43">
      <w:pPr>
        <w:tabs>
          <w:tab w:val="left" w:pos="851"/>
        </w:tabs>
        <w:ind w:left="851"/>
        <w:rPr>
          <w:sz w:val="24"/>
          <w:szCs w:val="24"/>
          <w:u w:val="single"/>
        </w:rPr>
      </w:pPr>
    </w:p>
    <w:p w14:paraId="334D0004" w14:textId="77777777" w:rsidR="00927B43" w:rsidRPr="00927B43" w:rsidRDefault="00927B43" w:rsidP="00927B43">
      <w:pPr>
        <w:tabs>
          <w:tab w:val="left" w:pos="851"/>
        </w:tabs>
        <w:ind w:left="851"/>
        <w:rPr>
          <w:sz w:val="24"/>
          <w:szCs w:val="24"/>
          <w:u w:val="single"/>
        </w:rPr>
      </w:pPr>
      <w:r w:rsidRPr="00927B43">
        <w:rPr>
          <w:sz w:val="24"/>
          <w:szCs w:val="24"/>
          <w:u w:val="single"/>
        </w:rPr>
        <w:t>Interaktion med fødevarer</w:t>
      </w:r>
    </w:p>
    <w:p w14:paraId="0B06BE03" w14:textId="77777777" w:rsidR="00927B43" w:rsidRPr="00927B43" w:rsidRDefault="00927B43" w:rsidP="00927B43">
      <w:pPr>
        <w:tabs>
          <w:tab w:val="left" w:pos="851"/>
        </w:tabs>
        <w:ind w:left="851"/>
        <w:rPr>
          <w:sz w:val="24"/>
          <w:szCs w:val="24"/>
        </w:rPr>
      </w:pPr>
      <w:r w:rsidRPr="00927B43">
        <w:rPr>
          <w:sz w:val="24"/>
          <w:szCs w:val="24"/>
        </w:rPr>
        <w:t>Administration af eltrombopag som tabletter eller pulver til oral suspension sammen med et calciumrigt måltid (f.x et måltid, der indeholdt mejeriprodukter) reducerede eltrombopags AUC</w:t>
      </w:r>
      <w:r w:rsidRPr="00927B43">
        <w:rPr>
          <w:sz w:val="24"/>
          <w:szCs w:val="24"/>
          <w:vertAlign w:val="subscript"/>
        </w:rPr>
        <w:t>0-∞</w:t>
      </w:r>
      <w:r w:rsidRPr="00927B43">
        <w:rPr>
          <w:sz w:val="24"/>
          <w:szCs w:val="24"/>
        </w:rPr>
        <w:t xml:space="preserve"> og C</w:t>
      </w:r>
      <w:r w:rsidRPr="00927B43">
        <w:rPr>
          <w:sz w:val="24"/>
          <w:szCs w:val="24"/>
          <w:vertAlign w:val="subscript"/>
        </w:rPr>
        <w:t>max</w:t>
      </w:r>
      <w:r w:rsidRPr="00927B43">
        <w:rPr>
          <w:sz w:val="24"/>
          <w:szCs w:val="24"/>
        </w:rPr>
        <w:t xml:space="preserve"> i plasma signifikant. Modsat ændrede administration af eltrombopag 2 timer før eller 4 timer efter et calciumrigt måltid eller sammen med fødevarer med lavt calciumindhold [&lt; 50 mg calcium] ikke plasma-eltrombopageksponeringen i klinisk betydende omfang (se pkt. 4.2).</w:t>
      </w:r>
    </w:p>
    <w:p w14:paraId="1CB437A8" w14:textId="77777777" w:rsidR="00927B43" w:rsidRPr="00927B43" w:rsidRDefault="00927B43" w:rsidP="00927B43">
      <w:pPr>
        <w:tabs>
          <w:tab w:val="left" w:pos="851"/>
        </w:tabs>
        <w:ind w:left="851"/>
        <w:rPr>
          <w:sz w:val="24"/>
          <w:szCs w:val="24"/>
        </w:rPr>
      </w:pPr>
    </w:p>
    <w:p w14:paraId="48C7F535" w14:textId="77777777" w:rsidR="00927B43" w:rsidRPr="00927B43" w:rsidRDefault="00927B43" w:rsidP="00927B43">
      <w:pPr>
        <w:tabs>
          <w:tab w:val="left" w:pos="851"/>
        </w:tabs>
        <w:ind w:left="851"/>
        <w:rPr>
          <w:sz w:val="24"/>
          <w:szCs w:val="24"/>
        </w:rPr>
      </w:pPr>
      <w:r w:rsidRPr="00927B43">
        <w:rPr>
          <w:sz w:val="24"/>
          <w:szCs w:val="24"/>
        </w:rPr>
        <w:t>Administration af en enkelt 50 mg dosis eltrombopag i tabletform med et kalorierigt, fedtrigt standardmorgenmåltid, som inkluderede mælkeprodukter, reducerede det gennemsnitlige AUC</w:t>
      </w:r>
      <w:r w:rsidRPr="00927B43">
        <w:rPr>
          <w:sz w:val="24"/>
          <w:szCs w:val="24"/>
          <w:vertAlign w:val="subscript"/>
        </w:rPr>
        <w:t>0-∞</w:t>
      </w:r>
      <w:r w:rsidRPr="00927B43">
        <w:rPr>
          <w:sz w:val="24"/>
          <w:szCs w:val="24"/>
        </w:rPr>
        <w:t xml:space="preserve"> for eltrombopag i plasma med 59 % og den gennemsnitlige C</w:t>
      </w:r>
      <w:r w:rsidRPr="00927B43">
        <w:rPr>
          <w:sz w:val="24"/>
          <w:szCs w:val="24"/>
          <w:vertAlign w:val="subscript"/>
        </w:rPr>
        <w:t>max</w:t>
      </w:r>
      <w:r w:rsidRPr="00927B43">
        <w:rPr>
          <w:sz w:val="24"/>
          <w:szCs w:val="24"/>
        </w:rPr>
        <w:t xml:space="preserve"> med 65 %.</w:t>
      </w:r>
    </w:p>
    <w:p w14:paraId="3A16CF8A" w14:textId="77777777" w:rsidR="00927B43" w:rsidRPr="00927B43" w:rsidRDefault="00927B43" w:rsidP="00927B43">
      <w:pPr>
        <w:tabs>
          <w:tab w:val="left" w:pos="851"/>
        </w:tabs>
        <w:ind w:left="851"/>
        <w:rPr>
          <w:sz w:val="24"/>
          <w:szCs w:val="24"/>
        </w:rPr>
      </w:pPr>
    </w:p>
    <w:p w14:paraId="1824C072" w14:textId="77777777" w:rsidR="00927B43" w:rsidRPr="00927B43" w:rsidRDefault="00927B43" w:rsidP="00927B43">
      <w:pPr>
        <w:tabs>
          <w:tab w:val="left" w:pos="851"/>
        </w:tabs>
        <w:ind w:left="851"/>
        <w:rPr>
          <w:sz w:val="24"/>
          <w:szCs w:val="24"/>
        </w:rPr>
      </w:pPr>
      <w:r w:rsidRPr="00927B43">
        <w:rPr>
          <w:sz w:val="24"/>
          <w:szCs w:val="24"/>
        </w:rPr>
        <w:t>Administration af en enkelt 25 mg dosis eltrombopag som pulver til oral suspension med et calciumrigt måltid med moderat fedt- og kalorieindhold reducerede det gennemsnitlige AUC</w:t>
      </w:r>
      <w:r w:rsidRPr="00927B43">
        <w:rPr>
          <w:sz w:val="24"/>
          <w:szCs w:val="24"/>
          <w:vertAlign w:val="subscript"/>
        </w:rPr>
        <w:t>0-∞</w:t>
      </w:r>
      <w:r w:rsidRPr="00927B43">
        <w:rPr>
          <w:sz w:val="24"/>
          <w:szCs w:val="24"/>
        </w:rPr>
        <w:t xml:space="preserve"> for eltrombopag i plasma med 75 % og den gennemsnitlige C</w:t>
      </w:r>
      <w:r w:rsidRPr="00927B43">
        <w:rPr>
          <w:sz w:val="24"/>
          <w:szCs w:val="24"/>
          <w:vertAlign w:val="subscript"/>
        </w:rPr>
        <w:t>max</w:t>
      </w:r>
      <w:r w:rsidRPr="00927B43">
        <w:rPr>
          <w:sz w:val="24"/>
          <w:szCs w:val="24"/>
        </w:rPr>
        <w:t xml:space="preserve"> med 79 %. Dette fald i eksponering blev formindsket, når en enkelt 25 mg dosis eltrombopag pulver til oral suspension blev administreret 2 timer før et calciumrigt måltid (gennemsnitlig AUC</w:t>
      </w:r>
      <w:r w:rsidRPr="00927B43">
        <w:rPr>
          <w:sz w:val="24"/>
          <w:szCs w:val="24"/>
          <w:vertAlign w:val="subscript"/>
        </w:rPr>
        <w:t>0-∞</w:t>
      </w:r>
      <w:r w:rsidRPr="00927B43">
        <w:rPr>
          <w:sz w:val="24"/>
          <w:szCs w:val="24"/>
        </w:rPr>
        <w:t xml:space="preserve"> faldt med 20 % og gennemsnitlig C</w:t>
      </w:r>
      <w:r w:rsidRPr="00927B43">
        <w:rPr>
          <w:sz w:val="24"/>
          <w:szCs w:val="24"/>
          <w:vertAlign w:val="subscript"/>
        </w:rPr>
        <w:t>max</w:t>
      </w:r>
      <w:r w:rsidRPr="00927B43">
        <w:rPr>
          <w:sz w:val="24"/>
          <w:szCs w:val="24"/>
        </w:rPr>
        <w:t xml:space="preserve"> med 14 %).</w:t>
      </w:r>
    </w:p>
    <w:p w14:paraId="54F78AB0" w14:textId="77777777" w:rsidR="00927B43" w:rsidRPr="00927B43" w:rsidRDefault="00927B43" w:rsidP="00927B43">
      <w:pPr>
        <w:tabs>
          <w:tab w:val="left" w:pos="851"/>
        </w:tabs>
        <w:ind w:left="851"/>
        <w:rPr>
          <w:sz w:val="24"/>
          <w:szCs w:val="24"/>
        </w:rPr>
      </w:pPr>
    </w:p>
    <w:p w14:paraId="37906166" w14:textId="77777777" w:rsidR="00927B43" w:rsidRPr="00927B43" w:rsidRDefault="00927B43" w:rsidP="00927B43">
      <w:pPr>
        <w:tabs>
          <w:tab w:val="left" w:pos="851"/>
        </w:tabs>
        <w:ind w:left="851"/>
        <w:rPr>
          <w:sz w:val="24"/>
          <w:szCs w:val="24"/>
        </w:rPr>
      </w:pPr>
      <w:r w:rsidRPr="00927B43">
        <w:rPr>
          <w:sz w:val="24"/>
          <w:szCs w:val="24"/>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39B0705B" w14:textId="77777777" w:rsidR="009260DE" w:rsidRPr="00C84483" w:rsidRDefault="009260DE" w:rsidP="009260DE">
      <w:pPr>
        <w:tabs>
          <w:tab w:val="left" w:pos="851"/>
        </w:tabs>
        <w:ind w:left="851"/>
        <w:rPr>
          <w:sz w:val="24"/>
          <w:szCs w:val="24"/>
        </w:rPr>
      </w:pPr>
    </w:p>
    <w:p w14:paraId="40D32CB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88BB205" w14:textId="77777777" w:rsidR="00927B43" w:rsidRPr="00927B43" w:rsidRDefault="00927B43" w:rsidP="00927B43">
      <w:pPr>
        <w:tabs>
          <w:tab w:val="left" w:pos="851"/>
        </w:tabs>
        <w:ind w:left="851"/>
        <w:rPr>
          <w:b/>
          <w:bCs/>
          <w:sz w:val="24"/>
          <w:szCs w:val="24"/>
        </w:rPr>
      </w:pPr>
    </w:p>
    <w:p w14:paraId="62393F4F" w14:textId="77777777" w:rsidR="00927B43" w:rsidRPr="00927B43" w:rsidRDefault="00927B43" w:rsidP="00927B43">
      <w:pPr>
        <w:tabs>
          <w:tab w:val="left" w:pos="851"/>
        </w:tabs>
        <w:ind w:left="851"/>
        <w:rPr>
          <w:sz w:val="24"/>
          <w:szCs w:val="24"/>
          <w:u w:val="single"/>
        </w:rPr>
      </w:pPr>
      <w:r w:rsidRPr="00927B43">
        <w:rPr>
          <w:sz w:val="24"/>
          <w:szCs w:val="24"/>
          <w:u w:val="single"/>
        </w:rPr>
        <w:t>Graviditet</w:t>
      </w:r>
    </w:p>
    <w:p w14:paraId="0221B620" w14:textId="77777777" w:rsidR="00927B43" w:rsidRPr="00927B43" w:rsidRDefault="00927B43" w:rsidP="00927B43">
      <w:pPr>
        <w:tabs>
          <w:tab w:val="left" w:pos="851"/>
        </w:tabs>
        <w:ind w:left="851"/>
        <w:rPr>
          <w:sz w:val="24"/>
          <w:szCs w:val="24"/>
        </w:rPr>
      </w:pPr>
      <w:r w:rsidRPr="00927B43">
        <w:rPr>
          <w:sz w:val="24"/>
          <w:szCs w:val="24"/>
        </w:rPr>
        <w:t>Der foreligger ikke tilstrækkelige data om anvendelse af eltrombopag til gravide kvinder. Dyrestudier har påvist reproduktionstoksicitet (se pkt. 5.3). Den potentielle risiko for mennesker er ukendt.</w:t>
      </w:r>
    </w:p>
    <w:p w14:paraId="6254A21F" w14:textId="77777777" w:rsidR="00927B43" w:rsidRPr="00927B43" w:rsidRDefault="00927B43" w:rsidP="00927B43">
      <w:pPr>
        <w:tabs>
          <w:tab w:val="left" w:pos="851"/>
        </w:tabs>
        <w:ind w:left="851"/>
        <w:rPr>
          <w:sz w:val="24"/>
          <w:szCs w:val="24"/>
        </w:rPr>
      </w:pPr>
    </w:p>
    <w:p w14:paraId="63DC5774" w14:textId="77777777" w:rsidR="00927B43" w:rsidRPr="00927B43" w:rsidRDefault="00927B43" w:rsidP="00927B43">
      <w:pPr>
        <w:tabs>
          <w:tab w:val="left" w:pos="851"/>
        </w:tabs>
        <w:ind w:left="851"/>
        <w:rPr>
          <w:sz w:val="24"/>
          <w:szCs w:val="24"/>
        </w:rPr>
      </w:pPr>
      <w:r w:rsidRPr="00927B43">
        <w:rPr>
          <w:sz w:val="24"/>
          <w:szCs w:val="24"/>
        </w:rPr>
        <w:t>Eltrombopag skal ikke anvendes under graviditet.</w:t>
      </w:r>
    </w:p>
    <w:p w14:paraId="1713E5F8" w14:textId="77777777" w:rsidR="00927B43" w:rsidRPr="00927B43" w:rsidRDefault="00927B43" w:rsidP="00927B43">
      <w:pPr>
        <w:tabs>
          <w:tab w:val="left" w:pos="851"/>
        </w:tabs>
        <w:ind w:left="851"/>
        <w:rPr>
          <w:sz w:val="24"/>
          <w:szCs w:val="24"/>
        </w:rPr>
      </w:pPr>
    </w:p>
    <w:p w14:paraId="716A12FD" w14:textId="77777777" w:rsidR="00927B43" w:rsidRPr="00927B43" w:rsidRDefault="00927B43" w:rsidP="00927B43">
      <w:pPr>
        <w:tabs>
          <w:tab w:val="left" w:pos="851"/>
        </w:tabs>
        <w:ind w:left="851"/>
        <w:rPr>
          <w:sz w:val="24"/>
          <w:szCs w:val="24"/>
          <w:u w:val="single"/>
        </w:rPr>
      </w:pPr>
      <w:r w:rsidRPr="00927B43">
        <w:rPr>
          <w:sz w:val="24"/>
          <w:szCs w:val="24"/>
          <w:u w:val="single"/>
        </w:rPr>
        <w:t>Kvinder i den fertile alder/kontraception hos mænd og kvinder</w:t>
      </w:r>
    </w:p>
    <w:p w14:paraId="52042F21" w14:textId="77777777" w:rsidR="00927B43" w:rsidRPr="00927B43" w:rsidRDefault="00927B43" w:rsidP="00927B43">
      <w:pPr>
        <w:tabs>
          <w:tab w:val="left" w:pos="851"/>
        </w:tabs>
        <w:ind w:left="851"/>
        <w:rPr>
          <w:sz w:val="24"/>
          <w:szCs w:val="24"/>
        </w:rPr>
      </w:pPr>
      <w:r w:rsidRPr="00927B43">
        <w:rPr>
          <w:sz w:val="24"/>
          <w:szCs w:val="24"/>
        </w:rPr>
        <w:t>Eltrombopag bør ikke anvendes til kvinder i den fertile alder, som ikke anvender sikker kontraception.</w:t>
      </w:r>
    </w:p>
    <w:p w14:paraId="0590F04A" w14:textId="77777777" w:rsidR="00927B43" w:rsidRPr="00927B43" w:rsidRDefault="00927B43" w:rsidP="00927B43">
      <w:pPr>
        <w:tabs>
          <w:tab w:val="left" w:pos="851"/>
        </w:tabs>
        <w:ind w:left="851"/>
        <w:rPr>
          <w:sz w:val="24"/>
          <w:szCs w:val="24"/>
        </w:rPr>
      </w:pPr>
    </w:p>
    <w:p w14:paraId="245EFE8E" w14:textId="77777777" w:rsidR="00927B43" w:rsidRPr="00927B43" w:rsidRDefault="00927B43" w:rsidP="00927B43">
      <w:pPr>
        <w:tabs>
          <w:tab w:val="left" w:pos="851"/>
        </w:tabs>
        <w:ind w:left="851"/>
        <w:rPr>
          <w:sz w:val="24"/>
          <w:szCs w:val="24"/>
          <w:u w:val="single"/>
        </w:rPr>
      </w:pPr>
      <w:r w:rsidRPr="00927B43">
        <w:rPr>
          <w:sz w:val="24"/>
          <w:szCs w:val="24"/>
          <w:u w:val="single"/>
        </w:rPr>
        <w:t>Amning</w:t>
      </w:r>
    </w:p>
    <w:p w14:paraId="394834FC" w14:textId="77777777" w:rsidR="00927B43" w:rsidRPr="00927B43" w:rsidRDefault="00927B43" w:rsidP="00927B43">
      <w:pPr>
        <w:tabs>
          <w:tab w:val="left" w:pos="851"/>
        </w:tabs>
        <w:ind w:left="851"/>
        <w:rPr>
          <w:sz w:val="24"/>
          <w:szCs w:val="24"/>
        </w:rPr>
      </w:pPr>
      <w:r w:rsidRPr="00927B43">
        <w:rPr>
          <w:sz w:val="24"/>
          <w:szCs w:val="24"/>
        </w:rPr>
        <w:t>Det er ukendt, om eltrombopag/metabolitter udskilles i human mælk. Dyrestudier har vist, at eltrombopag sandsynligvis udskilles i mælk (se pkt. 5.3), og en risiko for det ammede barn kan derfor ikke udelukkes. Det skal besluttes, om amning eller behandling med eltrombopag skal ophøre, idet der tages højde for fordelene ved amning for barnet i forhold til de terapeutiske fordele for moderen.</w:t>
      </w:r>
    </w:p>
    <w:p w14:paraId="22258AD4" w14:textId="67EA01DD" w:rsidR="005F3B3D" w:rsidRDefault="005F3B3D">
      <w:pPr>
        <w:rPr>
          <w:sz w:val="24"/>
          <w:szCs w:val="24"/>
        </w:rPr>
      </w:pPr>
      <w:r>
        <w:rPr>
          <w:sz w:val="24"/>
          <w:szCs w:val="24"/>
        </w:rPr>
        <w:br w:type="page"/>
      </w:r>
    </w:p>
    <w:p w14:paraId="1756744C" w14:textId="77777777" w:rsidR="00927B43" w:rsidRPr="00927B43" w:rsidRDefault="00927B43" w:rsidP="00927B43">
      <w:pPr>
        <w:tabs>
          <w:tab w:val="left" w:pos="851"/>
        </w:tabs>
        <w:ind w:left="851"/>
        <w:rPr>
          <w:sz w:val="24"/>
          <w:szCs w:val="24"/>
        </w:rPr>
      </w:pPr>
    </w:p>
    <w:p w14:paraId="154BB458" w14:textId="77777777" w:rsidR="00927B43" w:rsidRPr="00927B43" w:rsidRDefault="00927B43" w:rsidP="00927B43">
      <w:pPr>
        <w:tabs>
          <w:tab w:val="left" w:pos="851"/>
        </w:tabs>
        <w:ind w:left="851"/>
        <w:rPr>
          <w:sz w:val="24"/>
          <w:szCs w:val="24"/>
          <w:u w:val="single"/>
        </w:rPr>
      </w:pPr>
      <w:r w:rsidRPr="00927B43">
        <w:rPr>
          <w:sz w:val="24"/>
          <w:szCs w:val="24"/>
          <w:u w:val="single"/>
        </w:rPr>
        <w:t>Fertilitet</w:t>
      </w:r>
    </w:p>
    <w:p w14:paraId="36269415" w14:textId="77777777" w:rsidR="00927B43" w:rsidRPr="00927B43" w:rsidRDefault="00927B43" w:rsidP="00927B43">
      <w:pPr>
        <w:tabs>
          <w:tab w:val="left" w:pos="851"/>
        </w:tabs>
        <w:ind w:left="851"/>
        <w:rPr>
          <w:sz w:val="24"/>
          <w:szCs w:val="24"/>
        </w:rPr>
      </w:pPr>
      <w:r w:rsidRPr="00927B43">
        <w:rPr>
          <w:sz w:val="24"/>
          <w:szCs w:val="24"/>
        </w:rPr>
        <w:t>Fertiliteten blev ikke påvirket hos hanrotter eller hunrotter ved eksponeringer, der kunne sammenlignes med eksponeringerne hos mennesker. En risiko for mennesker kan imidlertid ikke udelukkes (se pkt. 5.3).</w:t>
      </w:r>
    </w:p>
    <w:p w14:paraId="44D5C7AE" w14:textId="77777777" w:rsidR="009260DE" w:rsidRPr="00C84483" w:rsidRDefault="009260DE" w:rsidP="009260DE">
      <w:pPr>
        <w:tabs>
          <w:tab w:val="left" w:pos="851"/>
        </w:tabs>
        <w:ind w:left="851"/>
        <w:rPr>
          <w:sz w:val="24"/>
          <w:szCs w:val="24"/>
        </w:rPr>
      </w:pPr>
    </w:p>
    <w:p w14:paraId="585A2BB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0FE4117" w14:textId="77777777" w:rsidR="005F3B3D" w:rsidRDefault="005F3B3D" w:rsidP="00927B43">
      <w:pPr>
        <w:tabs>
          <w:tab w:val="left" w:pos="851"/>
        </w:tabs>
        <w:ind w:left="851"/>
        <w:rPr>
          <w:sz w:val="24"/>
          <w:szCs w:val="24"/>
        </w:rPr>
      </w:pPr>
      <w:r>
        <w:rPr>
          <w:sz w:val="24"/>
          <w:szCs w:val="24"/>
        </w:rPr>
        <w:t>Ikke mærkning.</w:t>
      </w:r>
    </w:p>
    <w:p w14:paraId="29D5CC4D" w14:textId="56C6502A" w:rsidR="00927B43" w:rsidRPr="00927B43" w:rsidRDefault="00927B43" w:rsidP="00927B43">
      <w:pPr>
        <w:tabs>
          <w:tab w:val="left" w:pos="851"/>
        </w:tabs>
        <w:ind w:left="851"/>
        <w:rPr>
          <w:sz w:val="24"/>
          <w:szCs w:val="24"/>
        </w:rPr>
      </w:pPr>
      <w:r w:rsidRPr="00927B43">
        <w:rPr>
          <w:sz w:val="24"/>
          <w:szCs w:val="24"/>
        </w:rPr>
        <w:t>Eltrombopag påvirker kun i ubetydelig grad evnen til at føre motorkøretøj og betjene maskiner. Patientens kliniske status og indflydelsen af bivirkninger fra eltrombopag, herunder svimmelhed og mangel på agtpågivenhed, skal tages i betragtning, når det overvejes om patienten er i stand til at udføre opgaver, som kræver dømmekraft samt motoriske og kognitive evner.</w:t>
      </w:r>
    </w:p>
    <w:p w14:paraId="5184CF4A" w14:textId="77777777" w:rsidR="009260DE" w:rsidRPr="00C84483" w:rsidRDefault="009260DE" w:rsidP="009260DE">
      <w:pPr>
        <w:tabs>
          <w:tab w:val="left" w:pos="851"/>
        </w:tabs>
        <w:ind w:left="851"/>
        <w:rPr>
          <w:sz w:val="24"/>
          <w:szCs w:val="24"/>
        </w:rPr>
      </w:pPr>
    </w:p>
    <w:p w14:paraId="6F11356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E17561E" w14:textId="77777777" w:rsidR="00927B43" w:rsidRPr="005F3B3D" w:rsidRDefault="00927B43" w:rsidP="005F3B3D">
      <w:pPr>
        <w:autoSpaceDE w:val="0"/>
        <w:autoSpaceDN w:val="0"/>
        <w:adjustRightInd w:val="0"/>
        <w:ind w:left="851"/>
        <w:rPr>
          <w:b/>
          <w:bCs/>
          <w:color w:val="000000"/>
          <w:sz w:val="24"/>
          <w:szCs w:val="24"/>
        </w:rPr>
      </w:pPr>
    </w:p>
    <w:p w14:paraId="704F8AE5" w14:textId="77777777" w:rsidR="00927B43" w:rsidRPr="005F3B3D" w:rsidRDefault="00927B43" w:rsidP="005F3B3D">
      <w:pPr>
        <w:autoSpaceDE w:val="0"/>
        <w:autoSpaceDN w:val="0"/>
        <w:adjustRightInd w:val="0"/>
        <w:ind w:left="851"/>
        <w:rPr>
          <w:color w:val="000000"/>
          <w:sz w:val="24"/>
          <w:szCs w:val="24"/>
          <w:u w:val="single"/>
        </w:rPr>
      </w:pPr>
      <w:r w:rsidRPr="005F3B3D">
        <w:rPr>
          <w:color w:val="000000"/>
          <w:sz w:val="24"/>
          <w:szCs w:val="24"/>
          <w:u w:val="single"/>
        </w:rPr>
        <w:t>Sammendrag af bivirkningsprofilen</w:t>
      </w:r>
    </w:p>
    <w:p w14:paraId="369076C4" w14:textId="77777777" w:rsidR="00927B43" w:rsidRPr="005F3B3D" w:rsidRDefault="00927B43" w:rsidP="005F3B3D">
      <w:pPr>
        <w:autoSpaceDE w:val="0"/>
        <w:autoSpaceDN w:val="0"/>
        <w:adjustRightInd w:val="0"/>
        <w:ind w:left="851"/>
        <w:rPr>
          <w:color w:val="000000"/>
          <w:sz w:val="24"/>
          <w:szCs w:val="24"/>
          <w:u w:val="single"/>
        </w:rPr>
      </w:pPr>
    </w:p>
    <w:p w14:paraId="5F29158B" w14:textId="77777777" w:rsidR="00927B43" w:rsidRPr="005F3B3D" w:rsidRDefault="00927B43" w:rsidP="005F3B3D">
      <w:pPr>
        <w:autoSpaceDE w:val="0"/>
        <w:autoSpaceDN w:val="0"/>
        <w:adjustRightInd w:val="0"/>
        <w:ind w:left="851"/>
        <w:rPr>
          <w:i/>
          <w:iCs/>
          <w:color w:val="000000"/>
          <w:sz w:val="24"/>
          <w:szCs w:val="24"/>
          <w:highlight w:val="green"/>
          <w:u w:val="single"/>
        </w:rPr>
      </w:pPr>
      <w:r w:rsidRPr="005F3B3D">
        <w:rPr>
          <w:i/>
          <w:iCs/>
          <w:color w:val="000000"/>
          <w:sz w:val="24"/>
          <w:szCs w:val="24"/>
          <w:u w:val="single"/>
        </w:rPr>
        <w:t>Immun trombocytopeni hos voksne og pædiatriske patienter</w:t>
      </w:r>
    </w:p>
    <w:p w14:paraId="2DCF7DB3"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 xml:space="preserve">Sikkerheden af </w:t>
      </w:r>
      <w:r w:rsidRPr="005F3B3D">
        <w:rPr>
          <w:sz w:val="24"/>
          <w:szCs w:val="24"/>
        </w:rPr>
        <w:t>eltrombopag</w:t>
      </w:r>
      <w:r w:rsidRPr="005F3B3D">
        <w:rPr>
          <w:color w:val="000000"/>
          <w:sz w:val="24"/>
          <w:szCs w:val="24"/>
        </w:rPr>
        <w:t xml:space="preserve"> blev vurderet hos voksne patienter (N = 763) på baggrund af de samlede data fra de dobbeltblindede, placebokontrollerede studier TRA100773A og B, TRA102537 (RAISE) og TRA113765, hvor 403 patienter blev eksponeret til </w:t>
      </w:r>
      <w:r w:rsidRPr="005F3B3D">
        <w:rPr>
          <w:sz w:val="24"/>
          <w:szCs w:val="24"/>
        </w:rPr>
        <w:t>eltrombopag</w:t>
      </w:r>
      <w:r w:rsidRPr="005F3B3D">
        <w:rPr>
          <w:color w:val="000000"/>
          <w:sz w:val="24"/>
          <w:szCs w:val="24"/>
        </w:rPr>
        <w:t xml:space="preserve"> og 179 til placebo, foruden data fra de afsluttede åbne studier (N = 360) TRA108057 (REPEAT), TRA105325 (EXTEND) og TRA112940 (se pkt. 5.1). Patienterne fik forsøgsmedicinen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 </w:t>
      </w:r>
    </w:p>
    <w:p w14:paraId="0C1602C3" w14:textId="77777777" w:rsidR="00927B43" w:rsidRPr="005F3B3D" w:rsidRDefault="00927B43" w:rsidP="005F3B3D">
      <w:pPr>
        <w:autoSpaceDE w:val="0"/>
        <w:autoSpaceDN w:val="0"/>
        <w:adjustRightInd w:val="0"/>
        <w:ind w:left="851"/>
        <w:rPr>
          <w:color w:val="000000"/>
          <w:sz w:val="24"/>
          <w:szCs w:val="24"/>
        </w:rPr>
      </w:pPr>
    </w:p>
    <w:p w14:paraId="4374B84C"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 xml:space="preserve">Sikkerheden af </w:t>
      </w:r>
      <w:r w:rsidRPr="005F3B3D">
        <w:rPr>
          <w:sz w:val="24"/>
          <w:szCs w:val="24"/>
        </w:rPr>
        <w:t>eltrombopag</w:t>
      </w:r>
      <w:r w:rsidRPr="005F3B3D">
        <w:rPr>
          <w:color w:val="000000"/>
          <w:sz w:val="24"/>
          <w:szCs w:val="24"/>
        </w:rPr>
        <w:t xml:space="preserve"> hos pædiatriske patienter (i alderen 1 til 17 år) med tidligere behandlet ITP er blevet undersøgt i to studier (N = 171) (se pkt. 5.1). PETIT2 (TRA115450) var et to-delt, dobbeltblindet og åbent, randomiseret, placebokontrolleret studie. Patienter blev randomiseret i forholdet 2:1 og fik </w:t>
      </w:r>
      <w:r w:rsidRPr="005F3B3D">
        <w:rPr>
          <w:sz w:val="24"/>
          <w:szCs w:val="24"/>
        </w:rPr>
        <w:t>eltrombopag</w:t>
      </w:r>
      <w:r w:rsidRPr="005F3B3D">
        <w:rPr>
          <w:color w:val="000000"/>
          <w:sz w:val="24"/>
          <w:szCs w:val="24"/>
        </w:rPr>
        <w:t xml:space="preserve"> (n = 63) eller placebo (n = 29) i op til 13 uger i den randomiserede periode af studiet. PETIT (TRA108062) var et tre-delt, forskudt kohorte, kombineret ublindet og dobbeltblindet, randomiseret, placebokontrolleret studie. Patienter blev randomiseret i forholdet 2:1 og fik </w:t>
      </w:r>
      <w:r w:rsidRPr="005F3B3D">
        <w:rPr>
          <w:sz w:val="24"/>
          <w:szCs w:val="24"/>
        </w:rPr>
        <w:t>eltrombopag</w:t>
      </w:r>
      <w:r w:rsidRPr="005F3B3D">
        <w:rPr>
          <w:color w:val="000000"/>
          <w:sz w:val="24"/>
          <w:szCs w:val="24"/>
        </w:rPr>
        <w:t xml:space="preserve"> (n = 44) eller placebo (n = 21) i op til 7 uger. Bivirkningsprofilen var sammenlignelig med profilen set for voksne med nogle yderligere bivirkninger. Disse er markeret med ♦ i tabellen nedenfor. De mest almindelige bivirkninger I pædiatriske ITP patienter i alderen 1 år og ældre (≥ 3 % og større end placebo) var øvre luftvejsinfektion, nasofaryngitis, hoste, pyreksi, mavesmerter, orofaryngeale smerter, tandpine, og rinorré.</w:t>
      </w:r>
    </w:p>
    <w:p w14:paraId="6FCF240F" w14:textId="77777777" w:rsidR="00927B43" w:rsidRPr="005F3B3D" w:rsidRDefault="00927B43" w:rsidP="005F3B3D">
      <w:pPr>
        <w:autoSpaceDE w:val="0"/>
        <w:autoSpaceDN w:val="0"/>
        <w:adjustRightInd w:val="0"/>
        <w:ind w:left="851"/>
        <w:rPr>
          <w:color w:val="000000"/>
          <w:sz w:val="24"/>
          <w:szCs w:val="24"/>
          <w:highlight w:val="green"/>
        </w:rPr>
      </w:pPr>
    </w:p>
    <w:p w14:paraId="78A7353A" w14:textId="77777777" w:rsidR="00927B43" w:rsidRPr="005F3B3D" w:rsidRDefault="00927B43" w:rsidP="005F3B3D">
      <w:pPr>
        <w:autoSpaceDE w:val="0"/>
        <w:autoSpaceDN w:val="0"/>
        <w:adjustRightInd w:val="0"/>
        <w:ind w:left="851"/>
        <w:rPr>
          <w:i/>
          <w:iCs/>
          <w:color w:val="000000"/>
          <w:sz w:val="24"/>
          <w:szCs w:val="24"/>
          <w:highlight w:val="green"/>
          <w:u w:val="single"/>
        </w:rPr>
      </w:pPr>
      <w:r w:rsidRPr="005F3B3D">
        <w:rPr>
          <w:i/>
          <w:iCs/>
          <w:color w:val="000000"/>
          <w:sz w:val="24"/>
          <w:szCs w:val="24"/>
          <w:u w:val="single"/>
        </w:rPr>
        <w:t>Trombocytopeni med HCV infektion hos voksne patienter</w:t>
      </w:r>
    </w:p>
    <w:p w14:paraId="62E77654"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 xml:space="preserve">ENABLE 1 (TPL103922 n = 716, 715 behandlet med eltrombopag) og ENABLE 2 (TPL108390 n = 805) var randomiserede, dobbeltblindede, placebokontrollerede, multicenterstudier til vurdering af effekten og sikkerheden af </w:t>
      </w:r>
      <w:r w:rsidRPr="005F3B3D">
        <w:rPr>
          <w:sz w:val="24"/>
          <w:szCs w:val="24"/>
        </w:rPr>
        <w:t>eltrombopag</w:t>
      </w:r>
      <w:r w:rsidRPr="005F3B3D">
        <w:rPr>
          <w:color w:val="000000"/>
          <w:sz w:val="24"/>
          <w:szCs w:val="24"/>
        </w:rPr>
        <w:t xml:space="preserve"> hos trombocytopeniske patienter med HCV infektion, som var egnede til opstart af antiviral behandling. Sikkerhedspopulationen i HCV-studierne bestod alle af randomiserede patienter som fik dobbeltblindet forsøgsmedicin i 2. del af ENABLE 1 (</w:t>
      </w:r>
      <w:r w:rsidRPr="005F3B3D">
        <w:rPr>
          <w:sz w:val="24"/>
          <w:szCs w:val="24"/>
        </w:rPr>
        <w:t>eltrombopag</w:t>
      </w:r>
      <w:r w:rsidRPr="005F3B3D">
        <w:rPr>
          <w:color w:val="000000"/>
          <w:sz w:val="24"/>
          <w:szCs w:val="24"/>
        </w:rPr>
        <w:t>-behandling n = 450, placebo-behandling n = 232) og ENABLE 2 (</w:t>
      </w:r>
      <w:r w:rsidRPr="005F3B3D">
        <w:rPr>
          <w:sz w:val="24"/>
          <w:szCs w:val="24"/>
        </w:rPr>
        <w:t>eltrombopag</w:t>
      </w:r>
      <w:r w:rsidRPr="005F3B3D">
        <w:rPr>
          <w:color w:val="000000"/>
          <w:sz w:val="24"/>
          <w:szCs w:val="24"/>
        </w:rPr>
        <w:t xml:space="preserve">-behandling n = 506, placebo-behandling n = 252). Patienterne er analyseret i henhold til den </w:t>
      </w:r>
      <w:r w:rsidRPr="005F3B3D">
        <w:rPr>
          <w:color w:val="000000"/>
          <w:sz w:val="24"/>
          <w:szCs w:val="24"/>
        </w:rPr>
        <w:lastRenderedPageBreak/>
        <w:t xml:space="preserve">behandling de har fået (total dobbeltblindet sikkerhedspopulation, </w:t>
      </w:r>
      <w:r w:rsidRPr="005F3B3D">
        <w:rPr>
          <w:sz w:val="24"/>
          <w:szCs w:val="24"/>
        </w:rPr>
        <w:t>eltrombopag</w:t>
      </w:r>
      <w:r w:rsidRPr="005F3B3D">
        <w:rPr>
          <w:color w:val="000000"/>
          <w:sz w:val="24"/>
          <w:szCs w:val="24"/>
        </w:rPr>
        <w:t xml:space="preserve">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14:paraId="64B36D4C" w14:textId="77777777" w:rsidR="00927B43" w:rsidRPr="005F3B3D" w:rsidRDefault="00927B43" w:rsidP="005F3B3D">
      <w:pPr>
        <w:autoSpaceDE w:val="0"/>
        <w:autoSpaceDN w:val="0"/>
        <w:adjustRightInd w:val="0"/>
        <w:ind w:left="851"/>
        <w:rPr>
          <w:color w:val="000000"/>
          <w:sz w:val="24"/>
          <w:szCs w:val="24"/>
          <w:highlight w:val="green"/>
        </w:rPr>
      </w:pPr>
    </w:p>
    <w:p w14:paraId="5274F551" w14:textId="77777777" w:rsidR="00927B43" w:rsidRPr="005F3B3D" w:rsidRDefault="00927B43" w:rsidP="005F3B3D">
      <w:pPr>
        <w:autoSpaceDE w:val="0"/>
        <w:autoSpaceDN w:val="0"/>
        <w:adjustRightInd w:val="0"/>
        <w:ind w:left="851"/>
        <w:rPr>
          <w:i/>
          <w:iCs/>
          <w:sz w:val="24"/>
          <w:szCs w:val="24"/>
          <w:highlight w:val="green"/>
          <w:u w:val="single"/>
        </w:rPr>
      </w:pPr>
      <w:r w:rsidRPr="005F3B3D">
        <w:rPr>
          <w:i/>
          <w:iCs/>
          <w:sz w:val="24"/>
          <w:szCs w:val="24"/>
          <w:u w:val="single"/>
        </w:rPr>
        <w:t>Svær aplastisk anæmi hos voksne patienter</w:t>
      </w:r>
    </w:p>
    <w:p w14:paraId="0E033F20" w14:textId="77777777" w:rsidR="00927B43" w:rsidRPr="005F3B3D" w:rsidRDefault="00927B43" w:rsidP="005F3B3D">
      <w:pPr>
        <w:autoSpaceDE w:val="0"/>
        <w:autoSpaceDN w:val="0"/>
        <w:adjustRightInd w:val="0"/>
        <w:ind w:left="851"/>
        <w:rPr>
          <w:sz w:val="24"/>
          <w:szCs w:val="24"/>
        </w:rPr>
      </w:pPr>
      <w:r w:rsidRPr="005F3B3D">
        <w:rPr>
          <w:sz w:val="24"/>
          <w:szCs w:val="24"/>
        </w:rPr>
        <w:t>Eltrombopag sikkerhed ved svær aplastisk anæmi er vurderet i et åbent enkeltgruppestudie (N = 43), i hvilket 11 patienter (26 %) blev behandlet i &gt; 6 måneder, og 7 patienter (16 %) blev behandlet i &gt; 1 år (se pkt. 5.1). De mest almindelige bivirkninger, der forekom hos mindst 10 % af patienterne inkluderede hovedpine, svimmelhed, hoste, orofaryngeale smerter, rinorré, kvalme, diarré, mavesmerter, forhøjede transaminaser, arthralgi, ekstremitetssmerter, muskelspasmer, træthed og pyreksi.</w:t>
      </w:r>
    </w:p>
    <w:p w14:paraId="2D995776" w14:textId="77777777" w:rsidR="00927B43" w:rsidRPr="005F3B3D" w:rsidRDefault="00927B43" w:rsidP="005F3B3D">
      <w:pPr>
        <w:autoSpaceDE w:val="0"/>
        <w:autoSpaceDN w:val="0"/>
        <w:adjustRightInd w:val="0"/>
        <w:ind w:left="851"/>
        <w:rPr>
          <w:sz w:val="24"/>
          <w:szCs w:val="24"/>
          <w:highlight w:val="green"/>
        </w:rPr>
      </w:pPr>
    </w:p>
    <w:p w14:paraId="6EBD237B" w14:textId="77777777" w:rsidR="00927B43" w:rsidRPr="005F3B3D" w:rsidRDefault="00927B43" w:rsidP="005F3B3D">
      <w:pPr>
        <w:autoSpaceDE w:val="0"/>
        <w:autoSpaceDN w:val="0"/>
        <w:adjustRightInd w:val="0"/>
        <w:ind w:left="851"/>
        <w:rPr>
          <w:sz w:val="24"/>
          <w:szCs w:val="24"/>
          <w:highlight w:val="green"/>
          <w:u w:val="single"/>
        </w:rPr>
      </w:pPr>
      <w:r w:rsidRPr="005F3B3D">
        <w:rPr>
          <w:sz w:val="24"/>
          <w:szCs w:val="24"/>
          <w:u w:val="single"/>
        </w:rPr>
        <w:t>Liste over bivirkninger</w:t>
      </w:r>
    </w:p>
    <w:p w14:paraId="4DE9F964" w14:textId="77777777" w:rsidR="00927B43" w:rsidRPr="005F3B3D" w:rsidRDefault="00927B43" w:rsidP="005F3B3D">
      <w:pPr>
        <w:autoSpaceDE w:val="0"/>
        <w:autoSpaceDN w:val="0"/>
        <w:adjustRightInd w:val="0"/>
        <w:ind w:left="851"/>
        <w:rPr>
          <w:sz w:val="24"/>
          <w:szCs w:val="24"/>
        </w:rPr>
      </w:pPr>
      <w:r w:rsidRPr="005F3B3D">
        <w:rPr>
          <w:sz w:val="24"/>
          <w:szCs w:val="24"/>
        </w:rPr>
        <w:t>Bivirkningerne fra ITP-studierne i voksne (n = 763), de pædiatriske ITP-studier (N = 171), HCV-studierne (n = 1 520), SAA-studierne (N = 43) og rapporterne efter markedsføring er angivet herunder i henhold til MedDRA systemorganklasser og hyppighed. Bivirkningerne er opstillet efter frekvens inden for hver systemorganklasse med den mest hyppige først. Den tilsvarende frekvenskategori for hver bivirking er baseret på the følgende konvention (CIOMS III): meget almindelig (≥ 1/10), almindelig (≥ 1/100 til &lt; 1/10), ikke almindelig (≥ 1/1.000 til &lt; 1/100), sjælden (≥ 1/10 000 til &lt; 1/1 000), meget sjælden (&lt; 1/10 000), ikke kendt (kan ikke estimeres ud fra forhåndenværende data).</w:t>
      </w:r>
    </w:p>
    <w:p w14:paraId="24114566" w14:textId="77777777" w:rsidR="00927B43" w:rsidRPr="005F3B3D" w:rsidRDefault="00927B43" w:rsidP="005F3B3D">
      <w:pPr>
        <w:autoSpaceDE w:val="0"/>
        <w:autoSpaceDN w:val="0"/>
        <w:adjustRightInd w:val="0"/>
        <w:ind w:left="851"/>
        <w:rPr>
          <w:sz w:val="24"/>
          <w:szCs w:val="24"/>
          <w:highlight w:val="green"/>
        </w:rPr>
      </w:pPr>
    </w:p>
    <w:p w14:paraId="45A02C40" w14:textId="77777777" w:rsidR="00927B43" w:rsidRDefault="00927B43" w:rsidP="00927B43">
      <w:pPr>
        <w:autoSpaceDE w:val="0"/>
        <w:autoSpaceDN w:val="0"/>
        <w:adjustRightInd w:val="0"/>
        <w:rPr>
          <w:b/>
          <w:bCs/>
          <w:sz w:val="2"/>
          <w:highlight w:val="green"/>
        </w:rPr>
      </w:pPr>
    </w:p>
    <w:p w14:paraId="2CCE770E" w14:textId="77777777" w:rsidR="00927B43" w:rsidRPr="007234D7" w:rsidRDefault="00927B43" w:rsidP="00927B43">
      <w:pPr>
        <w:autoSpaceDE w:val="0"/>
        <w:autoSpaceDN w:val="0"/>
        <w:adjustRightInd w:val="0"/>
        <w:rPr>
          <w:b/>
          <w:bCs/>
          <w:sz w:val="24"/>
          <w:szCs w:val="24"/>
          <w:highlight w:val="green"/>
        </w:rPr>
      </w:pPr>
      <w:r w:rsidRPr="007234D7">
        <w:rPr>
          <w:b/>
          <w:bCs/>
          <w:sz w:val="24"/>
          <w:szCs w:val="24"/>
        </w:rPr>
        <w:t>ITP-studie population</w:t>
      </w:r>
    </w:p>
    <w:p w14:paraId="07BA2BD5" w14:textId="77777777" w:rsidR="00927B43" w:rsidRDefault="00927B43" w:rsidP="00927B43">
      <w:pPr>
        <w:autoSpaceDE w:val="0"/>
        <w:autoSpaceDN w:val="0"/>
        <w:adjustRightInd w:val="0"/>
        <w:jc w:val="both"/>
        <w:rPr>
          <w:highlight w:val="green"/>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1488"/>
        <w:gridCol w:w="4963"/>
      </w:tblGrid>
      <w:tr w:rsidR="00927B43" w14:paraId="0A5699DC" w14:textId="77777777" w:rsidTr="00927B43">
        <w:trPr>
          <w:trHeight w:hRule="exact" w:val="256"/>
        </w:trPr>
        <w:tc>
          <w:tcPr>
            <w:tcW w:w="2623" w:type="dxa"/>
            <w:tcBorders>
              <w:top w:val="single" w:sz="4" w:space="0" w:color="000000"/>
              <w:left w:val="single" w:sz="4" w:space="0" w:color="000000"/>
              <w:bottom w:val="single" w:sz="4" w:space="0" w:color="000000"/>
              <w:right w:val="single" w:sz="4" w:space="0" w:color="000000"/>
            </w:tcBorders>
            <w:hideMark/>
          </w:tcPr>
          <w:p w14:paraId="0C303265" w14:textId="77777777" w:rsidR="00927B43" w:rsidRDefault="00927B43">
            <w:pPr>
              <w:pStyle w:val="TableParagraph"/>
              <w:spacing w:before="1" w:line="240" w:lineRule="auto"/>
              <w:rPr>
                <w:b/>
                <w:highlight w:val="green"/>
                <w:lang w:val="da-DK"/>
              </w:rPr>
            </w:pPr>
            <w:r>
              <w:rPr>
                <w:b/>
                <w:lang w:val="da-DK"/>
              </w:rPr>
              <w:t>Systemorganklasse</w:t>
            </w:r>
          </w:p>
        </w:tc>
        <w:tc>
          <w:tcPr>
            <w:tcW w:w="1488" w:type="dxa"/>
            <w:tcBorders>
              <w:top w:val="single" w:sz="4" w:space="0" w:color="000000"/>
              <w:left w:val="single" w:sz="4" w:space="0" w:color="000000"/>
              <w:bottom w:val="single" w:sz="4" w:space="0" w:color="000000"/>
              <w:right w:val="single" w:sz="4" w:space="0" w:color="000000"/>
            </w:tcBorders>
            <w:hideMark/>
          </w:tcPr>
          <w:p w14:paraId="300A0005" w14:textId="77777777" w:rsidR="00927B43" w:rsidRDefault="00927B43">
            <w:pPr>
              <w:pStyle w:val="TableParagraph"/>
              <w:spacing w:before="1" w:line="240" w:lineRule="auto"/>
              <w:ind w:left="100"/>
              <w:rPr>
                <w:b/>
                <w:highlight w:val="green"/>
                <w:lang w:val="da-DK"/>
              </w:rPr>
            </w:pPr>
            <w:r>
              <w:rPr>
                <w:b/>
                <w:lang w:val="da-DK"/>
              </w:rPr>
              <w:t>Frekvens</w:t>
            </w:r>
          </w:p>
        </w:tc>
        <w:tc>
          <w:tcPr>
            <w:tcW w:w="4961" w:type="dxa"/>
            <w:tcBorders>
              <w:top w:val="single" w:sz="4" w:space="0" w:color="000000"/>
              <w:left w:val="single" w:sz="4" w:space="0" w:color="000000"/>
              <w:bottom w:val="single" w:sz="4" w:space="0" w:color="000000"/>
              <w:right w:val="single" w:sz="4" w:space="0" w:color="000000"/>
            </w:tcBorders>
            <w:hideMark/>
          </w:tcPr>
          <w:p w14:paraId="0AAF838E" w14:textId="77777777" w:rsidR="00927B43" w:rsidRDefault="00927B43">
            <w:pPr>
              <w:pStyle w:val="TableParagraph"/>
              <w:spacing w:before="1" w:line="240" w:lineRule="auto"/>
              <w:rPr>
                <w:b/>
                <w:highlight w:val="green"/>
                <w:lang w:val="da-DK"/>
              </w:rPr>
            </w:pPr>
            <w:r>
              <w:rPr>
                <w:b/>
                <w:lang w:val="da-DK"/>
              </w:rPr>
              <w:t>Bivirkning</w:t>
            </w:r>
          </w:p>
        </w:tc>
      </w:tr>
      <w:tr w:rsidR="00927B43" w14:paraId="27B25BE0" w14:textId="77777777" w:rsidTr="00927B43">
        <w:trPr>
          <w:trHeight w:hRule="exact" w:val="501"/>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37593409" w14:textId="77777777" w:rsidR="00927B43" w:rsidRDefault="00927B43">
            <w:pPr>
              <w:pStyle w:val="TableParagraph"/>
              <w:spacing w:line="240" w:lineRule="auto"/>
              <w:rPr>
                <w:lang w:val="da-DK"/>
              </w:rPr>
            </w:pPr>
            <w:r>
              <w:rPr>
                <w:lang w:val="da-DK"/>
              </w:rPr>
              <w:t>Infektioner og parasitære</w:t>
            </w:r>
          </w:p>
          <w:p w14:paraId="742E1010" w14:textId="77777777" w:rsidR="00927B43" w:rsidRDefault="00927B43">
            <w:pPr>
              <w:pStyle w:val="TableParagraph"/>
              <w:spacing w:line="240" w:lineRule="auto"/>
              <w:rPr>
                <w:highlight w:val="green"/>
                <w:lang w:val="da-DK"/>
              </w:rPr>
            </w:pPr>
            <w:r>
              <w:rPr>
                <w:lang w:val="da-DK"/>
              </w:rPr>
              <w:t>sygdomme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262B2B01" w14:textId="77777777" w:rsidR="00927B43" w:rsidRDefault="00927B43">
            <w:pPr>
              <w:pStyle w:val="TableParagraph"/>
              <w:spacing w:line="240" w:lineRule="auto"/>
              <w:ind w:left="100"/>
              <w:rPr>
                <w:lang w:val="da-DK"/>
              </w:rPr>
            </w:pPr>
            <w:r>
              <w:rPr>
                <w:lang w:val="da-DK"/>
              </w:rPr>
              <w:t>Meget</w:t>
            </w:r>
          </w:p>
          <w:p w14:paraId="611D7C22"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3301C16" w14:textId="77777777" w:rsidR="00927B43" w:rsidRDefault="00927B43">
            <w:pPr>
              <w:pStyle w:val="TableParagraph"/>
              <w:spacing w:line="240" w:lineRule="auto"/>
              <w:rPr>
                <w:sz w:val="14"/>
                <w:highlight w:val="green"/>
                <w:lang w:val="da-DK"/>
              </w:rPr>
            </w:pPr>
            <w:r>
              <w:rPr>
                <w:lang w:val="da-DK"/>
              </w:rPr>
              <w:t>Nasopharyngitis</w:t>
            </w:r>
            <w:r>
              <w:rPr>
                <w:position w:val="8"/>
                <w:sz w:val="14"/>
                <w:lang w:val="da-DK"/>
              </w:rPr>
              <w:t>♦</w:t>
            </w:r>
            <w:r>
              <w:rPr>
                <w:lang w:val="da-DK"/>
              </w:rPr>
              <w:t>, infektion i de øvre luftveje</w:t>
            </w:r>
            <w:r>
              <w:rPr>
                <w:position w:val="8"/>
                <w:sz w:val="14"/>
                <w:lang w:val="da-DK"/>
              </w:rPr>
              <w:t>♦</w:t>
            </w:r>
          </w:p>
        </w:tc>
      </w:tr>
      <w:tr w:rsidR="00927B43" w14:paraId="5D26978A" w14:textId="77777777" w:rsidTr="00927B43">
        <w:trPr>
          <w:trHeight w:hRule="exact" w:val="796"/>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007B58BA"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7077B7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51837EF" w14:textId="77777777" w:rsidR="00927B43" w:rsidRDefault="00927B43">
            <w:pPr>
              <w:pStyle w:val="TableParagraph"/>
              <w:spacing w:line="240" w:lineRule="auto"/>
              <w:rPr>
                <w:lang w:val="da-DK"/>
              </w:rPr>
            </w:pPr>
            <w:r>
              <w:rPr>
                <w:lang w:val="da-DK"/>
              </w:rPr>
              <w:t>Pharyngitis, influenza, herpes labialis, pneumoni, sinusitis, tonsillitis, infektion i luftvejene, gingivitis</w:t>
            </w:r>
          </w:p>
        </w:tc>
      </w:tr>
      <w:tr w:rsidR="00927B43" w14:paraId="2E65BF6C" w14:textId="77777777" w:rsidTr="00927B43">
        <w:trPr>
          <w:trHeight w:hRule="exact" w:val="497"/>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2C9064CF"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A7828EC" w14:textId="77777777" w:rsidR="00927B43" w:rsidRDefault="00927B43">
            <w:pPr>
              <w:pStyle w:val="TableParagraph"/>
              <w:spacing w:line="240" w:lineRule="auto"/>
              <w:ind w:left="100"/>
              <w:rPr>
                <w:lang w:val="da-DK"/>
              </w:rPr>
            </w:pPr>
            <w:r>
              <w:rPr>
                <w:lang w:val="da-DK"/>
              </w:rPr>
              <w:t>Ikke</w:t>
            </w:r>
          </w:p>
          <w:p w14:paraId="2EC6C9C4"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B372A7D" w14:textId="77777777" w:rsidR="00927B43" w:rsidRDefault="00927B43">
            <w:pPr>
              <w:pStyle w:val="TableParagraph"/>
              <w:spacing w:line="240" w:lineRule="auto"/>
              <w:rPr>
                <w:highlight w:val="green"/>
                <w:lang w:val="da-DK"/>
              </w:rPr>
            </w:pPr>
            <w:r>
              <w:rPr>
                <w:lang w:val="da-DK"/>
              </w:rPr>
              <w:t>Hudinfektion</w:t>
            </w:r>
          </w:p>
        </w:tc>
      </w:tr>
      <w:tr w:rsidR="00927B43" w14:paraId="63225C60" w14:textId="77777777" w:rsidTr="00927B43">
        <w:trPr>
          <w:trHeight w:hRule="exact" w:val="987"/>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106D6D0D" w14:textId="77777777" w:rsidR="00927B43" w:rsidRDefault="00927B43">
            <w:pPr>
              <w:pStyle w:val="TableParagraph"/>
              <w:spacing w:line="240" w:lineRule="auto"/>
              <w:rPr>
                <w:lang w:val="da-DK"/>
              </w:rPr>
            </w:pPr>
            <w:r>
              <w:rPr>
                <w:lang w:val="da-DK"/>
              </w:rPr>
              <w:t>Benigne, maligne og</w:t>
            </w:r>
          </w:p>
          <w:p w14:paraId="50FD44E4" w14:textId="77777777" w:rsidR="00927B43" w:rsidRDefault="00927B43">
            <w:pPr>
              <w:pStyle w:val="TableParagraph"/>
              <w:spacing w:line="240" w:lineRule="auto"/>
              <w:rPr>
                <w:lang w:val="da-DK"/>
              </w:rPr>
            </w:pPr>
            <w:r>
              <w:rPr>
                <w:lang w:val="da-DK"/>
              </w:rPr>
              <w:t>uspecificerede tumorer (inkl. cyster og polypper)</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F48CF5F" w14:textId="77777777" w:rsidR="00927B43" w:rsidRDefault="00927B43">
            <w:pPr>
              <w:pStyle w:val="TableParagraph"/>
              <w:spacing w:line="240" w:lineRule="auto"/>
              <w:ind w:left="100"/>
              <w:rPr>
                <w:lang w:val="da-DK"/>
              </w:rPr>
            </w:pPr>
            <w:r>
              <w:rPr>
                <w:lang w:val="da-DK"/>
              </w:rPr>
              <w:t>Ikke</w:t>
            </w:r>
          </w:p>
          <w:p w14:paraId="4748429B"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A301F02" w14:textId="77777777" w:rsidR="00927B43" w:rsidRDefault="00927B43">
            <w:pPr>
              <w:pStyle w:val="TableParagraph"/>
              <w:spacing w:line="240" w:lineRule="auto"/>
              <w:rPr>
                <w:highlight w:val="green"/>
                <w:lang w:val="da-DK"/>
              </w:rPr>
            </w:pPr>
            <w:r>
              <w:rPr>
                <w:lang w:val="da-DK"/>
              </w:rPr>
              <w:t>Rektosigmoid cancer</w:t>
            </w:r>
          </w:p>
        </w:tc>
      </w:tr>
      <w:tr w:rsidR="00927B43" w14:paraId="6BF1C422" w14:textId="77777777" w:rsidTr="00927B43">
        <w:trPr>
          <w:trHeight w:hRule="exact" w:val="809"/>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383EC81C" w14:textId="77777777" w:rsidR="00927B43" w:rsidRDefault="00927B43">
            <w:pPr>
              <w:pStyle w:val="TableParagraph"/>
              <w:spacing w:line="240" w:lineRule="auto"/>
              <w:rPr>
                <w:highlight w:val="green"/>
                <w:lang w:val="da-DK"/>
              </w:rPr>
            </w:pPr>
            <w:r>
              <w:rPr>
                <w:lang w:val="da-DK"/>
              </w:rPr>
              <w:t>Blod- og lymfesystem</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5B8FAFF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25E6FBF" w14:textId="77777777" w:rsidR="00927B43" w:rsidRDefault="00927B43">
            <w:pPr>
              <w:pStyle w:val="TableParagraph"/>
              <w:spacing w:line="240" w:lineRule="auto"/>
              <w:rPr>
                <w:lang w:val="da-DK"/>
              </w:rPr>
            </w:pPr>
            <w:r>
              <w:rPr>
                <w:lang w:val="da-DK"/>
              </w:rPr>
              <w:t>Anæmi, eosinofili, leukocytose, trombocytopeni, nedsat hæmoglobin, reduceret antal hvide blodlegemer</w:t>
            </w:r>
          </w:p>
        </w:tc>
      </w:tr>
      <w:tr w:rsidR="00927B43" w14:paraId="63110536" w14:textId="77777777" w:rsidTr="00927B43">
        <w:trPr>
          <w:trHeight w:hRule="exact" w:val="1040"/>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34FE2CB6"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6060C60" w14:textId="77777777" w:rsidR="00927B43" w:rsidRDefault="00927B43">
            <w:pPr>
              <w:pStyle w:val="TableParagraph"/>
              <w:spacing w:line="240" w:lineRule="auto"/>
              <w:ind w:left="100"/>
              <w:rPr>
                <w:lang w:val="da-DK"/>
              </w:rPr>
            </w:pPr>
            <w:r>
              <w:rPr>
                <w:lang w:val="da-DK"/>
              </w:rPr>
              <w:t>Ikke</w:t>
            </w:r>
          </w:p>
          <w:p w14:paraId="01157294"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ED957FB" w14:textId="77777777" w:rsidR="00927B43" w:rsidRDefault="00927B43">
            <w:pPr>
              <w:pStyle w:val="TableParagraph"/>
              <w:spacing w:line="240" w:lineRule="auto"/>
              <w:rPr>
                <w:highlight w:val="green"/>
                <w:lang w:val="da-DK"/>
              </w:rPr>
            </w:pPr>
            <w:r>
              <w:rPr>
                <w:lang w:val="da-DK"/>
              </w:rPr>
              <w:t>Anisocytose, hæmolytisk anæmi, myelocytose, forhøjet båndneutrofiltal, tilstedeværelse af myelocytter, forhøjet trombocyttal, forhøjet hæmoglobin</w:t>
            </w:r>
          </w:p>
        </w:tc>
      </w:tr>
      <w:tr w:rsidR="00927B43" w14:paraId="4242A6CD" w14:textId="77777777" w:rsidTr="00927B43">
        <w:trPr>
          <w:trHeight w:hRule="exact" w:val="598"/>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1F01C378" w14:textId="77777777" w:rsidR="00927B43" w:rsidRDefault="00927B43">
            <w:pPr>
              <w:pStyle w:val="TableParagraph"/>
              <w:spacing w:line="240" w:lineRule="auto"/>
              <w:rPr>
                <w:highlight w:val="green"/>
                <w:lang w:val="da-DK"/>
              </w:rPr>
            </w:pPr>
            <w:r>
              <w:rPr>
                <w:lang w:val="da-DK"/>
              </w:rPr>
              <w:t>Immunsystemet</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21B4A278" w14:textId="77777777" w:rsidR="00927B43" w:rsidRDefault="00927B43">
            <w:pPr>
              <w:pStyle w:val="TableParagraph"/>
              <w:spacing w:line="240" w:lineRule="auto"/>
              <w:ind w:left="100"/>
              <w:rPr>
                <w:lang w:val="da-DK"/>
              </w:rPr>
            </w:pPr>
            <w:r>
              <w:rPr>
                <w:lang w:val="da-DK"/>
              </w:rPr>
              <w:t>Ikke</w:t>
            </w:r>
          </w:p>
          <w:p w14:paraId="29C9A133"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739DF92" w14:textId="77777777" w:rsidR="00927B43" w:rsidRDefault="00927B43">
            <w:pPr>
              <w:pStyle w:val="TableParagraph"/>
              <w:spacing w:line="240" w:lineRule="auto"/>
              <w:rPr>
                <w:highlight w:val="green"/>
                <w:lang w:val="da-DK"/>
              </w:rPr>
            </w:pPr>
            <w:r>
              <w:rPr>
                <w:lang w:val="da-DK"/>
              </w:rPr>
              <w:t>Overfølsomhed</w:t>
            </w:r>
          </w:p>
        </w:tc>
      </w:tr>
      <w:tr w:rsidR="00927B43" w14:paraId="5E53BCBD" w14:textId="77777777" w:rsidTr="00927B43">
        <w:trPr>
          <w:trHeight w:hRule="exact" w:val="585"/>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1205DA3F" w14:textId="77777777" w:rsidR="00927B43" w:rsidRDefault="00927B43">
            <w:pPr>
              <w:pStyle w:val="TableParagraph"/>
              <w:spacing w:line="240" w:lineRule="auto"/>
              <w:rPr>
                <w:highlight w:val="green"/>
                <w:lang w:val="da-DK"/>
              </w:rPr>
            </w:pPr>
            <w:r>
              <w:rPr>
                <w:lang w:val="da-DK"/>
              </w:rPr>
              <w:t>Metabolisme og ernæring</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5925937" w14:textId="77777777" w:rsidR="00927B43" w:rsidRDefault="00927B43">
            <w:pPr>
              <w:pStyle w:val="TableParagraph"/>
              <w:spacing w:line="240" w:lineRule="auto"/>
              <w:ind w:left="100"/>
              <w:rPr>
                <w:highlight w:val="green"/>
                <w:lang w:val="da-DK"/>
              </w:rPr>
            </w:pPr>
            <w:r>
              <w:rPr>
                <w:lang w:val="da-DK"/>
              </w:rPr>
              <w:t xml:space="preserve">Almindelig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A753A8B" w14:textId="77777777" w:rsidR="00927B43" w:rsidRDefault="00927B43">
            <w:pPr>
              <w:pStyle w:val="TableParagraph"/>
              <w:spacing w:line="240" w:lineRule="auto"/>
              <w:rPr>
                <w:highlight w:val="green"/>
                <w:lang w:val="da-DK"/>
              </w:rPr>
            </w:pPr>
            <w:r>
              <w:rPr>
                <w:lang w:val="da-DK"/>
              </w:rPr>
              <w:t>Hypokaliæmi, nedsat appetit, forhøjet urinsyre i blodet</w:t>
            </w:r>
          </w:p>
        </w:tc>
      </w:tr>
      <w:tr w:rsidR="00927B43" w14:paraId="2F6BA11D" w14:textId="77777777" w:rsidTr="00927B43">
        <w:trPr>
          <w:trHeight w:hRule="exact" w:val="557"/>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4D7C7B1F"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B8C33A5" w14:textId="77777777" w:rsidR="00927B43" w:rsidRDefault="00927B43">
            <w:pPr>
              <w:pStyle w:val="TableParagraph"/>
              <w:spacing w:line="240" w:lineRule="auto"/>
              <w:ind w:left="100"/>
              <w:rPr>
                <w:lang w:val="da-DK"/>
              </w:rPr>
            </w:pPr>
            <w:r>
              <w:rPr>
                <w:lang w:val="da-DK"/>
              </w:rPr>
              <w:t>Ikke</w:t>
            </w:r>
          </w:p>
          <w:p w14:paraId="0CA6238D"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CAE8D32" w14:textId="77777777" w:rsidR="00927B43" w:rsidRDefault="00927B43">
            <w:pPr>
              <w:pStyle w:val="TableParagraph"/>
              <w:spacing w:line="240" w:lineRule="auto"/>
              <w:rPr>
                <w:highlight w:val="green"/>
                <w:lang w:val="da-DK"/>
              </w:rPr>
            </w:pPr>
            <w:r>
              <w:rPr>
                <w:lang w:val="da-DK"/>
              </w:rPr>
              <w:t>Anoreksi, urinsyregigt, hypokalcæmi</w:t>
            </w:r>
          </w:p>
        </w:tc>
      </w:tr>
      <w:tr w:rsidR="00927B43" w14:paraId="6831F7D9" w14:textId="77777777" w:rsidTr="00927B43">
        <w:trPr>
          <w:trHeight w:hRule="exact" w:val="254"/>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4F10A93B" w14:textId="77777777" w:rsidR="00927B43" w:rsidRDefault="00927B43">
            <w:pPr>
              <w:pStyle w:val="TableParagraph"/>
              <w:spacing w:line="240" w:lineRule="auto"/>
              <w:rPr>
                <w:highlight w:val="green"/>
                <w:lang w:val="da-DK"/>
              </w:rPr>
            </w:pPr>
            <w:r>
              <w:rPr>
                <w:lang w:val="da-DK"/>
              </w:rPr>
              <w:lastRenderedPageBreak/>
              <w:t xml:space="preserve">Psykiske forstyrrelser </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4D39122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17A3437" w14:textId="77777777" w:rsidR="00927B43" w:rsidRDefault="00927B43">
            <w:pPr>
              <w:pStyle w:val="TableParagraph"/>
              <w:spacing w:line="240" w:lineRule="auto"/>
              <w:rPr>
                <w:highlight w:val="green"/>
                <w:lang w:val="da-DK"/>
              </w:rPr>
            </w:pPr>
            <w:r>
              <w:rPr>
                <w:lang w:val="da-DK"/>
              </w:rPr>
              <w:t xml:space="preserve">Søvnforstyrrelser, depression </w:t>
            </w:r>
          </w:p>
        </w:tc>
      </w:tr>
      <w:tr w:rsidR="00927B43" w14:paraId="06207462" w14:textId="77777777" w:rsidTr="00927B43">
        <w:trPr>
          <w:trHeight w:hRule="exact" w:val="595"/>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5FFE1FD0"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317628D" w14:textId="77777777" w:rsidR="00927B43" w:rsidRDefault="00927B43">
            <w:pPr>
              <w:pStyle w:val="TableParagraph"/>
              <w:spacing w:line="240" w:lineRule="auto"/>
              <w:ind w:left="100"/>
              <w:rPr>
                <w:lang w:val="da-DK"/>
              </w:rPr>
            </w:pPr>
            <w:r>
              <w:rPr>
                <w:lang w:val="da-DK"/>
              </w:rPr>
              <w:t>Ikke</w:t>
            </w:r>
          </w:p>
          <w:p w14:paraId="232C9BF5"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167CC97" w14:textId="77777777" w:rsidR="00927B43" w:rsidRDefault="00927B43">
            <w:pPr>
              <w:pStyle w:val="TableParagraph"/>
              <w:spacing w:line="240" w:lineRule="auto"/>
              <w:rPr>
                <w:highlight w:val="green"/>
                <w:lang w:val="da-DK"/>
              </w:rPr>
            </w:pPr>
            <w:r>
              <w:rPr>
                <w:lang w:val="da-DK"/>
              </w:rPr>
              <w:t>Apati, humørsvingninger, grådlabilitet</w:t>
            </w:r>
          </w:p>
        </w:tc>
      </w:tr>
      <w:tr w:rsidR="00927B43" w14:paraId="5963329A" w14:textId="77777777" w:rsidTr="00927B43">
        <w:trPr>
          <w:trHeight w:hRule="exact" w:val="345"/>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261D7792" w14:textId="77777777" w:rsidR="00927B43" w:rsidRDefault="00927B43">
            <w:pPr>
              <w:pStyle w:val="TableParagraph"/>
              <w:spacing w:line="240" w:lineRule="auto"/>
              <w:rPr>
                <w:highlight w:val="green"/>
                <w:lang w:val="da-DK"/>
              </w:rPr>
            </w:pPr>
            <w:r>
              <w:rPr>
                <w:lang w:val="da-DK"/>
              </w:rPr>
              <w:t>Nervesystemet</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5380E234"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272CE5B" w14:textId="77777777" w:rsidR="00927B43" w:rsidRDefault="00927B43">
            <w:pPr>
              <w:pStyle w:val="TableParagraph"/>
              <w:spacing w:line="240" w:lineRule="auto"/>
              <w:rPr>
                <w:highlight w:val="green"/>
                <w:lang w:val="da-DK"/>
              </w:rPr>
            </w:pPr>
            <w:r>
              <w:rPr>
                <w:lang w:val="da-DK"/>
              </w:rPr>
              <w:t>Paræstesi, hypoæstesi, somnolens, migræne</w:t>
            </w:r>
          </w:p>
        </w:tc>
      </w:tr>
      <w:tr w:rsidR="00927B43" w14:paraId="6959F742" w14:textId="77777777" w:rsidTr="00927B43">
        <w:trPr>
          <w:trHeight w:hRule="exact" w:val="1066"/>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4D992AF7"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8122A96" w14:textId="77777777" w:rsidR="00927B43" w:rsidRDefault="00927B43">
            <w:pPr>
              <w:pStyle w:val="TableParagraph"/>
              <w:spacing w:line="240" w:lineRule="auto"/>
              <w:ind w:left="100"/>
              <w:rPr>
                <w:lang w:val="da-DK"/>
              </w:rPr>
            </w:pPr>
            <w:r>
              <w:rPr>
                <w:lang w:val="da-DK"/>
              </w:rPr>
              <w:t>Ikke</w:t>
            </w:r>
          </w:p>
          <w:p w14:paraId="3BF882B3"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7BAEE6F" w14:textId="77777777" w:rsidR="00927B43" w:rsidRDefault="00927B43">
            <w:pPr>
              <w:pStyle w:val="TableParagraph"/>
              <w:spacing w:line="240" w:lineRule="auto"/>
              <w:rPr>
                <w:highlight w:val="green"/>
                <w:lang w:val="da-DK"/>
              </w:rPr>
            </w:pPr>
            <w:r>
              <w:rPr>
                <w:lang w:val="da-DK"/>
              </w:rPr>
              <w:t>Tremor, balanceforstyrrelser, dysæstesi, hemiparese, migræne med aura, perifer neuropati, perifer sensorisk neuropati, taleforstyrrelser, toksisk neuropati, vaskulær hovedpine</w:t>
            </w:r>
          </w:p>
        </w:tc>
      </w:tr>
      <w:tr w:rsidR="00927B43" w14:paraId="602B1E14" w14:textId="77777777" w:rsidTr="00927B43">
        <w:trPr>
          <w:trHeight w:hRule="exact" w:val="635"/>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3B6F7E23" w14:textId="77777777" w:rsidR="00927B43" w:rsidRDefault="00927B43">
            <w:pPr>
              <w:pStyle w:val="TableParagraph"/>
              <w:spacing w:line="240" w:lineRule="auto"/>
              <w:rPr>
                <w:highlight w:val="green"/>
                <w:lang w:val="da-DK"/>
              </w:rPr>
            </w:pPr>
            <w:r>
              <w:rPr>
                <w:lang w:val="da-DK"/>
              </w:rPr>
              <w:t>Øjne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F46D26A"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B031436" w14:textId="77777777" w:rsidR="00927B43" w:rsidRDefault="00927B43">
            <w:pPr>
              <w:pStyle w:val="TableParagraph"/>
              <w:spacing w:line="240" w:lineRule="auto"/>
              <w:rPr>
                <w:highlight w:val="green"/>
                <w:lang w:val="da-DK"/>
              </w:rPr>
            </w:pPr>
            <w:r>
              <w:rPr>
                <w:lang w:val="da-DK"/>
              </w:rPr>
              <w:t>Øjentørhed, sløret syn, øjensmerter, nedsat skarpsyn</w:t>
            </w:r>
          </w:p>
        </w:tc>
      </w:tr>
      <w:tr w:rsidR="00927B43" w14:paraId="5CC93D67" w14:textId="77777777" w:rsidTr="00927B43">
        <w:trPr>
          <w:trHeight w:hRule="exact" w:val="1282"/>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712DC386"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3B2D8DB" w14:textId="77777777" w:rsidR="00927B43" w:rsidRDefault="00927B43">
            <w:pPr>
              <w:pStyle w:val="TableParagraph"/>
              <w:spacing w:line="240" w:lineRule="auto"/>
              <w:ind w:left="100"/>
              <w:rPr>
                <w:lang w:val="da-DK"/>
              </w:rPr>
            </w:pPr>
            <w:r>
              <w:rPr>
                <w:lang w:val="da-DK"/>
              </w:rPr>
              <w:t>Ikke</w:t>
            </w:r>
          </w:p>
          <w:p w14:paraId="7F35EFB2"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3396AF6" w14:textId="77777777" w:rsidR="00927B43" w:rsidRDefault="00927B43">
            <w:pPr>
              <w:pStyle w:val="TableParagraph"/>
              <w:spacing w:line="240" w:lineRule="auto"/>
              <w:rPr>
                <w:highlight w:val="green"/>
                <w:lang w:val="da-DK"/>
              </w:rPr>
            </w:pPr>
            <w:r>
              <w:rPr>
                <w:lang w:val="da-DK"/>
              </w:rPr>
              <w:t>Lentikulær uklarhed, bygningsfejl, kortikal katarakt, øget tåresekretion, retinal blødning, retinal pigment epiteliopati, forringet syn, unormale tests for skarpsyn, blefaritis, keratokonjunktivitis sicca</w:t>
            </w:r>
          </w:p>
        </w:tc>
      </w:tr>
      <w:tr w:rsidR="00927B43" w14:paraId="02EF72A3" w14:textId="77777777" w:rsidTr="00927B43">
        <w:trPr>
          <w:trHeight w:hRule="exact" w:val="256"/>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2F4570AF" w14:textId="77777777" w:rsidR="00927B43" w:rsidRDefault="00927B43">
            <w:pPr>
              <w:pStyle w:val="TableParagraph"/>
              <w:spacing w:line="240" w:lineRule="auto"/>
              <w:rPr>
                <w:highlight w:val="green"/>
                <w:lang w:val="da-DK"/>
              </w:rPr>
            </w:pPr>
            <w:r>
              <w:rPr>
                <w:lang w:val="da-DK"/>
              </w:rPr>
              <w:t>Øre og labyrint</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600C25E"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62D4CFE" w14:textId="77777777" w:rsidR="00927B43" w:rsidRDefault="00927B43">
            <w:pPr>
              <w:pStyle w:val="TableParagraph"/>
              <w:spacing w:line="240" w:lineRule="auto"/>
              <w:rPr>
                <w:highlight w:val="green"/>
                <w:lang w:val="da-DK"/>
              </w:rPr>
            </w:pPr>
            <w:r>
              <w:rPr>
                <w:lang w:val="da-DK"/>
              </w:rPr>
              <w:t>Øresmerter, svimmelhed (vertigo)</w:t>
            </w:r>
          </w:p>
        </w:tc>
      </w:tr>
      <w:tr w:rsidR="00927B43" w14:paraId="36E3729D" w14:textId="77777777" w:rsidTr="00927B43">
        <w:trPr>
          <w:trHeight w:hRule="exact" w:val="891"/>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370D79D5" w14:textId="77777777" w:rsidR="00927B43" w:rsidRDefault="00927B43">
            <w:pPr>
              <w:pStyle w:val="TableParagraph"/>
              <w:spacing w:line="240" w:lineRule="auto"/>
              <w:rPr>
                <w:highlight w:val="green"/>
                <w:lang w:val="da-DK"/>
              </w:rPr>
            </w:pPr>
            <w:r>
              <w:rPr>
                <w:lang w:val="da-DK"/>
              </w:rPr>
              <w:t>Hjerte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B07B713" w14:textId="77777777" w:rsidR="00927B43" w:rsidRDefault="00927B43">
            <w:pPr>
              <w:pStyle w:val="TableParagraph"/>
              <w:spacing w:line="240" w:lineRule="auto"/>
              <w:ind w:left="100"/>
              <w:rPr>
                <w:lang w:val="da-DK"/>
              </w:rPr>
            </w:pPr>
            <w:r>
              <w:rPr>
                <w:lang w:val="da-DK"/>
              </w:rPr>
              <w:t>Ikke</w:t>
            </w:r>
          </w:p>
          <w:p w14:paraId="12072474"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70E33BC" w14:textId="77777777" w:rsidR="00927B43" w:rsidRDefault="00927B43">
            <w:pPr>
              <w:pStyle w:val="TableParagraph"/>
              <w:spacing w:line="240" w:lineRule="auto"/>
              <w:rPr>
                <w:highlight w:val="green"/>
                <w:lang w:val="da-DK"/>
              </w:rPr>
            </w:pPr>
            <w:r>
              <w:rPr>
                <w:lang w:val="da-DK"/>
              </w:rPr>
              <w:t>Takykardi, akut myokardieinfarkt, kardiovaskulære sygdomme, cyanose, sinus takykardi, QT-forlængelse ved EKG</w:t>
            </w:r>
          </w:p>
        </w:tc>
      </w:tr>
      <w:tr w:rsidR="00927B43" w14:paraId="5159CCCC" w14:textId="77777777" w:rsidTr="00927B43">
        <w:trPr>
          <w:trHeight w:hRule="exact" w:val="256"/>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4EB0B72B" w14:textId="77777777" w:rsidR="00927B43" w:rsidRDefault="00927B43">
            <w:pPr>
              <w:pStyle w:val="TableParagraph"/>
              <w:spacing w:line="240" w:lineRule="auto"/>
              <w:rPr>
                <w:highlight w:val="green"/>
                <w:lang w:val="da-DK"/>
              </w:rPr>
            </w:pPr>
            <w:r>
              <w:rPr>
                <w:lang w:val="da-DK"/>
              </w:rPr>
              <w:t>Vaskulære sygdomme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6C6FC70F"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7346D82" w14:textId="77777777" w:rsidR="00927B43" w:rsidRDefault="00927B43">
            <w:pPr>
              <w:pStyle w:val="TableParagraph"/>
              <w:spacing w:line="240" w:lineRule="auto"/>
              <w:rPr>
                <w:highlight w:val="green"/>
                <w:lang w:val="da-DK"/>
              </w:rPr>
            </w:pPr>
            <w:r>
              <w:rPr>
                <w:lang w:val="da-DK"/>
              </w:rPr>
              <w:t>Dyb venetrombose, hæmatomer, hedeture</w:t>
            </w:r>
          </w:p>
        </w:tc>
      </w:tr>
      <w:tr w:rsidR="00927B43" w14:paraId="35EA362D" w14:textId="77777777" w:rsidTr="00927B43">
        <w:trPr>
          <w:trHeight w:hRule="exact" w:val="529"/>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7D128D44"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4BC25DC4" w14:textId="77777777" w:rsidR="00927B43" w:rsidRDefault="00927B43">
            <w:pPr>
              <w:pStyle w:val="TableParagraph"/>
              <w:spacing w:line="240" w:lineRule="auto"/>
              <w:ind w:left="100"/>
              <w:rPr>
                <w:lang w:val="da-DK"/>
              </w:rPr>
            </w:pPr>
            <w:r>
              <w:rPr>
                <w:lang w:val="da-DK"/>
              </w:rPr>
              <w:t>Ikke</w:t>
            </w:r>
          </w:p>
          <w:p w14:paraId="7A940FFA"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D35D99E" w14:textId="77777777" w:rsidR="00927B43" w:rsidRDefault="00927B43">
            <w:pPr>
              <w:pStyle w:val="TableParagraph"/>
              <w:spacing w:line="240" w:lineRule="auto"/>
              <w:rPr>
                <w:highlight w:val="green"/>
                <w:lang w:val="da-DK"/>
              </w:rPr>
            </w:pPr>
            <w:r>
              <w:rPr>
                <w:lang w:val="da-DK"/>
              </w:rPr>
              <w:t>Emboli, overfladisk tromboflebitis, rødmen</w:t>
            </w:r>
          </w:p>
        </w:tc>
      </w:tr>
      <w:tr w:rsidR="00927B43" w14:paraId="28779BF1" w14:textId="77777777" w:rsidTr="00927B43">
        <w:trPr>
          <w:trHeight w:hRule="exact" w:val="502"/>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752D2387" w14:textId="77777777" w:rsidR="00927B43" w:rsidRDefault="00927B43">
            <w:pPr>
              <w:pStyle w:val="TableParagraph"/>
              <w:spacing w:line="240" w:lineRule="auto"/>
              <w:rPr>
                <w:lang w:val="da-DK"/>
              </w:rPr>
            </w:pPr>
            <w:r>
              <w:rPr>
                <w:lang w:val="da-DK"/>
              </w:rPr>
              <w:t>Luftveje, thorax og</w:t>
            </w:r>
          </w:p>
          <w:p w14:paraId="5FB8E14F" w14:textId="77777777" w:rsidR="00927B43" w:rsidRDefault="00927B43">
            <w:pPr>
              <w:pStyle w:val="TableParagraph"/>
              <w:spacing w:line="240" w:lineRule="auto"/>
              <w:rPr>
                <w:highlight w:val="green"/>
                <w:lang w:val="da-DK"/>
              </w:rPr>
            </w:pPr>
            <w:r>
              <w:rPr>
                <w:lang w:val="da-DK"/>
              </w:rPr>
              <w:t>mediastinum</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52A889DC" w14:textId="77777777" w:rsidR="00927B43" w:rsidRDefault="00927B43">
            <w:pPr>
              <w:pStyle w:val="TableParagraph"/>
              <w:spacing w:line="240" w:lineRule="auto"/>
              <w:ind w:left="100"/>
              <w:rPr>
                <w:lang w:val="da-DK"/>
              </w:rPr>
            </w:pPr>
            <w:r>
              <w:rPr>
                <w:lang w:val="da-DK"/>
              </w:rPr>
              <w:t>Meget</w:t>
            </w:r>
          </w:p>
          <w:p w14:paraId="26BDA7EC"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4DFCAE5" w14:textId="77777777" w:rsidR="00927B43" w:rsidRDefault="00927B43">
            <w:pPr>
              <w:pStyle w:val="TableParagraph"/>
              <w:spacing w:line="240" w:lineRule="auto"/>
              <w:rPr>
                <w:sz w:val="14"/>
                <w:lang w:val="da-DK"/>
              </w:rPr>
            </w:pPr>
            <w:r>
              <w:rPr>
                <w:lang w:val="da-DK"/>
              </w:rPr>
              <w:t>Hoste</w:t>
            </w:r>
            <w:r>
              <w:rPr>
                <w:position w:val="8"/>
                <w:sz w:val="14"/>
                <w:lang w:val="da-DK"/>
              </w:rPr>
              <w:t>♦</w:t>
            </w:r>
          </w:p>
        </w:tc>
      </w:tr>
      <w:tr w:rsidR="00927B43" w14:paraId="4FB414BC" w14:textId="77777777" w:rsidTr="00927B43">
        <w:trPr>
          <w:trHeight w:hRule="exact" w:val="270"/>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0FA643D8"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78858065"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49B951C" w14:textId="77777777" w:rsidR="00927B43" w:rsidRDefault="00927B43">
            <w:pPr>
              <w:pStyle w:val="TableParagraph"/>
              <w:spacing w:line="240" w:lineRule="auto"/>
              <w:rPr>
                <w:sz w:val="14"/>
                <w:lang w:val="da-DK"/>
              </w:rPr>
            </w:pPr>
            <w:r>
              <w:rPr>
                <w:lang w:val="da-DK"/>
              </w:rPr>
              <w:t>Orofaryngeal smerte</w:t>
            </w:r>
            <w:r>
              <w:rPr>
                <w:position w:val="8"/>
                <w:sz w:val="14"/>
                <w:lang w:val="da-DK"/>
              </w:rPr>
              <w:t>♦</w:t>
            </w:r>
            <w:r>
              <w:rPr>
                <w:lang w:val="da-DK"/>
              </w:rPr>
              <w:t>, rinorré</w:t>
            </w:r>
            <w:r>
              <w:rPr>
                <w:position w:val="8"/>
                <w:sz w:val="14"/>
                <w:lang w:val="da-DK"/>
              </w:rPr>
              <w:t>♦</w:t>
            </w:r>
          </w:p>
        </w:tc>
      </w:tr>
      <w:tr w:rsidR="00927B43" w14:paraId="31D53E19" w14:textId="77777777" w:rsidTr="00927B43">
        <w:trPr>
          <w:trHeight w:hRule="exact" w:val="823"/>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4A8C47AA"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2A616A9" w14:textId="77777777" w:rsidR="00927B43" w:rsidRDefault="00927B43">
            <w:pPr>
              <w:pStyle w:val="TableParagraph"/>
              <w:spacing w:line="240" w:lineRule="auto"/>
              <w:ind w:left="100"/>
              <w:rPr>
                <w:lang w:val="da-DK"/>
              </w:rPr>
            </w:pPr>
            <w:r>
              <w:rPr>
                <w:lang w:val="da-DK"/>
              </w:rPr>
              <w:t>Ikke</w:t>
            </w:r>
          </w:p>
          <w:p w14:paraId="38BFF2F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6D8AF98" w14:textId="77777777" w:rsidR="00927B43" w:rsidRDefault="00927B43">
            <w:pPr>
              <w:pStyle w:val="TableParagraph"/>
              <w:spacing w:line="240" w:lineRule="auto"/>
              <w:rPr>
                <w:lang w:val="da-DK"/>
              </w:rPr>
            </w:pPr>
            <w:r>
              <w:rPr>
                <w:lang w:val="da-DK"/>
              </w:rPr>
              <w:t>Pulmonal emboli, pulmonalt infarkt, nasalt ubehag, orofaryngeale blærer, sinusforstyrrelse, søvnapnø</w:t>
            </w:r>
          </w:p>
        </w:tc>
      </w:tr>
      <w:tr w:rsidR="00927B43" w14:paraId="28B1305B" w14:textId="77777777" w:rsidTr="00927B43">
        <w:trPr>
          <w:trHeight w:hRule="exact" w:val="498"/>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5CBC23CA" w14:textId="77777777" w:rsidR="00927B43" w:rsidRDefault="00927B43">
            <w:pPr>
              <w:pStyle w:val="TableParagraph"/>
              <w:spacing w:line="240" w:lineRule="auto"/>
              <w:rPr>
                <w:highlight w:val="green"/>
                <w:lang w:val="da-DK"/>
              </w:rPr>
            </w:pPr>
            <w:r>
              <w:rPr>
                <w:lang w:val="da-DK"/>
              </w:rPr>
              <w:t>Mave-tarm-kanalen</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8B5ED00" w14:textId="77777777" w:rsidR="00927B43" w:rsidRDefault="00927B43">
            <w:pPr>
              <w:pStyle w:val="TableParagraph"/>
              <w:spacing w:line="240" w:lineRule="auto"/>
              <w:ind w:left="100"/>
              <w:rPr>
                <w:lang w:val="da-DK"/>
              </w:rPr>
            </w:pPr>
            <w:r>
              <w:rPr>
                <w:lang w:val="da-DK"/>
              </w:rPr>
              <w:t>Meget</w:t>
            </w:r>
          </w:p>
          <w:p w14:paraId="3651F311"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0E69365" w14:textId="77777777" w:rsidR="00927B43" w:rsidRDefault="00927B43">
            <w:pPr>
              <w:pStyle w:val="TableParagraph"/>
              <w:spacing w:line="240" w:lineRule="auto"/>
              <w:rPr>
                <w:lang w:val="da-DK"/>
              </w:rPr>
            </w:pPr>
            <w:r>
              <w:rPr>
                <w:lang w:val="da-DK"/>
              </w:rPr>
              <w:t>Kvalme, diarré</w:t>
            </w:r>
          </w:p>
        </w:tc>
      </w:tr>
      <w:tr w:rsidR="00927B43" w14:paraId="0E8EDFBF" w14:textId="77777777" w:rsidTr="00927B43">
        <w:trPr>
          <w:trHeight w:val="764"/>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3098E269"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7432A2D5"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59DAEEA" w14:textId="77777777" w:rsidR="00927B43" w:rsidRDefault="00927B43">
            <w:pPr>
              <w:pStyle w:val="TableParagraph"/>
              <w:spacing w:line="240" w:lineRule="auto"/>
              <w:rPr>
                <w:lang w:val="da-DK"/>
              </w:rPr>
            </w:pPr>
            <w:r>
              <w:rPr>
                <w:lang w:val="da-DK"/>
              </w:rPr>
              <w:t xml:space="preserve">Mundsår, tandpine♦, opkast, abdominalsmerter*, blødning fra munden, flatulens </w:t>
            </w:r>
          </w:p>
          <w:p w14:paraId="1D4C2E09" w14:textId="77777777" w:rsidR="00927B43" w:rsidRDefault="00927B43">
            <w:pPr>
              <w:pStyle w:val="TableParagraph"/>
              <w:spacing w:line="240" w:lineRule="auto"/>
              <w:rPr>
                <w:lang w:val="da-DK"/>
              </w:rPr>
            </w:pPr>
            <w:r>
              <w:rPr>
                <w:lang w:val="da-DK"/>
              </w:rPr>
              <w:t>* Meget almindelig hos pædiatrisk patienter med ITP</w:t>
            </w:r>
          </w:p>
        </w:tc>
      </w:tr>
      <w:tr w:rsidR="00927B43" w14:paraId="7DF3A89E" w14:textId="77777777" w:rsidTr="00927B43">
        <w:trPr>
          <w:trHeight w:hRule="exact" w:val="853"/>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1A2A5903"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65A58B86" w14:textId="77777777" w:rsidR="00927B43" w:rsidRDefault="00927B43">
            <w:pPr>
              <w:pStyle w:val="TableParagraph"/>
              <w:spacing w:line="240" w:lineRule="auto"/>
              <w:ind w:left="100"/>
              <w:rPr>
                <w:lang w:val="da-DK"/>
              </w:rPr>
            </w:pPr>
            <w:r>
              <w:rPr>
                <w:lang w:val="da-DK"/>
              </w:rPr>
              <w:t>Ikke</w:t>
            </w:r>
          </w:p>
          <w:p w14:paraId="1AE67FCE"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7C1B96F" w14:textId="77777777" w:rsidR="00927B43" w:rsidRDefault="00927B43">
            <w:pPr>
              <w:pStyle w:val="TableParagraph"/>
              <w:spacing w:line="240" w:lineRule="auto"/>
              <w:rPr>
                <w:lang w:val="da-DK"/>
              </w:rPr>
            </w:pPr>
            <w:r>
              <w:rPr>
                <w:lang w:val="da-DK"/>
              </w:rPr>
              <w:t>Mundtørhed, glossodyni, abdominal ømhed, misfarvet fæces, madforgiftning, hyppig afføring, hæmatemese, oral ubehag</w:t>
            </w:r>
          </w:p>
        </w:tc>
      </w:tr>
      <w:tr w:rsidR="00927B43" w14:paraId="4514058E" w14:textId="77777777" w:rsidTr="00927B43">
        <w:trPr>
          <w:trHeight w:hRule="exact" w:val="498"/>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0798B8AD" w14:textId="77777777" w:rsidR="00927B43" w:rsidRDefault="00927B43">
            <w:pPr>
              <w:pStyle w:val="TableParagraph"/>
              <w:spacing w:line="240" w:lineRule="auto"/>
              <w:rPr>
                <w:highlight w:val="green"/>
                <w:lang w:val="da-DK"/>
              </w:rPr>
            </w:pPr>
            <w:r>
              <w:rPr>
                <w:lang w:val="da-DK"/>
              </w:rPr>
              <w:t>Lever og galdeveje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8F18152" w14:textId="77777777" w:rsidR="00927B43" w:rsidRDefault="00927B43">
            <w:pPr>
              <w:pStyle w:val="TableParagraph"/>
              <w:spacing w:line="240" w:lineRule="auto"/>
              <w:ind w:left="100"/>
              <w:rPr>
                <w:lang w:val="da-DK"/>
              </w:rPr>
            </w:pPr>
            <w:r>
              <w:rPr>
                <w:lang w:val="da-DK"/>
              </w:rPr>
              <w:t>Meget</w:t>
            </w:r>
          </w:p>
          <w:p w14:paraId="33FACA4E"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72FEFEC" w14:textId="77777777" w:rsidR="00927B43" w:rsidRDefault="00927B43">
            <w:pPr>
              <w:pStyle w:val="TableParagraph"/>
              <w:spacing w:line="240" w:lineRule="auto"/>
              <w:rPr>
                <w:sz w:val="14"/>
                <w:lang w:val="da-DK"/>
              </w:rPr>
            </w:pPr>
            <w:r>
              <w:rPr>
                <w:lang w:val="da-DK"/>
              </w:rPr>
              <w:t>Forhøjet alaninaminotransferase</w:t>
            </w:r>
            <w:r>
              <w:rPr>
                <w:position w:val="8"/>
                <w:sz w:val="14"/>
                <w:lang w:val="da-DK"/>
              </w:rPr>
              <w:t>†</w:t>
            </w:r>
          </w:p>
        </w:tc>
      </w:tr>
      <w:tr w:rsidR="00927B43" w14:paraId="3DB9B7FD" w14:textId="77777777" w:rsidTr="00927B43">
        <w:trPr>
          <w:trHeight w:hRule="exact" w:val="498"/>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2C25E3BE"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449EAA9E"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6044AE4" w14:textId="77777777" w:rsidR="00927B43" w:rsidRDefault="00927B43">
            <w:pPr>
              <w:pStyle w:val="TableParagraph"/>
              <w:spacing w:line="240" w:lineRule="auto"/>
              <w:rPr>
                <w:lang w:val="da-DK"/>
              </w:rPr>
            </w:pPr>
            <w:r>
              <w:rPr>
                <w:lang w:val="da-DK"/>
              </w:rPr>
              <w:t>Forhøjet aspartataminotransferase</w:t>
            </w:r>
            <w:r>
              <w:rPr>
                <w:vertAlign w:val="superscript"/>
                <w:lang w:val="da-DK"/>
              </w:rPr>
              <w:t>†</w:t>
            </w:r>
            <w:r>
              <w:rPr>
                <w:lang w:val="da-DK"/>
              </w:rPr>
              <w:t>, hyperbilirubinæmi, unormal hepatisk funktion</w:t>
            </w:r>
          </w:p>
        </w:tc>
      </w:tr>
      <w:tr w:rsidR="00927B43" w14:paraId="0A39429B" w14:textId="77777777" w:rsidTr="00927B43">
        <w:trPr>
          <w:trHeight w:hRule="exact" w:val="498"/>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18D4305E"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F503641" w14:textId="77777777" w:rsidR="00927B43" w:rsidRDefault="00927B43">
            <w:pPr>
              <w:pStyle w:val="TableParagraph"/>
              <w:spacing w:line="240" w:lineRule="auto"/>
              <w:ind w:left="100"/>
              <w:rPr>
                <w:lang w:val="da-DK"/>
              </w:rPr>
            </w:pPr>
            <w:r>
              <w:rPr>
                <w:lang w:val="da-DK"/>
              </w:rPr>
              <w:t>Ikke</w:t>
            </w:r>
          </w:p>
          <w:p w14:paraId="633E269D"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25C4E6B" w14:textId="77777777" w:rsidR="00927B43" w:rsidRDefault="00927B43">
            <w:pPr>
              <w:pStyle w:val="TableParagraph"/>
              <w:spacing w:line="240" w:lineRule="auto"/>
              <w:rPr>
                <w:highlight w:val="green"/>
                <w:lang w:val="da-DK"/>
              </w:rPr>
            </w:pPr>
            <w:r>
              <w:rPr>
                <w:lang w:val="da-DK"/>
              </w:rPr>
              <w:t>Kolestasis, hepatisk læsion, hepatitis, lægemiddelinduceret leverskade</w:t>
            </w:r>
          </w:p>
        </w:tc>
      </w:tr>
      <w:tr w:rsidR="00927B43" w14:paraId="6B8BE1FD" w14:textId="77777777" w:rsidTr="00927B43">
        <w:trPr>
          <w:trHeight w:hRule="exact" w:val="498"/>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51BCDEB8" w14:textId="77777777" w:rsidR="00927B43" w:rsidRDefault="00927B43">
            <w:pPr>
              <w:pStyle w:val="TableParagraph"/>
              <w:spacing w:line="240" w:lineRule="auto"/>
              <w:rPr>
                <w:highlight w:val="green"/>
                <w:lang w:val="da-DK"/>
              </w:rPr>
            </w:pPr>
            <w:r>
              <w:rPr>
                <w:lang w:val="da-DK"/>
              </w:rPr>
              <w:t xml:space="preserve">Hud og subkutane væv </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55B90B5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6F4E1EC" w14:textId="77777777" w:rsidR="00927B43" w:rsidRDefault="00927B43">
            <w:pPr>
              <w:pStyle w:val="TableParagraph"/>
              <w:spacing w:line="240" w:lineRule="auto"/>
              <w:rPr>
                <w:highlight w:val="green"/>
                <w:lang w:val="da-DK"/>
              </w:rPr>
            </w:pPr>
            <w:r>
              <w:rPr>
                <w:lang w:val="da-DK"/>
              </w:rPr>
              <w:t>Udslæt, hårtab, hyperhidrose, generaliseret kløe, petekkier</w:t>
            </w:r>
          </w:p>
        </w:tc>
      </w:tr>
      <w:tr w:rsidR="00927B43" w14:paraId="16418E99" w14:textId="77777777" w:rsidTr="00927B43">
        <w:trPr>
          <w:trHeight w:hRule="exact" w:val="827"/>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70699D25"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EBE868F" w14:textId="77777777" w:rsidR="00927B43" w:rsidRDefault="00927B43">
            <w:pPr>
              <w:pStyle w:val="TableParagraph"/>
              <w:spacing w:line="240" w:lineRule="auto"/>
              <w:ind w:left="100"/>
              <w:rPr>
                <w:lang w:val="da-DK"/>
              </w:rPr>
            </w:pPr>
            <w:r>
              <w:rPr>
                <w:lang w:val="da-DK"/>
              </w:rPr>
              <w:t>Ikke</w:t>
            </w:r>
          </w:p>
          <w:p w14:paraId="0E3CE801"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19D2FDA" w14:textId="77777777" w:rsidR="00927B43" w:rsidRDefault="00927B43">
            <w:pPr>
              <w:pStyle w:val="TableParagraph"/>
              <w:spacing w:line="240" w:lineRule="auto"/>
              <w:rPr>
                <w:lang w:val="da-DK"/>
              </w:rPr>
            </w:pPr>
            <w:r>
              <w:rPr>
                <w:lang w:val="da-DK"/>
              </w:rPr>
              <w:t>Urticaria, dermatose, koldsved, erytem, melanose, pigmentfejl, ændret hudfarve, hudeksfoliation</w:t>
            </w:r>
          </w:p>
        </w:tc>
      </w:tr>
      <w:tr w:rsidR="00927B43" w14:paraId="3B84EDDE" w14:textId="77777777" w:rsidTr="00927B43">
        <w:trPr>
          <w:trHeight w:hRule="exact" w:val="498"/>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6C08333C" w14:textId="77777777" w:rsidR="00927B43" w:rsidRDefault="00927B43">
            <w:pPr>
              <w:pStyle w:val="TableParagraph"/>
              <w:spacing w:line="240" w:lineRule="auto"/>
              <w:rPr>
                <w:lang w:val="da-DK"/>
              </w:rPr>
            </w:pPr>
            <w:r>
              <w:rPr>
                <w:lang w:val="da-DK"/>
              </w:rPr>
              <w:t>Knogler, led, muskler og</w:t>
            </w:r>
          </w:p>
          <w:p w14:paraId="11A272B8" w14:textId="77777777" w:rsidR="00927B43" w:rsidRDefault="00927B43">
            <w:pPr>
              <w:pStyle w:val="TableParagraph"/>
              <w:spacing w:line="240" w:lineRule="auto"/>
              <w:rPr>
                <w:highlight w:val="green"/>
                <w:lang w:val="da-DK"/>
              </w:rPr>
            </w:pPr>
            <w:r>
              <w:rPr>
                <w:lang w:val="da-DK"/>
              </w:rPr>
              <w:t>bindevæv</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2017C24E" w14:textId="77777777" w:rsidR="00927B43" w:rsidRDefault="00927B43">
            <w:pPr>
              <w:pStyle w:val="TableParagraph"/>
              <w:spacing w:line="240" w:lineRule="auto"/>
              <w:ind w:left="100"/>
              <w:rPr>
                <w:lang w:val="da-DK"/>
              </w:rPr>
            </w:pPr>
            <w:r>
              <w:rPr>
                <w:lang w:val="da-DK"/>
              </w:rPr>
              <w:t>Meget</w:t>
            </w:r>
          </w:p>
          <w:p w14:paraId="4A85EC6C"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ECBCD05" w14:textId="77777777" w:rsidR="00927B43" w:rsidRDefault="00927B43">
            <w:pPr>
              <w:pStyle w:val="TableParagraph"/>
              <w:spacing w:line="240" w:lineRule="auto"/>
              <w:rPr>
                <w:highlight w:val="green"/>
                <w:lang w:val="da-DK"/>
              </w:rPr>
            </w:pPr>
            <w:r>
              <w:rPr>
                <w:lang w:val="da-DK"/>
              </w:rPr>
              <w:t>Rygsmerter</w:t>
            </w:r>
          </w:p>
        </w:tc>
      </w:tr>
      <w:tr w:rsidR="00927B43" w14:paraId="7502CF6B" w14:textId="77777777" w:rsidTr="00927B43">
        <w:trPr>
          <w:trHeight w:hRule="exact" w:val="498"/>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75A62833"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02612278"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3740579" w14:textId="77777777" w:rsidR="00927B43" w:rsidRDefault="00927B43">
            <w:pPr>
              <w:pStyle w:val="TableParagraph"/>
              <w:spacing w:line="240" w:lineRule="auto"/>
              <w:rPr>
                <w:highlight w:val="green"/>
                <w:lang w:val="da-DK"/>
              </w:rPr>
            </w:pPr>
            <w:r>
              <w:rPr>
                <w:lang w:val="da-DK"/>
              </w:rPr>
              <w:t>Muskelsmerter, muskelspasmer, muskuloskeletale smerter, knoglesmerter</w:t>
            </w:r>
          </w:p>
        </w:tc>
      </w:tr>
      <w:tr w:rsidR="00927B43" w14:paraId="16DEC9E0" w14:textId="77777777" w:rsidTr="00927B43">
        <w:trPr>
          <w:trHeight w:hRule="exact" w:val="653"/>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07DC3243"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2580E785" w14:textId="77777777" w:rsidR="00927B43" w:rsidRDefault="00927B43">
            <w:pPr>
              <w:pStyle w:val="TableParagraph"/>
              <w:spacing w:line="240" w:lineRule="auto"/>
              <w:ind w:left="100"/>
              <w:rPr>
                <w:lang w:val="da-DK"/>
              </w:rPr>
            </w:pPr>
            <w:r>
              <w:rPr>
                <w:lang w:val="da-DK"/>
              </w:rPr>
              <w:t>Ikke</w:t>
            </w:r>
          </w:p>
          <w:p w14:paraId="5D3E8F1D"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4053569" w14:textId="77777777" w:rsidR="00927B43" w:rsidRDefault="00927B43">
            <w:pPr>
              <w:pStyle w:val="TableParagraph"/>
              <w:spacing w:line="240" w:lineRule="auto"/>
              <w:rPr>
                <w:highlight w:val="green"/>
                <w:lang w:val="da-DK"/>
              </w:rPr>
            </w:pPr>
            <w:r>
              <w:rPr>
                <w:lang w:val="da-DK"/>
              </w:rPr>
              <w:t>Muskelsvaghed</w:t>
            </w:r>
          </w:p>
        </w:tc>
      </w:tr>
      <w:tr w:rsidR="00927B43" w14:paraId="6A53BC99" w14:textId="77777777" w:rsidTr="00927B43">
        <w:trPr>
          <w:trHeight w:hRule="exact" w:val="699"/>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7BF349D9" w14:textId="77777777" w:rsidR="00927B43" w:rsidRDefault="00927B43">
            <w:pPr>
              <w:pStyle w:val="TableParagraph"/>
              <w:spacing w:line="240" w:lineRule="auto"/>
              <w:rPr>
                <w:highlight w:val="green"/>
                <w:lang w:val="da-DK"/>
              </w:rPr>
            </w:pPr>
            <w:r>
              <w:rPr>
                <w:lang w:val="da-DK"/>
              </w:rPr>
              <w:t>Nyrer og urinveje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F6501DE"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1057B31" w14:textId="77777777" w:rsidR="00927B43" w:rsidRDefault="00927B43">
            <w:pPr>
              <w:pStyle w:val="TableParagraph"/>
              <w:spacing w:line="240" w:lineRule="auto"/>
              <w:rPr>
                <w:sz w:val="14"/>
                <w:highlight w:val="green"/>
                <w:lang w:val="da-DK"/>
              </w:rPr>
            </w:pPr>
            <w:r>
              <w:rPr>
                <w:lang w:val="da-DK"/>
              </w:rPr>
              <w:t>Proteinuri, forhøjet kreatinin i blodet, trombotisk mikroangiopati med nyresvigt</w:t>
            </w:r>
            <w:r>
              <w:rPr>
                <w:position w:val="8"/>
                <w:sz w:val="14"/>
                <w:lang w:val="da-DK"/>
              </w:rPr>
              <w:t>‡</w:t>
            </w:r>
          </w:p>
        </w:tc>
      </w:tr>
      <w:tr w:rsidR="00927B43" w14:paraId="314FA6D6" w14:textId="77777777" w:rsidTr="00927B43">
        <w:trPr>
          <w:trHeight w:hRule="exact" w:val="783"/>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29772375"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5A980C3B" w14:textId="77777777" w:rsidR="00927B43" w:rsidRDefault="00927B43">
            <w:pPr>
              <w:pStyle w:val="TableParagraph"/>
              <w:spacing w:line="240" w:lineRule="auto"/>
              <w:ind w:left="100"/>
              <w:rPr>
                <w:lang w:val="da-DK"/>
              </w:rPr>
            </w:pPr>
            <w:r>
              <w:rPr>
                <w:lang w:val="da-DK"/>
              </w:rPr>
              <w:t>Ikke</w:t>
            </w:r>
          </w:p>
          <w:p w14:paraId="161A0D47"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07C081B" w14:textId="77777777" w:rsidR="00927B43" w:rsidRDefault="00927B43">
            <w:pPr>
              <w:pStyle w:val="TableParagraph"/>
              <w:spacing w:line="240" w:lineRule="auto"/>
              <w:rPr>
                <w:highlight w:val="green"/>
                <w:lang w:val="da-DK"/>
              </w:rPr>
            </w:pPr>
            <w:r>
              <w:rPr>
                <w:lang w:val="da-DK"/>
              </w:rPr>
              <w:t>Nyresvigt, leukocyturi, lupus nefritis, nykturi, forhøjet urinstof i blodet, forhøjet protein/kreatinin-ratio i urinen</w:t>
            </w:r>
          </w:p>
        </w:tc>
      </w:tr>
      <w:tr w:rsidR="00927B43" w14:paraId="7E914138" w14:textId="77777777" w:rsidTr="00927B43">
        <w:trPr>
          <w:trHeight w:hRule="exact" w:val="645"/>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57C02DF8" w14:textId="77777777" w:rsidR="00927B43" w:rsidRDefault="00927B43">
            <w:pPr>
              <w:pStyle w:val="TableParagraph"/>
              <w:spacing w:line="240" w:lineRule="auto"/>
              <w:rPr>
                <w:lang w:val="da-DK"/>
              </w:rPr>
            </w:pPr>
            <w:r>
              <w:rPr>
                <w:lang w:val="da-DK"/>
              </w:rPr>
              <w:t>Det reproduktive system og</w:t>
            </w:r>
          </w:p>
          <w:p w14:paraId="02B05A5A" w14:textId="77777777" w:rsidR="00927B43" w:rsidRDefault="00927B43">
            <w:pPr>
              <w:pStyle w:val="TableParagraph"/>
              <w:spacing w:line="240" w:lineRule="auto"/>
              <w:rPr>
                <w:highlight w:val="green"/>
                <w:lang w:val="da-DK"/>
              </w:rPr>
            </w:pPr>
            <w:r>
              <w:rPr>
                <w:lang w:val="da-DK"/>
              </w:rPr>
              <w:t>mammae</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4286E2FF" w14:textId="77777777" w:rsidR="00927B43" w:rsidRDefault="00927B43">
            <w:pPr>
              <w:pStyle w:val="TableParagraph"/>
              <w:spacing w:line="240" w:lineRule="auto"/>
              <w:ind w:left="100"/>
              <w:rPr>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BBF223C" w14:textId="77777777" w:rsidR="00927B43" w:rsidRDefault="00927B43">
            <w:pPr>
              <w:pStyle w:val="TableParagraph"/>
              <w:spacing w:line="240" w:lineRule="auto"/>
              <w:rPr>
                <w:lang w:val="da-DK"/>
              </w:rPr>
            </w:pPr>
            <w:r>
              <w:rPr>
                <w:lang w:val="da-DK"/>
              </w:rPr>
              <w:t>Menoragi</w:t>
            </w:r>
          </w:p>
        </w:tc>
      </w:tr>
      <w:tr w:rsidR="00927B43" w14:paraId="727CDC5B" w14:textId="77777777" w:rsidTr="00927B43">
        <w:trPr>
          <w:trHeight w:hRule="exact" w:val="776"/>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257FF0FD" w14:textId="77777777" w:rsidR="00927B43" w:rsidRDefault="00927B43">
            <w:pPr>
              <w:pStyle w:val="TableParagraph"/>
              <w:spacing w:line="240" w:lineRule="auto"/>
              <w:rPr>
                <w:lang w:val="da-DK"/>
              </w:rPr>
            </w:pPr>
            <w:r>
              <w:rPr>
                <w:lang w:val="da-DK"/>
              </w:rPr>
              <w:t>Almene symptomer og</w:t>
            </w:r>
          </w:p>
          <w:p w14:paraId="384CE643" w14:textId="77777777" w:rsidR="00927B43" w:rsidRDefault="00927B43">
            <w:pPr>
              <w:pStyle w:val="TableParagraph"/>
              <w:spacing w:line="240" w:lineRule="auto"/>
              <w:rPr>
                <w:lang w:val="da-DK"/>
              </w:rPr>
            </w:pPr>
            <w:r>
              <w:rPr>
                <w:lang w:val="da-DK"/>
              </w:rPr>
              <w:t>reaktioner på</w:t>
            </w:r>
          </w:p>
          <w:p w14:paraId="792A75B3" w14:textId="77777777" w:rsidR="00927B43" w:rsidRDefault="00927B43">
            <w:pPr>
              <w:pStyle w:val="TableParagraph"/>
              <w:spacing w:line="240" w:lineRule="auto"/>
              <w:rPr>
                <w:highlight w:val="green"/>
                <w:lang w:val="da-DK"/>
              </w:rPr>
            </w:pPr>
            <w:r>
              <w:rPr>
                <w:lang w:val="da-DK"/>
              </w:rPr>
              <w:t>administrationsstedet</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6CF23A4D" w14:textId="77777777" w:rsidR="00927B43" w:rsidRDefault="00927B43">
            <w:pPr>
              <w:pStyle w:val="TableParagraph"/>
              <w:spacing w:line="240" w:lineRule="auto"/>
              <w:ind w:left="100"/>
              <w:rPr>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3B399EE" w14:textId="77777777" w:rsidR="00927B43" w:rsidRDefault="00927B43">
            <w:pPr>
              <w:pStyle w:val="TableParagraph"/>
              <w:spacing w:line="240" w:lineRule="auto"/>
              <w:rPr>
                <w:lang w:val="da-DK"/>
              </w:rPr>
            </w:pPr>
            <w:r>
              <w:rPr>
                <w:lang w:val="da-DK"/>
              </w:rPr>
              <w:t>Pyreksi*, brystsmerter, asteni</w:t>
            </w:r>
          </w:p>
          <w:p w14:paraId="3C24FFFA" w14:textId="77777777" w:rsidR="00927B43" w:rsidRDefault="00927B43">
            <w:pPr>
              <w:pStyle w:val="TableParagraph"/>
              <w:spacing w:line="240" w:lineRule="auto"/>
              <w:rPr>
                <w:lang w:val="da-DK"/>
              </w:rPr>
            </w:pPr>
            <w:r>
              <w:rPr>
                <w:lang w:val="da-DK"/>
              </w:rPr>
              <w:t>*Meget almindelig hos pædiatrisk patienter med ITP</w:t>
            </w:r>
          </w:p>
        </w:tc>
      </w:tr>
      <w:tr w:rsidR="00927B43" w14:paraId="32E8ACD6" w14:textId="77777777" w:rsidTr="00927B43">
        <w:trPr>
          <w:trHeight w:hRule="exact" w:val="829"/>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3B1E744A"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A5FFDA6" w14:textId="77777777" w:rsidR="00927B43" w:rsidRDefault="00927B43">
            <w:pPr>
              <w:pStyle w:val="TableParagraph"/>
              <w:spacing w:line="240" w:lineRule="auto"/>
              <w:ind w:left="100"/>
              <w:rPr>
                <w:lang w:val="da-DK"/>
              </w:rPr>
            </w:pPr>
            <w:r>
              <w:rPr>
                <w:lang w:val="da-DK"/>
              </w:rPr>
              <w:t>Ikke</w:t>
            </w:r>
          </w:p>
          <w:p w14:paraId="6F9276B5" w14:textId="77777777" w:rsidR="00927B43" w:rsidRDefault="00927B43">
            <w:pPr>
              <w:pStyle w:val="TableParagraph"/>
              <w:spacing w:line="240" w:lineRule="auto"/>
              <w:ind w:left="100"/>
              <w:rPr>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0E100CD" w14:textId="77777777" w:rsidR="00927B43" w:rsidRDefault="00927B43">
            <w:pPr>
              <w:pStyle w:val="TableParagraph"/>
              <w:spacing w:line="240" w:lineRule="auto"/>
              <w:rPr>
                <w:lang w:val="da-DK"/>
              </w:rPr>
            </w:pPr>
            <w:r>
              <w:rPr>
                <w:lang w:val="da-DK"/>
              </w:rPr>
              <w:t>Varmefølelse, blødning ved punktur af blodkar, anspændthed, sårinflammation, utilpashed, følelse af fremmedlegeme</w:t>
            </w:r>
          </w:p>
        </w:tc>
      </w:tr>
      <w:tr w:rsidR="00927B43" w14:paraId="5F7BC2A2" w14:textId="77777777" w:rsidTr="00927B43">
        <w:trPr>
          <w:trHeight w:hRule="exact" w:val="288"/>
        </w:trPr>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14:paraId="233B6AF4" w14:textId="77777777" w:rsidR="00927B43" w:rsidRDefault="00927B43">
            <w:pPr>
              <w:pStyle w:val="TableParagraph"/>
              <w:spacing w:line="240" w:lineRule="auto"/>
              <w:rPr>
                <w:highlight w:val="green"/>
                <w:lang w:val="da-DK"/>
              </w:rPr>
            </w:pPr>
            <w:r>
              <w:rPr>
                <w:lang w:val="da-DK"/>
              </w:rPr>
              <w:t>Undersøgelser</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982EAFB"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E7D7EF0" w14:textId="77777777" w:rsidR="00927B43" w:rsidRDefault="00927B43">
            <w:pPr>
              <w:pStyle w:val="TableParagraph"/>
              <w:spacing w:line="240" w:lineRule="auto"/>
              <w:rPr>
                <w:highlight w:val="green"/>
                <w:lang w:val="da-DK"/>
              </w:rPr>
            </w:pPr>
            <w:r>
              <w:rPr>
                <w:lang w:val="da-DK"/>
              </w:rPr>
              <w:t>Forhøjet alkalisk fosfatase</w:t>
            </w:r>
          </w:p>
        </w:tc>
      </w:tr>
      <w:tr w:rsidR="00927B43" w14:paraId="128EDD8E" w14:textId="77777777" w:rsidTr="00927B43">
        <w:trPr>
          <w:trHeight w:hRule="exact" w:val="498"/>
        </w:trPr>
        <w:tc>
          <w:tcPr>
            <w:tcW w:w="2623" w:type="dxa"/>
            <w:vMerge/>
            <w:tcBorders>
              <w:top w:val="single" w:sz="4" w:space="0" w:color="000000"/>
              <w:left w:val="single" w:sz="4" w:space="0" w:color="000000"/>
              <w:bottom w:val="single" w:sz="4" w:space="0" w:color="000000"/>
              <w:right w:val="single" w:sz="4" w:space="0" w:color="000000"/>
            </w:tcBorders>
            <w:vAlign w:val="center"/>
            <w:hideMark/>
          </w:tcPr>
          <w:p w14:paraId="29E6AE06" w14:textId="77777777" w:rsidR="00927B43" w:rsidRDefault="00927B43">
            <w:pPr>
              <w:rPr>
                <w:sz w:val="22"/>
                <w:szCs w:val="22"/>
                <w:highlight w:val="green"/>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11AEE89C" w14:textId="77777777" w:rsidR="00927B43" w:rsidRDefault="00927B43">
            <w:pPr>
              <w:pStyle w:val="TableParagraph"/>
              <w:spacing w:line="240" w:lineRule="auto"/>
              <w:ind w:left="100"/>
              <w:rPr>
                <w:lang w:val="da-DK"/>
              </w:rPr>
            </w:pPr>
            <w:r>
              <w:rPr>
                <w:lang w:val="da-DK"/>
              </w:rPr>
              <w:t>Ikke</w:t>
            </w:r>
          </w:p>
          <w:p w14:paraId="7E1E66A2" w14:textId="77777777" w:rsidR="00927B43" w:rsidRDefault="00927B43">
            <w:pPr>
              <w:pStyle w:val="TableParagraph"/>
              <w:spacing w:line="240" w:lineRule="auto"/>
              <w:ind w:left="100"/>
              <w:rPr>
                <w:highlight w:val="green"/>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F545D5E" w14:textId="77777777" w:rsidR="00927B43" w:rsidRDefault="00927B43">
            <w:pPr>
              <w:pStyle w:val="TableParagraph"/>
              <w:spacing w:line="240" w:lineRule="auto"/>
              <w:rPr>
                <w:highlight w:val="green"/>
                <w:lang w:val="da-DK"/>
              </w:rPr>
            </w:pPr>
            <w:r>
              <w:rPr>
                <w:lang w:val="da-DK"/>
              </w:rPr>
              <w:t>Forhøjet albumin i blodet, forhøjet total protein, nedsat albumin i blodet, forhøjet pH i urinen</w:t>
            </w:r>
          </w:p>
        </w:tc>
      </w:tr>
      <w:tr w:rsidR="00927B43" w14:paraId="7FBCA11F" w14:textId="77777777" w:rsidTr="00927B43">
        <w:trPr>
          <w:trHeight w:hRule="exact" w:val="549"/>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0DD6548D" w14:textId="77777777" w:rsidR="00927B43" w:rsidRDefault="00927B43">
            <w:pPr>
              <w:pStyle w:val="TableParagraph"/>
              <w:spacing w:line="240" w:lineRule="auto"/>
              <w:rPr>
                <w:lang w:val="da-DK"/>
              </w:rPr>
            </w:pPr>
            <w:r>
              <w:rPr>
                <w:lang w:val="da-DK"/>
              </w:rPr>
              <w:t>Traumer, forgiftninger og</w:t>
            </w:r>
          </w:p>
          <w:p w14:paraId="72764F08" w14:textId="77777777" w:rsidR="00927B43" w:rsidRDefault="00927B43">
            <w:pPr>
              <w:pStyle w:val="TableParagraph"/>
              <w:spacing w:line="240" w:lineRule="auto"/>
              <w:rPr>
                <w:lang w:val="da-DK"/>
              </w:rPr>
            </w:pPr>
            <w:r>
              <w:rPr>
                <w:lang w:val="da-DK"/>
              </w:rPr>
              <w:t>behandlingskomplikationer</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3FC2CD62" w14:textId="77777777" w:rsidR="00927B43" w:rsidRDefault="00927B43">
            <w:pPr>
              <w:pStyle w:val="TableParagraph"/>
              <w:spacing w:line="240" w:lineRule="auto"/>
              <w:ind w:left="100"/>
              <w:rPr>
                <w:lang w:val="da-DK"/>
              </w:rPr>
            </w:pPr>
            <w:r>
              <w:rPr>
                <w:lang w:val="da-DK"/>
              </w:rPr>
              <w:t>Ikke</w:t>
            </w:r>
          </w:p>
          <w:p w14:paraId="2F4DFC99" w14:textId="77777777" w:rsidR="00927B43" w:rsidRDefault="00927B43">
            <w:pPr>
              <w:pStyle w:val="TableParagraph"/>
              <w:spacing w:line="240" w:lineRule="auto"/>
              <w:ind w:left="100"/>
              <w:rPr>
                <w:lang w:val="da-DK"/>
              </w:rPr>
            </w:pPr>
            <w:r>
              <w:rPr>
                <w:lang w:val="da-DK"/>
              </w:rPr>
              <w:t>almindelig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DE044CF" w14:textId="77777777" w:rsidR="00927B43" w:rsidRDefault="00927B43">
            <w:pPr>
              <w:pStyle w:val="TableParagraph"/>
              <w:spacing w:line="240" w:lineRule="auto"/>
              <w:rPr>
                <w:lang w:val="da-DK"/>
              </w:rPr>
            </w:pPr>
            <w:r>
              <w:rPr>
                <w:lang w:val="da-DK"/>
              </w:rPr>
              <w:t>Solskoldning</w:t>
            </w:r>
          </w:p>
        </w:tc>
      </w:tr>
    </w:tbl>
    <w:p w14:paraId="027E1FFF" w14:textId="77777777" w:rsidR="00927B43" w:rsidRPr="007234D7" w:rsidRDefault="00927B43" w:rsidP="00A15E0E">
      <w:pPr>
        <w:pStyle w:val="Listeafsnit"/>
        <w:widowControl w:val="0"/>
        <w:numPr>
          <w:ilvl w:val="0"/>
          <w:numId w:val="7"/>
        </w:numPr>
        <w:tabs>
          <w:tab w:val="left" w:pos="1134"/>
        </w:tabs>
        <w:autoSpaceDE w:val="0"/>
        <w:autoSpaceDN w:val="0"/>
        <w:spacing w:after="0" w:line="240" w:lineRule="auto"/>
        <w:ind w:left="284" w:hanging="284"/>
        <w:rPr>
          <w:rFonts w:ascii="Times New Roman" w:hAnsi="Times New Roman" w:cs="Times New Roman"/>
          <w:sz w:val="20"/>
          <w:szCs w:val="20"/>
          <w:lang w:val="da-DK"/>
        </w:rPr>
      </w:pPr>
      <w:r w:rsidRPr="007234D7">
        <w:rPr>
          <w:rFonts w:ascii="Times New Roman" w:hAnsi="Times New Roman" w:cs="Times New Roman"/>
          <w:sz w:val="20"/>
          <w:szCs w:val="20"/>
          <w:lang w:val="da-DK"/>
        </w:rPr>
        <w:t>Yderligere bivirkninger observeret i pædiatriske studier (i alderen 1 til 17 år).</w:t>
      </w:r>
    </w:p>
    <w:p w14:paraId="3B9E2552" w14:textId="77777777" w:rsidR="00927B43" w:rsidRPr="007234D7" w:rsidRDefault="00927B43" w:rsidP="00A15E0E">
      <w:pPr>
        <w:pStyle w:val="Brdtekst"/>
        <w:tabs>
          <w:tab w:val="left" w:pos="1134"/>
        </w:tabs>
        <w:ind w:left="284" w:hanging="284"/>
        <w:rPr>
          <w:sz w:val="20"/>
          <w:szCs w:val="20"/>
          <w:lang w:val="da-DK"/>
        </w:rPr>
      </w:pPr>
      <w:r w:rsidRPr="007234D7">
        <w:rPr>
          <w:position w:val="8"/>
          <w:sz w:val="20"/>
          <w:szCs w:val="20"/>
          <w:lang w:val="da-DK"/>
        </w:rPr>
        <w:t>†</w:t>
      </w:r>
      <w:r w:rsidRPr="007234D7">
        <w:rPr>
          <w:position w:val="8"/>
          <w:sz w:val="20"/>
          <w:szCs w:val="20"/>
          <w:lang w:val="da-DK"/>
        </w:rPr>
        <w:tab/>
      </w:r>
      <w:r w:rsidRPr="007234D7">
        <w:rPr>
          <w:sz w:val="20"/>
          <w:szCs w:val="20"/>
          <w:lang w:val="da-DK"/>
        </w:rPr>
        <w:t>Forhøjet alaninaminotransferase og aspartataminotransferase kan forekomme samtidig, men med en lavere frekvens.</w:t>
      </w:r>
    </w:p>
    <w:p w14:paraId="3D0A90A9" w14:textId="77777777" w:rsidR="00927B43" w:rsidRPr="007234D7" w:rsidRDefault="00927B43" w:rsidP="00A15E0E">
      <w:pPr>
        <w:pStyle w:val="Brdtekst"/>
        <w:tabs>
          <w:tab w:val="left" w:pos="1134"/>
        </w:tabs>
        <w:ind w:left="284" w:hanging="284"/>
        <w:rPr>
          <w:sz w:val="20"/>
          <w:szCs w:val="20"/>
          <w:lang w:val="da-DK"/>
        </w:rPr>
      </w:pPr>
      <w:r w:rsidRPr="007234D7">
        <w:rPr>
          <w:position w:val="8"/>
          <w:sz w:val="20"/>
          <w:szCs w:val="20"/>
          <w:lang w:val="da-DK"/>
        </w:rPr>
        <w:t>‡</w:t>
      </w:r>
      <w:r w:rsidRPr="007234D7">
        <w:rPr>
          <w:position w:val="8"/>
          <w:sz w:val="20"/>
          <w:szCs w:val="20"/>
          <w:lang w:val="da-DK"/>
        </w:rPr>
        <w:tab/>
      </w:r>
      <w:r w:rsidRPr="007234D7">
        <w:rPr>
          <w:sz w:val="20"/>
          <w:szCs w:val="20"/>
          <w:lang w:val="da-DK"/>
        </w:rPr>
        <w:t>Kombineret bivirkningsterm med de foretrukne termer akut nyreskade og nyresvigt</w:t>
      </w:r>
    </w:p>
    <w:p w14:paraId="595C7404" w14:textId="383E3A33" w:rsidR="00927B43" w:rsidRDefault="00927B43" w:rsidP="00927B43">
      <w:pPr>
        <w:pStyle w:val="Brdtekst"/>
        <w:spacing w:before="5"/>
        <w:rPr>
          <w:highlight w:val="green"/>
          <w:lang w:val="da-DK"/>
        </w:rPr>
      </w:pPr>
    </w:p>
    <w:p w14:paraId="464B80A2" w14:textId="77777777" w:rsidR="007234D7" w:rsidRDefault="007234D7" w:rsidP="00927B43">
      <w:pPr>
        <w:pStyle w:val="Brdtekst"/>
        <w:spacing w:before="5"/>
        <w:rPr>
          <w:highlight w:val="green"/>
          <w:lang w:val="da-DK"/>
        </w:rPr>
      </w:pPr>
    </w:p>
    <w:p w14:paraId="4ADBA860" w14:textId="77777777" w:rsidR="00927B43" w:rsidRPr="007234D7" w:rsidRDefault="00927B43" w:rsidP="007234D7">
      <w:pPr>
        <w:rPr>
          <w:b/>
          <w:sz w:val="24"/>
          <w:szCs w:val="24"/>
          <w:highlight w:val="green"/>
        </w:rPr>
      </w:pPr>
      <w:r w:rsidRPr="007234D7">
        <w:rPr>
          <w:b/>
          <w:sz w:val="24"/>
          <w:szCs w:val="24"/>
        </w:rPr>
        <w:t>Population i HCV-studierne (i kombination med antiviral interferon og ribavirin behandling)</w:t>
      </w:r>
    </w:p>
    <w:p w14:paraId="67D74C6E" w14:textId="77777777" w:rsidR="00927B43" w:rsidRDefault="00927B43" w:rsidP="00927B43">
      <w:pPr>
        <w:pStyle w:val="Brdtekst"/>
        <w:spacing w:before="2"/>
        <w:rPr>
          <w:b/>
          <w:highlight w:val="green"/>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1209"/>
        <w:gridCol w:w="5228"/>
      </w:tblGrid>
      <w:tr w:rsidR="00927B43" w14:paraId="48CFB01C" w14:textId="77777777" w:rsidTr="00927B43">
        <w:trPr>
          <w:trHeight w:hRule="exact" w:val="330"/>
        </w:trPr>
        <w:tc>
          <w:tcPr>
            <w:tcW w:w="2637" w:type="dxa"/>
            <w:tcBorders>
              <w:top w:val="single" w:sz="4" w:space="0" w:color="000000"/>
              <w:left w:val="single" w:sz="4" w:space="0" w:color="000000"/>
              <w:bottom w:val="single" w:sz="4" w:space="0" w:color="000000"/>
              <w:right w:val="single" w:sz="4" w:space="0" w:color="000000"/>
            </w:tcBorders>
            <w:hideMark/>
          </w:tcPr>
          <w:p w14:paraId="499C04D5" w14:textId="77777777" w:rsidR="00927B43" w:rsidRDefault="00927B43">
            <w:pPr>
              <w:pStyle w:val="TableParagraph"/>
              <w:spacing w:line="240" w:lineRule="auto"/>
              <w:rPr>
                <w:b/>
                <w:highlight w:val="green"/>
                <w:lang w:val="da-DK"/>
              </w:rPr>
            </w:pPr>
            <w:r>
              <w:rPr>
                <w:b/>
                <w:lang w:val="da-DK"/>
              </w:rPr>
              <w:t>Systemorganklasse</w:t>
            </w:r>
          </w:p>
        </w:tc>
        <w:tc>
          <w:tcPr>
            <w:tcW w:w="1209" w:type="dxa"/>
            <w:tcBorders>
              <w:top w:val="single" w:sz="4" w:space="0" w:color="000000"/>
              <w:left w:val="single" w:sz="4" w:space="0" w:color="000000"/>
              <w:bottom w:val="single" w:sz="4" w:space="0" w:color="000000"/>
              <w:right w:val="single" w:sz="4" w:space="0" w:color="000000"/>
            </w:tcBorders>
            <w:hideMark/>
          </w:tcPr>
          <w:p w14:paraId="0172364D" w14:textId="77777777" w:rsidR="00927B43" w:rsidRDefault="00927B43">
            <w:pPr>
              <w:pStyle w:val="TableParagraph"/>
              <w:spacing w:line="240" w:lineRule="auto"/>
              <w:rPr>
                <w:b/>
                <w:highlight w:val="green"/>
                <w:lang w:val="da-DK"/>
              </w:rPr>
            </w:pPr>
            <w:r>
              <w:rPr>
                <w:b/>
                <w:lang w:val="da-DK"/>
              </w:rPr>
              <w:t>Frekvens</w:t>
            </w:r>
          </w:p>
        </w:tc>
        <w:tc>
          <w:tcPr>
            <w:tcW w:w="5226" w:type="dxa"/>
            <w:tcBorders>
              <w:top w:val="single" w:sz="4" w:space="0" w:color="000000"/>
              <w:left w:val="single" w:sz="4" w:space="0" w:color="000000"/>
              <w:bottom w:val="single" w:sz="4" w:space="0" w:color="000000"/>
              <w:right w:val="single" w:sz="4" w:space="0" w:color="000000"/>
            </w:tcBorders>
            <w:hideMark/>
          </w:tcPr>
          <w:p w14:paraId="1599D010" w14:textId="77777777" w:rsidR="00927B43" w:rsidRDefault="00927B43">
            <w:pPr>
              <w:pStyle w:val="TableParagraph"/>
              <w:spacing w:line="240" w:lineRule="auto"/>
              <w:rPr>
                <w:b/>
                <w:highlight w:val="green"/>
                <w:lang w:val="da-DK"/>
              </w:rPr>
            </w:pPr>
            <w:r>
              <w:rPr>
                <w:b/>
                <w:lang w:val="da-DK"/>
              </w:rPr>
              <w:t>Bivirkning</w:t>
            </w:r>
          </w:p>
        </w:tc>
      </w:tr>
      <w:tr w:rsidR="00927B43" w14:paraId="1A1A885A" w14:textId="77777777" w:rsidTr="00927B43">
        <w:trPr>
          <w:trHeight w:hRule="exact" w:val="621"/>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62A3ED49" w14:textId="77777777" w:rsidR="00927B43" w:rsidRDefault="00927B43">
            <w:pPr>
              <w:pStyle w:val="TableParagraph"/>
              <w:spacing w:line="240" w:lineRule="auto"/>
              <w:rPr>
                <w:lang w:val="da-DK"/>
              </w:rPr>
            </w:pPr>
            <w:r>
              <w:rPr>
                <w:lang w:val="da-DK"/>
              </w:rPr>
              <w:t>Infektioner og parasitære</w:t>
            </w:r>
          </w:p>
          <w:p w14:paraId="45D2FA36" w14:textId="77777777" w:rsidR="00927B43" w:rsidRDefault="00927B43">
            <w:pPr>
              <w:pStyle w:val="TableParagraph"/>
              <w:spacing w:line="240" w:lineRule="auto"/>
              <w:rPr>
                <w:highlight w:val="green"/>
                <w:lang w:val="da-DK"/>
              </w:rPr>
            </w:pPr>
            <w:r>
              <w:rPr>
                <w:lang w:val="da-DK"/>
              </w:rPr>
              <w:t>sygdomme</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9D5CAA6"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9CC24C3" w14:textId="77777777" w:rsidR="00927B43" w:rsidRDefault="00927B43">
            <w:pPr>
              <w:pStyle w:val="TableParagraph"/>
              <w:spacing w:line="240" w:lineRule="auto"/>
              <w:rPr>
                <w:lang w:val="da-DK"/>
              </w:rPr>
            </w:pPr>
            <w:r>
              <w:rPr>
                <w:lang w:val="da-DK"/>
              </w:rPr>
              <w:t>Urinvejsinfektion. infektion i de øvre luftveje, bronkitis,</w:t>
            </w:r>
          </w:p>
          <w:p w14:paraId="17AB1A3E" w14:textId="77777777" w:rsidR="00927B43" w:rsidRDefault="00927B43">
            <w:pPr>
              <w:pStyle w:val="TableParagraph"/>
              <w:spacing w:line="240" w:lineRule="auto"/>
              <w:rPr>
                <w:highlight w:val="green"/>
                <w:lang w:val="da-DK"/>
              </w:rPr>
            </w:pPr>
            <w:r>
              <w:rPr>
                <w:lang w:val="da-DK"/>
              </w:rPr>
              <w:t>nasopharyngitis, influenza, herpes labialis</w:t>
            </w:r>
          </w:p>
        </w:tc>
      </w:tr>
      <w:tr w:rsidR="00927B43" w14:paraId="7BE89599" w14:textId="77777777" w:rsidTr="00927B43">
        <w:trPr>
          <w:trHeight w:hRule="exact" w:val="535"/>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06EDB7A5"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68AAEB56" w14:textId="77777777" w:rsidR="00927B43" w:rsidRDefault="00927B43">
            <w:pPr>
              <w:pStyle w:val="TableParagraph"/>
              <w:spacing w:line="240" w:lineRule="auto"/>
              <w:rPr>
                <w:lang w:val="da-DK"/>
              </w:rPr>
            </w:pPr>
            <w:r>
              <w:rPr>
                <w:lang w:val="da-DK"/>
              </w:rPr>
              <w:t>Ikke</w:t>
            </w:r>
          </w:p>
          <w:p w14:paraId="00133D81"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7D2B299E" w14:textId="77777777" w:rsidR="00927B43" w:rsidRDefault="00927B43">
            <w:pPr>
              <w:pStyle w:val="TableParagraph"/>
              <w:spacing w:line="240" w:lineRule="auto"/>
              <w:rPr>
                <w:highlight w:val="green"/>
                <w:lang w:val="da-DK"/>
              </w:rPr>
            </w:pPr>
            <w:r>
              <w:rPr>
                <w:lang w:val="da-DK"/>
              </w:rPr>
              <w:t>Gastroenteritis, pharyngitis</w:t>
            </w:r>
          </w:p>
        </w:tc>
      </w:tr>
      <w:tr w:rsidR="00927B43" w14:paraId="2E417E90" w14:textId="77777777" w:rsidTr="00927B43">
        <w:trPr>
          <w:trHeight w:hRule="exact" w:val="874"/>
        </w:trPr>
        <w:tc>
          <w:tcPr>
            <w:tcW w:w="2637" w:type="dxa"/>
            <w:tcBorders>
              <w:top w:val="single" w:sz="4" w:space="0" w:color="000000"/>
              <w:left w:val="single" w:sz="4" w:space="0" w:color="000000"/>
              <w:bottom w:val="single" w:sz="4" w:space="0" w:color="000000"/>
              <w:right w:val="single" w:sz="4" w:space="0" w:color="000000"/>
            </w:tcBorders>
            <w:vAlign w:val="center"/>
            <w:hideMark/>
          </w:tcPr>
          <w:p w14:paraId="24BFF828" w14:textId="77777777" w:rsidR="00927B43" w:rsidRDefault="00927B43">
            <w:pPr>
              <w:pStyle w:val="TableParagraph"/>
              <w:spacing w:line="240" w:lineRule="auto"/>
              <w:rPr>
                <w:lang w:val="da-DK"/>
              </w:rPr>
            </w:pPr>
            <w:r>
              <w:rPr>
                <w:lang w:val="da-DK"/>
              </w:rPr>
              <w:t>Benigne, maligne og</w:t>
            </w:r>
          </w:p>
          <w:p w14:paraId="739FEDD2" w14:textId="77777777" w:rsidR="00927B43" w:rsidRDefault="00927B43">
            <w:pPr>
              <w:pStyle w:val="TableParagraph"/>
              <w:spacing w:line="240" w:lineRule="auto"/>
              <w:rPr>
                <w:highlight w:val="green"/>
                <w:lang w:val="da-DK"/>
              </w:rPr>
            </w:pPr>
            <w:r>
              <w:rPr>
                <w:lang w:val="da-DK"/>
              </w:rPr>
              <w:t>uspecificerede tumorer (inkl. cyster og polypper)</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9738294"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3F655A2E" w14:textId="77777777" w:rsidR="00927B43" w:rsidRDefault="00927B43">
            <w:pPr>
              <w:pStyle w:val="TableParagraph"/>
              <w:spacing w:line="240" w:lineRule="auto"/>
              <w:rPr>
                <w:highlight w:val="green"/>
                <w:lang w:val="da-DK"/>
              </w:rPr>
            </w:pPr>
            <w:r>
              <w:rPr>
                <w:lang w:val="da-DK"/>
              </w:rPr>
              <w:t>Malign levertumor</w:t>
            </w:r>
          </w:p>
        </w:tc>
      </w:tr>
      <w:tr w:rsidR="00927B43" w14:paraId="6E21930B" w14:textId="77777777" w:rsidTr="00927B43">
        <w:trPr>
          <w:trHeight w:hRule="exact" w:val="561"/>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21A12AB6" w14:textId="77777777" w:rsidR="00927B43" w:rsidRDefault="00927B43">
            <w:pPr>
              <w:pStyle w:val="TableParagraph"/>
              <w:spacing w:line="240" w:lineRule="auto"/>
              <w:rPr>
                <w:highlight w:val="green"/>
                <w:lang w:val="da-DK"/>
              </w:rPr>
            </w:pPr>
            <w:r>
              <w:rPr>
                <w:lang w:val="da-DK"/>
              </w:rPr>
              <w:t>Blod- og lymfesystem</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EF05E23" w14:textId="77777777" w:rsidR="00927B43" w:rsidRDefault="00927B43">
            <w:pPr>
              <w:pStyle w:val="TableParagraph"/>
              <w:spacing w:line="240" w:lineRule="auto"/>
              <w:rPr>
                <w:lang w:val="da-DK"/>
              </w:rPr>
            </w:pPr>
            <w:r>
              <w:rPr>
                <w:lang w:val="da-DK"/>
              </w:rPr>
              <w:t>Meget</w:t>
            </w:r>
          </w:p>
          <w:p w14:paraId="26582C46"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1FA73ED1" w14:textId="77777777" w:rsidR="00927B43" w:rsidRDefault="00927B43">
            <w:pPr>
              <w:pStyle w:val="TableParagraph"/>
              <w:spacing w:line="240" w:lineRule="auto"/>
              <w:rPr>
                <w:highlight w:val="green"/>
                <w:lang w:val="da-DK"/>
              </w:rPr>
            </w:pPr>
            <w:r>
              <w:rPr>
                <w:lang w:val="da-DK"/>
              </w:rPr>
              <w:t>Anæmi</w:t>
            </w:r>
          </w:p>
        </w:tc>
      </w:tr>
      <w:tr w:rsidR="00927B43" w14:paraId="75435E6C" w14:textId="77777777" w:rsidTr="00927B43">
        <w:trPr>
          <w:trHeight w:hRule="exact" w:val="333"/>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1912F2E7"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6FD3C99"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3C0A614B" w14:textId="77777777" w:rsidR="00927B43" w:rsidRDefault="00927B43">
            <w:pPr>
              <w:pStyle w:val="TableParagraph"/>
              <w:spacing w:line="240" w:lineRule="auto"/>
              <w:rPr>
                <w:highlight w:val="green"/>
                <w:lang w:val="da-DK"/>
              </w:rPr>
            </w:pPr>
            <w:r>
              <w:rPr>
                <w:lang w:val="da-DK"/>
              </w:rPr>
              <w:t>Lymfopeni</w:t>
            </w:r>
          </w:p>
        </w:tc>
      </w:tr>
      <w:tr w:rsidR="00927B43" w14:paraId="22850676" w14:textId="77777777" w:rsidTr="00927B43">
        <w:trPr>
          <w:trHeight w:hRule="exact" w:val="497"/>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348A4FD1"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924E50F" w14:textId="77777777" w:rsidR="00927B43" w:rsidRDefault="00927B43">
            <w:pPr>
              <w:pStyle w:val="TableParagraph"/>
              <w:spacing w:line="240" w:lineRule="auto"/>
              <w:rPr>
                <w:lang w:val="da-DK"/>
              </w:rPr>
            </w:pPr>
            <w:r>
              <w:rPr>
                <w:lang w:val="da-DK"/>
              </w:rPr>
              <w:t>Ikke</w:t>
            </w:r>
          </w:p>
          <w:p w14:paraId="57744C03"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394E795" w14:textId="77777777" w:rsidR="00927B43" w:rsidRDefault="00927B43">
            <w:pPr>
              <w:pStyle w:val="TableParagraph"/>
              <w:spacing w:line="240" w:lineRule="auto"/>
              <w:rPr>
                <w:highlight w:val="green"/>
                <w:lang w:val="da-DK"/>
              </w:rPr>
            </w:pPr>
            <w:r>
              <w:rPr>
                <w:lang w:val="da-DK"/>
              </w:rPr>
              <w:t>Hæmolytisk anæmi</w:t>
            </w:r>
          </w:p>
        </w:tc>
      </w:tr>
      <w:tr w:rsidR="00927B43" w14:paraId="26CFA4B6" w14:textId="77777777" w:rsidTr="00927B43">
        <w:trPr>
          <w:trHeight w:hRule="exact" w:val="607"/>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6455B3B5" w14:textId="77777777" w:rsidR="00927B43" w:rsidRDefault="00927B43">
            <w:pPr>
              <w:pStyle w:val="TableParagraph"/>
              <w:spacing w:line="240" w:lineRule="auto"/>
              <w:rPr>
                <w:highlight w:val="green"/>
                <w:lang w:val="da-DK"/>
              </w:rPr>
            </w:pPr>
            <w:r>
              <w:rPr>
                <w:lang w:val="da-DK"/>
              </w:rPr>
              <w:t>Metabolisme og ernæring</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6DC1499" w14:textId="77777777" w:rsidR="00927B43" w:rsidRDefault="00927B43">
            <w:pPr>
              <w:pStyle w:val="TableParagraph"/>
              <w:spacing w:line="240" w:lineRule="auto"/>
              <w:rPr>
                <w:lang w:val="da-DK"/>
              </w:rPr>
            </w:pPr>
            <w:r>
              <w:rPr>
                <w:lang w:val="da-DK"/>
              </w:rPr>
              <w:t>Meget</w:t>
            </w:r>
          </w:p>
          <w:p w14:paraId="040F165D"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51D9AD06" w14:textId="77777777" w:rsidR="00927B43" w:rsidRDefault="00927B43">
            <w:pPr>
              <w:pStyle w:val="TableParagraph"/>
              <w:spacing w:line="240" w:lineRule="auto"/>
              <w:rPr>
                <w:highlight w:val="green"/>
                <w:lang w:val="da-DK"/>
              </w:rPr>
            </w:pPr>
            <w:r>
              <w:rPr>
                <w:lang w:val="da-DK"/>
              </w:rPr>
              <w:t>Nedsat appetit</w:t>
            </w:r>
          </w:p>
        </w:tc>
      </w:tr>
      <w:tr w:rsidR="00927B43" w14:paraId="7B847C57" w14:textId="77777777" w:rsidTr="00927B43">
        <w:trPr>
          <w:trHeight w:hRule="exact" w:val="330"/>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06EE9251"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96FE9BF"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5670055" w14:textId="77777777" w:rsidR="00927B43" w:rsidRDefault="00927B43">
            <w:pPr>
              <w:pStyle w:val="TableParagraph"/>
              <w:spacing w:line="240" w:lineRule="auto"/>
              <w:rPr>
                <w:highlight w:val="green"/>
                <w:lang w:val="da-DK"/>
              </w:rPr>
            </w:pPr>
            <w:r>
              <w:rPr>
                <w:lang w:val="da-DK"/>
              </w:rPr>
              <w:t>Hyperglykæmi, abnormt vægttab</w:t>
            </w:r>
          </w:p>
        </w:tc>
      </w:tr>
      <w:tr w:rsidR="00927B43" w14:paraId="029C14D1" w14:textId="77777777" w:rsidTr="00927B43">
        <w:trPr>
          <w:trHeight w:hRule="exact" w:val="330"/>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24A3100A" w14:textId="77777777" w:rsidR="00927B43" w:rsidRDefault="00927B43">
            <w:pPr>
              <w:pStyle w:val="TableParagraph"/>
              <w:spacing w:line="240" w:lineRule="auto"/>
              <w:rPr>
                <w:highlight w:val="green"/>
                <w:lang w:val="da-DK"/>
              </w:rPr>
            </w:pPr>
            <w:r>
              <w:rPr>
                <w:lang w:val="da-DK"/>
              </w:rPr>
              <w:t>Psykiske forstyrrelser</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1EAB21FB"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6436590" w14:textId="77777777" w:rsidR="00927B43" w:rsidRDefault="00927B43">
            <w:pPr>
              <w:pStyle w:val="TableParagraph"/>
              <w:spacing w:line="240" w:lineRule="auto"/>
              <w:rPr>
                <w:highlight w:val="green"/>
                <w:lang w:val="da-DK"/>
              </w:rPr>
            </w:pPr>
            <w:r>
              <w:rPr>
                <w:lang w:val="da-DK"/>
              </w:rPr>
              <w:t>Depression, angst, søvnforstyrrelser</w:t>
            </w:r>
          </w:p>
        </w:tc>
      </w:tr>
      <w:tr w:rsidR="00927B43" w14:paraId="39985B75" w14:textId="77777777" w:rsidTr="00927B43">
        <w:trPr>
          <w:trHeight w:hRule="exact" w:val="579"/>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38D73EB0"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48CB896" w14:textId="77777777" w:rsidR="00927B43" w:rsidRDefault="00927B43">
            <w:pPr>
              <w:pStyle w:val="TableParagraph"/>
              <w:spacing w:line="240" w:lineRule="auto"/>
              <w:rPr>
                <w:lang w:val="da-DK"/>
              </w:rPr>
            </w:pPr>
            <w:r>
              <w:rPr>
                <w:lang w:val="da-DK"/>
              </w:rPr>
              <w:t>Ikke</w:t>
            </w:r>
          </w:p>
          <w:p w14:paraId="15922A63"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370CDEA" w14:textId="77777777" w:rsidR="00927B43" w:rsidRDefault="00927B43">
            <w:pPr>
              <w:pStyle w:val="TableParagraph"/>
              <w:spacing w:line="240" w:lineRule="auto"/>
              <w:rPr>
                <w:highlight w:val="green"/>
                <w:lang w:val="da-DK"/>
              </w:rPr>
            </w:pPr>
            <w:r>
              <w:rPr>
                <w:lang w:val="da-DK"/>
              </w:rPr>
              <w:t>Konfusion, agitation</w:t>
            </w:r>
          </w:p>
        </w:tc>
      </w:tr>
      <w:tr w:rsidR="00927B43" w14:paraId="62847B60" w14:textId="77777777" w:rsidTr="00927B43">
        <w:trPr>
          <w:trHeight w:hRule="exact" w:val="587"/>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24F95BFE" w14:textId="77777777" w:rsidR="00927B43" w:rsidRDefault="00927B43">
            <w:pPr>
              <w:pStyle w:val="TableParagraph"/>
              <w:spacing w:line="240" w:lineRule="auto"/>
              <w:rPr>
                <w:highlight w:val="green"/>
                <w:lang w:val="da-DK"/>
              </w:rPr>
            </w:pPr>
            <w:r>
              <w:rPr>
                <w:lang w:val="da-DK"/>
              </w:rPr>
              <w:t>Nervesystemet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D4AD380" w14:textId="77777777" w:rsidR="00927B43" w:rsidRDefault="00927B43">
            <w:pPr>
              <w:pStyle w:val="TableParagraph"/>
              <w:spacing w:line="240" w:lineRule="auto"/>
              <w:rPr>
                <w:lang w:val="da-DK"/>
              </w:rPr>
            </w:pPr>
            <w:r>
              <w:rPr>
                <w:lang w:val="da-DK"/>
              </w:rPr>
              <w:t>Meget</w:t>
            </w:r>
          </w:p>
          <w:p w14:paraId="0AA0A022"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4F2BE888" w14:textId="77777777" w:rsidR="00927B43" w:rsidRDefault="00927B43">
            <w:pPr>
              <w:pStyle w:val="TableParagraph"/>
              <w:spacing w:line="240" w:lineRule="auto"/>
              <w:rPr>
                <w:highlight w:val="green"/>
                <w:lang w:val="da-DK"/>
              </w:rPr>
            </w:pPr>
            <w:r>
              <w:rPr>
                <w:lang w:val="da-DK"/>
              </w:rPr>
              <w:t>Hovedpine</w:t>
            </w:r>
          </w:p>
        </w:tc>
      </w:tr>
      <w:tr w:rsidR="00927B43" w14:paraId="16B97877" w14:textId="77777777" w:rsidTr="00927B43">
        <w:trPr>
          <w:trHeight w:hRule="exact" w:val="804"/>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0F7E0724"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70E4ADD1"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0FED1E8B" w14:textId="77777777" w:rsidR="00927B43" w:rsidRDefault="00927B43">
            <w:pPr>
              <w:pStyle w:val="TableParagraph"/>
              <w:spacing w:line="240" w:lineRule="auto"/>
              <w:rPr>
                <w:lang w:val="da-DK"/>
              </w:rPr>
            </w:pPr>
            <w:r>
              <w:rPr>
                <w:lang w:val="da-DK"/>
              </w:rPr>
              <w:t>Svimmelhed, opmærksomhedsforstyrrelser, dysgeusi, hepatisk encefalopati, letargi, hukommelsesbesvær, paræstesi</w:t>
            </w:r>
          </w:p>
        </w:tc>
      </w:tr>
      <w:tr w:rsidR="00927B43" w14:paraId="7C8C0DA4" w14:textId="77777777" w:rsidTr="00927B43">
        <w:trPr>
          <w:trHeight w:hRule="exact" w:val="524"/>
        </w:trPr>
        <w:tc>
          <w:tcPr>
            <w:tcW w:w="2637" w:type="dxa"/>
            <w:tcBorders>
              <w:top w:val="single" w:sz="4" w:space="0" w:color="000000"/>
              <w:left w:val="single" w:sz="4" w:space="0" w:color="000000"/>
              <w:bottom w:val="single" w:sz="4" w:space="0" w:color="000000"/>
              <w:right w:val="single" w:sz="4" w:space="0" w:color="000000"/>
            </w:tcBorders>
            <w:vAlign w:val="center"/>
            <w:hideMark/>
          </w:tcPr>
          <w:p w14:paraId="644F2905" w14:textId="77777777" w:rsidR="00927B43" w:rsidRDefault="00927B43">
            <w:pPr>
              <w:pStyle w:val="TableParagraph"/>
              <w:spacing w:line="240" w:lineRule="auto"/>
              <w:rPr>
                <w:highlight w:val="green"/>
                <w:lang w:val="da-DK"/>
              </w:rPr>
            </w:pPr>
            <w:r>
              <w:rPr>
                <w:lang w:val="da-DK"/>
              </w:rPr>
              <w:t>Øjne</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BE5A312"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43ADC5DA" w14:textId="77777777" w:rsidR="00927B43" w:rsidRDefault="00927B43">
            <w:pPr>
              <w:pStyle w:val="TableParagraph"/>
              <w:spacing w:line="240" w:lineRule="auto"/>
              <w:rPr>
                <w:highlight w:val="green"/>
                <w:lang w:val="da-DK"/>
              </w:rPr>
            </w:pPr>
            <w:r>
              <w:rPr>
                <w:lang w:val="da-DK"/>
              </w:rPr>
              <w:t>Katarakt, retinale ekssudater, øjentørhed, okulær icterus, retinal hæmorrhagi</w:t>
            </w:r>
          </w:p>
        </w:tc>
      </w:tr>
      <w:tr w:rsidR="00927B43" w14:paraId="3F5E85A6" w14:textId="77777777" w:rsidTr="00927B43">
        <w:trPr>
          <w:trHeight w:hRule="exact" w:val="330"/>
        </w:trPr>
        <w:tc>
          <w:tcPr>
            <w:tcW w:w="2637" w:type="dxa"/>
            <w:tcBorders>
              <w:top w:val="single" w:sz="4" w:space="0" w:color="000000"/>
              <w:left w:val="single" w:sz="4" w:space="0" w:color="000000"/>
              <w:bottom w:val="single" w:sz="4" w:space="0" w:color="000000"/>
              <w:right w:val="single" w:sz="4" w:space="0" w:color="000000"/>
            </w:tcBorders>
            <w:vAlign w:val="center"/>
            <w:hideMark/>
          </w:tcPr>
          <w:p w14:paraId="23F4376E" w14:textId="77777777" w:rsidR="00927B43" w:rsidRDefault="00927B43">
            <w:pPr>
              <w:pStyle w:val="TableParagraph"/>
              <w:spacing w:line="240" w:lineRule="auto"/>
              <w:rPr>
                <w:highlight w:val="green"/>
                <w:lang w:val="da-DK"/>
              </w:rPr>
            </w:pPr>
            <w:r>
              <w:rPr>
                <w:lang w:val="da-DK"/>
              </w:rPr>
              <w:t>Øre og labyrint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6AFF2B55"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5A2E5ACE" w14:textId="77777777" w:rsidR="00927B43" w:rsidRDefault="00927B43">
            <w:pPr>
              <w:pStyle w:val="TableParagraph"/>
              <w:spacing w:line="240" w:lineRule="auto"/>
              <w:rPr>
                <w:highlight w:val="green"/>
                <w:lang w:val="da-DK"/>
              </w:rPr>
            </w:pPr>
            <w:r>
              <w:rPr>
                <w:lang w:val="da-DK"/>
              </w:rPr>
              <w:t>Svimmelhed (vertigo)</w:t>
            </w:r>
          </w:p>
        </w:tc>
      </w:tr>
      <w:tr w:rsidR="00927B43" w14:paraId="0FA3DDC7" w14:textId="77777777" w:rsidTr="00927B43">
        <w:trPr>
          <w:trHeight w:hRule="exact" w:val="330"/>
        </w:trPr>
        <w:tc>
          <w:tcPr>
            <w:tcW w:w="2637" w:type="dxa"/>
            <w:tcBorders>
              <w:top w:val="single" w:sz="4" w:space="0" w:color="000000"/>
              <w:left w:val="single" w:sz="4" w:space="0" w:color="000000"/>
              <w:bottom w:val="single" w:sz="4" w:space="0" w:color="000000"/>
              <w:right w:val="single" w:sz="4" w:space="0" w:color="000000"/>
            </w:tcBorders>
            <w:vAlign w:val="center"/>
            <w:hideMark/>
          </w:tcPr>
          <w:p w14:paraId="283A11F7" w14:textId="77777777" w:rsidR="00927B43" w:rsidRDefault="00927B43">
            <w:pPr>
              <w:pStyle w:val="TableParagraph"/>
              <w:spacing w:line="240" w:lineRule="auto"/>
              <w:rPr>
                <w:highlight w:val="green"/>
                <w:lang w:val="da-DK"/>
              </w:rPr>
            </w:pPr>
            <w:r>
              <w:rPr>
                <w:lang w:val="da-DK"/>
              </w:rPr>
              <w:t>Hjerte</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6CFF058"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024441FB" w14:textId="77777777" w:rsidR="00927B43" w:rsidRDefault="00927B43">
            <w:pPr>
              <w:pStyle w:val="TableParagraph"/>
              <w:spacing w:line="240" w:lineRule="auto"/>
              <w:rPr>
                <w:highlight w:val="green"/>
                <w:lang w:val="da-DK"/>
              </w:rPr>
            </w:pPr>
            <w:r>
              <w:rPr>
                <w:lang w:val="da-DK"/>
              </w:rPr>
              <w:t>Palpitationer</w:t>
            </w:r>
          </w:p>
        </w:tc>
      </w:tr>
      <w:tr w:rsidR="00927B43" w14:paraId="7CB51D53" w14:textId="77777777" w:rsidTr="00927B43">
        <w:trPr>
          <w:trHeight w:hRule="exact" w:val="611"/>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1C7FD97D" w14:textId="77777777" w:rsidR="00927B43" w:rsidRDefault="00927B43">
            <w:pPr>
              <w:pStyle w:val="TableParagraph"/>
              <w:spacing w:line="240" w:lineRule="auto"/>
              <w:rPr>
                <w:lang w:val="da-DK"/>
              </w:rPr>
            </w:pPr>
            <w:r>
              <w:rPr>
                <w:lang w:val="da-DK"/>
              </w:rPr>
              <w:t>Luftveje, thorax og</w:t>
            </w:r>
          </w:p>
          <w:p w14:paraId="6FC751BF" w14:textId="77777777" w:rsidR="00927B43" w:rsidRDefault="00927B43">
            <w:pPr>
              <w:pStyle w:val="TableParagraph"/>
              <w:spacing w:line="240" w:lineRule="auto"/>
              <w:rPr>
                <w:highlight w:val="green"/>
                <w:lang w:val="da-DK"/>
              </w:rPr>
            </w:pPr>
            <w:r>
              <w:rPr>
                <w:lang w:val="da-DK"/>
              </w:rPr>
              <w:t>mediastinum</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C97F536" w14:textId="77777777" w:rsidR="00927B43" w:rsidRDefault="00927B43">
            <w:pPr>
              <w:pStyle w:val="TableParagraph"/>
              <w:spacing w:line="240" w:lineRule="auto"/>
              <w:rPr>
                <w:lang w:val="da-DK"/>
              </w:rPr>
            </w:pPr>
            <w:r>
              <w:rPr>
                <w:lang w:val="da-DK"/>
              </w:rPr>
              <w:t>Meget</w:t>
            </w:r>
          </w:p>
          <w:p w14:paraId="7CA6F6F3"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C5CBC6B" w14:textId="77777777" w:rsidR="00927B43" w:rsidRDefault="00927B43">
            <w:pPr>
              <w:pStyle w:val="TableParagraph"/>
              <w:spacing w:line="240" w:lineRule="auto"/>
              <w:rPr>
                <w:highlight w:val="green"/>
                <w:lang w:val="da-DK"/>
              </w:rPr>
            </w:pPr>
            <w:r>
              <w:rPr>
                <w:lang w:val="da-DK"/>
              </w:rPr>
              <w:t>Hoste</w:t>
            </w:r>
          </w:p>
        </w:tc>
      </w:tr>
      <w:tr w:rsidR="00927B43" w14:paraId="7294519B" w14:textId="77777777" w:rsidTr="00927B43">
        <w:trPr>
          <w:trHeight w:hRule="exact" w:val="563"/>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4B32EBCB"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hideMark/>
          </w:tcPr>
          <w:p w14:paraId="7B8CA149"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hideMark/>
          </w:tcPr>
          <w:p w14:paraId="5D1465DA" w14:textId="77777777" w:rsidR="00927B43" w:rsidRDefault="00927B43">
            <w:pPr>
              <w:pStyle w:val="TableParagraph"/>
              <w:spacing w:line="240" w:lineRule="auto"/>
              <w:rPr>
                <w:highlight w:val="green"/>
                <w:lang w:val="da-DK"/>
              </w:rPr>
            </w:pPr>
            <w:r>
              <w:rPr>
                <w:lang w:val="da-DK"/>
              </w:rPr>
              <w:t>Dyspnø, orofaryngeal smerte, funktionsdyspnø, produktiv hoste</w:t>
            </w:r>
          </w:p>
        </w:tc>
      </w:tr>
      <w:tr w:rsidR="00927B43" w14:paraId="64F7654F" w14:textId="77777777" w:rsidTr="00927B43">
        <w:trPr>
          <w:trHeight w:hRule="exact" w:val="585"/>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3F0B995A" w14:textId="77777777" w:rsidR="00927B43" w:rsidRDefault="00927B43">
            <w:pPr>
              <w:pStyle w:val="TableParagraph"/>
              <w:spacing w:line="240" w:lineRule="auto"/>
              <w:rPr>
                <w:highlight w:val="green"/>
                <w:lang w:val="da-DK"/>
              </w:rPr>
            </w:pPr>
            <w:r>
              <w:rPr>
                <w:lang w:val="da-DK"/>
              </w:rPr>
              <w:t>Mave-tarm-kanalen</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B06D6DB" w14:textId="77777777" w:rsidR="00927B43" w:rsidRDefault="00927B43">
            <w:pPr>
              <w:pStyle w:val="TableParagraph"/>
              <w:spacing w:line="240" w:lineRule="auto"/>
              <w:rPr>
                <w:lang w:val="da-DK"/>
              </w:rPr>
            </w:pPr>
            <w:r>
              <w:rPr>
                <w:lang w:val="da-DK"/>
              </w:rPr>
              <w:t>Meget</w:t>
            </w:r>
          </w:p>
          <w:p w14:paraId="106D5C23"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4E74769E" w14:textId="77777777" w:rsidR="00927B43" w:rsidRDefault="00927B43">
            <w:pPr>
              <w:pStyle w:val="TableParagraph"/>
              <w:spacing w:line="240" w:lineRule="auto"/>
              <w:rPr>
                <w:highlight w:val="green"/>
                <w:lang w:val="da-DK"/>
              </w:rPr>
            </w:pPr>
            <w:r>
              <w:rPr>
                <w:lang w:val="da-DK"/>
              </w:rPr>
              <w:t>Kvalme, diarré</w:t>
            </w:r>
          </w:p>
        </w:tc>
      </w:tr>
      <w:tr w:rsidR="00927B43" w14:paraId="1CCA6EE0" w14:textId="77777777" w:rsidTr="00927B43">
        <w:trPr>
          <w:trHeight w:hRule="exact" w:val="1334"/>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01F686B5"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699A7CA8"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66AD2DFF" w14:textId="77777777" w:rsidR="00927B43" w:rsidRDefault="00927B43">
            <w:pPr>
              <w:pStyle w:val="TableParagraph"/>
              <w:spacing w:line="240" w:lineRule="auto"/>
              <w:rPr>
                <w:lang w:val="da-DK"/>
              </w:rPr>
            </w:pPr>
            <w:r>
              <w:rPr>
                <w:lang w:val="da-DK"/>
              </w:rPr>
              <w:t>Opkast, ascites, abdominalsmerter, øvre abdominalsmerter, dyspepsi, mundtørhed, obstipation, udspilet abdomen, tandpine, stomatitis, gastroøsofageal refluks, hæmorider, abdominalt ubehag, øsofagusvaricer</w:t>
            </w:r>
          </w:p>
        </w:tc>
      </w:tr>
      <w:tr w:rsidR="00927B43" w14:paraId="31E40437" w14:textId="77777777" w:rsidTr="00927B43">
        <w:trPr>
          <w:trHeight w:hRule="exact" w:val="565"/>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1D0C35AF"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hideMark/>
          </w:tcPr>
          <w:p w14:paraId="787437CA" w14:textId="77777777" w:rsidR="00927B43" w:rsidRDefault="00927B43">
            <w:pPr>
              <w:pStyle w:val="TableParagraph"/>
              <w:spacing w:line="240" w:lineRule="auto"/>
              <w:rPr>
                <w:lang w:val="da-DK"/>
              </w:rPr>
            </w:pPr>
            <w:r>
              <w:rPr>
                <w:lang w:val="da-DK"/>
              </w:rPr>
              <w:t>Ikke</w:t>
            </w:r>
          </w:p>
          <w:p w14:paraId="1D8D2996" w14:textId="77777777" w:rsidR="00927B43" w:rsidRDefault="00927B43">
            <w:pPr>
              <w:pStyle w:val="TableParagraph"/>
              <w:spacing w:line="240" w:lineRule="auto"/>
              <w:ind w:left="75" w:right="-69"/>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hideMark/>
          </w:tcPr>
          <w:p w14:paraId="4B8113DE" w14:textId="77777777" w:rsidR="00927B43" w:rsidRDefault="00927B43">
            <w:pPr>
              <w:pStyle w:val="TableParagraph"/>
              <w:spacing w:line="240" w:lineRule="auto"/>
              <w:rPr>
                <w:highlight w:val="green"/>
                <w:lang w:val="da-DK"/>
              </w:rPr>
            </w:pPr>
            <w:r>
              <w:rPr>
                <w:lang w:val="da-DK"/>
              </w:rPr>
              <w:t>Blødning fra øsofagusvaricer, gastritis, aftøs stomatitis</w:t>
            </w:r>
          </w:p>
        </w:tc>
      </w:tr>
      <w:tr w:rsidR="00927B43" w14:paraId="4F23C77A" w14:textId="77777777" w:rsidTr="00927B43">
        <w:trPr>
          <w:trHeight w:hRule="exact" w:val="599"/>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13828049" w14:textId="77777777" w:rsidR="00927B43" w:rsidRDefault="00927B43">
            <w:pPr>
              <w:pStyle w:val="TableParagraph"/>
              <w:spacing w:line="240" w:lineRule="auto"/>
              <w:rPr>
                <w:highlight w:val="green"/>
                <w:lang w:val="da-DK"/>
              </w:rPr>
            </w:pPr>
            <w:r>
              <w:rPr>
                <w:lang w:val="da-DK"/>
              </w:rPr>
              <w:t>Lever og galdeveje</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10801CE1"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1DE0AB99" w14:textId="77777777" w:rsidR="00927B43" w:rsidRDefault="00927B43">
            <w:pPr>
              <w:pStyle w:val="TableParagraph"/>
              <w:spacing w:line="240" w:lineRule="auto"/>
              <w:rPr>
                <w:highlight w:val="green"/>
                <w:lang w:val="da-DK"/>
              </w:rPr>
            </w:pPr>
            <w:r>
              <w:rPr>
                <w:lang w:val="da-DK"/>
              </w:rPr>
              <w:t>Hyperbilirubinæmi, gulsot, lægemiddelinduceret leverskade</w:t>
            </w:r>
          </w:p>
        </w:tc>
      </w:tr>
      <w:tr w:rsidR="00927B43" w14:paraId="3B3DA6A1" w14:textId="77777777" w:rsidTr="00927B43">
        <w:trPr>
          <w:trHeight w:hRule="exact" w:val="579"/>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2AA86452"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191D5ED4" w14:textId="77777777" w:rsidR="00927B43" w:rsidRDefault="00927B43">
            <w:pPr>
              <w:pStyle w:val="TableParagraph"/>
              <w:spacing w:line="240" w:lineRule="auto"/>
              <w:rPr>
                <w:lang w:val="da-DK"/>
              </w:rPr>
            </w:pPr>
            <w:r>
              <w:rPr>
                <w:lang w:val="da-DK"/>
              </w:rPr>
              <w:t>Ikke</w:t>
            </w:r>
          </w:p>
          <w:p w14:paraId="16CBB7F8"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05D6D7A" w14:textId="77777777" w:rsidR="00927B43" w:rsidRDefault="00927B43">
            <w:pPr>
              <w:pStyle w:val="TableParagraph"/>
              <w:spacing w:line="240" w:lineRule="auto"/>
              <w:rPr>
                <w:highlight w:val="green"/>
                <w:lang w:val="da-DK"/>
              </w:rPr>
            </w:pPr>
            <w:r>
              <w:rPr>
                <w:lang w:val="da-DK"/>
              </w:rPr>
              <w:t>Portal venetrombose, leversvigt</w:t>
            </w:r>
          </w:p>
        </w:tc>
      </w:tr>
      <w:tr w:rsidR="00927B43" w14:paraId="2C5EB999" w14:textId="77777777" w:rsidTr="00927B43">
        <w:trPr>
          <w:trHeight w:hRule="exact" w:val="611"/>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472E4900" w14:textId="77777777" w:rsidR="00927B43" w:rsidRDefault="00927B43">
            <w:pPr>
              <w:pStyle w:val="TableParagraph"/>
              <w:spacing w:line="240" w:lineRule="auto"/>
              <w:rPr>
                <w:highlight w:val="green"/>
                <w:lang w:val="da-DK"/>
              </w:rPr>
            </w:pPr>
            <w:r>
              <w:rPr>
                <w:lang w:val="da-DK"/>
              </w:rPr>
              <w:t>Hud og subkutane væv</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5B36F06" w14:textId="77777777" w:rsidR="00927B43" w:rsidRDefault="00927B43">
            <w:pPr>
              <w:pStyle w:val="TableParagraph"/>
              <w:spacing w:line="240" w:lineRule="auto"/>
              <w:rPr>
                <w:lang w:val="da-DK"/>
              </w:rPr>
            </w:pPr>
            <w:r>
              <w:rPr>
                <w:lang w:val="da-DK"/>
              </w:rPr>
              <w:t>Meget</w:t>
            </w:r>
          </w:p>
          <w:p w14:paraId="5FB713D7"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0D811712" w14:textId="77777777" w:rsidR="00927B43" w:rsidRDefault="00927B43">
            <w:pPr>
              <w:pStyle w:val="TableParagraph"/>
              <w:spacing w:line="240" w:lineRule="auto"/>
              <w:rPr>
                <w:highlight w:val="green"/>
                <w:lang w:val="da-DK"/>
              </w:rPr>
            </w:pPr>
            <w:r>
              <w:rPr>
                <w:lang w:val="da-DK"/>
              </w:rPr>
              <w:t>Kløe</w:t>
            </w:r>
          </w:p>
        </w:tc>
      </w:tr>
      <w:tr w:rsidR="00927B43" w14:paraId="6BA5356E" w14:textId="77777777" w:rsidTr="00927B43">
        <w:trPr>
          <w:trHeight w:hRule="exact" w:val="563"/>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4902F4EE"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117B19D8"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3A9B1C9B" w14:textId="77777777" w:rsidR="00927B43" w:rsidRDefault="00927B43">
            <w:pPr>
              <w:pStyle w:val="TableParagraph"/>
              <w:spacing w:line="240" w:lineRule="auto"/>
              <w:rPr>
                <w:highlight w:val="green"/>
                <w:lang w:val="da-DK"/>
              </w:rPr>
            </w:pPr>
            <w:r>
              <w:rPr>
                <w:lang w:val="da-DK"/>
              </w:rPr>
              <w:t>Udslæt, tør hud, eksem, kløende udslæt, erytem, hyperhidrose, generaliseret kløe, alopeci</w:t>
            </w:r>
          </w:p>
        </w:tc>
      </w:tr>
      <w:tr w:rsidR="00927B43" w14:paraId="327530C4" w14:textId="77777777" w:rsidTr="00927B43">
        <w:trPr>
          <w:trHeight w:hRule="exact" w:val="571"/>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3BFFB5F9"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BF4D26B" w14:textId="77777777" w:rsidR="00927B43" w:rsidRDefault="00927B43">
            <w:pPr>
              <w:pStyle w:val="TableParagraph"/>
              <w:spacing w:line="240" w:lineRule="auto"/>
              <w:rPr>
                <w:lang w:val="da-DK"/>
              </w:rPr>
            </w:pPr>
            <w:r>
              <w:rPr>
                <w:lang w:val="da-DK"/>
              </w:rPr>
              <w:t>Ikke</w:t>
            </w:r>
          </w:p>
          <w:p w14:paraId="5A393F37" w14:textId="77777777" w:rsidR="00927B43" w:rsidRDefault="00927B43">
            <w:pPr>
              <w:pStyle w:val="TableParagraph"/>
              <w:spacing w:line="240" w:lineRule="auto"/>
              <w:ind w:left="75" w:right="-69"/>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613B13D8" w14:textId="77777777" w:rsidR="00927B43" w:rsidRDefault="00927B43">
            <w:pPr>
              <w:pStyle w:val="TableParagraph"/>
              <w:spacing w:line="240" w:lineRule="auto"/>
              <w:rPr>
                <w:highlight w:val="green"/>
                <w:lang w:val="da-DK"/>
              </w:rPr>
            </w:pPr>
            <w:r>
              <w:rPr>
                <w:lang w:val="da-DK"/>
              </w:rPr>
              <w:t>Hudlæsion, misfarvning af huden, hyperpigmentering af huden, nattesved</w:t>
            </w:r>
          </w:p>
        </w:tc>
      </w:tr>
      <w:tr w:rsidR="00927B43" w14:paraId="00A12B07" w14:textId="77777777" w:rsidTr="00927B43">
        <w:trPr>
          <w:trHeight w:hRule="exact" w:val="565"/>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54DCAD3D" w14:textId="77777777" w:rsidR="00927B43" w:rsidRDefault="00927B43">
            <w:pPr>
              <w:pStyle w:val="TableParagraph"/>
              <w:spacing w:line="240" w:lineRule="auto"/>
              <w:rPr>
                <w:lang w:val="da-DK"/>
              </w:rPr>
            </w:pPr>
            <w:r>
              <w:rPr>
                <w:lang w:val="da-DK"/>
              </w:rPr>
              <w:t>Knogler, led, muskler og</w:t>
            </w:r>
          </w:p>
          <w:p w14:paraId="30EED56D" w14:textId="77777777" w:rsidR="00927B43" w:rsidRDefault="00927B43">
            <w:pPr>
              <w:pStyle w:val="TableParagraph"/>
              <w:spacing w:line="240" w:lineRule="auto"/>
              <w:rPr>
                <w:highlight w:val="green"/>
                <w:lang w:val="da-DK"/>
              </w:rPr>
            </w:pPr>
            <w:r>
              <w:rPr>
                <w:lang w:val="da-DK"/>
              </w:rPr>
              <w:t>bindevæv</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57E8F63" w14:textId="77777777" w:rsidR="00927B43" w:rsidRDefault="00927B43">
            <w:pPr>
              <w:pStyle w:val="TableParagraph"/>
              <w:spacing w:line="240" w:lineRule="auto"/>
              <w:rPr>
                <w:lang w:val="da-DK"/>
              </w:rPr>
            </w:pPr>
            <w:r>
              <w:rPr>
                <w:lang w:val="da-DK"/>
              </w:rPr>
              <w:t>Meget</w:t>
            </w:r>
          </w:p>
          <w:p w14:paraId="734FAC2B"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528CDA57" w14:textId="77777777" w:rsidR="00927B43" w:rsidRDefault="00927B43">
            <w:pPr>
              <w:pStyle w:val="TableParagraph"/>
              <w:spacing w:line="240" w:lineRule="auto"/>
              <w:rPr>
                <w:highlight w:val="green"/>
                <w:lang w:val="da-DK"/>
              </w:rPr>
            </w:pPr>
            <w:r>
              <w:rPr>
                <w:lang w:val="da-DK"/>
              </w:rPr>
              <w:t>Muskelsmerter</w:t>
            </w:r>
          </w:p>
        </w:tc>
      </w:tr>
      <w:tr w:rsidR="00927B43" w14:paraId="0161C542" w14:textId="77777777" w:rsidTr="00927B43">
        <w:trPr>
          <w:trHeight w:hRule="exact" w:val="573"/>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41FC62D7"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A68ADE6"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6CE3FCAF" w14:textId="77777777" w:rsidR="00927B43" w:rsidRDefault="00927B43">
            <w:pPr>
              <w:pStyle w:val="TableParagraph"/>
              <w:spacing w:line="240" w:lineRule="auto"/>
              <w:rPr>
                <w:highlight w:val="green"/>
                <w:lang w:val="da-DK"/>
              </w:rPr>
            </w:pPr>
            <w:r>
              <w:rPr>
                <w:lang w:val="da-DK"/>
              </w:rPr>
              <w:t>Ledsmerter, muskelspasmer, rygsmerter, smerter i ekstremiteterne, muskuloskeletale smerter, knoglesmerter</w:t>
            </w:r>
          </w:p>
        </w:tc>
      </w:tr>
      <w:tr w:rsidR="00927B43" w14:paraId="0ACCDC26" w14:textId="77777777" w:rsidTr="00927B43">
        <w:trPr>
          <w:trHeight w:hRule="exact" w:val="567"/>
        </w:trPr>
        <w:tc>
          <w:tcPr>
            <w:tcW w:w="2637" w:type="dxa"/>
            <w:tcBorders>
              <w:top w:val="single" w:sz="4" w:space="0" w:color="000000"/>
              <w:left w:val="single" w:sz="4" w:space="0" w:color="000000"/>
              <w:bottom w:val="single" w:sz="4" w:space="0" w:color="000000"/>
              <w:right w:val="single" w:sz="4" w:space="0" w:color="000000"/>
            </w:tcBorders>
            <w:vAlign w:val="center"/>
            <w:hideMark/>
          </w:tcPr>
          <w:p w14:paraId="1ED915DF" w14:textId="77777777" w:rsidR="00927B43" w:rsidRDefault="00927B43">
            <w:pPr>
              <w:pStyle w:val="TableParagraph"/>
              <w:spacing w:line="240" w:lineRule="auto"/>
              <w:rPr>
                <w:highlight w:val="green"/>
                <w:lang w:val="da-DK"/>
              </w:rPr>
            </w:pPr>
            <w:r>
              <w:rPr>
                <w:lang w:val="da-DK"/>
              </w:rPr>
              <w:t>Nyrer og urinveje</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928DBE4" w14:textId="77777777" w:rsidR="00927B43" w:rsidRDefault="00927B43">
            <w:pPr>
              <w:pStyle w:val="TableParagraph"/>
              <w:spacing w:line="240" w:lineRule="auto"/>
              <w:rPr>
                <w:lang w:val="da-DK"/>
              </w:rPr>
            </w:pPr>
            <w:r>
              <w:rPr>
                <w:lang w:val="da-DK"/>
              </w:rPr>
              <w:t>Ikke</w:t>
            </w:r>
          </w:p>
          <w:p w14:paraId="7F886A91" w14:textId="77777777" w:rsidR="00927B43" w:rsidRDefault="00927B43">
            <w:pPr>
              <w:pStyle w:val="TableParagraph"/>
              <w:spacing w:line="240" w:lineRule="auto"/>
              <w:ind w:right="-69"/>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F6D2FBB" w14:textId="77777777" w:rsidR="00927B43" w:rsidRDefault="00927B43">
            <w:pPr>
              <w:pStyle w:val="TableParagraph"/>
              <w:spacing w:line="240" w:lineRule="auto"/>
              <w:rPr>
                <w:highlight w:val="green"/>
                <w:lang w:val="da-DK"/>
              </w:rPr>
            </w:pPr>
            <w:r>
              <w:rPr>
                <w:lang w:val="da-DK"/>
              </w:rPr>
              <w:t>Trombotisk mikroangiopati med nyresvigt</w:t>
            </w:r>
            <w:r>
              <w:rPr>
                <w:vertAlign w:val="superscript"/>
                <w:lang w:val="da-DK"/>
              </w:rPr>
              <w:t>†</w:t>
            </w:r>
            <w:r>
              <w:rPr>
                <w:lang w:val="da-DK"/>
              </w:rPr>
              <w:t>, dysuri</w:t>
            </w:r>
          </w:p>
        </w:tc>
      </w:tr>
      <w:tr w:rsidR="00927B43" w14:paraId="116BAEFD" w14:textId="77777777" w:rsidTr="00927B43">
        <w:trPr>
          <w:trHeight w:hRule="exact" w:val="856"/>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70264EA8" w14:textId="77777777" w:rsidR="00927B43" w:rsidRDefault="00927B43">
            <w:pPr>
              <w:pStyle w:val="TableParagraph"/>
              <w:spacing w:line="240" w:lineRule="auto"/>
              <w:rPr>
                <w:lang w:val="da-DK"/>
              </w:rPr>
            </w:pPr>
            <w:r>
              <w:rPr>
                <w:lang w:val="da-DK"/>
              </w:rPr>
              <w:t>Almene symptomer og</w:t>
            </w:r>
          </w:p>
          <w:p w14:paraId="08A46D5C" w14:textId="77777777" w:rsidR="00927B43" w:rsidRDefault="00927B43">
            <w:pPr>
              <w:pStyle w:val="TableParagraph"/>
              <w:spacing w:line="240" w:lineRule="auto"/>
              <w:rPr>
                <w:lang w:val="da-DK"/>
              </w:rPr>
            </w:pPr>
            <w:r>
              <w:rPr>
                <w:lang w:val="da-DK"/>
              </w:rPr>
              <w:t>reaktioner på</w:t>
            </w:r>
          </w:p>
          <w:p w14:paraId="27040C4F" w14:textId="77777777" w:rsidR="00927B43" w:rsidRDefault="00927B43">
            <w:pPr>
              <w:pStyle w:val="TableParagraph"/>
              <w:spacing w:line="240" w:lineRule="auto"/>
              <w:rPr>
                <w:highlight w:val="green"/>
                <w:lang w:val="da-DK"/>
              </w:rPr>
            </w:pPr>
            <w:r>
              <w:rPr>
                <w:lang w:val="da-DK"/>
              </w:rPr>
              <w:t>administrationsstedet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6158FAC7" w14:textId="77777777" w:rsidR="00927B43" w:rsidRDefault="00927B43">
            <w:pPr>
              <w:pStyle w:val="TableParagraph"/>
              <w:spacing w:line="240" w:lineRule="auto"/>
              <w:rPr>
                <w:lang w:val="da-DK"/>
              </w:rPr>
            </w:pPr>
            <w:r>
              <w:rPr>
                <w:lang w:val="da-DK"/>
              </w:rPr>
              <w:t>Meget</w:t>
            </w:r>
          </w:p>
          <w:p w14:paraId="2D999A75"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78C73F23" w14:textId="77777777" w:rsidR="00927B43" w:rsidRDefault="00927B43">
            <w:pPr>
              <w:pStyle w:val="TableParagraph"/>
              <w:spacing w:line="240" w:lineRule="auto"/>
              <w:rPr>
                <w:lang w:val="da-DK"/>
              </w:rPr>
            </w:pPr>
            <w:r>
              <w:rPr>
                <w:lang w:val="da-DK"/>
              </w:rPr>
              <w:t>Pyreksi, træthed, influenzalignende symptomer, asteni,</w:t>
            </w:r>
          </w:p>
          <w:p w14:paraId="0ECE0A3E" w14:textId="77777777" w:rsidR="00927B43" w:rsidRDefault="00927B43">
            <w:pPr>
              <w:pStyle w:val="TableParagraph"/>
              <w:spacing w:line="240" w:lineRule="auto"/>
              <w:rPr>
                <w:highlight w:val="green"/>
                <w:lang w:val="da-DK"/>
              </w:rPr>
            </w:pPr>
            <w:r>
              <w:rPr>
                <w:lang w:val="da-DK"/>
              </w:rPr>
              <w:t>kulderystelser</w:t>
            </w:r>
          </w:p>
        </w:tc>
      </w:tr>
      <w:tr w:rsidR="00927B43" w14:paraId="543D1071" w14:textId="77777777" w:rsidTr="00927B43">
        <w:trPr>
          <w:trHeight w:hRule="exact" w:val="790"/>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6B24D7CE"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7F77E701"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35E6043B" w14:textId="77777777" w:rsidR="00927B43" w:rsidRDefault="00927B43">
            <w:pPr>
              <w:pStyle w:val="TableParagraph"/>
              <w:spacing w:line="240" w:lineRule="auto"/>
              <w:rPr>
                <w:highlight w:val="green"/>
                <w:lang w:val="da-DK"/>
              </w:rPr>
            </w:pPr>
            <w:r>
              <w:rPr>
                <w:lang w:val="da-DK"/>
              </w:rPr>
              <w:t>Irritabilitet, smerter, utilpashed, reaktion på injektionsstedet, ikkekardielle smerter i brystkassen, ødem, perifert ødem</w:t>
            </w:r>
          </w:p>
        </w:tc>
      </w:tr>
      <w:tr w:rsidR="00927B43" w14:paraId="3DDE36D2" w14:textId="77777777" w:rsidTr="00927B43">
        <w:trPr>
          <w:trHeight w:hRule="exact" w:val="589"/>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45ACA40E"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0B1E813C" w14:textId="77777777" w:rsidR="00927B43" w:rsidRDefault="00927B43">
            <w:pPr>
              <w:pStyle w:val="TableParagraph"/>
              <w:spacing w:line="240" w:lineRule="auto"/>
              <w:rPr>
                <w:lang w:val="da-DK"/>
              </w:rPr>
            </w:pPr>
            <w:r>
              <w:rPr>
                <w:lang w:val="da-DK"/>
              </w:rPr>
              <w:t>Ikke</w:t>
            </w:r>
          </w:p>
          <w:p w14:paraId="2C508D9A"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29550644" w14:textId="77777777" w:rsidR="00927B43" w:rsidRDefault="00927B43">
            <w:pPr>
              <w:pStyle w:val="TableParagraph"/>
              <w:spacing w:line="240" w:lineRule="auto"/>
              <w:rPr>
                <w:highlight w:val="green"/>
                <w:lang w:val="da-DK"/>
              </w:rPr>
            </w:pPr>
            <w:r>
              <w:rPr>
                <w:lang w:val="da-DK"/>
              </w:rPr>
              <w:t>Kløe ved injektionsstedet, udslæt på injektionsstedet, ubehag i brystkassen</w:t>
            </w:r>
          </w:p>
        </w:tc>
      </w:tr>
      <w:tr w:rsidR="00927B43" w14:paraId="0DE93ECA" w14:textId="77777777" w:rsidTr="00927B43">
        <w:trPr>
          <w:trHeight w:hRule="exact" w:val="1582"/>
        </w:trPr>
        <w:tc>
          <w:tcPr>
            <w:tcW w:w="2637" w:type="dxa"/>
            <w:vMerge w:val="restart"/>
            <w:tcBorders>
              <w:top w:val="single" w:sz="4" w:space="0" w:color="000000"/>
              <w:left w:val="single" w:sz="4" w:space="0" w:color="000000"/>
              <w:bottom w:val="single" w:sz="4" w:space="0" w:color="000000"/>
              <w:right w:val="single" w:sz="4" w:space="0" w:color="000000"/>
            </w:tcBorders>
            <w:vAlign w:val="center"/>
            <w:hideMark/>
          </w:tcPr>
          <w:p w14:paraId="10E9E125" w14:textId="77777777" w:rsidR="00927B43" w:rsidRDefault="00927B43">
            <w:pPr>
              <w:pStyle w:val="TableParagraph"/>
              <w:spacing w:line="240" w:lineRule="auto"/>
              <w:rPr>
                <w:highlight w:val="green"/>
                <w:lang w:val="da-DK"/>
              </w:rPr>
            </w:pPr>
            <w:r>
              <w:rPr>
                <w:lang w:val="da-DK"/>
              </w:rPr>
              <w:t>Undersøgelser</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776F0D86"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7A66B9A6" w14:textId="77777777" w:rsidR="00927B43" w:rsidRDefault="00927B43">
            <w:pPr>
              <w:pStyle w:val="TableParagraph"/>
              <w:spacing w:line="240" w:lineRule="auto"/>
              <w:rPr>
                <w:lang w:val="da-DK"/>
              </w:rPr>
            </w:pPr>
            <w:r>
              <w:rPr>
                <w:lang w:val="da-DK"/>
              </w:rPr>
              <w:t>Forhøjet bilirubin i blodet, vægttab, reduceret antal hvide</w:t>
            </w:r>
          </w:p>
          <w:p w14:paraId="51ED0BC4" w14:textId="77777777" w:rsidR="00927B43" w:rsidRDefault="00927B43">
            <w:pPr>
              <w:pStyle w:val="TableParagraph"/>
              <w:spacing w:line="240" w:lineRule="auto"/>
              <w:rPr>
                <w:highlight w:val="green"/>
                <w:lang w:val="da-DK"/>
              </w:rPr>
            </w:pPr>
            <w:r>
              <w:rPr>
                <w:lang w:val="da-DK"/>
              </w:rPr>
              <w:t>blodlegemer, nedsat hæmoglobin, nedsat neutrofiltal, forhøjet INR (international normaliseret ratio), forlænget aktiveret partiel tromboplastintid, forhøjet blodglukose, nedsat albumin i blodet</w:t>
            </w:r>
          </w:p>
        </w:tc>
      </w:tr>
      <w:tr w:rsidR="00927B43" w14:paraId="225FF664" w14:textId="77777777" w:rsidTr="00927B43">
        <w:trPr>
          <w:trHeight w:hRule="exact" w:val="539"/>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14:paraId="481A8407" w14:textId="77777777" w:rsidR="00927B43" w:rsidRDefault="00927B43">
            <w:pPr>
              <w:rPr>
                <w:sz w:val="22"/>
                <w:szCs w:val="22"/>
                <w:highlight w:val="green"/>
              </w:rPr>
            </w:pP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C47E6AC" w14:textId="77777777" w:rsidR="00927B43" w:rsidRDefault="00927B43">
            <w:pPr>
              <w:pStyle w:val="TableParagraph"/>
              <w:spacing w:line="240" w:lineRule="auto"/>
              <w:rPr>
                <w:lang w:val="da-DK"/>
              </w:rPr>
            </w:pPr>
            <w:r>
              <w:rPr>
                <w:lang w:val="da-DK"/>
              </w:rPr>
              <w:t>Ikke</w:t>
            </w:r>
          </w:p>
          <w:p w14:paraId="2D691E11" w14:textId="77777777" w:rsidR="00927B43" w:rsidRDefault="00927B43">
            <w:pPr>
              <w:pStyle w:val="TableParagraph"/>
              <w:spacing w:line="240" w:lineRule="auto"/>
              <w:rPr>
                <w:highlight w:val="green"/>
                <w:lang w:val="da-DK"/>
              </w:rPr>
            </w:pPr>
            <w:r>
              <w:rPr>
                <w:lang w:val="da-DK"/>
              </w:rPr>
              <w:t>almindelig</w:t>
            </w:r>
          </w:p>
        </w:tc>
        <w:tc>
          <w:tcPr>
            <w:tcW w:w="5226" w:type="dxa"/>
            <w:tcBorders>
              <w:top w:val="single" w:sz="4" w:space="0" w:color="000000"/>
              <w:left w:val="single" w:sz="4" w:space="0" w:color="000000"/>
              <w:bottom w:val="single" w:sz="4" w:space="0" w:color="000000"/>
              <w:right w:val="single" w:sz="4" w:space="0" w:color="000000"/>
            </w:tcBorders>
            <w:vAlign w:val="center"/>
          </w:tcPr>
          <w:p w14:paraId="34B333E4" w14:textId="77777777" w:rsidR="00927B43" w:rsidRDefault="00927B43">
            <w:pPr>
              <w:pStyle w:val="TableParagraph"/>
              <w:spacing w:line="240" w:lineRule="auto"/>
              <w:rPr>
                <w:highlight w:val="green"/>
                <w:lang w:val="da-DK"/>
              </w:rPr>
            </w:pPr>
            <w:r>
              <w:rPr>
                <w:lang w:val="da-DK"/>
              </w:rPr>
              <w:t>QT-forlængelse ved EKG</w:t>
            </w:r>
          </w:p>
          <w:p w14:paraId="59DA70C4" w14:textId="77777777" w:rsidR="00927B43" w:rsidRDefault="00927B43">
            <w:pPr>
              <w:pStyle w:val="TableParagraph"/>
              <w:spacing w:line="240" w:lineRule="auto"/>
              <w:rPr>
                <w:highlight w:val="green"/>
                <w:lang w:val="da-DK"/>
              </w:rPr>
            </w:pPr>
          </w:p>
          <w:p w14:paraId="2C24FF39" w14:textId="77777777" w:rsidR="00927B43" w:rsidRDefault="00927B43">
            <w:pPr>
              <w:pStyle w:val="TableParagraph"/>
              <w:spacing w:line="240" w:lineRule="auto"/>
              <w:rPr>
                <w:highlight w:val="green"/>
                <w:lang w:val="da-DK"/>
              </w:rPr>
            </w:pPr>
          </w:p>
        </w:tc>
      </w:tr>
    </w:tbl>
    <w:p w14:paraId="71441CD5" w14:textId="3D72BB88" w:rsidR="00927B43" w:rsidRPr="00A15E0E" w:rsidRDefault="00927B43" w:rsidP="00A15E0E">
      <w:pPr>
        <w:ind w:left="142" w:hanging="142"/>
        <w:rPr>
          <w:sz w:val="20"/>
        </w:rPr>
      </w:pPr>
      <w:r w:rsidRPr="00A15E0E">
        <w:rPr>
          <w:sz w:val="20"/>
          <w:vertAlign w:val="superscript"/>
        </w:rPr>
        <w:t>†</w:t>
      </w:r>
      <w:r w:rsidRPr="00A15E0E">
        <w:rPr>
          <w:sz w:val="20"/>
        </w:rPr>
        <w:t xml:space="preserve">     Kombineret bivirkningsterm med de foretrukne termer oliguri, nyresvigt og nedsat nyrefunktion</w:t>
      </w:r>
    </w:p>
    <w:p w14:paraId="5D1302E6" w14:textId="759127D8" w:rsidR="00927B43" w:rsidRDefault="00927B43" w:rsidP="00927B43">
      <w:pPr>
        <w:rPr>
          <w:rFonts w:asciiTheme="minorHAnsi" w:eastAsiaTheme="minorHAnsi" w:hAnsiTheme="minorHAnsi" w:cstheme="minorBidi"/>
          <w:highlight w:val="green"/>
        </w:rPr>
      </w:pPr>
    </w:p>
    <w:p w14:paraId="5CB288B2" w14:textId="77777777" w:rsidR="00A15E0E" w:rsidRDefault="00A15E0E" w:rsidP="00927B43">
      <w:pPr>
        <w:rPr>
          <w:rFonts w:asciiTheme="minorHAnsi" w:eastAsiaTheme="minorHAnsi" w:hAnsiTheme="minorHAnsi" w:cstheme="minorBidi"/>
          <w:highlight w:val="green"/>
        </w:rPr>
      </w:pPr>
    </w:p>
    <w:p w14:paraId="3D632492" w14:textId="77777777" w:rsidR="00927B43" w:rsidRPr="005F3B3D" w:rsidRDefault="00927B43" w:rsidP="005F3B3D">
      <w:pPr>
        <w:rPr>
          <w:b/>
          <w:sz w:val="24"/>
          <w:szCs w:val="24"/>
          <w:highlight w:val="green"/>
        </w:rPr>
      </w:pPr>
      <w:r w:rsidRPr="005F3B3D">
        <w:rPr>
          <w:b/>
          <w:sz w:val="24"/>
          <w:szCs w:val="24"/>
        </w:rPr>
        <w:t>Population i SAA-studierne</w:t>
      </w:r>
    </w:p>
    <w:p w14:paraId="1F7EC7E9" w14:textId="77777777" w:rsidR="00927B43" w:rsidRPr="005F3B3D" w:rsidRDefault="00927B43" w:rsidP="005F3B3D">
      <w:pPr>
        <w:rPr>
          <w:b/>
          <w:sz w:val="24"/>
          <w:szCs w:val="24"/>
          <w:highlight w:val="green"/>
        </w:rPr>
      </w:pP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1333"/>
        <w:gridCol w:w="5321"/>
      </w:tblGrid>
      <w:tr w:rsidR="00927B43" w14:paraId="58497E12" w14:textId="77777777" w:rsidTr="00A15E0E">
        <w:trPr>
          <w:trHeight w:hRule="exact" w:val="320"/>
        </w:trPr>
        <w:tc>
          <w:tcPr>
            <w:tcW w:w="2636" w:type="dxa"/>
            <w:tcBorders>
              <w:top w:val="single" w:sz="4" w:space="0" w:color="000000"/>
              <w:left w:val="single" w:sz="4" w:space="0" w:color="000000"/>
              <w:bottom w:val="single" w:sz="4" w:space="0" w:color="000000"/>
              <w:right w:val="single" w:sz="4" w:space="0" w:color="000000"/>
            </w:tcBorders>
            <w:hideMark/>
          </w:tcPr>
          <w:p w14:paraId="5DC80B70" w14:textId="77777777" w:rsidR="00927B43" w:rsidRDefault="00927B43">
            <w:pPr>
              <w:pStyle w:val="TableParagraph"/>
              <w:tabs>
                <w:tab w:val="left" w:pos="4111"/>
              </w:tabs>
              <w:spacing w:line="240" w:lineRule="auto"/>
              <w:rPr>
                <w:b/>
                <w:highlight w:val="green"/>
                <w:lang w:val="da-DK"/>
              </w:rPr>
            </w:pPr>
            <w:r>
              <w:rPr>
                <w:b/>
                <w:lang w:val="da-DK"/>
              </w:rPr>
              <w:t>Systemorganklasse</w:t>
            </w:r>
          </w:p>
        </w:tc>
        <w:tc>
          <w:tcPr>
            <w:tcW w:w="1333" w:type="dxa"/>
            <w:tcBorders>
              <w:top w:val="single" w:sz="4" w:space="0" w:color="000000"/>
              <w:left w:val="single" w:sz="4" w:space="0" w:color="000000"/>
              <w:bottom w:val="single" w:sz="4" w:space="0" w:color="000000"/>
              <w:right w:val="single" w:sz="4" w:space="0" w:color="000000"/>
            </w:tcBorders>
            <w:hideMark/>
          </w:tcPr>
          <w:p w14:paraId="5E6BA0B3" w14:textId="77777777" w:rsidR="00927B43" w:rsidRDefault="00927B43">
            <w:pPr>
              <w:pStyle w:val="TableParagraph"/>
              <w:tabs>
                <w:tab w:val="left" w:pos="4111"/>
              </w:tabs>
              <w:spacing w:line="240" w:lineRule="auto"/>
              <w:rPr>
                <w:b/>
                <w:highlight w:val="green"/>
                <w:lang w:val="da-DK"/>
              </w:rPr>
            </w:pPr>
            <w:r>
              <w:rPr>
                <w:b/>
                <w:lang w:val="da-DK"/>
              </w:rPr>
              <w:t>Frekvens</w:t>
            </w:r>
          </w:p>
        </w:tc>
        <w:tc>
          <w:tcPr>
            <w:tcW w:w="5321" w:type="dxa"/>
            <w:tcBorders>
              <w:top w:val="single" w:sz="4" w:space="0" w:color="000000"/>
              <w:left w:val="single" w:sz="4" w:space="0" w:color="000000"/>
              <w:bottom w:val="single" w:sz="4" w:space="0" w:color="000000"/>
              <w:right w:val="single" w:sz="4" w:space="0" w:color="000000"/>
            </w:tcBorders>
            <w:hideMark/>
          </w:tcPr>
          <w:p w14:paraId="6200EB23" w14:textId="77777777" w:rsidR="00927B43" w:rsidRDefault="00927B43">
            <w:pPr>
              <w:pStyle w:val="TableParagraph"/>
              <w:tabs>
                <w:tab w:val="left" w:pos="4111"/>
              </w:tabs>
              <w:spacing w:line="240" w:lineRule="auto"/>
              <w:rPr>
                <w:b/>
                <w:highlight w:val="green"/>
                <w:lang w:val="da-DK"/>
              </w:rPr>
            </w:pPr>
            <w:r>
              <w:rPr>
                <w:b/>
                <w:lang w:val="da-DK"/>
              </w:rPr>
              <w:t>Bivirkning</w:t>
            </w:r>
          </w:p>
        </w:tc>
      </w:tr>
      <w:tr w:rsidR="00927B43" w14:paraId="0CD23CBC" w14:textId="77777777" w:rsidTr="00A15E0E">
        <w:trPr>
          <w:trHeight w:hRule="exact" w:val="544"/>
        </w:trPr>
        <w:tc>
          <w:tcPr>
            <w:tcW w:w="2636" w:type="dxa"/>
            <w:tcBorders>
              <w:top w:val="single" w:sz="4" w:space="0" w:color="000000"/>
              <w:left w:val="single" w:sz="4" w:space="0" w:color="000000"/>
              <w:bottom w:val="single" w:sz="4" w:space="0" w:color="000000"/>
              <w:right w:val="single" w:sz="4" w:space="0" w:color="000000"/>
            </w:tcBorders>
            <w:hideMark/>
          </w:tcPr>
          <w:p w14:paraId="16766902" w14:textId="77777777" w:rsidR="00927B43" w:rsidRDefault="00927B43">
            <w:pPr>
              <w:pStyle w:val="TableParagraph"/>
              <w:tabs>
                <w:tab w:val="left" w:pos="4111"/>
              </w:tabs>
              <w:spacing w:line="240" w:lineRule="auto"/>
              <w:rPr>
                <w:highlight w:val="green"/>
                <w:lang w:val="da-DK"/>
              </w:rPr>
            </w:pPr>
            <w:r>
              <w:rPr>
                <w:lang w:val="da-DK"/>
              </w:rPr>
              <w:t>Blod- og lymfesystem</w:t>
            </w:r>
          </w:p>
        </w:tc>
        <w:tc>
          <w:tcPr>
            <w:tcW w:w="1333" w:type="dxa"/>
            <w:tcBorders>
              <w:top w:val="single" w:sz="4" w:space="0" w:color="000000"/>
              <w:left w:val="single" w:sz="4" w:space="0" w:color="000000"/>
              <w:bottom w:val="single" w:sz="4" w:space="0" w:color="000000"/>
              <w:right w:val="single" w:sz="4" w:space="0" w:color="000000"/>
            </w:tcBorders>
            <w:hideMark/>
          </w:tcPr>
          <w:p w14:paraId="57A73DDA"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45FCC304" w14:textId="77777777" w:rsidR="00927B43" w:rsidRDefault="00927B43">
            <w:pPr>
              <w:pStyle w:val="TableParagraph"/>
              <w:tabs>
                <w:tab w:val="left" w:pos="4111"/>
              </w:tabs>
              <w:spacing w:line="240" w:lineRule="auto"/>
              <w:rPr>
                <w:highlight w:val="green"/>
                <w:lang w:val="da-DK"/>
              </w:rPr>
            </w:pPr>
            <w:r>
              <w:rPr>
                <w:lang w:val="da-DK"/>
              </w:rPr>
              <w:t>Neutropeni, miltinfarkt</w:t>
            </w:r>
          </w:p>
        </w:tc>
      </w:tr>
      <w:tr w:rsidR="00927B43" w14:paraId="7B0EDD23" w14:textId="77777777" w:rsidTr="00A15E0E">
        <w:trPr>
          <w:trHeight w:hRule="exact" w:val="565"/>
        </w:trPr>
        <w:tc>
          <w:tcPr>
            <w:tcW w:w="2636" w:type="dxa"/>
            <w:tcBorders>
              <w:top w:val="single" w:sz="4" w:space="0" w:color="000000"/>
              <w:left w:val="single" w:sz="4" w:space="0" w:color="000000"/>
              <w:bottom w:val="single" w:sz="4" w:space="0" w:color="000000"/>
              <w:right w:val="single" w:sz="4" w:space="0" w:color="000000"/>
            </w:tcBorders>
            <w:hideMark/>
          </w:tcPr>
          <w:p w14:paraId="7870A853" w14:textId="77777777" w:rsidR="00927B43" w:rsidRDefault="00927B43">
            <w:pPr>
              <w:pStyle w:val="TableParagraph"/>
              <w:tabs>
                <w:tab w:val="left" w:pos="4111"/>
              </w:tabs>
              <w:spacing w:line="240" w:lineRule="auto"/>
              <w:rPr>
                <w:highlight w:val="green"/>
                <w:lang w:val="da-DK"/>
              </w:rPr>
            </w:pPr>
            <w:r>
              <w:rPr>
                <w:lang w:val="da-DK"/>
              </w:rPr>
              <w:t>Metabolisme og ernæring</w:t>
            </w:r>
          </w:p>
        </w:tc>
        <w:tc>
          <w:tcPr>
            <w:tcW w:w="1333" w:type="dxa"/>
            <w:tcBorders>
              <w:top w:val="single" w:sz="4" w:space="0" w:color="000000"/>
              <w:left w:val="single" w:sz="4" w:space="0" w:color="000000"/>
              <w:bottom w:val="single" w:sz="4" w:space="0" w:color="000000"/>
              <w:right w:val="single" w:sz="4" w:space="0" w:color="000000"/>
            </w:tcBorders>
            <w:hideMark/>
          </w:tcPr>
          <w:p w14:paraId="14F6628E"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4B2F925D" w14:textId="77777777" w:rsidR="00927B43" w:rsidRDefault="00927B43">
            <w:pPr>
              <w:pStyle w:val="TableParagraph"/>
              <w:tabs>
                <w:tab w:val="left" w:pos="4111"/>
              </w:tabs>
              <w:spacing w:line="240" w:lineRule="auto"/>
              <w:rPr>
                <w:highlight w:val="green"/>
                <w:lang w:val="da-DK"/>
              </w:rPr>
            </w:pPr>
            <w:r>
              <w:rPr>
                <w:lang w:val="da-DK"/>
              </w:rPr>
              <w:t>Jernophobning, nedsat appetit, hypoglykæmi, øget appetit</w:t>
            </w:r>
          </w:p>
        </w:tc>
      </w:tr>
      <w:tr w:rsidR="00927B43" w14:paraId="0AA5B614" w14:textId="77777777" w:rsidTr="00A15E0E">
        <w:trPr>
          <w:trHeight w:hRule="exact" w:val="290"/>
        </w:trPr>
        <w:tc>
          <w:tcPr>
            <w:tcW w:w="2636" w:type="dxa"/>
            <w:tcBorders>
              <w:top w:val="single" w:sz="4" w:space="0" w:color="000000"/>
              <w:left w:val="single" w:sz="4" w:space="0" w:color="000000"/>
              <w:bottom w:val="single" w:sz="4" w:space="0" w:color="000000"/>
              <w:right w:val="single" w:sz="4" w:space="0" w:color="000000"/>
            </w:tcBorders>
            <w:hideMark/>
          </w:tcPr>
          <w:p w14:paraId="04468260" w14:textId="77777777" w:rsidR="00927B43" w:rsidRDefault="00927B43">
            <w:pPr>
              <w:pStyle w:val="TableParagraph"/>
              <w:tabs>
                <w:tab w:val="left" w:pos="4111"/>
              </w:tabs>
              <w:spacing w:line="240" w:lineRule="auto"/>
              <w:rPr>
                <w:highlight w:val="green"/>
                <w:lang w:val="da-DK"/>
              </w:rPr>
            </w:pPr>
            <w:r>
              <w:rPr>
                <w:lang w:val="da-DK"/>
              </w:rPr>
              <w:t>Psykiske forstyrrelser</w:t>
            </w:r>
          </w:p>
        </w:tc>
        <w:tc>
          <w:tcPr>
            <w:tcW w:w="1333" w:type="dxa"/>
            <w:tcBorders>
              <w:top w:val="single" w:sz="4" w:space="0" w:color="000000"/>
              <w:left w:val="single" w:sz="4" w:space="0" w:color="000000"/>
              <w:bottom w:val="single" w:sz="4" w:space="0" w:color="000000"/>
              <w:right w:val="single" w:sz="4" w:space="0" w:color="000000"/>
            </w:tcBorders>
            <w:hideMark/>
          </w:tcPr>
          <w:p w14:paraId="20045DB1"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628B0758" w14:textId="77777777" w:rsidR="00927B43" w:rsidRDefault="00927B43">
            <w:pPr>
              <w:pStyle w:val="TableParagraph"/>
              <w:tabs>
                <w:tab w:val="left" w:pos="4111"/>
              </w:tabs>
              <w:spacing w:line="240" w:lineRule="auto"/>
              <w:rPr>
                <w:highlight w:val="green"/>
                <w:lang w:val="da-DK"/>
              </w:rPr>
            </w:pPr>
            <w:r>
              <w:rPr>
                <w:lang w:val="da-DK"/>
              </w:rPr>
              <w:t>Angst, depression</w:t>
            </w:r>
          </w:p>
        </w:tc>
      </w:tr>
      <w:tr w:rsidR="00927B43" w14:paraId="16FCC72E" w14:textId="77777777" w:rsidTr="00A15E0E">
        <w:trPr>
          <w:trHeight w:hRule="exact" w:val="563"/>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1246E174" w14:textId="77777777" w:rsidR="00927B43" w:rsidRDefault="00927B43">
            <w:pPr>
              <w:pStyle w:val="TableParagraph"/>
              <w:tabs>
                <w:tab w:val="left" w:pos="4111"/>
              </w:tabs>
              <w:spacing w:line="240" w:lineRule="auto"/>
              <w:rPr>
                <w:highlight w:val="green"/>
                <w:lang w:val="da-DK"/>
              </w:rPr>
            </w:pPr>
            <w:r>
              <w:rPr>
                <w:lang w:val="da-DK"/>
              </w:rPr>
              <w:t>Nervesystemet</w:t>
            </w:r>
          </w:p>
        </w:tc>
        <w:tc>
          <w:tcPr>
            <w:tcW w:w="1333" w:type="dxa"/>
            <w:tcBorders>
              <w:top w:val="single" w:sz="4" w:space="0" w:color="000000"/>
              <w:left w:val="single" w:sz="4" w:space="0" w:color="000000"/>
              <w:bottom w:val="single" w:sz="4" w:space="0" w:color="000000"/>
              <w:right w:val="single" w:sz="4" w:space="0" w:color="000000"/>
            </w:tcBorders>
            <w:hideMark/>
          </w:tcPr>
          <w:p w14:paraId="4443DDDB" w14:textId="77777777" w:rsidR="00927B43" w:rsidRDefault="00927B43">
            <w:pPr>
              <w:pStyle w:val="TableParagraph"/>
              <w:tabs>
                <w:tab w:val="left" w:pos="4111"/>
              </w:tabs>
              <w:spacing w:line="240" w:lineRule="auto"/>
              <w:rPr>
                <w:lang w:val="da-DK"/>
              </w:rPr>
            </w:pPr>
            <w:r>
              <w:rPr>
                <w:lang w:val="da-DK"/>
              </w:rPr>
              <w:t>Meget</w:t>
            </w:r>
          </w:p>
          <w:p w14:paraId="7AA2F5AB"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58B79C87" w14:textId="77777777" w:rsidR="00927B43" w:rsidRDefault="00927B43">
            <w:pPr>
              <w:pStyle w:val="TableParagraph"/>
              <w:tabs>
                <w:tab w:val="left" w:pos="4111"/>
              </w:tabs>
              <w:spacing w:line="240" w:lineRule="auto"/>
              <w:rPr>
                <w:highlight w:val="green"/>
                <w:lang w:val="da-DK"/>
              </w:rPr>
            </w:pPr>
            <w:r>
              <w:rPr>
                <w:lang w:val="da-DK"/>
              </w:rPr>
              <w:t>Hovedpine, svimmelhed</w:t>
            </w:r>
          </w:p>
        </w:tc>
      </w:tr>
      <w:tr w:rsidR="00927B43" w14:paraId="00524027" w14:textId="77777777" w:rsidTr="00A15E0E">
        <w:trPr>
          <w:trHeight w:hRule="exact" w:val="301"/>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7A71E4E8"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7E679722"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671DE11F" w14:textId="77777777" w:rsidR="00927B43" w:rsidRDefault="00927B43">
            <w:pPr>
              <w:pStyle w:val="TableParagraph"/>
              <w:tabs>
                <w:tab w:val="left" w:pos="4111"/>
              </w:tabs>
              <w:spacing w:line="240" w:lineRule="auto"/>
              <w:rPr>
                <w:highlight w:val="green"/>
                <w:lang w:val="da-DK"/>
              </w:rPr>
            </w:pPr>
            <w:r>
              <w:rPr>
                <w:lang w:val="da-DK"/>
              </w:rPr>
              <w:t>Synkope</w:t>
            </w:r>
          </w:p>
        </w:tc>
      </w:tr>
      <w:tr w:rsidR="00927B43" w14:paraId="61FE0AE3" w14:textId="77777777" w:rsidTr="00A15E0E">
        <w:trPr>
          <w:trHeight w:hRule="exact" w:val="547"/>
        </w:trPr>
        <w:tc>
          <w:tcPr>
            <w:tcW w:w="2636" w:type="dxa"/>
            <w:tcBorders>
              <w:top w:val="single" w:sz="4" w:space="0" w:color="000000"/>
              <w:left w:val="single" w:sz="4" w:space="0" w:color="000000"/>
              <w:bottom w:val="single" w:sz="4" w:space="0" w:color="000000"/>
              <w:right w:val="single" w:sz="4" w:space="0" w:color="000000"/>
            </w:tcBorders>
            <w:hideMark/>
          </w:tcPr>
          <w:p w14:paraId="6E73BC22" w14:textId="77777777" w:rsidR="00927B43" w:rsidRDefault="00927B43">
            <w:pPr>
              <w:pStyle w:val="TableParagraph"/>
              <w:tabs>
                <w:tab w:val="left" w:pos="4111"/>
              </w:tabs>
              <w:spacing w:line="240" w:lineRule="auto"/>
              <w:rPr>
                <w:highlight w:val="green"/>
                <w:lang w:val="da-DK"/>
              </w:rPr>
            </w:pPr>
            <w:r>
              <w:rPr>
                <w:lang w:val="da-DK"/>
              </w:rPr>
              <w:t>Øjne</w:t>
            </w:r>
          </w:p>
        </w:tc>
        <w:tc>
          <w:tcPr>
            <w:tcW w:w="1333" w:type="dxa"/>
            <w:tcBorders>
              <w:top w:val="single" w:sz="4" w:space="0" w:color="000000"/>
              <w:left w:val="single" w:sz="4" w:space="0" w:color="000000"/>
              <w:bottom w:val="single" w:sz="4" w:space="0" w:color="000000"/>
              <w:right w:val="single" w:sz="4" w:space="0" w:color="000000"/>
            </w:tcBorders>
            <w:hideMark/>
          </w:tcPr>
          <w:p w14:paraId="69054562"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0A43B186" w14:textId="77777777" w:rsidR="00927B43" w:rsidRDefault="00927B43">
            <w:pPr>
              <w:pStyle w:val="TableParagraph"/>
              <w:tabs>
                <w:tab w:val="left" w:pos="4111"/>
              </w:tabs>
              <w:spacing w:line="240" w:lineRule="auto"/>
              <w:rPr>
                <w:highlight w:val="green"/>
                <w:lang w:val="da-DK"/>
              </w:rPr>
            </w:pPr>
            <w:r>
              <w:rPr>
                <w:lang w:val="da-DK"/>
              </w:rPr>
              <w:t>Tørre øjne, katarakt, okulær icterus, sløret syn, nedsat syn, flydere i glaslegemet</w:t>
            </w:r>
          </w:p>
        </w:tc>
      </w:tr>
      <w:tr w:rsidR="00927B43" w14:paraId="2E80C3FE" w14:textId="77777777" w:rsidTr="00A15E0E">
        <w:trPr>
          <w:trHeight w:hRule="exact" w:val="569"/>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69F4A2EB" w14:textId="77777777" w:rsidR="00927B43" w:rsidRDefault="00927B43">
            <w:pPr>
              <w:pStyle w:val="TableParagraph"/>
              <w:tabs>
                <w:tab w:val="left" w:pos="4111"/>
              </w:tabs>
              <w:spacing w:line="240" w:lineRule="auto"/>
              <w:rPr>
                <w:lang w:val="da-DK"/>
              </w:rPr>
            </w:pPr>
            <w:r>
              <w:rPr>
                <w:lang w:val="da-DK"/>
              </w:rPr>
              <w:t>Luftveje, thorax og</w:t>
            </w:r>
          </w:p>
          <w:p w14:paraId="691B0642" w14:textId="77777777" w:rsidR="00927B43" w:rsidRDefault="00927B43">
            <w:pPr>
              <w:pStyle w:val="TableParagraph"/>
              <w:tabs>
                <w:tab w:val="left" w:pos="4111"/>
              </w:tabs>
              <w:spacing w:line="240" w:lineRule="auto"/>
              <w:rPr>
                <w:highlight w:val="green"/>
                <w:lang w:val="da-DK"/>
              </w:rPr>
            </w:pPr>
            <w:r>
              <w:rPr>
                <w:lang w:val="da-DK"/>
              </w:rPr>
              <w:t>mediastinum</w:t>
            </w:r>
          </w:p>
        </w:tc>
        <w:tc>
          <w:tcPr>
            <w:tcW w:w="1333" w:type="dxa"/>
            <w:tcBorders>
              <w:top w:val="single" w:sz="4" w:space="0" w:color="000000"/>
              <w:left w:val="single" w:sz="4" w:space="0" w:color="000000"/>
              <w:bottom w:val="single" w:sz="4" w:space="0" w:color="000000"/>
              <w:right w:val="single" w:sz="4" w:space="0" w:color="000000"/>
            </w:tcBorders>
            <w:hideMark/>
          </w:tcPr>
          <w:p w14:paraId="4CCBF99A" w14:textId="77777777" w:rsidR="00927B43" w:rsidRDefault="00927B43">
            <w:pPr>
              <w:pStyle w:val="TableParagraph"/>
              <w:tabs>
                <w:tab w:val="left" w:pos="4111"/>
              </w:tabs>
              <w:spacing w:line="240" w:lineRule="auto"/>
              <w:rPr>
                <w:lang w:val="da-DK"/>
              </w:rPr>
            </w:pPr>
            <w:r>
              <w:rPr>
                <w:lang w:val="da-DK"/>
              </w:rPr>
              <w:t>Meget</w:t>
            </w:r>
          </w:p>
          <w:p w14:paraId="48336ACD"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77951CDA" w14:textId="77777777" w:rsidR="00927B43" w:rsidRDefault="00927B43">
            <w:pPr>
              <w:pStyle w:val="TableParagraph"/>
              <w:tabs>
                <w:tab w:val="left" w:pos="4111"/>
              </w:tabs>
              <w:spacing w:line="240" w:lineRule="auto"/>
              <w:rPr>
                <w:highlight w:val="green"/>
                <w:lang w:val="da-DK"/>
              </w:rPr>
            </w:pPr>
            <w:r>
              <w:rPr>
                <w:lang w:val="da-DK"/>
              </w:rPr>
              <w:t>Hoste, orofaryngeale smerter, rinorré</w:t>
            </w:r>
          </w:p>
        </w:tc>
      </w:tr>
      <w:tr w:rsidR="00927B43" w14:paraId="69344E66" w14:textId="77777777" w:rsidTr="00A15E0E">
        <w:trPr>
          <w:trHeight w:hRule="exact" w:val="235"/>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1CEBB739"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19E0D848"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61D5FC13" w14:textId="77777777" w:rsidR="00927B43" w:rsidRDefault="00927B43">
            <w:pPr>
              <w:pStyle w:val="TableParagraph"/>
              <w:tabs>
                <w:tab w:val="left" w:pos="4111"/>
              </w:tabs>
              <w:spacing w:line="240" w:lineRule="auto"/>
              <w:rPr>
                <w:highlight w:val="green"/>
                <w:lang w:val="da-DK"/>
              </w:rPr>
            </w:pPr>
            <w:r>
              <w:rPr>
                <w:lang w:val="da-DK"/>
              </w:rPr>
              <w:t>Epistaxis</w:t>
            </w:r>
          </w:p>
        </w:tc>
      </w:tr>
      <w:tr w:rsidR="00927B43" w14:paraId="1F6E325A" w14:textId="77777777" w:rsidTr="00A15E0E">
        <w:trPr>
          <w:trHeight w:hRule="exact" w:val="609"/>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16B095AB" w14:textId="77777777" w:rsidR="00927B43" w:rsidRDefault="00927B43">
            <w:pPr>
              <w:pStyle w:val="TableParagraph"/>
              <w:tabs>
                <w:tab w:val="left" w:pos="4111"/>
              </w:tabs>
              <w:spacing w:line="240" w:lineRule="auto"/>
              <w:rPr>
                <w:highlight w:val="green"/>
                <w:lang w:val="da-DK"/>
              </w:rPr>
            </w:pPr>
            <w:r>
              <w:rPr>
                <w:lang w:val="da-DK"/>
              </w:rPr>
              <w:t>Mave-tarm-kanalen</w:t>
            </w:r>
          </w:p>
        </w:tc>
        <w:tc>
          <w:tcPr>
            <w:tcW w:w="1333" w:type="dxa"/>
            <w:tcBorders>
              <w:top w:val="single" w:sz="4" w:space="0" w:color="000000"/>
              <w:left w:val="single" w:sz="4" w:space="0" w:color="000000"/>
              <w:bottom w:val="single" w:sz="4" w:space="0" w:color="000000"/>
              <w:right w:val="single" w:sz="4" w:space="0" w:color="000000"/>
            </w:tcBorders>
            <w:hideMark/>
          </w:tcPr>
          <w:p w14:paraId="0F6A8935" w14:textId="77777777" w:rsidR="00927B43" w:rsidRDefault="00927B43">
            <w:pPr>
              <w:pStyle w:val="TableParagraph"/>
              <w:tabs>
                <w:tab w:val="left" w:pos="4111"/>
              </w:tabs>
              <w:spacing w:line="240" w:lineRule="auto"/>
              <w:rPr>
                <w:lang w:val="da-DK"/>
              </w:rPr>
            </w:pPr>
            <w:r>
              <w:rPr>
                <w:lang w:val="da-DK"/>
              </w:rPr>
              <w:t>Meget</w:t>
            </w:r>
          </w:p>
          <w:p w14:paraId="051E5FB1"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7949CDEF" w14:textId="77777777" w:rsidR="00927B43" w:rsidRDefault="00927B43">
            <w:pPr>
              <w:pStyle w:val="TableParagraph"/>
              <w:tabs>
                <w:tab w:val="left" w:pos="4111"/>
              </w:tabs>
              <w:spacing w:line="240" w:lineRule="auto"/>
              <w:rPr>
                <w:highlight w:val="green"/>
                <w:lang w:val="da-DK"/>
              </w:rPr>
            </w:pPr>
            <w:r>
              <w:rPr>
                <w:lang w:val="da-DK"/>
              </w:rPr>
              <w:t>Diarré, kvalme, gingivalblødning, abdominalsmerter</w:t>
            </w:r>
          </w:p>
        </w:tc>
      </w:tr>
      <w:tr w:rsidR="00927B43" w14:paraId="6A4A0703" w14:textId="77777777" w:rsidTr="00A15E0E">
        <w:trPr>
          <w:trHeight w:hRule="exact" w:val="1178"/>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618E6928"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2F6501CB"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51028F8D" w14:textId="77777777" w:rsidR="00927B43" w:rsidRDefault="00927B43">
            <w:pPr>
              <w:pStyle w:val="TableParagraph"/>
              <w:tabs>
                <w:tab w:val="left" w:pos="4111"/>
              </w:tabs>
              <w:spacing w:line="240" w:lineRule="auto"/>
              <w:rPr>
                <w:highlight w:val="green"/>
                <w:lang w:val="da-DK"/>
              </w:rPr>
            </w:pPr>
            <w:r>
              <w:rPr>
                <w:lang w:val="da-DK"/>
              </w:rPr>
              <w:t>Blærer i mundens slimhinde, smerter i munden, opkastning, ubehag i abdomen, obstipation, abdominal distension, dysfagi, misfarvet afføring, opsvulmet tunge, forstyrrelse af den gastrointestinale motilitet, flatulens</w:t>
            </w:r>
          </w:p>
        </w:tc>
      </w:tr>
      <w:tr w:rsidR="00927B43" w14:paraId="1A8621AA" w14:textId="77777777" w:rsidTr="00A15E0E">
        <w:trPr>
          <w:trHeight w:hRule="exact" w:val="561"/>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34FBE26B" w14:textId="77777777" w:rsidR="00927B43" w:rsidRDefault="00927B43">
            <w:pPr>
              <w:pStyle w:val="TableParagraph"/>
              <w:tabs>
                <w:tab w:val="left" w:pos="4111"/>
              </w:tabs>
              <w:spacing w:line="240" w:lineRule="auto"/>
              <w:rPr>
                <w:highlight w:val="green"/>
                <w:lang w:val="da-DK"/>
              </w:rPr>
            </w:pPr>
            <w:r>
              <w:rPr>
                <w:lang w:val="da-DK"/>
              </w:rPr>
              <w:t>Lever og galdeveje</w:t>
            </w:r>
          </w:p>
        </w:tc>
        <w:tc>
          <w:tcPr>
            <w:tcW w:w="1333" w:type="dxa"/>
            <w:tcBorders>
              <w:top w:val="single" w:sz="4" w:space="0" w:color="000000"/>
              <w:left w:val="single" w:sz="4" w:space="0" w:color="000000"/>
              <w:bottom w:val="single" w:sz="4" w:space="0" w:color="000000"/>
              <w:right w:val="single" w:sz="4" w:space="0" w:color="000000"/>
            </w:tcBorders>
            <w:hideMark/>
          </w:tcPr>
          <w:p w14:paraId="3E2A0507" w14:textId="77777777" w:rsidR="00927B43" w:rsidRDefault="00927B43">
            <w:pPr>
              <w:pStyle w:val="TableParagraph"/>
              <w:tabs>
                <w:tab w:val="left" w:pos="4111"/>
              </w:tabs>
              <w:spacing w:line="240" w:lineRule="auto"/>
              <w:rPr>
                <w:lang w:val="da-DK"/>
              </w:rPr>
            </w:pPr>
            <w:r>
              <w:rPr>
                <w:lang w:val="da-DK"/>
              </w:rPr>
              <w:t>Meget</w:t>
            </w:r>
          </w:p>
          <w:p w14:paraId="6D0FB56E"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0EB03FA4" w14:textId="77777777" w:rsidR="00927B43" w:rsidRDefault="00927B43">
            <w:pPr>
              <w:pStyle w:val="TableParagraph"/>
              <w:tabs>
                <w:tab w:val="left" w:pos="4111"/>
              </w:tabs>
              <w:spacing w:line="240" w:lineRule="auto"/>
              <w:rPr>
                <w:highlight w:val="green"/>
                <w:lang w:val="da-DK"/>
              </w:rPr>
            </w:pPr>
            <w:r>
              <w:rPr>
                <w:lang w:val="da-DK"/>
              </w:rPr>
              <w:t>Forhøjede aminotransferaser</w:t>
            </w:r>
          </w:p>
        </w:tc>
      </w:tr>
      <w:tr w:rsidR="00927B43" w14:paraId="752A0CCC" w14:textId="77777777" w:rsidTr="00A15E0E">
        <w:trPr>
          <w:trHeight w:hRule="exact" w:val="424"/>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26C63B3E"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1DDB941D"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0BCDE72B" w14:textId="77777777" w:rsidR="00927B43" w:rsidRDefault="00927B43">
            <w:pPr>
              <w:pStyle w:val="TableParagraph"/>
              <w:tabs>
                <w:tab w:val="left" w:pos="4111"/>
              </w:tabs>
              <w:spacing w:line="240" w:lineRule="auto"/>
              <w:rPr>
                <w:lang w:val="da-DK"/>
              </w:rPr>
            </w:pPr>
            <w:r>
              <w:rPr>
                <w:lang w:val="da-DK"/>
              </w:rPr>
              <w:t>Hyperbilirubinæmi, gulsot</w:t>
            </w:r>
          </w:p>
        </w:tc>
      </w:tr>
      <w:tr w:rsidR="00927B43" w14:paraId="553D6669" w14:textId="77777777" w:rsidTr="00A15E0E">
        <w:trPr>
          <w:trHeight w:hRule="exact" w:val="855"/>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6939E671"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6D4A7276" w14:textId="77777777" w:rsidR="00927B43" w:rsidRDefault="00927B43">
            <w:pPr>
              <w:pStyle w:val="TableParagraph"/>
              <w:tabs>
                <w:tab w:val="left" w:pos="4111"/>
              </w:tabs>
              <w:spacing w:line="240" w:lineRule="auto"/>
              <w:rPr>
                <w:highlight w:val="green"/>
                <w:lang w:val="da-DK"/>
              </w:rPr>
            </w:pPr>
            <w:r>
              <w:rPr>
                <w:lang w:val="da-DK"/>
              </w:rPr>
              <w:t>Ikke kendt</w:t>
            </w:r>
          </w:p>
        </w:tc>
        <w:tc>
          <w:tcPr>
            <w:tcW w:w="5321" w:type="dxa"/>
            <w:tcBorders>
              <w:top w:val="single" w:sz="4" w:space="0" w:color="000000"/>
              <w:left w:val="single" w:sz="4" w:space="0" w:color="000000"/>
              <w:bottom w:val="single" w:sz="4" w:space="0" w:color="000000"/>
              <w:right w:val="single" w:sz="4" w:space="0" w:color="000000"/>
            </w:tcBorders>
            <w:hideMark/>
          </w:tcPr>
          <w:p w14:paraId="5C160AE8" w14:textId="77777777" w:rsidR="00927B43" w:rsidRDefault="00927B43">
            <w:pPr>
              <w:pStyle w:val="TableParagraph"/>
              <w:tabs>
                <w:tab w:val="left" w:pos="4111"/>
              </w:tabs>
              <w:spacing w:line="240" w:lineRule="auto"/>
              <w:rPr>
                <w:lang w:val="da-DK"/>
              </w:rPr>
            </w:pPr>
            <w:r>
              <w:rPr>
                <w:lang w:val="da-DK"/>
              </w:rPr>
              <w:t>Lægemiddelinduceret leverskade*</w:t>
            </w:r>
          </w:p>
          <w:p w14:paraId="54AD51CD" w14:textId="77777777" w:rsidR="00927B43" w:rsidRDefault="00927B43">
            <w:pPr>
              <w:pStyle w:val="TableParagraph"/>
              <w:tabs>
                <w:tab w:val="left" w:pos="4111"/>
              </w:tabs>
              <w:spacing w:line="240" w:lineRule="auto"/>
              <w:rPr>
                <w:lang w:val="da-DK"/>
              </w:rPr>
            </w:pPr>
            <w:r>
              <w:rPr>
                <w:lang w:val="da-DK"/>
              </w:rPr>
              <w:t>* Der er blevet rapporteret tilfælde af lægemiddelinduceret</w:t>
            </w:r>
          </w:p>
          <w:p w14:paraId="1828186A" w14:textId="77777777" w:rsidR="00927B43" w:rsidRDefault="00927B43">
            <w:pPr>
              <w:pStyle w:val="TableParagraph"/>
              <w:tabs>
                <w:tab w:val="left" w:pos="4111"/>
              </w:tabs>
              <w:spacing w:line="240" w:lineRule="auto"/>
              <w:rPr>
                <w:lang w:val="da-DK"/>
              </w:rPr>
            </w:pPr>
            <w:r>
              <w:rPr>
                <w:lang w:val="da-DK"/>
              </w:rPr>
              <w:t>leverskade hos patienter med ITP og HCV</w:t>
            </w:r>
          </w:p>
        </w:tc>
      </w:tr>
      <w:tr w:rsidR="00927B43" w14:paraId="30139FBA" w14:textId="77777777" w:rsidTr="00A15E0E">
        <w:trPr>
          <w:trHeight w:hRule="exact" w:val="569"/>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2F8EA40F" w14:textId="77777777" w:rsidR="00927B43" w:rsidRDefault="00927B43">
            <w:pPr>
              <w:pStyle w:val="TableParagraph"/>
              <w:tabs>
                <w:tab w:val="left" w:pos="4111"/>
              </w:tabs>
              <w:spacing w:line="240" w:lineRule="auto"/>
              <w:rPr>
                <w:highlight w:val="green"/>
                <w:lang w:val="da-DK"/>
              </w:rPr>
            </w:pPr>
            <w:r>
              <w:rPr>
                <w:lang w:val="da-DK"/>
              </w:rPr>
              <w:t xml:space="preserve">Hud og subkutane væv </w:t>
            </w:r>
          </w:p>
        </w:tc>
        <w:tc>
          <w:tcPr>
            <w:tcW w:w="1333" w:type="dxa"/>
            <w:tcBorders>
              <w:top w:val="single" w:sz="4" w:space="0" w:color="000000"/>
              <w:left w:val="single" w:sz="4" w:space="0" w:color="000000"/>
              <w:bottom w:val="single" w:sz="4" w:space="0" w:color="000000"/>
              <w:right w:val="single" w:sz="4" w:space="0" w:color="000000"/>
            </w:tcBorders>
            <w:hideMark/>
          </w:tcPr>
          <w:p w14:paraId="0E38AC18"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2F2EC3A0" w14:textId="77777777" w:rsidR="00927B43" w:rsidRDefault="00927B43">
            <w:pPr>
              <w:pStyle w:val="TableParagraph"/>
              <w:tabs>
                <w:tab w:val="left" w:pos="4111"/>
              </w:tabs>
              <w:spacing w:line="240" w:lineRule="auto"/>
              <w:rPr>
                <w:highlight w:val="green"/>
                <w:lang w:val="da-DK"/>
              </w:rPr>
            </w:pPr>
            <w:r>
              <w:rPr>
                <w:lang w:val="da-DK"/>
              </w:rPr>
              <w:t>Petekkier, udslæt, kløe, urticaria, hudlæsioner, makulært udslæt</w:t>
            </w:r>
          </w:p>
        </w:tc>
      </w:tr>
      <w:tr w:rsidR="00927B43" w14:paraId="6A50F1DF" w14:textId="77777777" w:rsidTr="00A15E0E">
        <w:trPr>
          <w:trHeight w:hRule="exact" w:val="331"/>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7BE36ACC"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5E851835" w14:textId="77777777" w:rsidR="00927B43" w:rsidRDefault="00927B43">
            <w:pPr>
              <w:pStyle w:val="TableParagraph"/>
              <w:tabs>
                <w:tab w:val="left" w:pos="4111"/>
              </w:tabs>
              <w:spacing w:line="240" w:lineRule="auto"/>
              <w:rPr>
                <w:highlight w:val="green"/>
                <w:lang w:val="da-DK"/>
              </w:rPr>
            </w:pPr>
            <w:r>
              <w:rPr>
                <w:lang w:val="da-DK"/>
              </w:rPr>
              <w:t>Ikke kendt</w:t>
            </w:r>
          </w:p>
        </w:tc>
        <w:tc>
          <w:tcPr>
            <w:tcW w:w="5321" w:type="dxa"/>
            <w:tcBorders>
              <w:top w:val="single" w:sz="4" w:space="0" w:color="000000"/>
              <w:left w:val="single" w:sz="4" w:space="0" w:color="000000"/>
              <w:bottom w:val="single" w:sz="4" w:space="0" w:color="000000"/>
              <w:right w:val="single" w:sz="4" w:space="0" w:color="000000"/>
            </w:tcBorders>
            <w:hideMark/>
          </w:tcPr>
          <w:p w14:paraId="32FE8C16" w14:textId="77777777" w:rsidR="00927B43" w:rsidRDefault="00927B43">
            <w:pPr>
              <w:pStyle w:val="TableParagraph"/>
              <w:tabs>
                <w:tab w:val="left" w:pos="4111"/>
              </w:tabs>
              <w:spacing w:line="240" w:lineRule="auto"/>
              <w:rPr>
                <w:highlight w:val="green"/>
                <w:lang w:val="da-DK"/>
              </w:rPr>
            </w:pPr>
            <w:r>
              <w:rPr>
                <w:lang w:val="da-DK"/>
              </w:rPr>
              <w:t>Misfarvning af huden, hyperpigmentering af huden</w:t>
            </w:r>
          </w:p>
        </w:tc>
      </w:tr>
      <w:tr w:rsidR="00927B43" w14:paraId="26A424E4" w14:textId="77777777" w:rsidTr="00A15E0E">
        <w:trPr>
          <w:trHeight w:hRule="exact" w:val="525"/>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3E5BD599" w14:textId="77777777" w:rsidR="00927B43" w:rsidRDefault="00927B43">
            <w:pPr>
              <w:pStyle w:val="TableParagraph"/>
              <w:tabs>
                <w:tab w:val="left" w:pos="4111"/>
              </w:tabs>
              <w:spacing w:line="240" w:lineRule="auto"/>
              <w:rPr>
                <w:lang w:val="da-DK"/>
              </w:rPr>
            </w:pPr>
            <w:r>
              <w:rPr>
                <w:lang w:val="da-DK"/>
              </w:rPr>
              <w:t>Knogler, led, muskler og</w:t>
            </w:r>
          </w:p>
          <w:p w14:paraId="641E2366" w14:textId="77777777" w:rsidR="00927B43" w:rsidRDefault="00927B43">
            <w:pPr>
              <w:pStyle w:val="TableParagraph"/>
              <w:tabs>
                <w:tab w:val="left" w:pos="4111"/>
              </w:tabs>
              <w:spacing w:line="240" w:lineRule="auto"/>
              <w:rPr>
                <w:highlight w:val="green"/>
                <w:lang w:val="da-DK"/>
              </w:rPr>
            </w:pPr>
            <w:r>
              <w:rPr>
                <w:lang w:val="da-DK"/>
              </w:rPr>
              <w:t>bindevæv</w:t>
            </w:r>
          </w:p>
        </w:tc>
        <w:tc>
          <w:tcPr>
            <w:tcW w:w="1333" w:type="dxa"/>
            <w:tcBorders>
              <w:top w:val="single" w:sz="4" w:space="0" w:color="000000"/>
              <w:left w:val="single" w:sz="4" w:space="0" w:color="000000"/>
              <w:bottom w:val="single" w:sz="4" w:space="0" w:color="000000"/>
              <w:right w:val="single" w:sz="4" w:space="0" w:color="000000"/>
            </w:tcBorders>
            <w:hideMark/>
          </w:tcPr>
          <w:p w14:paraId="7340F191" w14:textId="77777777" w:rsidR="00927B43" w:rsidRDefault="00927B43">
            <w:pPr>
              <w:pStyle w:val="TableParagraph"/>
              <w:tabs>
                <w:tab w:val="left" w:pos="4111"/>
              </w:tabs>
              <w:spacing w:line="240" w:lineRule="auto"/>
              <w:rPr>
                <w:lang w:val="da-DK"/>
              </w:rPr>
            </w:pPr>
            <w:r>
              <w:rPr>
                <w:lang w:val="da-DK"/>
              </w:rPr>
              <w:t>Meget</w:t>
            </w:r>
          </w:p>
          <w:p w14:paraId="1D804F00"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5E636846" w14:textId="77777777" w:rsidR="00927B43" w:rsidRDefault="00927B43">
            <w:pPr>
              <w:pStyle w:val="TableParagraph"/>
              <w:tabs>
                <w:tab w:val="left" w:pos="4111"/>
              </w:tabs>
              <w:spacing w:line="240" w:lineRule="auto"/>
              <w:rPr>
                <w:highlight w:val="green"/>
                <w:lang w:val="da-DK"/>
              </w:rPr>
            </w:pPr>
            <w:r>
              <w:rPr>
                <w:lang w:val="da-DK"/>
              </w:rPr>
              <w:t>Artralgi, ekstremitetssmerter, muskelspasmer</w:t>
            </w:r>
          </w:p>
        </w:tc>
      </w:tr>
      <w:tr w:rsidR="00927B43" w14:paraId="2925C8B6" w14:textId="77777777" w:rsidTr="00A15E0E">
        <w:trPr>
          <w:trHeight w:hRule="exact" w:val="277"/>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0228020B"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53E310D9"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490A3F28" w14:textId="77777777" w:rsidR="00927B43" w:rsidRDefault="00927B43">
            <w:pPr>
              <w:pStyle w:val="TableParagraph"/>
              <w:tabs>
                <w:tab w:val="left" w:pos="4111"/>
              </w:tabs>
              <w:spacing w:line="240" w:lineRule="auto"/>
              <w:rPr>
                <w:highlight w:val="green"/>
                <w:lang w:val="da-DK"/>
              </w:rPr>
            </w:pPr>
            <w:r>
              <w:rPr>
                <w:lang w:val="da-DK"/>
              </w:rPr>
              <w:t>Rygsmerter, muskelsmerter, knoglesmerter</w:t>
            </w:r>
          </w:p>
        </w:tc>
      </w:tr>
      <w:tr w:rsidR="00927B43" w14:paraId="05BB3FF1" w14:textId="77777777" w:rsidTr="00A15E0E">
        <w:trPr>
          <w:trHeight w:hRule="exact" w:val="282"/>
        </w:trPr>
        <w:tc>
          <w:tcPr>
            <w:tcW w:w="2636" w:type="dxa"/>
            <w:tcBorders>
              <w:top w:val="single" w:sz="4" w:space="0" w:color="000000"/>
              <w:left w:val="single" w:sz="4" w:space="0" w:color="000000"/>
              <w:bottom w:val="single" w:sz="4" w:space="0" w:color="000000"/>
              <w:right w:val="single" w:sz="4" w:space="0" w:color="000000"/>
            </w:tcBorders>
            <w:hideMark/>
          </w:tcPr>
          <w:p w14:paraId="2991A62A" w14:textId="77777777" w:rsidR="00927B43" w:rsidRDefault="00927B43">
            <w:pPr>
              <w:pStyle w:val="TableParagraph"/>
              <w:tabs>
                <w:tab w:val="left" w:pos="4111"/>
              </w:tabs>
              <w:spacing w:line="240" w:lineRule="auto"/>
              <w:rPr>
                <w:highlight w:val="green"/>
                <w:lang w:val="da-DK"/>
              </w:rPr>
            </w:pPr>
            <w:r>
              <w:rPr>
                <w:lang w:val="da-DK"/>
              </w:rPr>
              <w:t>Nyrer og urinveje</w:t>
            </w:r>
          </w:p>
        </w:tc>
        <w:tc>
          <w:tcPr>
            <w:tcW w:w="1333" w:type="dxa"/>
            <w:tcBorders>
              <w:top w:val="single" w:sz="4" w:space="0" w:color="000000"/>
              <w:left w:val="single" w:sz="4" w:space="0" w:color="000000"/>
              <w:bottom w:val="single" w:sz="4" w:space="0" w:color="000000"/>
              <w:right w:val="single" w:sz="4" w:space="0" w:color="000000"/>
            </w:tcBorders>
            <w:hideMark/>
          </w:tcPr>
          <w:p w14:paraId="53A06E00"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4CA8E08C" w14:textId="77777777" w:rsidR="00927B43" w:rsidRDefault="00927B43">
            <w:pPr>
              <w:pStyle w:val="TableParagraph"/>
              <w:tabs>
                <w:tab w:val="left" w:pos="4111"/>
              </w:tabs>
              <w:spacing w:line="240" w:lineRule="auto"/>
              <w:rPr>
                <w:highlight w:val="green"/>
                <w:lang w:val="da-DK"/>
              </w:rPr>
            </w:pPr>
            <w:r>
              <w:rPr>
                <w:lang w:val="da-DK"/>
              </w:rPr>
              <w:t>Kromaturi</w:t>
            </w:r>
          </w:p>
        </w:tc>
      </w:tr>
      <w:tr w:rsidR="00927B43" w14:paraId="0F71A105" w14:textId="77777777" w:rsidTr="00A15E0E">
        <w:trPr>
          <w:trHeight w:hRule="exact" w:val="555"/>
        </w:trPr>
        <w:tc>
          <w:tcPr>
            <w:tcW w:w="2636" w:type="dxa"/>
            <w:vMerge w:val="restart"/>
            <w:tcBorders>
              <w:top w:val="single" w:sz="4" w:space="0" w:color="000000"/>
              <w:left w:val="single" w:sz="4" w:space="0" w:color="000000"/>
              <w:bottom w:val="single" w:sz="4" w:space="0" w:color="000000"/>
              <w:right w:val="single" w:sz="4" w:space="0" w:color="000000"/>
            </w:tcBorders>
            <w:hideMark/>
          </w:tcPr>
          <w:p w14:paraId="7B90B54C" w14:textId="77777777" w:rsidR="00927B43" w:rsidRDefault="00927B43">
            <w:pPr>
              <w:pStyle w:val="TableParagraph"/>
              <w:tabs>
                <w:tab w:val="left" w:pos="4111"/>
              </w:tabs>
              <w:spacing w:line="240" w:lineRule="auto"/>
              <w:rPr>
                <w:lang w:val="da-DK"/>
              </w:rPr>
            </w:pPr>
            <w:r>
              <w:rPr>
                <w:lang w:val="da-DK"/>
              </w:rPr>
              <w:t>Almene symptomer og</w:t>
            </w:r>
          </w:p>
          <w:p w14:paraId="79882003" w14:textId="77777777" w:rsidR="00927B43" w:rsidRDefault="00927B43">
            <w:pPr>
              <w:pStyle w:val="TableParagraph"/>
              <w:tabs>
                <w:tab w:val="left" w:pos="4111"/>
              </w:tabs>
              <w:spacing w:line="240" w:lineRule="auto"/>
              <w:rPr>
                <w:lang w:val="da-DK"/>
              </w:rPr>
            </w:pPr>
            <w:r>
              <w:rPr>
                <w:lang w:val="da-DK"/>
              </w:rPr>
              <w:t>reaktioner på</w:t>
            </w:r>
          </w:p>
          <w:p w14:paraId="76411995" w14:textId="77777777" w:rsidR="00927B43" w:rsidRDefault="00927B43">
            <w:pPr>
              <w:pStyle w:val="TableParagraph"/>
              <w:tabs>
                <w:tab w:val="left" w:pos="4111"/>
              </w:tabs>
              <w:spacing w:line="240" w:lineRule="auto"/>
              <w:rPr>
                <w:highlight w:val="green"/>
                <w:lang w:val="da-DK"/>
              </w:rPr>
            </w:pPr>
            <w:r>
              <w:rPr>
                <w:lang w:val="da-DK"/>
              </w:rPr>
              <w:t>administrationsstedet</w:t>
            </w:r>
          </w:p>
        </w:tc>
        <w:tc>
          <w:tcPr>
            <w:tcW w:w="1333" w:type="dxa"/>
            <w:tcBorders>
              <w:top w:val="single" w:sz="4" w:space="0" w:color="000000"/>
              <w:left w:val="single" w:sz="4" w:space="0" w:color="000000"/>
              <w:bottom w:val="single" w:sz="4" w:space="0" w:color="000000"/>
              <w:right w:val="single" w:sz="4" w:space="0" w:color="000000"/>
            </w:tcBorders>
            <w:hideMark/>
          </w:tcPr>
          <w:p w14:paraId="3A7F6B21" w14:textId="77777777" w:rsidR="00927B43" w:rsidRDefault="00927B43">
            <w:pPr>
              <w:pStyle w:val="TableParagraph"/>
              <w:tabs>
                <w:tab w:val="left" w:pos="4111"/>
              </w:tabs>
              <w:spacing w:line="240" w:lineRule="auto"/>
              <w:rPr>
                <w:lang w:val="da-DK"/>
              </w:rPr>
            </w:pPr>
            <w:r>
              <w:rPr>
                <w:lang w:val="da-DK"/>
              </w:rPr>
              <w:t>Meget</w:t>
            </w:r>
          </w:p>
          <w:p w14:paraId="453DB086"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6AA9CEDB" w14:textId="77777777" w:rsidR="00927B43" w:rsidRDefault="00927B43">
            <w:pPr>
              <w:pStyle w:val="TableParagraph"/>
              <w:tabs>
                <w:tab w:val="left" w:pos="4111"/>
              </w:tabs>
              <w:spacing w:line="240" w:lineRule="auto"/>
              <w:rPr>
                <w:highlight w:val="green"/>
                <w:lang w:val="da-DK"/>
              </w:rPr>
            </w:pPr>
            <w:r>
              <w:rPr>
                <w:lang w:val="da-DK"/>
              </w:rPr>
              <w:t>Træthed, pyreksi, kulderystelser</w:t>
            </w:r>
          </w:p>
        </w:tc>
      </w:tr>
      <w:tr w:rsidR="00927B43" w14:paraId="43F202B0" w14:textId="77777777" w:rsidTr="00A15E0E">
        <w:trPr>
          <w:trHeight w:hRule="exact" w:val="293"/>
        </w:trPr>
        <w:tc>
          <w:tcPr>
            <w:tcW w:w="2636" w:type="dxa"/>
            <w:vMerge/>
            <w:tcBorders>
              <w:top w:val="single" w:sz="4" w:space="0" w:color="000000"/>
              <w:left w:val="single" w:sz="4" w:space="0" w:color="000000"/>
              <w:bottom w:val="single" w:sz="4" w:space="0" w:color="000000"/>
              <w:right w:val="single" w:sz="4" w:space="0" w:color="000000"/>
            </w:tcBorders>
            <w:vAlign w:val="center"/>
            <w:hideMark/>
          </w:tcPr>
          <w:p w14:paraId="153B0127" w14:textId="77777777" w:rsidR="00927B43" w:rsidRDefault="00927B43">
            <w:pPr>
              <w:rPr>
                <w:sz w:val="22"/>
                <w:szCs w:val="22"/>
                <w:highlight w:val="green"/>
              </w:rPr>
            </w:pPr>
          </w:p>
        </w:tc>
        <w:tc>
          <w:tcPr>
            <w:tcW w:w="1333" w:type="dxa"/>
            <w:tcBorders>
              <w:top w:val="single" w:sz="4" w:space="0" w:color="000000"/>
              <w:left w:val="single" w:sz="4" w:space="0" w:color="000000"/>
              <w:bottom w:val="single" w:sz="4" w:space="0" w:color="000000"/>
              <w:right w:val="single" w:sz="4" w:space="0" w:color="000000"/>
            </w:tcBorders>
            <w:hideMark/>
          </w:tcPr>
          <w:p w14:paraId="13A801D3"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2F5AA829" w14:textId="77777777" w:rsidR="00927B43" w:rsidRDefault="00927B43">
            <w:pPr>
              <w:pStyle w:val="TableParagraph"/>
              <w:tabs>
                <w:tab w:val="left" w:pos="4111"/>
              </w:tabs>
              <w:spacing w:line="240" w:lineRule="auto"/>
              <w:rPr>
                <w:highlight w:val="green"/>
                <w:lang w:val="da-DK"/>
              </w:rPr>
            </w:pPr>
            <w:r>
              <w:rPr>
                <w:lang w:val="da-DK"/>
              </w:rPr>
              <w:t>Asteni, perifert ødem, utilpashed</w:t>
            </w:r>
          </w:p>
        </w:tc>
      </w:tr>
      <w:tr w:rsidR="00927B43" w14:paraId="69340441" w14:textId="77777777" w:rsidTr="00A15E0E">
        <w:trPr>
          <w:trHeight w:hRule="exact" w:val="284"/>
        </w:trPr>
        <w:tc>
          <w:tcPr>
            <w:tcW w:w="2636" w:type="dxa"/>
            <w:tcBorders>
              <w:top w:val="single" w:sz="4" w:space="0" w:color="000000"/>
              <w:left w:val="single" w:sz="4" w:space="0" w:color="000000"/>
              <w:bottom w:val="single" w:sz="4" w:space="0" w:color="000000"/>
              <w:right w:val="single" w:sz="4" w:space="0" w:color="000000"/>
            </w:tcBorders>
            <w:hideMark/>
          </w:tcPr>
          <w:p w14:paraId="365DF2F4" w14:textId="77777777" w:rsidR="00927B43" w:rsidRDefault="00927B43">
            <w:pPr>
              <w:pStyle w:val="TableParagraph"/>
              <w:tabs>
                <w:tab w:val="left" w:pos="4111"/>
              </w:tabs>
              <w:spacing w:line="240" w:lineRule="auto"/>
              <w:rPr>
                <w:highlight w:val="green"/>
                <w:lang w:val="da-DK"/>
              </w:rPr>
            </w:pPr>
            <w:r>
              <w:rPr>
                <w:lang w:val="da-DK"/>
              </w:rPr>
              <w:t>Undersøgelser</w:t>
            </w:r>
          </w:p>
        </w:tc>
        <w:tc>
          <w:tcPr>
            <w:tcW w:w="1333" w:type="dxa"/>
            <w:tcBorders>
              <w:top w:val="single" w:sz="4" w:space="0" w:color="000000"/>
              <w:left w:val="single" w:sz="4" w:space="0" w:color="000000"/>
              <w:bottom w:val="single" w:sz="4" w:space="0" w:color="000000"/>
              <w:right w:val="single" w:sz="4" w:space="0" w:color="000000"/>
            </w:tcBorders>
            <w:hideMark/>
          </w:tcPr>
          <w:p w14:paraId="4D3E4C63" w14:textId="77777777" w:rsidR="00927B43" w:rsidRDefault="00927B43">
            <w:pPr>
              <w:pStyle w:val="TableParagraph"/>
              <w:tabs>
                <w:tab w:val="left" w:pos="4111"/>
              </w:tabs>
              <w:spacing w:line="240" w:lineRule="auto"/>
              <w:rPr>
                <w:highlight w:val="green"/>
                <w:lang w:val="da-DK"/>
              </w:rPr>
            </w:pPr>
            <w:r>
              <w:rPr>
                <w:lang w:val="da-DK"/>
              </w:rPr>
              <w:t>Almindelig</w:t>
            </w:r>
          </w:p>
        </w:tc>
        <w:tc>
          <w:tcPr>
            <w:tcW w:w="5321" w:type="dxa"/>
            <w:tcBorders>
              <w:top w:val="single" w:sz="4" w:space="0" w:color="000000"/>
              <w:left w:val="single" w:sz="4" w:space="0" w:color="000000"/>
              <w:bottom w:val="single" w:sz="4" w:space="0" w:color="000000"/>
              <w:right w:val="single" w:sz="4" w:space="0" w:color="000000"/>
            </w:tcBorders>
            <w:hideMark/>
          </w:tcPr>
          <w:p w14:paraId="6A055252" w14:textId="77777777" w:rsidR="00927B43" w:rsidRDefault="00927B43">
            <w:pPr>
              <w:pStyle w:val="TableParagraph"/>
              <w:tabs>
                <w:tab w:val="left" w:pos="4111"/>
              </w:tabs>
              <w:spacing w:line="240" w:lineRule="auto"/>
              <w:rPr>
                <w:highlight w:val="green"/>
                <w:lang w:val="da-DK"/>
              </w:rPr>
            </w:pPr>
            <w:r>
              <w:rPr>
                <w:lang w:val="da-DK"/>
              </w:rPr>
              <w:t>Forhøjet kreatin-fosfokinase i blodet</w:t>
            </w:r>
          </w:p>
        </w:tc>
      </w:tr>
    </w:tbl>
    <w:p w14:paraId="0B94241B" w14:textId="1E0A5102" w:rsidR="00A15E0E" w:rsidRDefault="00A15E0E" w:rsidP="005F3B3D">
      <w:pPr>
        <w:tabs>
          <w:tab w:val="left" w:pos="4111"/>
        </w:tabs>
        <w:autoSpaceDE w:val="0"/>
        <w:autoSpaceDN w:val="0"/>
        <w:adjustRightInd w:val="0"/>
        <w:ind w:left="851"/>
        <w:jc w:val="both"/>
        <w:rPr>
          <w:sz w:val="24"/>
          <w:szCs w:val="24"/>
          <w:highlight w:val="green"/>
          <w:u w:val="single"/>
        </w:rPr>
      </w:pPr>
    </w:p>
    <w:p w14:paraId="0CD270F4" w14:textId="77777777" w:rsidR="00A15E0E" w:rsidRDefault="00A15E0E">
      <w:pPr>
        <w:rPr>
          <w:sz w:val="24"/>
          <w:szCs w:val="24"/>
          <w:highlight w:val="green"/>
          <w:u w:val="single"/>
        </w:rPr>
      </w:pPr>
      <w:r>
        <w:rPr>
          <w:sz w:val="24"/>
          <w:szCs w:val="24"/>
          <w:highlight w:val="green"/>
          <w:u w:val="single"/>
        </w:rPr>
        <w:br w:type="page"/>
      </w:r>
    </w:p>
    <w:p w14:paraId="5D68F19F" w14:textId="77777777" w:rsidR="00927B43" w:rsidRPr="005F3B3D" w:rsidRDefault="00927B43" w:rsidP="005F3B3D">
      <w:pPr>
        <w:tabs>
          <w:tab w:val="left" w:pos="4111"/>
        </w:tabs>
        <w:autoSpaceDE w:val="0"/>
        <w:autoSpaceDN w:val="0"/>
        <w:adjustRightInd w:val="0"/>
        <w:ind w:left="851"/>
        <w:jc w:val="both"/>
        <w:rPr>
          <w:sz w:val="24"/>
          <w:szCs w:val="24"/>
          <w:highlight w:val="green"/>
          <w:u w:val="single"/>
        </w:rPr>
      </w:pPr>
    </w:p>
    <w:p w14:paraId="4D39E844" w14:textId="77777777" w:rsidR="00927B43" w:rsidRPr="005F3B3D" w:rsidRDefault="00927B43" w:rsidP="005F3B3D">
      <w:pPr>
        <w:tabs>
          <w:tab w:val="left" w:pos="4111"/>
        </w:tabs>
        <w:autoSpaceDE w:val="0"/>
        <w:autoSpaceDN w:val="0"/>
        <w:adjustRightInd w:val="0"/>
        <w:ind w:left="851"/>
        <w:rPr>
          <w:sz w:val="24"/>
          <w:szCs w:val="24"/>
          <w:highlight w:val="green"/>
          <w:u w:val="single"/>
        </w:rPr>
      </w:pPr>
      <w:r w:rsidRPr="005F3B3D">
        <w:rPr>
          <w:sz w:val="24"/>
          <w:szCs w:val="24"/>
          <w:u w:val="single"/>
        </w:rPr>
        <w:t>Beskrivelse af udvalgte bivirkninger</w:t>
      </w:r>
    </w:p>
    <w:p w14:paraId="419044FB" w14:textId="77777777" w:rsidR="00927B43" w:rsidRPr="005F3B3D" w:rsidRDefault="00927B43" w:rsidP="005F3B3D">
      <w:pPr>
        <w:tabs>
          <w:tab w:val="left" w:pos="4111"/>
        </w:tabs>
        <w:autoSpaceDE w:val="0"/>
        <w:autoSpaceDN w:val="0"/>
        <w:adjustRightInd w:val="0"/>
        <w:ind w:left="851"/>
        <w:rPr>
          <w:sz w:val="24"/>
          <w:szCs w:val="24"/>
          <w:highlight w:val="green"/>
          <w:u w:val="single"/>
        </w:rPr>
      </w:pPr>
    </w:p>
    <w:p w14:paraId="56B32793" w14:textId="77777777" w:rsidR="00927B43" w:rsidRPr="005F3B3D" w:rsidRDefault="00927B43" w:rsidP="005F3B3D">
      <w:pPr>
        <w:tabs>
          <w:tab w:val="left" w:pos="4111"/>
        </w:tabs>
        <w:autoSpaceDE w:val="0"/>
        <w:autoSpaceDN w:val="0"/>
        <w:adjustRightInd w:val="0"/>
        <w:ind w:left="851"/>
        <w:rPr>
          <w:i/>
          <w:iCs/>
          <w:sz w:val="24"/>
          <w:szCs w:val="24"/>
          <w:highlight w:val="green"/>
          <w:u w:val="single"/>
        </w:rPr>
      </w:pPr>
      <w:r w:rsidRPr="005F3B3D">
        <w:rPr>
          <w:i/>
          <w:iCs/>
          <w:sz w:val="24"/>
          <w:szCs w:val="24"/>
          <w:u w:val="single"/>
        </w:rPr>
        <w:t>Trombotiske/tromboemboliske hændelser (TEEs)</w:t>
      </w:r>
    </w:p>
    <w:p w14:paraId="1617BB9E" w14:textId="77777777" w:rsidR="00927B43" w:rsidRPr="005F3B3D" w:rsidRDefault="00927B43" w:rsidP="005F3B3D">
      <w:pPr>
        <w:tabs>
          <w:tab w:val="left" w:pos="4111"/>
        </w:tabs>
        <w:autoSpaceDE w:val="0"/>
        <w:autoSpaceDN w:val="0"/>
        <w:adjustRightInd w:val="0"/>
        <w:ind w:left="851"/>
        <w:rPr>
          <w:sz w:val="24"/>
          <w:szCs w:val="24"/>
        </w:rPr>
      </w:pPr>
      <w:r w:rsidRPr="005F3B3D">
        <w:rPr>
          <w:sz w:val="24"/>
          <w:szCs w:val="24"/>
        </w:rPr>
        <w:t>I tre kontrollerede og to ikke-kontrollerede kliniske studier blandt voksne patienter med ITP, som fik eltrombopag (n = 446), fik 17 patienter i alt 19 tromboemboliske hændelser, som omfattede (med faldende hyppighed) dyb venetrombose (n = 6), lungeemboli (n = 6), akut myokardieinfarkt (n = 2), cerebral infarkt (n = 2) og emboli (n = 1) (se pkt. 4.4).</w:t>
      </w:r>
    </w:p>
    <w:p w14:paraId="27855964" w14:textId="77777777" w:rsidR="00927B43" w:rsidRPr="005F3B3D" w:rsidRDefault="00927B43" w:rsidP="005F3B3D">
      <w:pPr>
        <w:autoSpaceDE w:val="0"/>
        <w:autoSpaceDN w:val="0"/>
        <w:adjustRightInd w:val="0"/>
        <w:ind w:left="851"/>
        <w:rPr>
          <w:sz w:val="24"/>
          <w:szCs w:val="24"/>
          <w:highlight w:val="green"/>
        </w:rPr>
      </w:pPr>
    </w:p>
    <w:p w14:paraId="41C3259F" w14:textId="77777777" w:rsidR="00927B43" w:rsidRPr="005F3B3D" w:rsidRDefault="00927B43" w:rsidP="005F3B3D">
      <w:pPr>
        <w:autoSpaceDE w:val="0"/>
        <w:autoSpaceDN w:val="0"/>
        <w:adjustRightInd w:val="0"/>
        <w:ind w:left="851"/>
        <w:rPr>
          <w:sz w:val="24"/>
          <w:szCs w:val="24"/>
        </w:rPr>
      </w:pPr>
      <w:r w:rsidRPr="005F3B3D">
        <w:rPr>
          <w:sz w:val="24"/>
          <w:szCs w:val="24"/>
        </w:rPr>
        <w:t>I et placebo-kontrolleret studie (n = 288, sikkerhedspopulation) efter to ugers behandling forud for invasive indgreb oplevede 6 ud af 143 (4 %) voksne patienter med kronisk leversygdom, der fik eltrombopag, 7 TEEs i det portale venesystem, og 2 ud af 145 (1 %) patienter i placebogruppen oplevede 3 TEEs. Fem ud af de 6 patienter, der blev behandlet med eltrombopag, oplevede TEE ved et trombocyttal &gt; 200 000 pr. μl.</w:t>
      </w:r>
    </w:p>
    <w:p w14:paraId="76872BDC" w14:textId="77777777" w:rsidR="00927B43" w:rsidRPr="005F3B3D" w:rsidRDefault="00927B43" w:rsidP="005F3B3D">
      <w:pPr>
        <w:autoSpaceDE w:val="0"/>
        <w:autoSpaceDN w:val="0"/>
        <w:adjustRightInd w:val="0"/>
        <w:ind w:left="851"/>
        <w:rPr>
          <w:sz w:val="24"/>
          <w:szCs w:val="24"/>
        </w:rPr>
      </w:pPr>
    </w:p>
    <w:p w14:paraId="3AAA94BA" w14:textId="77777777" w:rsidR="00927B43" w:rsidRPr="005F3B3D" w:rsidRDefault="00927B43" w:rsidP="005F3B3D">
      <w:pPr>
        <w:autoSpaceDE w:val="0"/>
        <w:autoSpaceDN w:val="0"/>
        <w:adjustRightInd w:val="0"/>
        <w:ind w:left="851"/>
        <w:rPr>
          <w:sz w:val="24"/>
          <w:szCs w:val="24"/>
        </w:rPr>
      </w:pPr>
      <w:r w:rsidRPr="005F3B3D">
        <w:rPr>
          <w:sz w:val="24"/>
          <w:szCs w:val="24"/>
        </w:rPr>
        <w:t>Der blev ikke identificeret nogen specifikke risikofaktorer hos patienter, der oplevede en TEE, med undtagelse af trombocyttal ≥ 200 000 pr. μl (se pkt. 4.4).</w:t>
      </w:r>
    </w:p>
    <w:p w14:paraId="3D187C83" w14:textId="77777777" w:rsidR="00927B43" w:rsidRPr="005F3B3D" w:rsidRDefault="00927B43" w:rsidP="005F3B3D">
      <w:pPr>
        <w:autoSpaceDE w:val="0"/>
        <w:autoSpaceDN w:val="0"/>
        <w:adjustRightInd w:val="0"/>
        <w:ind w:left="851"/>
        <w:rPr>
          <w:sz w:val="24"/>
          <w:szCs w:val="24"/>
          <w:highlight w:val="green"/>
        </w:rPr>
      </w:pPr>
    </w:p>
    <w:p w14:paraId="6F6D785E" w14:textId="77777777" w:rsidR="00927B43" w:rsidRPr="005F3B3D" w:rsidRDefault="00927B43" w:rsidP="005F3B3D">
      <w:pPr>
        <w:autoSpaceDE w:val="0"/>
        <w:autoSpaceDN w:val="0"/>
        <w:adjustRightInd w:val="0"/>
        <w:ind w:left="851"/>
        <w:rPr>
          <w:sz w:val="24"/>
          <w:szCs w:val="24"/>
        </w:rPr>
      </w:pPr>
      <w:r w:rsidRPr="005F3B3D">
        <w:rPr>
          <w:sz w:val="24"/>
          <w:szCs w:val="24"/>
        </w:rPr>
        <w:t>I kontrollerede studier blandt trombocytopeniske patienter med HCV (n = 1 439) oplevede 38 ud af 955 patienter (4 %), som blev behandlet med eltrombopag, en TEE, og 6 ud af 484 patienter (1 %) i placebogruppen oplevede TEE. Portal venetrombose var den mest almindelige TEE i begge behandlingsgrupper (2 % af patienterne, som blev behandlet med eltrombopag, i forhold til 1 % for placebo)(se pkt. 4.4). Patienter med lave albumin-niveauer (≤ 35 g/l) eller med MELD ≥ 10 havde 2-fold større risiko for at få TEEs end dem med højere albumin-niveauer; patienter ≥ 60 år havde 2-fold større risiko for at få TEEs sammenlignet med yngre patienter.</w:t>
      </w:r>
    </w:p>
    <w:p w14:paraId="55AF92A0" w14:textId="77777777" w:rsidR="00927B43" w:rsidRPr="005F3B3D" w:rsidRDefault="00927B43" w:rsidP="005F3B3D">
      <w:pPr>
        <w:autoSpaceDE w:val="0"/>
        <w:autoSpaceDN w:val="0"/>
        <w:adjustRightInd w:val="0"/>
        <w:ind w:left="851"/>
        <w:rPr>
          <w:sz w:val="24"/>
          <w:szCs w:val="24"/>
        </w:rPr>
      </w:pPr>
    </w:p>
    <w:p w14:paraId="4B98F44B" w14:textId="77777777" w:rsidR="00927B43" w:rsidRPr="005F3B3D" w:rsidRDefault="00927B43" w:rsidP="005F3B3D">
      <w:pPr>
        <w:autoSpaceDE w:val="0"/>
        <w:autoSpaceDN w:val="0"/>
        <w:adjustRightInd w:val="0"/>
        <w:ind w:left="851"/>
        <w:rPr>
          <w:i/>
          <w:iCs/>
          <w:sz w:val="24"/>
          <w:szCs w:val="24"/>
          <w:u w:val="single"/>
        </w:rPr>
      </w:pPr>
      <w:r w:rsidRPr="005F3B3D">
        <w:rPr>
          <w:i/>
          <w:iCs/>
          <w:sz w:val="24"/>
          <w:szCs w:val="24"/>
          <w:u w:val="single"/>
        </w:rPr>
        <w:t>Hepatisk dekompensation (anvendelse med interferon)</w:t>
      </w:r>
    </w:p>
    <w:p w14:paraId="58FA7239" w14:textId="77777777" w:rsidR="00927B43" w:rsidRPr="005F3B3D" w:rsidRDefault="00927B43" w:rsidP="005F3B3D">
      <w:pPr>
        <w:autoSpaceDE w:val="0"/>
        <w:autoSpaceDN w:val="0"/>
        <w:adjustRightInd w:val="0"/>
        <w:ind w:left="851"/>
        <w:rPr>
          <w:sz w:val="24"/>
          <w:szCs w:val="24"/>
        </w:rPr>
      </w:pPr>
      <w:r w:rsidRPr="005F3B3D">
        <w:rPr>
          <w:sz w:val="24"/>
          <w:szCs w:val="24"/>
        </w:rPr>
        <w:t xml:space="preserve">Patienter med kronisk HCV og cirrose kan have en risiko for hepatisk dekompensation, når de behandles med interferon alfa. I 2 kontrollerede kliniske studier blandt trombocytopeniske patienter med HCV blev der rapporteret hepatisk dekompensation (ascites, hapatisk encefalopati, variceblødning, spontan bakteriel peritonitis) oftere i eltrombopag armen (11 %) end i placebo armen (6 %). Hos patienter med lavt albumin-niveau (≤ 35 g/l) eller med MELD-score ≥ 10 ved </w:t>
      </w:r>
      <w:r w:rsidRPr="005F3B3D">
        <w:rPr>
          <w:i/>
          <w:iCs/>
          <w:sz w:val="24"/>
          <w:szCs w:val="24"/>
        </w:rPr>
        <w:t>baseline</w:t>
      </w:r>
      <w:r w:rsidRPr="005F3B3D">
        <w:rPr>
          <w:sz w:val="24"/>
          <w:szCs w:val="24"/>
        </w:rPr>
        <w:t xml:space="preserve"> var der 3 gange større risiko for hepatisk dekompensation og en øget risiko for at få en dødelig bivirkning sammenlignet med de patienter, med mindre fremskreden sygdom. Eltrombopag skal kun administreres til disse patienter efter grundig overvejelse af forventede fordele i forhold til mulige risici. Patienter med disse karakteristika skal monitoreres tæt for tegn og symptomer på hepatisk dekompensation (se pkt. 4.4).</w:t>
      </w:r>
    </w:p>
    <w:p w14:paraId="1AFCE5DA" w14:textId="77777777" w:rsidR="00927B43" w:rsidRPr="005F3B3D" w:rsidRDefault="00927B43" w:rsidP="005F3B3D">
      <w:pPr>
        <w:autoSpaceDE w:val="0"/>
        <w:autoSpaceDN w:val="0"/>
        <w:adjustRightInd w:val="0"/>
        <w:ind w:left="851"/>
        <w:rPr>
          <w:sz w:val="24"/>
          <w:szCs w:val="24"/>
          <w:highlight w:val="green"/>
        </w:rPr>
      </w:pPr>
    </w:p>
    <w:p w14:paraId="730A9A4F" w14:textId="77777777" w:rsidR="00927B43" w:rsidRPr="005F3B3D" w:rsidRDefault="00927B43" w:rsidP="005F3B3D">
      <w:pPr>
        <w:ind w:left="851"/>
        <w:rPr>
          <w:i/>
          <w:iCs/>
          <w:sz w:val="24"/>
          <w:szCs w:val="24"/>
          <w:highlight w:val="green"/>
          <w:u w:val="single"/>
        </w:rPr>
      </w:pPr>
      <w:r w:rsidRPr="005F3B3D">
        <w:rPr>
          <w:i/>
          <w:iCs/>
          <w:sz w:val="24"/>
          <w:szCs w:val="24"/>
          <w:u w:val="single"/>
        </w:rPr>
        <w:t>Hepatotoksicitet</w:t>
      </w:r>
    </w:p>
    <w:p w14:paraId="2D941365" w14:textId="77777777" w:rsidR="00927B43" w:rsidRPr="005F3B3D" w:rsidRDefault="00927B43" w:rsidP="005F3B3D">
      <w:pPr>
        <w:autoSpaceDE w:val="0"/>
        <w:autoSpaceDN w:val="0"/>
        <w:adjustRightInd w:val="0"/>
        <w:ind w:left="851"/>
        <w:rPr>
          <w:sz w:val="24"/>
          <w:szCs w:val="24"/>
        </w:rPr>
      </w:pPr>
      <w:r w:rsidRPr="005F3B3D">
        <w:rPr>
          <w:sz w:val="24"/>
          <w:szCs w:val="24"/>
        </w:rPr>
        <w:t>I de kontrollerede kliniske studier med eltrombopag til kronisk ITP sås stigning i ALAT, ASAT og bilirubin i serum (se pkt. 4.4).</w:t>
      </w:r>
    </w:p>
    <w:p w14:paraId="24B8E6D4" w14:textId="77777777" w:rsidR="00927B43" w:rsidRPr="005F3B3D" w:rsidRDefault="00927B43" w:rsidP="005F3B3D">
      <w:pPr>
        <w:autoSpaceDE w:val="0"/>
        <w:autoSpaceDN w:val="0"/>
        <w:adjustRightInd w:val="0"/>
        <w:ind w:left="851"/>
        <w:rPr>
          <w:sz w:val="24"/>
          <w:szCs w:val="24"/>
        </w:rPr>
      </w:pPr>
    </w:p>
    <w:p w14:paraId="647C2463" w14:textId="77777777" w:rsidR="00927B43" w:rsidRPr="005F3B3D" w:rsidRDefault="00927B43" w:rsidP="005F3B3D">
      <w:pPr>
        <w:autoSpaceDE w:val="0"/>
        <w:autoSpaceDN w:val="0"/>
        <w:adjustRightInd w:val="0"/>
        <w:ind w:left="851"/>
        <w:rPr>
          <w:sz w:val="24"/>
          <w:szCs w:val="24"/>
        </w:rPr>
      </w:pPr>
      <w:r w:rsidRPr="005F3B3D">
        <w:rPr>
          <w:sz w:val="24"/>
          <w:szCs w:val="24"/>
        </w:rPr>
        <w:t xml:space="preserve">Disse fund var oftest lette (grad 1-2), reversible og ikke fulgt af klinisk signifikante symptomer, der tyder på nedsat leverfunktion. På tværs af de 3 placebo-kontrollerede studier med voksne patienter med kronisk ITP havde 1 patient i placebogruppen og 1 patient i eltrombopag-gruppen et unormalt levertal af grad 4. I to placebokontrollerede studier med pædiatriske patienter (i alderen 1 til 17 år) med kronisk ITP blev der rapporteret ALAT ≥ 3 x ULN hos 4,7 % og 0 % af henholdsvis eltrombopag- og placebogruppen. </w:t>
      </w:r>
    </w:p>
    <w:p w14:paraId="098CCDD9" w14:textId="77777777" w:rsidR="00927B43" w:rsidRPr="005F3B3D" w:rsidRDefault="00927B43" w:rsidP="005F3B3D">
      <w:pPr>
        <w:autoSpaceDE w:val="0"/>
        <w:autoSpaceDN w:val="0"/>
        <w:adjustRightInd w:val="0"/>
        <w:ind w:left="851"/>
        <w:rPr>
          <w:sz w:val="24"/>
          <w:szCs w:val="24"/>
        </w:rPr>
      </w:pPr>
    </w:p>
    <w:p w14:paraId="79C1B62D" w14:textId="77777777" w:rsidR="00927B43" w:rsidRPr="005F3B3D" w:rsidRDefault="00927B43" w:rsidP="005F3B3D">
      <w:pPr>
        <w:autoSpaceDE w:val="0"/>
        <w:autoSpaceDN w:val="0"/>
        <w:adjustRightInd w:val="0"/>
        <w:ind w:left="851"/>
        <w:rPr>
          <w:sz w:val="24"/>
          <w:szCs w:val="24"/>
        </w:rPr>
      </w:pPr>
      <w:r w:rsidRPr="005F3B3D">
        <w:rPr>
          <w:sz w:val="24"/>
          <w:szCs w:val="24"/>
        </w:rPr>
        <w:t>I 2 kontrollerede kliniske studier med patienter med HCV blev der rapporteret ALAT- eller ASAT ≥ 3 x ULN hos henholdsvis 34 % i eltrombopag-gruppen og 38 % i placebogruppen. De fleste patienter, der får eltrombopag i kombination med peginterferon/ribavirin, vil opleve indirekte hyperbilirubinæmi. Samlet blev der rapporteret et niveau af totalbilirubin på ≥ 1,5 x ULN hos henholdsvis 76 % i eltrombopag-gruppen og 50 % i placebogruppen.</w:t>
      </w:r>
    </w:p>
    <w:p w14:paraId="1776CCF8" w14:textId="77777777" w:rsidR="00927B43" w:rsidRPr="005F3B3D" w:rsidRDefault="00927B43" w:rsidP="005F3B3D">
      <w:pPr>
        <w:autoSpaceDE w:val="0"/>
        <w:autoSpaceDN w:val="0"/>
        <w:adjustRightInd w:val="0"/>
        <w:ind w:left="851"/>
        <w:rPr>
          <w:sz w:val="24"/>
          <w:szCs w:val="24"/>
          <w:highlight w:val="green"/>
        </w:rPr>
      </w:pPr>
    </w:p>
    <w:p w14:paraId="43A1F9DF" w14:textId="77777777" w:rsidR="00927B43" w:rsidRPr="005F3B3D" w:rsidRDefault="00927B43" w:rsidP="005F3B3D">
      <w:pPr>
        <w:autoSpaceDE w:val="0"/>
        <w:autoSpaceDN w:val="0"/>
        <w:adjustRightInd w:val="0"/>
        <w:ind w:left="851"/>
        <w:rPr>
          <w:sz w:val="24"/>
          <w:szCs w:val="24"/>
        </w:rPr>
      </w:pPr>
      <w:r w:rsidRPr="005F3B3D">
        <w:rPr>
          <w:sz w:val="24"/>
          <w:szCs w:val="24"/>
        </w:rPr>
        <w:t>I fase II enkeltgruppestudiet med monoterapi til refraktær SAA, blev der samtidig rapporteret ALAT eller ASAT &gt; 3 x ULN med totalbilirubin (indirekte) &gt;1,5 x ULN hos 5 % af patienter. Totalbilirubin &gt;1,5 x ULN forekom hos 14 % af patienterne.</w:t>
      </w:r>
    </w:p>
    <w:p w14:paraId="37FBA732" w14:textId="77777777" w:rsidR="00927B43" w:rsidRPr="005F3B3D" w:rsidRDefault="00927B43" w:rsidP="005F3B3D">
      <w:pPr>
        <w:autoSpaceDE w:val="0"/>
        <w:autoSpaceDN w:val="0"/>
        <w:adjustRightInd w:val="0"/>
        <w:ind w:left="851"/>
        <w:rPr>
          <w:sz w:val="24"/>
          <w:szCs w:val="24"/>
          <w:highlight w:val="green"/>
        </w:rPr>
      </w:pPr>
    </w:p>
    <w:p w14:paraId="4C49F212" w14:textId="77777777" w:rsidR="00927B43" w:rsidRPr="005F3B3D" w:rsidRDefault="00927B43" w:rsidP="005F3B3D">
      <w:pPr>
        <w:autoSpaceDE w:val="0"/>
        <w:autoSpaceDN w:val="0"/>
        <w:adjustRightInd w:val="0"/>
        <w:ind w:left="851"/>
        <w:rPr>
          <w:i/>
          <w:iCs/>
          <w:sz w:val="24"/>
          <w:szCs w:val="24"/>
          <w:highlight w:val="green"/>
          <w:u w:val="single"/>
        </w:rPr>
      </w:pPr>
      <w:r w:rsidRPr="005F3B3D">
        <w:rPr>
          <w:i/>
          <w:iCs/>
          <w:sz w:val="24"/>
          <w:szCs w:val="24"/>
          <w:u w:val="single"/>
        </w:rPr>
        <w:t>Trombocytopeni efter seponering af behandling</w:t>
      </w:r>
    </w:p>
    <w:p w14:paraId="48BE2A5E" w14:textId="77777777" w:rsidR="00927B43" w:rsidRPr="005F3B3D" w:rsidRDefault="00927B43" w:rsidP="005F3B3D">
      <w:pPr>
        <w:autoSpaceDE w:val="0"/>
        <w:autoSpaceDN w:val="0"/>
        <w:adjustRightInd w:val="0"/>
        <w:ind w:left="851"/>
        <w:rPr>
          <w:sz w:val="24"/>
          <w:szCs w:val="24"/>
        </w:rPr>
      </w:pPr>
      <w:r w:rsidRPr="005F3B3D">
        <w:rPr>
          <w:sz w:val="24"/>
          <w:szCs w:val="24"/>
        </w:rPr>
        <w:t>I de 3 kontrollerede, kliniske ITP-studier sås et forbigående fald i trombocyttallet, efter seponering af behandlingen, til et niveau under udgangsniveauet hos hhv. 8 % i eltrombopag-gruppen og 8 % i placebogruppen (se pkt. 4.4).</w:t>
      </w:r>
    </w:p>
    <w:p w14:paraId="426C44CB" w14:textId="77777777" w:rsidR="00927B43" w:rsidRPr="005F3B3D" w:rsidRDefault="00927B43" w:rsidP="005F3B3D">
      <w:pPr>
        <w:autoSpaceDE w:val="0"/>
        <w:autoSpaceDN w:val="0"/>
        <w:adjustRightInd w:val="0"/>
        <w:ind w:left="851"/>
        <w:rPr>
          <w:sz w:val="24"/>
          <w:szCs w:val="24"/>
          <w:highlight w:val="green"/>
          <w:u w:val="single"/>
        </w:rPr>
      </w:pPr>
    </w:p>
    <w:p w14:paraId="4E98081F" w14:textId="77777777" w:rsidR="00927B43" w:rsidRPr="005F3B3D" w:rsidRDefault="00927B43" w:rsidP="005F3B3D">
      <w:pPr>
        <w:autoSpaceDE w:val="0"/>
        <w:autoSpaceDN w:val="0"/>
        <w:adjustRightInd w:val="0"/>
        <w:ind w:left="851"/>
        <w:rPr>
          <w:i/>
          <w:iCs/>
          <w:sz w:val="24"/>
          <w:szCs w:val="24"/>
          <w:highlight w:val="green"/>
          <w:u w:val="single"/>
        </w:rPr>
      </w:pPr>
      <w:r w:rsidRPr="005F3B3D">
        <w:rPr>
          <w:i/>
          <w:iCs/>
          <w:sz w:val="24"/>
          <w:szCs w:val="24"/>
          <w:u w:val="single"/>
        </w:rPr>
        <w:t>Forhøjet knoglemarvsretikulin</w:t>
      </w:r>
    </w:p>
    <w:p w14:paraId="74B1806F" w14:textId="77777777" w:rsidR="00927B43" w:rsidRPr="005F3B3D" w:rsidRDefault="00927B43" w:rsidP="005F3B3D">
      <w:pPr>
        <w:autoSpaceDE w:val="0"/>
        <w:autoSpaceDN w:val="0"/>
        <w:adjustRightInd w:val="0"/>
        <w:ind w:left="851"/>
        <w:rPr>
          <w:sz w:val="24"/>
          <w:szCs w:val="24"/>
        </w:rPr>
      </w:pPr>
      <w:r w:rsidRPr="005F3B3D">
        <w:rPr>
          <w:sz w:val="24"/>
          <w:szCs w:val="24"/>
        </w:rPr>
        <w:t>På tværs af programmet var der ingen patienter, der viste tegn på klinisk relevante knoglemarvsabnormiteter eller kliniske fund, der indikerede en dysfunktion af knoglemarven. Hos et lille antal ITP-patienter blev behandlingen med eltrombopag seponeret pga. knoglemarvsretikulin (se pkt. 4.4).</w:t>
      </w:r>
    </w:p>
    <w:p w14:paraId="589912DE" w14:textId="77777777" w:rsidR="00927B43" w:rsidRPr="005F3B3D" w:rsidRDefault="00927B43" w:rsidP="005F3B3D">
      <w:pPr>
        <w:autoSpaceDE w:val="0"/>
        <w:autoSpaceDN w:val="0"/>
        <w:adjustRightInd w:val="0"/>
        <w:ind w:left="851"/>
        <w:rPr>
          <w:sz w:val="24"/>
          <w:szCs w:val="24"/>
          <w:highlight w:val="green"/>
        </w:rPr>
      </w:pPr>
    </w:p>
    <w:p w14:paraId="0375A1E6" w14:textId="77777777" w:rsidR="00927B43" w:rsidRPr="005F3B3D" w:rsidRDefault="00927B43" w:rsidP="005F3B3D">
      <w:pPr>
        <w:autoSpaceDE w:val="0"/>
        <w:autoSpaceDN w:val="0"/>
        <w:adjustRightInd w:val="0"/>
        <w:ind w:left="851"/>
        <w:rPr>
          <w:i/>
          <w:iCs/>
          <w:color w:val="000000"/>
          <w:sz w:val="24"/>
          <w:szCs w:val="24"/>
          <w:highlight w:val="green"/>
          <w:u w:val="single"/>
        </w:rPr>
      </w:pPr>
      <w:r w:rsidRPr="005F3B3D">
        <w:rPr>
          <w:i/>
          <w:iCs/>
          <w:color w:val="000000"/>
          <w:sz w:val="24"/>
          <w:szCs w:val="24"/>
          <w:u w:val="single"/>
        </w:rPr>
        <w:t>Cytogenetiske anomalier</w:t>
      </w:r>
    </w:p>
    <w:p w14:paraId="28A8B9A4"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I det kliniske fase II-studie til refraktær SAA med eltrombopag ved en startdosis på 50 mg/dag (øget hver 2 uge til maksimalt 150 mg/dag) (ELT112523), blev nye cytogenetiske anomalier set hos 17,1 % af voksne patienter [7/41 (hvoraf 4 havde ændringer i kromosom 7)]. I studiet var den gennemsnitlige tid til en cytogenetisk anomalitet 2,9 måneder.</w:t>
      </w:r>
    </w:p>
    <w:p w14:paraId="6BE69C32" w14:textId="77777777" w:rsidR="00927B43" w:rsidRPr="005F3B3D" w:rsidRDefault="00927B43" w:rsidP="005F3B3D">
      <w:pPr>
        <w:autoSpaceDE w:val="0"/>
        <w:autoSpaceDN w:val="0"/>
        <w:adjustRightInd w:val="0"/>
        <w:ind w:left="851"/>
        <w:rPr>
          <w:color w:val="000000"/>
          <w:sz w:val="24"/>
          <w:szCs w:val="24"/>
        </w:rPr>
      </w:pPr>
    </w:p>
    <w:p w14:paraId="09031F48"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 xml:space="preserve">I det kliniske fase II-studie til refraktær SAA med eltrombopag ved en dosis på 150 mg/dag (med etnisk eller aldersrelaterede modifikationer som indiceret) (ELT116826), blev nye cytogenetiske anormalier set hos 22,6 % af voksne patienter [7/31 (hvoraf 3 havde ændringer i kromosom 7)]. Alle 7 patienter havde normal cytogenetik ved </w:t>
      </w:r>
      <w:r w:rsidRPr="005F3B3D">
        <w:rPr>
          <w:i/>
          <w:iCs/>
          <w:color w:val="000000"/>
          <w:sz w:val="24"/>
          <w:szCs w:val="24"/>
        </w:rPr>
        <w:t>baseline</w:t>
      </w:r>
      <w:r w:rsidRPr="005F3B3D">
        <w:rPr>
          <w:color w:val="000000"/>
          <w:sz w:val="24"/>
          <w:szCs w:val="24"/>
        </w:rPr>
        <w:t>. Seks patienter havde cytogenetisk anomalitet ved måned 3 af behandling med eltrombopag, og en patient havde cytogenetisk anomalitet ved måned 6.</w:t>
      </w:r>
    </w:p>
    <w:p w14:paraId="57D3BD09" w14:textId="77777777" w:rsidR="00927B43" w:rsidRPr="005F3B3D" w:rsidRDefault="00927B43" w:rsidP="005F3B3D">
      <w:pPr>
        <w:autoSpaceDE w:val="0"/>
        <w:autoSpaceDN w:val="0"/>
        <w:adjustRightInd w:val="0"/>
        <w:ind w:left="851"/>
        <w:rPr>
          <w:color w:val="000000"/>
          <w:sz w:val="24"/>
          <w:szCs w:val="24"/>
          <w:highlight w:val="green"/>
        </w:rPr>
      </w:pPr>
    </w:p>
    <w:p w14:paraId="7107DEBA" w14:textId="77777777" w:rsidR="00927B43" w:rsidRPr="005F3B3D" w:rsidRDefault="00927B43" w:rsidP="005F3B3D">
      <w:pPr>
        <w:autoSpaceDE w:val="0"/>
        <w:autoSpaceDN w:val="0"/>
        <w:adjustRightInd w:val="0"/>
        <w:ind w:left="851"/>
        <w:rPr>
          <w:i/>
          <w:iCs/>
          <w:color w:val="000000"/>
          <w:sz w:val="24"/>
          <w:szCs w:val="24"/>
          <w:highlight w:val="green"/>
          <w:u w:val="single"/>
        </w:rPr>
      </w:pPr>
      <w:r w:rsidRPr="005F3B3D">
        <w:rPr>
          <w:i/>
          <w:iCs/>
          <w:color w:val="000000"/>
          <w:sz w:val="24"/>
          <w:szCs w:val="24"/>
          <w:u w:val="single"/>
        </w:rPr>
        <w:t>Hæmatologisk malignitet</w:t>
      </w:r>
    </w:p>
    <w:p w14:paraId="3B05851B" w14:textId="77777777" w:rsidR="00927B43" w:rsidRPr="005F3B3D" w:rsidRDefault="00927B43" w:rsidP="005F3B3D">
      <w:pPr>
        <w:autoSpaceDE w:val="0"/>
        <w:autoSpaceDN w:val="0"/>
        <w:adjustRightInd w:val="0"/>
        <w:ind w:left="851"/>
        <w:rPr>
          <w:color w:val="000000"/>
          <w:sz w:val="24"/>
          <w:szCs w:val="24"/>
        </w:rPr>
      </w:pPr>
      <w:r w:rsidRPr="005F3B3D">
        <w:rPr>
          <w:color w:val="000000"/>
          <w:sz w:val="24"/>
          <w:szCs w:val="24"/>
        </w:rPr>
        <w:t>I det ublindede enkeltgruppestudie med SAA blev tre (7 %) patienter diagnosticeret med MDS efter behandling med eltrombopag. I de to igangværende studier (ELT116826 og ELT116643) er henholdsvis 1/28 (4 %) og 1/62 (2 %) patienter blevet diagnosticeret med MDS eller AML.</w:t>
      </w:r>
    </w:p>
    <w:p w14:paraId="5DD03F1D" w14:textId="77777777" w:rsidR="00927B43" w:rsidRPr="005F3B3D" w:rsidRDefault="00927B43" w:rsidP="005F3B3D">
      <w:pPr>
        <w:autoSpaceDE w:val="0"/>
        <w:autoSpaceDN w:val="0"/>
        <w:adjustRightInd w:val="0"/>
        <w:ind w:left="851"/>
        <w:rPr>
          <w:color w:val="000000"/>
          <w:sz w:val="24"/>
          <w:szCs w:val="24"/>
          <w:highlight w:val="green"/>
        </w:rPr>
      </w:pPr>
    </w:p>
    <w:p w14:paraId="1912215E" w14:textId="77777777" w:rsidR="00927B43" w:rsidRPr="005F3B3D" w:rsidRDefault="00927B43" w:rsidP="005F3B3D">
      <w:pPr>
        <w:autoSpaceDE w:val="0"/>
        <w:autoSpaceDN w:val="0"/>
        <w:adjustRightInd w:val="0"/>
        <w:ind w:left="851"/>
        <w:rPr>
          <w:color w:val="000000"/>
          <w:sz w:val="24"/>
          <w:szCs w:val="24"/>
          <w:highlight w:val="green"/>
          <w:u w:val="single"/>
        </w:rPr>
      </w:pPr>
      <w:r w:rsidRPr="005F3B3D">
        <w:rPr>
          <w:color w:val="000000"/>
          <w:sz w:val="24"/>
          <w:szCs w:val="24"/>
          <w:u w:val="single"/>
        </w:rPr>
        <w:t>Indberetning af formodede bivirkninger</w:t>
      </w:r>
    </w:p>
    <w:p w14:paraId="6796C0DA" w14:textId="0043EF1A" w:rsidR="00927B43" w:rsidRDefault="00927B43" w:rsidP="005F3B3D">
      <w:pPr>
        <w:autoSpaceDE w:val="0"/>
        <w:autoSpaceDN w:val="0"/>
        <w:adjustRightInd w:val="0"/>
        <w:ind w:left="851"/>
        <w:rPr>
          <w:rFonts w:eastAsia="TimesNewRoman"/>
          <w:color w:val="000000"/>
          <w:sz w:val="24"/>
          <w:szCs w:val="24"/>
        </w:rPr>
      </w:pPr>
      <w:r w:rsidRPr="005F3B3D">
        <w:rPr>
          <w:rFonts w:eastAsia="TimesNewRoman"/>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9385D3C" w14:textId="77777777" w:rsidR="00A15E0E" w:rsidRPr="005F3B3D" w:rsidRDefault="00A15E0E" w:rsidP="005F3B3D">
      <w:pPr>
        <w:autoSpaceDE w:val="0"/>
        <w:autoSpaceDN w:val="0"/>
        <w:adjustRightInd w:val="0"/>
        <w:ind w:left="851"/>
        <w:rPr>
          <w:rFonts w:eastAsia="TimesNewRoman"/>
          <w:color w:val="000000"/>
          <w:sz w:val="24"/>
          <w:szCs w:val="24"/>
        </w:rPr>
      </w:pPr>
    </w:p>
    <w:p w14:paraId="1D7163C2" w14:textId="77777777" w:rsidR="00927B43" w:rsidRPr="005F3B3D" w:rsidRDefault="00927B43" w:rsidP="005F3B3D">
      <w:pPr>
        <w:autoSpaceDE w:val="0"/>
        <w:autoSpaceDN w:val="0"/>
        <w:adjustRightInd w:val="0"/>
        <w:ind w:left="851"/>
        <w:rPr>
          <w:rFonts w:eastAsia="TimesNewRoman"/>
          <w:color w:val="000000"/>
          <w:sz w:val="24"/>
          <w:szCs w:val="24"/>
        </w:rPr>
      </w:pPr>
      <w:r w:rsidRPr="005F3B3D">
        <w:rPr>
          <w:rFonts w:eastAsia="TimesNewRoman"/>
          <w:color w:val="000000"/>
          <w:sz w:val="24"/>
          <w:szCs w:val="24"/>
        </w:rPr>
        <w:t>Lægemiddelstyrelsen</w:t>
      </w:r>
    </w:p>
    <w:p w14:paraId="220CC6EB" w14:textId="77777777" w:rsidR="00927B43" w:rsidRPr="005F3B3D" w:rsidRDefault="00927B43" w:rsidP="005F3B3D">
      <w:pPr>
        <w:autoSpaceDE w:val="0"/>
        <w:autoSpaceDN w:val="0"/>
        <w:adjustRightInd w:val="0"/>
        <w:ind w:left="851"/>
        <w:rPr>
          <w:rFonts w:eastAsia="TimesNewRoman"/>
          <w:color w:val="000000"/>
          <w:sz w:val="24"/>
          <w:szCs w:val="24"/>
        </w:rPr>
      </w:pPr>
      <w:r w:rsidRPr="005F3B3D">
        <w:rPr>
          <w:rFonts w:eastAsia="TimesNewRoman"/>
          <w:color w:val="000000"/>
          <w:sz w:val="24"/>
          <w:szCs w:val="24"/>
        </w:rPr>
        <w:t>Axel Heides Gade 1</w:t>
      </w:r>
    </w:p>
    <w:p w14:paraId="5F37FD1C" w14:textId="77777777" w:rsidR="00927B43" w:rsidRPr="005F3B3D" w:rsidRDefault="00927B43" w:rsidP="005F3B3D">
      <w:pPr>
        <w:autoSpaceDE w:val="0"/>
        <w:autoSpaceDN w:val="0"/>
        <w:adjustRightInd w:val="0"/>
        <w:ind w:left="851"/>
        <w:rPr>
          <w:rFonts w:eastAsia="TimesNewRoman"/>
          <w:color w:val="000000"/>
          <w:sz w:val="24"/>
          <w:szCs w:val="24"/>
        </w:rPr>
      </w:pPr>
      <w:r w:rsidRPr="005F3B3D">
        <w:rPr>
          <w:rFonts w:eastAsia="TimesNewRoman"/>
          <w:color w:val="000000"/>
          <w:sz w:val="24"/>
          <w:szCs w:val="24"/>
        </w:rPr>
        <w:t>DK-2300 København S</w:t>
      </w:r>
    </w:p>
    <w:p w14:paraId="01F60FEA" w14:textId="77777777" w:rsidR="00927B43" w:rsidRPr="005F3B3D" w:rsidRDefault="00927B43" w:rsidP="005F3B3D">
      <w:pPr>
        <w:autoSpaceDE w:val="0"/>
        <w:autoSpaceDN w:val="0"/>
        <w:adjustRightInd w:val="0"/>
        <w:ind w:left="851"/>
        <w:rPr>
          <w:rFonts w:eastAsia="TimesNewRoman"/>
          <w:color w:val="000000"/>
          <w:sz w:val="24"/>
          <w:szCs w:val="24"/>
        </w:rPr>
      </w:pPr>
      <w:r w:rsidRPr="005F3B3D">
        <w:rPr>
          <w:rFonts w:eastAsia="TimesNewRoman"/>
          <w:color w:val="000000"/>
          <w:sz w:val="24"/>
          <w:szCs w:val="24"/>
        </w:rPr>
        <w:t>Websted: www.meldenbivirkning.dk</w:t>
      </w:r>
    </w:p>
    <w:p w14:paraId="57CD3755" w14:textId="77777777" w:rsidR="00927B43" w:rsidRPr="005F3B3D" w:rsidRDefault="00927B43" w:rsidP="005F3B3D">
      <w:pPr>
        <w:autoSpaceDE w:val="0"/>
        <w:autoSpaceDN w:val="0"/>
        <w:adjustRightInd w:val="0"/>
        <w:ind w:left="851"/>
        <w:rPr>
          <w:color w:val="0000FF"/>
          <w:spacing w:val="-1"/>
          <w:sz w:val="24"/>
          <w:szCs w:val="24"/>
          <w:u w:val="single"/>
        </w:rPr>
      </w:pPr>
    </w:p>
    <w:p w14:paraId="0D4625D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7F1C4EB" w14:textId="77777777" w:rsidR="00927B43" w:rsidRPr="00927B43" w:rsidRDefault="00927B43" w:rsidP="00927B43">
      <w:pPr>
        <w:tabs>
          <w:tab w:val="left" w:pos="851"/>
        </w:tabs>
        <w:ind w:left="851"/>
        <w:rPr>
          <w:sz w:val="24"/>
          <w:szCs w:val="24"/>
        </w:rPr>
      </w:pPr>
      <w:r w:rsidRPr="00927B43">
        <w:rPr>
          <w:sz w:val="24"/>
          <w:szCs w:val="24"/>
        </w:rPr>
        <w:t>I tilfælde af overdosis kan trombocyttallet stige voldsomt og resultere i trombotiske/tromboemboliske komplikationer. I tilfælde af en overdosis bør oral administration af et metallisk kation-holdigt præparat overvejes, f.eks. calcium, aluminium eller magnesium, for at chelere eltrombopag og således begrænse absorptionen. Trombocyttallet skal følges nøje. Behandlingen med eltrombopag bør påbegyndes igen i overensstemmelse med doserings- og administrationsanbefalingerne (se pkt. 4.2).</w:t>
      </w:r>
    </w:p>
    <w:p w14:paraId="511C3ED7" w14:textId="77777777" w:rsidR="00927B43" w:rsidRPr="00927B43" w:rsidRDefault="00927B43" w:rsidP="00927B43">
      <w:pPr>
        <w:tabs>
          <w:tab w:val="left" w:pos="851"/>
        </w:tabs>
        <w:ind w:left="851"/>
        <w:rPr>
          <w:sz w:val="24"/>
          <w:szCs w:val="24"/>
        </w:rPr>
      </w:pPr>
    </w:p>
    <w:p w14:paraId="43A3A548" w14:textId="77777777" w:rsidR="00927B43" w:rsidRPr="00927B43" w:rsidRDefault="00927B43" w:rsidP="00927B43">
      <w:pPr>
        <w:tabs>
          <w:tab w:val="left" w:pos="851"/>
        </w:tabs>
        <w:ind w:left="851"/>
        <w:rPr>
          <w:sz w:val="24"/>
          <w:szCs w:val="24"/>
        </w:rPr>
      </w:pPr>
      <w:r w:rsidRPr="00927B43">
        <w:rPr>
          <w:sz w:val="24"/>
          <w:szCs w:val="24"/>
        </w:rPr>
        <w:t>I de kliniske studier blev der rapporteret om én overdosis, hvor en patient indtog 5 000 mg eltrombopag. De rapporterede bivirkninger omfattede et mildt udslæt, forbigående bradykardi, ALAT- og ASAT-forhøjelser samt træthed. Leverenzymer, målt mellem dag 2 og 18 efter indtagelsen, nåede sit maksimum ved 1,6 gange den øvre normalgrænse i ASAT, 3,9 gange den øvre normalgrænse i ALAT og 2,4 gange den øvre normalgrænse i samlet bilirubin. Trombocyttallet var 672 000 pr. μl på dag 18 efter indtagelsen, og det maksimale trombocyttal var 929 000 pr. μl. Alle hændelser forsvandt uden komplikationer efter behandlingen.</w:t>
      </w:r>
    </w:p>
    <w:p w14:paraId="78089990" w14:textId="77777777" w:rsidR="00927B43" w:rsidRPr="00927B43" w:rsidRDefault="00927B43" w:rsidP="00927B43">
      <w:pPr>
        <w:tabs>
          <w:tab w:val="left" w:pos="851"/>
        </w:tabs>
        <w:ind w:left="851"/>
        <w:rPr>
          <w:sz w:val="24"/>
          <w:szCs w:val="24"/>
        </w:rPr>
      </w:pPr>
    </w:p>
    <w:p w14:paraId="7CF8246B" w14:textId="77777777" w:rsidR="00927B43" w:rsidRPr="00927B43" w:rsidRDefault="00927B43" w:rsidP="00927B43">
      <w:pPr>
        <w:tabs>
          <w:tab w:val="left" w:pos="851"/>
        </w:tabs>
        <w:ind w:left="851"/>
        <w:rPr>
          <w:sz w:val="24"/>
          <w:szCs w:val="24"/>
        </w:rPr>
      </w:pPr>
      <w:r w:rsidRPr="00927B43">
        <w:rPr>
          <w:sz w:val="24"/>
          <w:szCs w:val="24"/>
        </w:rPr>
        <w:t>Da eltrombopag ikke udskilles i signifikant grad gennem nyrerne, og i høj grad er bundet til plasmaproteiner, forventes hæmodialyse ikke at være en effektiv metode til at forbedre udskillelsen af eltrombopag.</w:t>
      </w:r>
    </w:p>
    <w:p w14:paraId="4F84A9E5" w14:textId="77777777" w:rsidR="009260DE" w:rsidRPr="00C84483" w:rsidRDefault="009260DE" w:rsidP="009260DE">
      <w:pPr>
        <w:tabs>
          <w:tab w:val="left" w:pos="851"/>
        </w:tabs>
        <w:ind w:left="851"/>
        <w:rPr>
          <w:sz w:val="24"/>
          <w:szCs w:val="24"/>
        </w:rPr>
      </w:pPr>
    </w:p>
    <w:p w14:paraId="2F76A4F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5A2507E" w14:textId="587E370D" w:rsidR="009260DE" w:rsidRPr="00C84483" w:rsidRDefault="00D54FFA" w:rsidP="009260DE">
      <w:pPr>
        <w:tabs>
          <w:tab w:val="left" w:pos="851"/>
        </w:tabs>
        <w:ind w:left="851"/>
        <w:rPr>
          <w:sz w:val="24"/>
          <w:szCs w:val="24"/>
        </w:rPr>
      </w:pPr>
      <w:r>
        <w:rPr>
          <w:sz w:val="24"/>
          <w:szCs w:val="24"/>
        </w:rPr>
        <w:t>BEGR (kun til sygehuse)</w:t>
      </w:r>
    </w:p>
    <w:p w14:paraId="6EF6F2A6" w14:textId="77777777" w:rsidR="009260DE" w:rsidRPr="00C84483" w:rsidRDefault="009260DE" w:rsidP="009260DE">
      <w:pPr>
        <w:tabs>
          <w:tab w:val="left" w:pos="851"/>
        </w:tabs>
        <w:ind w:left="851"/>
        <w:rPr>
          <w:sz w:val="24"/>
          <w:szCs w:val="24"/>
        </w:rPr>
      </w:pPr>
    </w:p>
    <w:p w14:paraId="12C7B455" w14:textId="77777777" w:rsidR="009260DE" w:rsidRPr="00C84483" w:rsidRDefault="009260DE" w:rsidP="009260DE">
      <w:pPr>
        <w:tabs>
          <w:tab w:val="left" w:pos="851"/>
        </w:tabs>
        <w:ind w:left="851"/>
        <w:rPr>
          <w:sz w:val="24"/>
          <w:szCs w:val="24"/>
        </w:rPr>
      </w:pPr>
    </w:p>
    <w:p w14:paraId="125DD54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4CAF72E" w14:textId="77777777" w:rsidR="009260DE" w:rsidRPr="00C84483" w:rsidRDefault="009260DE" w:rsidP="009260DE">
      <w:pPr>
        <w:tabs>
          <w:tab w:val="left" w:pos="851"/>
        </w:tabs>
        <w:ind w:left="851"/>
        <w:rPr>
          <w:sz w:val="24"/>
          <w:szCs w:val="24"/>
        </w:rPr>
      </w:pPr>
    </w:p>
    <w:p w14:paraId="69796E0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9D8D7AB" w14:textId="6DA12728" w:rsidR="00927B43" w:rsidRPr="00D54FFA" w:rsidRDefault="00927B43" w:rsidP="00D54FFA">
      <w:pPr>
        <w:autoSpaceDE w:val="0"/>
        <w:autoSpaceDN w:val="0"/>
        <w:adjustRightInd w:val="0"/>
        <w:ind w:left="851"/>
        <w:rPr>
          <w:sz w:val="24"/>
          <w:szCs w:val="24"/>
        </w:rPr>
      </w:pPr>
      <w:r w:rsidRPr="00D54FFA">
        <w:rPr>
          <w:sz w:val="24"/>
          <w:szCs w:val="24"/>
        </w:rPr>
        <w:t>Farmakoterapeutisk klassifikation: Anti-hæmoragisk middel, ATC-kode: B02BX05.</w:t>
      </w:r>
    </w:p>
    <w:p w14:paraId="08FAF498" w14:textId="77777777" w:rsidR="00927B43" w:rsidRPr="00D54FFA" w:rsidRDefault="00927B43" w:rsidP="00D54FFA">
      <w:pPr>
        <w:autoSpaceDE w:val="0"/>
        <w:autoSpaceDN w:val="0"/>
        <w:adjustRightInd w:val="0"/>
        <w:ind w:left="851"/>
        <w:rPr>
          <w:sz w:val="24"/>
          <w:szCs w:val="24"/>
          <w:highlight w:val="green"/>
          <w:u w:val="single"/>
        </w:rPr>
      </w:pPr>
    </w:p>
    <w:p w14:paraId="1E86297D"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Virkningsmekanisme</w:t>
      </w:r>
    </w:p>
    <w:p w14:paraId="3A35A0E3" w14:textId="77777777" w:rsidR="00927B43" w:rsidRPr="00D54FFA" w:rsidRDefault="00927B43" w:rsidP="00D54FFA">
      <w:pPr>
        <w:autoSpaceDE w:val="0"/>
        <w:autoSpaceDN w:val="0"/>
        <w:adjustRightInd w:val="0"/>
        <w:ind w:left="851"/>
        <w:rPr>
          <w:sz w:val="24"/>
          <w:szCs w:val="24"/>
        </w:rPr>
      </w:pPr>
      <w:r w:rsidRPr="00D54FFA">
        <w:rPr>
          <w:sz w:val="24"/>
          <w:szCs w:val="24"/>
        </w:rPr>
        <w:t>TPO, der er den endogene ligand for TPO-R, er det vigtigste cytokin, der indgår i reguleringen af megakaryopoiesen og produktionen af trombocytter. Eltrombopag interagerer med det transmembrane område af den humane TPO-R og initierer en signaleringskaskade. Denne signaleringskaskade ligner, men er ikke identisk med, signalkaskaden for det endogene TPO inklusive proliferation og differentiering fra knoglemarvens stamceller.</w:t>
      </w:r>
    </w:p>
    <w:p w14:paraId="366A0247" w14:textId="77777777" w:rsidR="00927B43" w:rsidRPr="00D54FFA" w:rsidRDefault="00927B43" w:rsidP="00D54FFA">
      <w:pPr>
        <w:autoSpaceDE w:val="0"/>
        <w:autoSpaceDN w:val="0"/>
        <w:adjustRightInd w:val="0"/>
        <w:ind w:left="851"/>
        <w:rPr>
          <w:sz w:val="24"/>
          <w:szCs w:val="24"/>
          <w:highlight w:val="green"/>
        </w:rPr>
      </w:pPr>
    </w:p>
    <w:p w14:paraId="1BE62128"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Klinisk virkning og sikkerhed</w:t>
      </w:r>
    </w:p>
    <w:p w14:paraId="6692BA52" w14:textId="77777777" w:rsidR="00927B43" w:rsidRPr="00D54FFA" w:rsidRDefault="00927B43" w:rsidP="00D54FFA">
      <w:pPr>
        <w:autoSpaceDE w:val="0"/>
        <w:autoSpaceDN w:val="0"/>
        <w:adjustRightInd w:val="0"/>
        <w:ind w:left="851"/>
        <w:rPr>
          <w:sz w:val="24"/>
          <w:szCs w:val="24"/>
          <w:highlight w:val="green"/>
          <w:u w:val="single"/>
        </w:rPr>
      </w:pPr>
    </w:p>
    <w:p w14:paraId="2602BDDF"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Studier med immun (primær) trombocytopeni (ITP)</w:t>
      </w:r>
    </w:p>
    <w:p w14:paraId="386D8542" w14:textId="77777777" w:rsidR="00927B43" w:rsidRPr="00D54FFA" w:rsidRDefault="00927B43" w:rsidP="00D54FFA">
      <w:pPr>
        <w:autoSpaceDE w:val="0"/>
        <w:autoSpaceDN w:val="0"/>
        <w:adjustRightInd w:val="0"/>
        <w:ind w:left="851"/>
        <w:rPr>
          <w:sz w:val="24"/>
          <w:szCs w:val="24"/>
        </w:rPr>
      </w:pPr>
      <w:r w:rsidRPr="00D54FFA">
        <w:rPr>
          <w:sz w:val="24"/>
          <w:szCs w:val="24"/>
        </w:rPr>
        <w:t>Sikkerheden af og effekten ved eltrombopag er vurderet i to randomiserede, dobbeltblindede og placebokontrollerede fase III-studier; RAISE (TRA102537) og TRA100773B samt i to ublindede studier; REPEAT (TRA108057) og EXTEND (TRA105325). Studierne er udført med voksne patienter med tidligere behandlet ITP. Samlet set blev eltrombopag givet til 277 ITP-patienter i mindst 6 måneder og 202 patienter i mindst 1 år. Fase II enkeltgruppestudiet TAPER (CETB115J2411) evaluerede sikkerhed og effekt af eltrombopag og dets evne til at inducere vedvarende respons efter seponering af behandlingen i 105 voksne ITP-patienter med recidiv eller manglende respons på førstelinje kortikosteroidbehandling.</w:t>
      </w:r>
    </w:p>
    <w:p w14:paraId="5C9E060C" w14:textId="77777777" w:rsidR="00927B43" w:rsidRPr="00D54FFA" w:rsidRDefault="00927B43" w:rsidP="00D54FFA">
      <w:pPr>
        <w:autoSpaceDE w:val="0"/>
        <w:autoSpaceDN w:val="0"/>
        <w:adjustRightInd w:val="0"/>
        <w:ind w:left="851"/>
        <w:rPr>
          <w:sz w:val="24"/>
          <w:szCs w:val="24"/>
          <w:highlight w:val="green"/>
        </w:rPr>
      </w:pPr>
    </w:p>
    <w:p w14:paraId="355AE8BB" w14:textId="77777777" w:rsidR="00927B43" w:rsidRPr="00D54FFA" w:rsidRDefault="00927B43" w:rsidP="00D54FFA">
      <w:pPr>
        <w:autoSpaceDE w:val="0"/>
        <w:autoSpaceDN w:val="0"/>
        <w:adjustRightInd w:val="0"/>
        <w:ind w:left="851"/>
        <w:rPr>
          <w:i/>
          <w:iCs/>
          <w:sz w:val="24"/>
          <w:szCs w:val="24"/>
        </w:rPr>
      </w:pPr>
      <w:r w:rsidRPr="00D54FFA">
        <w:rPr>
          <w:i/>
          <w:iCs/>
          <w:sz w:val="24"/>
          <w:szCs w:val="24"/>
        </w:rPr>
        <w:t>Dobbeltblindede, placebokontrollerede studier</w:t>
      </w:r>
    </w:p>
    <w:p w14:paraId="652D900C" w14:textId="77777777" w:rsidR="00D54FFA" w:rsidRDefault="00D54FFA" w:rsidP="00D54FFA">
      <w:pPr>
        <w:autoSpaceDE w:val="0"/>
        <w:autoSpaceDN w:val="0"/>
        <w:adjustRightInd w:val="0"/>
        <w:ind w:left="851"/>
        <w:rPr>
          <w:sz w:val="24"/>
          <w:szCs w:val="24"/>
        </w:rPr>
      </w:pPr>
    </w:p>
    <w:p w14:paraId="7B9F16C3" w14:textId="5A680FA8" w:rsidR="00927B43" w:rsidRPr="00D54FFA" w:rsidRDefault="00927B43" w:rsidP="00D54FFA">
      <w:pPr>
        <w:autoSpaceDE w:val="0"/>
        <w:autoSpaceDN w:val="0"/>
        <w:adjustRightInd w:val="0"/>
        <w:ind w:left="851"/>
        <w:rPr>
          <w:sz w:val="24"/>
          <w:szCs w:val="24"/>
        </w:rPr>
      </w:pPr>
      <w:r w:rsidRPr="00D54FFA">
        <w:rPr>
          <w:sz w:val="24"/>
          <w:szCs w:val="24"/>
        </w:rPr>
        <w:t xml:space="preserve">RAISE: </w:t>
      </w:r>
    </w:p>
    <w:p w14:paraId="213925F6" w14:textId="77777777" w:rsidR="00927B43" w:rsidRPr="00D54FFA" w:rsidRDefault="00927B43" w:rsidP="00D54FFA">
      <w:pPr>
        <w:autoSpaceDE w:val="0"/>
        <w:autoSpaceDN w:val="0"/>
        <w:adjustRightInd w:val="0"/>
        <w:ind w:left="851"/>
        <w:rPr>
          <w:sz w:val="24"/>
          <w:szCs w:val="24"/>
        </w:rPr>
      </w:pPr>
      <w:r w:rsidRPr="00D54FFA">
        <w:rPr>
          <w:sz w:val="24"/>
          <w:szCs w:val="24"/>
        </w:rPr>
        <w:t>197 ITP-patienter blev randomiseret i forholdet 2:1, eltrombopag (n = 135) mod placebo (n = 62). Patienterne blev randomiseret på baggrund af splenektomi-status, om de tog ITP-lægemidler ved udgangsniveauet og trombocyttallet ved udgangsniveauet. Eltrombopag-dosis blev justeret i løbet af behandlingsperioden på 6 måneder ud fra den enkeltes trombocyttal. Alle patienter begyndte med 50 mg eltrombopag. Fra dag 29 og til afslutningen af behandlingen blev 15-28 % af de patienter, der blev behandlet med eltrombopag fastholdt på ≤ 25 mg og 29-53 % på 75 mg.</w:t>
      </w:r>
    </w:p>
    <w:p w14:paraId="2872103B" w14:textId="77777777" w:rsidR="00927B43" w:rsidRPr="00D54FFA" w:rsidRDefault="00927B43" w:rsidP="00D54FFA">
      <w:pPr>
        <w:autoSpaceDE w:val="0"/>
        <w:autoSpaceDN w:val="0"/>
        <w:adjustRightInd w:val="0"/>
        <w:ind w:left="851"/>
        <w:rPr>
          <w:sz w:val="24"/>
          <w:szCs w:val="24"/>
          <w:highlight w:val="green"/>
        </w:rPr>
      </w:pPr>
    </w:p>
    <w:p w14:paraId="3AE57450" w14:textId="77777777" w:rsidR="00927B43" w:rsidRPr="00D54FFA" w:rsidRDefault="00927B43" w:rsidP="00D54FFA">
      <w:pPr>
        <w:autoSpaceDE w:val="0"/>
        <w:autoSpaceDN w:val="0"/>
        <w:adjustRightInd w:val="0"/>
        <w:ind w:left="851"/>
        <w:rPr>
          <w:sz w:val="24"/>
          <w:szCs w:val="24"/>
        </w:rPr>
      </w:pPr>
      <w:r w:rsidRPr="00D54FFA">
        <w:rPr>
          <w:sz w:val="24"/>
          <w:szCs w:val="24"/>
        </w:rPr>
        <w:t>Endvidere kunne patienterne trappe deres anden ITP-medicin ned og modtog ”rescue”-medicin ud fra den lokale standardbehandling. Mere end halvdelen af alle patienter i hver behandlingsgruppe havde tidligere fået ≥ 3 ITP-behandlinger, og 36 % af patienterne var tidligere splenektomererede.</w:t>
      </w:r>
    </w:p>
    <w:p w14:paraId="0FABE27A" w14:textId="77777777" w:rsidR="00927B43" w:rsidRPr="00D54FFA" w:rsidRDefault="00927B43" w:rsidP="00D54FFA">
      <w:pPr>
        <w:autoSpaceDE w:val="0"/>
        <w:autoSpaceDN w:val="0"/>
        <w:adjustRightInd w:val="0"/>
        <w:ind w:left="851"/>
        <w:rPr>
          <w:sz w:val="24"/>
          <w:szCs w:val="24"/>
        </w:rPr>
      </w:pPr>
    </w:p>
    <w:p w14:paraId="501C2BC0" w14:textId="77777777" w:rsidR="00927B43" w:rsidRPr="00D54FFA" w:rsidRDefault="00927B43" w:rsidP="00D54FFA">
      <w:pPr>
        <w:autoSpaceDE w:val="0"/>
        <w:autoSpaceDN w:val="0"/>
        <w:adjustRightInd w:val="0"/>
        <w:ind w:left="851"/>
        <w:rPr>
          <w:sz w:val="24"/>
          <w:szCs w:val="24"/>
        </w:rPr>
      </w:pPr>
      <w:r w:rsidRPr="00D54FFA">
        <w:rPr>
          <w:sz w:val="24"/>
          <w:szCs w:val="24"/>
        </w:rPr>
        <w:t>Mediantrombocyttallet ved udgangsniveauet var 16 000 pr. μl i begge behandlingsgrupper, og i eltrombopag-gruppen blev mediantrombocyttallet fastholdt over 50 000 pr. μl ved alle besøg fra dag 15; i modsætning hertil forblev mediantrombocyttallet i placebogruppen &lt; 30 000 pr. μl gennem hele studiet.</w:t>
      </w:r>
    </w:p>
    <w:p w14:paraId="63C73EE3" w14:textId="77777777" w:rsidR="00927B43" w:rsidRPr="00D54FFA" w:rsidRDefault="00927B43" w:rsidP="00D54FFA">
      <w:pPr>
        <w:autoSpaceDE w:val="0"/>
        <w:autoSpaceDN w:val="0"/>
        <w:adjustRightInd w:val="0"/>
        <w:ind w:left="851"/>
        <w:rPr>
          <w:sz w:val="24"/>
          <w:szCs w:val="24"/>
        </w:rPr>
      </w:pPr>
    </w:p>
    <w:p w14:paraId="6DC47802" w14:textId="77777777" w:rsidR="00927B43" w:rsidRPr="00D54FFA" w:rsidRDefault="00927B43" w:rsidP="00D54FFA">
      <w:pPr>
        <w:autoSpaceDE w:val="0"/>
        <w:autoSpaceDN w:val="0"/>
        <w:adjustRightInd w:val="0"/>
        <w:ind w:left="851"/>
        <w:rPr>
          <w:sz w:val="24"/>
          <w:szCs w:val="24"/>
        </w:rPr>
      </w:pPr>
      <w:r w:rsidRPr="00D54FFA">
        <w:rPr>
          <w:sz w:val="24"/>
          <w:szCs w:val="24"/>
        </w:rPr>
        <w:t>Et trombocyttalrespons mellem 50 000 - 400 000 pr. μl uden ”rescue”-behandling, blev opnået hos signifikant flere patienter i eltrombopag-behandlingsgruppen i den 6 måneder lange behandlingsperiode (p &lt; 0,001). 54 % af patienterne, der blev behandlet med eltrombopag, og 13 % af de placebobehandlede patienter nåede dette responsniveau efter 6 ugers behandling. Et lignende trombocytrespons blev bibeholdt i hele studieperioden, svarende til at 52 % og 16 % af patienterne responderede ved afslutningen af den 6 måneders lange behandlingsperiode.</w:t>
      </w:r>
    </w:p>
    <w:p w14:paraId="253CD3FF" w14:textId="77777777" w:rsidR="00927B43" w:rsidRPr="00D54FFA" w:rsidRDefault="00927B43" w:rsidP="00D54FFA">
      <w:pPr>
        <w:autoSpaceDE w:val="0"/>
        <w:autoSpaceDN w:val="0"/>
        <w:adjustRightInd w:val="0"/>
        <w:ind w:left="851"/>
        <w:jc w:val="both"/>
        <w:rPr>
          <w:sz w:val="24"/>
          <w:szCs w:val="24"/>
          <w:highlight w:val="green"/>
        </w:rPr>
      </w:pPr>
    </w:p>
    <w:p w14:paraId="299DAD70" w14:textId="77777777" w:rsidR="00927B43" w:rsidRDefault="00927B43" w:rsidP="00927B43">
      <w:pPr>
        <w:rPr>
          <w:b/>
          <w:bCs/>
          <w:highlight w:val="green"/>
        </w:rPr>
      </w:pPr>
      <w:r>
        <w:rPr>
          <w:b/>
          <w:bCs/>
        </w:rPr>
        <w:t>Tabel 3     Sekundære effektresultater fra RAISE</w:t>
      </w:r>
      <w:r>
        <w:rPr>
          <w:b/>
          <w:bCs/>
          <w:highlight w:val="green"/>
        </w:rPr>
        <w:t xml:space="preserve"> </w:t>
      </w:r>
    </w:p>
    <w:p w14:paraId="21136653" w14:textId="77777777" w:rsidR="00927B43" w:rsidRDefault="00927B43" w:rsidP="00927B43">
      <w:pPr>
        <w:rPr>
          <w:b/>
          <w:bCs/>
          <w:highlight w:val="green"/>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7"/>
        <w:gridCol w:w="1592"/>
        <w:gridCol w:w="1546"/>
      </w:tblGrid>
      <w:tr w:rsidR="00927B43" w14:paraId="008171DC" w14:textId="77777777" w:rsidTr="00927B43">
        <w:trPr>
          <w:trHeight w:hRule="exact" w:val="516"/>
        </w:trPr>
        <w:tc>
          <w:tcPr>
            <w:tcW w:w="5936" w:type="dxa"/>
            <w:tcBorders>
              <w:top w:val="single" w:sz="4" w:space="0" w:color="000000"/>
              <w:left w:val="single" w:sz="4" w:space="0" w:color="000000"/>
              <w:bottom w:val="single" w:sz="4" w:space="0" w:color="000000"/>
              <w:right w:val="single" w:sz="4" w:space="0" w:color="000000"/>
            </w:tcBorders>
          </w:tcPr>
          <w:p w14:paraId="00494051" w14:textId="77777777" w:rsidR="00927B43" w:rsidRDefault="00927B43">
            <w:pPr>
              <w:rPr>
                <w:rFonts w:asciiTheme="minorHAnsi" w:hAnsiTheme="minorHAnsi" w:cstheme="minorBidi"/>
                <w:highlight w:val="green"/>
              </w:rPr>
            </w:pPr>
          </w:p>
        </w:tc>
        <w:tc>
          <w:tcPr>
            <w:tcW w:w="1591" w:type="dxa"/>
            <w:tcBorders>
              <w:top w:val="single" w:sz="4" w:space="0" w:color="000000"/>
              <w:left w:val="single" w:sz="4" w:space="0" w:color="000000"/>
              <w:bottom w:val="single" w:sz="4" w:space="0" w:color="000000"/>
              <w:right w:val="single" w:sz="4" w:space="0" w:color="000000"/>
            </w:tcBorders>
            <w:hideMark/>
          </w:tcPr>
          <w:p w14:paraId="153525D1" w14:textId="77777777" w:rsidR="00927B43" w:rsidRDefault="00927B43">
            <w:pPr>
              <w:pStyle w:val="TableParagraph"/>
              <w:spacing w:line="240" w:lineRule="auto"/>
              <w:ind w:left="516" w:hanging="269"/>
              <w:rPr>
                <w:lang w:val="da-DK"/>
              </w:rPr>
            </w:pPr>
            <w:r>
              <w:rPr>
                <w:lang w:val="da-DK"/>
              </w:rPr>
              <w:t>Eltrombopag N=135</w:t>
            </w:r>
          </w:p>
        </w:tc>
        <w:tc>
          <w:tcPr>
            <w:tcW w:w="1545" w:type="dxa"/>
            <w:tcBorders>
              <w:top w:val="single" w:sz="4" w:space="0" w:color="000000"/>
              <w:left w:val="single" w:sz="4" w:space="0" w:color="000000"/>
              <w:bottom w:val="single" w:sz="4" w:space="0" w:color="000000"/>
              <w:right w:val="single" w:sz="4" w:space="0" w:color="000000"/>
            </w:tcBorders>
            <w:hideMark/>
          </w:tcPr>
          <w:p w14:paraId="32F873DB" w14:textId="77777777" w:rsidR="00927B43" w:rsidRDefault="00927B43">
            <w:pPr>
              <w:pStyle w:val="TableParagraph"/>
              <w:spacing w:line="240" w:lineRule="auto"/>
              <w:ind w:left="417" w:hanging="96"/>
              <w:rPr>
                <w:lang w:val="da-DK"/>
              </w:rPr>
            </w:pPr>
            <w:r>
              <w:rPr>
                <w:lang w:val="da-DK"/>
              </w:rPr>
              <w:t>Placebo N=62</w:t>
            </w:r>
          </w:p>
        </w:tc>
      </w:tr>
      <w:tr w:rsidR="00927B43" w14:paraId="0588E53A" w14:textId="77777777" w:rsidTr="00927B43">
        <w:trPr>
          <w:trHeight w:val="264"/>
        </w:trPr>
        <w:tc>
          <w:tcPr>
            <w:tcW w:w="9072" w:type="dxa"/>
            <w:gridSpan w:val="3"/>
            <w:tcBorders>
              <w:top w:val="single" w:sz="4" w:space="0" w:color="000000"/>
              <w:left w:val="single" w:sz="4" w:space="0" w:color="000000"/>
              <w:bottom w:val="single" w:sz="4" w:space="0" w:color="000000"/>
              <w:right w:val="single" w:sz="4" w:space="0" w:color="000000"/>
            </w:tcBorders>
            <w:hideMark/>
          </w:tcPr>
          <w:p w14:paraId="00F9ADB0" w14:textId="77777777" w:rsidR="00927B43" w:rsidRDefault="00927B43">
            <w:pPr>
              <w:pStyle w:val="TableParagraph"/>
              <w:spacing w:line="240" w:lineRule="auto"/>
              <w:rPr>
                <w:highlight w:val="green"/>
                <w:lang w:val="da-DK"/>
              </w:rPr>
            </w:pPr>
            <w:r>
              <w:rPr>
                <w:lang w:val="da-DK"/>
              </w:rPr>
              <w:t>De væsentligste sekundære endepunkter</w:t>
            </w:r>
          </w:p>
        </w:tc>
      </w:tr>
      <w:tr w:rsidR="00927B43" w14:paraId="7BC79FA0" w14:textId="77777777" w:rsidTr="00927B43">
        <w:trPr>
          <w:trHeight w:hRule="exact" w:val="533"/>
        </w:trPr>
        <w:tc>
          <w:tcPr>
            <w:tcW w:w="5936" w:type="dxa"/>
            <w:tcBorders>
              <w:top w:val="single" w:sz="4" w:space="0" w:color="000000"/>
              <w:left w:val="single" w:sz="4" w:space="0" w:color="000000"/>
              <w:bottom w:val="single" w:sz="4" w:space="0" w:color="000000"/>
              <w:right w:val="single" w:sz="4" w:space="0" w:color="000000"/>
            </w:tcBorders>
            <w:hideMark/>
          </w:tcPr>
          <w:p w14:paraId="6FCE8817" w14:textId="77777777" w:rsidR="00927B43" w:rsidRDefault="00927B43">
            <w:pPr>
              <w:pStyle w:val="TableParagraph"/>
              <w:spacing w:line="240" w:lineRule="auto"/>
              <w:rPr>
                <w:lang w:val="da-DK"/>
              </w:rPr>
            </w:pPr>
            <w:r>
              <w:rPr>
                <w:lang w:val="da-DK"/>
              </w:rPr>
              <w:t>Antal kumulative uger med trombocyttal på ≥ 50 000 - 400 000 pr. μl, middelværdi (standardafvigelse)</w:t>
            </w:r>
          </w:p>
        </w:tc>
        <w:tc>
          <w:tcPr>
            <w:tcW w:w="1591" w:type="dxa"/>
            <w:tcBorders>
              <w:top w:val="single" w:sz="4" w:space="0" w:color="000000"/>
              <w:left w:val="single" w:sz="4" w:space="0" w:color="000000"/>
              <w:bottom w:val="single" w:sz="4" w:space="0" w:color="000000"/>
              <w:right w:val="single" w:sz="4" w:space="0" w:color="000000"/>
            </w:tcBorders>
            <w:hideMark/>
          </w:tcPr>
          <w:p w14:paraId="6147DDC0" w14:textId="77777777" w:rsidR="00927B43" w:rsidRDefault="00927B43">
            <w:pPr>
              <w:pStyle w:val="TableParagraph"/>
              <w:spacing w:before="128" w:line="240" w:lineRule="auto"/>
              <w:ind w:left="317"/>
              <w:jc w:val="center"/>
              <w:rPr>
                <w:lang w:val="da-DK"/>
              </w:rPr>
            </w:pPr>
            <w:r>
              <w:rPr>
                <w:lang w:val="da-DK"/>
              </w:rPr>
              <w:t>11,3 (9,46)</w:t>
            </w:r>
          </w:p>
        </w:tc>
        <w:tc>
          <w:tcPr>
            <w:tcW w:w="1545" w:type="dxa"/>
            <w:tcBorders>
              <w:top w:val="single" w:sz="4" w:space="0" w:color="000000"/>
              <w:left w:val="single" w:sz="4" w:space="0" w:color="000000"/>
              <w:bottom w:val="single" w:sz="4" w:space="0" w:color="000000"/>
              <w:right w:val="single" w:sz="4" w:space="0" w:color="000000"/>
            </w:tcBorders>
            <w:hideMark/>
          </w:tcPr>
          <w:p w14:paraId="1D12F82D" w14:textId="77777777" w:rsidR="00927B43" w:rsidRDefault="00927B43">
            <w:pPr>
              <w:pStyle w:val="TableParagraph"/>
              <w:spacing w:before="128" w:line="240" w:lineRule="auto"/>
              <w:ind w:left="218"/>
              <w:jc w:val="center"/>
              <w:rPr>
                <w:lang w:val="da-DK"/>
              </w:rPr>
            </w:pPr>
            <w:r>
              <w:rPr>
                <w:lang w:val="da-DK"/>
              </w:rPr>
              <w:t>2,4 (5,95)</w:t>
            </w:r>
          </w:p>
        </w:tc>
      </w:tr>
      <w:tr w:rsidR="00927B43" w14:paraId="0E41DF53" w14:textId="77777777" w:rsidTr="00927B43">
        <w:trPr>
          <w:trHeight w:hRule="exact" w:val="262"/>
        </w:trPr>
        <w:tc>
          <w:tcPr>
            <w:tcW w:w="5936" w:type="dxa"/>
            <w:vMerge w:val="restart"/>
            <w:tcBorders>
              <w:top w:val="single" w:sz="4" w:space="0" w:color="000000"/>
              <w:left w:val="single" w:sz="4" w:space="0" w:color="000000"/>
              <w:bottom w:val="single" w:sz="4" w:space="0" w:color="000000"/>
              <w:right w:val="single" w:sz="4" w:space="0" w:color="000000"/>
            </w:tcBorders>
            <w:hideMark/>
          </w:tcPr>
          <w:p w14:paraId="3443AFB1" w14:textId="77777777" w:rsidR="00927B43" w:rsidRDefault="00927B43">
            <w:pPr>
              <w:pStyle w:val="TableParagraph"/>
              <w:spacing w:line="240" w:lineRule="auto"/>
              <w:rPr>
                <w:lang w:val="da-DK"/>
              </w:rPr>
            </w:pPr>
            <w:r>
              <w:rPr>
                <w:lang w:val="da-DK"/>
              </w:rPr>
              <w:t>Patienter med ≥ 75 % af målingerne i det tilsigtede interval (50 000 - 400 000 pr. μl), n (%)</w:t>
            </w:r>
          </w:p>
          <w:p w14:paraId="23B7E8CD" w14:textId="77777777" w:rsidR="00927B43" w:rsidRDefault="00927B43">
            <w:pPr>
              <w:pStyle w:val="TableParagraph"/>
              <w:spacing w:before="6" w:line="240" w:lineRule="auto"/>
              <w:ind w:left="669"/>
              <w:rPr>
                <w:sz w:val="14"/>
                <w:lang w:val="da-DK"/>
              </w:rPr>
            </w:pPr>
            <w:r>
              <w:rPr>
                <w:i/>
                <w:lang w:val="da-DK"/>
              </w:rPr>
              <w:t>p-</w:t>
            </w:r>
            <w:r>
              <w:rPr>
                <w:lang w:val="da-DK"/>
              </w:rPr>
              <w:t xml:space="preserve">værdi </w:t>
            </w:r>
            <w:r>
              <w:rPr>
                <w:position w:val="8"/>
                <w:sz w:val="14"/>
                <w:lang w:val="da-DK"/>
              </w:rPr>
              <w:t>a</w:t>
            </w:r>
          </w:p>
        </w:tc>
        <w:tc>
          <w:tcPr>
            <w:tcW w:w="1591" w:type="dxa"/>
            <w:tcBorders>
              <w:top w:val="single" w:sz="4" w:space="0" w:color="000000"/>
              <w:left w:val="single" w:sz="4" w:space="0" w:color="000000"/>
              <w:bottom w:val="single" w:sz="4" w:space="0" w:color="000000"/>
              <w:right w:val="single" w:sz="4" w:space="0" w:color="000000"/>
            </w:tcBorders>
            <w:hideMark/>
          </w:tcPr>
          <w:p w14:paraId="616ACF98" w14:textId="77777777" w:rsidR="00927B43" w:rsidRDefault="00927B43">
            <w:pPr>
              <w:pStyle w:val="TableParagraph"/>
              <w:spacing w:line="240" w:lineRule="auto"/>
              <w:ind w:left="317"/>
              <w:jc w:val="center"/>
              <w:rPr>
                <w:lang w:val="da-DK"/>
              </w:rPr>
            </w:pPr>
            <w:r>
              <w:rPr>
                <w:lang w:val="da-DK"/>
              </w:rPr>
              <w:t>51 (38)</w:t>
            </w:r>
          </w:p>
        </w:tc>
        <w:tc>
          <w:tcPr>
            <w:tcW w:w="1545" w:type="dxa"/>
            <w:tcBorders>
              <w:top w:val="single" w:sz="4" w:space="0" w:color="000000"/>
              <w:left w:val="single" w:sz="4" w:space="0" w:color="000000"/>
              <w:bottom w:val="single" w:sz="4" w:space="0" w:color="000000"/>
              <w:right w:val="single" w:sz="4" w:space="0" w:color="000000"/>
            </w:tcBorders>
            <w:hideMark/>
          </w:tcPr>
          <w:p w14:paraId="59AAF33A" w14:textId="77777777" w:rsidR="00927B43" w:rsidRDefault="00927B43">
            <w:pPr>
              <w:pStyle w:val="TableParagraph"/>
              <w:spacing w:line="240" w:lineRule="auto"/>
              <w:ind w:left="218"/>
              <w:jc w:val="center"/>
              <w:rPr>
                <w:lang w:val="da-DK"/>
              </w:rPr>
            </w:pPr>
            <w:r>
              <w:rPr>
                <w:lang w:val="da-DK"/>
              </w:rPr>
              <w:t>4 (7)</w:t>
            </w:r>
          </w:p>
        </w:tc>
      </w:tr>
      <w:tr w:rsidR="00927B43" w14:paraId="46DB7172" w14:textId="77777777" w:rsidTr="00927B43">
        <w:trPr>
          <w:trHeight w:val="523"/>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14:paraId="1021322C" w14:textId="77777777" w:rsidR="00927B43" w:rsidRDefault="00927B43">
            <w:pPr>
              <w:rPr>
                <w:sz w:val="14"/>
                <w:szCs w:val="22"/>
              </w:rPr>
            </w:pPr>
          </w:p>
        </w:tc>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14:paraId="648E6C3E" w14:textId="77777777" w:rsidR="00927B43" w:rsidRDefault="00927B43">
            <w:pPr>
              <w:pStyle w:val="TableParagraph"/>
              <w:spacing w:before="126" w:line="240" w:lineRule="auto"/>
              <w:ind w:left="15"/>
              <w:jc w:val="center"/>
              <w:rPr>
                <w:lang w:val="da-DK"/>
              </w:rPr>
            </w:pPr>
            <w:r>
              <w:rPr>
                <w:lang w:val="da-DK"/>
              </w:rPr>
              <w:t>&lt;0,001</w:t>
            </w:r>
          </w:p>
        </w:tc>
      </w:tr>
      <w:tr w:rsidR="00927B43" w14:paraId="16C877AA" w14:textId="77777777" w:rsidTr="00927B43">
        <w:trPr>
          <w:trHeight w:hRule="exact" w:val="264"/>
        </w:trPr>
        <w:tc>
          <w:tcPr>
            <w:tcW w:w="5936" w:type="dxa"/>
            <w:vMerge w:val="restart"/>
            <w:tcBorders>
              <w:top w:val="single" w:sz="4" w:space="0" w:color="000000"/>
              <w:left w:val="single" w:sz="4" w:space="0" w:color="000000"/>
              <w:bottom w:val="single" w:sz="4" w:space="0" w:color="000000"/>
              <w:right w:val="single" w:sz="4" w:space="0" w:color="000000"/>
            </w:tcBorders>
            <w:hideMark/>
          </w:tcPr>
          <w:p w14:paraId="6B9C03F8" w14:textId="77777777" w:rsidR="00927B43" w:rsidRDefault="00927B43">
            <w:pPr>
              <w:pStyle w:val="TableParagraph"/>
              <w:spacing w:line="240" w:lineRule="auto"/>
              <w:rPr>
                <w:lang w:val="da-DK"/>
              </w:rPr>
            </w:pPr>
            <w:r>
              <w:rPr>
                <w:lang w:val="da-DK"/>
              </w:rPr>
              <w:t>Patienter med blødning (WHO niveau 1-4) på et tidspunkt i løbet af de 6 måneder, n (%)</w:t>
            </w:r>
          </w:p>
          <w:p w14:paraId="5B512DF7" w14:textId="77777777" w:rsidR="00927B43" w:rsidRDefault="00927B43">
            <w:pPr>
              <w:pStyle w:val="TableParagraph"/>
              <w:spacing w:before="6" w:line="240" w:lineRule="auto"/>
              <w:ind w:left="669"/>
              <w:rPr>
                <w:sz w:val="14"/>
                <w:lang w:val="da-DK"/>
              </w:rPr>
            </w:pPr>
            <w:r>
              <w:rPr>
                <w:i/>
                <w:lang w:val="da-DK"/>
              </w:rPr>
              <w:t>p-</w:t>
            </w:r>
            <w:r>
              <w:rPr>
                <w:lang w:val="da-DK"/>
              </w:rPr>
              <w:t xml:space="preserve"> værdi </w:t>
            </w:r>
            <w:r>
              <w:rPr>
                <w:position w:val="8"/>
                <w:sz w:val="14"/>
                <w:lang w:val="da-DK"/>
              </w:rPr>
              <w:t>a</w:t>
            </w:r>
          </w:p>
        </w:tc>
        <w:tc>
          <w:tcPr>
            <w:tcW w:w="1591" w:type="dxa"/>
            <w:tcBorders>
              <w:top w:val="single" w:sz="4" w:space="0" w:color="000000"/>
              <w:left w:val="single" w:sz="4" w:space="0" w:color="000000"/>
              <w:bottom w:val="single" w:sz="4" w:space="0" w:color="000000"/>
              <w:right w:val="single" w:sz="4" w:space="0" w:color="000000"/>
            </w:tcBorders>
            <w:hideMark/>
          </w:tcPr>
          <w:p w14:paraId="545D33B9" w14:textId="77777777" w:rsidR="00927B43" w:rsidRDefault="00927B43">
            <w:pPr>
              <w:pStyle w:val="TableParagraph"/>
              <w:spacing w:line="240" w:lineRule="auto"/>
              <w:ind w:left="317"/>
              <w:jc w:val="center"/>
              <w:rPr>
                <w:lang w:val="da-DK"/>
              </w:rPr>
            </w:pPr>
            <w:r>
              <w:rPr>
                <w:lang w:val="da-DK"/>
              </w:rPr>
              <w:t>106 (79)</w:t>
            </w:r>
          </w:p>
        </w:tc>
        <w:tc>
          <w:tcPr>
            <w:tcW w:w="1545" w:type="dxa"/>
            <w:tcBorders>
              <w:top w:val="single" w:sz="4" w:space="0" w:color="000000"/>
              <w:left w:val="single" w:sz="4" w:space="0" w:color="000000"/>
              <w:bottom w:val="single" w:sz="4" w:space="0" w:color="000000"/>
              <w:right w:val="single" w:sz="4" w:space="0" w:color="000000"/>
            </w:tcBorders>
            <w:hideMark/>
          </w:tcPr>
          <w:p w14:paraId="169615A1" w14:textId="77777777" w:rsidR="00927B43" w:rsidRDefault="00927B43">
            <w:pPr>
              <w:pStyle w:val="TableParagraph"/>
              <w:spacing w:line="240" w:lineRule="auto"/>
              <w:ind w:left="218"/>
              <w:jc w:val="center"/>
              <w:rPr>
                <w:lang w:val="da-DK"/>
              </w:rPr>
            </w:pPr>
            <w:r>
              <w:rPr>
                <w:lang w:val="da-DK"/>
              </w:rPr>
              <w:t>56 (93)</w:t>
            </w:r>
          </w:p>
        </w:tc>
      </w:tr>
      <w:tr w:rsidR="00927B43" w14:paraId="55C8C3B9" w14:textId="77777777" w:rsidTr="00927B43">
        <w:trPr>
          <w:trHeight w:val="504"/>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14:paraId="23A374C0" w14:textId="77777777" w:rsidR="00927B43" w:rsidRDefault="00927B43">
            <w:pPr>
              <w:rPr>
                <w:sz w:val="14"/>
                <w:szCs w:val="22"/>
              </w:rPr>
            </w:pPr>
          </w:p>
        </w:tc>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14:paraId="50C2A1DF" w14:textId="77777777" w:rsidR="00927B43" w:rsidRDefault="00927B43">
            <w:pPr>
              <w:pStyle w:val="TableParagraph"/>
              <w:spacing w:line="240" w:lineRule="auto"/>
              <w:ind w:left="15"/>
              <w:jc w:val="center"/>
              <w:rPr>
                <w:lang w:val="da-DK"/>
              </w:rPr>
            </w:pPr>
            <w:r>
              <w:rPr>
                <w:lang w:val="da-DK"/>
              </w:rPr>
              <w:t>0,012</w:t>
            </w:r>
          </w:p>
        </w:tc>
      </w:tr>
      <w:tr w:rsidR="00927B43" w14:paraId="64BC0C7C" w14:textId="77777777" w:rsidTr="00927B43">
        <w:trPr>
          <w:trHeight w:hRule="exact" w:val="265"/>
        </w:trPr>
        <w:tc>
          <w:tcPr>
            <w:tcW w:w="5936" w:type="dxa"/>
            <w:vMerge w:val="restart"/>
            <w:tcBorders>
              <w:top w:val="single" w:sz="4" w:space="0" w:color="000000"/>
              <w:left w:val="single" w:sz="4" w:space="0" w:color="000000"/>
              <w:bottom w:val="single" w:sz="4" w:space="0" w:color="000000"/>
              <w:right w:val="single" w:sz="4" w:space="0" w:color="000000"/>
            </w:tcBorders>
            <w:hideMark/>
          </w:tcPr>
          <w:p w14:paraId="120976A3" w14:textId="77777777" w:rsidR="00927B43" w:rsidRDefault="00927B43">
            <w:pPr>
              <w:pStyle w:val="TableParagraph"/>
              <w:spacing w:line="240" w:lineRule="auto"/>
              <w:rPr>
                <w:lang w:val="da-DK"/>
              </w:rPr>
            </w:pPr>
            <w:r>
              <w:rPr>
                <w:lang w:val="da-DK"/>
              </w:rPr>
              <w:t>Patienter med blødning (WHO niveau 2-4) på et tidspunkt i løbet af de 6 måneder, n (%)</w:t>
            </w:r>
          </w:p>
          <w:p w14:paraId="10190A4F" w14:textId="77777777" w:rsidR="00927B43" w:rsidRDefault="00927B43">
            <w:pPr>
              <w:pStyle w:val="TableParagraph"/>
              <w:spacing w:line="240" w:lineRule="auto"/>
              <w:ind w:left="669"/>
              <w:rPr>
                <w:sz w:val="14"/>
                <w:lang w:val="da-DK"/>
              </w:rPr>
            </w:pPr>
            <w:r>
              <w:rPr>
                <w:i/>
                <w:lang w:val="da-DK"/>
              </w:rPr>
              <w:t>p-</w:t>
            </w:r>
            <w:r>
              <w:rPr>
                <w:lang w:val="da-DK"/>
              </w:rPr>
              <w:t xml:space="preserve"> værdi </w:t>
            </w:r>
            <w:r>
              <w:rPr>
                <w:position w:val="8"/>
                <w:sz w:val="14"/>
                <w:lang w:val="da-DK"/>
              </w:rPr>
              <w:t>a</w:t>
            </w:r>
          </w:p>
        </w:tc>
        <w:tc>
          <w:tcPr>
            <w:tcW w:w="1591" w:type="dxa"/>
            <w:tcBorders>
              <w:top w:val="single" w:sz="4" w:space="0" w:color="000000"/>
              <w:left w:val="single" w:sz="4" w:space="0" w:color="000000"/>
              <w:bottom w:val="single" w:sz="4" w:space="0" w:color="000000"/>
              <w:right w:val="single" w:sz="4" w:space="0" w:color="000000"/>
            </w:tcBorders>
            <w:hideMark/>
          </w:tcPr>
          <w:p w14:paraId="2BAD29EE" w14:textId="77777777" w:rsidR="00927B43" w:rsidRDefault="00927B43">
            <w:pPr>
              <w:pStyle w:val="TableParagraph"/>
              <w:spacing w:line="240" w:lineRule="auto"/>
              <w:ind w:left="317"/>
              <w:jc w:val="center"/>
              <w:rPr>
                <w:lang w:val="da-DK"/>
              </w:rPr>
            </w:pPr>
            <w:r>
              <w:rPr>
                <w:lang w:val="da-DK"/>
              </w:rPr>
              <w:t>44 (33)</w:t>
            </w:r>
          </w:p>
        </w:tc>
        <w:tc>
          <w:tcPr>
            <w:tcW w:w="1545" w:type="dxa"/>
            <w:tcBorders>
              <w:top w:val="single" w:sz="4" w:space="0" w:color="000000"/>
              <w:left w:val="single" w:sz="4" w:space="0" w:color="000000"/>
              <w:bottom w:val="single" w:sz="4" w:space="0" w:color="000000"/>
              <w:right w:val="single" w:sz="4" w:space="0" w:color="000000"/>
            </w:tcBorders>
            <w:hideMark/>
          </w:tcPr>
          <w:p w14:paraId="2D2E4FE7" w14:textId="77777777" w:rsidR="00927B43" w:rsidRDefault="00927B43">
            <w:pPr>
              <w:pStyle w:val="TableParagraph"/>
              <w:spacing w:line="240" w:lineRule="auto"/>
              <w:ind w:left="218"/>
              <w:jc w:val="center"/>
              <w:rPr>
                <w:lang w:val="da-DK"/>
              </w:rPr>
            </w:pPr>
            <w:r>
              <w:rPr>
                <w:lang w:val="da-DK"/>
              </w:rPr>
              <w:t>32 (53)</w:t>
            </w:r>
          </w:p>
        </w:tc>
      </w:tr>
      <w:tr w:rsidR="00927B43" w14:paraId="70B90F78" w14:textId="77777777" w:rsidTr="00927B43">
        <w:trPr>
          <w:trHeight w:val="506"/>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14:paraId="1D37DA66" w14:textId="77777777" w:rsidR="00927B43" w:rsidRDefault="00927B43">
            <w:pPr>
              <w:rPr>
                <w:sz w:val="14"/>
                <w:szCs w:val="22"/>
              </w:rPr>
            </w:pPr>
          </w:p>
        </w:tc>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14:paraId="02C23D5F" w14:textId="77777777" w:rsidR="00927B43" w:rsidRDefault="00927B43">
            <w:pPr>
              <w:pStyle w:val="TableParagraph"/>
              <w:spacing w:before="116" w:line="240" w:lineRule="auto"/>
              <w:ind w:left="15"/>
              <w:jc w:val="center"/>
              <w:rPr>
                <w:lang w:val="da-DK"/>
              </w:rPr>
            </w:pPr>
            <w:r>
              <w:rPr>
                <w:lang w:val="da-DK"/>
              </w:rPr>
              <w:t>0,002</w:t>
            </w:r>
          </w:p>
        </w:tc>
      </w:tr>
      <w:tr w:rsidR="00927B43" w14:paraId="69D0E06E" w14:textId="77777777" w:rsidTr="00927B43">
        <w:trPr>
          <w:trHeight w:hRule="exact" w:val="262"/>
        </w:trPr>
        <w:tc>
          <w:tcPr>
            <w:tcW w:w="5936" w:type="dxa"/>
            <w:vMerge w:val="restart"/>
            <w:tcBorders>
              <w:top w:val="single" w:sz="4" w:space="0" w:color="000000"/>
              <w:left w:val="single" w:sz="4" w:space="0" w:color="000000"/>
              <w:bottom w:val="single" w:sz="4" w:space="0" w:color="000000"/>
              <w:right w:val="single" w:sz="4" w:space="0" w:color="000000"/>
            </w:tcBorders>
            <w:hideMark/>
          </w:tcPr>
          <w:p w14:paraId="06936403" w14:textId="77777777" w:rsidR="00927B43" w:rsidRDefault="00927B43">
            <w:pPr>
              <w:pStyle w:val="TableParagraph"/>
              <w:spacing w:line="240" w:lineRule="auto"/>
              <w:rPr>
                <w:lang w:val="da-DK"/>
              </w:rPr>
            </w:pPr>
            <w:r>
              <w:rPr>
                <w:lang w:val="da-DK"/>
              </w:rPr>
              <w:t>Behov for ”rescue”-behandling, n (%)</w:t>
            </w:r>
          </w:p>
          <w:p w14:paraId="5F708368" w14:textId="77777777" w:rsidR="00927B43" w:rsidRDefault="00927B43">
            <w:pPr>
              <w:pStyle w:val="TableParagraph"/>
              <w:spacing w:line="240" w:lineRule="auto"/>
              <w:ind w:left="669"/>
              <w:rPr>
                <w:sz w:val="14"/>
                <w:lang w:val="da-DK"/>
              </w:rPr>
            </w:pPr>
            <w:r>
              <w:rPr>
                <w:i/>
                <w:lang w:val="da-DK"/>
              </w:rPr>
              <w:t>p-</w:t>
            </w:r>
            <w:r>
              <w:rPr>
                <w:lang w:val="da-DK"/>
              </w:rPr>
              <w:t xml:space="preserve"> værdi </w:t>
            </w:r>
            <w:r>
              <w:rPr>
                <w:position w:val="8"/>
                <w:sz w:val="14"/>
                <w:lang w:val="da-DK"/>
              </w:rPr>
              <w:t>a</w:t>
            </w:r>
          </w:p>
        </w:tc>
        <w:tc>
          <w:tcPr>
            <w:tcW w:w="1591" w:type="dxa"/>
            <w:tcBorders>
              <w:top w:val="single" w:sz="4" w:space="0" w:color="000000"/>
              <w:left w:val="single" w:sz="4" w:space="0" w:color="000000"/>
              <w:bottom w:val="single" w:sz="4" w:space="0" w:color="000000"/>
              <w:right w:val="single" w:sz="4" w:space="0" w:color="000000"/>
            </w:tcBorders>
            <w:hideMark/>
          </w:tcPr>
          <w:p w14:paraId="7A6E0F15" w14:textId="77777777" w:rsidR="00927B43" w:rsidRDefault="00927B43">
            <w:pPr>
              <w:pStyle w:val="TableParagraph"/>
              <w:spacing w:line="240" w:lineRule="auto"/>
              <w:ind w:left="317"/>
              <w:jc w:val="center"/>
              <w:rPr>
                <w:lang w:val="da-DK"/>
              </w:rPr>
            </w:pPr>
            <w:r>
              <w:rPr>
                <w:lang w:val="da-DK"/>
              </w:rPr>
              <w:t>24 (18)</w:t>
            </w:r>
          </w:p>
        </w:tc>
        <w:tc>
          <w:tcPr>
            <w:tcW w:w="1545" w:type="dxa"/>
            <w:tcBorders>
              <w:top w:val="single" w:sz="4" w:space="0" w:color="000000"/>
              <w:left w:val="single" w:sz="4" w:space="0" w:color="000000"/>
              <w:bottom w:val="single" w:sz="4" w:space="0" w:color="000000"/>
              <w:right w:val="single" w:sz="4" w:space="0" w:color="000000"/>
            </w:tcBorders>
            <w:hideMark/>
          </w:tcPr>
          <w:p w14:paraId="6B45A4D1" w14:textId="77777777" w:rsidR="00927B43" w:rsidRDefault="00927B43">
            <w:pPr>
              <w:pStyle w:val="TableParagraph"/>
              <w:spacing w:line="240" w:lineRule="auto"/>
              <w:ind w:left="218"/>
              <w:jc w:val="center"/>
              <w:rPr>
                <w:lang w:val="da-DK"/>
              </w:rPr>
            </w:pPr>
            <w:r>
              <w:rPr>
                <w:lang w:val="da-DK"/>
              </w:rPr>
              <w:t>25 (40)</w:t>
            </w:r>
          </w:p>
        </w:tc>
      </w:tr>
      <w:tr w:rsidR="00927B43" w14:paraId="47DD1CBA" w14:textId="77777777" w:rsidTr="00927B43">
        <w:trPr>
          <w:trHeight w:val="264"/>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14:paraId="0D3EDB91" w14:textId="77777777" w:rsidR="00927B43" w:rsidRDefault="00927B43">
            <w:pPr>
              <w:rPr>
                <w:sz w:val="14"/>
                <w:szCs w:val="22"/>
              </w:rPr>
            </w:pPr>
          </w:p>
        </w:tc>
        <w:tc>
          <w:tcPr>
            <w:tcW w:w="3136" w:type="dxa"/>
            <w:gridSpan w:val="2"/>
            <w:tcBorders>
              <w:top w:val="single" w:sz="4" w:space="0" w:color="000000"/>
              <w:left w:val="single" w:sz="4" w:space="0" w:color="000000"/>
              <w:bottom w:val="single" w:sz="4" w:space="0" w:color="000000"/>
              <w:right w:val="single" w:sz="4" w:space="0" w:color="000000"/>
            </w:tcBorders>
            <w:hideMark/>
          </w:tcPr>
          <w:p w14:paraId="3F7A09F7" w14:textId="77777777" w:rsidR="00927B43" w:rsidRDefault="00927B43">
            <w:pPr>
              <w:pStyle w:val="TableParagraph"/>
              <w:spacing w:line="240" w:lineRule="auto"/>
              <w:ind w:left="1168"/>
              <w:rPr>
                <w:lang w:val="da-DK"/>
              </w:rPr>
            </w:pPr>
            <w:r>
              <w:rPr>
                <w:lang w:val="da-DK"/>
              </w:rPr>
              <w:t xml:space="preserve">   0,001</w:t>
            </w:r>
          </w:p>
        </w:tc>
      </w:tr>
      <w:tr w:rsidR="00927B43" w14:paraId="0B04A71D" w14:textId="77777777" w:rsidTr="00927B43">
        <w:trPr>
          <w:trHeight w:hRule="exact" w:val="264"/>
        </w:trPr>
        <w:tc>
          <w:tcPr>
            <w:tcW w:w="5936" w:type="dxa"/>
            <w:tcBorders>
              <w:top w:val="single" w:sz="4" w:space="0" w:color="000000"/>
              <w:left w:val="single" w:sz="4" w:space="0" w:color="000000"/>
              <w:bottom w:val="single" w:sz="4" w:space="0" w:color="000000"/>
              <w:right w:val="single" w:sz="4" w:space="0" w:color="000000"/>
            </w:tcBorders>
            <w:hideMark/>
          </w:tcPr>
          <w:p w14:paraId="08A3D6CD" w14:textId="77777777" w:rsidR="00927B43" w:rsidRDefault="00927B43">
            <w:pPr>
              <w:pStyle w:val="TableParagraph"/>
              <w:spacing w:line="240" w:lineRule="auto"/>
              <w:rPr>
                <w:lang w:val="da-DK"/>
              </w:rPr>
            </w:pPr>
            <w:r>
              <w:rPr>
                <w:lang w:val="da-DK"/>
              </w:rPr>
              <w:t>Patienter, der modtager ITP-behandling ved udgangsniveauet (n)</w:t>
            </w:r>
          </w:p>
        </w:tc>
        <w:tc>
          <w:tcPr>
            <w:tcW w:w="1591" w:type="dxa"/>
            <w:tcBorders>
              <w:top w:val="single" w:sz="4" w:space="0" w:color="000000"/>
              <w:left w:val="single" w:sz="4" w:space="0" w:color="000000"/>
              <w:bottom w:val="single" w:sz="4" w:space="0" w:color="000000"/>
              <w:right w:val="single" w:sz="4" w:space="0" w:color="000000"/>
            </w:tcBorders>
            <w:hideMark/>
          </w:tcPr>
          <w:p w14:paraId="1074380A" w14:textId="77777777" w:rsidR="00927B43" w:rsidRDefault="00927B43">
            <w:pPr>
              <w:pStyle w:val="TableParagraph"/>
              <w:spacing w:line="240" w:lineRule="auto"/>
              <w:ind w:left="317"/>
              <w:jc w:val="center"/>
              <w:rPr>
                <w:lang w:val="da-DK"/>
              </w:rPr>
            </w:pPr>
            <w:r>
              <w:rPr>
                <w:lang w:val="da-DK"/>
              </w:rPr>
              <w:t>63</w:t>
            </w:r>
          </w:p>
        </w:tc>
        <w:tc>
          <w:tcPr>
            <w:tcW w:w="1545" w:type="dxa"/>
            <w:tcBorders>
              <w:top w:val="single" w:sz="4" w:space="0" w:color="000000"/>
              <w:left w:val="single" w:sz="4" w:space="0" w:color="000000"/>
              <w:bottom w:val="single" w:sz="4" w:space="0" w:color="000000"/>
              <w:right w:val="single" w:sz="4" w:space="0" w:color="000000"/>
            </w:tcBorders>
            <w:hideMark/>
          </w:tcPr>
          <w:p w14:paraId="559688A3" w14:textId="77777777" w:rsidR="00927B43" w:rsidRDefault="00927B43">
            <w:pPr>
              <w:pStyle w:val="TableParagraph"/>
              <w:spacing w:line="240" w:lineRule="auto"/>
              <w:ind w:left="218"/>
              <w:jc w:val="center"/>
              <w:rPr>
                <w:lang w:val="da-DK"/>
              </w:rPr>
            </w:pPr>
            <w:r>
              <w:rPr>
                <w:lang w:val="da-DK"/>
              </w:rPr>
              <w:t>31</w:t>
            </w:r>
          </w:p>
        </w:tc>
      </w:tr>
      <w:tr w:rsidR="00927B43" w14:paraId="106C98E3" w14:textId="77777777" w:rsidTr="00927B43">
        <w:trPr>
          <w:trHeight w:hRule="exact" w:val="262"/>
        </w:trPr>
        <w:tc>
          <w:tcPr>
            <w:tcW w:w="5936" w:type="dxa"/>
            <w:vMerge w:val="restart"/>
            <w:tcBorders>
              <w:top w:val="single" w:sz="4" w:space="0" w:color="000000"/>
              <w:left w:val="single" w:sz="4" w:space="0" w:color="000000"/>
              <w:bottom w:val="single" w:sz="4" w:space="0" w:color="000000"/>
              <w:right w:val="single" w:sz="4" w:space="0" w:color="000000"/>
            </w:tcBorders>
            <w:hideMark/>
          </w:tcPr>
          <w:p w14:paraId="4C8BCB77" w14:textId="77777777" w:rsidR="00927B43" w:rsidRDefault="00927B43" w:rsidP="00D54FFA">
            <w:pPr>
              <w:pStyle w:val="TableParagraph"/>
              <w:spacing w:line="240" w:lineRule="auto"/>
              <w:ind w:left="142"/>
              <w:rPr>
                <w:lang w:val="da-DK"/>
              </w:rPr>
            </w:pPr>
            <w:r>
              <w:rPr>
                <w:lang w:val="da-DK"/>
              </w:rPr>
              <w:t>Patienter, som forsøgte at reducere eller stoppe med udgangsniveau-behandlingen, n (%)</w:t>
            </w:r>
            <w:r>
              <w:rPr>
                <w:position w:val="8"/>
                <w:sz w:val="14"/>
                <w:lang w:val="da-DK"/>
              </w:rPr>
              <w:t>b</w:t>
            </w:r>
          </w:p>
          <w:p w14:paraId="2A097C75" w14:textId="77777777" w:rsidR="00927B43" w:rsidRDefault="00927B43">
            <w:pPr>
              <w:pStyle w:val="TableParagraph"/>
              <w:spacing w:before="2" w:line="240" w:lineRule="auto"/>
              <w:ind w:left="669"/>
              <w:rPr>
                <w:sz w:val="14"/>
                <w:lang w:val="da-DK"/>
              </w:rPr>
            </w:pPr>
            <w:r>
              <w:rPr>
                <w:i/>
                <w:lang w:val="da-DK"/>
              </w:rPr>
              <w:t>p-</w:t>
            </w:r>
            <w:r>
              <w:rPr>
                <w:lang w:val="da-DK"/>
              </w:rPr>
              <w:t xml:space="preserve"> værdi </w:t>
            </w:r>
            <w:r>
              <w:rPr>
                <w:position w:val="8"/>
                <w:sz w:val="14"/>
                <w:lang w:val="da-DK"/>
              </w:rPr>
              <w:t>a</w:t>
            </w:r>
          </w:p>
        </w:tc>
        <w:tc>
          <w:tcPr>
            <w:tcW w:w="1591" w:type="dxa"/>
            <w:tcBorders>
              <w:top w:val="single" w:sz="4" w:space="0" w:color="000000"/>
              <w:left w:val="single" w:sz="4" w:space="0" w:color="000000"/>
              <w:bottom w:val="single" w:sz="4" w:space="0" w:color="000000"/>
              <w:right w:val="single" w:sz="4" w:space="0" w:color="000000"/>
            </w:tcBorders>
            <w:hideMark/>
          </w:tcPr>
          <w:p w14:paraId="48F86161" w14:textId="77777777" w:rsidR="00927B43" w:rsidRDefault="00927B43">
            <w:pPr>
              <w:pStyle w:val="TableParagraph"/>
              <w:spacing w:line="240" w:lineRule="auto"/>
              <w:ind w:left="317"/>
              <w:jc w:val="center"/>
              <w:rPr>
                <w:lang w:val="da-DK"/>
              </w:rPr>
            </w:pPr>
            <w:r>
              <w:rPr>
                <w:lang w:val="da-DK"/>
              </w:rPr>
              <w:t>37 (59)</w:t>
            </w:r>
          </w:p>
        </w:tc>
        <w:tc>
          <w:tcPr>
            <w:tcW w:w="1545" w:type="dxa"/>
            <w:tcBorders>
              <w:top w:val="single" w:sz="4" w:space="0" w:color="000000"/>
              <w:left w:val="single" w:sz="4" w:space="0" w:color="000000"/>
              <w:bottom w:val="single" w:sz="4" w:space="0" w:color="000000"/>
              <w:right w:val="single" w:sz="4" w:space="0" w:color="000000"/>
            </w:tcBorders>
            <w:hideMark/>
          </w:tcPr>
          <w:p w14:paraId="7BBCAE03" w14:textId="77777777" w:rsidR="00927B43" w:rsidRDefault="00927B43">
            <w:pPr>
              <w:pStyle w:val="TableParagraph"/>
              <w:spacing w:line="240" w:lineRule="auto"/>
              <w:ind w:left="218"/>
              <w:jc w:val="center"/>
              <w:rPr>
                <w:lang w:val="da-DK"/>
              </w:rPr>
            </w:pPr>
            <w:r>
              <w:rPr>
                <w:lang w:val="da-DK"/>
              </w:rPr>
              <w:t>10 (32)</w:t>
            </w:r>
          </w:p>
        </w:tc>
      </w:tr>
      <w:tr w:rsidR="00927B43" w14:paraId="471785A9" w14:textId="77777777" w:rsidTr="00927B43">
        <w:trPr>
          <w:trHeight w:val="506"/>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14:paraId="3131F03E" w14:textId="77777777" w:rsidR="00927B43" w:rsidRDefault="00927B43">
            <w:pPr>
              <w:rPr>
                <w:sz w:val="14"/>
                <w:szCs w:val="22"/>
              </w:rPr>
            </w:pPr>
          </w:p>
        </w:tc>
        <w:tc>
          <w:tcPr>
            <w:tcW w:w="3136" w:type="dxa"/>
            <w:gridSpan w:val="2"/>
            <w:tcBorders>
              <w:top w:val="single" w:sz="4" w:space="0" w:color="000000"/>
              <w:left w:val="single" w:sz="4" w:space="0" w:color="000000"/>
              <w:bottom w:val="single" w:sz="4" w:space="0" w:color="000000"/>
              <w:right w:val="single" w:sz="4" w:space="0" w:color="000000"/>
            </w:tcBorders>
            <w:hideMark/>
          </w:tcPr>
          <w:p w14:paraId="63DA41B4" w14:textId="77777777" w:rsidR="00927B43" w:rsidRDefault="00927B43">
            <w:pPr>
              <w:pStyle w:val="TableParagraph"/>
              <w:spacing w:before="116" w:line="240" w:lineRule="auto"/>
              <w:ind w:left="1168"/>
              <w:rPr>
                <w:lang w:val="da-DK"/>
              </w:rPr>
            </w:pPr>
            <w:r>
              <w:rPr>
                <w:lang w:val="da-DK"/>
              </w:rPr>
              <w:t xml:space="preserve">   0,016</w:t>
            </w:r>
          </w:p>
        </w:tc>
      </w:tr>
    </w:tbl>
    <w:p w14:paraId="6C6F741E" w14:textId="1F76986B" w:rsidR="00927B43" w:rsidRPr="00D54FFA" w:rsidRDefault="00927B43" w:rsidP="00D54FFA">
      <w:pPr>
        <w:autoSpaceDE w:val="0"/>
        <w:autoSpaceDN w:val="0"/>
        <w:adjustRightInd w:val="0"/>
        <w:ind w:left="284" w:hanging="284"/>
        <w:rPr>
          <w:sz w:val="20"/>
        </w:rPr>
      </w:pPr>
      <w:r w:rsidRPr="00D54FFA">
        <w:rPr>
          <w:sz w:val="20"/>
        </w:rPr>
        <w:lastRenderedPageBreak/>
        <w:t>a</w:t>
      </w:r>
      <w:r w:rsidR="00D54FFA">
        <w:rPr>
          <w:sz w:val="20"/>
        </w:rPr>
        <w:tab/>
      </w:r>
      <w:r w:rsidRPr="00D54FFA">
        <w:rPr>
          <w:sz w:val="20"/>
        </w:rPr>
        <w:t xml:space="preserve">Logistisk regressionsmodel justeret for stratificeringsvariable i randomiseringen </w:t>
      </w:r>
    </w:p>
    <w:p w14:paraId="0AC686EE" w14:textId="345B4FCE" w:rsidR="00927B43" w:rsidRPr="00D54FFA" w:rsidRDefault="00927B43" w:rsidP="00D54FFA">
      <w:pPr>
        <w:autoSpaceDE w:val="0"/>
        <w:autoSpaceDN w:val="0"/>
        <w:adjustRightInd w:val="0"/>
        <w:ind w:left="284" w:hanging="284"/>
        <w:rPr>
          <w:sz w:val="20"/>
        </w:rPr>
      </w:pPr>
      <w:r w:rsidRPr="00D54FFA">
        <w:rPr>
          <w:sz w:val="20"/>
        </w:rPr>
        <w:t>b</w:t>
      </w:r>
      <w:r w:rsidR="00D54FFA">
        <w:rPr>
          <w:sz w:val="20"/>
        </w:rPr>
        <w:tab/>
      </w:r>
      <w:r w:rsidRPr="00D54FFA">
        <w:rPr>
          <w:sz w:val="20"/>
        </w:rPr>
        <w:t>21 ud af 63 patienter (33 %), der blev behandlet med eltrombopag, og som tog et ITP-lægemiddel ved udgangsniveauet, stoppede alle udgangsniveau-ITP-lægemidler permanent.</w:t>
      </w:r>
    </w:p>
    <w:p w14:paraId="7D331ED1" w14:textId="77777777" w:rsidR="00927B43" w:rsidRPr="00D54FFA" w:rsidRDefault="00927B43" w:rsidP="00D54FFA">
      <w:pPr>
        <w:autoSpaceDE w:val="0"/>
        <w:autoSpaceDN w:val="0"/>
        <w:adjustRightInd w:val="0"/>
        <w:ind w:left="851"/>
        <w:rPr>
          <w:sz w:val="24"/>
          <w:szCs w:val="24"/>
          <w:highlight w:val="green"/>
        </w:rPr>
      </w:pPr>
    </w:p>
    <w:p w14:paraId="2D322745" w14:textId="77777777" w:rsidR="00927B43" w:rsidRPr="00D54FFA" w:rsidRDefault="00927B43" w:rsidP="00D54FFA">
      <w:pPr>
        <w:autoSpaceDE w:val="0"/>
        <w:autoSpaceDN w:val="0"/>
        <w:adjustRightInd w:val="0"/>
        <w:ind w:left="851"/>
        <w:rPr>
          <w:sz w:val="24"/>
          <w:szCs w:val="24"/>
        </w:rPr>
      </w:pPr>
      <w:r w:rsidRPr="00D54FFA">
        <w:rPr>
          <w:sz w:val="24"/>
          <w:szCs w:val="24"/>
        </w:rPr>
        <w:t>Ved udgangsniveauet rapporterede mere end 70 % af ITP-patienterne i hver behandlingsgruppe om blødning (WHO-niveau 1-4) og mere end 20 % om klinisk signifikant blødning (WHO-niveau 2-4). Andelen af eltrombopag-behandlede patienter med blødning (niveau 1-4) og klinisk signifikant blødning (niveau 2-4) faldt fra udgangsniveauet med ca. 50 % fra dag 15 til afslutningen af behandlingen, i hele behandlingsperioden på 6 måneder.</w:t>
      </w:r>
    </w:p>
    <w:p w14:paraId="781958E8" w14:textId="77777777" w:rsidR="00927B43" w:rsidRPr="00D54FFA" w:rsidRDefault="00927B43" w:rsidP="00D54FFA">
      <w:pPr>
        <w:autoSpaceDE w:val="0"/>
        <w:autoSpaceDN w:val="0"/>
        <w:adjustRightInd w:val="0"/>
        <w:ind w:left="851"/>
        <w:rPr>
          <w:sz w:val="24"/>
          <w:szCs w:val="24"/>
          <w:highlight w:val="green"/>
        </w:rPr>
      </w:pPr>
    </w:p>
    <w:p w14:paraId="7F74AA1F" w14:textId="77777777" w:rsidR="00927B43" w:rsidRPr="00D54FFA" w:rsidRDefault="00927B43" w:rsidP="00D54FFA">
      <w:pPr>
        <w:autoSpaceDE w:val="0"/>
        <w:autoSpaceDN w:val="0"/>
        <w:adjustRightInd w:val="0"/>
        <w:ind w:left="851"/>
        <w:rPr>
          <w:sz w:val="24"/>
          <w:szCs w:val="24"/>
        </w:rPr>
      </w:pPr>
      <w:r w:rsidRPr="00D54FFA">
        <w:rPr>
          <w:sz w:val="24"/>
          <w:szCs w:val="24"/>
        </w:rPr>
        <w:t xml:space="preserve">TRA100773B: </w:t>
      </w:r>
    </w:p>
    <w:p w14:paraId="39AF728E" w14:textId="77777777" w:rsidR="00927B43" w:rsidRPr="00D54FFA" w:rsidRDefault="00927B43" w:rsidP="00D54FFA">
      <w:pPr>
        <w:autoSpaceDE w:val="0"/>
        <w:autoSpaceDN w:val="0"/>
        <w:adjustRightInd w:val="0"/>
        <w:ind w:left="851"/>
        <w:rPr>
          <w:sz w:val="24"/>
          <w:szCs w:val="24"/>
        </w:rPr>
      </w:pPr>
      <w:r w:rsidRPr="00D54FFA">
        <w:rPr>
          <w:sz w:val="24"/>
          <w:szCs w:val="24"/>
        </w:rPr>
        <w:t>Det primære endepunkt var andelen af respondenter, der blev defineret som ITP-patienter, der opleve-de en stigning i trombocyttal til ≥ 50 000 pr. μl på dag 43 fra et udgangsniveau på &lt; 30 000 pr. μl. Patienter, som trak sig ud før tid pga. et trombocyttal på &gt; 200 000 pr. μl, ansås for at være respondenter, mens de der ophørte af andre grunde ansås for at være ikke-respondenter uanset trombocyttal. I alt 114 patienter med tidligere behandlet ITP blev randomiseret i forholdet 2:1, eltrombopag (n = 76) mod placebo (n = 38).</w:t>
      </w:r>
    </w:p>
    <w:p w14:paraId="1ACA7ED7" w14:textId="77777777" w:rsidR="00927B43" w:rsidRDefault="00927B43" w:rsidP="00927B43">
      <w:pPr>
        <w:autoSpaceDE w:val="0"/>
        <w:autoSpaceDN w:val="0"/>
        <w:adjustRightInd w:val="0"/>
      </w:pPr>
    </w:p>
    <w:p w14:paraId="6570BBFF" w14:textId="77777777" w:rsidR="00927B43" w:rsidRDefault="00927B43" w:rsidP="00927B43">
      <w:pPr>
        <w:rPr>
          <w:b/>
          <w:bCs/>
          <w:highlight w:val="green"/>
        </w:rPr>
      </w:pPr>
      <w:r>
        <w:rPr>
          <w:b/>
          <w:bCs/>
        </w:rPr>
        <w:t>Tabel 4     Effektresultater fra TRA100773B</w:t>
      </w:r>
    </w:p>
    <w:p w14:paraId="30E900D3" w14:textId="77777777" w:rsidR="00927B43" w:rsidRDefault="00927B43" w:rsidP="00927B43">
      <w:pPr>
        <w:rPr>
          <w:b/>
          <w:bCs/>
          <w:highlight w:val="green"/>
        </w:rPr>
      </w:pP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3"/>
        <w:gridCol w:w="1749"/>
        <w:gridCol w:w="1663"/>
      </w:tblGrid>
      <w:tr w:rsidR="00927B43" w14:paraId="60E8FBD0" w14:textId="77777777" w:rsidTr="00927B43">
        <w:trPr>
          <w:trHeight w:hRule="exact" w:val="514"/>
        </w:trPr>
        <w:tc>
          <w:tcPr>
            <w:tcW w:w="5508" w:type="dxa"/>
            <w:tcBorders>
              <w:top w:val="single" w:sz="4" w:space="0" w:color="000000"/>
              <w:left w:val="single" w:sz="4" w:space="0" w:color="000000"/>
              <w:bottom w:val="single" w:sz="4" w:space="0" w:color="000000"/>
              <w:right w:val="single" w:sz="4" w:space="0" w:color="000000"/>
            </w:tcBorders>
          </w:tcPr>
          <w:p w14:paraId="75D17AA9" w14:textId="77777777" w:rsidR="00927B43" w:rsidRDefault="00927B43">
            <w:pPr>
              <w:rPr>
                <w:rFonts w:asciiTheme="minorHAnsi" w:hAnsiTheme="minorHAnsi" w:cstheme="minorBidi"/>
              </w:rPr>
            </w:pPr>
          </w:p>
        </w:tc>
        <w:tc>
          <w:tcPr>
            <w:tcW w:w="1748" w:type="dxa"/>
            <w:tcBorders>
              <w:top w:val="single" w:sz="4" w:space="0" w:color="000000"/>
              <w:left w:val="single" w:sz="4" w:space="0" w:color="000000"/>
              <w:bottom w:val="single" w:sz="4" w:space="0" w:color="000000"/>
              <w:right w:val="single" w:sz="4" w:space="0" w:color="000000"/>
            </w:tcBorders>
            <w:hideMark/>
          </w:tcPr>
          <w:p w14:paraId="005BA7B3" w14:textId="77777777" w:rsidR="00927B43" w:rsidRDefault="00927B43">
            <w:pPr>
              <w:pStyle w:val="TableParagraph"/>
              <w:spacing w:line="240" w:lineRule="auto"/>
              <w:ind w:left="643" w:hanging="322"/>
              <w:rPr>
                <w:lang w:val="da-DK"/>
              </w:rPr>
            </w:pPr>
            <w:r>
              <w:rPr>
                <w:lang w:val="da-DK"/>
              </w:rPr>
              <w:t>Eltrombopag N=74</w:t>
            </w:r>
          </w:p>
        </w:tc>
        <w:tc>
          <w:tcPr>
            <w:tcW w:w="1662" w:type="dxa"/>
            <w:tcBorders>
              <w:top w:val="single" w:sz="4" w:space="0" w:color="000000"/>
              <w:left w:val="single" w:sz="4" w:space="0" w:color="000000"/>
              <w:bottom w:val="single" w:sz="4" w:space="0" w:color="000000"/>
              <w:right w:val="single" w:sz="4" w:space="0" w:color="000000"/>
            </w:tcBorders>
            <w:hideMark/>
          </w:tcPr>
          <w:p w14:paraId="573D2CB5" w14:textId="77777777" w:rsidR="00927B43" w:rsidRDefault="00927B43">
            <w:pPr>
              <w:pStyle w:val="TableParagraph"/>
              <w:spacing w:line="240" w:lineRule="auto"/>
              <w:ind w:left="595" w:hanging="96"/>
              <w:rPr>
                <w:lang w:val="da-DK"/>
              </w:rPr>
            </w:pPr>
            <w:r>
              <w:rPr>
                <w:lang w:val="da-DK"/>
              </w:rPr>
              <w:t>Placebo N=38</w:t>
            </w:r>
          </w:p>
        </w:tc>
      </w:tr>
      <w:tr w:rsidR="00927B43" w14:paraId="6172D54F" w14:textId="77777777" w:rsidTr="00927B43">
        <w:trPr>
          <w:trHeight w:val="260"/>
        </w:trPr>
        <w:tc>
          <w:tcPr>
            <w:tcW w:w="8918" w:type="dxa"/>
            <w:gridSpan w:val="3"/>
            <w:tcBorders>
              <w:top w:val="single" w:sz="4" w:space="0" w:color="000000"/>
              <w:left w:val="single" w:sz="4" w:space="0" w:color="000000"/>
              <w:bottom w:val="single" w:sz="4" w:space="0" w:color="000000"/>
              <w:right w:val="single" w:sz="4" w:space="0" w:color="000000"/>
            </w:tcBorders>
            <w:hideMark/>
          </w:tcPr>
          <w:p w14:paraId="65113D8A" w14:textId="77777777" w:rsidR="00927B43" w:rsidRDefault="00927B43">
            <w:pPr>
              <w:pStyle w:val="TableParagraph"/>
              <w:spacing w:line="240" w:lineRule="auto"/>
              <w:rPr>
                <w:lang w:val="da-DK"/>
              </w:rPr>
            </w:pPr>
            <w:r>
              <w:rPr>
                <w:lang w:val="da-DK"/>
              </w:rPr>
              <w:t>De væsentligste primære endepunkter</w:t>
            </w:r>
          </w:p>
        </w:tc>
      </w:tr>
      <w:tr w:rsidR="00927B43" w14:paraId="5682FEF2" w14:textId="77777777" w:rsidTr="00927B43">
        <w:trPr>
          <w:trHeight w:hRule="exact" w:val="262"/>
        </w:trPr>
        <w:tc>
          <w:tcPr>
            <w:tcW w:w="5508" w:type="dxa"/>
            <w:tcBorders>
              <w:top w:val="single" w:sz="4" w:space="0" w:color="000000"/>
              <w:left w:val="single" w:sz="4" w:space="0" w:color="000000"/>
              <w:bottom w:val="single" w:sz="4" w:space="0" w:color="000000"/>
              <w:right w:val="single" w:sz="4" w:space="0" w:color="000000"/>
            </w:tcBorders>
            <w:hideMark/>
          </w:tcPr>
          <w:p w14:paraId="0D6E3369" w14:textId="77777777" w:rsidR="00927B43" w:rsidRDefault="00927B43">
            <w:pPr>
              <w:pStyle w:val="TableParagraph"/>
              <w:spacing w:line="240" w:lineRule="auto"/>
              <w:rPr>
                <w:lang w:val="da-DK"/>
              </w:rPr>
            </w:pPr>
            <w:r>
              <w:rPr>
                <w:lang w:val="da-DK"/>
              </w:rPr>
              <w:t>Egnet til effektanalyse, n</w:t>
            </w:r>
          </w:p>
        </w:tc>
        <w:tc>
          <w:tcPr>
            <w:tcW w:w="1748" w:type="dxa"/>
            <w:tcBorders>
              <w:top w:val="single" w:sz="4" w:space="0" w:color="000000"/>
              <w:left w:val="single" w:sz="4" w:space="0" w:color="000000"/>
              <w:bottom w:val="single" w:sz="4" w:space="0" w:color="000000"/>
              <w:right w:val="single" w:sz="4" w:space="0" w:color="000000"/>
            </w:tcBorders>
            <w:hideMark/>
          </w:tcPr>
          <w:p w14:paraId="57B6F259" w14:textId="77777777" w:rsidR="00927B43" w:rsidRDefault="00927B43">
            <w:pPr>
              <w:pStyle w:val="TableParagraph"/>
              <w:spacing w:line="240" w:lineRule="auto"/>
              <w:ind w:left="555"/>
              <w:jc w:val="center"/>
              <w:rPr>
                <w:lang w:val="da-DK"/>
              </w:rPr>
            </w:pPr>
            <w:r>
              <w:rPr>
                <w:lang w:val="da-DK"/>
              </w:rPr>
              <w:t>73</w:t>
            </w:r>
          </w:p>
        </w:tc>
        <w:tc>
          <w:tcPr>
            <w:tcW w:w="1662" w:type="dxa"/>
            <w:tcBorders>
              <w:top w:val="single" w:sz="4" w:space="0" w:color="000000"/>
              <w:left w:val="single" w:sz="4" w:space="0" w:color="000000"/>
              <w:bottom w:val="single" w:sz="4" w:space="0" w:color="000000"/>
              <w:right w:val="single" w:sz="4" w:space="0" w:color="000000"/>
            </w:tcBorders>
            <w:hideMark/>
          </w:tcPr>
          <w:p w14:paraId="207C2ACF" w14:textId="77777777" w:rsidR="00927B43" w:rsidRDefault="00927B43">
            <w:pPr>
              <w:pStyle w:val="TableParagraph"/>
              <w:spacing w:line="240" w:lineRule="auto"/>
              <w:ind w:left="0"/>
              <w:jc w:val="center"/>
              <w:rPr>
                <w:lang w:val="da-DK"/>
              </w:rPr>
            </w:pPr>
            <w:r>
              <w:rPr>
                <w:lang w:val="da-DK"/>
              </w:rPr>
              <w:t>37</w:t>
            </w:r>
          </w:p>
        </w:tc>
      </w:tr>
      <w:tr w:rsidR="00927B43" w14:paraId="6B3BF83C" w14:textId="77777777" w:rsidTr="00927B43">
        <w:trPr>
          <w:trHeight w:hRule="exact" w:val="260"/>
        </w:trPr>
        <w:tc>
          <w:tcPr>
            <w:tcW w:w="5508" w:type="dxa"/>
            <w:vMerge w:val="restart"/>
            <w:tcBorders>
              <w:top w:val="single" w:sz="4" w:space="0" w:color="000000"/>
              <w:left w:val="single" w:sz="4" w:space="0" w:color="000000"/>
              <w:bottom w:val="single" w:sz="4" w:space="0" w:color="000000"/>
              <w:right w:val="single" w:sz="4" w:space="0" w:color="000000"/>
            </w:tcBorders>
          </w:tcPr>
          <w:p w14:paraId="7A7B6925" w14:textId="77777777" w:rsidR="00927B43" w:rsidRDefault="00927B43">
            <w:pPr>
              <w:pStyle w:val="TableParagraph"/>
              <w:spacing w:line="240" w:lineRule="auto"/>
              <w:rPr>
                <w:lang w:val="da-DK"/>
              </w:rPr>
            </w:pPr>
            <w:r>
              <w:rPr>
                <w:lang w:val="da-DK"/>
              </w:rPr>
              <w:t>Patienter med trombocyttal på ≥ 50 000 pr. μl efter op til</w:t>
            </w:r>
          </w:p>
          <w:p w14:paraId="6B7DAB79" w14:textId="77777777" w:rsidR="00927B43" w:rsidRDefault="00927B43">
            <w:pPr>
              <w:pStyle w:val="TableParagraph"/>
              <w:spacing w:line="240" w:lineRule="auto"/>
              <w:rPr>
                <w:lang w:val="da-DK"/>
              </w:rPr>
            </w:pPr>
            <w:r>
              <w:rPr>
                <w:lang w:val="da-DK"/>
              </w:rPr>
              <w:t>42 dages administration (sammenlignet med et</w:t>
            </w:r>
          </w:p>
          <w:p w14:paraId="4F2824B0" w14:textId="77777777" w:rsidR="00927B43" w:rsidRDefault="00927B43">
            <w:pPr>
              <w:pStyle w:val="TableParagraph"/>
              <w:spacing w:line="240" w:lineRule="auto"/>
              <w:rPr>
                <w:lang w:val="da-DK"/>
              </w:rPr>
            </w:pPr>
            <w:r>
              <w:rPr>
                <w:lang w:val="da-DK"/>
              </w:rPr>
              <w:t>udgangsniveau på &lt; 30 000 pr. μl), n (%)</w:t>
            </w:r>
          </w:p>
          <w:p w14:paraId="521444C9" w14:textId="77777777" w:rsidR="00927B43" w:rsidRDefault="00927B43">
            <w:pPr>
              <w:pStyle w:val="TableParagraph"/>
              <w:spacing w:before="9" w:line="240" w:lineRule="auto"/>
              <w:ind w:left="0"/>
              <w:rPr>
                <w:b/>
                <w:sz w:val="21"/>
                <w:lang w:val="da-DK"/>
              </w:rPr>
            </w:pPr>
          </w:p>
          <w:p w14:paraId="6E9FAC7B" w14:textId="77777777" w:rsidR="00927B43" w:rsidRDefault="00927B43">
            <w:pPr>
              <w:pStyle w:val="TableParagraph"/>
              <w:spacing w:before="1" w:line="240" w:lineRule="auto"/>
              <w:ind w:left="0"/>
              <w:jc w:val="center"/>
              <w:rPr>
                <w:i/>
                <w:lang w:val="da-DK"/>
              </w:rPr>
            </w:pPr>
          </w:p>
          <w:p w14:paraId="7EA8E63D" w14:textId="77777777" w:rsidR="00927B43" w:rsidRDefault="00927B43">
            <w:pPr>
              <w:pStyle w:val="TableParagraph"/>
              <w:spacing w:before="1" w:line="240" w:lineRule="auto"/>
              <w:ind w:left="0"/>
              <w:jc w:val="center"/>
              <w:rPr>
                <w:position w:val="8"/>
                <w:sz w:val="14"/>
                <w:lang w:val="da-DK"/>
              </w:rPr>
            </w:pPr>
            <w:r>
              <w:rPr>
                <w:i/>
                <w:lang w:val="da-DK"/>
              </w:rPr>
              <w:t>p-</w:t>
            </w:r>
            <w:r>
              <w:rPr>
                <w:lang w:val="da-DK"/>
              </w:rPr>
              <w:t>værdi</w:t>
            </w:r>
            <w:r>
              <w:rPr>
                <w:position w:val="8"/>
                <w:sz w:val="14"/>
                <w:lang w:val="da-DK"/>
              </w:rPr>
              <w:t>a</w:t>
            </w:r>
          </w:p>
          <w:p w14:paraId="3095A03B" w14:textId="77777777" w:rsidR="00927B43" w:rsidRDefault="00927B43">
            <w:pPr>
              <w:pStyle w:val="TableParagraph"/>
              <w:spacing w:before="1" w:line="240" w:lineRule="auto"/>
              <w:ind w:left="0"/>
              <w:jc w:val="center"/>
              <w:rPr>
                <w:sz w:val="14"/>
                <w:lang w:val="da-DK"/>
              </w:rPr>
            </w:pPr>
          </w:p>
        </w:tc>
        <w:tc>
          <w:tcPr>
            <w:tcW w:w="1748" w:type="dxa"/>
            <w:tcBorders>
              <w:top w:val="single" w:sz="4" w:space="0" w:color="000000"/>
              <w:left w:val="single" w:sz="4" w:space="0" w:color="000000"/>
              <w:bottom w:val="single" w:sz="4" w:space="0" w:color="000000"/>
              <w:right w:val="single" w:sz="4" w:space="0" w:color="000000"/>
            </w:tcBorders>
            <w:hideMark/>
          </w:tcPr>
          <w:p w14:paraId="7730CAD3" w14:textId="77777777" w:rsidR="00927B43" w:rsidRDefault="00927B43">
            <w:pPr>
              <w:pStyle w:val="TableParagraph"/>
              <w:spacing w:line="240" w:lineRule="auto"/>
              <w:ind w:left="556"/>
              <w:jc w:val="center"/>
              <w:rPr>
                <w:lang w:val="da-DK"/>
              </w:rPr>
            </w:pPr>
            <w:r>
              <w:rPr>
                <w:lang w:val="da-DK"/>
              </w:rPr>
              <w:t>43 (59)</w:t>
            </w:r>
          </w:p>
        </w:tc>
        <w:tc>
          <w:tcPr>
            <w:tcW w:w="1662" w:type="dxa"/>
            <w:tcBorders>
              <w:top w:val="single" w:sz="4" w:space="0" w:color="000000"/>
              <w:left w:val="single" w:sz="4" w:space="0" w:color="000000"/>
              <w:bottom w:val="single" w:sz="4" w:space="0" w:color="000000"/>
              <w:right w:val="single" w:sz="4" w:space="0" w:color="000000"/>
            </w:tcBorders>
            <w:hideMark/>
          </w:tcPr>
          <w:p w14:paraId="25E2073A" w14:textId="77777777" w:rsidR="00927B43" w:rsidRDefault="00927B43">
            <w:pPr>
              <w:pStyle w:val="TableParagraph"/>
              <w:spacing w:line="240" w:lineRule="auto"/>
              <w:ind w:left="0"/>
              <w:jc w:val="center"/>
              <w:rPr>
                <w:lang w:val="da-DK"/>
              </w:rPr>
            </w:pPr>
            <w:r>
              <w:rPr>
                <w:lang w:val="da-DK"/>
              </w:rPr>
              <w:t>6 (16)</w:t>
            </w:r>
          </w:p>
        </w:tc>
      </w:tr>
      <w:tr w:rsidR="00927B43" w14:paraId="7E957E72" w14:textId="77777777" w:rsidTr="00927B43">
        <w:trPr>
          <w:trHeight w:val="1314"/>
        </w:trPr>
        <w:tc>
          <w:tcPr>
            <w:tcW w:w="8918" w:type="dxa"/>
            <w:vMerge/>
            <w:tcBorders>
              <w:top w:val="single" w:sz="4" w:space="0" w:color="000000"/>
              <w:left w:val="single" w:sz="4" w:space="0" w:color="000000"/>
              <w:bottom w:val="single" w:sz="4" w:space="0" w:color="000000"/>
              <w:right w:val="single" w:sz="4" w:space="0" w:color="000000"/>
            </w:tcBorders>
            <w:vAlign w:val="center"/>
            <w:hideMark/>
          </w:tcPr>
          <w:p w14:paraId="76AF1087" w14:textId="77777777" w:rsidR="00927B43" w:rsidRDefault="00927B43">
            <w:pPr>
              <w:rPr>
                <w:sz w:val="14"/>
                <w:szCs w:val="22"/>
              </w:rPr>
            </w:pPr>
          </w:p>
        </w:tc>
        <w:tc>
          <w:tcPr>
            <w:tcW w:w="3410" w:type="dxa"/>
            <w:gridSpan w:val="2"/>
            <w:tcBorders>
              <w:top w:val="single" w:sz="4" w:space="0" w:color="000000"/>
              <w:left w:val="single" w:sz="4" w:space="0" w:color="000000"/>
              <w:bottom w:val="single" w:sz="4" w:space="0" w:color="000000"/>
              <w:right w:val="single" w:sz="4" w:space="0" w:color="000000"/>
            </w:tcBorders>
          </w:tcPr>
          <w:p w14:paraId="3519F943" w14:textId="77777777" w:rsidR="00927B43" w:rsidRDefault="00927B43">
            <w:pPr>
              <w:pStyle w:val="TableParagraph"/>
              <w:spacing w:before="5" w:line="240" w:lineRule="auto"/>
              <w:ind w:left="0"/>
              <w:rPr>
                <w:b/>
                <w:sz w:val="33"/>
                <w:lang w:val="da-DK"/>
              </w:rPr>
            </w:pPr>
          </w:p>
          <w:p w14:paraId="407C60AC" w14:textId="77777777" w:rsidR="00927B43" w:rsidRDefault="00927B43">
            <w:pPr>
              <w:pStyle w:val="TableParagraph"/>
              <w:spacing w:line="240" w:lineRule="auto"/>
              <w:ind w:left="-20"/>
              <w:jc w:val="center"/>
              <w:rPr>
                <w:lang w:val="da-DK"/>
              </w:rPr>
            </w:pPr>
            <w:r>
              <w:rPr>
                <w:lang w:val="da-DK"/>
              </w:rPr>
              <w:t>&lt;0,001</w:t>
            </w:r>
          </w:p>
        </w:tc>
      </w:tr>
      <w:tr w:rsidR="00927B43" w14:paraId="31003DDA" w14:textId="77777777" w:rsidTr="00927B43">
        <w:trPr>
          <w:trHeight w:val="260"/>
        </w:trPr>
        <w:tc>
          <w:tcPr>
            <w:tcW w:w="8918" w:type="dxa"/>
            <w:gridSpan w:val="3"/>
            <w:tcBorders>
              <w:top w:val="single" w:sz="4" w:space="0" w:color="000000"/>
              <w:left w:val="single" w:sz="4" w:space="0" w:color="000000"/>
              <w:bottom w:val="single" w:sz="4" w:space="0" w:color="000000"/>
              <w:right w:val="single" w:sz="4" w:space="0" w:color="000000"/>
            </w:tcBorders>
            <w:hideMark/>
          </w:tcPr>
          <w:p w14:paraId="4820E50F" w14:textId="77777777" w:rsidR="00927B43" w:rsidRDefault="00927B43">
            <w:pPr>
              <w:pStyle w:val="TableParagraph"/>
              <w:spacing w:line="240" w:lineRule="auto"/>
              <w:rPr>
                <w:lang w:val="da-DK"/>
              </w:rPr>
            </w:pPr>
            <w:r>
              <w:rPr>
                <w:lang w:val="da-DK"/>
              </w:rPr>
              <w:t>De væsentligste sekundære endepunkter</w:t>
            </w:r>
          </w:p>
        </w:tc>
      </w:tr>
      <w:tr w:rsidR="00927B43" w14:paraId="516BF3BB" w14:textId="77777777" w:rsidTr="00927B43">
        <w:trPr>
          <w:trHeight w:hRule="exact" w:val="262"/>
        </w:trPr>
        <w:tc>
          <w:tcPr>
            <w:tcW w:w="5508" w:type="dxa"/>
            <w:tcBorders>
              <w:top w:val="single" w:sz="4" w:space="0" w:color="000000"/>
              <w:left w:val="single" w:sz="4" w:space="0" w:color="000000"/>
              <w:bottom w:val="single" w:sz="4" w:space="0" w:color="000000"/>
              <w:right w:val="single" w:sz="4" w:space="0" w:color="000000"/>
            </w:tcBorders>
            <w:hideMark/>
          </w:tcPr>
          <w:p w14:paraId="7151A005" w14:textId="77777777" w:rsidR="00927B43" w:rsidRDefault="00927B43">
            <w:pPr>
              <w:pStyle w:val="TableParagraph"/>
              <w:spacing w:line="240" w:lineRule="auto"/>
              <w:rPr>
                <w:lang w:val="da-DK"/>
              </w:rPr>
            </w:pPr>
            <w:r>
              <w:rPr>
                <w:lang w:val="da-DK"/>
              </w:rPr>
              <w:t>Patienter med blødningsmåling på dag 43, n</w:t>
            </w:r>
          </w:p>
        </w:tc>
        <w:tc>
          <w:tcPr>
            <w:tcW w:w="1748" w:type="dxa"/>
            <w:tcBorders>
              <w:top w:val="single" w:sz="4" w:space="0" w:color="000000"/>
              <w:left w:val="single" w:sz="4" w:space="0" w:color="000000"/>
              <w:bottom w:val="single" w:sz="4" w:space="0" w:color="000000"/>
              <w:right w:val="single" w:sz="4" w:space="0" w:color="000000"/>
            </w:tcBorders>
            <w:hideMark/>
          </w:tcPr>
          <w:p w14:paraId="6374D920" w14:textId="77777777" w:rsidR="00927B43" w:rsidRDefault="00927B43">
            <w:pPr>
              <w:pStyle w:val="TableParagraph"/>
              <w:spacing w:line="240" w:lineRule="auto"/>
              <w:ind w:left="555"/>
              <w:jc w:val="center"/>
              <w:rPr>
                <w:lang w:val="da-DK"/>
              </w:rPr>
            </w:pPr>
            <w:r>
              <w:rPr>
                <w:lang w:val="da-DK"/>
              </w:rPr>
              <w:t>51</w:t>
            </w:r>
          </w:p>
        </w:tc>
        <w:tc>
          <w:tcPr>
            <w:tcW w:w="1662" w:type="dxa"/>
            <w:tcBorders>
              <w:top w:val="single" w:sz="4" w:space="0" w:color="000000"/>
              <w:left w:val="single" w:sz="4" w:space="0" w:color="000000"/>
              <w:bottom w:val="single" w:sz="4" w:space="0" w:color="000000"/>
              <w:right w:val="single" w:sz="4" w:space="0" w:color="000000"/>
            </w:tcBorders>
            <w:hideMark/>
          </w:tcPr>
          <w:p w14:paraId="14BA7D77" w14:textId="77777777" w:rsidR="00927B43" w:rsidRDefault="00927B43">
            <w:pPr>
              <w:pStyle w:val="TableParagraph"/>
              <w:spacing w:line="240" w:lineRule="auto"/>
              <w:ind w:left="0"/>
              <w:jc w:val="center"/>
              <w:rPr>
                <w:lang w:val="da-DK"/>
              </w:rPr>
            </w:pPr>
            <w:r>
              <w:rPr>
                <w:lang w:val="da-DK"/>
              </w:rPr>
              <w:t>30</w:t>
            </w:r>
          </w:p>
        </w:tc>
      </w:tr>
      <w:tr w:rsidR="00927B43" w14:paraId="0C4060FC" w14:textId="77777777" w:rsidTr="00927B43">
        <w:trPr>
          <w:trHeight w:hRule="exact" w:val="685"/>
        </w:trPr>
        <w:tc>
          <w:tcPr>
            <w:tcW w:w="5508" w:type="dxa"/>
            <w:vMerge w:val="restart"/>
            <w:tcBorders>
              <w:top w:val="single" w:sz="4" w:space="0" w:color="000000"/>
              <w:left w:val="single" w:sz="4" w:space="0" w:color="000000"/>
              <w:bottom w:val="single" w:sz="4" w:space="0" w:color="000000"/>
              <w:right w:val="single" w:sz="4" w:space="0" w:color="000000"/>
            </w:tcBorders>
          </w:tcPr>
          <w:p w14:paraId="35721AEF" w14:textId="77777777" w:rsidR="00927B43" w:rsidRDefault="00927B43">
            <w:pPr>
              <w:pStyle w:val="TableParagraph"/>
              <w:spacing w:line="240" w:lineRule="auto"/>
              <w:rPr>
                <w:lang w:val="da-DK"/>
              </w:rPr>
            </w:pPr>
            <w:r>
              <w:rPr>
                <w:lang w:val="da-DK"/>
              </w:rPr>
              <w:t>Blødning (WHO-niveau 1-4) n (%)</w:t>
            </w:r>
          </w:p>
          <w:p w14:paraId="75802008" w14:textId="77777777" w:rsidR="00927B43" w:rsidRDefault="00927B43">
            <w:pPr>
              <w:pStyle w:val="TableParagraph"/>
              <w:spacing w:before="6" w:line="240" w:lineRule="auto"/>
              <w:ind w:left="0"/>
              <w:rPr>
                <w:b/>
                <w:sz w:val="21"/>
                <w:lang w:val="da-DK"/>
              </w:rPr>
            </w:pPr>
          </w:p>
          <w:p w14:paraId="4F59D19C" w14:textId="77777777" w:rsidR="00927B43" w:rsidRDefault="00927B43">
            <w:pPr>
              <w:pStyle w:val="TableParagraph"/>
              <w:spacing w:line="240" w:lineRule="auto"/>
              <w:ind w:left="0"/>
              <w:jc w:val="center"/>
              <w:rPr>
                <w:sz w:val="14"/>
                <w:lang w:val="da-DK"/>
              </w:rPr>
            </w:pPr>
            <w:r>
              <w:rPr>
                <w:i/>
                <w:lang w:val="da-DK"/>
              </w:rPr>
              <w:t>p-</w:t>
            </w:r>
            <w:r>
              <w:rPr>
                <w:lang w:val="da-DK"/>
              </w:rPr>
              <w:t>værdi</w:t>
            </w:r>
            <w:r>
              <w:rPr>
                <w:position w:val="8"/>
                <w:sz w:val="14"/>
                <w:lang w:val="da-DK"/>
              </w:rPr>
              <w:t>a</w:t>
            </w:r>
          </w:p>
        </w:tc>
        <w:tc>
          <w:tcPr>
            <w:tcW w:w="1748" w:type="dxa"/>
            <w:tcBorders>
              <w:top w:val="single" w:sz="4" w:space="0" w:color="000000"/>
              <w:left w:val="single" w:sz="4" w:space="0" w:color="000000"/>
              <w:bottom w:val="single" w:sz="4" w:space="0" w:color="000000"/>
              <w:right w:val="single" w:sz="4" w:space="0" w:color="000000"/>
            </w:tcBorders>
            <w:hideMark/>
          </w:tcPr>
          <w:p w14:paraId="43CB2D81" w14:textId="77777777" w:rsidR="00927B43" w:rsidRDefault="00927B43">
            <w:pPr>
              <w:pStyle w:val="TableParagraph"/>
              <w:spacing w:line="240" w:lineRule="auto"/>
              <w:ind w:left="556"/>
              <w:jc w:val="center"/>
              <w:rPr>
                <w:lang w:val="da-DK"/>
              </w:rPr>
            </w:pPr>
            <w:r>
              <w:rPr>
                <w:lang w:val="da-DK"/>
              </w:rPr>
              <w:t>20 (39)</w:t>
            </w:r>
          </w:p>
        </w:tc>
        <w:tc>
          <w:tcPr>
            <w:tcW w:w="1662" w:type="dxa"/>
            <w:tcBorders>
              <w:top w:val="single" w:sz="4" w:space="0" w:color="000000"/>
              <w:left w:val="single" w:sz="4" w:space="0" w:color="000000"/>
              <w:bottom w:val="single" w:sz="4" w:space="0" w:color="000000"/>
              <w:right w:val="single" w:sz="4" w:space="0" w:color="000000"/>
            </w:tcBorders>
            <w:hideMark/>
          </w:tcPr>
          <w:p w14:paraId="649D93EA" w14:textId="77777777" w:rsidR="00927B43" w:rsidRDefault="00927B43">
            <w:pPr>
              <w:pStyle w:val="TableParagraph"/>
              <w:spacing w:line="240" w:lineRule="auto"/>
              <w:ind w:left="0"/>
              <w:jc w:val="center"/>
              <w:rPr>
                <w:lang w:val="da-DK"/>
              </w:rPr>
            </w:pPr>
            <w:r>
              <w:rPr>
                <w:lang w:val="da-DK"/>
              </w:rPr>
              <w:t>18 (60)</w:t>
            </w:r>
          </w:p>
        </w:tc>
      </w:tr>
      <w:tr w:rsidR="00927B43" w14:paraId="0F72A5CD" w14:textId="77777777" w:rsidTr="00927B43">
        <w:trPr>
          <w:trHeight w:val="451"/>
        </w:trPr>
        <w:tc>
          <w:tcPr>
            <w:tcW w:w="8918" w:type="dxa"/>
            <w:vMerge/>
            <w:tcBorders>
              <w:top w:val="single" w:sz="4" w:space="0" w:color="000000"/>
              <w:left w:val="single" w:sz="4" w:space="0" w:color="000000"/>
              <w:bottom w:val="single" w:sz="4" w:space="0" w:color="000000"/>
              <w:right w:val="single" w:sz="4" w:space="0" w:color="000000"/>
            </w:tcBorders>
            <w:vAlign w:val="center"/>
            <w:hideMark/>
          </w:tcPr>
          <w:p w14:paraId="1CD56962" w14:textId="77777777" w:rsidR="00927B43" w:rsidRDefault="00927B43">
            <w:pPr>
              <w:rPr>
                <w:sz w:val="14"/>
                <w:szCs w:val="22"/>
              </w:rPr>
            </w:pPr>
          </w:p>
        </w:tc>
        <w:tc>
          <w:tcPr>
            <w:tcW w:w="3410" w:type="dxa"/>
            <w:gridSpan w:val="2"/>
            <w:tcBorders>
              <w:top w:val="single" w:sz="4" w:space="0" w:color="000000"/>
              <w:left w:val="single" w:sz="4" w:space="0" w:color="000000"/>
              <w:bottom w:val="single" w:sz="4" w:space="0" w:color="000000"/>
              <w:right w:val="single" w:sz="4" w:space="0" w:color="000000"/>
            </w:tcBorders>
            <w:hideMark/>
          </w:tcPr>
          <w:p w14:paraId="4238932B" w14:textId="77777777" w:rsidR="00927B43" w:rsidRDefault="00927B43">
            <w:pPr>
              <w:pStyle w:val="TableParagraph"/>
              <w:spacing w:before="116" w:line="240" w:lineRule="auto"/>
              <w:ind w:left="-20"/>
              <w:jc w:val="center"/>
              <w:rPr>
                <w:lang w:val="da-DK"/>
              </w:rPr>
            </w:pPr>
            <w:r>
              <w:rPr>
                <w:lang w:val="da-DK"/>
              </w:rPr>
              <w:t xml:space="preserve"> 0,029</w:t>
            </w:r>
          </w:p>
        </w:tc>
      </w:tr>
    </w:tbl>
    <w:p w14:paraId="3C4F6065" w14:textId="77777777" w:rsidR="00927B43" w:rsidRPr="00D54FFA" w:rsidRDefault="00927B43" w:rsidP="00927B43">
      <w:pPr>
        <w:rPr>
          <w:sz w:val="20"/>
        </w:rPr>
      </w:pPr>
      <w:r w:rsidRPr="00D54FFA">
        <w:rPr>
          <w:sz w:val="20"/>
        </w:rPr>
        <w:t>a      Logistisk regressionsmodel justeret for stratificeringsvariable i randomiseringen</w:t>
      </w:r>
    </w:p>
    <w:p w14:paraId="4C31E200" w14:textId="77777777" w:rsidR="00927B43" w:rsidRPr="00D54FFA" w:rsidRDefault="00927B43" w:rsidP="00D54FFA">
      <w:pPr>
        <w:ind w:left="851"/>
        <w:rPr>
          <w:sz w:val="24"/>
          <w:szCs w:val="24"/>
        </w:rPr>
      </w:pPr>
    </w:p>
    <w:p w14:paraId="30B7F5A3" w14:textId="77777777" w:rsidR="00927B43" w:rsidRPr="00D54FFA" w:rsidRDefault="00927B43" w:rsidP="00D54FFA">
      <w:pPr>
        <w:autoSpaceDE w:val="0"/>
        <w:autoSpaceDN w:val="0"/>
        <w:adjustRightInd w:val="0"/>
        <w:ind w:left="851"/>
        <w:rPr>
          <w:sz w:val="24"/>
          <w:szCs w:val="24"/>
        </w:rPr>
      </w:pPr>
      <w:r w:rsidRPr="00D54FFA">
        <w:rPr>
          <w:sz w:val="24"/>
          <w:szCs w:val="24"/>
        </w:rPr>
        <w:t>Både i RAISE- og TRA100773B-studierne var responset på eltrombopag ved randomisering, i forhold til placebo, det samme, uanset anvendelsen af ITP-lægemidler, splenektomi-status og trombocyttal ved udgangsniveau (≤ 15 000 pr. μl, &gt; 15 000 pr. μl).</w:t>
      </w:r>
    </w:p>
    <w:p w14:paraId="1C574DAD" w14:textId="77777777" w:rsidR="00927B43" w:rsidRPr="00D54FFA" w:rsidRDefault="00927B43" w:rsidP="00D54FFA">
      <w:pPr>
        <w:autoSpaceDE w:val="0"/>
        <w:autoSpaceDN w:val="0"/>
        <w:adjustRightInd w:val="0"/>
        <w:ind w:left="851"/>
        <w:rPr>
          <w:sz w:val="24"/>
          <w:szCs w:val="24"/>
        </w:rPr>
      </w:pPr>
    </w:p>
    <w:p w14:paraId="5C4BA90F" w14:textId="77777777" w:rsidR="00927B43" w:rsidRPr="00D54FFA" w:rsidRDefault="00927B43" w:rsidP="00D54FFA">
      <w:pPr>
        <w:autoSpaceDE w:val="0"/>
        <w:autoSpaceDN w:val="0"/>
        <w:adjustRightInd w:val="0"/>
        <w:ind w:left="851"/>
        <w:rPr>
          <w:sz w:val="24"/>
          <w:szCs w:val="24"/>
        </w:rPr>
      </w:pPr>
      <w:r w:rsidRPr="00D54FFA">
        <w:rPr>
          <w:sz w:val="24"/>
          <w:szCs w:val="24"/>
        </w:rPr>
        <w:t>I RAISE- og TRA100773B-studierne, i subgruppen af ITP-patienter med et trombocyttal ved udgangsniveau på ≤ 15 000 pr. μl, nåede mediantrombocyttallet ikke det tilsigtede niveau (&gt; 50 000 pr. μl), selvom 43 % af disse eltrombopag-behandlede patienter responderede efter 6 uger behandling i begge studier. Herudover responderede 42 % af de eltrombopag-behandlede patienter i RAISE-studiet, med et trombocyttal ved udgangsniveau på ≤ 15 000 pr. μl, ved udgangen af den 6 måneders behandlingsperiode. 42 til 60 % af de eltrombopag-behandlede patienter i RAISE-studiet fik 75 mg fra dag 29 og til afslutningen af behandlingen.</w:t>
      </w:r>
    </w:p>
    <w:p w14:paraId="5DA17BAA" w14:textId="77777777" w:rsidR="00927B43" w:rsidRPr="00D54FFA" w:rsidRDefault="00927B43" w:rsidP="00D54FFA">
      <w:pPr>
        <w:autoSpaceDE w:val="0"/>
        <w:autoSpaceDN w:val="0"/>
        <w:adjustRightInd w:val="0"/>
        <w:ind w:left="851"/>
        <w:rPr>
          <w:sz w:val="24"/>
          <w:szCs w:val="24"/>
          <w:highlight w:val="green"/>
        </w:rPr>
      </w:pPr>
    </w:p>
    <w:p w14:paraId="17121315" w14:textId="77777777" w:rsidR="00927B43" w:rsidRPr="00D54FFA" w:rsidRDefault="00927B43" w:rsidP="00D54FFA">
      <w:pPr>
        <w:autoSpaceDE w:val="0"/>
        <w:autoSpaceDN w:val="0"/>
        <w:adjustRightInd w:val="0"/>
        <w:ind w:left="851"/>
        <w:rPr>
          <w:i/>
          <w:iCs/>
          <w:sz w:val="24"/>
          <w:szCs w:val="24"/>
        </w:rPr>
      </w:pPr>
      <w:r w:rsidRPr="00D54FFA">
        <w:rPr>
          <w:i/>
          <w:iCs/>
          <w:sz w:val="24"/>
          <w:szCs w:val="24"/>
        </w:rPr>
        <w:lastRenderedPageBreak/>
        <w:t>Åbne ikke-kontrollerede studier</w:t>
      </w:r>
    </w:p>
    <w:p w14:paraId="234E4F9A" w14:textId="77777777" w:rsidR="00D54FFA" w:rsidRDefault="00D54FFA" w:rsidP="00D54FFA">
      <w:pPr>
        <w:autoSpaceDE w:val="0"/>
        <w:autoSpaceDN w:val="0"/>
        <w:adjustRightInd w:val="0"/>
        <w:ind w:left="851"/>
        <w:rPr>
          <w:sz w:val="24"/>
          <w:szCs w:val="24"/>
        </w:rPr>
      </w:pPr>
    </w:p>
    <w:p w14:paraId="2B72DCCE" w14:textId="1FFC0B68" w:rsidR="00927B43" w:rsidRPr="00D54FFA" w:rsidRDefault="00927B43" w:rsidP="00D54FFA">
      <w:pPr>
        <w:autoSpaceDE w:val="0"/>
        <w:autoSpaceDN w:val="0"/>
        <w:adjustRightInd w:val="0"/>
        <w:ind w:left="851"/>
        <w:rPr>
          <w:sz w:val="24"/>
          <w:szCs w:val="24"/>
        </w:rPr>
      </w:pPr>
      <w:r w:rsidRPr="00D54FFA">
        <w:rPr>
          <w:sz w:val="24"/>
          <w:szCs w:val="24"/>
        </w:rPr>
        <w:t>REPEAT (TRA108057):</w:t>
      </w:r>
    </w:p>
    <w:p w14:paraId="708D8BF2" w14:textId="77777777" w:rsidR="00927B43" w:rsidRPr="00D54FFA" w:rsidRDefault="00927B43" w:rsidP="00D54FFA">
      <w:pPr>
        <w:autoSpaceDE w:val="0"/>
        <w:autoSpaceDN w:val="0"/>
        <w:adjustRightInd w:val="0"/>
        <w:ind w:left="851"/>
        <w:rPr>
          <w:sz w:val="24"/>
          <w:szCs w:val="24"/>
        </w:rPr>
      </w:pPr>
      <w:r w:rsidRPr="00D54FFA">
        <w:rPr>
          <w:sz w:val="24"/>
          <w:szCs w:val="24"/>
        </w:rPr>
        <w:t>Dette åbne studie med gentagne doser (3 cykler á 6 ugers behandling efterfulgt af 4 uger uden behand-ling) viste, at episodisk anvendelse med flere behandlinger med eltrombopag ikke har påvist mangel på respons.</w:t>
      </w:r>
    </w:p>
    <w:p w14:paraId="013EBD34" w14:textId="77777777" w:rsidR="00927B43" w:rsidRPr="00D54FFA" w:rsidRDefault="00927B43" w:rsidP="00D54FFA">
      <w:pPr>
        <w:autoSpaceDE w:val="0"/>
        <w:autoSpaceDN w:val="0"/>
        <w:adjustRightInd w:val="0"/>
        <w:ind w:left="851"/>
        <w:rPr>
          <w:sz w:val="24"/>
          <w:szCs w:val="24"/>
        </w:rPr>
      </w:pPr>
    </w:p>
    <w:p w14:paraId="5EED11C9" w14:textId="77777777" w:rsidR="00927B43" w:rsidRPr="00D54FFA" w:rsidRDefault="00927B43" w:rsidP="00D54FFA">
      <w:pPr>
        <w:autoSpaceDE w:val="0"/>
        <w:autoSpaceDN w:val="0"/>
        <w:adjustRightInd w:val="0"/>
        <w:ind w:left="851"/>
        <w:rPr>
          <w:sz w:val="24"/>
          <w:szCs w:val="24"/>
        </w:rPr>
      </w:pPr>
      <w:r w:rsidRPr="00D54FFA">
        <w:rPr>
          <w:sz w:val="24"/>
          <w:szCs w:val="24"/>
        </w:rPr>
        <w:t>EXTEND (TRA105325):</w:t>
      </w:r>
    </w:p>
    <w:p w14:paraId="47D03811" w14:textId="77777777" w:rsidR="00927B43" w:rsidRPr="00D54FFA" w:rsidRDefault="00927B43" w:rsidP="00D54FFA">
      <w:pPr>
        <w:autoSpaceDE w:val="0"/>
        <w:autoSpaceDN w:val="0"/>
        <w:adjustRightInd w:val="0"/>
        <w:ind w:left="851"/>
        <w:rPr>
          <w:sz w:val="24"/>
          <w:szCs w:val="24"/>
        </w:rPr>
      </w:pPr>
      <w:r w:rsidRPr="00D54FFA">
        <w:rPr>
          <w:sz w:val="24"/>
          <w:szCs w:val="24"/>
        </w:rPr>
        <w:t xml:space="preserve">I dette forlængede, åbne studie blev eltrombopag givet til 302 ITP-patienter; 218 patienter gennemførte 1 år, 180 gennemførte 2 år, 107 gennemførte 3 år, 75 gennemførte 4 år, 34 gennemførte 5 år og 18 gennemførte 6 år. Det mediane trombocyttal ved </w:t>
      </w:r>
      <w:r w:rsidRPr="00D54FFA">
        <w:rPr>
          <w:i/>
          <w:iCs/>
          <w:sz w:val="24"/>
          <w:szCs w:val="24"/>
        </w:rPr>
        <w:t>baseline</w:t>
      </w:r>
      <w:r w:rsidRPr="00D54FFA">
        <w:rPr>
          <w:sz w:val="24"/>
          <w:szCs w:val="24"/>
        </w:rPr>
        <w:t xml:space="preserve"> var 19 000 pr. μl før administration af eltrombopag. Det mediane trombocyttal ved 1, 2, 3, 4, 5, 6, og 7 år i studiet var hhv. 85 000 pr. μl, 85 000 pr. μl, 105 000 pr. μl, 64 000 pr. μl, 75 000 pr. μl, 119 000 pr. μl og 76 000 pr. μl.</w:t>
      </w:r>
    </w:p>
    <w:p w14:paraId="1A03C6A2" w14:textId="77777777" w:rsidR="00927B43" w:rsidRPr="00D54FFA" w:rsidRDefault="00927B43" w:rsidP="00D54FFA">
      <w:pPr>
        <w:autoSpaceDE w:val="0"/>
        <w:autoSpaceDN w:val="0"/>
        <w:adjustRightInd w:val="0"/>
        <w:ind w:left="851"/>
        <w:rPr>
          <w:sz w:val="24"/>
          <w:szCs w:val="24"/>
        </w:rPr>
      </w:pPr>
    </w:p>
    <w:p w14:paraId="1DE80241" w14:textId="77777777" w:rsidR="00927B43" w:rsidRPr="00D54FFA" w:rsidRDefault="00927B43" w:rsidP="00D54FFA">
      <w:pPr>
        <w:autoSpaceDE w:val="0"/>
        <w:autoSpaceDN w:val="0"/>
        <w:adjustRightInd w:val="0"/>
        <w:ind w:left="851"/>
        <w:rPr>
          <w:sz w:val="24"/>
          <w:szCs w:val="24"/>
        </w:rPr>
      </w:pPr>
      <w:r w:rsidRPr="00D54FFA">
        <w:rPr>
          <w:sz w:val="24"/>
          <w:szCs w:val="24"/>
        </w:rPr>
        <w:t>TAPER (CETB115J2411):</w:t>
      </w:r>
    </w:p>
    <w:p w14:paraId="68AB4370" w14:textId="77777777" w:rsidR="00927B43" w:rsidRPr="00D54FFA" w:rsidRDefault="00927B43" w:rsidP="00D54FFA">
      <w:pPr>
        <w:autoSpaceDE w:val="0"/>
        <w:autoSpaceDN w:val="0"/>
        <w:adjustRightInd w:val="0"/>
        <w:ind w:left="851"/>
        <w:rPr>
          <w:sz w:val="24"/>
          <w:szCs w:val="24"/>
        </w:rPr>
      </w:pPr>
      <w:r w:rsidRPr="00D54FFA">
        <w:rPr>
          <w:sz w:val="24"/>
          <w:szCs w:val="24"/>
        </w:rPr>
        <w:t>Dette var et enkeltgruppe fase II-studie, som inkluderede ITP-patienter, der efter behandlingssvigt med førstelinje kortikosteroider blev behandlet med eltrombopag uafhængigt af tid siden diagnose. Sammenlagt 105 patienter blev inkluderet i studiet og opstartede behandling med 50 mg eltrombopag en gang dagligt (25 mg en gang dagligt for patienter af øst-/sydøstasiatisk oprindelse). Eltrombopag-dosis blev justeret undervejs i behandlingsperioden baseret på individuelle trombocyttal med målet at opnå et trombocyttal ≥ 100 000/ul.</w:t>
      </w:r>
    </w:p>
    <w:p w14:paraId="0D471900" w14:textId="77777777" w:rsidR="00927B43" w:rsidRPr="00D54FFA" w:rsidRDefault="00927B43" w:rsidP="00D54FFA">
      <w:pPr>
        <w:autoSpaceDE w:val="0"/>
        <w:autoSpaceDN w:val="0"/>
        <w:adjustRightInd w:val="0"/>
        <w:ind w:left="851"/>
        <w:rPr>
          <w:sz w:val="24"/>
          <w:szCs w:val="24"/>
          <w:highlight w:val="green"/>
        </w:rPr>
      </w:pPr>
    </w:p>
    <w:p w14:paraId="7B96CB65" w14:textId="77777777" w:rsidR="00927B43" w:rsidRPr="00D54FFA" w:rsidRDefault="00927B43" w:rsidP="00D54FFA">
      <w:pPr>
        <w:autoSpaceDE w:val="0"/>
        <w:autoSpaceDN w:val="0"/>
        <w:adjustRightInd w:val="0"/>
        <w:ind w:left="851"/>
        <w:rPr>
          <w:sz w:val="24"/>
          <w:szCs w:val="24"/>
        </w:rPr>
      </w:pPr>
      <w:r w:rsidRPr="00D54FFA">
        <w:rPr>
          <w:sz w:val="24"/>
          <w:szCs w:val="24"/>
        </w:rPr>
        <w:t>Af de 105 patienter, som blev inkluderet i studiet og blev behandlet med mindst én dosis af eltrombopag, fuldførte 69 patienter (65,7 %) behandlingen, og 36 patienter (34,3 %) afbrød behandlingen før tid.</w:t>
      </w:r>
    </w:p>
    <w:p w14:paraId="6305DCF2" w14:textId="77777777" w:rsidR="00927B43" w:rsidRPr="00D54FFA" w:rsidRDefault="00927B43" w:rsidP="00D54FFA">
      <w:pPr>
        <w:autoSpaceDE w:val="0"/>
        <w:autoSpaceDN w:val="0"/>
        <w:adjustRightInd w:val="0"/>
        <w:ind w:left="851"/>
        <w:rPr>
          <w:sz w:val="24"/>
          <w:szCs w:val="24"/>
          <w:highlight w:val="green"/>
        </w:rPr>
      </w:pPr>
    </w:p>
    <w:p w14:paraId="72FA2879"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Analyse af vedvarende respons efter behandling</w:t>
      </w:r>
    </w:p>
    <w:p w14:paraId="01EF8DC4" w14:textId="77777777" w:rsidR="00927B43" w:rsidRPr="00D54FFA" w:rsidRDefault="00927B43" w:rsidP="00D54FFA">
      <w:pPr>
        <w:autoSpaceDE w:val="0"/>
        <w:autoSpaceDN w:val="0"/>
        <w:adjustRightInd w:val="0"/>
        <w:ind w:left="851"/>
        <w:rPr>
          <w:sz w:val="24"/>
          <w:szCs w:val="24"/>
        </w:rPr>
      </w:pPr>
      <w:r w:rsidRPr="00D54FFA">
        <w:rPr>
          <w:sz w:val="24"/>
          <w:szCs w:val="24"/>
        </w:rPr>
        <w:t>Det primære endepunkt var andelen af patienter med vedvarende respons efter behandling ved 12. måned. Patienter, som opnåede et trombocyttal ≥ 100 000/μl og opretholdte et trombocyttal på ca. 100 000/μl i 2 måneder (ingen målinger under 70 000/μl), egnede sig til nedtrapning af eltrombopag og seponering af behandling. For at kunne blive betragtet som at have opnået et vedvarende respons efter behandling, skulle en patient opretholde et trombocyttal på ≥ 30 000/μl, uden blødningshændelser eller brug af ”rescue”-terapi i 12 måneder under både nedtrapningsperioden og efter seponering af behandling.</w:t>
      </w:r>
    </w:p>
    <w:p w14:paraId="5E1E4994" w14:textId="77777777" w:rsidR="00927B43" w:rsidRPr="00D54FFA" w:rsidRDefault="00927B43" w:rsidP="00D54FFA">
      <w:pPr>
        <w:autoSpaceDE w:val="0"/>
        <w:autoSpaceDN w:val="0"/>
        <w:adjustRightInd w:val="0"/>
        <w:ind w:left="851"/>
        <w:rPr>
          <w:sz w:val="24"/>
          <w:szCs w:val="24"/>
        </w:rPr>
      </w:pPr>
    </w:p>
    <w:p w14:paraId="4AF9A782" w14:textId="77777777" w:rsidR="00927B43" w:rsidRPr="00D54FFA" w:rsidRDefault="00927B43" w:rsidP="00D54FFA">
      <w:pPr>
        <w:autoSpaceDE w:val="0"/>
        <w:autoSpaceDN w:val="0"/>
        <w:adjustRightInd w:val="0"/>
        <w:ind w:left="851"/>
        <w:rPr>
          <w:sz w:val="24"/>
          <w:szCs w:val="24"/>
        </w:rPr>
      </w:pPr>
      <w:r w:rsidRPr="00D54FFA">
        <w:rPr>
          <w:sz w:val="24"/>
          <w:szCs w:val="24"/>
        </w:rPr>
        <w:t>Varigheden af nedtrapning blev individualiseret afhængig af startdosis og patientens respons. Såfremt trombocyttallet var stabilt, anbefalede nedtrapningsskemaet dosisreduktioner på 25 mg hver anden uge. Efter den daglige dosis havde været reduceret til 25 mg i 2 uger, blev dosen på 25 mg kun administreret hver anden dag i 2 uger indtil seponering af behandling. For patienter af øst- /sydøstasiatisk oprindelse blev nedtrapningen udført i mindre reduktioner af 12,5 mg hver anden uge. Hvis der skete et tilbagefald (defineret som et trombocyttal &lt; 30 000/μl), blev patienterne tilbudt et nyt forløb med eltrombopag med en passende startdosis.</w:t>
      </w:r>
    </w:p>
    <w:p w14:paraId="669BF08E" w14:textId="77777777" w:rsidR="00927B43" w:rsidRPr="00D54FFA" w:rsidRDefault="00927B43" w:rsidP="00D54FFA">
      <w:pPr>
        <w:autoSpaceDE w:val="0"/>
        <w:autoSpaceDN w:val="0"/>
        <w:adjustRightInd w:val="0"/>
        <w:ind w:left="851"/>
        <w:rPr>
          <w:sz w:val="24"/>
          <w:szCs w:val="24"/>
          <w:highlight w:val="green"/>
        </w:rPr>
      </w:pPr>
    </w:p>
    <w:p w14:paraId="0768589F" w14:textId="77777777" w:rsidR="00927B43" w:rsidRPr="00D54FFA" w:rsidRDefault="00927B43" w:rsidP="00D54FFA">
      <w:pPr>
        <w:autoSpaceDE w:val="0"/>
        <w:autoSpaceDN w:val="0"/>
        <w:adjustRightInd w:val="0"/>
        <w:ind w:left="851"/>
        <w:rPr>
          <w:sz w:val="24"/>
          <w:szCs w:val="24"/>
        </w:rPr>
      </w:pPr>
      <w:r w:rsidRPr="00D54FFA">
        <w:rPr>
          <w:sz w:val="24"/>
          <w:szCs w:val="24"/>
        </w:rPr>
        <w:t>89 patienter (84,8 %) opnåede et komplet respons (trombocyttal ≥ 100 000/μl) (trin 1, tabel 5) og 65 patienter (61,9 %) kunne opretholde det komplette respons i mindst 2 måneder uden trombocyttal under 70 000/μl (trin 2, tabel 5). 44 patienter (41,9 %) kunne trappes ned på eltrombopag indtil seponering af behandling og samtidig opretholde et trombocyttal ≥ 30 000/μl uden tilfælde af blødning eller brug af ”rescue”-terapi (trin 3, tabel 5).</w:t>
      </w:r>
    </w:p>
    <w:p w14:paraId="491C87DB" w14:textId="77777777" w:rsidR="00927B43" w:rsidRPr="00D54FFA" w:rsidRDefault="00927B43" w:rsidP="00D54FFA">
      <w:pPr>
        <w:autoSpaceDE w:val="0"/>
        <w:autoSpaceDN w:val="0"/>
        <w:adjustRightInd w:val="0"/>
        <w:ind w:left="851"/>
        <w:rPr>
          <w:sz w:val="24"/>
          <w:szCs w:val="24"/>
        </w:rPr>
      </w:pPr>
    </w:p>
    <w:p w14:paraId="6694A9F5" w14:textId="77777777" w:rsidR="00927B43" w:rsidRPr="00D54FFA" w:rsidRDefault="00927B43" w:rsidP="00D54FFA">
      <w:pPr>
        <w:autoSpaceDE w:val="0"/>
        <w:autoSpaceDN w:val="0"/>
        <w:adjustRightInd w:val="0"/>
        <w:ind w:left="851"/>
        <w:rPr>
          <w:sz w:val="24"/>
          <w:szCs w:val="24"/>
        </w:rPr>
      </w:pPr>
      <w:r w:rsidRPr="00D54FFA">
        <w:rPr>
          <w:sz w:val="24"/>
          <w:szCs w:val="24"/>
        </w:rPr>
        <w:t>Studiet opnåede det primære formål ved at påvise, at eltrombopag var i stand til at inducere vedvarende respons efter behandling, uden blødningshændelser eller brug a ”rescue”-terapi, i 32 af de 105 inkluderede patienter (30,5 %; p &lt; 0.0001; 95 % CI: 21,9, 40,2) ved 12. måned (trin 4, tabel 5). Ved 24. måned opretholdt 20 af de 105 inkluderede patienter vedvarende respons efter behandling uden blødningshændelser eller brug a ”rescue”-terapi (trin 5, tabel 5).</w:t>
      </w:r>
    </w:p>
    <w:p w14:paraId="70490E31" w14:textId="77777777" w:rsidR="00927B43" w:rsidRPr="00D54FFA" w:rsidRDefault="00927B43" w:rsidP="00D54FFA">
      <w:pPr>
        <w:autoSpaceDE w:val="0"/>
        <w:autoSpaceDN w:val="0"/>
        <w:adjustRightInd w:val="0"/>
        <w:ind w:left="851"/>
        <w:rPr>
          <w:sz w:val="24"/>
          <w:szCs w:val="24"/>
        </w:rPr>
      </w:pPr>
    </w:p>
    <w:p w14:paraId="3DB2671C" w14:textId="77777777" w:rsidR="00927B43" w:rsidRPr="00D54FFA" w:rsidRDefault="00927B43" w:rsidP="00D54FFA">
      <w:pPr>
        <w:autoSpaceDE w:val="0"/>
        <w:autoSpaceDN w:val="0"/>
        <w:adjustRightInd w:val="0"/>
        <w:ind w:left="851"/>
        <w:rPr>
          <w:sz w:val="24"/>
          <w:szCs w:val="24"/>
        </w:rPr>
      </w:pPr>
      <w:r w:rsidRPr="00D54FFA">
        <w:rPr>
          <w:sz w:val="24"/>
          <w:szCs w:val="24"/>
        </w:rPr>
        <w:t xml:space="preserve">Medianvarigheden af vedvarende respons efter seponering af behandling ved 12. måned var 33,3 uger (min-max: 4-51), og medianvarigheden af vedvarende respons efter seponering af behandling ved 24. måned var 88,6 uger (min-max: 57-107). </w:t>
      </w:r>
    </w:p>
    <w:p w14:paraId="002A7A03" w14:textId="77777777" w:rsidR="00927B43" w:rsidRPr="00D54FFA" w:rsidRDefault="00927B43" w:rsidP="00D54FFA">
      <w:pPr>
        <w:autoSpaceDE w:val="0"/>
        <w:autoSpaceDN w:val="0"/>
        <w:adjustRightInd w:val="0"/>
        <w:ind w:left="851"/>
        <w:rPr>
          <w:sz w:val="24"/>
          <w:szCs w:val="24"/>
        </w:rPr>
      </w:pPr>
    </w:p>
    <w:p w14:paraId="78977A96" w14:textId="77777777" w:rsidR="00927B43" w:rsidRPr="00D54FFA" w:rsidRDefault="00927B43" w:rsidP="00D54FFA">
      <w:pPr>
        <w:autoSpaceDE w:val="0"/>
        <w:autoSpaceDN w:val="0"/>
        <w:adjustRightInd w:val="0"/>
        <w:ind w:left="851"/>
        <w:rPr>
          <w:sz w:val="24"/>
          <w:szCs w:val="24"/>
        </w:rPr>
      </w:pPr>
      <w:r w:rsidRPr="00D54FFA">
        <w:rPr>
          <w:sz w:val="24"/>
          <w:szCs w:val="24"/>
        </w:rPr>
        <w:t>12 patienter oplevede manglende respons efter nedtrapning og seponering af eltrombopag behandling. 8 af disse genstartede eltrombopag, og 7 heraf genoprettede respons.</w:t>
      </w:r>
    </w:p>
    <w:p w14:paraId="6646C0DB" w14:textId="77777777" w:rsidR="00927B43" w:rsidRPr="00D54FFA" w:rsidRDefault="00927B43" w:rsidP="00D54FFA">
      <w:pPr>
        <w:autoSpaceDE w:val="0"/>
        <w:autoSpaceDN w:val="0"/>
        <w:adjustRightInd w:val="0"/>
        <w:ind w:left="851"/>
        <w:rPr>
          <w:sz w:val="24"/>
          <w:szCs w:val="24"/>
          <w:highlight w:val="green"/>
        </w:rPr>
      </w:pPr>
    </w:p>
    <w:p w14:paraId="43617D3B" w14:textId="77777777" w:rsidR="00927B43" w:rsidRPr="00D54FFA" w:rsidRDefault="00927B43" w:rsidP="00D54FFA">
      <w:pPr>
        <w:autoSpaceDE w:val="0"/>
        <w:autoSpaceDN w:val="0"/>
        <w:adjustRightInd w:val="0"/>
        <w:ind w:left="851"/>
        <w:rPr>
          <w:sz w:val="24"/>
          <w:szCs w:val="24"/>
        </w:rPr>
      </w:pPr>
      <w:r w:rsidRPr="00D54FFA">
        <w:rPr>
          <w:sz w:val="24"/>
          <w:szCs w:val="24"/>
        </w:rPr>
        <w:t>Under den 2-årige opfølgningsperiode oplevede 6 ud af 105 patienter (5,7 %) tromboemboliske hændelser, hvoraf 3 patienter (2,9 %) oplevede dyb venetrombose, 1 patient (1,0 %) oplevede superficiel venetrombose, 1 patient (1,0 %) oplevede sinus cavernosus-trombose, 1 patient (1,0 %) oplevede en cerebrovaskulær ulykke, og 1 patient (1,0 %) oplevede lungeemboli. Af de 6 patienter oplevede 4 patienter tromboemboliske hændelser, der blev rapporteret som værende af 3. grad eller værre, og 4 patienter oplevede tromboemboliske hændelser, som blev rapporteret som værende alvorlige. Ingen fatale tilfælde blev rapporteret.</w:t>
      </w:r>
    </w:p>
    <w:p w14:paraId="0E0E1AF3" w14:textId="77777777" w:rsidR="00927B43" w:rsidRPr="00D54FFA" w:rsidRDefault="00927B43" w:rsidP="00D54FFA">
      <w:pPr>
        <w:autoSpaceDE w:val="0"/>
        <w:autoSpaceDN w:val="0"/>
        <w:adjustRightInd w:val="0"/>
        <w:ind w:left="851"/>
        <w:rPr>
          <w:sz w:val="24"/>
          <w:szCs w:val="24"/>
          <w:highlight w:val="green"/>
        </w:rPr>
      </w:pPr>
    </w:p>
    <w:p w14:paraId="4E2C9FF0" w14:textId="77777777" w:rsidR="00927B43" w:rsidRPr="00D54FFA" w:rsidRDefault="00927B43" w:rsidP="00D54FFA">
      <w:pPr>
        <w:autoSpaceDE w:val="0"/>
        <w:autoSpaceDN w:val="0"/>
        <w:adjustRightInd w:val="0"/>
        <w:ind w:left="851"/>
        <w:rPr>
          <w:sz w:val="24"/>
          <w:szCs w:val="24"/>
        </w:rPr>
      </w:pPr>
      <w:r w:rsidRPr="00D54FFA">
        <w:rPr>
          <w:sz w:val="24"/>
          <w:szCs w:val="24"/>
        </w:rPr>
        <w:t>20 ud af 105 patienter (19,0 %) oplevede milde til alvorlige blødningshændelser under behandlingen, før nedtrapning blev påbegyndt. 5 ud af 65 patienter (7,7 %), som begyndte nedtrapning, oplevede milde til moderate blødningshændelser undervejs i nedtrapningen. Ingen alvorlige blødningshændelser indtrådte under nedtrapning. Af de patienter, som nedtrappede og seponerede eltrombopag behandlingen, oplevede 2 ud af 44 patienter (4,5 %) milde til moderate blødningshændelser efter seponering af behandling inden den 12. måned. Ingen alvorlige blødningshændelser indtrådte under denne periode. Ingen af patienterne, som fik seponeret eltrombopag og indgik i den 2-årige opfølgningsperiode, oplevede blødningshændelser i løbet af det 2. år. 2 fatale intrakranielle blødningshændelser blev rapporteret under den 2-årige opfølgningsperiode. Begge hændelser indtrådte under behandling og ikke i sammenhæng med nedtrapning. Hændelserne blev ikke betragtet som værende relateret til studiebehandlingen.</w:t>
      </w:r>
    </w:p>
    <w:p w14:paraId="210094DA" w14:textId="77777777" w:rsidR="00927B43" w:rsidRPr="00D54FFA" w:rsidRDefault="00927B43" w:rsidP="00D54FFA">
      <w:pPr>
        <w:autoSpaceDE w:val="0"/>
        <w:autoSpaceDN w:val="0"/>
        <w:adjustRightInd w:val="0"/>
        <w:ind w:left="851"/>
        <w:rPr>
          <w:sz w:val="24"/>
          <w:szCs w:val="24"/>
          <w:highlight w:val="green"/>
        </w:rPr>
      </w:pPr>
    </w:p>
    <w:p w14:paraId="2E5B40CB" w14:textId="77777777" w:rsidR="00927B43" w:rsidRPr="00D54FFA" w:rsidRDefault="00927B43" w:rsidP="00D54FFA">
      <w:pPr>
        <w:autoSpaceDE w:val="0"/>
        <w:autoSpaceDN w:val="0"/>
        <w:adjustRightInd w:val="0"/>
        <w:ind w:left="851"/>
        <w:rPr>
          <w:sz w:val="24"/>
          <w:szCs w:val="24"/>
        </w:rPr>
      </w:pPr>
      <w:r w:rsidRPr="00D54FFA">
        <w:rPr>
          <w:sz w:val="24"/>
          <w:szCs w:val="24"/>
        </w:rPr>
        <w:t>Den samlede sikkerhedsanalyse er konsistent med tidligere rapporteret data og risk/benefit-vurderingen forbliver uændret ved brugen af eltrombopag hos patienter med ITP.</w:t>
      </w:r>
    </w:p>
    <w:p w14:paraId="7DD17E2A" w14:textId="77777777" w:rsidR="00927B43" w:rsidRPr="00D54FFA" w:rsidRDefault="00927B43" w:rsidP="00D54FFA">
      <w:pPr>
        <w:autoSpaceDE w:val="0"/>
        <w:autoSpaceDN w:val="0"/>
        <w:adjustRightInd w:val="0"/>
        <w:ind w:left="851"/>
        <w:rPr>
          <w:sz w:val="24"/>
          <w:szCs w:val="24"/>
          <w:highlight w:val="green"/>
        </w:rPr>
      </w:pPr>
    </w:p>
    <w:p w14:paraId="42A53A8C" w14:textId="77777777" w:rsidR="00927B43" w:rsidRDefault="00927B43" w:rsidP="00927B43">
      <w:pPr>
        <w:tabs>
          <w:tab w:val="left" w:pos="1134"/>
        </w:tabs>
        <w:ind w:left="993" w:hanging="993"/>
        <w:rPr>
          <w:b/>
          <w:bCs/>
        </w:rPr>
      </w:pPr>
      <w:r>
        <w:rPr>
          <w:b/>
          <w:bCs/>
        </w:rPr>
        <w:t>Tabel 5     Andel af patienter med vedvarende respons efter behandling ved 12. måned og ved    24. måned (fuldstændigt analysedatasæt) i TAPER</w:t>
      </w:r>
    </w:p>
    <w:p w14:paraId="57C3E353" w14:textId="77777777" w:rsidR="00927B43" w:rsidRDefault="00927B43" w:rsidP="00927B43">
      <w:pPr>
        <w:autoSpaceDE w:val="0"/>
        <w:autoSpaceDN w:val="0"/>
        <w:adjustRightInd w:val="0"/>
        <w:rPr>
          <w:b/>
          <w:bCs/>
          <w:highlight w:val="green"/>
        </w:rPr>
      </w:pPr>
    </w:p>
    <w:tbl>
      <w:tblPr>
        <w:tblStyle w:val="Tabel-Gitter"/>
        <w:tblW w:w="9209" w:type="dxa"/>
        <w:tblLook w:val="04A0" w:firstRow="1" w:lastRow="0" w:firstColumn="1" w:lastColumn="0" w:noHBand="0" w:noVBand="1"/>
      </w:tblPr>
      <w:tblGrid>
        <w:gridCol w:w="4106"/>
        <w:gridCol w:w="1276"/>
        <w:gridCol w:w="1276"/>
        <w:gridCol w:w="1417"/>
        <w:gridCol w:w="1134"/>
      </w:tblGrid>
      <w:tr w:rsidR="00927B43" w14:paraId="45BF38C7" w14:textId="77777777" w:rsidTr="00927B43">
        <w:trPr>
          <w:trHeight w:val="478"/>
        </w:trPr>
        <w:tc>
          <w:tcPr>
            <w:tcW w:w="4106" w:type="dxa"/>
            <w:vMerge w:val="restart"/>
            <w:tcBorders>
              <w:top w:val="single" w:sz="4" w:space="0" w:color="auto"/>
              <w:left w:val="single" w:sz="4" w:space="0" w:color="auto"/>
              <w:bottom w:val="single" w:sz="4" w:space="0" w:color="auto"/>
              <w:right w:val="single" w:sz="4" w:space="0" w:color="auto"/>
            </w:tcBorders>
          </w:tcPr>
          <w:p w14:paraId="10F4D886" w14:textId="77777777" w:rsidR="00927B43" w:rsidRDefault="00927B43">
            <w:pPr>
              <w:autoSpaceDE w:val="0"/>
              <w:autoSpaceDN w:val="0"/>
              <w:adjustRightInd w:val="0"/>
              <w:rPr>
                <w:b/>
                <w:bCs/>
              </w:rPr>
            </w:pPr>
          </w:p>
        </w:tc>
        <w:tc>
          <w:tcPr>
            <w:tcW w:w="2552" w:type="dxa"/>
            <w:gridSpan w:val="2"/>
            <w:tcBorders>
              <w:top w:val="single" w:sz="4" w:space="0" w:color="auto"/>
              <w:left w:val="single" w:sz="4" w:space="0" w:color="auto"/>
              <w:bottom w:val="nil"/>
              <w:right w:val="single" w:sz="4" w:space="0" w:color="auto"/>
            </w:tcBorders>
          </w:tcPr>
          <w:p w14:paraId="1C233957" w14:textId="77777777" w:rsidR="00927B43" w:rsidRDefault="00927B43">
            <w:pPr>
              <w:autoSpaceDE w:val="0"/>
              <w:autoSpaceDN w:val="0"/>
              <w:adjustRightInd w:val="0"/>
              <w:rPr>
                <w:b/>
                <w:bCs/>
                <w:sz w:val="4"/>
              </w:rPr>
            </w:pPr>
          </w:p>
          <w:p w14:paraId="0E5B7BFA" w14:textId="77777777" w:rsidR="00927B43" w:rsidRDefault="00927B43">
            <w:pPr>
              <w:autoSpaceDE w:val="0"/>
              <w:autoSpaceDN w:val="0"/>
              <w:adjustRightInd w:val="0"/>
              <w:jc w:val="center"/>
              <w:rPr>
                <w:b/>
                <w:bCs/>
                <w:sz w:val="20"/>
              </w:rPr>
            </w:pPr>
            <w:r>
              <w:rPr>
                <w:b/>
                <w:bCs/>
                <w:sz w:val="20"/>
              </w:rPr>
              <w:t>Alle patienter</w:t>
            </w:r>
          </w:p>
          <w:p w14:paraId="66AFD03A" w14:textId="77777777" w:rsidR="00927B43" w:rsidRDefault="00927B43">
            <w:pPr>
              <w:autoSpaceDE w:val="0"/>
              <w:autoSpaceDN w:val="0"/>
              <w:adjustRightInd w:val="0"/>
              <w:jc w:val="center"/>
              <w:rPr>
                <w:b/>
                <w:bCs/>
                <w:sz w:val="22"/>
                <w:szCs w:val="22"/>
              </w:rPr>
            </w:pPr>
            <w:r>
              <w:rPr>
                <w:b/>
                <w:bCs/>
                <w:sz w:val="20"/>
              </w:rPr>
              <w:t>N=105</w:t>
            </w:r>
          </w:p>
        </w:tc>
        <w:tc>
          <w:tcPr>
            <w:tcW w:w="2551" w:type="dxa"/>
            <w:gridSpan w:val="2"/>
            <w:tcBorders>
              <w:top w:val="single" w:sz="4" w:space="0" w:color="auto"/>
              <w:left w:val="single" w:sz="4" w:space="0" w:color="auto"/>
              <w:bottom w:val="nil"/>
              <w:right w:val="single" w:sz="4" w:space="0" w:color="auto"/>
            </w:tcBorders>
            <w:vAlign w:val="center"/>
            <w:hideMark/>
          </w:tcPr>
          <w:p w14:paraId="01D439EF" w14:textId="77777777" w:rsidR="00927B43" w:rsidRDefault="00927B43">
            <w:pPr>
              <w:autoSpaceDE w:val="0"/>
              <w:autoSpaceDN w:val="0"/>
              <w:adjustRightInd w:val="0"/>
              <w:jc w:val="center"/>
              <w:rPr>
                <w:b/>
                <w:bCs/>
              </w:rPr>
            </w:pPr>
            <w:r>
              <w:rPr>
                <w:b/>
                <w:bCs/>
                <w:sz w:val="20"/>
              </w:rPr>
              <w:t>Test af hypotese</w:t>
            </w:r>
          </w:p>
        </w:tc>
      </w:tr>
      <w:tr w:rsidR="00927B43" w14:paraId="106035F8" w14:textId="77777777" w:rsidTr="00927B43">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1F18D" w14:textId="77777777" w:rsidR="00927B43" w:rsidRDefault="00927B43">
            <w:pPr>
              <w:rPr>
                <w:b/>
                <w:bCs/>
                <w:sz w:val="22"/>
                <w:szCs w:val="22"/>
              </w:rPr>
            </w:pPr>
          </w:p>
        </w:tc>
        <w:tc>
          <w:tcPr>
            <w:tcW w:w="1276" w:type="dxa"/>
            <w:tcBorders>
              <w:top w:val="nil"/>
              <w:left w:val="single" w:sz="4" w:space="0" w:color="auto"/>
              <w:bottom w:val="single" w:sz="4" w:space="0" w:color="auto"/>
              <w:right w:val="single" w:sz="4" w:space="0" w:color="auto"/>
            </w:tcBorders>
            <w:hideMark/>
          </w:tcPr>
          <w:p w14:paraId="03CC951A" w14:textId="77777777" w:rsidR="00927B43" w:rsidRDefault="00927B43">
            <w:pPr>
              <w:autoSpaceDE w:val="0"/>
              <w:autoSpaceDN w:val="0"/>
              <w:adjustRightInd w:val="0"/>
              <w:jc w:val="center"/>
              <w:rPr>
                <w:b/>
                <w:bCs/>
              </w:rPr>
            </w:pPr>
            <w:r>
              <w:rPr>
                <w:b/>
                <w:bCs/>
              </w:rPr>
              <w:t>n (%)</w:t>
            </w:r>
          </w:p>
        </w:tc>
        <w:tc>
          <w:tcPr>
            <w:tcW w:w="1276" w:type="dxa"/>
            <w:tcBorders>
              <w:top w:val="nil"/>
              <w:left w:val="single" w:sz="4" w:space="0" w:color="auto"/>
              <w:bottom w:val="single" w:sz="4" w:space="0" w:color="auto"/>
              <w:right w:val="single" w:sz="4" w:space="0" w:color="auto"/>
            </w:tcBorders>
            <w:hideMark/>
          </w:tcPr>
          <w:p w14:paraId="5A80C8FB" w14:textId="77777777" w:rsidR="00927B43" w:rsidRDefault="00927B43">
            <w:pPr>
              <w:autoSpaceDE w:val="0"/>
              <w:autoSpaceDN w:val="0"/>
              <w:adjustRightInd w:val="0"/>
              <w:jc w:val="center"/>
              <w:rPr>
                <w:b/>
                <w:bCs/>
              </w:rPr>
            </w:pPr>
            <w:r>
              <w:rPr>
                <w:b/>
                <w:bCs/>
              </w:rPr>
              <w:t>95% CI</w:t>
            </w:r>
          </w:p>
        </w:tc>
        <w:tc>
          <w:tcPr>
            <w:tcW w:w="1417" w:type="dxa"/>
            <w:tcBorders>
              <w:top w:val="nil"/>
              <w:left w:val="single" w:sz="4" w:space="0" w:color="auto"/>
              <w:bottom w:val="single" w:sz="4" w:space="0" w:color="auto"/>
              <w:right w:val="single" w:sz="4" w:space="0" w:color="auto"/>
            </w:tcBorders>
            <w:hideMark/>
          </w:tcPr>
          <w:p w14:paraId="19AB2A6A" w14:textId="77777777" w:rsidR="00927B43" w:rsidRDefault="00927B43">
            <w:pPr>
              <w:autoSpaceDE w:val="0"/>
              <w:autoSpaceDN w:val="0"/>
              <w:adjustRightInd w:val="0"/>
              <w:jc w:val="center"/>
              <w:rPr>
                <w:b/>
                <w:bCs/>
              </w:rPr>
            </w:pPr>
            <w:r>
              <w:rPr>
                <w:b/>
                <w:bCs/>
                <w:sz w:val="20"/>
              </w:rPr>
              <w:t>p-</w:t>
            </w:r>
            <w:r>
              <w:t xml:space="preserve"> </w:t>
            </w:r>
            <w:r>
              <w:rPr>
                <w:b/>
                <w:bCs/>
                <w:sz w:val="20"/>
              </w:rPr>
              <w:t>værdi</w:t>
            </w:r>
          </w:p>
        </w:tc>
        <w:tc>
          <w:tcPr>
            <w:tcW w:w="1134" w:type="dxa"/>
            <w:tcBorders>
              <w:top w:val="nil"/>
              <w:left w:val="single" w:sz="4" w:space="0" w:color="auto"/>
              <w:bottom w:val="single" w:sz="4" w:space="0" w:color="auto"/>
              <w:right w:val="single" w:sz="4" w:space="0" w:color="auto"/>
            </w:tcBorders>
            <w:hideMark/>
          </w:tcPr>
          <w:p w14:paraId="5686E731" w14:textId="77777777" w:rsidR="00927B43" w:rsidRDefault="00927B43">
            <w:pPr>
              <w:autoSpaceDE w:val="0"/>
              <w:autoSpaceDN w:val="0"/>
              <w:adjustRightInd w:val="0"/>
              <w:jc w:val="center"/>
              <w:rPr>
                <w:b/>
                <w:bCs/>
              </w:rPr>
            </w:pPr>
            <w:r>
              <w:rPr>
                <w:b/>
                <w:bCs/>
                <w:sz w:val="20"/>
              </w:rPr>
              <w:t>Reject H0</w:t>
            </w:r>
          </w:p>
        </w:tc>
      </w:tr>
      <w:tr w:rsidR="00927B43" w14:paraId="6F14C877" w14:textId="77777777" w:rsidTr="00927B43">
        <w:trPr>
          <w:trHeight w:val="673"/>
        </w:trPr>
        <w:tc>
          <w:tcPr>
            <w:tcW w:w="4106" w:type="dxa"/>
            <w:tcBorders>
              <w:top w:val="single" w:sz="4" w:space="0" w:color="auto"/>
              <w:left w:val="single" w:sz="4" w:space="0" w:color="auto"/>
              <w:bottom w:val="single" w:sz="4" w:space="0" w:color="auto"/>
              <w:right w:val="single" w:sz="4" w:space="0" w:color="auto"/>
            </w:tcBorders>
            <w:hideMark/>
          </w:tcPr>
          <w:p w14:paraId="56032589" w14:textId="77777777" w:rsidR="00927B43" w:rsidRDefault="00927B43">
            <w:pPr>
              <w:autoSpaceDE w:val="0"/>
              <w:autoSpaceDN w:val="0"/>
              <w:adjustRightInd w:val="0"/>
              <w:ind w:left="594" w:hanging="594"/>
              <w:rPr>
                <w:sz w:val="20"/>
              </w:rPr>
            </w:pPr>
            <w:r>
              <w:rPr>
                <w:sz w:val="20"/>
              </w:rPr>
              <w:t>Trin 1: Patienter, som opnåede trombocyttal ≥ 100 000/μl mindst én gang</w:t>
            </w:r>
          </w:p>
        </w:tc>
        <w:tc>
          <w:tcPr>
            <w:tcW w:w="1276" w:type="dxa"/>
            <w:tcBorders>
              <w:top w:val="single" w:sz="4" w:space="0" w:color="auto"/>
              <w:left w:val="single" w:sz="4" w:space="0" w:color="auto"/>
              <w:bottom w:val="single" w:sz="4" w:space="0" w:color="auto"/>
              <w:right w:val="single" w:sz="4" w:space="0" w:color="auto"/>
            </w:tcBorders>
            <w:hideMark/>
          </w:tcPr>
          <w:p w14:paraId="51C3ECAF" w14:textId="77777777" w:rsidR="00927B43" w:rsidRDefault="00927B43">
            <w:pPr>
              <w:autoSpaceDE w:val="0"/>
              <w:autoSpaceDN w:val="0"/>
              <w:adjustRightInd w:val="0"/>
              <w:jc w:val="center"/>
              <w:rPr>
                <w:bCs/>
                <w:sz w:val="22"/>
                <w:szCs w:val="22"/>
              </w:rPr>
            </w:pPr>
            <w:r>
              <w:rPr>
                <w:bCs/>
              </w:rPr>
              <w:t>89 (84,8)</w:t>
            </w:r>
          </w:p>
        </w:tc>
        <w:tc>
          <w:tcPr>
            <w:tcW w:w="1276" w:type="dxa"/>
            <w:tcBorders>
              <w:top w:val="single" w:sz="4" w:space="0" w:color="auto"/>
              <w:left w:val="single" w:sz="4" w:space="0" w:color="auto"/>
              <w:bottom w:val="single" w:sz="4" w:space="0" w:color="auto"/>
              <w:right w:val="single" w:sz="4" w:space="0" w:color="auto"/>
            </w:tcBorders>
            <w:hideMark/>
          </w:tcPr>
          <w:p w14:paraId="645BCF56" w14:textId="77777777" w:rsidR="00927B43" w:rsidRDefault="00927B43">
            <w:pPr>
              <w:autoSpaceDE w:val="0"/>
              <w:autoSpaceDN w:val="0"/>
              <w:adjustRightInd w:val="0"/>
              <w:jc w:val="center"/>
              <w:rPr>
                <w:b/>
                <w:bCs/>
              </w:rPr>
            </w:pPr>
            <w:r>
              <w:rPr>
                <w:sz w:val="20"/>
              </w:rPr>
              <w:t>(76,4, 91,0)</w:t>
            </w:r>
          </w:p>
        </w:tc>
        <w:tc>
          <w:tcPr>
            <w:tcW w:w="1417" w:type="dxa"/>
            <w:tcBorders>
              <w:top w:val="single" w:sz="4" w:space="0" w:color="auto"/>
              <w:left w:val="single" w:sz="4" w:space="0" w:color="auto"/>
              <w:bottom w:val="single" w:sz="4" w:space="0" w:color="auto"/>
              <w:right w:val="single" w:sz="4" w:space="0" w:color="auto"/>
            </w:tcBorders>
          </w:tcPr>
          <w:p w14:paraId="312E074F" w14:textId="77777777" w:rsidR="00927B43" w:rsidRDefault="00927B43">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14:paraId="4DDB3F36" w14:textId="77777777" w:rsidR="00927B43" w:rsidRDefault="00927B43">
            <w:pPr>
              <w:autoSpaceDE w:val="0"/>
              <w:autoSpaceDN w:val="0"/>
              <w:adjustRightInd w:val="0"/>
              <w:rPr>
                <w:b/>
                <w:bCs/>
              </w:rPr>
            </w:pPr>
          </w:p>
        </w:tc>
      </w:tr>
      <w:tr w:rsidR="00927B43" w14:paraId="2E8D6DB3" w14:textId="77777777" w:rsidTr="00927B43">
        <w:trPr>
          <w:trHeight w:val="839"/>
        </w:trPr>
        <w:tc>
          <w:tcPr>
            <w:tcW w:w="4106" w:type="dxa"/>
            <w:tcBorders>
              <w:top w:val="single" w:sz="4" w:space="0" w:color="auto"/>
              <w:left w:val="single" w:sz="4" w:space="0" w:color="auto"/>
              <w:bottom w:val="single" w:sz="4" w:space="0" w:color="auto"/>
              <w:right w:val="single" w:sz="4" w:space="0" w:color="auto"/>
            </w:tcBorders>
            <w:hideMark/>
          </w:tcPr>
          <w:p w14:paraId="0B5B72DF" w14:textId="77777777" w:rsidR="00927B43" w:rsidRDefault="00927B43">
            <w:pPr>
              <w:autoSpaceDE w:val="0"/>
              <w:autoSpaceDN w:val="0"/>
              <w:adjustRightInd w:val="0"/>
              <w:ind w:left="594" w:hanging="594"/>
              <w:rPr>
                <w:sz w:val="20"/>
              </w:rPr>
            </w:pPr>
            <w:r>
              <w:rPr>
                <w:sz w:val="20"/>
              </w:rPr>
              <w:t>Trin 2: Patienter, som kunne opretholde stabilt trombocyttal i 2 måneder efter at have opnået 100 000/μl (ingen tal &lt; 70 000/μl)</w:t>
            </w:r>
          </w:p>
        </w:tc>
        <w:tc>
          <w:tcPr>
            <w:tcW w:w="1276" w:type="dxa"/>
            <w:tcBorders>
              <w:top w:val="single" w:sz="4" w:space="0" w:color="auto"/>
              <w:left w:val="single" w:sz="4" w:space="0" w:color="auto"/>
              <w:bottom w:val="single" w:sz="4" w:space="0" w:color="auto"/>
              <w:right w:val="single" w:sz="4" w:space="0" w:color="auto"/>
            </w:tcBorders>
            <w:hideMark/>
          </w:tcPr>
          <w:p w14:paraId="4E528F61" w14:textId="77777777" w:rsidR="00927B43" w:rsidRDefault="00927B43">
            <w:pPr>
              <w:autoSpaceDE w:val="0"/>
              <w:autoSpaceDN w:val="0"/>
              <w:adjustRightInd w:val="0"/>
              <w:jc w:val="center"/>
              <w:rPr>
                <w:b/>
                <w:bCs/>
                <w:sz w:val="22"/>
                <w:szCs w:val="22"/>
              </w:rPr>
            </w:pPr>
            <w:r>
              <w:rPr>
                <w:sz w:val="20"/>
              </w:rPr>
              <w:t>65 (61,9)</w:t>
            </w:r>
          </w:p>
        </w:tc>
        <w:tc>
          <w:tcPr>
            <w:tcW w:w="1276" w:type="dxa"/>
            <w:tcBorders>
              <w:top w:val="single" w:sz="4" w:space="0" w:color="auto"/>
              <w:left w:val="single" w:sz="4" w:space="0" w:color="auto"/>
              <w:bottom w:val="single" w:sz="4" w:space="0" w:color="auto"/>
              <w:right w:val="single" w:sz="4" w:space="0" w:color="auto"/>
            </w:tcBorders>
            <w:hideMark/>
          </w:tcPr>
          <w:p w14:paraId="5053692F" w14:textId="77777777" w:rsidR="00927B43" w:rsidRDefault="00927B43">
            <w:pPr>
              <w:autoSpaceDE w:val="0"/>
              <w:autoSpaceDN w:val="0"/>
              <w:adjustRightInd w:val="0"/>
              <w:jc w:val="center"/>
              <w:rPr>
                <w:b/>
                <w:bCs/>
              </w:rPr>
            </w:pPr>
            <w:r>
              <w:rPr>
                <w:sz w:val="20"/>
              </w:rPr>
              <w:t>(51,9, 71,2)</w:t>
            </w:r>
          </w:p>
        </w:tc>
        <w:tc>
          <w:tcPr>
            <w:tcW w:w="1417" w:type="dxa"/>
            <w:tcBorders>
              <w:top w:val="single" w:sz="4" w:space="0" w:color="auto"/>
              <w:left w:val="single" w:sz="4" w:space="0" w:color="auto"/>
              <w:bottom w:val="single" w:sz="4" w:space="0" w:color="auto"/>
              <w:right w:val="single" w:sz="4" w:space="0" w:color="auto"/>
            </w:tcBorders>
          </w:tcPr>
          <w:p w14:paraId="2AF70DF6" w14:textId="77777777" w:rsidR="00927B43" w:rsidRDefault="00927B43">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14:paraId="62DF60B2" w14:textId="77777777" w:rsidR="00927B43" w:rsidRDefault="00927B43">
            <w:pPr>
              <w:autoSpaceDE w:val="0"/>
              <w:autoSpaceDN w:val="0"/>
              <w:adjustRightInd w:val="0"/>
              <w:rPr>
                <w:b/>
                <w:bCs/>
              </w:rPr>
            </w:pPr>
          </w:p>
        </w:tc>
      </w:tr>
      <w:tr w:rsidR="00927B43" w14:paraId="2E9D3FA3" w14:textId="77777777" w:rsidTr="00927B43">
        <w:trPr>
          <w:trHeight w:val="1258"/>
        </w:trPr>
        <w:tc>
          <w:tcPr>
            <w:tcW w:w="4106" w:type="dxa"/>
            <w:tcBorders>
              <w:top w:val="single" w:sz="4" w:space="0" w:color="auto"/>
              <w:left w:val="single" w:sz="4" w:space="0" w:color="auto"/>
              <w:bottom w:val="single" w:sz="4" w:space="0" w:color="auto"/>
              <w:right w:val="single" w:sz="4" w:space="0" w:color="auto"/>
            </w:tcBorders>
            <w:hideMark/>
          </w:tcPr>
          <w:p w14:paraId="02B62820" w14:textId="77777777" w:rsidR="00927B43" w:rsidRDefault="00927B43">
            <w:pPr>
              <w:autoSpaceDE w:val="0"/>
              <w:autoSpaceDN w:val="0"/>
              <w:adjustRightInd w:val="0"/>
              <w:ind w:left="594" w:hanging="594"/>
              <w:rPr>
                <w:sz w:val="20"/>
              </w:rPr>
            </w:pPr>
            <w:r>
              <w:rPr>
                <w:sz w:val="20"/>
              </w:rPr>
              <w:lastRenderedPageBreak/>
              <w:t>Trin 3: Patienter, som var i stand til at nedtrappe eltrombopag indtil seponering af behandling og opretholde trombocyttal ≥ 30 000/μl uden blødningshændelser eller brug af ”rescue”-terapi</w:t>
            </w:r>
          </w:p>
        </w:tc>
        <w:tc>
          <w:tcPr>
            <w:tcW w:w="1276" w:type="dxa"/>
            <w:tcBorders>
              <w:top w:val="single" w:sz="4" w:space="0" w:color="auto"/>
              <w:left w:val="single" w:sz="4" w:space="0" w:color="auto"/>
              <w:bottom w:val="single" w:sz="4" w:space="0" w:color="auto"/>
              <w:right w:val="single" w:sz="4" w:space="0" w:color="auto"/>
            </w:tcBorders>
            <w:hideMark/>
          </w:tcPr>
          <w:p w14:paraId="212DFAAA" w14:textId="77777777" w:rsidR="00927B43" w:rsidRDefault="00927B43">
            <w:pPr>
              <w:autoSpaceDE w:val="0"/>
              <w:autoSpaceDN w:val="0"/>
              <w:adjustRightInd w:val="0"/>
              <w:jc w:val="center"/>
              <w:rPr>
                <w:b/>
                <w:bCs/>
                <w:sz w:val="22"/>
                <w:szCs w:val="22"/>
              </w:rPr>
            </w:pPr>
            <w:r>
              <w:rPr>
                <w:sz w:val="20"/>
              </w:rPr>
              <w:t>44 (41,9)</w:t>
            </w:r>
          </w:p>
        </w:tc>
        <w:tc>
          <w:tcPr>
            <w:tcW w:w="1276" w:type="dxa"/>
            <w:tcBorders>
              <w:top w:val="single" w:sz="4" w:space="0" w:color="auto"/>
              <w:left w:val="single" w:sz="4" w:space="0" w:color="auto"/>
              <w:bottom w:val="single" w:sz="4" w:space="0" w:color="auto"/>
              <w:right w:val="single" w:sz="4" w:space="0" w:color="auto"/>
            </w:tcBorders>
          </w:tcPr>
          <w:p w14:paraId="7BF61796" w14:textId="77777777" w:rsidR="00927B43" w:rsidRDefault="00927B43">
            <w:pPr>
              <w:autoSpaceDE w:val="0"/>
              <w:autoSpaceDN w:val="0"/>
              <w:adjustRightInd w:val="0"/>
              <w:jc w:val="center"/>
              <w:rPr>
                <w:b/>
                <w:bCs/>
              </w:rPr>
            </w:pPr>
            <w:r>
              <w:rPr>
                <w:sz w:val="20"/>
              </w:rPr>
              <w:t>(32,3, 51,9)</w:t>
            </w:r>
          </w:p>
          <w:p w14:paraId="2AF3BF71" w14:textId="77777777" w:rsidR="00927B43" w:rsidRDefault="00927B43">
            <w:pPr>
              <w:jc w:val="center"/>
            </w:pPr>
          </w:p>
        </w:tc>
        <w:tc>
          <w:tcPr>
            <w:tcW w:w="1417" w:type="dxa"/>
            <w:tcBorders>
              <w:top w:val="single" w:sz="4" w:space="0" w:color="auto"/>
              <w:left w:val="single" w:sz="4" w:space="0" w:color="auto"/>
              <w:bottom w:val="single" w:sz="4" w:space="0" w:color="auto"/>
              <w:right w:val="single" w:sz="4" w:space="0" w:color="auto"/>
            </w:tcBorders>
          </w:tcPr>
          <w:p w14:paraId="640425E5" w14:textId="77777777" w:rsidR="00927B43" w:rsidRDefault="00927B43">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14:paraId="0E2EA5D9" w14:textId="77777777" w:rsidR="00927B43" w:rsidRDefault="00927B43">
            <w:pPr>
              <w:autoSpaceDE w:val="0"/>
              <w:autoSpaceDN w:val="0"/>
              <w:adjustRightInd w:val="0"/>
              <w:rPr>
                <w:b/>
                <w:bCs/>
              </w:rPr>
            </w:pPr>
          </w:p>
        </w:tc>
      </w:tr>
      <w:tr w:rsidR="00927B43" w14:paraId="1AEEEEFE" w14:textId="77777777" w:rsidTr="00927B43">
        <w:trPr>
          <w:trHeight w:val="1278"/>
        </w:trPr>
        <w:tc>
          <w:tcPr>
            <w:tcW w:w="4106" w:type="dxa"/>
            <w:tcBorders>
              <w:top w:val="single" w:sz="4" w:space="0" w:color="auto"/>
              <w:left w:val="single" w:sz="4" w:space="0" w:color="auto"/>
              <w:bottom w:val="single" w:sz="4" w:space="0" w:color="auto"/>
              <w:right w:val="single" w:sz="4" w:space="0" w:color="auto"/>
            </w:tcBorders>
            <w:hideMark/>
          </w:tcPr>
          <w:p w14:paraId="619F26D5" w14:textId="77777777" w:rsidR="00927B43" w:rsidRDefault="00927B43">
            <w:pPr>
              <w:autoSpaceDE w:val="0"/>
              <w:autoSpaceDN w:val="0"/>
              <w:adjustRightInd w:val="0"/>
              <w:ind w:left="594" w:hanging="594"/>
              <w:rPr>
                <w:sz w:val="20"/>
              </w:rPr>
            </w:pPr>
            <w:r>
              <w:rPr>
                <w:sz w:val="20"/>
              </w:rPr>
              <w:t>Trin 4: Patienter med vedvarende response efter behandling til 12. måned, som kunne opretholde trombocyttal på ≥ 30 000/μl uden blødningshændelser eller brug af ”rescue”-terapi</w:t>
            </w:r>
          </w:p>
        </w:tc>
        <w:tc>
          <w:tcPr>
            <w:tcW w:w="1276" w:type="dxa"/>
            <w:tcBorders>
              <w:top w:val="single" w:sz="4" w:space="0" w:color="auto"/>
              <w:left w:val="single" w:sz="4" w:space="0" w:color="auto"/>
              <w:bottom w:val="single" w:sz="4" w:space="0" w:color="auto"/>
              <w:right w:val="single" w:sz="4" w:space="0" w:color="auto"/>
            </w:tcBorders>
            <w:hideMark/>
          </w:tcPr>
          <w:p w14:paraId="31A19252" w14:textId="77777777" w:rsidR="00927B43" w:rsidRDefault="00927B43">
            <w:pPr>
              <w:autoSpaceDE w:val="0"/>
              <w:autoSpaceDN w:val="0"/>
              <w:adjustRightInd w:val="0"/>
              <w:jc w:val="center"/>
              <w:rPr>
                <w:b/>
                <w:bCs/>
                <w:sz w:val="22"/>
                <w:szCs w:val="22"/>
              </w:rPr>
            </w:pPr>
            <w:r>
              <w:rPr>
                <w:sz w:val="20"/>
              </w:rPr>
              <w:t>32 (30,5)</w:t>
            </w:r>
          </w:p>
        </w:tc>
        <w:tc>
          <w:tcPr>
            <w:tcW w:w="1276" w:type="dxa"/>
            <w:tcBorders>
              <w:top w:val="single" w:sz="4" w:space="0" w:color="auto"/>
              <w:left w:val="single" w:sz="4" w:space="0" w:color="auto"/>
              <w:bottom w:val="single" w:sz="4" w:space="0" w:color="auto"/>
              <w:right w:val="single" w:sz="4" w:space="0" w:color="auto"/>
            </w:tcBorders>
            <w:hideMark/>
          </w:tcPr>
          <w:p w14:paraId="1E771E92" w14:textId="77777777" w:rsidR="00927B43" w:rsidRDefault="00927B43">
            <w:pPr>
              <w:autoSpaceDE w:val="0"/>
              <w:autoSpaceDN w:val="0"/>
              <w:adjustRightInd w:val="0"/>
              <w:jc w:val="center"/>
              <w:rPr>
                <w:b/>
                <w:bCs/>
              </w:rPr>
            </w:pPr>
            <w:r>
              <w:rPr>
                <w:sz w:val="20"/>
              </w:rPr>
              <w:t>(21,9, 40,2)</w:t>
            </w:r>
          </w:p>
        </w:tc>
        <w:tc>
          <w:tcPr>
            <w:tcW w:w="1417" w:type="dxa"/>
            <w:tcBorders>
              <w:top w:val="single" w:sz="4" w:space="0" w:color="auto"/>
              <w:left w:val="single" w:sz="4" w:space="0" w:color="auto"/>
              <w:bottom w:val="single" w:sz="4" w:space="0" w:color="auto"/>
              <w:right w:val="single" w:sz="4" w:space="0" w:color="auto"/>
            </w:tcBorders>
            <w:hideMark/>
          </w:tcPr>
          <w:p w14:paraId="5ADC8527" w14:textId="77777777" w:rsidR="00927B43" w:rsidRDefault="00927B43">
            <w:pPr>
              <w:autoSpaceDE w:val="0"/>
              <w:autoSpaceDN w:val="0"/>
              <w:adjustRightInd w:val="0"/>
              <w:jc w:val="center"/>
              <w:rPr>
                <w:b/>
                <w:bCs/>
              </w:rPr>
            </w:pPr>
            <w:r>
              <w:rPr>
                <w:sz w:val="20"/>
              </w:rPr>
              <w:t>&lt;0,0001*</w:t>
            </w:r>
          </w:p>
        </w:tc>
        <w:tc>
          <w:tcPr>
            <w:tcW w:w="1134" w:type="dxa"/>
            <w:tcBorders>
              <w:top w:val="single" w:sz="4" w:space="0" w:color="auto"/>
              <w:left w:val="single" w:sz="4" w:space="0" w:color="auto"/>
              <w:bottom w:val="single" w:sz="4" w:space="0" w:color="auto"/>
              <w:right w:val="single" w:sz="4" w:space="0" w:color="auto"/>
            </w:tcBorders>
            <w:hideMark/>
          </w:tcPr>
          <w:p w14:paraId="58ED1942" w14:textId="77777777" w:rsidR="00927B43" w:rsidRDefault="00927B43">
            <w:pPr>
              <w:autoSpaceDE w:val="0"/>
              <w:autoSpaceDN w:val="0"/>
              <w:adjustRightInd w:val="0"/>
              <w:jc w:val="center"/>
            </w:pPr>
            <w:r>
              <w:t>Ja</w:t>
            </w:r>
          </w:p>
        </w:tc>
      </w:tr>
      <w:tr w:rsidR="00927B43" w14:paraId="317EA8BC" w14:textId="77777777" w:rsidTr="00927B43">
        <w:trPr>
          <w:trHeight w:val="1144"/>
        </w:trPr>
        <w:tc>
          <w:tcPr>
            <w:tcW w:w="4106" w:type="dxa"/>
            <w:tcBorders>
              <w:top w:val="single" w:sz="4" w:space="0" w:color="auto"/>
              <w:left w:val="single" w:sz="4" w:space="0" w:color="auto"/>
              <w:bottom w:val="single" w:sz="4" w:space="0" w:color="auto"/>
              <w:right w:val="single" w:sz="4" w:space="0" w:color="auto"/>
            </w:tcBorders>
            <w:hideMark/>
          </w:tcPr>
          <w:p w14:paraId="5B533CF8" w14:textId="77777777" w:rsidR="00927B43" w:rsidRDefault="00927B43">
            <w:pPr>
              <w:autoSpaceDE w:val="0"/>
              <w:autoSpaceDN w:val="0"/>
              <w:adjustRightInd w:val="0"/>
              <w:ind w:left="594" w:hanging="594"/>
              <w:rPr>
                <w:sz w:val="20"/>
              </w:rPr>
            </w:pPr>
            <w:r>
              <w:rPr>
                <w:sz w:val="20"/>
              </w:rPr>
              <w:t>Trin 5: Patienter med vedvarende respons efter behandling fra 12. måned til 24. måned, som kunne opretholde trombocyttal på ≥ 30 000/μl uden blødningshændelser eller brug af ”rescue”-terapi</w:t>
            </w:r>
          </w:p>
        </w:tc>
        <w:tc>
          <w:tcPr>
            <w:tcW w:w="1276" w:type="dxa"/>
            <w:tcBorders>
              <w:top w:val="single" w:sz="4" w:space="0" w:color="auto"/>
              <w:left w:val="single" w:sz="4" w:space="0" w:color="auto"/>
              <w:bottom w:val="single" w:sz="4" w:space="0" w:color="auto"/>
              <w:right w:val="single" w:sz="4" w:space="0" w:color="auto"/>
            </w:tcBorders>
            <w:hideMark/>
          </w:tcPr>
          <w:p w14:paraId="2356E6DD" w14:textId="77777777" w:rsidR="00927B43" w:rsidRDefault="00927B43">
            <w:pPr>
              <w:autoSpaceDE w:val="0"/>
              <w:autoSpaceDN w:val="0"/>
              <w:adjustRightInd w:val="0"/>
              <w:jc w:val="center"/>
              <w:rPr>
                <w:sz w:val="20"/>
              </w:rPr>
            </w:pPr>
            <w:r>
              <w:rPr>
                <w:sz w:val="20"/>
              </w:rPr>
              <w:t>20 (19,0)</w:t>
            </w:r>
          </w:p>
        </w:tc>
        <w:tc>
          <w:tcPr>
            <w:tcW w:w="1276" w:type="dxa"/>
            <w:tcBorders>
              <w:top w:val="single" w:sz="4" w:space="0" w:color="auto"/>
              <w:left w:val="single" w:sz="4" w:space="0" w:color="auto"/>
              <w:bottom w:val="single" w:sz="4" w:space="0" w:color="auto"/>
              <w:right w:val="single" w:sz="4" w:space="0" w:color="auto"/>
            </w:tcBorders>
            <w:hideMark/>
          </w:tcPr>
          <w:p w14:paraId="57E36DEC" w14:textId="77777777" w:rsidR="00927B43" w:rsidRDefault="00927B43">
            <w:pPr>
              <w:autoSpaceDE w:val="0"/>
              <w:autoSpaceDN w:val="0"/>
              <w:adjustRightInd w:val="0"/>
              <w:jc w:val="center"/>
              <w:rPr>
                <w:sz w:val="20"/>
              </w:rPr>
            </w:pPr>
            <w:r>
              <w:rPr>
                <w:sz w:val="20"/>
              </w:rPr>
              <w:t>(12,0, 27,9)</w:t>
            </w:r>
          </w:p>
        </w:tc>
        <w:tc>
          <w:tcPr>
            <w:tcW w:w="1417" w:type="dxa"/>
            <w:tcBorders>
              <w:top w:val="single" w:sz="4" w:space="0" w:color="auto"/>
              <w:left w:val="single" w:sz="4" w:space="0" w:color="auto"/>
              <w:bottom w:val="single" w:sz="4" w:space="0" w:color="auto"/>
              <w:right w:val="single" w:sz="4" w:space="0" w:color="auto"/>
            </w:tcBorders>
          </w:tcPr>
          <w:p w14:paraId="4AFCD512" w14:textId="77777777" w:rsidR="00927B43" w:rsidRDefault="00927B43">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6E150" w14:textId="77777777" w:rsidR="00927B43" w:rsidRDefault="00927B43">
            <w:pPr>
              <w:autoSpaceDE w:val="0"/>
              <w:autoSpaceDN w:val="0"/>
              <w:adjustRightInd w:val="0"/>
              <w:rPr>
                <w:b/>
                <w:bCs/>
              </w:rPr>
            </w:pPr>
          </w:p>
        </w:tc>
      </w:tr>
      <w:tr w:rsidR="00927B43" w14:paraId="71372DD9" w14:textId="77777777" w:rsidTr="00927B43">
        <w:trPr>
          <w:trHeight w:val="1144"/>
        </w:trPr>
        <w:tc>
          <w:tcPr>
            <w:tcW w:w="9209" w:type="dxa"/>
            <w:gridSpan w:val="5"/>
            <w:tcBorders>
              <w:top w:val="single" w:sz="4" w:space="0" w:color="auto"/>
              <w:left w:val="nil"/>
              <w:bottom w:val="single" w:sz="4" w:space="0" w:color="auto"/>
              <w:right w:val="nil"/>
            </w:tcBorders>
            <w:hideMark/>
          </w:tcPr>
          <w:p w14:paraId="631BF2A3" w14:textId="77777777" w:rsidR="00927B43" w:rsidRDefault="00927B43">
            <w:pPr>
              <w:autoSpaceDE w:val="0"/>
              <w:autoSpaceDN w:val="0"/>
              <w:adjustRightInd w:val="0"/>
              <w:rPr>
                <w:sz w:val="18"/>
                <w:szCs w:val="18"/>
              </w:rPr>
            </w:pPr>
            <w:r>
              <w:rPr>
                <w:sz w:val="18"/>
                <w:szCs w:val="18"/>
              </w:rPr>
              <w:t>N: Det totale antal patienter i behandlingsgruppen. Dette er denominatoren for procent (%) beregning.</w:t>
            </w:r>
          </w:p>
          <w:p w14:paraId="423835D9" w14:textId="77777777" w:rsidR="00927B43" w:rsidRDefault="00927B43">
            <w:pPr>
              <w:autoSpaceDE w:val="0"/>
              <w:autoSpaceDN w:val="0"/>
              <w:adjustRightInd w:val="0"/>
              <w:rPr>
                <w:sz w:val="18"/>
                <w:szCs w:val="18"/>
              </w:rPr>
            </w:pPr>
            <w:r>
              <w:rPr>
                <w:sz w:val="18"/>
                <w:szCs w:val="18"/>
              </w:rPr>
              <w:t>n: Antal patienter i den tilsvarende kategori.</w:t>
            </w:r>
          </w:p>
          <w:p w14:paraId="0176AF7C" w14:textId="77777777" w:rsidR="00927B43" w:rsidRDefault="00927B43">
            <w:pPr>
              <w:autoSpaceDE w:val="0"/>
              <w:autoSpaceDN w:val="0"/>
              <w:adjustRightInd w:val="0"/>
              <w:rPr>
                <w:sz w:val="18"/>
                <w:szCs w:val="18"/>
              </w:rPr>
            </w:pPr>
            <w:r>
              <w:rPr>
                <w:sz w:val="18"/>
                <w:szCs w:val="18"/>
              </w:rPr>
              <w:t>Konfidensintervallet(CI) på 95 % for frekvensdistributionen blev beregnet vha. Clopper-Pearson eksakt-metoden. Clopper-Pearson test blev brugt til at teste om andelen af respondenter var &gt; 15 %. CI og p-værdier er ra.</w:t>
            </w:r>
          </w:p>
          <w:p w14:paraId="4136DFDE" w14:textId="77777777" w:rsidR="00927B43" w:rsidRDefault="00927B43">
            <w:pPr>
              <w:autoSpaceDE w:val="0"/>
              <w:autoSpaceDN w:val="0"/>
              <w:adjustRightInd w:val="0"/>
              <w:rPr>
                <w:b/>
                <w:bCs/>
                <w:sz w:val="22"/>
                <w:szCs w:val="22"/>
              </w:rPr>
            </w:pPr>
            <w:r>
              <w:rPr>
                <w:sz w:val="18"/>
                <w:szCs w:val="18"/>
              </w:rPr>
              <w:t>* Indikerer statistisk signifikans (enkeltsidet) på 0,05 signifikansniveau.</w:t>
            </w:r>
          </w:p>
        </w:tc>
      </w:tr>
    </w:tbl>
    <w:p w14:paraId="6CE6E034" w14:textId="77777777" w:rsidR="00927B43" w:rsidRDefault="00927B43" w:rsidP="00927B43">
      <w:pPr>
        <w:autoSpaceDE w:val="0"/>
        <w:autoSpaceDN w:val="0"/>
        <w:adjustRightInd w:val="0"/>
        <w:rPr>
          <w:b/>
          <w:bCs/>
          <w:sz w:val="22"/>
          <w:szCs w:val="22"/>
          <w:highlight w:val="green"/>
        </w:rPr>
      </w:pPr>
    </w:p>
    <w:p w14:paraId="70342D30" w14:textId="77777777" w:rsidR="00927B43" w:rsidRPr="00D54FFA" w:rsidRDefault="00927B43" w:rsidP="00D54FFA">
      <w:pPr>
        <w:autoSpaceDE w:val="0"/>
        <w:autoSpaceDN w:val="0"/>
        <w:adjustRightInd w:val="0"/>
        <w:ind w:left="851"/>
        <w:rPr>
          <w:sz w:val="24"/>
          <w:szCs w:val="24"/>
          <w:highlight w:val="green"/>
        </w:rPr>
      </w:pPr>
      <w:r w:rsidRPr="00D54FFA">
        <w:rPr>
          <w:sz w:val="24"/>
          <w:szCs w:val="24"/>
        </w:rPr>
        <w:t>Analyse af resultaterne af behandlingsrespons over tid siden ITP-diagnose</w:t>
      </w:r>
    </w:p>
    <w:p w14:paraId="1CB685D9" w14:textId="77777777" w:rsidR="00927B43" w:rsidRPr="00D54FFA" w:rsidRDefault="00927B43" w:rsidP="00D54FFA">
      <w:pPr>
        <w:autoSpaceDE w:val="0"/>
        <w:autoSpaceDN w:val="0"/>
        <w:adjustRightInd w:val="0"/>
        <w:ind w:left="851"/>
        <w:rPr>
          <w:sz w:val="24"/>
          <w:szCs w:val="24"/>
        </w:rPr>
      </w:pPr>
      <w:r w:rsidRPr="00D54FFA">
        <w:rPr>
          <w:sz w:val="24"/>
          <w:szCs w:val="24"/>
        </w:rPr>
        <w:t>En ad-hoc analyse blev udført på de n=105 patienter over tid siden ITP-diagnose for at vurdere eltrombopag-respons på tværs af fire forskellige ITP-kategorier over tid siden diagnose (nyligt diagnosticeret ITP &lt; 3 måneder, persisterende ITP 3 til &lt; 6 måneder, persisterende ITP 6 til ≤ 12 måneder, og kronisk ITP &gt; 12 måneder). 49 % af patienterne (n=51) havde en ITP-diagnose på &lt; 3 måneder, 20 % (n=21) på 3 til &lt; 6 måneder, 17 % (n=18) på 6 til ≤ 12 måneder og 14 % (n=15) på &gt; 12 måneder.</w:t>
      </w:r>
    </w:p>
    <w:p w14:paraId="21398F9B" w14:textId="77777777" w:rsidR="00927B43" w:rsidRPr="00D54FFA" w:rsidRDefault="00927B43" w:rsidP="00D54FFA">
      <w:pPr>
        <w:autoSpaceDE w:val="0"/>
        <w:autoSpaceDN w:val="0"/>
        <w:adjustRightInd w:val="0"/>
        <w:ind w:left="851"/>
        <w:rPr>
          <w:sz w:val="24"/>
          <w:szCs w:val="24"/>
          <w:highlight w:val="green"/>
        </w:rPr>
      </w:pPr>
      <w:r w:rsidRPr="00D54FFA">
        <w:rPr>
          <w:sz w:val="24"/>
          <w:szCs w:val="24"/>
          <w:highlight w:val="green"/>
        </w:rPr>
        <w:t xml:space="preserve"> </w:t>
      </w:r>
    </w:p>
    <w:p w14:paraId="3846E282" w14:textId="77777777" w:rsidR="00927B43" w:rsidRPr="00D54FFA" w:rsidRDefault="00927B43" w:rsidP="00D54FFA">
      <w:pPr>
        <w:autoSpaceDE w:val="0"/>
        <w:autoSpaceDN w:val="0"/>
        <w:adjustRightInd w:val="0"/>
        <w:ind w:left="851"/>
        <w:rPr>
          <w:sz w:val="24"/>
          <w:szCs w:val="24"/>
        </w:rPr>
      </w:pPr>
      <w:r w:rsidRPr="00D54FFA">
        <w:rPr>
          <w:sz w:val="24"/>
          <w:szCs w:val="24"/>
        </w:rPr>
        <w:t>Frem til skæringsdatoen (22-Okt-2021) fik patienterne eltrombopag i en median (Q1-Q3) varighed på 6,2 måneder (2,3-12,0 måneder). Det mediane (Q1-Q3) trombocyttal var 16 000/</w:t>
      </w:r>
      <w:r w:rsidRPr="00D54FFA">
        <w:rPr>
          <w:rFonts w:ascii="Cambria Math" w:hAnsi="Cambria Math"/>
          <w:sz w:val="24"/>
          <w:szCs w:val="24"/>
        </w:rPr>
        <w:t>µ</w:t>
      </w:r>
      <w:r w:rsidRPr="00D54FFA">
        <w:rPr>
          <w:sz w:val="24"/>
          <w:szCs w:val="24"/>
        </w:rPr>
        <w:t>l (7 800-28 000/</w:t>
      </w:r>
      <w:r w:rsidRPr="00D54FFA">
        <w:rPr>
          <w:rFonts w:ascii="Cambria Math" w:hAnsi="Cambria Math"/>
          <w:sz w:val="24"/>
          <w:szCs w:val="24"/>
        </w:rPr>
        <w:t>µ</w:t>
      </w:r>
      <w:r w:rsidRPr="00D54FFA">
        <w:rPr>
          <w:sz w:val="24"/>
          <w:szCs w:val="24"/>
        </w:rPr>
        <w:t>l).</w:t>
      </w:r>
    </w:p>
    <w:p w14:paraId="126C6DB8" w14:textId="77777777" w:rsidR="00927B43" w:rsidRPr="00D54FFA" w:rsidRDefault="00927B43" w:rsidP="00D54FFA">
      <w:pPr>
        <w:autoSpaceDE w:val="0"/>
        <w:autoSpaceDN w:val="0"/>
        <w:adjustRightInd w:val="0"/>
        <w:ind w:left="851"/>
        <w:rPr>
          <w:sz w:val="24"/>
          <w:szCs w:val="24"/>
        </w:rPr>
      </w:pPr>
    </w:p>
    <w:p w14:paraId="64B9F32C" w14:textId="77777777" w:rsidR="00927B43" w:rsidRPr="00D54FFA" w:rsidRDefault="00927B43" w:rsidP="00D54FFA">
      <w:pPr>
        <w:autoSpaceDE w:val="0"/>
        <w:autoSpaceDN w:val="0"/>
        <w:adjustRightInd w:val="0"/>
        <w:ind w:left="851"/>
        <w:rPr>
          <w:sz w:val="24"/>
          <w:szCs w:val="24"/>
        </w:rPr>
      </w:pPr>
      <w:r w:rsidRPr="00D54FFA">
        <w:rPr>
          <w:sz w:val="24"/>
          <w:szCs w:val="24"/>
        </w:rPr>
        <w:t>Trombocyttalrespons, defineret som trombocyttal ≥ 50 000/</w:t>
      </w:r>
      <w:r w:rsidRPr="00D54FFA">
        <w:rPr>
          <w:rFonts w:ascii="Cambria Math" w:hAnsi="Cambria Math"/>
          <w:sz w:val="24"/>
          <w:szCs w:val="24"/>
        </w:rPr>
        <w:t>µ</w:t>
      </w:r>
      <w:r w:rsidRPr="00D54FFA">
        <w:rPr>
          <w:sz w:val="24"/>
          <w:szCs w:val="24"/>
        </w:rPr>
        <w:t>l mindst en gang ved uge 9 uden ”rescue”-terapi, blev opnået i 84 % (95 % CI: 71 % til 93 %) af nydiagnosticerede ITP-patienter, 91 % (95 % CI: 70 % til 99 %) og 94 % (95 % CI: 73 % til 100 %) af persisterende ITP-patienter (dvs. med henholdsvis ITP-diagnose i 3 til &lt; 6 måneder og 6 til ≤ 12 måneder), og i 87 % (95 % CI: 60 % til 98 %) af kroniske ITP-patienter.</w:t>
      </w:r>
    </w:p>
    <w:p w14:paraId="4CB2DC30" w14:textId="77777777" w:rsidR="00927B43" w:rsidRPr="00D54FFA" w:rsidRDefault="00927B43" w:rsidP="00D54FFA">
      <w:pPr>
        <w:autoSpaceDE w:val="0"/>
        <w:autoSpaceDN w:val="0"/>
        <w:adjustRightInd w:val="0"/>
        <w:ind w:left="851"/>
        <w:rPr>
          <w:sz w:val="24"/>
          <w:szCs w:val="24"/>
          <w:highlight w:val="green"/>
        </w:rPr>
      </w:pPr>
    </w:p>
    <w:p w14:paraId="04B60B49" w14:textId="77777777" w:rsidR="00927B43" w:rsidRPr="00D54FFA" w:rsidRDefault="00927B43" w:rsidP="00D54FFA">
      <w:pPr>
        <w:autoSpaceDE w:val="0"/>
        <w:autoSpaceDN w:val="0"/>
        <w:adjustRightInd w:val="0"/>
        <w:ind w:left="851"/>
        <w:rPr>
          <w:sz w:val="24"/>
          <w:szCs w:val="24"/>
        </w:rPr>
      </w:pPr>
      <w:r w:rsidRPr="00D54FFA">
        <w:rPr>
          <w:sz w:val="24"/>
          <w:szCs w:val="24"/>
        </w:rPr>
        <w:t>Forekomsten af komplet respons, defineret som trombocyttal ≥ 100 000/</w:t>
      </w:r>
      <w:r w:rsidRPr="00D54FFA">
        <w:rPr>
          <w:sz w:val="24"/>
          <w:szCs w:val="24"/>
        </w:rPr>
        <w:sym w:font="Times New Roman" w:char="F06D"/>
      </w:r>
      <w:r w:rsidRPr="00D54FFA">
        <w:rPr>
          <w:sz w:val="24"/>
          <w:szCs w:val="24"/>
        </w:rPr>
        <w:t>l mindst en gang ved uge 9 uden ”rescue”-terapi, var 75 % (95 % CI: 60 % til 86 %) for nydiagnosticerede ITP-patienter, 76 % (95 % CI: 53 % til 92 %) og 72 % (95 % CI: 47 % til 90 %) for persisterende ITP-patienter (ITPdiagnose henholdsvis 3 til &lt; 6 måneder og 6 til ≤ 12 måneder), og 87 % (95 % CI: 60 % til 98 %) for kroniske ITP-patienter.</w:t>
      </w:r>
    </w:p>
    <w:p w14:paraId="56DBADEF" w14:textId="77777777" w:rsidR="00927B43" w:rsidRPr="00D54FFA" w:rsidRDefault="00927B43" w:rsidP="00D54FFA">
      <w:pPr>
        <w:autoSpaceDE w:val="0"/>
        <w:autoSpaceDN w:val="0"/>
        <w:adjustRightInd w:val="0"/>
        <w:ind w:left="851"/>
        <w:rPr>
          <w:sz w:val="24"/>
          <w:szCs w:val="24"/>
          <w:highlight w:val="green"/>
        </w:rPr>
      </w:pPr>
    </w:p>
    <w:p w14:paraId="44AC8F6D" w14:textId="77777777" w:rsidR="00927B43" w:rsidRPr="00D54FFA" w:rsidRDefault="00927B43" w:rsidP="00D54FFA">
      <w:pPr>
        <w:autoSpaceDE w:val="0"/>
        <w:autoSpaceDN w:val="0"/>
        <w:adjustRightInd w:val="0"/>
        <w:ind w:left="851"/>
        <w:rPr>
          <w:sz w:val="24"/>
          <w:szCs w:val="24"/>
        </w:rPr>
      </w:pPr>
      <w:r w:rsidRPr="00D54FFA">
        <w:rPr>
          <w:sz w:val="24"/>
          <w:szCs w:val="24"/>
        </w:rPr>
        <w:t>Forekomsten af vedvarende respons, defineret som trombocyttal ≥ 50 000/</w:t>
      </w:r>
      <w:r w:rsidRPr="00D54FFA">
        <w:rPr>
          <w:sz w:val="24"/>
          <w:szCs w:val="24"/>
        </w:rPr>
        <w:sym w:font="Times New Roman" w:char="F06D"/>
      </w:r>
      <w:r w:rsidRPr="00D54FFA">
        <w:rPr>
          <w:sz w:val="24"/>
          <w:szCs w:val="24"/>
        </w:rPr>
        <w:t>l for mindst 6 ud af 8 konsekutive vurderinger uden ”rescue”-terapi i løbet af de første 6 måneder af studiet, var 71 % (95 % CI: 56 % til 83 %) i nydiagnosticerede ITP-patienter, 81 % (95 % CI: 58 % til 95 %) og 72 % (95 % CI: 47 % til 90,3 %) i persisterende ITP-patienter (ITP-diagnose henholdsvis 3 til &lt; 6 måneder og 6 til ≤ 12 måneder), og 80 % (95 % CI: 52 % til 96 %) i kroniske ITP-patienter.</w:t>
      </w:r>
    </w:p>
    <w:p w14:paraId="2B072E21" w14:textId="77777777" w:rsidR="00927B43" w:rsidRPr="00D54FFA" w:rsidRDefault="00927B43" w:rsidP="00D54FFA">
      <w:pPr>
        <w:autoSpaceDE w:val="0"/>
        <w:autoSpaceDN w:val="0"/>
        <w:adjustRightInd w:val="0"/>
        <w:ind w:left="851"/>
        <w:rPr>
          <w:sz w:val="24"/>
          <w:szCs w:val="24"/>
        </w:rPr>
      </w:pPr>
    </w:p>
    <w:p w14:paraId="4D81602F" w14:textId="77777777" w:rsidR="00927B43" w:rsidRPr="00D54FFA" w:rsidRDefault="00927B43" w:rsidP="00D54FFA">
      <w:pPr>
        <w:autoSpaceDE w:val="0"/>
        <w:autoSpaceDN w:val="0"/>
        <w:adjustRightInd w:val="0"/>
        <w:ind w:left="851"/>
        <w:rPr>
          <w:sz w:val="24"/>
          <w:szCs w:val="24"/>
        </w:rPr>
      </w:pPr>
      <w:r w:rsidRPr="00D54FFA">
        <w:rPr>
          <w:sz w:val="24"/>
          <w:szCs w:val="24"/>
        </w:rPr>
        <w:t xml:space="preserve">Ved vurdering med WHO’s blødningsskala varierede andelen af nydiagnosticerede og persisterende ITP-patienter uden blødning efter/ved udgangen af uge 4 fra 88 % til 95 % </w:t>
      </w:r>
      <w:r w:rsidRPr="00D54FFA">
        <w:rPr>
          <w:sz w:val="24"/>
          <w:szCs w:val="24"/>
        </w:rPr>
        <w:lastRenderedPageBreak/>
        <w:t xml:space="preserve">sammenlignet med 37 % til 57 % ved </w:t>
      </w:r>
      <w:r w:rsidRPr="00D54FFA">
        <w:rPr>
          <w:i/>
          <w:iCs/>
          <w:sz w:val="24"/>
          <w:szCs w:val="24"/>
        </w:rPr>
        <w:t>baseline</w:t>
      </w:r>
      <w:r w:rsidRPr="00D54FFA">
        <w:rPr>
          <w:sz w:val="24"/>
          <w:szCs w:val="24"/>
        </w:rPr>
        <w:t xml:space="preserve">. For kroniske ITP-patienter var det 93 % sammenlignet med 73 % ved </w:t>
      </w:r>
      <w:r w:rsidRPr="00D54FFA">
        <w:rPr>
          <w:i/>
          <w:iCs/>
          <w:sz w:val="24"/>
          <w:szCs w:val="24"/>
        </w:rPr>
        <w:t>baseline</w:t>
      </w:r>
      <w:r w:rsidRPr="00D54FFA">
        <w:rPr>
          <w:sz w:val="24"/>
          <w:szCs w:val="24"/>
        </w:rPr>
        <w:t>.</w:t>
      </w:r>
    </w:p>
    <w:p w14:paraId="7753CDC0" w14:textId="77777777" w:rsidR="00927B43" w:rsidRPr="00D54FFA" w:rsidRDefault="00927B43" w:rsidP="00D54FFA">
      <w:pPr>
        <w:autoSpaceDE w:val="0"/>
        <w:autoSpaceDN w:val="0"/>
        <w:adjustRightInd w:val="0"/>
        <w:ind w:left="851"/>
        <w:rPr>
          <w:sz w:val="24"/>
          <w:szCs w:val="24"/>
        </w:rPr>
      </w:pPr>
    </w:p>
    <w:p w14:paraId="6509476B" w14:textId="77777777" w:rsidR="00927B43" w:rsidRPr="00D54FFA" w:rsidRDefault="00927B43" w:rsidP="00D54FFA">
      <w:pPr>
        <w:autoSpaceDE w:val="0"/>
        <w:autoSpaceDN w:val="0"/>
        <w:adjustRightInd w:val="0"/>
        <w:ind w:left="851"/>
        <w:rPr>
          <w:sz w:val="24"/>
          <w:szCs w:val="24"/>
        </w:rPr>
      </w:pPr>
      <w:r w:rsidRPr="00D54FFA">
        <w:rPr>
          <w:sz w:val="24"/>
          <w:szCs w:val="24"/>
        </w:rPr>
        <w:t>Eltrombopags sikkerhed var konsistent på tværs af alle ITP-kategorier og på linje med dets kendte sikkerhedsprofil.</w:t>
      </w:r>
    </w:p>
    <w:p w14:paraId="3005B9B3" w14:textId="77777777" w:rsidR="00927B43" w:rsidRPr="00D54FFA" w:rsidRDefault="00927B43" w:rsidP="00D54FFA">
      <w:pPr>
        <w:autoSpaceDE w:val="0"/>
        <w:autoSpaceDN w:val="0"/>
        <w:adjustRightInd w:val="0"/>
        <w:ind w:left="851"/>
        <w:rPr>
          <w:sz w:val="24"/>
          <w:szCs w:val="24"/>
        </w:rPr>
      </w:pPr>
    </w:p>
    <w:p w14:paraId="66B1DC18" w14:textId="77777777" w:rsidR="00927B43" w:rsidRPr="00D54FFA" w:rsidRDefault="00927B43" w:rsidP="00D54FFA">
      <w:pPr>
        <w:autoSpaceDE w:val="0"/>
        <w:autoSpaceDN w:val="0"/>
        <w:adjustRightInd w:val="0"/>
        <w:ind w:left="851"/>
        <w:rPr>
          <w:sz w:val="24"/>
          <w:szCs w:val="24"/>
        </w:rPr>
      </w:pPr>
      <w:r w:rsidRPr="00D54FFA">
        <w:rPr>
          <w:sz w:val="24"/>
          <w:szCs w:val="24"/>
        </w:rPr>
        <w:t>Der er ikke udført kliniske studier, der sammenligner eltrombopag med andre behandlingsmuligheder (f.eks. splenektomi). Den langsigtede sikkerhed af eltrombopag bør overvejes, før behandlingen påbegyndes.</w:t>
      </w:r>
    </w:p>
    <w:p w14:paraId="50557D47" w14:textId="77777777" w:rsidR="00927B43" w:rsidRPr="00D54FFA" w:rsidRDefault="00927B43" w:rsidP="00D54FFA">
      <w:pPr>
        <w:autoSpaceDE w:val="0"/>
        <w:autoSpaceDN w:val="0"/>
        <w:adjustRightInd w:val="0"/>
        <w:ind w:left="851"/>
        <w:rPr>
          <w:sz w:val="24"/>
          <w:szCs w:val="24"/>
        </w:rPr>
      </w:pPr>
    </w:p>
    <w:p w14:paraId="7AB3F098" w14:textId="77777777" w:rsidR="00927B43" w:rsidRPr="00D54FFA" w:rsidRDefault="00927B43" w:rsidP="00D54FFA">
      <w:pPr>
        <w:autoSpaceDE w:val="0"/>
        <w:autoSpaceDN w:val="0"/>
        <w:adjustRightInd w:val="0"/>
        <w:ind w:left="851"/>
        <w:rPr>
          <w:i/>
          <w:iCs/>
          <w:sz w:val="24"/>
          <w:szCs w:val="24"/>
        </w:rPr>
      </w:pPr>
      <w:r w:rsidRPr="00D54FFA">
        <w:rPr>
          <w:i/>
          <w:iCs/>
          <w:sz w:val="24"/>
          <w:szCs w:val="24"/>
        </w:rPr>
        <w:t>Pædiatrisk population (i alderen 1 til 17 år)</w:t>
      </w:r>
    </w:p>
    <w:p w14:paraId="6421F552" w14:textId="77777777" w:rsidR="00927B43" w:rsidRPr="00D54FFA" w:rsidRDefault="00927B43" w:rsidP="00D54FFA">
      <w:pPr>
        <w:autoSpaceDE w:val="0"/>
        <w:autoSpaceDN w:val="0"/>
        <w:adjustRightInd w:val="0"/>
        <w:ind w:left="851"/>
        <w:rPr>
          <w:sz w:val="24"/>
          <w:szCs w:val="24"/>
        </w:rPr>
      </w:pPr>
      <w:r w:rsidRPr="00D54FFA">
        <w:rPr>
          <w:sz w:val="24"/>
          <w:szCs w:val="24"/>
        </w:rPr>
        <w:t>Eltrombopags sikkerhed og effekt hos pædiatriske patienter er blevet undersøgt i to studier.</w:t>
      </w:r>
    </w:p>
    <w:p w14:paraId="05CD3F9B" w14:textId="77777777" w:rsidR="00927B43" w:rsidRPr="00D54FFA" w:rsidRDefault="00927B43" w:rsidP="00D54FFA">
      <w:pPr>
        <w:autoSpaceDE w:val="0"/>
        <w:autoSpaceDN w:val="0"/>
        <w:adjustRightInd w:val="0"/>
        <w:ind w:left="851"/>
        <w:rPr>
          <w:sz w:val="24"/>
          <w:szCs w:val="24"/>
        </w:rPr>
      </w:pPr>
    </w:p>
    <w:p w14:paraId="2E0DD79B" w14:textId="77777777" w:rsidR="00927B43" w:rsidRPr="00D54FFA" w:rsidRDefault="00927B43" w:rsidP="00D54FFA">
      <w:pPr>
        <w:autoSpaceDE w:val="0"/>
        <w:autoSpaceDN w:val="0"/>
        <w:adjustRightInd w:val="0"/>
        <w:ind w:left="851"/>
        <w:rPr>
          <w:sz w:val="24"/>
          <w:szCs w:val="24"/>
        </w:rPr>
      </w:pPr>
      <w:r w:rsidRPr="00D54FFA">
        <w:rPr>
          <w:iCs/>
          <w:sz w:val="24"/>
          <w:szCs w:val="24"/>
        </w:rPr>
        <w:t>TRA115450 (PETIT2)</w:t>
      </w:r>
      <w:r w:rsidRPr="00D54FFA">
        <w:rPr>
          <w:sz w:val="24"/>
          <w:szCs w:val="24"/>
        </w:rPr>
        <w:t>:</w:t>
      </w:r>
    </w:p>
    <w:p w14:paraId="641514EC" w14:textId="77777777" w:rsidR="00927B43" w:rsidRPr="00D54FFA" w:rsidRDefault="00927B43" w:rsidP="00D54FFA">
      <w:pPr>
        <w:autoSpaceDE w:val="0"/>
        <w:autoSpaceDN w:val="0"/>
        <w:adjustRightInd w:val="0"/>
        <w:ind w:left="851"/>
        <w:rPr>
          <w:sz w:val="24"/>
          <w:szCs w:val="24"/>
        </w:rPr>
      </w:pPr>
      <w:r w:rsidRPr="00D54FFA">
        <w:rPr>
          <w:sz w:val="24"/>
          <w:szCs w:val="24"/>
        </w:rPr>
        <w:t xml:space="preserve">Det primære endepunkt var vedvarende respons, defineret som den andel af patienterne, der fik eltrombopag, og som sammenlignet med placebo, opnåede trombocyttal ≥ 50 000 pr. μl i mindst 6 ud af 8 uger (uden brug af redningsmedicin), mellem uge 5 og 12 i løbet af 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30 000 pr. μl. Tooghalvfems patienter blev randomiseret efter tre alderskohortestrata (2:1) til eltrombopag (n = 63) eller placebo (n = 29). Eltrombopagdosen kunne justeres ud fra individuelle trombocyttal. </w:t>
      </w:r>
    </w:p>
    <w:p w14:paraId="17D083BE" w14:textId="77777777" w:rsidR="00927B43" w:rsidRPr="00D54FFA" w:rsidRDefault="00927B43" w:rsidP="00D54FFA">
      <w:pPr>
        <w:autoSpaceDE w:val="0"/>
        <w:autoSpaceDN w:val="0"/>
        <w:adjustRightInd w:val="0"/>
        <w:ind w:left="851"/>
        <w:rPr>
          <w:sz w:val="24"/>
          <w:szCs w:val="24"/>
        </w:rPr>
      </w:pPr>
    </w:p>
    <w:p w14:paraId="355AD9FB" w14:textId="77777777" w:rsidR="00927B43" w:rsidRPr="00D54FFA" w:rsidRDefault="00927B43" w:rsidP="00D54FFA">
      <w:pPr>
        <w:autoSpaceDE w:val="0"/>
        <w:autoSpaceDN w:val="0"/>
        <w:adjustRightInd w:val="0"/>
        <w:ind w:left="851"/>
        <w:rPr>
          <w:sz w:val="24"/>
          <w:szCs w:val="24"/>
        </w:rPr>
      </w:pPr>
      <w:r w:rsidRPr="00D54FFA">
        <w:rPr>
          <w:sz w:val="24"/>
          <w:szCs w:val="24"/>
        </w:rPr>
        <w:t>Samlet set opnåede en signifikant højere andel af eltrombopagpatienterne (40 %) sammenlignet med placebopatienterne (3 %) det primære endepunkt (Odds Ratio: 18,0 [95 % CI: 2,3; 140,9] p &lt; 0,001), og resultaterne var omtrent ens på tværs af de tre alderskohorter (tabel 6)).</w:t>
      </w:r>
    </w:p>
    <w:p w14:paraId="7969305F" w14:textId="77777777" w:rsidR="00927B43" w:rsidRPr="00D54FFA" w:rsidRDefault="00927B43" w:rsidP="00D54FFA">
      <w:pPr>
        <w:autoSpaceDE w:val="0"/>
        <w:autoSpaceDN w:val="0"/>
        <w:adjustRightInd w:val="0"/>
        <w:ind w:left="851"/>
        <w:jc w:val="both"/>
        <w:rPr>
          <w:sz w:val="24"/>
          <w:szCs w:val="24"/>
          <w:highlight w:val="green"/>
        </w:rPr>
      </w:pPr>
    </w:p>
    <w:p w14:paraId="5371A392" w14:textId="77777777" w:rsidR="00927B43" w:rsidRDefault="00927B43" w:rsidP="00927B43">
      <w:pPr>
        <w:autoSpaceDE w:val="0"/>
        <w:autoSpaceDN w:val="0"/>
        <w:adjustRightInd w:val="0"/>
        <w:ind w:left="993" w:hanging="993"/>
        <w:rPr>
          <w:b/>
          <w:bCs/>
        </w:rPr>
      </w:pPr>
      <w:r>
        <w:rPr>
          <w:b/>
          <w:bCs/>
        </w:rPr>
        <w:t>Tabel 6     Vedvarende trombocytresponsrater efter alderskohorte hos pædiatriske patienter med kronisk ITP</w:t>
      </w:r>
    </w:p>
    <w:tbl>
      <w:tblPr>
        <w:tblStyle w:val="Tabel-Gitter"/>
        <w:tblW w:w="0" w:type="auto"/>
        <w:tblLook w:val="04A0" w:firstRow="1" w:lastRow="0" w:firstColumn="1" w:lastColumn="0" w:noHBand="0" w:noVBand="1"/>
      </w:tblPr>
      <w:tblGrid>
        <w:gridCol w:w="2831"/>
        <w:gridCol w:w="2831"/>
        <w:gridCol w:w="2832"/>
      </w:tblGrid>
      <w:tr w:rsidR="00927B43" w14:paraId="23F53EDE" w14:textId="77777777" w:rsidTr="00927B43">
        <w:tc>
          <w:tcPr>
            <w:tcW w:w="2831" w:type="dxa"/>
            <w:tcBorders>
              <w:top w:val="single" w:sz="4" w:space="0" w:color="auto"/>
              <w:left w:val="single" w:sz="4" w:space="0" w:color="auto"/>
              <w:bottom w:val="single" w:sz="4" w:space="0" w:color="auto"/>
              <w:right w:val="single" w:sz="4" w:space="0" w:color="auto"/>
            </w:tcBorders>
          </w:tcPr>
          <w:p w14:paraId="499D0A01" w14:textId="77777777" w:rsidR="00927B43" w:rsidRDefault="00927B43"/>
        </w:tc>
        <w:tc>
          <w:tcPr>
            <w:tcW w:w="2831" w:type="dxa"/>
            <w:tcBorders>
              <w:top w:val="single" w:sz="4" w:space="0" w:color="auto"/>
              <w:left w:val="single" w:sz="4" w:space="0" w:color="auto"/>
              <w:bottom w:val="single" w:sz="4" w:space="0" w:color="auto"/>
              <w:right w:val="single" w:sz="4" w:space="0" w:color="auto"/>
            </w:tcBorders>
            <w:hideMark/>
          </w:tcPr>
          <w:p w14:paraId="2895ACC5" w14:textId="77777777" w:rsidR="00927B43" w:rsidRDefault="00927B43">
            <w:pPr>
              <w:autoSpaceDE w:val="0"/>
              <w:autoSpaceDN w:val="0"/>
              <w:adjustRightInd w:val="0"/>
              <w:jc w:val="center"/>
            </w:pPr>
            <w:r>
              <w:t>Eltrombopag</w:t>
            </w:r>
          </w:p>
          <w:p w14:paraId="1111C455" w14:textId="77777777" w:rsidR="00927B43" w:rsidRDefault="00927B43">
            <w:pPr>
              <w:autoSpaceDE w:val="0"/>
              <w:autoSpaceDN w:val="0"/>
              <w:adjustRightInd w:val="0"/>
              <w:jc w:val="center"/>
            </w:pPr>
            <w:r>
              <w:t>n/N (%)</w:t>
            </w:r>
          </w:p>
          <w:p w14:paraId="71A59E48" w14:textId="77777777" w:rsidR="00927B43" w:rsidRDefault="00927B43">
            <w:pPr>
              <w:jc w:val="center"/>
            </w:pPr>
            <w:r>
              <w:t>[95% CI]</w:t>
            </w:r>
          </w:p>
        </w:tc>
        <w:tc>
          <w:tcPr>
            <w:tcW w:w="2832" w:type="dxa"/>
            <w:tcBorders>
              <w:top w:val="single" w:sz="4" w:space="0" w:color="auto"/>
              <w:left w:val="single" w:sz="4" w:space="0" w:color="auto"/>
              <w:bottom w:val="single" w:sz="4" w:space="0" w:color="auto"/>
              <w:right w:val="single" w:sz="4" w:space="0" w:color="auto"/>
            </w:tcBorders>
            <w:hideMark/>
          </w:tcPr>
          <w:p w14:paraId="79B63334" w14:textId="77777777" w:rsidR="00927B43" w:rsidRDefault="00927B43">
            <w:pPr>
              <w:autoSpaceDE w:val="0"/>
              <w:autoSpaceDN w:val="0"/>
              <w:adjustRightInd w:val="0"/>
              <w:jc w:val="center"/>
            </w:pPr>
            <w:r>
              <w:t>Placebo</w:t>
            </w:r>
          </w:p>
          <w:p w14:paraId="5DD74641" w14:textId="77777777" w:rsidR="00927B43" w:rsidRDefault="00927B43">
            <w:pPr>
              <w:autoSpaceDE w:val="0"/>
              <w:autoSpaceDN w:val="0"/>
              <w:adjustRightInd w:val="0"/>
              <w:jc w:val="center"/>
            </w:pPr>
            <w:r>
              <w:t>n/N (%)</w:t>
            </w:r>
          </w:p>
          <w:p w14:paraId="26AF08E7" w14:textId="77777777" w:rsidR="00927B43" w:rsidRDefault="00927B43">
            <w:pPr>
              <w:jc w:val="center"/>
            </w:pPr>
            <w:r>
              <w:t>[95% CI]</w:t>
            </w:r>
          </w:p>
        </w:tc>
      </w:tr>
      <w:tr w:rsidR="00927B43" w14:paraId="45FE5B51" w14:textId="77777777" w:rsidTr="00927B43">
        <w:tc>
          <w:tcPr>
            <w:tcW w:w="2831" w:type="dxa"/>
            <w:tcBorders>
              <w:top w:val="single" w:sz="4" w:space="0" w:color="auto"/>
              <w:left w:val="single" w:sz="4" w:space="0" w:color="auto"/>
              <w:bottom w:val="single" w:sz="4" w:space="0" w:color="auto"/>
              <w:right w:val="single" w:sz="4" w:space="0" w:color="auto"/>
            </w:tcBorders>
          </w:tcPr>
          <w:p w14:paraId="12797FED" w14:textId="77777777" w:rsidR="00927B43" w:rsidRDefault="00927B43">
            <w:pPr>
              <w:autoSpaceDE w:val="0"/>
              <w:autoSpaceDN w:val="0"/>
              <w:adjustRightInd w:val="0"/>
            </w:pPr>
            <w:r>
              <w:t>Kohorte 1 (12 til 17 år)</w:t>
            </w:r>
          </w:p>
          <w:p w14:paraId="5A2D6031" w14:textId="77777777" w:rsidR="00927B43" w:rsidRDefault="00927B43">
            <w:pPr>
              <w:autoSpaceDE w:val="0"/>
              <w:autoSpaceDN w:val="0"/>
              <w:adjustRightInd w:val="0"/>
            </w:pPr>
          </w:p>
          <w:p w14:paraId="19D02161" w14:textId="77777777" w:rsidR="00927B43" w:rsidRDefault="00927B43">
            <w:pPr>
              <w:autoSpaceDE w:val="0"/>
              <w:autoSpaceDN w:val="0"/>
              <w:adjustRightInd w:val="0"/>
            </w:pPr>
            <w:r>
              <w:t>Kohorte 2 (6 til 11 år)</w:t>
            </w:r>
          </w:p>
          <w:p w14:paraId="609D3717" w14:textId="77777777" w:rsidR="00927B43" w:rsidRDefault="00927B43">
            <w:pPr>
              <w:autoSpaceDE w:val="0"/>
              <w:autoSpaceDN w:val="0"/>
              <w:adjustRightInd w:val="0"/>
            </w:pPr>
          </w:p>
          <w:p w14:paraId="0A5757AF" w14:textId="77777777" w:rsidR="00927B43" w:rsidRDefault="00927B43">
            <w:r>
              <w:t>Kohorte 3 (1 til 5 år)</w:t>
            </w:r>
          </w:p>
        </w:tc>
        <w:tc>
          <w:tcPr>
            <w:tcW w:w="2831" w:type="dxa"/>
            <w:tcBorders>
              <w:top w:val="single" w:sz="4" w:space="0" w:color="auto"/>
              <w:left w:val="single" w:sz="4" w:space="0" w:color="auto"/>
              <w:bottom w:val="single" w:sz="4" w:space="0" w:color="auto"/>
              <w:right w:val="single" w:sz="4" w:space="0" w:color="auto"/>
            </w:tcBorders>
            <w:hideMark/>
          </w:tcPr>
          <w:p w14:paraId="53CB7E62" w14:textId="77777777" w:rsidR="00927B43" w:rsidRDefault="00927B43">
            <w:pPr>
              <w:autoSpaceDE w:val="0"/>
              <w:autoSpaceDN w:val="0"/>
              <w:adjustRightInd w:val="0"/>
              <w:jc w:val="center"/>
            </w:pPr>
            <w:r>
              <w:t>9/23 (39%)</w:t>
            </w:r>
          </w:p>
          <w:p w14:paraId="40BC5D14" w14:textId="77777777" w:rsidR="00927B43" w:rsidRDefault="00927B43">
            <w:pPr>
              <w:autoSpaceDE w:val="0"/>
              <w:autoSpaceDN w:val="0"/>
              <w:adjustRightInd w:val="0"/>
              <w:jc w:val="center"/>
            </w:pPr>
            <w:r>
              <w:t>[20%, 61%]</w:t>
            </w:r>
          </w:p>
          <w:p w14:paraId="154B9C30" w14:textId="77777777" w:rsidR="00927B43" w:rsidRDefault="00927B43">
            <w:pPr>
              <w:autoSpaceDE w:val="0"/>
              <w:autoSpaceDN w:val="0"/>
              <w:adjustRightInd w:val="0"/>
              <w:jc w:val="center"/>
            </w:pPr>
            <w:r>
              <w:t>11/26 (42%)</w:t>
            </w:r>
          </w:p>
          <w:p w14:paraId="10B3A1B3" w14:textId="77777777" w:rsidR="00927B43" w:rsidRDefault="00927B43">
            <w:pPr>
              <w:autoSpaceDE w:val="0"/>
              <w:autoSpaceDN w:val="0"/>
              <w:adjustRightInd w:val="0"/>
              <w:jc w:val="center"/>
            </w:pPr>
            <w:r>
              <w:t>[23%, 63%]</w:t>
            </w:r>
          </w:p>
          <w:p w14:paraId="564F15B6" w14:textId="77777777" w:rsidR="00927B43" w:rsidRDefault="00927B43">
            <w:pPr>
              <w:autoSpaceDE w:val="0"/>
              <w:autoSpaceDN w:val="0"/>
              <w:adjustRightInd w:val="0"/>
              <w:jc w:val="center"/>
            </w:pPr>
            <w:r>
              <w:t>5/14 (36%)</w:t>
            </w:r>
          </w:p>
          <w:p w14:paraId="3300BE1C" w14:textId="77777777" w:rsidR="00927B43" w:rsidRDefault="00927B43">
            <w:pPr>
              <w:autoSpaceDE w:val="0"/>
              <w:autoSpaceDN w:val="0"/>
              <w:adjustRightInd w:val="0"/>
              <w:jc w:val="center"/>
            </w:pPr>
            <w:r>
              <w:t>[13%, 65%]</w:t>
            </w:r>
          </w:p>
        </w:tc>
        <w:tc>
          <w:tcPr>
            <w:tcW w:w="2832" w:type="dxa"/>
            <w:tcBorders>
              <w:top w:val="single" w:sz="4" w:space="0" w:color="auto"/>
              <w:left w:val="single" w:sz="4" w:space="0" w:color="auto"/>
              <w:bottom w:val="single" w:sz="4" w:space="0" w:color="auto"/>
              <w:right w:val="single" w:sz="4" w:space="0" w:color="auto"/>
            </w:tcBorders>
            <w:hideMark/>
          </w:tcPr>
          <w:p w14:paraId="3E8A0D97" w14:textId="77777777" w:rsidR="00927B43" w:rsidRDefault="00927B43">
            <w:pPr>
              <w:autoSpaceDE w:val="0"/>
              <w:autoSpaceDN w:val="0"/>
              <w:adjustRightInd w:val="0"/>
              <w:jc w:val="center"/>
            </w:pPr>
            <w:r>
              <w:t>1/10 (10%)</w:t>
            </w:r>
          </w:p>
          <w:p w14:paraId="51383664" w14:textId="77777777" w:rsidR="00927B43" w:rsidRDefault="00927B43">
            <w:pPr>
              <w:autoSpaceDE w:val="0"/>
              <w:autoSpaceDN w:val="0"/>
              <w:adjustRightInd w:val="0"/>
              <w:jc w:val="center"/>
            </w:pPr>
            <w:r>
              <w:t>[0%, 45%]</w:t>
            </w:r>
          </w:p>
          <w:p w14:paraId="748B80AD" w14:textId="77777777" w:rsidR="00927B43" w:rsidRDefault="00927B43">
            <w:pPr>
              <w:autoSpaceDE w:val="0"/>
              <w:autoSpaceDN w:val="0"/>
              <w:adjustRightInd w:val="0"/>
              <w:jc w:val="center"/>
            </w:pPr>
            <w:r>
              <w:t>0/13 (0%)</w:t>
            </w:r>
          </w:p>
          <w:p w14:paraId="26D471B3" w14:textId="77777777" w:rsidR="00927B43" w:rsidRDefault="00927B43">
            <w:pPr>
              <w:autoSpaceDE w:val="0"/>
              <w:autoSpaceDN w:val="0"/>
              <w:adjustRightInd w:val="0"/>
              <w:jc w:val="center"/>
            </w:pPr>
            <w:r>
              <w:t>[N/A]</w:t>
            </w:r>
          </w:p>
          <w:p w14:paraId="3F1A9574" w14:textId="77777777" w:rsidR="00927B43" w:rsidRDefault="00927B43">
            <w:pPr>
              <w:autoSpaceDE w:val="0"/>
              <w:autoSpaceDN w:val="0"/>
              <w:adjustRightInd w:val="0"/>
              <w:jc w:val="center"/>
            </w:pPr>
            <w:r>
              <w:t>0/6 (0%)</w:t>
            </w:r>
          </w:p>
          <w:p w14:paraId="79E44A2B" w14:textId="77777777" w:rsidR="00927B43" w:rsidRDefault="00927B43">
            <w:pPr>
              <w:jc w:val="center"/>
            </w:pPr>
            <w:r>
              <w:t>[N/A]</w:t>
            </w:r>
          </w:p>
        </w:tc>
      </w:tr>
    </w:tbl>
    <w:p w14:paraId="4A020A77" w14:textId="77777777" w:rsidR="00927B43" w:rsidRDefault="00927B43" w:rsidP="00927B43">
      <w:pPr>
        <w:autoSpaceDE w:val="0"/>
        <w:autoSpaceDN w:val="0"/>
        <w:adjustRightInd w:val="0"/>
        <w:rPr>
          <w:sz w:val="22"/>
          <w:szCs w:val="22"/>
          <w:highlight w:val="green"/>
        </w:rPr>
      </w:pPr>
    </w:p>
    <w:p w14:paraId="4B58617A" w14:textId="77777777" w:rsidR="00927B43" w:rsidRPr="00D54FFA" w:rsidRDefault="00927B43" w:rsidP="00D54FFA">
      <w:pPr>
        <w:autoSpaceDE w:val="0"/>
        <w:autoSpaceDN w:val="0"/>
        <w:adjustRightInd w:val="0"/>
        <w:ind w:left="851"/>
        <w:rPr>
          <w:sz w:val="24"/>
          <w:szCs w:val="24"/>
        </w:rPr>
      </w:pPr>
      <w:r w:rsidRPr="00D54FFA">
        <w:rPr>
          <w:sz w:val="24"/>
          <w:szCs w:val="24"/>
        </w:rPr>
        <w:t>Statistisk set havde færre eltrombopagpatienter behov for redningsmedicin under den randomiserede periode sammenlignet med placbopatienterne (19 % [12/63] vs. 24 % [7/29], p = 0,032).</w:t>
      </w:r>
    </w:p>
    <w:p w14:paraId="18A074E4" w14:textId="77777777" w:rsidR="00927B43" w:rsidRPr="00D54FFA" w:rsidRDefault="00927B43" w:rsidP="00D54FFA">
      <w:pPr>
        <w:autoSpaceDE w:val="0"/>
        <w:autoSpaceDN w:val="0"/>
        <w:adjustRightInd w:val="0"/>
        <w:ind w:left="851"/>
        <w:rPr>
          <w:sz w:val="24"/>
          <w:szCs w:val="24"/>
          <w:highlight w:val="green"/>
        </w:rPr>
      </w:pPr>
    </w:p>
    <w:p w14:paraId="5EB1140F" w14:textId="77777777" w:rsidR="00927B43" w:rsidRPr="00D54FFA" w:rsidRDefault="00927B43" w:rsidP="00D54FFA">
      <w:pPr>
        <w:autoSpaceDE w:val="0"/>
        <w:autoSpaceDN w:val="0"/>
        <w:adjustRightInd w:val="0"/>
        <w:ind w:left="851"/>
        <w:rPr>
          <w:sz w:val="24"/>
          <w:szCs w:val="24"/>
        </w:rPr>
      </w:pPr>
      <w:r w:rsidRPr="00D54FFA">
        <w:rPr>
          <w:sz w:val="24"/>
          <w:szCs w:val="24"/>
        </w:rPr>
        <w:t xml:space="preserve">Ved </w:t>
      </w:r>
      <w:r w:rsidRPr="00D54FFA">
        <w:rPr>
          <w:i/>
          <w:iCs/>
          <w:sz w:val="24"/>
          <w:szCs w:val="24"/>
        </w:rPr>
        <w:t>baseline</w:t>
      </w:r>
      <w:r w:rsidRPr="00D54FFA">
        <w:rPr>
          <w:sz w:val="24"/>
          <w:szCs w:val="24"/>
        </w:rPr>
        <w:t xml:space="preserve"> rapporterede 71 % af patienterne i eltrombopag-gruppen og 69 % i placebogruppen om nogen form for blødning (WHO grad 1-4). Ved uge 12 var andelen af eltrombopagpatienter, der rapporterede om nogen form for blødning, faldet til halvdelen af </w:t>
      </w:r>
      <w:r w:rsidRPr="00D54FFA">
        <w:rPr>
          <w:i/>
          <w:iCs/>
          <w:sz w:val="24"/>
          <w:szCs w:val="24"/>
        </w:rPr>
        <w:t>baseline</w:t>
      </w:r>
      <w:r w:rsidRPr="00D54FFA">
        <w:rPr>
          <w:sz w:val="24"/>
          <w:szCs w:val="24"/>
        </w:rPr>
        <w:t xml:space="preserve"> værdien (36 %). Til sammenligning var der ved uge 12 55 % af placebopatienterne, der rapporterede om nogen form for blødning.</w:t>
      </w:r>
    </w:p>
    <w:p w14:paraId="4A5B7D5B" w14:textId="77777777" w:rsidR="00927B43" w:rsidRPr="00D54FFA" w:rsidRDefault="00927B43" w:rsidP="00D54FFA">
      <w:pPr>
        <w:autoSpaceDE w:val="0"/>
        <w:autoSpaceDN w:val="0"/>
        <w:adjustRightInd w:val="0"/>
        <w:ind w:left="851"/>
        <w:rPr>
          <w:sz w:val="24"/>
          <w:szCs w:val="24"/>
          <w:highlight w:val="green"/>
        </w:rPr>
      </w:pPr>
    </w:p>
    <w:p w14:paraId="32E4FA34" w14:textId="77777777" w:rsidR="00927B43" w:rsidRPr="00D54FFA" w:rsidRDefault="00927B43" w:rsidP="00D54FFA">
      <w:pPr>
        <w:autoSpaceDE w:val="0"/>
        <w:autoSpaceDN w:val="0"/>
        <w:adjustRightInd w:val="0"/>
        <w:ind w:left="851"/>
        <w:rPr>
          <w:sz w:val="24"/>
          <w:szCs w:val="24"/>
        </w:rPr>
      </w:pPr>
      <w:r w:rsidRPr="00D54FFA">
        <w:rPr>
          <w:sz w:val="24"/>
          <w:szCs w:val="24"/>
        </w:rPr>
        <w:lastRenderedPageBreak/>
        <w:t xml:space="preserve">Patienterne fik først lov til at reducere eller afbryde deres </w:t>
      </w:r>
      <w:r w:rsidRPr="00D54FFA">
        <w:rPr>
          <w:i/>
          <w:iCs/>
          <w:sz w:val="24"/>
          <w:szCs w:val="24"/>
        </w:rPr>
        <w:t>baseline</w:t>
      </w:r>
      <w:r w:rsidRPr="00D54FFA">
        <w:rPr>
          <w:sz w:val="24"/>
          <w:szCs w:val="24"/>
        </w:rPr>
        <w:t xml:space="preserve"> ITP-behandling under studiets åbne fase, og 53 % (8/15) af patienterne kunne reducere (n = 1) eller afbryde (n = 7) </w:t>
      </w:r>
      <w:r w:rsidRPr="00D54FFA">
        <w:rPr>
          <w:i/>
          <w:iCs/>
          <w:sz w:val="24"/>
          <w:szCs w:val="24"/>
        </w:rPr>
        <w:t>baseline</w:t>
      </w:r>
      <w:r w:rsidRPr="00D54FFA">
        <w:rPr>
          <w:sz w:val="24"/>
          <w:szCs w:val="24"/>
        </w:rPr>
        <w:t xml:space="preserve"> ITP-behandlingen, hovedsagelig kortikosteroider, uden behov for redningsmedicin.</w:t>
      </w:r>
    </w:p>
    <w:p w14:paraId="155F772F" w14:textId="77777777" w:rsidR="00927B43" w:rsidRPr="00D54FFA" w:rsidRDefault="00927B43" w:rsidP="00D54FFA">
      <w:pPr>
        <w:autoSpaceDE w:val="0"/>
        <w:autoSpaceDN w:val="0"/>
        <w:adjustRightInd w:val="0"/>
        <w:ind w:left="851"/>
        <w:rPr>
          <w:sz w:val="24"/>
          <w:szCs w:val="24"/>
        </w:rPr>
      </w:pPr>
    </w:p>
    <w:p w14:paraId="0A6BF4D5" w14:textId="77777777" w:rsidR="00927B43" w:rsidRPr="00D54FFA" w:rsidRDefault="00927B43" w:rsidP="00D54FFA">
      <w:pPr>
        <w:autoSpaceDE w:val="0"/>
        <w:autoSpaceDN w:val="0"/>
        <w:adjustRightInd w:val="0"/>
        <w:ind w:left="851"/>
        <w:rPr>
          <w:iCs/>
          <w:sz w:val="24"/>
          <w:szCs w:val="24"/>
        </w:rPr>
      </w:pPr>
      <w:r w:rsidRPr="00D54FFA">
        <w:rPr>
          <w:iCs/>
          <w:sz w:val="24"/>
          <w:szCs w:val="24"/>
        </w:rPr>
        <w:t xml:space="preserve">TRA108062 (PETIT): </w:t>
      </w:r>
    </w:p>
    <w:p w14:paraId="6A9C500A" w14:textId="77777777" w:rsidR="00927B43" w:rsidRPr="00D54FFA" w:rsidRDefault="00927B43" w:rsidP="00D54FFA">
      <w:pPr>
        <w:autoSpaceDE w:val="0"/>
        <w:autoSpaceDN w:val="0"/>
        <w:adjustRightInd w:val="0"/>
        <w:ind w:left="851"/>
        <w:rPr>
          <w:sz w:val="24"/>
          <w:szCs w:val="24"/>
        </w:rPr>
      </w:pPr>
      <w:r w:rsidRPr="00D54FFA">
        <w:rPr>
          <w:sz w:val="24"/>
          <w:szCs w:val="24"/>
        </w:rPr>
        <w:t>Det primære endepunkt var andelen af patienter, der opnåede trombocyttal ≥ 50 000 pr. μl mindst én gang mellem uge 1 og 6 i den randomiserede periode. Patienterne var diagnosticeret med ITP mindst 6 måneder tidligere og havde refraktær sygdom eller recidiv efter mindst én tidligere ITP-behandling med trombocyttal &lt;30 000 pr μl. I studiets randomiserede del blev patienterne randomiseret efter tre alderskohortestrata (2:1) til eltrombopag (n = 45) eller placebo (n = 22). Eltrombopag-dosen kunne justeres ud fra individuelle trombocyttal.</w:t>
      </w:r>
    </w:p>
    <w:p w14:paraId="09B78679" w14:textId="77777777" w:rsidR="00927B43" w:rsidRPr="00D54FFA" w:rsidRDefault="00927B43" w:rsidP="00D54FFA">
      <w:pPr>
        <w:autoSpaceDE w:val="0"/>
        <w:autoSpaceDN w:val="0"/>
        <w:adjustRightInd w:val="0"/>
        <w:ind w:left="851"/>
        <w:rPr>
          <w:sz w:val="24"/>
          <w:szCs w:val="24"/>
        </w:rPr>
      </w:pPr>
    </w:p>
    <w:p w14:paraId="60AE8694" w14:textId="77777777" w:rsidR="00927B43" w:rsidRPr="00D54FFA" w:rsidRDefault="00927B43" w:rsidP="00D54FFA">
      <w:pPr>
        <w:autoSpaceDE w:val="0"/>
        <w:autoSpaceDN w:val="0"/>
        <w:adjustRightInd w:val="0"/>
        <w:ind w:left="851"/>
        <w:rPr>
          <w:sz w:val="24"/>
          <w:szCs w:val="24"/>
        </w:rPr>
      </w:pPr>
      <w:r w:rsidRPr="00D54FFA">
        <w:rPr>
          <w:sz w:val="24"/>
          <w:szCs w:val="24"/>
        </w:rPr>
        <w:t xml:space="preserve">Samlet set opnåede en signifikant højere andel af eltrombopagpatienterne (62 %) sammenlignet med placebopatienterne (32 %) det primære endepunkt (Odds Ratio: 4,3 [95 % CI: 1,4; 13,3] p = 0,011). </w:t>
      </w:r>
    </w:p>
    <w:p w14:paraId="226DC591" w14:textId="77777777" w:rsidR="00927B43" w:rsidRPr="00D54FFA" w:rsidRDefault="00927B43" w:rsidP="00D54FFA">
      <w:pPr>
        <w:autoSpaceDE w:val="0"/>
        <w:autoSpaceDN w:val="0"/>
        <w:adjustRightInd w:val="0"/>
        <w:ind w:left="851"/>
        <w:rPr>
          <w:sz w:val="24"/>
          <w:szCs w:val="24"/>
        </w:rPr>
      </w:pPr>
    </w:p>
    <w:p w14:paraId="6841116F" w14:textId="77777777" w:rsidR="00927B43" w:rsidRPr="00D54FFA" w:rsidRDefault="00927B43" w:rsidP="00D54FFA">
      <w:pPr>
        <w:autoSpaceDE w:val="0"/>
        <w:autoSpaceDN w:val="0"/>
        <w:adjustRightInd w:val="0"/>
        <w:ind w:left="851"/>
        <w:rPr>
          <w:sz w:val="24"/>
          <w:szCs w:val="24"/>
        </w:rPr>
      </w:pPr>
      <w:r w:rsidRPr="00D54FFA">
        <w:rPr>
          <w:sz w:val="24"/>
          <w:szCs w:val="24"/>
        </w:rPr>
        <w:t>Der blev observeret vedvarende respons hos 50 % af de initiale respondenter i løbet af 20 ud af 24 uger i PETIT 2 studiet og 15 ud af 24 uger i PETIT studiet.</w:t>
      </w:r>
    </w:p>
    <w:p w14:paraId="2346AD49" w14:textId="77777777" w:rsidR="00927B43" w:rsidRPr="00D54FFA" w:rsidRDefault="00927B43" w:rsidP="00D54FFA">
      <w:pPr>
        <w:autoSpaceDE w:val="0"/>
        <w:autoSpaceDN w:val="0"/>
        <w:adjustRightInd w:val="0"/>
        <w:ind w:left="851"/>
        <w:rPr>
          <w:sz w:val="24"/>
          <w:szCs w:val="24"/>
          <w:highlight w:val="green"/>
        </w:rPr>
      </w:pPr>
    </w:p>
    <w:p w14:paraId="69729AD1"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Studier omhandlende trombocytopeni ved kronisk hepatitis C</w:t>
      </w:r>
    </w:p>
    <w:p w14:paraId="55BA9492" w14:textId="77777777" w:rsidR="00927B43" w:rsidRPr="00D54FFA" w:rsidRDefault="00927B43" w:rsidP="00D54FFA">
      <w:pPr>
        <w:autoSpaceDE w:val="0"/>
        <w:autoSpaceDN w:val="0"/>
        <w:adjustRightInd w:val="0"/>
        <w:ind w:left="851"/>
        <w:rPr>
          <w:sz w:val="24"/>
          <w:szCs w:val="24"/>
        </w:rPr>
      </w:pPr>
      <w:r w:rsidRPr="00D54FFA">
        <w:rPr>
          <w:sz w:val="24"/>
          <w:szCs w:val="24"/>
        </w:rPr>
        <w:t>Effekt og sikkerhed ved eltrombopag i behandling af trombocytopeni hos patienter med HCV-infektion blev vurderet i to randomiserede, dobbeltblindede og placebokontrollerede studier. I ENABLE 1 blev der benyttet peginterferon alfa-2a plus ribavirin som antiviral behandling, og i ENABLE 2 blev der benyttet peginterferon alfa-2b plus ribavirin. Patienterne fik ikke direkte virkende antivirale midler. I begge studier blev patienter med et trombocyttal på &lt; 75 000 pr. μl inkluderet og stratificeret efter trombocyttal (&lt; 50 000 pr. μl og ≥ 50 000 pr. μl til &lt; 75 000 pr. μl), HCV-RNA ved screeningen (&lt; 800 000 IE/ml og ≥ 800 000 IE/ml) og HCV-genotype (genotype 2/3 og genotype 1/4/6).</w:t>
      </w:r>
    </w:p>
    <w:p w14:paraId="71E2955B" w14:textId="77777777" w:rsidR="00927B43" w:rsidRPr="00D54FFA" w:rsidRDefault="00927B43" w:rsidP="00D54FFA">
      <w:pPr>
        <w:autoSpaceDE w:val="0"/>
        <w:autoSpaceDN w:val="0"/>
        <w:adjustRightInd w:val="0"/>
        <w:ind w:left="851"/>
        <w:rPr>
          <w:sz w:val="24"/>
          <w:szCs w:val="24"/>
        </w:rPr>
      </w:pPr>
    </w:p>
    <w:p w14:paraId="1C88A89D" w14:textId="77777777" w:rsidR="00927B43" w:rsidRPr="00D54FFA" w:rsidRDefault="00927B43" w:rsidP="00D54FFA">
      <w:pPr>
        <w:autoSpaceDE w:val="0"/>
        <w:autoSpaceDN w:val="0"/>
        <w:adjustRightInd w:val="0"/>
        <w:ind w:left="851"/>
        <w:rPr>
          <w:sz w:val="24"/>
          <w:szCs w:val="24"/>
        </w:rPr>
      </w:pPr>
      <w:r w:rsidRPr="00D54FFA">
        <w:rPr>
          <w:sz w:val="24"/>
          <w:szCs w:val="24"/>
        </w:rPr>
        <w:t xml:space="preserve">Sygdomskarakteristika ved udgangsniveauet var tilsvarende i begge studier og var overensstemmende med en patientpopulation med HCV og kompenseret cirrose. Størstedelen af patienterne var HCV-genotype 1 (64 %) og havde brodannende fibrose/cirrose. 31 % af patienterne var tidligere blevet behandlet for HCV, primært med pegyleret interferon plus ribavirin. Det mediane trombocyttal ved </w:t>
      </w:r>
      <w:r w:rsidRPr="00D54FFA">
        <w:rPr>
          <w:i/>
          <w:iCs/>
          <w:sz w:val="24"/>
          <w:szCs w:val="24"/>
        </w:rPr>
        <w:t>baseline</w:t>
      </w:r>
      <w:r w:rsidRPr="00D54FFA">
        <w:rPr>
          <w:sz w:val="24"/>
          <w:szCs w:val="24"/>
        </w:rPr>
        <w:t xml:space="preserve"> var 59 500 pr. μl i begge behandlingsgrupper: 0,8 %, 28 % og 72 % af de rekrutterede patienter havde trombocyttal på hhv. &lt; 20 000 pr. μl, &lt; 50 000 pr. μl og ≥ 50 000 pr. μl.</w:t>
      </w:r>
    </w:p>
    <w:p w14:paraId="41B95FE2" w14:textId="77777777" w:rsidR="00927B43" w:rsidRPr="00D54FFA" w:rsidRDefault="00927B43" w:rsidP="00D54FFA">
      <w:pPr>
        <w:autoSpaceDE w:val="0"/>
        <w:autoSpaceDN w:val="0"/>
        <w:adjustRightInd w:val="0"/>
        <w:ind w:left="851"/>
        <w:rPr>
          <w:sz w:val="24"/>
          <w:szCs w:val="24"/>
        </w:rPr>
      </w:pPr>
    </w:p>
    <w:p w14:paraId="7FA03A90" w14:textId="77777777" w:rsidR="00927B43" w:rsidRPr="00D54FFA" w:rsidRDefault="00927B43" w:rsidP="00D54FFA">
      <w:pPr>
        <w:autoSpaceDE w:val="0"/>
        <w:autoSpaceDN w:val="0"/>
        <w:adjustRightInd w:val="0"/>
        <w:ind w:left="851"/>
        <w:rPr>
          <w:sz w:val="24"/>
          <w:szCs w:val="24"/>
        </w:rPr>
      </w:pPr>
      <w:r w:rsidRPr="00D54FFA">
        <w:rPr>
          <w:sz w:val="24"/>
          <w:szCs w:val="24"/>
        </w:rPr>
        <w:t>Studierne bestod af to faser – en fase før antiviral behandling og en fase med antiviral behandling. I fasen før antiviral behandling fik patienterne ublindet eltrombopag med henblik på at øge trombocyttallet til ≥ 90 000 pr. μl i ENABLE 1 og til ≥ 100 000 pr. μl i ENABLE 2. Mediantiden til opnåelse af det tilsigtede trombocyttal på ≥ 90 000 pr. μl (ENABLE 1) eller ≥ 100 000 pr. Μl (ENABLE 2) var 2 uger.</w:t>
      </w:r>
    </w:p>
    <w:p w14:paraId="40F3A1DF" w14:textId="77777777" w:rsidR="00927B43" w:rsidRPr="00D54FFA" w:rsidRDefault="00927B43" w:rsidP="00D54FFA">
      <w:pPr>
        <w:autoSpaceDE w:val="0"/>
        <w:autoSpaceDN w:val="0"/>
        <w:adjustRightInd w:val="0"/>
        <w:ind w:left="851"/>
        <w:rPr>
          <w:sz w:val="24"/>
          <w:szCs w:val="24"/>
        </w:rPr>
      </w:pPr>
    </w:p>
    <w:p w14:paraId="5D95AFB7" w14:textId="77777777" w:rsidR="00927B43" w:rsidRPr="00D54FFA" w:rsidRDefault="00927B43" w:rsidP="00D54FFA">
      <w:pPr>
        <w:autoSpaceDE w:val="0"/>
        <w:autoSpaceDN w:val="0"/>
        <w:adjustRightInd w:val="0"/>
        <w:ind w:left="851"/>
        <w:rPr>
          <w:sz w:val="24"/>
          <w:szCs w:val="24"/>
        </w:rPr>
      </w:pPr>
      <w:r w:rsidRPr="00D54FFA">
        <w:rPr>
          <w:sz w:val="24"/>
          <w:szCs w:val="24"/>
        </w:rPr>
        <w:t>Det primære endepunkt i begge studier var opretholdt virologisk respons (SVR), der blev defineret som procentdel af patienter uden påviselig HVC-RNA 24 uger efter, at den planlagte behandlingsperiode var afsluttet.</w:t>
      </w:r>
    </w:p>
    <w:p w14:paraId="5282F92A" w14:textId="77777777" w:rsidR="00927B43" w:rsidRPr="00D54FFA" w:rsidRDefault="00927B43" w:rsidP="00D54FFA">
      <w:pPr>
        <w:autoSpaceDE w:val="0"/>
        <w:autoSpaceDN w:val="0"/>
        <w:adjustRightInd w:val="0"/>
        <w:ind w:left="851"/>
        <w:rPr>
          <w:sz w:val="24"/>
          <w:szCs w:val="24"/>
        </w:rPr>
      </w:pPr>
    </w:p>
    <w:p w14:paraId="059D9980" w14:textId="77777777" w:rsidR="00927B43" w:rsidRPr="00D54FFA" w:rsidRDefault="00927B43" w:rsidP="00D54FFA">
      <w:pPr>
        <w:autoSpaceDE w:val="0"/>
        <w:autoSpaceDN w:val="0"/>
        <w:adjustRightInd w:val="0"/>
        <w:ind w:left="851"/>
        <w:rPr>
          <w:sz w:val="24"/>
          <w:szCs w:val="24"/>
        </w:rPr>
      </w:pPr>
      <w:r w:rsidRPr="00D54FFA">
        <w:rPr>
          <w:sz w:val="24"/>
          <w:szCs w:val="24"/>
        </w:rPr>
        <w:t xml:space="preserve">I begge HCV-studier opnåede en signifikant større andel af de patienter, der blev behandlet med eltrombopag (n = 201, 21 %), SVR sammenlignet med de patienter, der fik placebo (n </w:t>
      </w:r>
      <w:r w:rsidRPr="00D54FFA">
        <w:rPr>
          <w:sz w:val="24"/>
          <w:szCs w:val="24"/>
        </w:rPr>
        <w:lastRenderedPageBreak/>
        <w:t>= 65, 13 %) (se tabel 7). Stigningen i andelen af patienter, der opnåede SVR, var overensstemmende på tværs af alle undergrupper i de randomiserede strata (</w:t>
      </w:r>
      <w:r w:rsidRPr="00D54FFA">
        <w:rPr>
          <w:i/>
          <w:iCs/>
          <w:sz w:val="24"/>
          <w:szCs w:val="24"/>
        </w:rPr>
        <w:t>baseline</w:t>
      </w:r>
      <w:r w:rsidRPr="00D54FFA">
        <w:rPr>
          <w:sz w:val="24"/>
          <w:szCs w:val="24"/>
        </w:rPr>
        <w:t xml:space="preserve"> trombocyttal (&lt; 50 000 vs. &gt; 50 000), virusbelastning (&lt; 800 000 IE/ml vs. ≥ 800 000 IE/ml) og genotype (2/3 vs. 1/4/6).</w:t>
      </w:r>
    </w:p>
    <w:p w14:paraId="11987129" w14:textId="77777777" w:rsidR="00927B43" w:rsidRDefault="00927B43" w:rsidP="00927B43">
      <w:pPr>
        <w:rPr>
          <w:b/>
          <w:bCs/>
        </w:rPr>
      </w:pPr>
    </w:p>
    <w:p w14:paraId="2039E2E6" w14:textId="77777777" w:rsidR="00927B43" w:rsidRDefault="00927B43" w:rsidP="00927B43">
      <w:pPr>
        <w:rPr>
          <w:b/>
          <w:bCs/>
          <w:highlight w:val="green"/>
        </w:rPr>
      </w:pPr>
      <w:r>
        <w:rPr>
          <w:b/>
          <w:bCs/>
        </w:rPr>
        <w:t>Tabel 7     Virologisk respons hos patienter med HCV i ENABLE 1 og ENABLE 2</w:t>
      </w:r>
    </w:p>
    <w:p w14:paraId="67C26373" w14:textId="77777777" w:rsidR="00927B43" w:rsidRDefault="00927B43" w:rsidP="00927B43">
      <w:pPr>
        <w:ind w:firstLine="142"/>
        <w:rPr>
          <w:b/>
          <w:bCs/>
          <w:highlight w:val="green"/>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1278"/>
        <w:gridCol w:w="991"/>
        <w:gridCol w:w="1277"/>
        <w:gridCol w:w="991"/>
        <w:gridCol w:w="1277"/>
        <w:gridCol w:w="760"/>
      </w:tblGrid>
      <w:tr w:rsidR="00927B43" w14:paraId="5C85D96D"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tcPr>
          <w:p w14:paraId="276E2113" w14:textId="77777777" w:rsidR="00927B43" w:rsidRDefault="00927B43">
            <w:pPr>
              <w:rPr>
                <w:rFonts w:asciiTheme="minorHAnsi" w:hAnsiTheme="minorHAnsi" w:cstheme="minorBidi"/>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46F797C4" w14:textId="77777777" w:rsidR="00927B43" w:rsidRDefault="00927B43">
            <w:pPr>
              <w:pStyle w:val="TableParagraph"/>
              <w:spacing w:line="240" w:lineRule="auto"/>
              <w:ind w:left="576"/>
              <w:rPr>
                <w:b/>
                <w:lang w:val="da-DK"/>
              </w:rPr>
            </w:pPr>
            <w:r>
              <w:rPr>
                <w:b/>
                <w:lang w:val="da-DK"/>
              </w:rPr>
              <w:t>Samlede data</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23860715" w14:textId="77777777" w:rsidR="00927B43" w:rsidRDefault="00927B43">
            <w:pPr>
              <w:pStyle w:val="TableParagraph"/>
              <w:spacing w:line="240" w:lineRule="auto"/>
              <w:ind w:left="559"/>
              <w:rPr>
                <w:b/>
                <w:sz w:val="14"/>
                <w:lang w:val="da-DK"/>
              </w:rPr>
            </w:pPr>
            <w:r>
              <w:rPr>
                <w:b/>
                <w:lang w:val="da-DK"/>
              </w:rPr>
              <w:t>ENABLE 1</w:t>
            </w:r>
            <w:r>
              <w:rPr>
                <w:b/>
                <w:position w:val="8"/>
                <w:sz w:val="14"/>
                <w:lang w:val="da-DK"/>
              </w:rPr>
              <w:t>a</w:t>
            </w:r>
          </w:p>
        </w:tc>
        <w:tc>
          <w:tcPr>
            <w:tcW w:w="2037" w:type="dxa"/>
            <w:gridSpan w:val="2"/>
            <w:tcBorders>
              <w:top w:val="single" w:sz="4" w:space="0" w:color="000000"/>
              <w:left w:val="single" w:sz="4" w:space="0" w:color="000000"/>
              <w:bottom w:val="single" w:sz="4" w:space="0" w:color="000000"/>
              <w:right w:val="single" w:sz="4" w:space="0" w:color="000000"/>
            </w:tcBorders>
            <w:hideMark/>
          </w:tcPr>
          <w:p w14:paraId="67CA720A" w14:textId="77777777" w:rsidR="00927B43" w:rsidRDefault="00927B43">
            <w:pPr>
              <w:pStyle w:val="TableParagraph"/>
              <w:spacing w:line="240" w:lineRule="auto"/>
              <w:ind w:left="555"/>
              <w:rPr>
                <w:b/>
                <w:sz w:val="14"/>
                <w:lang w:val="da-DK"/>
              </w:rPr>
            </w:pPr>
            <w:r>
              <w:rPr>
                <w:b/>
                <w:lang w:val="da-DK"/>
              </w:rPr>
              <w:t>ENABLE 2</w:t>
            </w:r>
            <w:r>
              <w:rPr>
                <w:b/>
                <w:position w:val="8"/>
                <w:sz w:val="14"/>
                <w:lang w:val="da-DK"/>
              </w:rPr>
              <w:t>b</w:t>
            </w:r>
          </w:p>
        </w:tc>
      </w:tr>
      <w:tr w:rsidR="00927B43" w14:paraId="797CCE48" w14:textId="77777777" w:rsidTr="00927B43">
        <w:trPr>
          <w:trHeight w:hRule="exact" w:val="1069"/>
        </w:trPr>
        <w:tc>
          <w:tcPr>
            <w:tcW w:w="2499" w:type="dxa"/>
            <w:tcBorders>
              <w:top w:val="single" w:sz="4" w:space="0" w:color="000000"/>
              <w:left w:val="single" w:sz="4" w:space="0" w:color="000000"/>
              <w:bottom w:val="single" w:sz="4" w:space="0" w:color="000000"/>
              <w:right w:val="single" w:sz="4" w:space="0" w:color="000000"/>
            </w:tcBorders>
            <w:hideMark/>
          </w:tcPr>
          <w:p w14:paraId="15F304BD" w14:textId="77777777" w:rsidR="00927B43" w:rsidRDefault="00927B43">
            <w:pPr>
              <w:pStyle w:val="TableParagraph"/>
              <w:spacing w:line="240" w:lineRule="auto"/>
              <w:ind w:left="194" w:hanging="92"/>
              <w:rPr>
                <w:lang w:val="da-DK"/>
              </w:rPr>
            </w:pPr>
            <w:r>
              <w:rPr>
                <w:lang w:val="da-DK"/>
              </w:rPr>
              <w:t>Patienter, der opnåede det tilsigtede trombocyttal og indledte antiviral behandling</w:t>
            </w:r>
            <w:r>
              <w:rPr>
                <w:b/>
                <w:position w:val="8"/>
                <w:sz w:val="14"/>
                <w:lang w:val="da-DK"/>
              </w:rPr>
              <w:t>c</w:t>
            </w:r>
          </w:p>
        </w:tc>
        <w:tc>
          <w:tcPr>
            <w:tcW w:w="2268" w:type="dxa"/>
            <w:gridSpan w:val="2"/>
            <w:tcBorders>
              <w:top w:val="single" w:sz="4" w:space="0" w:color="000000"/>
              <w:left w:val="single" w:sz="4" w:space="0" w:color="000000"/>
              <w:bottom w:val="single" w:sz="4" w:space="0" w:color="000000"/>
              <w:right w:val="single" w:sz="4" w:space="0" w:color="000000"/>
            </w:tcBorders>
          </w:tcPr>
          <w:p w14:paraId="27098DD8" w14:textId="77777777" w:rsidR="00927B43" w:rsidRDefault="00927B43">
            <w:pPr>
              <w:pStyle w:val="TableParagraph"/>
              <w:spacing w:before="4" w:line="240" w:lineRule="auto"/>
              <w:ind w:left="0"/>
              <w:rPr>
                <w:b/>
                <w:sz w:val="21"/>
                <w:lang w:val="da-DK"/>
              </w:rPr>
            </w:pPr>
          </w:p>
          <w:p w14:paraId="34936060" w14:textId="77777777" w:rsidR="00927B43" w:rsidRDefault="00927B43">
            <w:pPr>
              <w:pStyle w:val="TableParagraph"/>
              <w:spacing w:line="240" w:lineRule="auto"/>
              <w:ind w:left="300"/>
              <w:rPr>
                <w:lang w:val="da-DK"/>
              </w:rPr>
            </w:pPr>
            <w:r>
              <w:rPr>
                <w:lang w:val="da-DK"/>
              </w:rPr>
              <w:t>1 439/1 520 (95%)</w:t>
            </w:r>
          </w:p>
        </w:tc>
        <w:tc>
          <w:tcPr>
            <w:tcW w:w="2268" w:type="dxa"/>
            <w:gridSpan w:val="2"/>
            <w:tcBorders>
              <w:top w:val="single" w:sz="4" w:space="0" w:color="000000"/>
              <w:left w:val="single" w:sz="4" w:space="0" w:color="000000"/>
              <w:bottom w:val="single" w:sz="4" w:space="0" w:color="000000"/>
              <w:right w:val="single" w:sz="4" w:space="0" w:color="000000"/>
            </w:tcBorders>
          </w:tcPr>
          <w:p w14:paraId="14E5129A" w14:textId="77777777" w:rsidR="00927B43" w:rsidRDefault="00927B43">
            <w:pPr>
              <w:pStyle w:val="TableParagraph"/>
              <w:spacing w:before="4" w:line="240" w:lineRule="auto"/>
              <w:ind w:left="0"/>
              <w:rPr>
                <w:b/>
                <w:sz w:val="21"/>
                <w:lang w:val="da-DK"/>
              </w:rPr>
            </w:pPr>
          </w:p>
          <w:p w14:paraId="33075B9D" w14:textId="77777777" w:rsidR="00927B43" w:rsidRDefault="00927B43">
            <w:pPr>
              <w:pStyle w:val="TableParagraph"/>
              <w:spacing w:line="240" w:lineRule="auto"/>
              <w:ind w:left="465"/>
              <w:rPr>
                <w:lang w:val="da-DK"/>
              </w:rPr>
            </w:pPr>
            <w:r>
              <w:rPr>
                <w:lang w:val="da-DK"/>
              </w:rPr>
              <w:t>680/715 (95%)</w:t>
            </w:r>
          </w:p>
        </w:tc>
        <w:tc>
          <w:tcPr>
            <w:tcW w:w="2037" w:type="dxa"/>
            <w:gridSpan w:val="2"/>
            <w:tcBorders>
              <w:top w:val="single" w:sz="4" w:space="0" w:color="000000"/>
              <w:left w:val="single" w:sz="4" w:space="0" w:color="000000"/>
              <w:bottom w:val="single" w:sz="4" w:space="0" w:color="000000"/>
              <w:right w:val="single" w:sz="4" w:space="0" w:color="000000"/>
            </w:tcBorders>
          </w:tcPr>
          <w:p w14:paraId="3C525C52" w14:textId="77777777" w:rsidR="00927B43" w:rsidRDefault="00927B43">
            <w:pPr>
              <w:pStyle w:val="TableParagraph"/>
              <w:spacing w:before="4" w:line="240" w:lineRule="auto"/>
              <w:ind w:left="0"/>
              <w:rPr>
                <w:b/>
                <w:sz w:val="21"/>
                <w:lang w:val="da-DK"/>
              </w:rPr>
            </w:pPr>
          </w:p>
          <w:p w14:paraId="3EAC77CD" w14:textId="77777777" w:rsidR="00927B43" w:rsidRDefault="00927B43">
            <w:pPr>
              <w:pStyle w:val="TableParagraph"/>
              <w:spacing w:line="240" w:lineRule="auto"/>
              <w:ind w:left="465"/>
              <w:rPr>
                <w:lang w:val="da-DK"/>
              </w:rPr>
            </w:pPr>
            <w:r>
              <w:rPr>
                <w:lang w:val="da-DK"/>
              </w:rPr>
              <w:t>759/805 (94%)</w:t>
            </w:r>
          </w:p>
        </w:tc>
      </w:tr>
      <w:tr w:rsidR="00927B43" w14:paraId="6B5FCF43" w14:textId="77777777" w:rsidTr="00927B43">
        <w:trPr>
          <w:trHeight w:hRule="exact" w:val="342"/>
        </w:trPr>
        <w:tc>
          <w:tcPr>
            <w:tcW w:w="2499" w:type="dxa"/>
            <w:tcBorders>
              <w:top w:val="single" w:sz="4" w:space="0" w:color="000000"/>
              <w:left w:val="single" w:sz="4" w:space="0" w:color="000000"/>
              <w:bottom w:val="single" w:sz="4" w:space="0" w:color="000000"/>
              <w:right w:val="single" w:sz="4" w:space="0" w:color="000000"/>
            </w:tcBorders>
          </w:tcPr>
          <w:p w14:paraId="4402A60E" w14:textId="77777777" w:rsidR="00927B43" w:rsidRDefault="00927B43"/>
        </w:tc>
        <w:tc>
          <w:tcPr>
            <w:tcW w:w="1277" w:type="dxa"/>
            <w:tcBorders>
              <w:top w:val="single" w:sz="4" w:space="0" w:color="000000"/>
              <w:left w:val="single" w:sz="4" w:space="0" w:color="000000"/>
              <w:bottom w:val="single" w:sz="4" w:space="0" w:color="000000"/>
              <w:right w:val="single" w:sz="4" w:space="0" w:color="000000"/>
            </w:tcBorders>
            <w:hideMark/>
          </w:tcPr>
          <w:p w14:paraId="34A93157" w14:textId="77777777" w:rsidR="00927B43" w:rsidRDefault="00927B43">
            <w:pPr>
              <w:pStyle w:val="TableParagraph"/>
              <w:spacing w:line="240" w:lineRule="auto"/>
              <w:ind w:left="102"/>
              <w:jc w:val="center"/>
              <w:rPr>
                <w:b/>
                <w:sz w:val="18"/>
                <w:lang w:val="da-DK"/>
              </w:rPr>
            </w:pPr>
            <w:r>
              <w:rPr>
                <w:b/>
                <w:sz w:val="18"/>
                <w:lang w:val="da-DK"/>
              </w:rPr>
              <w:t>Eltrombopag</w:t>
            </w:r>
          </w:p>
        </w:tc>
        <w:tc>
          <w:tcPr>
            <w:tcW w:w="991" w:type="dxa"/>
            <w:tcBorders>
              <w:top w:val="single" w:sz="4" w:space="0" w:color="000000"/>
              <w:left w:val="single" w:sz="4" w:space="0" w:color="000000"/>
              <w:bottom w:val="single" w:sz="4" w:space="0" w:color="000000"/>
              <w:right w:val="single" w:sz="4" w:space="0" w:color="000000"/>
            </w:tcBorders>
            <w:hideMark/>
          </w:tcPr>
          <w:p w14:paraId="59D6B0AB" w14:textId="77777777" w:rsidR="00927B43" w:rsidRDefault="00927B43">
            <w:pPr>
              <w:pStyle w:val="TableParagraph"/>
              <w:spacing w:line="240" w:lineRule="auto"/>
              <w:ind w:left="169"/>
              <w:jc w:val="center"/>
              <w:rPr>
                <w:b/>
                <w:sz w:val="18"/>
                <w:lang w:val="da-DK"/>
              </w:rPr>
            </w:pPr>
            <w:r>
              <w:rPr>
                <w:b/>
                <w:sz w:val="18"/>
                <w:lang w:val="da-DK"/>
              </w:rPr>
              <w:t>Placebo</w:t>
            </w:r>
          </w:p>
        </w:tc>
        <w:tc>
          <w:tcPr>
            <w:tcW w:w="1277" w:type="dxa"/>
            <w:tcBorders>
              <w:top w:val="single" w:sz="4" w:space="0" w:color="000000"/>
              <w:left w:val="single" w:sz="4" w:space="0" w:color="000000"/>
              <w:bottom w:val="single" w:sz="4" w:space="0" w:color="000000"/>
              <w:right w:val="single" w:sz="4" w:space="0" w:color="000000"/>
            </w:tcBorders>
            <w:hideMark/>
          </w:tcPr>
          <w:p w14:paraId="1C4476B3" w14:textId="77777777" w:rsidR="00927B43" w:rsidRDefault="00927B43">
            <w:pPr>
              <w:pStyle w:val="TableParagraph"/>
              <w:spacing w:line="240" w:lineRule="auto"/>
              <w:ind w:left="102"/>
              <w:jc w:val="center"/>
              <w:rPr>
                <w:b/>
                <w:sz w:val="18"/>
                <w:lang w:val="da-DK"/>
              </w:rPr>
            </w:pPr>
            <w:r>
              <w:rPr>
                <w:b/>
                <w:sz w:val="18"/>
                <w:lang w:val="da-DK"/>
              </w:rPr>
              <w:t>Eltrombopag</w:t>
            </w:r>
          </w:p>
        </w:tc>
        <w:tc>
          <w:tcPr>
            <w:tcW w:w="991" w:type="dxa"/>
            <w:tcBorders>
              <w:top w:val="single" w:sz="4" w:space="0" w:color="000000"/>
              <w:left w:val="single" w:sz="4" w:space="0" w:color="000000"/>
              <w:bottom w:val="single" w:sz="4" w:space="0" w:color="000000"/>
              <w:right w:val="single" w:sz="4" w:space="0" w:color="000000"/>
            </w:tcBorders>
            <w:hideMark/>
          </w:tcPr>
          <w:p w14:paraId="098A7E0F" w14:textId="77777777" w:rsidR="00927B43" w:rsidRDefault="00927B43">
            <w:pPr>
              <w:pStyle w:val="TableParagraph"/>
              <w:spacing w:line="240" w:lineRule="auto"/>
              <w:ind w:left="169"/>
              <w:jc w:val="center"/>
              <w:rPr>
                <w:b/>
                <w:sz w:val="18"/>
                <w:lang w:val="da-DK"/>
              </w:rPr>
            </w:pPr>
            <w:r>
              <w:rPr>
                <w:b/>
                <w:sz w:val="18"/>
                <w:lang w:val="da-DK"/>
              </w:rPr>
              <w:t>Placebo</w:t>
            </w:r>
          </w:p>
        </w:tc>
        <w:tc>
          <w:tcPr>
            <w:tcW w:w="1277" w:type="dxa"/>
            <w:tcBorders>
              <w:top w:val="single" w:sz="4" w:space="0" w:color="000000"/>
              <w:left w:val="single" w:sz="4" w:space="0" w:color="000000"/>
              <w:bottom w:val="single" w:sz="4" w:space="0" w:color="000000"/>
              <w:right w:val="single" w:sz="4" w:space="0" w:color="000000"/>
            </w:tcBorders>
            <w:hideMark/>
          </w:tcPr>
          <w:p w14:paraId="2112AE70" w14:textId="77777777" w:rsidR="00927B43" w:rsidRDefault="00927B43">
            <w:pPr>
              <w:pStyle w:val="TableParagraph"/>
              <w:spacing w:line="240" w:lineRule="auto"/>
              <w:ind w:left="102"/>
              <w:jc w:val="center"/>
              <w:rPr>
                <w:b/>
                <w:sz w:val="18"/>
                <w:lang w:val="da-DK"/>
              </w:rPr>
            </w:pPr>
            <w:r>
              <w:rPr>
                <w:b/>
                <w:sz w:val="18"/>
                <w:lang w:val="da-DK"/>
              </w:rPr>
              <w:t>Eltrombopag</w:t>
            </w:r>
          </w:p>
        </w:tc>
        <w:tc>
          <w:tcPr>
            <w:tcW w:w="760" w:type="dxa"/>
            <w:tcBorders>
              <w:top w:val="single" w:sz="4" w:space="0" w:color="000000"/>
              <w:left w:val="single" w:sz="4" w:space="0" w:color="000000"/>
              <w:bottom w:val="single" w:sz="4" w:space="0" w:color="000000"/>
              <w:right w:val="single" w:sz="4" w:space="0" w:color="000000"/>
            </w:tcBorders>
            <w:hideMark/>
          </w:tcPr>
          <w:p w14:paraId="64BABFE0" w14:textId="77777777" w:rsidR="00927B43" w:rsidRDefault="00927B43">
            <w:pPr>
              <w:pStyle w:val="TableParagraph"/>
              <w:spacing w:line="240" w:lineRule="auto"/>
              <w:ind w:left="50"/>
              <w:jc w:val="center"/>
              <w:rPr>
                <w:b/>
                <w:sz w:val="18"/>
                <w:lang w:val="da-DK"/>
              </w:rPr>
            </w:pPr>
            <w:r>
              <w:rPr>
                <w:b/>
                <w:sz w:val="18"/>
                <w:lang w:val="da-DK"/>
              </w:rPr>
              <w:t>Placebo</w:t>
            </w:r>
          </w:p>
        </w:tc>
      </w:tr>
      <w:tr w:rsidR="00927B43" w14:paraId="6292B774" w14:textId="77777777" w:rsidTr="00927B43">
        <w:trPr>
          <w:trHeight w:hRule="exact" w:val="1022"/>
        </w:trPr>
        <w:tc>
          <w:tcPr>
            <w:tcW w:w="2499" w:type="dxa"/>
            <w:tcBorders>
              <w:top w:val="single" w:sz="4" w:space="0" w:color="000000"/>
              <w:left w:val="single" w:sz="4" w:space="0" w:color="000000"/>
              <w:bottom w:val="single" w:sz="4" w:space="0" w:color="000000"/>
              <w:right w:val="single" w:sz="4" w:space="0" w:color="000000"/>
            </w:tcBorders>
            <w:hideMark/>
          </w:tcPr>
          <w:p w14:paraId="559F23D7" w14:textId="77777777" w:rsidR="00927B43" w:rsidRDefault="00927B43">
            <w:pPr>
              <w:pStyle w:val="TableParagraph"/>
              <w:spacing w:line="240" w:lineRule="auto"/>
              <w:rPr>
                <w:b/>
                <w:lang w:val="da-DK"/>
              </w:rPr>
            </w:pPr>
            <w:r>
              <w:rPr>
                <w:b/>
                <w:lang w:val="da-DK"/>
              </w:rPr>
              <w:t>Samlet antal patienter, der indtrådte i fasen med antiviral behandling</w:t>
            </w:r>
          </w:p>
        </w:tc>
        <w:tc>
          <w:tcPr>
            <w:tcW w:w="1277" w:type="dxa"/>
            <w:tcBorders>
              <w:top w:val="single" w:sz="4" w:space="0" w:color="000000"/>
              <w:left w:val="single" w:sz="4" w:space="0" w:color="000000"/>
              <w:bottom w:val="single" w:sz="4" w:space="0" w:color="000000"/>
              <w:right w:val="single" w:sz="4" w:space="0" w:color="000000"/>
            </w:tcBorders>
            <w:hideMark/>
          </w:tcPr>
          <w:p w14:paraId="552EDB87" w14:textId="77777777" w:rsidR="00927B43" w:rsidRDefault="00927B43">
            <w:pPr>
              <w:pStyle w:val="TableParagraph"/>
              <w:spacing w:line="240" w:lineRule="auto"/>
              <w:ind w:left="102"/>
              <w:jc w:val="center"/>
              <w:rPr>
                <w:b/>
                <w:lang w:val="da-DK"/>
              </w:rPr>
            </w:pPr>
            <w:r>
              <w:rPr>
                <w:b/>
                <w:lang w:val="da-DK"/>
              </w:rPr>
              <w:t>n=956</w:t>
            </w:r>
          </w:p>
        </w:tc>
        <w:tc>
          <w:tcPr>
            <w:tcW w:w="991" w:type="dxa"/>
            <w:tcBorders>
              <w:top w:val="single" w:sz="4" w:space="0" w:color="000000"/>
              <w:left w:val="single" w:sz="4" w:space="0" w:color="000000"/>
              <w:bottom w:val="single" w:sz="4" w:space="0" w:color="000000"/>
              <w:right w:val="single" w:sz="4" w:space="0" w:color="000000"/>
            </w:tcBorders>
            <w:hideMark/>
          </w:tcPr>
          <w:p w14:paraId="01A89D84" w14:textId="77777777" w:rsidR="00927B43" w:rsidRDefault="00927B43">
            <w:pPr>
              <w:pStyle w:val="TableParagraph"/>
              <w:spacing w:line="240" w:lineRule="auto"/>
              <w:ind w:left="169"/>
              <w:jc w:val="center"/>
              <w:rPr>
                <w:b/>
                <w:lang w:val="da-DK"/>
              </w:rPr>
            </w:pPr>
            <w:r>
              <w:rPr>
                <w:b/>
                <w:lang w:val="da-DK"/>
              </w:rPr>
              <w:t>n=485</w:t>
            </w:r>
          </w:p>
        </w:tc>
        <w:tc>
          <w:tcPr>
            <w:tcW w:w="1277" w:type="dxa"/>
            <w:tcBorders>
              <w:top w:val="single" w:sz="4" w:space="0" w:color="000000"/>
              <w:left w:val="single" w:sz="4" w:space="0" w:color="000000"/>
              <w:bottom w:val="single" w:sz="4" w:space="0" w:color="000000"/>
              <w:right w:val="single" w:sz="4" w:space="0" w:color="000000"/>
            </w:tcBorders>
            <w:hideMark/>
          </w:tcPr>
          <w:p w14:paraId="3CAF91C4" w14:textId="77777777" w:rsidR="00927B43" w:rsidRDefault="00927B43">
            <w:pPr>
              <w:pStyle w:val="TableParagraph"/>
              <w:spacing w:line="240" w:lineRule="auto"/>
              <w:ind w:left="102"/>
              <w:jc w:val="center"/>
              <w:rPr>
                <w:b/>
                <w:lang w:val="da-DK"/>
              </w:rPr>
            </w:pPr>
            <w:r>
              <w:rPr>
                <w:b/>
                <w:lang w:val="da-DK"/>
              </w:rPr>
              <w:t>n=450</w:t>
            </w:r>
          </w:p>
        </w:tc>
        <w:tc>
          <w:tcPr>
            <w:tcW w:w="991" w:type="dxa"/>
            <w:tcBorders>
              <w:top w:val="single" w:sz="4" w:space="0" w:color="000000"/>
              <w:left w:val="single" w:sz="4" w:space="0" w:color="000000"/>
              <w:bottom w:val="single" w:sz="4" w:space="0" w:color="000000"/>
              <w:right w:val="single" w:sz="4" w:space="0" w:color="000000"/>
            </w:tcBorders>
            <w:hideMark/>
          </w:tcPr>
          <w:p w14:paraId="3677EA9D" w14:textId="77777777" w:rsidR="00927B43" w:rsidRDefault="00927B43">
            <w:pPr>
              <w:pStyle w:val="TableParagraph"/>
              <w:spacing w:line="240" w:lineRule="auto"/>
              <w:ind w:left="169"/>
              <w:jc w:val="center"/>
              <w:rPr>
                <w:b/>
                <w:lang w:val="da-DK"/>
              </w:rPr>
            </w:pPr>
            <w:r>
              <w:rPr>
                <w:b/>
                <w:lang w:val="da-DK"/>
              </w:rPr>
              <w:t>n=232</w:t>
            </w:r>
          </w:p>
        </w:tc>
        <w:tc>
          <w:tcPr>
            <w:tcW w:w="1277" w:type="dxa"/>
            <w:tcBorders>
              <w:top w:val="single" w:sz="4" w:space="0" w:color="000000"/>
              <w:left w:val="single" w:sz="4" w:space="0" w:color="000000"/>
              <w:bottom w:val="single" w:sz="4" w:space="0" w:color="000000"/>
              <w:right w:val="single" w:sz="4" w:space="0" w:color="000000"/>
            </w:tcBorders>
            <w:hideMark/>
          </w:tcPr>
          <w:p w14:paraId="3170693F" w14:textId="77777777" w:rsidR="00927B43" w:rsidRDefault="00927B43">
            <w:pPr>
              <w:pStyle w:val="TableParagraph"/>
              <w:spacing w:line="240" w:lineRule="auto"/>
              <w:ind w:left="102"/>
              <w:jc w:val="center"/>
              <w:rPr>
                <w:b/>
                <w:lang w:val="da-DK"/>
              </w:rPr>
            </w:pPr>
            <w:r>
              <w:rPr>
                <w:b/>
                <w:lang w:val="da-DK"/>
              </w:rPr>
              <w:t>n=506</w:t>
            </w:r>
          </w:p>
        </w:tc>
        <w:tc>
          <w:tcPr>
            <w:tcW w:w="760" w:type="dxa"/>
            <w:tcBorders>
              <w:top w:val="single" w:sz="4" w:space="0" w:color="000000"/>
              <w:left w:val="single" w:sz="4" w:space="0" w:color="000000"/>
              <w:bottom w:val="single" w:sz="4" w:space="0" w:color="000000"/>
              <w:right w:val="single" w:sz="4" w:space="0" w:color="000000"/>
            </w:tcBorders>
            <w:hideMark/>
          </w:tcPr>
          <w:p w14:paraId="4082520E" w14:textId="77777777" w:rsidR="00927B43" w:rsidRDefault="00927B43">
            <w:pPr>
              <w:pStyle w:val="TableParagraph"/>
              <w:spacing w:line="240" w:lineRule="auto"/>
              <w:ind w:left="169"/>
              <w:jc w:val="center"/>
              <w:rPr>
                <w:b/>
                <w:lang w:val="da-DK"/>
              </w:rPr>
            </w:pPr>
            <w:r>
              <w:rPr>
                <w:b/>
                <w:lang w:val="da-DK"/>
              </w:rPr>
              <w:t>n=253</w:t>
            </w:r>
          </w:p>
        </w:tc>
      </w:tr>
      <w:tr w:rsidR="00927B43" w14:paraId="4938356D" w14:textId="77777777" w:rsidTr="00927B43">
        <w:trPr>
          <w:trHeight w:hRule="exact" w:val="262"/>
        </w:trPr>
        <w:tc>
          <w:tcPr>
            <w:tcW w:w="2499" w:type="dxa"/>
            <w:tcBorders>
              <w:top w:val="single" w:sz="4" w:space="0" w:color="000000"/>
              <w:left w:val="single" w:sz="4" w:space="0" w:color="000000"/>
              <w:bottom w:val="single" w:sz="4" w:space="0" w:color="000000"/>
              <w:right w:val="single" w:sz="4" w:space="0" w:color="000000"/>
            </w:tcBorders>
          </w:tcPr>
          <w:p w14:paraId="3194CB36" w14:textId="77777777" w:rsidR="00927B43" w:rsidRDefault="00927B43"/>
        </w:tc>
        <w:tc>
          <w:tcPr>
            <w:tcW w:w="6573" w:type="dxa"/>
            <w:gridSpan w:val="6"/>
            <w:tcBorders>
              <w:top w:val="single" w:sz="4" w:space="0" w:color="000000"/>
              <w:left w:val="single" w:sz="4" w:space="0" w:color="000000"/>
              <w:bottom w:val="single" w:sz="4" w:space="0" w:color="000000"/>
              <w:right w:val="single" w:sz="4" w:space="0" w:color="000000"/>
            </w:tcBorders>
            <w:hideMark/>
          </w:tcPr>
          <w:p w14:paraId="3444A9F0" w14:textId="77777777" w:rsidR="00927B43" w:rsidRDefault="00927B43">
            <w:pPr>
              <w:pStyle w:val="TableParagraph"/>
              <w:spacing w:line="240" w:lineRule="auto"/>
              <w:ind w:left="1538"/>
              <w:rPr>
                <w:b/>
                <w:lang w:val="da-DK"/>
              </w:rPr>
            </w:pPr>
            <w:r>
              <w:rPr>
                <w:b/>
                <w:lang w:val="da-DK"/>
              </w:rPr>
              <w:t>% patienter, der opnåede virologisk respons</w:t>
            </w:r>
          </w:p>
        </w:tc>
      </w:tr>
      <w:tr w:rsidR="00927B43" w14:paraId="49CEC8A6" w14:textId="77777777" w:rsidTr="00927B43">
        <w:trPr>
          <w:trHeight w:hRule="exact" w:val="265"/>
        </w:trPr>
        <w:tc>
          <w:tcPr>
            <w:tcW w:w="2499" w:type="dxa"/>
            <w:tcBorders>
              <w:top w:val="single" w:sz="4" w:space="0" w:color="000000"/>
              <w:left w:val="single" w:sz="4" w:space="0" w:color="000000"/>
              <w:bottom w:val="single" w:sz="4" w:space="0" w:color="000000"/>
              <w:right w:val="single" w:sz="4" w:space="0" w:color="000000"/>
            </w:tcBorders>
            <w:hideMark/>
          </w:tcPr>
          <w:p w14:paraId="0C667D41" w14:textId="77777777" w:rsidR="00927B43" w:rsidRDefault="00927B43">
            <w:pPr>
              <w:pStyle w:val="TableParagraph"/>
              <w:spacing w:line="240" w:lineRule="auto"/>
              <w:rPr>
                <w:sz w:val="14"/>
                <w:lang w:val="da-DK"/>
              </w:rPr>
            </w:pPr>
            <w:r>
              <w:rPr>
                <w:b/>
                <w:lang w:val="da-DK"/>
              </w:rPr>
              <w:t>Samlet SVR</w:t>
            </w:r>
            <w:r>
              <w:rPr>
                <w:position w:val="8"/>
                <w:sz w:val="14"/>
                <w:lang w:val="da-DK"/>
              </w:rPr>
              <w:t>d</w:t>
            </w:r>
          </w:p>
        </w:tc>
        <w:tc>
          <w:tcPr>
            <w:tcW w:w="1277" w:type="dxa"/>
            <w:tcBorders>
              <w:top w:val="single" w:sz="4" w:space="0" w:color="000000"/>
              <w:left w:val="single" w:sz="4" w:space="0" w:color="000000"/>
              <w:bottom w:val="single" w:sz="4" w:space="0" w:color="000000"/>
              <w:right w:val="single" w:sz="4" w:space="0" w:color="000000"/>
            </w:tcBorders>
            <w:hideMark/>
          </w:tcPr>
          <w:p w14:paraId="52DFD43E" w14:textId="77777777" w:rsidR="00927B43" w:rsidRDefault="00927B43">
            <w:pPr>
              <w:pStyle w:val="TableParagraph"/>
              <w:spacing w:line="240" w:lineRule="auto"/>
              <w:ind w:left="102"/>
              <w:jc w:val="center"/>
              <w:rPr>
                <w:lang w:val="da-DK"/>
              </w:rPr>
            </w:pPr>
            <w:r>
              <w:rPr>
                <w:lang w:val="da-DK"/>
              </w:rPr>
              <w:t>21</w:t>
            </w:r>
          </w:p>
        </w:tc>
        <w:tc>
          <w:tcPr>
            <w:tcW w:w="991" w:type="dxa"/>
            <w:tcBorders>
              <w:top w:val="single" w:sz="4" w:space="0" w:color="000000"/>
              <w:left w:val="single" w:sz="4" w:space="0" w:color="000000"/>
              <w:bottom w:val="single" w:sz="4" w:space="0" w:color="000000"/>
              <w:right w:val="single" w:sz="4" w:space="0" w:color="000000"/>
            </w:tcBorders>
            <w:hideMark/>
          </w:tcPr>
          <w:p w14:paraId="6FDE401D" w14:textId="77777777" w:rsidR="00927B43" w:rsidRDefault="00927B43">
            <w:pPr>
              <w:pStyle w:val="TableParagraph"/>
              <w:spacing w:line="240" w:lineRule="auto"/>
              <w:ind w:left="169"/>
              <w:jc w:val="center"/>
              <w:rPr>
                <w:lang w:val="da-DK"/>
              </w:rPr>
            </w:pPr>
            <w:r>
              <w:rPr>
                <w:lang w:val="da-DK"/>
              </w:rPr>
              <w:t>13</w:t>
            </w:r>
          </w:p>
        </w:tc>
        <w:tc>
          <w:tcPr>
            <w:tcW w:w="1277" w:type="dxa"/>
            <w:tcBorders>
              <w:top w:val="single" w:sz="4" w:space="0" w:color="000000"/>
              <w:left w:val="single" w:sz="4" w:space="0" w:color="000000"/>
              <w:bottom w:val="single" w:sz="4" w:space="0" w:color="000000"/>
              <w:right w:val="single" w:sz="4" w:space="0" w:color="000000"/>
            </w:tcBorders>
            <w:hideMark/>
          </w:tcPr>
          <w:p w14:paraId="3C4E8076" w14:textId="77777777" w:rsidR="00927B43" w:rsidRDefault="00927B43">
            <w:pPr>
              <w:pStyle w:val="TableParagraph"/>
              <w:spacing w:line="240" w:lineRule="auto"/>
              <w:ind w:left="102"/>
              <w:jc w:val="center"/>
              <w:rPr>
                <w:lang w:val="da-DK"/>
              </w:rPr>
            </w:pPr>
            <w:r>
              <w:rPr>
                <w:lang w:val="da-DK"/>
              </w:rPr>
              <w:t>23</w:t>
            </w:r>
          </w:p>
        </w:tc>
        <w:tc>
          <w:tcPr>
            <w:tcW w:w="991" w:type="dxa"/>
            <w:tcBorders>
              <w:top w:val="single" w:sz="4" w:space="0" w:color="000000"/>
              <w:left w:val="single" w:sz="4" w:space="0" w:color="000000"/>
              <w:bottom w:val="single" w:sz="4" w:space="0" w:color="000000"/>
              <w:right w:val="single" w:sz="4" w:space="0" w:color="000000"/>
            </w:tcBorders>
            <w:hideMark/>
          </w:tcPr>
          <w:p w14:paraId="2AA3064F" w14:textId="77777777" w:rsidR="00927B43" w:rsidRDefault="00927B43">
            <w:pPr>
              <w:pStyle w:val="TableParagraph"/>
              <w:spacing w:line="240" w:lineRule="auto"/>
              <w:ind w:left="169"/>
              <w:jc w:val="center"/>
              <w:rPr>
                <w:lang w:val="da-DK"/>
              </w:rPr>
            </w:pPr>
            <w:r>
              <w:rPr>
                <w:lang w:val="da-DK"/>
              </w:rPr>
              <w:t>14</w:t>
            </w:r>
          </w:p>
        </w:tc>
        <w:tc>
          <w:tcPr>
            <w:tcW w:w="1277" w:type="dxa"/>
            <w:tcBorders>
              <w:top w:val="single" w:sz="4" w:space="0" w:color="000000"/>
              <w:left w:val="single" w:sz="4" w:space="0" w:color="000000"/>
              <w:bottom w:val="single" w:sz="4" w:space="0" w:color="000000"/>
              <w:right w:val="single" w:sz="4" w:space="0" w:color="000000"/>
            </w:tcBorders>
            <w:hideMark/>
          </w:tcPr>
          <w:p w14:paraId="4B35DD90" w14:textId="77777777" w:rsidR="00927B43" w:rsidRDefault="00927B43">
            <w:pPr>
              <w:pStyle w:val="TableParagraph"/>
              <w:spacing w:line="240" w:lineRule="auto"/>
              <w:ind w:left="102"/>
              <w:jc w:val="center"/>
              <w:rPr>
                <w:lang w:val="da-DK"/>
              </w:rPr>
            </w:pPr>
            <w:r>
              <w:rPr>
                <w:lang w:val="da-DK"/>
              </w:rPr>
              <w:t>19</w:t>
            </w:r>
          </w:p>
        </w:tc>
        <w:tc>
          <w:tcPr>
            <w:tcW w:w="760" w:type="dxa"/>
            <w:tcBorders>
              <w:top w:val="single" w:sz="4" w:space="0" w:color="000000"/>
              <w:left w:val="single" w:sz="4" w:space="0" w:color="000000"/>
              <w:bottom w:val="single" w:sz="4" w:space="0" w:color="000000"/>
              <w:right w:val="single" w:sz="4" w:space="0" w:color="000000"/>
            </w:tcBorders>
            <w:hideMark/>
          </w:tcPr>
          <w:p w14:paraId="6C81C77C" w14:textId="77777777" w:rsidR="00927B43" w:rsidRDefault="00927B43">
            <w:pPr>
              <w:pStyle w:val="TableParagraph"/>
              <w:spacing w:line="240" w:lineRule="auto"/>
              <w:ind w:left="169"/>
              <w:jc w:val="center"/>
              <w:rPr>
                <w:lang w:val="da-DK"/>
              </w:rPr>
            </w:pPr>
            <w:r>
              <w:rPr>
                <w:lang w:val="da-DK"/>
              </w:rPr>
              <w:t>13</w:t>
            </w:r>
          </w:p>
        </w:tc>
      </w:tr>
      <w:tr w:rsidR="00927B43" w14:paraId="224D0A5C"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hideMark/>
          </w:tcPr>
          <w:p w14:paraId="1CF451A9" w14:textId="77777777" w:rsidR="00927B43" w:rsidRDefault="00927B43">
            <w:pPr>
              <w:pStyle w:val="TableParagraph"/>
              <w:spacing w:line="240" w:lineRule="auto"/>
              <w:rPr>
                <w:i/>
                <w:lang w:val="da-DK"/>
              </w:rPr>
            </w:pPr>
            <w:r>
              <w:rPr>
                <w:i/>
                <w:lang w:val="da-DK"/>
              </w:rPr>
              <w:t>HCV RNA Genotype</w:t>
            </w:r>
          </w:p>
        </w:tc>
        <w:tc>
          <w:tcPr>
            <w:tcW w:w="1277" w:type="dxa"/>
            <w:tcBorders>
              <w:top w:val="single" w:sz="4" w:space="0" w:color="000000"/>
              <w:left w:val="single" w:sz="4" w:space="0" w:color="000000"/>
              <w:bottom w:val="single" w:sz="4" w:space="0" w:color="000000"/>
              <w:right w:val="single" w:sz="4" w:space="0" w:color="000000"/>
            </w:tcBorders>
          </w:tcPr>
          <w:p w14:paraId="63ED9390" w14:textId="77777777" w:rsidR="00927B43" w:rsidRDefault="00927B43"/>
        </w:tc>
        <w:tc>
          <w:tcPr>
            <w:tcW w:w="991" w:type="dxa"/>
            <w:tcBorders>
              <w:top w:val="single" w:sz="4" w:space="0" w:color="000000"/>
              <w:left w:val="single" w:sz="4" w:space="0" w:color="000000"/>
              <w:bottom w:val="single" w:sz="4" w:space="0" w:color="000000"/>
              <w:right w:val="single" w:sz="4" w:space="0" w:color="000000"/>
            </w:tcBorders>
          </w:tcPr>
          <w:p w14:paraId="2C42ECFB" w14:textId="77777777" w:rsidR="00927B43" w:rsidRDefault="00927B43"/>
        </w:tc>
        <w:tc>
          <w:tcPr>
            <w:tcW w:w="1277" w:type="dxa"/>
            <w:tcBorders>
              <w:top w:val="single" w:sz="4" w:space="0" w:color="000000"/>
              <w:left w:val="single" w:sz="4" w:space="0" w:color="000000"/>
              <w:bottom w:val="single" w:sz="4" w:space="0" w:color="000000"/>
              <w:right w:val="single" w:sz="4" w:space="0" w:color="000000"/>
            </w:tcBorders>
          </w:tcPr>
          <w:p w14:paraId="1E8A21B7" w14:textId="77777777" w:rsidR="00927B43" w:rsidRDefault="00927B43"/>
        </w:tc>
        <w:tc>
          <w:tcPr>
            <w:tcW w:w="991" w:type="dxa"/>
            <w:tcBorders>
              <w:top w:val="single" w:sz="4" w:space="0" w:color="000000"/>
              <w:left w:val="single" w:sz="4" w:space="0" w:color="000000"/>
              <w:bottom w:val="single" w:sz="4" w:space="0" w:color="000000"/>
              <w:right w:val="single" w:sz="4" w:space="0" w:color="000000"/>
            </w:tcBorders>
          </w:tcPr>
          <w:p w14:paraId="343C3CBA" w14:textId="77777777" w:rsidR="00927B43" w:rsidRDefault="00927B43"/>
        </w:tc>
        <w:tc>
          <w:tcPr>
            <w:tcW w:w="1277" w:type="dxa"/>
            <w:tcBorders>
              <w:top w:val="single" w:sz="4" w:space="0" w:color="000000"/>
              <w:left w:val="single" w:sz="4" w:space="0" w:color="000000"/>
              <w:bottom w:val="single" w:sz="4" w:space="0" w:color="000000"/>
              <w:right w:val="single" w:sz="4" w:space="0" w:color="000000"/>
            </w:tcBorders>
          </w:tcPr>
          <w:p w14:paraId="05F27DD8" w14:textId="77777777" w:rsidR="00927B43" w:rsidRDefault="00927B43"/>
        </w:tc>
        <w:tc>
          <w:tcPr>
            <w:tcW w:w="760" w:type="dxa"/>
            <w:tcBorders>
              <w:top w:val="single" w:sz="4" w:space="0" w:color="000000"/>
              <w:left w:val="single" w:sz="4" w:space="0" w:color="000000"/>
              <w:bottom w:val="single" w:sz="4" w:space="0" w:color="000000"/>
              <w:right w:val="single" w:sz="4" w:space="0" w:color="000000"/>
            </w:tcBorders>
          </w:tcPr>
          <w:p w14:paraId="42D28BE1" w14:textId="77777777" w:rsidR="00927B43" w:rsidRDefault="00927B43"/>
        </w:tc>
      </w:tr>
      <w:tr w:rsidR="00927B43" w14:paraId="079F8B53" w14:textId="77777777" w:rsidTr="00927B43">
        <w:trPr>
          <w:trHeight w:hRule="exact" w:val="262"/>
        </w:trPr>
        <w:tc>
          <w:tcPr>
            <w:tcW w:w="2499" w:type="dxa"/>
            <w:tcBorders>
              <w:top w:val="single" w:sz="4" w:space="0" w:color="000000"/>
              <w:left w:val="single" w:sz="4" w:space="0" w:color="000000"/>
              <w:bottom w:val="single" w:sz="4" w:space="0" w:color="000000"/>
              <w:right w:val="single" w:sz="4" w:space="0" w:color="000000"/>
            </w:tcBorders>
            <w:hideMark/>
          </w:tcPr>
          <w:p w14:paraId="00933A2D" w14:textId="77777777" w:rsidR="00927B43" w:rsidRDefault="00927B43">
            <w:pPr>
              <w:pStyle w:val="TableParagraph"/>
              <w:spacing w:line="240" w:lineRule="auto"/>
              <w:rPr>
                <w:lang w:val="da-DK"/>
              </w:rPr>
            </w:pPr>
            <w:r>
              <w:rPr>
                <w:lang w:val="da-DK"/>
              </w:rPr>
              <w:t>Genotype 2/3</w:t>
            </w:r>
          </w:p>
        </w:tc>
        <w:tc>
          <w:tcPr>
            <w:tcW w:w="1277" w:type="dxa"/>
            <w:tcBorders>
              <w:top w:val="single" w:sz="4" w:space="0" w:color="000000"/>
              <w:left w:val="single" w:sz="4" w:space="0" w:color="000000"/>
              <w:bottom w:val="single" w:sz="4" w:space="0" w:color="000000"/>
              <w:right w:val="single" w:sz="4" w:space="0" w:color="000000"/>
            </w:tcBorders>
            <w:hideMark/>
          </w:tcPr>
          <w:p w14:paraId="2B2B8027" w14:textId="77777777" w:rsidR="00927B43" w:rsidRDefault="00927B43">
            <w:pPr>
              <w:pStyle w:val="TableParagraph"/>
              <w:spacing w:line="240" w:lineRule="auto"/>
              <w:ind w:left="102"/>
              <w:jc w:val="center"/>
              <w:rPr>
                <w:lang w:val="da-DK"/>
              </w:rPr>
            </w:pPr>
            <w:r>
              <w:rPr>
                <w:lang w:val="da-DK"/>
              </w:rPr>
              <w:t>35</w:t>
            </w:r>
          </w:p>
        </w:tc>
        <w:tc>
          <w:tcPr>
            <w:tcW w:w="991" w:type="dxa"/>
            <w:tcBorders>
              <w:top w:val="single" w:sz="4" w:space="0" w:color="000000"/>
              <w:left w:val="single" w:sz="4" w:space="0" w:color="000000"/>
              <w:bottom w:val="single" w:sz="4" w:space="0" w:color="000000"/>
              <w:right w:val="single" w:sz="4" w:space="0" w:color="000000"/>
            </w:tcBorders>
            <w:hideMark/>
          </w:tcPr>
          <w:p w14:paraId="3EE02DAA" w14:textId="77777777" w:rsidR="00927B43" w:rsidRDefault="00927B43">
            <w:pPr>
              <w:pStyle w:val="TableParagraph"/>
              <w:spacing w:line="240" w:lineRule="auto"/>
              <w:ind w:left="169"/>
              <w:jc w:val="center"/>
              <w:rPr>
                <w:lang w:val="da-DK"/>
              </w:rPr>
            </w:pPr>
            <w:r>
              <w:rPr>
                <w:lang w:val="da-DK"/>
              </w:rPr>
              <w:t>25</w:t>
            </w:r>
          </w:p>
        </w:tc>
        <w:tc>
          <w:tcPr>
            <w:tcW w:w="1277" w:type="dxa"/>
            <w:tcBorders>
              <w:top w:val="single" w:sz="4" w:space="0" w:color="000000"/>
              <w:left w:val="single" w:sz="4" w:space="0" w:color="000000"/>
              <w:bottom w:val="single" w:sz="4" w:space="0" w:color="000000"/>
              <w:right w:val="single" w:sz="4" w:space="0" w:color="000000"/>
            </w:tcBorders>
            <w:hideMark/>
          </w:tcPr>
          <w:p w14:paraId="39449B67" w14:textId="77777777" w:rsidR="00927B43" w:rsidRDefault="00927B43">
            <w:pPr>
              <w:pStyle w:val="TableParagraph"/>
              <w:spacing w:line="240" w:lineRule="auto"/>
              <w:ind w:left="102"/>
              <w:jc w:val="center"/>
              <w:rPr>
                <w:lang w:val="da-DK"/>
              </w:rPr>
            </w:pPr>
            <w:r>
              <w:rPr>
                <w:lang w:val="da-DK"/>
              </w:rPr>
              <w:t>35</w:t>
            </w:r>
          </w:p>
        </w:tc>
        <w:tc>
          <w:tcPr>
            <w:tcW w:w="991" w:type="dxa"/>
            <w:tcBorders>
              <w:top w:val="single" w:sz="4" w:space="0" w:color="000000"/>
              <w:left w:val="single" w:sz="4" w:space="0" w:color="000000"/>
              <w:bottom w:val="single" w:sz="4" w:space="0" w:color="000000"/>
              <w:right w:val="single" w:sz="4" w:space="0" w:color="000000"/>
            </w:tcBorders>
            <w:hideMark/>
          </w:tcPr>
          <w:p w14:paraId="180A88E6" w14:textId="77777777" w:rsidR="00927B43" w:rsidRDefault="00927B43">
            <w:pPr>
              <w:pStyle w:val="TableParagraph"/>
              <w:spacing w:line="240" w:lineRule="auto"/>
              <w:ind w:left="169"/>
              <w:jc w:val="center"/>
              <w:rPr>
                <w:lang w:val="da-DK"/>
              </w:rPr>
            </w:pPr>
            <w:r>
              <w:rPr>
                <w:lang w:val="da-DK"/>
              </w:rPr>
              <w:t>24</w:t>
            </w:r>
          </w:p>
        </w:tc>
        <w:tc>
          <w:tcPr>
            <w:tcW w:w="1277" w:type="dxa"/>
            <w:tcBorders>
              <w:top w:val="single" w:sz="4" w:space="0" w:color="000000"/>
              <w:left w:val="single" w:sz="4" w:space="0" w:color="000000"/>
              <w:bottom w:val="single" w:sz="4" w:space="0" w:color="000000"/>
              <w:right w:val="single" w:sz="4" w:space="0" w:color="000000"/>
            </w:tcBorders>
            <w:hideMark/>
          </w:tcPr>
          <w:p w14:paraId="6732A828" w14:textId="77777777" w:rsidR="00927B43" w:rsidRDefault="00927B43">
            <w:pPr>
              <w:pStyle w:val="TableParagraph"/>
              <w:spacing w:line="240" w:lineRule="auto"/>
              <w:ind w:left="102"/>
              <w:jc w:val="center"/>
              <w:rPr>
                <w:lang w:val="da-DK"/>
              </w:rPr>
            </w:pPr>
            <w:r>
              <w:rPr>
                <w:lang w:val="da-DK"/>
              </w:rPr>
              <w:t>34</w:t>
            </w:r>
          </w:p>
        </w:tc>
        <w:tc>
          <w:tcPr>
            <w:tcW w:w="760" w:type="dxa"/>
            <w:tcBorders>
              <w:top w:val="single" w:sz="4" w:space="0" w:color="000000"/>
              <w:left w:val="single" w:sz="4" w:space="0" w:color="000000"/>
              <w:bottom w:val="single" w:sz="4" w:space="0" w:color="000000"/>
              <w:right w:val="single" w:sz="4" w:space="0" w:color="000000"/>
            </w:tcBorders>
            <w:hideMark/>
          </w:tcPr>
          <w:p w14:paraId="1D6A071C" w14:textId="77777777" w:rsidR="00927B43" w:rsidRDefault="00927B43">
            <w:pPr>
              <w:pStyle w:val="TableParagraph"/>
              <w:spacing w:line="240" w:lineRule="auto"/>
              <w:ind w:left="169"/>
              <w:jc w:val="center"/>
              <w:rPr>
                <w:lang w:val="da-DK"/>
              </w:rPr>
            </w:pPr>
            <w:r>
              <w:rPr>
                <w:lang w:val="da-DK"/>
              </w:rPr>
              <w:t>25</w:t>
            </w:r>
          </w:p>
        </w:tc>
      </w:tr>
      <w:tr w:rsidR="00927B43" w14:paraId="65423CD9"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hideMark/>
          </w:tcPr>
          <w:p w14:paraId="0EB0B3F1" w14:textId="77777777" w:rsidR="00927B43" w:rsidRDefault="00927B43">
            <w:pPr>
              <w:pStyle w:val="TableParagraph"/>
              <w:spacing w:line="240" w:lineRule="auto"/>
              <w:rPr>
                <w:sz w:val="14"/>
                <w:lang w:val="da-DK"/>
              </w:rPr>
            </w:pPr>
            <w:r>
              <w:rPr>
                <w:lang w:val="da-DK"/>
              </w:rPr>
              <w:t>Genotype 1/4/6</w:t>
            </w:r>
            <w:r>
              <w:rPr>
                <w:position w:val="8"/>
                <w:sz w:val="14"/>
                <w:lang w:val="da-DK"/>
              </w:rPr>
              <w:t>e</w:t>
            </w:r>
          </w:p>
        </w:tc>
        <w:tc>
          <w:tcPr>
            <w:tcW w:w="1277" w:type="dxa"/>
            <w:tcBorders>
              <w:top w:val="single" w:sz="4" w:space="0" w:color="000000"/>
              <w:left w:val="single" w:sz="4" w:space="0" w:color="000000"/>
              <w:bottom w:val="single" w:sz="4" w:space="0" w:color="000000"/>
              <w:right w:val="single" w:sz="4" w:space="0" w:color="000000"/>
            </w:tcBorders>
            <w:hideMark/>
          </w:tcPr>
          <w:p w14:paraId="2BF3CE4A" w14:textId="77777777" w:rsidR="00927B43" w:rsidRDefault="00927B43">
            <w:pPr>
              <w:pStyle w:val="TableParagraph"/>
              <w:spacing w:line="240" w:lineRule="auto"/>
              <w:ind w:left="102"/>
              <w:jc w:val="center"/>
              <w:rPr>
                <w:lang w:val="da-DK"/>
              </w:rPr>
            </w:pPr>
            <w:r>
              <w:rPr>
                <w:lang w:val="da-DK"/>
              </w:rPr>
              <w:t>15</w:t>
            </w:r>
          </w:p>
        </w:tc>
        <w:tc>
          <w:tcPr>
            <w:tcW w:w="991" w:type="dxa"/>
            <w:tcBorders>
              <w:top w:val="single" w:sz="4" w:space="0" w:color="000000"/>
              <w:left w:val="single" w:sz="4" w:space="0" w:color="000000"/>
              <w:bottom w:val="single" w:sz="4" w:space="0" w:color="000000"/>
              <w:right w:val="single" w:sz="4" w:space="0" w:color="000000"/>
            </w:tcBorders>
            <w:hideMark/>
          </w:tcPr>
          <w:p w14:paraId="433DA707" w14:textId="77777777" w:rsidR="00927B43" w:rsidRDefault="00927B43">
            <w:pPr>
              <w:pStyle w:val="TableParagraph"/>
              <w:spacing w:line="240" w:lineRule="auto"/>
              <w:ind w:left="0"/>
              <w:jc w:val="center"/>
              <w:rPr>
                <w:lang w:val="da-DK"/>
              </w:rPr>
            </w:pPr>
            <w:r>
              <w:rPr>
                <w:lang w:val="da-DK"/>
              </w:rPr>
              <w:t>8</w:t>
            </w:r>
          </w:p>
        </w:tc>
        <w:tc>
          <w:tcPr>
            <w:tcW w:w="1277" w:type="dxa"/>
            <w:tcBorders>
              <w:top w:val="single" w:sz="4" w:space="0" w:color="000000"/>
              <w:left w:val="single" w:sz="4" w:space="0" w:color="000000"/>
              <w:bottom w:val="single" w:sz="4" w:space="0" w:color="000000"/>
              <w:right w:val="single" w:sz="4" w:space="0" w:color="000000"/>
            </w:tcBorders>
            <w:hideMark/>
          </w:tcPr>
          <w:p w14:paraId="2F3D8F96" w14:textId="77777777" w:rsidR="00927B43" w:rsidRDefault="00927B43">
            <w:pPr>
              <w:pStyle w:val="TableParagraph"/>
              <w:spacing w:line="240" w:lineRule="auto"/>
              <w:ind w:left="102"/>
              <w:jc w:val="center"/>
              <w:rPr>
                <w:lang w:val="da-DK"/>
              </w:rPr>
            </w:pPr>
            <w:r>
              <w:rPr>
                <w:lang w:val="da-DK"/>
              </w:rPr>
              <w:t>18</w:t>
            </w:r>
          </w:p>
        </w:tc>
        <w:tc>
          <w:tcPr>
            <w:tcW w:w="991" w:type="dxa"/>
            <w:tcBorders>
              <w:top w:val="single" w:sz="4" w:space="0" w:color="000000"/>
              <w:left w:val="single" w:sz="4" w:space="0" w:color="000000"/>
              <w:bottom w:val="single" w:sz="4" w:space="0" w:color="000000"/>
              <w:right w:val="single" w:sz="4" w:space="0" w:color="000000"/>
            </w:tcBorders>
            <w:hideMark/>
          </w:tcPr>
          <w:p w14:paraId="67BA3160" w14:textId="77777777" w:rsidR="00927B43" w:rsidRDefault="00927B43">
            <w:pPr>
              <w:pStyle w:val="TableParagraph"/>
              <w:spacing w:line="240" w:lineRule="auto"/>
              <w:ind w:left="169"/>
              <w:jc w:val="center"/>
              <w:rPr>
                <w:lang w:val="da-DK"/>
              </w:rPr>
            </w:pPr>
            <w:r>
              <w:rPr>
                <w:lang w:val="da-DK"/>
              </w:rPr>
              <w:t>10</w:t>
            </w:r>
          </w:p>
        </w:tc>
        <w:tc>
          <w:tcPr>
            <w:tcW w:w="1277" w:type="dxa"/>
            <w:tcBorders>
              <w:top w:val="single" w:sz="4" w:space="0" w:color="000000"/>
              <w:left w:val="single" w:sz="4" w:space="0" w:color="000000"/>
              <w:bottom w:val="single" w:sz="4" w:space="0" w:color="000000"/>
              <w:right w:val="single" w:sz="4" w:space="0" w:color="000000"/>
            </w:tcBorders>
            <w:hideMark/>
          </w:tcPr>
          <w:p w14:paraId="6D051F71" w14:textId="77777777" w:rsidR="00927B43" w:rsidRDefault="00927B43">
            <w:pPr>
              <w:pStyle w:val="TableParagraph"/>
              <w:spacing w:line="240" w:lineRule="auto"/>
              <w:ind w:left="102"/>
              <w:jc w:val="center"/>
              <w:rPr>
                <w:lang w:val="da-DK"/>
              </w:rPr>
            </w:pPr>
            <w:r>
              <w:rPr>
                <w:lang w:val="da-DK"/>
              </w:rPr>
              <w:t>13</w:t>
            </w:r>
          </w:p>
        </w:tc>
        <w:tc>
          <w:tcPr>
            <w:tcW w:w="760" w:type="dxa"/>
            <w:tcBorders>
              <w:top w:val="single" w:sz="4" w:space="0" w:color="000000"/>
              <w:left w:val="single" w:sz="4" w:space="0" w:color="000000"/>
              <w:bottom w:val="single" w:sz="4" w:space="0" w:color="000000"/>
              <w:right w:val="single" w:sz="4" w:space="0" w:color="000000"/>
            </w:tcBorders>
            <w:hideMark/>
          </w:tcPr>
          <w:p w14:paraId="78941DA5" w14:textId="77777777" w:rsidR="00927B43" w:rsidRDefault="00927B43">
            <w:pPr>
              <w:pStyle w:val="TableParagraph"/>
              <w:spacing w:line="240" w:lineRule="auto"/>
              <w:ind w:left="0"/>
              <w:jc w:val="center"/>
              <w:rPr>
                <w:lang w:val="da-DK"/>
              </w:rPr>
            </w:pPr>
            <w:r>
              <w:rPr>
                <w:lang w:val="da-DK"/>
              </w:rPr>
              <w:t>7</w:t>
            </w:r>
          </w:p>
        </w:tc>
      </w:tr>
      <w:tr w:rsidR="00927B43" w14:paraId="123C2D7E" w14:textId="77777777" w:rsidTr="00927B43">
        <w:trPr>
          <w:trHeight w:val="262"/>
        </w:trPr>
        <w:tc>
          <w:tcPr>
            <w:tcW w:w="2499" w:type="dxa"/>
            <w:tcBorders>
              <w:top w:val="single" w:sz="4" w:space="0" w:color="000000"/>
              <w:left w:val="single" w:sz="4" w:space="0" w:color="000000"/>
              <w:bottom w:val="single" w:sz="4" w:space="0" w:color="000000"/>
              <w:right w:val="single" w:sz="4" w:space="0" w:color="000000"/>
            </w:tcBorders>
            <w:hideMark/>
          </w:tcPr>
          <w:p w14:paraId="39253F0D" w14:textId="77777777" w:rsidR="00927B43" w:rsidRDefault="00927B43">
            <w:pPr>
              <w:pStyle w:val="TableParagraph"/>
              <w:spacing w:line="240" w:lineRule="auto"/>
              <w:rPr>
                <w:i/>
                <w:sz w:val="14"/>
                <w:lang w:val="da-DK"/>
              </w:rPr>
            </w:pPr>
            <w:r>
              <w:rPr>
                <w:i/>
                <w:lang w:val="da-DK"/>
              </w:rPr>
              <w:t xml:space="preserve">Albuminniveauer </w:t>
            </w:r>
            <w:r>
              <w:rPr>
                <w:i/>
                <w:position w:val="9"/>
                <w:sz w:val="14"/>
                <w:lang w:val="da-DK"/>
              </w:rPr>
              <w:t>f</w:t>
            </w:r>
          </w:p>
        </w:tc>
        <w:tc>
          <w:tcPr>
            <w:tcW w:w="1277" w:type="dxa"/>
            <w:tcBorders>
              <w:top w:val="single" w:sz="4" w:space="0" w:color="000000"/>
              <w:left w:val="single" w:sz="4" w:space="0" w:color="000000"/>
              <w:bottom w:val="single" w:sz="4" w:space="0" w:color="000000"/>
              <w:right w:val="single" w:sz="4" w:space="0" w:color="000000"/>
            </w:tcBorders>
          </w:tcPr>
          <w:p w14:paraId="64F0B6FA" w14:textId="77777777" w:rsidR="00927B43" w:rsidRDefault="00927B43">
            <w:pPr>
              <w:rPr>
                <w:sz w:val="22"/>
              </w:rPr>
            </w:pPr>
          </w:p>
        </w:tc>
        <w:tc>
          <w:tcPr>
            <w:tcW w:w="991" w:type="dxa"/>
            <w:tcBorders>
              <w:top w:val="single" w:sz="4" w:space="0" w:color="000000"/>
              <w:left w:val="single" w:sz="4" w:space="0" w:color="000000"/>
              <w:bottom w:val="single" w:sz="4" w:space="0" w:color="000000"/>
              <w:right w:val="single" w:sz="4" w:space="0" w:color="000000"/>
            </w:tcBorders>
          </w:tcPr>
          <w:p w14:paraId="01A88C2F" w14:textId="77777777" w:rsidR="00927B43" w:rsidRDefault="00927B43"/>
        </w:tc>
        <w:tc>
          <w:tcPr>
            <w:tcW w:w="4305" w:type="dxa"/>
            <w:gridSpan w:val="4"/>
            <w:vMerge w:val="restart"/>
            <w:tcBorders>
              <w:top w:val="single" w:sz="4" w:space="0" w:color="000000"/>
              <w:left w:val="single" w:sz="4" w:space="0" w:color="000000"/>
              <w:bottom w:val="single" w:sz="4" w:space="0" w:color="000000"/>
              <w:right w:val="single" w:sz="4" w:space="0" w:color="000000"/>
            </w:tcBorders>
          </w:tcPr>
          <w:p w14:paraId="3A16A81D" w14:textId="77777777" w:rsidR="00927B43" w:rsidRDefault="00927B43"/>
        </w:tc>
      </w:tr>
      <w:tr w:rsidR="00927B43" w14:paraId="58AB234C"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hideMark/>
          </w:tcPr>
          <w:p w14:paraId="29A9E842" w14:textId="77777777" w:rsidR="00927B43" w:rsidRDefault="00927B43">
            <w:pPr>
              <w:pStyle w:val="TableParagraph"/>
              <w:spacing w:line="240" w:lineRule="auto"/>
              <w:rPr>
                <w:lang w:val="da-DK"/>
              </w:rPr>
            </w:pPr>
            <w:r>
              <w:rPr>
                <w:lang w:val="da-DK"/>
              </w:rPr>
              <w:t>≤ 35g/l</w:t>
            </w:r>
          </w:p>
        </w:tc>
        <w:tc>
          <w:tcPr>
            <w:tcW w:w="1277" w:type="dxa"/>
            <w:tcBorders>
              <w:top w:val="single" w:sz="4" w:space="0" w:color="000000"/>
              <w:left w:val="single" w:sz="4" w:space="0" w:color="000000"/>
              <w:bottom w:val="single" w:sz="4" w:space="0" w:color="000000"/>
              <w:right w:val="single" w:sz="4" w:space="0" w:color="000000"/>
            </w:tcBorders>
            <w:hideMark/>
          </w:tcPr>
          <w:p w14:paraId="763FE944" w14:textId="77777777" w:rsidR="00927B43" w:rsidRDefault="00927B43">
            <w:pPr>
              <w:pStyle w:val="TableParagraph"/>
              <w:spacing w:line="240" w:lineRule="auto"/>
              <w:ind w:left="102"/>
              <w:jc w:val="center"/>
              <w:rPr>
                <w:lang w:val="da-DK"/>
              </w:rPr>
            </w:pPr>
            <w:r>
              <w:rPr>
                <w:lang w:val="da-DK"/>
              </w:rPr>
              <w:t>11</w:t>
            </w:r>
          </w:p>
        </w:tc>
        <w:tc>
          <w:tcPr>
            <w:tcW w:w="991" w:type="dxa"/>
            <w:tcBorders>
              <w:top w:val="single" w:sz="4" w:space="0" w:color="000000"/>
              <w:left w:val="single" w:sz="4" w:space="0" w:color="000000"/>
              <w:bottom w:val="single" w:sz="4" w:space="0" w:color="000000"/>
              <w:right w:val="single" w:sz="4" w:space="0" w:color="000000"/>
            </w:tcBorders>
            <w:hideMark/>
          </w:tcPr>
          <w:p w14:paraId="0CE4C5E0" w14:textId="77777777" w:rsidR="00927B43" w:rsidRDefault="00927B43">
            <w:pPr>
              <w:pStyle w:val="TableParagraph"/>
              <w:spacing w:line="240" w:lineRule="auto"/>
              <w:ind w:left="0"/>
              <w:jc w:val="center"/>
              <w:rPr>
                <w:lang w:val="da-DK"/>
              </w:rPr>
            </w:pPr>
            <w:r>
              <w:rPr>
                <w:lang w:val="da-DK"/>
              </w:rPr>
              <w:t>8</w:t>
            </w:r>
          </w:p>
        </w:tc>
        <w:tc>
          <w:tcPr>
            <w:tcW w:w="8093" w:type="dxa"/>
            <w:gridSpan w:val="4"/>
            <w:vMerge/>
            <w:tcBorders>
              <w:top w:val="single" w:sz="4" w:space="0" w:color="000000"/>
              <w:left w:val="single" w:sz="4" w:space="0" w:color="000000"/>
              <w:bottom w:val="single" w:sz="4" w:space="0" w:color="000000"/>
              <w:right w:val="single" w:sz="4" w:space="0" w:color="000000"/>
            </w:tcBorders>
            <w:vAlign w:val="center"/>
            <w:hideMark/>
          </w:tcPr>
          <w:p w14:paraId="3F87D2B4" w14:textId="77777777" w:rsidR="00927B43" w:rsidRDefault="00927B43">
            <w:pPr>
              <w:rPr>
                <w:sz w:val="22"/>
                <w:szCs w:val="22"/>
              </w:rPr>
            </w:pPr>
          </w:p>
        </w:tc>
      </w:tr>
      <w:tr w:rsidR="00927B43" w14:paraId="5EB2840C" w14:textId="77777777" w:rsidTr="00927B43">
        <w:trPr>
          <w:trHeight w:hRule="exact" w:val="262"/>
        </w:trPr>
        <w:tc>
          <w:tcPr>
            <w:tcW w:w="2499" w:type="dxa"/>
            <w:tcBorders>
              <w:top w:val="single" w:sz="4" w:space="0" w:color="000000"/>
              <w:left w:val="single" w:sz="4" w:space="0" w:color="000000"/>
              <w:bottom w:val="single" w:sz="4" w:space="0" w:color="000000"/>
              <w:right w:val="single" w:sz="4" w:space="0" w:color="000000"/>
            </w:tcBorders>
            <w:hideMark/>
          </w:tcPr>
          <w:p w14:paraId="387607A1" w14:textId="77777777" w:rsidR="00927B43" w:rsidRDefault="00927B43">
            <w:pPr>
              <w:pStyle w:val="TableParagraph"/>
              <w:spacing w:line="240" w:lineRule="auto"/>
              <w:rPr>
                <w:lang w:val="da-DK"/>
              </w:rPr>
            </w:pPr>
            <w:r>
              <w:rPr>
                <w:lang w:val="da-DK"/>
              </w:rPr>
              <w:t>&gt; 35g/l</w:t>
            </w:r>
          </w:p>
        </w:tc>
        <w:tc>
          <w:tcPr>
            <w:tcW w:w="1277" w:type="dxa"/>
            <w:tcBorders>
              <w:top w:val="single" w:sz="4" w:space="0" w:color="000000"/>
              <w:left w:val="single" w:sz="4" w:space="0" w:color="000000"/>
              <w:bottom w:val="single" w:sz="4" w:space="0" w:color="000000"/>
              <w:right w:val="single" w:sz="4" w:space="0" w:color="000000"/>
            </w:tcBorders>
            <w:hideMark/>
          </w:tcPr>
          <w:p w14:paraId="230F9058" w14:textId="77777777" w:rsidR="00927B43" w:rsidRDefault="00927B43">
            <w:pPr>
              <w:pStyle w:val="TableParagraph"/>
              <w:spacing w:line="240" w:lineRule="auto"/>
              <w:ind w:left="102"/>
              <w:jc w:val="center"/>
              <w:rPr>
                <w:lang w:val="da-DK"/>
              </w:rPr>
            </w:pPr>
            <w:r>
              <w:rPr>
                <w:lang w:val="da-DK"/>
              </w:rPr>
              <w:t>25</w:t>
            </w:r>
          </w:p>
        </w:tc>
        <w:tc>
          <w:tcPr>
            <w:tcW w:w="991" w:type="dxa"/>
            <w:tcBorders>
              <w:top w:val="single" w:sz="4" w:space="0" w:color="000000"/>
              <w:left w:val="single" w:sz="4" w:space="0" w:color="000000"/>
              <w:bottom w:val="single" w:sz="4" w:space="0" w:color="000000"/>
              <w:right w:val="single" w:sz="4" w:space="0" w:color="000000"/>
            </w:tcBorders>
            <w:hideMark/>
          </w:tcPr>
          <w:p w14:paraId="2721462E" w14:textId="77777777" w:rsidR="00927B43" w:rsidRDefault="00927B43">
            <w:pPr>
              <w:pStyle w:val="TableParagraph"/>
              <w:spacing w:line="240" w:lineRule="auto"/>
              <w:ind w:left="49"/>
              <w:jc w:val="center"/>
              <w:rPr>
                <w:lang w:val="da-DK"/>
              </w:rPr>
            </w:pPr>
            <w:r>
              <w:rPr>
                <w:lang w:val="da-DK"/>
              </w:rPr>
              <w:t>16</w:t>
            </w:r>
          </w:p>
        </w:tc>
        <w:tc>
          <w:tcPr>
            <w:tcW w:w="8093" w:type="dxa"/>
            <w:gridSpan w:val="4"/>
            <w:vMerge/>
            <w:tcBorders>
              <w:top w:val="single" w:sz="4" w:space="0" w:color="000000"/>
              <w:left w:val="single" w:sz="4" w:space="0" w:color="000000"/>
              <w:bottom w:val="single" w:sz="4" w:space="0" w:color="000000"/>
              <w:right w:val="single" w:sz="4" w:space="0" w:color="000000"/>
            </w:tcBorders>
            <w:vAlign w:val="center"/>
            <w:hideMark/>
          </w:tcPr>
          <w:p w14:paraId="428E0DC1" w14:textId="77777777" w:rsidR="00927B43" w:rsidRDefault="00927B43">
            <w:pPr>
              <w:rPr>
                <w:sz w:val="22"/>
                <w:szCs w:val="22"/>
              </w:rPr>
            </w:pPr>
          </w:p>
        </w:tc>
      </w:tr>
      <w:tr w:rsidR="00927B43" w14:paraId="18903EC0"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hideMark/>
          </w:tcPr>
          <w:p w14:paraId="01809F86" w14:textId="77777777" w:rsidR="00927B43" w:rsidRDefault="00927B43">
            <w:pPr>
              <w:pStyle w:val="TableParagraph"/>
              <w:spacing w:line="240" w:lineRule="auto"/>
              <w:rPr>
                <w:i/>
                <w:sz w:val="14"/>
                <w:lang w:val="da-DK"/>
              </w:rPr>
            </w:pPr>
            <w:r>
              <w:rPr>
                <w:i/>
                <w:lang w:val="da-DK"/>
              </w:rPr>
              <w:t>MELD score</w:t>
            </w:r>
            <w:r>
              <w:rPr>
                <w:i/>
                <w:position w:val="9"/>
                <w:sz w:val="14"/>
                <w:lang w:val="da-DK"/>
              </w:rPr>
              <w:t>f</w:t>
            </w:r>
          </w:p>
        </w:tc>
        <w:tc>
          <w:tcPr>
            <w:tcW w:w="1277" w:type="dxa"/>
            <w:tcBorders>
              <w:top w:val="single" w:sz="4" w:space="0" w:color="000000"/>
              <w:left w:val="single" w:sz="4" w:space="0" w:color="000000"/>
              <w:bottom w:val="single" w:sz="4" w:space="0" w:color="000000"/>
              <w:right w:val="single" w:sz="4" w:space="0" w:color="000000"/>
            </w:tcBorders>
          </w:tcPr>
          <w:p w14:paraId="3E747F04" w14:textId="77777777" w:rsidR="00927B43" w:rsidRDefault="00927B43">
            <w:pPr>
              <w:rPr>
                <w:sz w:val="22"/>
              </w:rPr>
            </w:pPr>
          </w:p>
        </w:tc>
        <w:tc>
          <w:tcPr>
            <w:tcW w:w="991" w:type="dxa"/>
            <w:tcBorders>
              <w:top w:val="single" w:sz="4" w:space="0" w:color="000000"/>
              <w:left w:val="single" w:sz="4" w:space="0" w:color="000000"/>
              <w:bottom w:val="single" w:sz="4" w:space="0" w:color="000000"/>
              <w:right w:val="single" w:sz="4" w:space="0" w:color="000000"/>
            </w:tcBorders>
          </w:tcPr>
          <w:p w14:paraId="1639A428" w14:textId="77777777" w:rsidR="00927B43" w:rsidRDefault="00927B43"/>
        </w:tc>
        <w:tc>
          <w:tcPr>
            <w:tcW w:w="8093" w:type="dxa"/>
            <w:gridSpan w:val="4"/>
            <w:vMerge/>
            <w:tcBorders>
              <w:top w:val="single" w:sz="4" w:space="0" w:color="000000"/>
              <w:left w:val="single" w:sz="4" w:space="0" w:color="000000"/>
              <w:bottom w:val="single" w:sz="4" w:space="0" w:color="000000"/>
              <w:right w:val="single" w:sz="4" w:space="0" w:color="000000"/>
            </w:tcBorders>
            <w:vAlign w:val="center"/>
            <w:hideMark/>
          </w:tcPr>
          <w:p w14:paraId="3C5B6075" w14:textId="77777777" w:rsidR="00927B43" w:rsidRDefault="00927B43">
            <w:pPr>
              <w:rPr>
                <w:sz w:val="22"/>
                <w:szCs w:val="22"/>
              </w:rPr>
            </w:pPr>
          </w:p>
        </w:tc>
      </w:tr>
      <w:tr w:rsidR="00927B43" w14:paraId="568BDEDB" w14:textId="77777777" w:rsidTr="00927B43">
        <w:trPr>
          <w:trHeight w:hRule="exact" w:val="264"/>
        </w:trPr>
        <w:tc>
          <w:tcPr>
            <w:tcW w:w="2499" w:type="dxa"/>
            <w:tcBorders>
              <w:top w:val="single" w:sz="4" w:space="0" w:color="000000"/>
              <w:left w:val="single" w:sz="4" w:space="0" w:color="000000"/>
              <w:bottom w:val="single" w:sz="4" w:space="0" w:color="000000"/>
              <w:right w:val="single" w:sz="4" w:space="0" w:color="000000"/>
            </w:tcBorders>
            <w:hideMark/>
          </w:tcPr>
          <w:p w14:paraId="70C401D8" w14:textId="77777777" w:rsidR="00927B43" w:rsidRDefault="00927B43">
            <w:pPr>
              <w:pStyle w:val="TableParagraph"/>
              <w:spacing w:line="240" w:lineRule="auto"/>
              <w:rPr>
                <w:lang w:val="da-DK"/>
              </w:rPr>
            </w:pPr>
            <w:r>
              <w:rPr>
                <w:lang w:val="da-DK"/>
              </w:rPr>
              <w:t>≥ 10</w:t>
            </w:r>
          </w:p>
        </w:tc>
        <w:tc>
          <w:tcPr>
            <w:tcW w:w="1277" w:type="dxa"/>
            <w:tcBorders>
              <w:top w:val="single" w:sz="4" w:space="0" w:color="000000"/>
              <w:left w:val="single" w:sz="4" w:space="0" w:color="000000"/>
              <w:bottom w:val="single" w:sz="4" w:space="0" w:color="000000"/>
              <w:right w:val="single" w:sz="4" w:space="0" w:color="000000"/>
            </w:tcBorders>
            <w:hideMark/>
          </w:tcPr>
          <w:p w14:paraId="2A87C138" w14:textId="77777777" w:rsidR="00927B43" w:rsidRDefault="00927B43">
            <w:pPr>
              <w:pStyle w:val="TableParagraph"/>
              <w:spacing w:line="240" w:lineRule="auto"/>
              <w:ind w:left="102"/>
              <w:jc w:val="center"/>
              <w:rPr>
                <w:lang w:val="da-DK"/>
              </w:rPr>
            </w:pPr>
            <w:r>
              <w:rPr>
                <w:lang w:val="da-DK"/>
              </w:rPr>
              <w:t>18</w:t>
            </w:r>
          </w:p>
        </w:tc>
        <w:tc>
          <w:tcPr>
            <w:tcW w:w="991" w:type="dxa"/>
            <w:tcBorders>
              <w:top w:val="single" w:sz="4" w:space="0" w:color="000000"/>
              <w:left w:val="single" w:sz="4" w:space="0" w:color="000000"/>
              <w:bottom w:val="single" w:sz="4" w:space="0" w:color="000000"/>
              <w:right w:val="single" w:sz="4" w:space="0" w:color="000000"/>
            </w:tcBorders>
            <w:hideMark/>
          </w:tcPr>
          <w:p w14:paraId="350C3DA9" w14:textId="77777777" w:rsidR="00927B43" w:rsidRDefault="00927B43">
            <w:pPr>
              <w:pStyle w:val="TableParagraph"/>
              <w:spacing w:line="240" w:lineRule="auto"/>
              <w:ind w:left="169"/>
              <w:jc w:val="center"/>
              <w:rPr>
                <w:lang w:val="da-DK"/>
              </w:rPr>
            </w:pPr>
            <w:r>
              <w:rPr>
                <w:lang w:val="da-DK"/>
              </w:rPr>
              <w:t>10</w:t>
            </w:r>
          </w:p>
        </w:tc>
        <w:tc>
          <w:tcPr>
            <w:tcW w:w="8093" w:type="dxa"/>
            <w:gridSpan w:val="4"/>
            <w:vMerge/>
            <w:tcBorders>
              <w:top w:val="single" w:sz="4" w:space="0" w:color="000000"/>
              <w:left w:val="single" w:sz="4" w:space="0" w:color="000000"/>
              <w:bottom w:val="single" w:sz="4" w:space="0" w:color="000000"/>
              <w:right w:val="single" w:sz="4" w:space="0" w:color="000000"/>
            </w:tcBorders>
            <w:vAlign w:val="center"/>
            <w:hideMark/>
          </w:tcPr>
          <w:p w14:paraId="31A65EB4" w14:textId="77777777" w:rsidR="00927B43" w:rsidRDefault="00927B43">
            <w:pPr>
              <w:rPr>
                <w:sz w:val="22"/>
                <w:szCs w:val="22"/>
              </w:rPr>
            </w:pPr>
          </w:p>
        </w:tc>
      </w:tr>
      <w:tr w:rsidR="00927B43" w14:paraId="1C770590" w14:textId="77777777" w:rsidTr="00927B43">
        <w:trPr>
          <w:trHeight w:hRule="exact" w:val="262"/>
        </w:trPr>
        <w:tc>
          <w:tcPr>
            <w:tcW w:w="2499" w:type="dxa"/>
            <w:tcBorders>
              <w:top w:val="single" w:sz="4" w:space="0" w:color="000000"/>
              <w:left w:val="single" w:sz="4" w:space="0" w:color="000000"/>
              <w:bottom w:val="single" w:sz="4" w:space="0" w:color="000000"/>
              <w:right w:val="single" w:sz="4" w:space="0" w:color="000000"/>
            </w:tcBorders>
            <w:hideMark/>
          </w:tcPr>
          <w:p w14:paraId="4EF14BA1" w14:textId="77777777" w:rsidR="00927B43" w:rsidRDefault="00927B43">
            <w:pPr>
              <w:pStyle w:val="TableParagraph"/>
              <w:spacing w:line="240" w:lineRule="auto"/>
              <w:rPr>
                <w:lang w:val="da-DK"/>
              </w:rPr>
            </w:pPr>
            <w:r>
              <w:rPr>
                <w:lang w:val="da-DK"/>
              </w:rPr>
              <w:t>&lt; 10</w:t>
            </w:r>
          </w:p>
        </w:tc>
        <w:tc>
          <w:tcPr>
            <w:tcW w:w="1277" w:type="dxa"/>
            <w:tcBorders>
              <w:top w:val="single" w:sz="4" w:space="0" w:color="000000"/>
              <w:left w:val="single" w:sz="4" w:space="0" w:color="000000"/>
              <w:bottom w:val="single" w:sz="4" w:space="0" w:color="000000"/>
              <w:right w:val="single" w:sz="4" w:space="0" w:color="000000"/>
            </w:tcBorders>
            <w:hideMark/>
          </w:tcPr>
          <w:p w14:paraId="19EF31B0" w14:textId="77777777" w:rsidR="00927B43" w:rsidRDefault="00927B43">
            <w:pPr>
              <w:pStyle w:val="TableParagraph"/>
              <w:spacing w:line="240" w:lineRule="auto"/>
              <w:ind w:left="102"/>
              <w:jc w:val="center"/>
              <w:rPr>
                <w:lang w:val="da-DK"/>
              </w:rPr>
            </w:pPr>
            <w:r>
              <w:rPr>
                <w:lang w:val="da-DK"/>
              </w:rPr>
              <w:t>23</w:t>
            </w:r>
          </w:p>
        </w:tc>
        <w:tc>
          <w:tcPr>
            <w:tcW w:w="991" w:type="dxa"/>
            <w:tcBorders>
              <w:top w:val="single" w:sz="4" w:space="0" w:color="000000"/>
              <w:left w:val="single" w:sz="4" w:space="0" w:color="000000"/>
              <w:bottom w:val="single" w:sz="4" w:space="0" w:color="000000"/>
              <w:right w:val="single" w:sz="4" w:space="0" w:color="000000"/>
            </w:tcBorders>
            <w:hideMark/>
          </w:tcPr>
          <w:p w14:paraId="0851EA62" w14:textId="77777777" w:rsidR="00927B43" w:rsidRDefault="00927B43">
            <w:pPr>
              <w:pStyle w:val="TableParagraph"/>
              <w:spacing w:line="240" w:lineRule="auto"/>
              <w:ind w:left="169"/>
              <w:jc w:val="center"/>
              <w:rPr>
                <w:lang w:val="da-DK"/>
              </w:rPr>
            </w:pPr>
            <w:r>
              <w:rPr>
                <w:lang w:val="da-DK"/>
              </w:rPr>
              <w:t>17</w:t>
            </w:r>
          </w:p>
        </w:tc>
        <w:tc>
          <w:tcPr>
            <w:tcW w:w="8093" w:type="dxa"/>
            <w:gridSpan w:val="4"/>
            <w:vMerge/>
            <w:tcBorders>
              <w:top w:val="single" w:sz="4" w:space="0" w:color="000000"/>
              <w:left w:val="single" w:sz="4" w:space="0" w:color="000000"/>
              <w:bottom w:val="single" w:sz="4" w:space="0" w:color="000000"/>
              <w:right w:val="single" w:sz="4" w:space="0" w:color="000000"/>
            </w:tcBorders>
            <w:vAlign w:val="center"/>
            <w:hideMark/>
          </w:tcPr>
          <w:p w14:paraId="499962FB" w14:textId="77777777" w:rsidR="00927B43" w:rsidRDefault="00927B43">
            <w:pPr>
              <w:rPr>
                <w:sz w:val="22"/>
                <w:szCs w:val="22"/>
              </w:rPr>
            </w:pPr>
          </w:p>
        </w:tc>
      </w:tr>
    </w:tbl>
    <w:p w14:paraId="1D1D18A4" w14:textId="77777777" w:rsidR="00927B43" w:rsidRPr="00D54FFA" w:rsidRDefault="00927B43" w:rsidP="00927B43">
      <w:pPr>
        <w:autoSpaceDE w:val="0"/>
        <w:autoSpaceDN w:val="0"/>
        <w:adjustRightInd w:val="0"/>
        <w:ind w:left="426" w:hanging="426"/>
        <w:rPr>
          <w:sz w:val="20"/>
        </w:rPr>
      </w:pPr>
      <w:r w:rsidRPr="00D54FFA">
        <w:rPr>
          <w:sz w:val="20"/>
        </w:rPr>
        <w:t>a     Eltrombopag givet i kombination med peginterferon alfa-2a (180 μg én gang ugentligt i 48 uger for genotyperne 1/4/6; i 24 uger genotype 2/3) plus ribavirin (800 til 1.200 mg daglig fordelt på 2 orale doser)</w:t>
      </w:r>
    </w:p>
    <w:p w14:paraId="00470F51" w14:textId="77777777" w:rsidR="00927B43" w:rsidRPr="00D54FFA" w:rsidRDefault="00927B43" w:rsidP="00927B43">
      <w:pPr>
        <w:autoSpaceDE w:val="0"/>
        <w:autoSpaceDN w:val="0"/>
        <w:adjustRightInd w:val="0"/>
        <w:ind w:left="426" w:hanging="426"/>
        <w:rPr>
          <w:sz w:val="20"/>
        </w:rPr>
      </w:pPr>
      <w:r w:rsidRPr="00D54FFA">
        <w:rPr>
          <w:sz w:val="20"/>
        </w:rPr>
        <w:t xml:space="preserve">b      Eltrombopag givet i kombination med peginterferon alfa-2b (1,5 μg/kg én gang ugentligt i 48 uger for genotype 1/4/6; i 24 uger for genotype 2/3) plus ribavirin (800 til 1.400 mg oralt fordelt på 2 doser) </w:t>
      </w:r>
    </w:p>
    <w:p w14:paraId="412351B2" w14:textId="77777777" w:rsidR="00927B43" w:rsidRPr="00D54FFA" w:rsidRDefault="00927B43" w:rsidP="00927B43">
      <w:pPr>
        <w:autoSpaceDE w:val="0"/>
        <w:autoSpaceDN w:val="0"/>
        <w:adjustRightInd w:val="0"/>
        <w:ind w:left="426" w:hanging="426"/>
        <w:rPr>
          <w:sz w:val="20"/>
        </w:rPr>
      </w:pPr>
      <w:r w:rsidRPr="00D54FFA">
        <w:rPr>
          <w:sz w:val="20"/>
        </w:rPr>
        <w:t xml:space="preserve">c     Det tilsigtede trombocyttal var </w:t>
      </w:r>
      <w:r w:rsidRPr="00D54FFA">
        <w:rPr>
          <w:rFonts w:eastAsia="TimesNewRomanPSMT"/>
          <w:sz w:val="20"/>
        </w:rPr>
        <w:t>≥</w:t>
      </w:r>
      <w:r w:rsidRPr="00D54FFA">
        <w:rPr>
          <w:sz w:val="20"/>
        </w:rPr>
        <w:t xml:space="preserve"> 90 000 pr. μl i ENABLE 1 og </w:t>
      </w:r>
      <w:r w:rsidRPr="00D54FFA">
        <w:rPr>
          <w:rFonts w:eastAsia="TimesNewRomanPSMT"/>
          <w:sz w:val="20"/>
        </w:rPr>
        <w:t xml:space="preserve">≥ </w:t>
      </w:r>
      <w:r w:rsidRPr="00D54FFA">
        <w:rPr>
          <w:sz w:val="20"/>
        </w:rPr>
        <w:t>100 000 pr. μl i ENABLE 2. I ENABLE 1 blev 1 682 patienter randomiseret til den antivirale behandling, 2 patienter trak dog deres indvilligen tilbage inden opstart af den antivirale behandling</w:t>
      </w:r>
    </w:p>
    <w:p w14:paraId="0301E725" w14:textId="77777777" w:rsidR="00927B43" w:rsidRPr="00D54FFA" w:rsidRDefault="00927B43" w:rsidP="00927B43">
      <w:pPr>
        <w:autoSpaceDE w:val="0"/>
        <w:autoSpaceDN w:val="0"/>
        <w:adjustRightInd w:val="0"/>
        <w:rPr>
          <w:sz w:val="20"/>
        </w:rPr>
      </w:pPr>
      <w:r w:rsidRPr="00D54FFA">
        <w:rPr>
          <w:sz w:val="20"/>
        </w:rPr>
        <w:t xml:space="preserve">d      </w:t>
      </w:r>
      <w:r w:rsidRPr="00D54FFA">
        <w:rPr>
          <w:i/>
          <w:iCs/>
          <w:sz w:val="20"/>
        </w:rPr>
        <w:t>p-</w:t>
      </w:r>
      <w:r w:rsidRPr="00D54FFA">
        <w:rPr>
          <w:sz w:val="20"/>
        </w:rPr>
        <w:t>værdi på &lt; 0,05 for eltrombopag i forhold til placebo</w:t>
      </w:r>
    </w:p>
    <w:p w14:paraId="7B0D3142" w14:textId="77777777" w:rsidR="00927B43" w:rsidRPr="00D54FFA" w:rsidRDefault="00927B43" w:rsidP="00927B43">
      <w:pPr>
        <w:autoSpaceDE w:val="0"/>
        <w:autoSpaceDN w:val="0"/>
        <w:adjustRightInd w:val="0"/>
        <w:rPr>
          <w:sz w:val="20"/>
        </w:rPr>
      </w:pPr>
      <w:r w:rsidRPr="00D54FFA">
        <w:rPr>
          <w:sz w:val="20"/>
        </w:rPr>
        <w:t>e      64 % af patienterne, der deltog i ENABLE 1 og ENABLE 2, var genotype 1</w:t>
      </w:r>
    </w:p>
    <w:p w14:paraId="4427A15F" w14:textId="77777777" w:rsidR="00927B43" w:rsidRPr="00D54FFA" w:rsidRDefault="00927B43" w:rsidP="00927B43">
      <w:pPr>
        <w:rPr>
          <w:sz w:val="20"/>
        </w:rPr>
      </w:pPr>
      <w:r w:rsidRPr="00D54FFA">
        <w:rPr>
          <w:sz w:val="20"/>
        </w:rPr>
        <w:t>f       Post-hoc-analyser</w:t>
      </w:r>
    </w:p>
    <w:p w14:paraId="737A7142" w14:textId="77777777" w:rsidR="00D54FFA" w:rsidRDefault="00D54FFA" w:rsidP="00D54FFA">
      <w:pPr>
        <w:autoSpaceDE w:val="0"/>
        <w:autoSpaceDN w:val="0"/>
        <w:adjustRightInd w:val="0"/>
        <w:ind w:left="851"/>
        <w:rPr>
          <w:sz w:val="24"/>
          <w:szCs w:val="24"/>
        </w:rPr>
      </w:pPr>
    </w:p>
    <w:p w14:paraId="3F6695C0" w14:textId="0BDB3484" w:rsidR="00927B43" w:rsidRPr="00D54FFA" w:rsidRDefault="00927B43" w:rsidP="00D54FFA">
      <w:pPr>
        <w:autoSpaceDE w:val="0"/>
        <w:autoSpaceDN w:val="0"/>
        <w:adjustRightInd w:val="0"/>
        <w:ind w:left="851"/>
        <w:rPr>
          <w:sz w:val="24"/>
          <w:szCs w:val="24"/>
        </w:rPr>
      </w:pPr>
      <w:r w:rsidRPr="00D54FFA">
        <w:rPr>
          <w:sz w:val="24"/>
          <w:szCs w:val="24"/>
        </w:rPr>
        <w:t>Andre sekundære fund i studierne inkluderede følgende: Signifikant færre patienter behandlet med eltrombopag fik seponeret den antivirale behandling før tid sammenlignet med placebo (45 % i forhold til 60 %, p = &lt; 0,0001). En større andel af patienterne behandlet med eltrombopag krævede ikke dosisreduktion af den antivirale behandling sammenlignet med placebo (45 % i forhold til 27 %). Behandling med eltrombopag udsatte og reducerede antallet af dosisreduktioner af peginterferon.</w:t>
      </w:r>
    </w:p>
    <w:p w14:paraId="6FC9626B" w14:textId="77777777" w:rsidR="009260DE" w:rsidRPr="00C84483" w:rsidRDefault="009260DE" w:rsidP="009260DE">
      <w:pPr>
        <w:tabs>
          <w:tab w:val="left" w:pos="851"/>
        </w:tabs>
        <w:ind w:left="851"/>
        <w:rPr>
          <w:sz w:val="24"/>
          <w:szCs w:val="24"/>
        </w:rPr>
      </w:pPr>
    </w:p>
    <w:p w14:paraId="1BD1843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2D29CA7" w14:textId="77777777" w:rsidR="00927B43" w:rsidRPr="00D54FFA" w:rsidRDefault="00927B43" w:rsidP="00D54FFA">
      <w:pPr>
        <w:autoSpaceDE w:val="0"/>
        <w:autoSpaceDN w:val="0"/>
        <w:adjustRightInd w:val="0"/>
        <w:ind w:left="851"/>
        <w:rPr>
          <w:b/>
          <w:bCs/>
          <w:sz w:val="24"/>
          <w:szCs w:val="24"/>
        </w:rPr>
      </w:pPr>
    </w:p>
    <w:p w14:paraId="04D0888A" w14:textId="77777777" w:rsidR="00927B43" w:rsidRPr="00D54FFA" w:rsidRDefault="00927B43" w:rsidP="00D54FFA">
      <w:pPr>
        <w:autoSpaceDE w:val="0"/>
        <w:autoSpaceDN w:val="0"/>
        <w:adjustRightInd w:val="0"/>
        <w:ind w:left="851"/>
        <w:rPr>
          <w:sz w:val="24"/>
          <w:szCs w:val="24"/>
          <w:u w:val="single"/>
        </w:rPr>
      </w:pPr>
      <w:r w:rsidRPr="00D54FFA">
        <w:rPr>
          <w:sz w:val="24"/>
          <w:szCs w:val="24"/>
          <w:u w:val="single"/>
        </w:rPr>
        <w:t>Farmakokinetik</w:t>
      </w:r>
    </w:p>
    <w:p w14:paraId="1FB8ECBE" w14:textId="77777777" w:rsidR="00927B43" w:rsidRPr="00D54FFA" w:rsidRDefault="00927B43" w:rsidP="00D54FFA">
      <w:pPr>
        <w:autoSpaceDE w:val="0"/>
        <w:autoSpaceDN w:val="0"/>
        <w:adjustRightInd w:val="0"/>
        <w:ind w:left="851"/>
        <w:rPr>
          <w:sz w:val="24"/>
          <w:szCs w:val="24"/>
        </w:rPr>
      </w:pPr>
      <w:r w:rsidRPr="00D54FFA">
        <w:rPr>
          <w:sz w:val="24"/>
          <w:szCs w:val="24"/>
        </w:rPr>
        <w:t>Data for plasmakoncentrationen af eltrombopag over tid, indsamlet hos 88 patienter med ITP, i studierne TRA100773A og TRA100773B, blev kombineret med data fra 111 raske voksne personer i en farmakokinetisk populationsanalyse. Plasma-eltrombopag-AUC(0-</w:t>
      </w:r>
      <w:r w:rsidRPr="00D54FFA">
        <w:rPr>
          <w:rFonts w:ascii="Symbol" w:hAnsi="Symbol"/>
          <w:sz w:val="24"/>
          <w:szCs w:val="24"/>
        </w:rPr>
        <w:t></w:t>
      </w:r>
      <w:r w:rsidRPr="00D54FFA">
        <w:rPr>
          <w:sz w:val="24"/>
          <w:szCs w:val="24"/>
        </w:rPr>
        <w:t>) - og C</w:t>
      </w:r>
      <w:r w:rsidRPr="00D54FFA">
        <w:rPr>
          <w:sz w:val="24"/>
          <w:szCs w:val="24"/>
          <w:vertAlign w:val="subscript"/>
        </w:rPr>
        <w:t>max</w:t>
      </w:r>
      <w:r w:rsidRPr="00D54FFA">
        <w:rPr>
          <w:sz w:val="24"/>
          <w:szCs w:val="24"/>
        </w:rPr>
        <w:t>-estimater for ITP-patienter er vist (tabel 8).</w:t>
      </w:r>
    </w:p>
    <w:p w14:paraId="1912BC47" w14:textId="47EE42A2" w:rsidR="00927B43" w:rsidRPr="00D54FFA" w:rsidRDefault="00927B43" w:rsidP="00D54FFA">
      <w:pPr>
        <w:ind w:left="851"/>
        <w:rPr>
          <w:b/>
          <w:bCs/>
          <w:sz w:val="24"/>
          <w:szCs w:val="24"/>
        </w:rPr>
      </w:pPr>
    </w:p>
    <w:p w14:paraId="7ECDA750" w14:textId="7DF109CD" w:rsidR="00927B43" w:rsidRDefault="00927B43" w:rsidP="00927B43">
      <w:pPr>
        <w:autoSpaceDE w:val="0"/>
        <w:autoSpaceDN w:val="0"/>
        <w:adjustRightInd w:val="0"/>
        <w:ind w:left="993" w:hanging="993"/>
        <w:rPr>
          <w:b/>
          <w:bCs/>
        </w:rPr>
      </w:pPr>
      <w:r>
        <w:rPr>
          <w:b/>
          <w:bCs/>
        </w:rPr>
        <w:lastRenderedPageBreak/>
        <w:t>Tabel 8</w:t>
      </w:r>
      <w:r w:rsidR="00D54FFA">
        <w:rPr>
          <w:b/>
          <w:bCs/>
        </w:rPr>
        <w:tab/>
      </w:r>
      <w:r>
        <w:rPr>
          <w:b/>
          <w:bCs/>
        </w:rPr>
        <w:t>Geometrisk middelværdi (95 % konfidensintervaller) for steady-state farmakokinetiske parametre i plasma for eltrombopag hos voksne med ITP</w:t>
      </w:r>
    </w:p>
    <w:p w14:paraId="329898C1" w14:textId="77777777" w:rsidR="00927B43" w:rsidRDefault="00927B43" w:rsidP="00927B43">
      <w:pPr>
        <w:autoSpaceDE w:val="0"/>
        <w:autoSpaceDN w:val="0"/>
        <w:adjustRightInd w:val="0"/>
        <w:ind w:left="993" w:hanging="993"/>
        <w:rPr>
          <w:b/>
          <w:bCs/>
          <w:highlight w:val="green"/>
        </w:rPr>
      </w:pPr>
    </w:p>
    <w:tbl>
      <w:tblPr>
        <w:tblStyle w:val="Tabel-Gitter"/>
        <w:tblW w:w="0" w:type="auto"/>
        <w:tblLook w:val="04A0" w:firstRow="1" w:lastRow="0" w:firstColumn="1" w:lastColumn="0" w:noHBand="0" w:noVBand="1"/>
      </w:tblPr>
      <w:tblGrid>
        <w:gridCol w:w="2123"/>
        <w:gridCol w:w="1274"/>
        <w:gridCol w:w="2552"/>
        <w:gridCol w:w="2545"/>
      </w:tblGrid>
      <w:tr w:rsidR="00927B43" w14:paraId="2945C0CE"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23290526" w14:textId="77777777" w:rsidR="00927B43" w:rsidRDefault="00927B43">
            <w:pPr>
              <w:autoSpaceDE w:val="0"/>
              <w:autoSpaceDN w:val="0"/>
              <w:adjustRightInd w:val="0"/>
              <w:jc w:val="center"/>
              <w:rPr>
                <w:b/>
                <w:bCs/>
              </w:rPr>
            </w:pPr>
            <w:r>
              <w:rPr>
                <w:b/>
                <w:bCs/>
              </w:rPr>
              <w:t>Eltrombopag-dosis,</w:t>
            </w:r>
          </w:p>
          <w:p w14:paraId="77B73EE5" w14:textId="77777777" w:rsidR="00927B43" w:rsidRDefault="00927B43">
            <w:pPr>
              <w:jc w:val="center"/>
              <w:rPr>
                <w:b/>
                <w:bCs/>
              </w:rPr>
            </w:pPr>
            <w:r>
              <w:rPr>
                <w:b/>
                <w:bCs/>
              </w:rPr>
              <w:t>Én gang daglig</w:t>
            </w:r>
          </w:p>
        </w:tc>
        <w:tc>
          <w:tcPr>
            <w:tcW w:w="1274" w:type="dxa"/>
            <w:tcBorders>
              <w:top w:val="single" w:sz="4" w:space="0" w:color="auto"/>
              <w:left w:val="single" w:sz="4" w:space="0" w:color="auto"/>
              <w:bottom w:val="single" w:sz="4" w:space="0" w:color="auto"/>
              <w:right w:val="single" w:sz="4" w:space="0" w:color="auto"/>
            </w:tcBorders>
            <w:hideMark/>
          </w:tcPr>
          <w:p w14:paraId="4BF4CAF5" w14:textId="77777777" w:rsidR="00927B43" w:rsidRDefault="00927B43">
            <w:pPr>
              <w:jc w:val="center"/>
              <w:rPr>
                <w:b/>
              </w:rPr>
            </w:pPr>
            <w:r>
              <w:rPr>
                <w:b/>
              </w:rPr>
              <w:t>N</w:t>
            </w:r>
          </w:p>
        </w:tc>
        <w:tc>
          <w:tcPr>
            <w:tcW w:w="2552" w:type="dxa"/>
            <w:tcBorders>
              <w:top w:val="single" w:sz="4" w:space="0" w:color="auto"/>
              <w:left w:val="single" w:sz="4" w:space="0" w:color="auto"/>
              <w:bottom w:val="single" w:sz="4" w:space="0" w:color="auto"/>
              <w:right w:val="single" w:sz="4" w:space="0" w:color="auto"/>
            </w:tcBorders>
            <w:hideMark/>
          </w:tcPr>
          <w:p w14:paraId="091AE4E9" w14:textId="77777777" w:rsidR="00927B43" w:rsidRDefault="00927B43">
            <w:pPr>
              <w:autoSpaceDE w:val="0"/>
              <w:autoSpaceDN w:val="0"/>
              <w:adjustRightInd w:val="0"/>
              <w:jc w:val="center"/>
              <w:rPr>
                <w:b/>
                <w:bCs/>
                <w:sz w:val="14"/>
                <w:szCs w:val="14"/>
              </w:rPr>
            </w:pPr>
            <w:r>
              <w:rPr>
                <w:b/>
                <w:bCs/>
              </w:rPr>
              <w:t>AUC</w:t>
            </w:r>
            <w:r>
              <w:rPr>
                <w:b/>
                <w:bCs/>
                <w:sz w:val="14"/>
                <w:szCs w:val="14"/>
              </w:rPr>
              <w:t>(0-</w:t>
            </w:r>
            <w:r>
              <w:rPr>
                <w:rFonts w:ascii="Symbol" w:hAnsi="Symbol"/>
                <w:sz w:val="14"/>
              </w:rPr>
              <w:t></w:t>
            </w:r>
            <w:r>
              <w:rPr>
                <w:b/>
                <w:bCs/>
                <w:sz w:val="14"/>
                <w:szCs w:val="14"/>
              </w:rPr>
              <w:t>)</w:t>
            </w:r>
            <w:r>
              <w:rPr>
                <w:b/>
                <w:bCs/>
                <w:vertAlign w:val="superscript"/>
              </w:rPr>
              <w:t>a,</w:t>
            </w:r>
            <w:r>
              <w:rPr>
                <w:b/>
                <w:bCs/>
                <w:sz w:val="14"/>
                <w:szCs w:val="14"/>
                <w:vertAlign w:val="superscript"/>
              </w:rPr>
              <w:t xml:space="preserve"> </w:t>
            </w:r>
            <w:r>
              <w:rPr>
                <w:b/>
                <w:bCs/>
                <w:sz w:val="14"/>
                <w:szCs w:val="14"/>
              </w:rPr>
              <w:t xml:space="preserve"> </w:t>
            </w:r>
            <w:r>
              <w:rPr>
                <w:rFonts w:eastAsia="SymbolMT"/>
              </w:rPr>
              <w:t>µ</w:t>
            </w:r>
            <w:r>
              <w:rPr>
                <w:b/>
                <w:bCs/>
              </w:rPr>
              <w:t>g.t/ml</w:t>
            </w:r>
          </w:p>
        </w:tc>
        <w:tc>
          <w:tcPr>
            <w:tcW w:w="2545" w:type="dxa"/>
            <w:tcBorders>
              <w:top w:val="single" w:sz="4" w:space="0" w:color="auto"/>
              <w:left w:val="single" w:sz="4" w:space="0" w:color="auto"/>
              <w:bottom w:val="single" w:sz="4" w:space="0" w:color="auto"/>
              <w:right w:val="single" w:sz="4" w:space="0" w:color="auto"/>
            </w:tcBorders>
            <w:hideMark/>
          </w:tcPr>
          <w:p w14:paraId="67CC7231" w14:textId="77777777" w:rsidR="00927B43" w:rsidRDefault="00927B43">
            <w:pPr>
              <w:autoSpaceDE w:val="0"/>
              <w:autoSpaceDN w:val="0"/>
              <w:adjustRightInd w:val="0"/>
              <w:jc w:val="center"/>
              <w:rPr>
                <w:b/>
                <w:bCs/>
                <w:sz w:val="14"/>
                <w:szCs w:val="14"/>
              </w:rPr>
            </w:pPr>
            <w:r>
              <w:rPr>
                <w:b/>
                <w:bCs/>
              </w:rPr>
              <w:t>C</w:t>
            </w:r>
            <w:r>
              <w:rPr>
                <w:b/>
                <w:bCs/>
                <w:sz w:val="14"/>
                <w:szCs w:val="14"/>
              </w:rPr>
              <w:t>max</w:t>
            </w:r>
            <w:r>
              <w:rPr>
                <w:b/>
                <w:bCs/>
                <w:vertAlign w:val="superscript"/>
              </w:rPr>
              <w:t>a</w:t>
            </w:r>
            <w:r>
              <w:rPr>
                <w:rFonts w:ascii="SymbolMT" w:eastAsia="SymbolMT" w:cs="SymbolMT" w:hint="eastAsia"/>
              </w:rPr>
              <w:t xml:space="preserve">, </w:t>
            </w:r>
            <w:r>
              <w:rPr>
                <w:rFonts w:eastAsia="SymbolMT"/>
              </w:rPr>
              <w:t>µ</w:t>
            </w:r>
            <w:r>
              <w:rPr>
                <w:b/>
                <w:bCs/>
              </w:rPr>
              <w:t>g/ml</w:t>
            </w:r>
          </w:p>
        </w:tc>
      </w:tr>
      <w:tr w:rsidR="00927B43" w14:paraId="52F98751"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7402741A" w14:textId="77777777" w:rsidR="00927B43" w:rsidRDefault="00927B43">
            <w:pPr>
              <w:jc w:val="center"/>
              <w:rPr>
                <w:b/>
                <w:sz w:val="22"/>
                <w:szCs w:val="22"/>
              </w:rPr>
            </w:pPr>
            <w:r>
              <w:t>30 mg</w:t>
            </w:r>
          </w:p>
        </w:tc>
        <w:tc>
          <w:tcPr>
            <w:tcW w:w="1274" w:type="dxa"/>
            <w:tcBorders>
              <w:top w:val="single" w:sz="4" w:space="0" w:color="auto"/>
              <w:left w:val="single" w:sz="4" w:space="0" w:color="auto"/>
              <w:bottom w:val="single" w:sz="4" w:space="0" w:color="auto"/>
              <w:right w:val="single" w:sz="4" w:space="0" w:color="auto"/>
            </w:tcBorders>
            <w:hideMark/>
          </w:tcPr>
          <w:p w14:paraId="1D2CFE69" w14:textId="77777777" w:rsidR="00927B43" w:rsidRDefault="00927B43">
            <w:pPr>
              <w:jc w:val="center"/>
              <w:rPr>
                <w:b/>
              </w:rPr>
            </w:pPr>
            <w:r>
              <w:t>28</w:t>
            </w:r>
          </w:p>
        </w:tc>
        <w:tc>
          <w:tcPr>
            <w:tcW w:w="2552" w:type="dxa"/>
            <w:tcBorders>
              <w:top w:val="single" w:sz="4" w:space="0" w:color="auto"/>
              <w:left w:val="single" w:sz="4" w:space="0" w:color="auto"/>
              <w:bottom w:val="single" w:sz="4" w:space="0" w:color="auto"/>
              <w:right w:val="single" w:sz="4" w:space="0" w:color="auto"/>
            </w:tcBorders>
            <w:hideMark/>
          </w:tcPr>
          <w:p w14:paraId="6228CA73" w14:textId="77777777" w:rsidR="00927B43" w:rsidRDefault="00927B43">
            <w:pPr>
              <w:jc w:val="center"/>
              <w:rPr>
                <w:b/>
              </w:rPr>
            </w:pPr>
            <w:r>
              <w:t>47 (39, 58)</w:t>
            </w:r>
          </w:p>
        </w:tc>
        <w:tc>
          <w:tcPr>
            <w:tcW w:w="2545" w:type="dxa"/>
            <w:tcBorders>
              <w:top w:val="single" w:sz="4" w:space="0" w:color="auto"/>
              <w:left w:val="single" w:sz="4" w:space="0" w:color="auto"/>
              <w:bottom w:val="single" w:sz="4" w:space="0" w:color="auto"/>
              <w:right w:val="single" w:sz="4" w:space="0" w:color="auto"/>
            </w:tcBorders>
            <w:hideMark/>
          </w:tcPr>
          <w:p w14:paraId="51EB827B" w14:textId="77777777" w:rsidR="00927B43" w:rsidRDefault="00927B43">
            <w:pPr>
              <w:jc w:val="center"/>
              <w:rPr>
                <w:b/>
              </w:rPr>
            </w:pPr>
            <w:r>
              <w:t>3,78 (3,18, 4,49)</w:t>
            </w:r>
          </w:p>
        </w:tc>
      </w:tr>
      <w:tr w:rsidR="00927B43" w14:paraId="40D8ED12"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49C91813" w14:textId="77777777" w:rsidR="00927B43" w:rsidRDefault="00927B43">
            <w:pPr>
              <w:jc w:val="center"/>
              <w:rPr>
                <w:b/>
              </w:rPr>
            </w:pPr>
            <w:r>
              <w:t>50 mg</w:t>
            </w:r>
          </w:p>
        </w:tc>
        <w:tc>
          <w:tcPr>
            <w:tcW w:w="1274" w:type="dxa"/>
            <w:tcBorders>
              <w:top w:val="single" w:sz="4" w:space="0" w:color="auto"/>
              <w:left w:val="single" w:sz="4" w:space="0" w:color="auto"/>
              <w:bottom w:val="single" w:sz="4" w:space="0" w:color="auto"/>
              <w:right w:val="single" w:sz="4" w:space="0" w:color="auto"/>
            </w:tcBorders>
            <w:hideMark/>
          </w:tcPr>
          <w:p w14:paraId="42AD6F16" w14:textId="77777777" w:rsidR="00927B43" w:rsidRDefault="00927B43">
            <w:pPr>
              <w:jc w:val="center"/>
              <w:rPr>
                <w:b/>
              </w:rPr>
            </w:pPr>
            <w:r>
              <w:t>34</w:t>
            </w:r>
          </w:p>
        </w:tc>
        <w:tc>
          <w:tcPr>
            <w:tcW w:w="2552" w:type="dxa"/>
            <w:tcBorders>
              <w:top w:val="single" w:sz="4" w:space="0" w:color="auto"/>
              <w:left w:val="single" w:sz="4" w:space="0" w:color="auto"/>
              <w:bottom w:val="single" w:sz="4" w:space="0" w:color="auto"/>
              <w:right w:val="single" w:sz="4" w:space="0" w:color="auto"/>
            </w:tcBorders>
            <w:hideMark/>
          </w:tcPr>
          <w:p w14:paraId="128B8533" w14:textId="77777777" w:rsidR="00927B43" w:rsidRDefault="00927B43">
            <w:pPr>
              <w:jc w:val="center"/>
              <w:rPr>
                <w:b/>
              </w:rPr>
            </w:pPr>
            <w:r>
              <w:t>108 (88, 134)</w:t>
            </w:r>
          </w:p>
        </w:tc>
        <w:tc>
          <w:tcPr>
            <w:tcW w:w="2545" w:type="dxa"/>
            <w:tcBorders>
              <w:top w:val="single" w:sz="4" w:space="0" w:color="auto"/>
              <w:left w:val="single" w:sz="4" w:space="0" w:color="auto"/>
              <w:bottom w:val="single" w:sz="4" w:space="0" w:color="auto"/>
              <w:right w:val="single" w:sz="4" w:space="0" w:color="auto"/>
            </w:tcBorders>
            <w:hideMark/>
          </w:tcPr>
          <w:p w14:paraId="0D819FB7" w14:textId="77777777" w:rsidR="00927B43" w:rsidRDefault="00927B43">
            <w:pPr>
              <w:jc w:val="center"/>
              <w:rPr>
                <w:b/>
              </w:rPr>
            </w:pPr>
            <w:r>
              <w:t>8,01 (6,73, 9,53)</w:t>
            </w:r>
          </w:p>
        </w:tc>
      </w:tr>
      <w:tr w:rsidR="00927B43" w14:paraId="52454631"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5D0BB137" w14:textId="77777777" w:rsidR="00927B43" w:rsidRDefault="00927B43">
            <w:pPr>
              <w:jc w:val="center"/>
              <w:rPr>
                <w:b/>
              </w:rPr>
            </w:pPr>
            <w:r>
              <w:t>75 mg</w:t>
            </w:r>
          </w:p>
        </w:tc>
        <w:tc>
          <w:tcPr>
            <w:tcW w:w="1274" w:type="dxa"/>
            <w:tcBorders>
              <w:top w:val="single" w:sz="4" w:space="0" w:color="auto"/>
              <w:left w:val="single" w:sz="4" w:space="0" w:color="auto"/>
              <w:bottom w:val="single" w:sz="4" w:space="0" w:color="auto"/>
              <w:right w:val="single" w:sz="4" w:space="0" w:color="auto"/>
            </w:tcBorders>
            <w:hideMark/>
          </w:tcPr>
          <w:p w14:paraId="249A777B" w14:textId="77777777" w:rsidR="00927B43" w:rsidRDefault="00927B43">
            <w:pPr>
              <w:jc w:val="center"/>
            </w:pPr>
            <w:r>
              <w:t>26</w:t>
            </w:r>
          </w:p>
        </w:tc>
        <w:tc>
          <w:tcPr>
            <w:tcW w:w="2552" w:type="dxa"/>
            <w:tcBorders>
              <w:top w:val="single" w:sz="4" w:space="0" w:color="auto"/>
              <w:left w:val="single" w:sz="4" w:space="0" w:color="auto"/>
              <w:bottom w:val="single" w:sz="4" w:space="0" w:color="auto"/>
              <w:right w:val="single" w:sz="4" w:space="0" w:color="auto"/>
            </w:tcBorders>
            <w:hideMark/>
          </w:tcPr>
          <w:p w14:paraId="54E65DC2" w14:textId="77777777" w:rsidR="00927B43" w:rsidRDefault="00927B43">
            <w:pPr>
              <w:jc w:val="center"/>
              <w:rPr>
                <w:b/>
              </w:rPr>
            </w:pPr>
            <w:r>
              <w:t>168 (143, 198)</w:t>
            </w:r>
          </w:p>
        </w:tc>
        <w:tc>
          <w:tcPr>
            <w:tcW w:w="2545" w:type="dxa"/>
            <w:tcBorders>
              <w:top w:val="single" w:sz="4" w:space="0" w:color="auto"/>
              <w:left w:val="single" w:sz="4" w:space="0" w:color="auto"/>
              <w:bottom w:val="single" w:sz="4" w:space="0" w:color="auto"/>
              <w:right w:val="single" w:sz="4" w:space="0" w:color="auto"/>
            </w:tcBorders>
            <w:hideMark/>
          </w:tcPr>
          <w:p w14:paraId="24A7BE89" w14:textId="77777777" w:rsidR="00927B43" w:rsidRDefault="00927B43">
            <w:pPr>
              <w:jc w:val="center"/>
              <w:rPr>
                <w:b/>
              </w:rPr>
            </w:pPr>
            <w:r>
              <w:t>12,7 (11,0, 14,5)</w:t>
            </w:r>
          </w:p>
        </w:tc>
      </w:tr>
    </w:tbl>
    <w:p w14:paraId="46A29706" w14:textId="77777777" w:rsidR="00927B43" w:rsidRPr="00D54FFA" w:rsidRDefault="00927B43" w:rsidP="00927B43">
      <w:pPr>
        <w:rPr>
          <w:sz w:val="20"/>
        </w:rPr>
      </w:pPr>
      <w:r w:rsidRPr="00D54FFA">
        <w:rPr>
          <w:sz w:val="20"/>
        </w:rPr>
        <w:t>a      AUC</w:t>
      </w:r>
      <w:r w:rsidRPr="00D54FFA">
        <w:rPr>
          <w:rFonts w:ascii="Symbol" w:hAnsi="Symbol"/>
          <w:sz w:val="20"/>
          <w:vertAlign w:val="subscript"/>
        </w:rPr>
        <w:t></w:t>
      </w:r>
      <w:r w:rsidRPr="00D54FFA">
        <w:rPr>
          <w:rFonts w:ascii="Symbol" w:hAnsi="Symbol"/>
          <w:sz w:val="20"/>
          <w:vertAlign w:val="subscript"/>
        </w:rPr>
        <w:t></w:t>
      </w:r>
      <w:r w:rsidRPr="00D54FFA">
        <w:rPr>
          <w:rFonts w:ascii="Symbol" w:hAnsi="Symbol"/>
          <w:sz w:val="20"/>
          <w:vertAlign w:val="subscript"/>
        </w:rPr>
        <w:t></w:t>
      </w:r>
      <w:r w:rsidRPr="00D54FFA">
        <w:rPr>
          <w:rFonts w:ascii="Symbol" w:hAnsi="Symbol"/>
          <w:sz w:val="20"/>
          <w:vertAlign w:val="subscript"/>
        </w:rPr>
        <w:t></w:t>
      </w:r>
      <w:r w:rsidRPr="00D54FFA">
        <w:rPr>
          <w:rFonts w:ascii="Symbol" w:hAnsi="Symbol"/>
          <w:sz w:val="20"/>
          <w:vertAlign w:val="subscript"/>
        </w:rPr>
        <w:t></w:t>
      </w:r>
      <w:r w:rsidRPr="00D54FFA">
        <w:rPr>
          <w:sz w:val="20"/>
        </w:rPr>
        <w:t xml:space="preserve"> og C</w:t>
      </w:r>
      <w:r w:rsidRPr="00D54FFA">
        <w:rPr>
          <w:sz w:val="20"/>
          <w:vertAlign w:val="subscript"/>
        </w:rPr>
        <w:t>max</w:t>
      </w:r>
      <w:r w:rsidRPr="00D54FFA">
        <w:rPr>
          <w:sz w:val="20"/>
        </w:rPr>
        <w:t xml:space="preserve"> baseret på farmakokinetisk populations post-hoc-estimater.</w:t>
      </w:r>
    </w:p>
    <w:p w14:paraId="6688971F" w14:textId="77777777" w:rsidR="00927B43" w:rsidRDefault="00927B43" w:rsidP="00927B43">
      <w:pPr>
        <w:rPr>
          <w:highlight w:val="green"/>
        </w:rPr>
      </w:pPr>
    </w:p>
    <w:p w14:paraId="211A6737" w14:textId="77777777" w:rsidR="00927B43" w:rsidRPr="00D54FFA" w:rsidRDefault="00927B43" w:rsidP="00D54FFA">
      <w:pPr>
        <w:autoSpaceDE w:val="0"/>
        <w:autoSpaceDN w:val="0"/>
        <w:adjustRightInd w:val="0"/>
        <w:ind w:left="851"/>
        <w:rPr>
          <w:sz w:val="24"/>
          <w:szCs w:val="24"/>
        </w:rPr>
      </w:pPr>
      <w:r w:rsidRPr="00D54FFA">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D54FFA">
        <w:rPr>
          <w:sz w:val="24"/>
          <w:szCs w:val="24"/>
          <w:vertAlign w:val="subscript"/>
        </w:rPr>
        <w:t>max</w:t>
      </w:r>
      <w:r w:rsidRPr="00D54FFA">
        <w:rPr>
          <w:sz w:val="24"/>
          <w:szCs w:val="24"/>
        </w:rPr>
        <w:t>- og 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-estimater for patienter med HCV, der var inkluderet i fase III-studierne, er for hver undersøgt dosis vist i tabel 9.</w:t>
      </w:r>
    </w:p>
    <w:p w14:paraId="0CF6727D" w14:textId="77777777" w:rsidR="00927B43" w:rsidRDefault="00927B43" w:rsidP="00927B43">
      <w:pPr>
        <w:autoSpaceDE w:val="0"/>
        <w:autoSpaceDN w:val="0"/>
        <w:adjustRightInd w:val="0"/>
        <w:rPr>
          <w:sz w:val="6"/>
          <w:highlight w:val="green"/>
        </w:rPr>
      </w:pPr>
    </w:p>
    <w:p w14:paraId="6592E027" w14:textId="77777777" w:rsidR="00927B43" w:rsidRDefault="00927B43" w:rsidP="00927B43">
      <w:pPr>
        <w:autoSpaceDE w:val="0"/>
        <w:autoSpaceDN w:val="0"/>
        <w:adjustRightInd w:val="0"/>
        <w:jc w:val="both"/>
        <w:rPr>
          <w:sz w:val="2"/>
          <w:highlight w:val="green"/>
        </w:rPr>
      </w:pPr>
    </w:p>
    <w:p w14:paraId="4EAE2197" w14:textId="77777777" w:rsidR="00927B43" w:rsidRDefault="00927B43" w:rsidP="00927B43">
      <w:pPr>
        <w:autoSpaceDE w:val="0"/>
        <w:autoSpaceDN w:val="0"/>
        <w:adjustRightInd w:val="0"/>
        <w:rPr>
          <w:b/>
          <w:bCs/>
          <w:sz w:val="4"/>
          <w:highlight w:val="green"/>
        </w:rPr>
      </w:pPr>
    </w:p>
    <w:p w14:paraId="094B8D81" w14:textId="6C760479" w:rsidR="00927B43" w:rsidRDefault="00927B43" w:rsidP="00927B43">
      <w:pPr>
        <w:autoSpaceDE w:val="0"/>
        <w:autoSpaceDN w:val="0"/>
        <w:adjustRightInd w:val="0"/>
        <w:ind w:left="993" w:hanging="993"/>
        <w:rPr>
          <w:b/>
          <w:bCs/>
          <w:sz w:val="22"/>
        </w:rPr>
      </w:pPr>
      <w:r>
        <w:rPr>
          <w:b/>
          <w:bCs/>
        </w:rPr>
        <w:t>Tabel 9</w:t>
      </w:r>
      <w:r w:rsidR="00D54FFA">
        <w:rPr>
          <w:b/>
          <w:bCs/>
        </w:rPr>
        <w:tab/>
      </w:r>
      <w:r>
        <w:rPr>
          <w:b/>
          <w:bCs/>
        </w:rPr>
        <w:t>Geometrisk middelværdi (95 % konfidensinterval) for steady-state farmakokinetiske parametre i plasma for eltrombopag hos patienter med kronisk HCV</w:t>
      </w:r>
    </w:p>
    <w:p w14:paraId="328033B4" w14:textId="77777777" w:rsidR="00927B43" w:rsidRDefault="00927B43" w:rsidP="00927B43">
      <w:pPr>
        <w:autoSpaceDE w:val="0"/>
        <w:autoSpaceDN w:val="0"/>
        <w:adjustRightInd w:val="0"/>
        <w:ind w:left="993" w:hanging="993"/>
        <w:rPr>
          <w:b/>
          <w:bCs/>
          <w:highlight w:val="green"/>
        </w:rPr>
      </w:pPr>
    </w:p>
    <w:tbl>
      <w:tblPr>
        <w:tblStyle w:val="Tabel-Gitter"/>
        <w:tblW w:w="0" w:type="auto"/>
        <w:tblLook w:val="04A0" w:firstRow="1" w:lastRow="0" w:firstColumn="1" w:lastColumn="0" w:noHBand="0" w:noVBand="1"/>
      </w:tblPr>
      <w:tblGrid>
        <w:gridCol w:w="2123"/>
        <w:gridCol w:w="1700"/>
        <w:gridCol w:w="2547"/>
        <w:gridCol w:w="2124"/>
      </w:tblGrid>
      <w:tr w:rsidR="00927B43" w14:paraId="1E6F27D8"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7B4C4FD0" w14:textId="77777777" w:rsidR="00927B43" w:rsidRDefault="00927B43">
            <w:pPr>
              <w:autoSpaceDE w:val="0"/>
              <w:autoSpaceDN w:val="0"/>
              <w:adjustRightInd w:val="0"/>
              <w:jc w:val="center"/>
              <w:rPr>
                <w:b/>
                <w:bCs/>
              </w:rPr>
            </w:pPr>
            <w:r>
              <w:rPr>
                <w:b/>
                <w:bCs/>
              </w:rPr>
              <w:t>Eltrombopag-dosis</w:t>
            </w:r>
          </w:p>
          <w:p w14:paraId="399ECD15" w14:textId="77777777" w:rsidR="00927B43" w:rsidRDefault="00927B43">
            <w:pPr>
              <w:jc w:val="center"/>
              <w:rPr>
                <w:b/>
              </w:rPr>
            </w:pPr>
            <w:r>
              <w:rPr>
                <w:b/>
                <w:bCs/>
              </w:rPr>
              <w:t>(én gang daglig)</w:t>
            </w:r>
          </w:p>
        </w:tc>
        <w:tc>
          <w:tcPr>
            <w:tcW w:w="1700" w:type="dxa"/>
            <w:tcBorders>
              <w:top w:val="single" w:sz="4" w:space="0" w:color="auto"/>
              <w:left w:val="single" w:sz="4" w:space="0" w:color="auto"/>
              <w:bottom w:val="single" w:sz="4" w:space="0" w:color="auto"/>
              <w:right w:val="single" w:sz="4" w:space="0" w:color="auto"/>
            </w:tcBorders>
            <w:hideMark/>
          </w:tcPr>
          <w:p w14:paraId="1C2E7579" w14:textId="77777777" w:rsidR="00927B43" w:rsidRDefault="00927B43">
            <w:pPr>
              <w:jc w:val="center"/>
              <w:rPr>
                <w:b/>
              </w:rPr>
            </w:pPr>
            <w:r>
              <w:rPr>
                <w:b/>
                <w:bCs/>
              </w:rPr>
              <w:t>N</w:t>
            </w:r>
          </w:p>
        </w:tc>
        <w:tc>
          <w:tcPr>
            <w:tcW w:w="2547" w:type="dxa"/>
            <w:tcBorders>
              <w:top w:val="single" w:sz="4" w:space="0" w:color="auto"/>
              <w:left w:val="single" w:sz="4" w:space="0" w:color="auto"/>
              <w:bottom w:val="single" w:sz="4" w:space="0" w:color="auto"/>
              <w:right w:val="single" w:sz="4" w:space="0" w:color="auto"/>
            </w:tcBorders>
            <w:hideMark/>
          </w:tcPr>
          <w:p w14:paraId="3D5D6A70" w14:textId="77777777" w:rsidR="00927B43" w:rsidRDefault="00927B43">
            <w:pPr>
              <w:autoSpaceDE w:val="0"/>
              <w:autoSpaceDN w:val="0"/>
              <w:adjustRightInd w:val="0"/>
              <w:jc w:val="center"/>
              <w:rPr>
                <w:b/>
                <w:bCs/>
                <w:sz w:val="14"/>
                <w:szCs w:val="14"/>
              </w:rPr>
            </w:pPr>
            <w:r>
              <w:rPr>
                <w:b/>
                <w:bCs/>
              </w:rPr>
              <w:t>AUC</w:t>
            </w:r>
            <w:r>
              <w:rPr>
                <w:b/>
                <w:bCs/>
                <w:vertAlign w:val="subscript"/>
              </w:rPr>
              <w:t xml:space="preserve"> (0-</w:t>
            </w:r>
            <w:r>
              <w:rPr>
                <w:rFonts w:ascii="Symbol" w:hAnsi="Symbol"/>
                <w:vertAlign w:val="subscript"/>
              </w:rPr>
              <w:t></w:t>
            </w:r>
            <w:r>
              <w:rPr>
                <w:b/>
                <w:bCs/>
                <w:vertAlign w:val="subscript"/>
              </w:rPr>
              <w:t>)</w:t>
            </w:r>
          </w:p>
          <w:p w14:paraId="43C92F77" w14:textId="77777777" w:rsidR="00927B43" w:rsidRDefault="00927B43">
            <w:pPr>
              <w:jc w:val="center"/>
              <w:rPr>
                <w:b/>
                <w:sz w:val="22"/>
                <w:szCs w:val="22"/>
              </w:rPr>
            </w:pPr>
            <w:r>
              <w:rPr>
                <w:b/>
                <w:bCs/>
              </w:rPr>
              <w:t>(</w:t>
            </w:r>
            <w:r>
              <w:rPr>
                <w:rFonts w:eastAsia="SymbolMT"/>
              </w:rPr>
              <w:t>µ</w:t>
            </w:r>
            <w:r>
              <w:rPr>
                <w:b/>
                <w:bCs/>
              </w:rPr>
              <w:t>g.t/ml)</w:t>
            </w:r>
          </w:p>
        </w:tc>
        <w:tc>
          <w:tcPr>
            <w:tcW w:w="2124" w:type="dxa"/>
            <w:tcBorders>
              <w:top w:val="single" w:sz="4" w:space="0" w:color="auto"/>
              <w:left w:val="single" w:sz="4" w:space="0" w:color="auto"/>
              <w:bottom w:val="single" w:sz="4" w:space="0" w:color="auto"/>
              <w:right w:val="single" w:sz="4" w:space="0" w:color="auto"/>
            </w:tcBorders>
            <w:hideMark/>
          </w:tcPr>
          <w:p w14:paraId="182ECDD6" w14:textId="77777777" w:rsidR="00927B43" w:rsidRDefault="00927B43">
            <w:pPr>
              <w:autoSpaceDE w:val="0"/>
              <w:autoSpaceDN w:val="0"/>
              <w:adjustRightInd w:val="0"/>
              <w:jc w:val="center"/>
              <w:rPr>
                <w:b/>
                <w:bCs/>
                <w:sz w:val="14"/>
                <w:szCs w:val="14"/>
              </w:rPr>
            </w:pPr>
            <w:r>
              <w:rPr>
                <w:b/>
                <w:bCs/>
              </w:rPr>
              <w:t>C</w:t>
            </w:r>
            <w:r>
              <w:rPr>
                <w:b/>
                <w:bCs/>
                <w:sz w:val="14"/>
                <w:szCs w:val="14"/>
              </w:rPr>
              <w:t>max</w:t>
            </w:r>
          </w:p>
          <w:p w14:paraId="569B49E8" w14:textId="77777777" w:rsidR="00927B43" w:rsidRDefault="00927B43">
            <w:pPr>
              <w:jc w:val="center"/>
              <w:rPr>
                <w:b/>
                <w:sz w:val="22"/>
                <w:szCs w:val="22"/>
              </w:rPr>
            </w:pPr>
            <w:r>
              <w:rPr>
                <w:b/>
                <w:bCs/>
              </w:rPr>
              <w:t>(</w:t>
            </w:r>
            <w:r>
              <w:rPr>
                <w:rFonts w:eastAsia="SymbolMT"/>
              </w:rPr>
              <w:t>µ</w:t>
            </w:r>
            <w:r>
              <w:rPr>
                <w:b/>
                <w:bCs/>
              </w:rPr>
              <w:t>g/ml)</w:t>
            </w:r>
          </w:p>
        </w:tc>
      </w:tr>
      <w:tr w:rsidR="00927B43" w14:paraId="00CD01E4"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295845CA" w14:textId="77777777" w:rsidR="00927B43" w:rsidRDefault="00927B43">
            <w:pPr>
              <w:jc w:val="center"/>
              <w:rPr>
                <w:b/>
              </w:rPr>
            </w:pPr>
            <w:r>
              <w:t>25 mg</w:t>
            </w:r>
          </w:p>
        </w:tc>
        <w:tc>
          <w:tcPr>
            <w:tcW w:w="1700" w:type="dxa"/>
            <w:tcBorders>
              <w:top w:val="single" w:sz="4" w:space="0" w:color="auto"/>
              <w:left w:val="single" w:sz="4" w:space="0" w:color="auto"/>
              <w:bottom w:val="single" w:sz="4" w:space="0" w:color="auto"/>
              <w:right w:val="single" w:sz="4" w:space="0" w:color="auto"/>
            </w:tcBorders>
            <w:hideMark/>
          </w:tcPr>
          <w:p w14:paraId="3A7A1253" w14:textId="77777777" w:rsidR="00927B43" w:rsidRDefault="00927B43">
            <w:pPr>
              <w:jc w:val="center"/>
              <w:rPr>
                <w:b/>
              </w:rPr>
            </w:pPr>
            <w:r>
              <w:t>330</w:t>
            </w:r>
          </w:p>
        </w:tc>
        <w:tc>
          <w:tcPr>
            <w:tcW w:w="2547" w:type="dxa"/>
            <w:tcBorders>
              <w:top w:val="single" w:sz="4" w:space="0" w:color="auto"/>
              <w:left w:val="single" w:sz="4" w:space="0" w:color="auto"/>
              <w:bottom w:val="single" w:sz="4" w:space="0" w:color="auto"/>
              <w:right w:val="single" w:sz="4" w:space="0" w:color="auto"/>
            </w:tcBorders>
            <w:hideMark/>
          </w:tcPr>
          <w:p w14:paraId="781DDFFA" w14:textId="77777777" w:rsidR="00927B43" w:rsidRDefault="00927B43">
            <w:pPr>
              <w:autoSpaceDE w:val="0"/>
              <w:autoSpaceDN w:val="0"/>
              <w:adjustRightInd w:val="0"/>
              <w:jc w:val="center"/>
            </w:pPr>
            <w:r>
              <w:t>118</w:t>
            </w:r>
          </w:p>
          <w:p w14:paraId="2D267441" w14:textId="77777777" w:rsidR="00927B43" w:rsidRDefault="00927B43">
            <w:pPr>
              <w:jc w:val="center"/>
              <w:rPr>
                <w:b/>
              </w:rPr>
            </w:pPr>
            <w:r>
              <w:t>(109, 128)</w:t>
            </w:r>
          </w:p>
        </w:tc>
        <w:tc>
          <w:tcPr>
            <w:tcW w:w="2124" w:type="dxa"/>
            <w:tcBorders>
              <w:top w:val="single" w:sz="4" w:space="0" w:color="auto"/>
              <w:left w:val="single" w:sz="4" w:space="0" w:color="auto"/>
              <w:bottom w:val="single" w:sz="4" w:space="0" w:color="auto"/>
              <w:right w:val="single" w:sz="4" w:space="0" w:color="auto"/>
            </w:tcBorders>
            <w:hideMark/>
          </w:tcPr>
          <w:p w14:paraId="3746B3F6" w14:textId="77777777" w:rsidR="00927B43" w:rsidRDefault="00927B43">
            <w:pPr>
              <w:autoSpaceDE w:val="0"/>
              <w:autoSpaceDN w:val="0"/>
              <w:adjustRightInd w:val="0"/>
              <w:jc w:val="center"/>
            </w:pPr>
            <w:r>
              <w:t>6,40</w:t>
            </w:r>
          </w:p>
          <w:p w14:paraId="2E72AFBF" w14:textId="77777777" w:rsidR="00927B43" w:rsidRDefault="00927B43">
            <w:pPr>
              <w:jc w:val="center"/>
              <w:rPr>
                <w:b/>
              </w:rPr>
            </w:pPr>
            <w:r>
              <w:t>(5,97, 6,86)</w:t>
            </w:r>
          </w:p>
        </w:tc>
      </w:tr>
      <w:tr w:rsidR="00927B43" w14:paraId="1835943C"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53CE3097" w14:textId="77777777" w:rsidR="00927B43" w:rsidRDefault="00927B43">
            <w:pPr>
              <w:jc w:val="center"/>
              <w:rPr>
                <w:b/>
              </w:rPr>
            </w:pPr>
            <w:r>
              <w:t>50 mg</w:t>
            </w:r>
          </w:p>
        </w:tc>
        <w:tc>
          <w:tcPr>
            <w:tcW w:w="1700" w:type="dxa"/>
            <w:tcBorders>
              <w:top w:val="single" w:sz="4" w:space="0" w:color="auto"/>
              <w:left w:val="single" w:sz="4" w:space="0" w:color="auto"/>
              <w:bottom w:val="single" w:sz="4" w:space="0" w:color="auto"/>
              <w:right w:val="single" w:sz="4" w:space="0" w:color="auto"/>
            </w:tcBorders>
            <w:hideMark/>
          </w:tcPr>
          <w:p w14:paraId="282AE381" w14:textId="77777777" w:rsidR="00927B43" w:rsidRDefault="00927B43">
            <w:pPr>
              <w:jc w:val="center"/>
              <w:rPr>
                <w:b/>
              </w:rPr>
            </w:pPr>
            <w:r>
              <w:t>119</w:t>
            </w:r>
          </w:p>
        </w:tc>
        <w:tc>
          <w:tcPr>
            <w:tcW w:w="2547" w:type="dxa"/>
            <w:tcBorders>
              <w:top w:val="single" w:sz="4" w:space="0" w:color="auto"/>
              <w:left w:val="single" w:sz="4" w:space="0" w:color="auto"/>
              <w:bottom w:val="single" w:sz="4" w:space="0" w:color="auto"/>
              <w:right w:val="single" w:sz="4" w:space="0" w:color="auto"/>
            </w:tcBorders>
            <w:hideMark/>
          </w:tcPr>
          <w:p w14:paraId="10669838" w14:textId="77777777" w:rsidR="00927B43" w:rsidRDefault="00927B43">
            <w:pPr>
              <w:autoSpaceDE w:val="0"/>
              <w:autoSpaceDN w:val="0"/>
              <w:adjustRightInd w:val="0"/>
              <w:jc w:val="center"/>
            </w:pPr>
            <w:r>
              <w:t>166</w:t>
            </w:r>
          </w:p>
          <w:p w14:paraId="4AEA5357" w14:textId="77777777" w:rsidR="00927B43" w:rsidRDefault="00927B43">
            <w:pPr>
              <w:jc w:val="center"/>
              <w:rPr>
                <w:b/>
              </w:rPr>
            </w:pPr>
            <w:r>
              <w:t>(143, 192)</w:t>
            </w:r>
          </w:p>
        </w:tc>
        <w:tc>
          <w:tcPr>
            <w:tcW w:w="2124" w:type="dxa"/>
            <w:tcBorders>
              <w:top w:val="single" w:sz="4" w:space="0" w:color="auto"/>
              <w:left w:val="single" w:sz="4" w:space="0" w:color="auto"/>
              <w:bottom w:val="single" w:sz="4" w:space="0" w:color="auto"/>
              <w:right w:val="single" w:sz="4" w:space="0" w:color="auto"/>
            </w:tcBorders>
            <w:hideMark/>
          </w:tcPr>
          <w:p w14:paraId="1A8C16E3" w14:textId="77777777" w:rsidR="00927B43" w:rsidRDefault="00927B43">
            <w:pPr>
              <w:autoSpaceDE w:val="0"/>
              <w:autoSpaceDN w:val="0"/>
              <w:adjustRightInd w:val="0"/>
              <w:jc w:val="center"/>
            </w:pPr>
            <w:r>
              <w:t>9,08</w:t>
            </w:r>
          </w:p>
          <w:p w14:paraId="0B56B39F" w14:textId="77777777" w:rsidR="00927B43" w:rsidRDefault="00927B43">
            <w:pPr>
              <w:jc w:val="center"/>
              <w:rPr>
                <w:b/>
              </w:rPr>
            </w:pPr>
            <w:r>
              <w:t>(7,96, 10,35)</w:t>
            </w:r>
          </w:p>
        </w:tc>
      </w:tr>
      <w:tr w:rsidR="00927B43" w14:paraId="359FB542"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5A84817C" w14:textId="77777777" w:rsidR="00927B43" w:rsidRDefault="00927B43">
            <w:pPr>
              <w:jc w:val="center"/>
              <w:rPr>
                <w:b/>
              </w:rPr>
            </w:pPr>
            <w:r>
              <w:t>75 mg</w:t>
            </w:r>
          </w:p>
        </w:tc>
        <w:tc>
          <w:tcPr>
            <w:tcW w:w="1700" w:type="dxa"/>
            <w:tcBorders>
              <w:top w:val="single" w:sz="4" w:space="0" w:color="auto"/>
              <w:left w:val="single" w:sz="4" w:space="0" w:color="auto"/>
              <w:bottom w:val="single" w:sz="4" w:space="0" w:color="auto"/>
              <w:right w:val="single" w:sz="4" w:space="0" w:color="auto"/>
            </w:tcBorders>
            <w:hideMark/>
          </w:tcPr>
          <w:p w14:paraId="28685B06" w14:textId="77777777" w:rsidR="00927B43" w:rsidRDefault="00927B43">
            <w:pPr>
              <w:jc w:val="center"/>
              <w:rPr>
                <w:b/>
              </w:rPr>
            </w:pPr>
            <w:r>
              <w:t>45</w:t>
            </w:r>
          </w:p>
        </w:tc>
        <w:tc>
          <w:tcPr>
            <w:tcW w:w="2547" w:type="dxa"/>
            <w:tcBorders>
              <w:top w:val="single" w:sz="4" w:space="0" w:color="auto"/>
              <w:left w:val="single" w:sz="4" w:space="0" w:color="auto"/>
              <w:bottom w:val="single" w:sz="4" w:space="0" w:color="auto"/>
              <w:right w:val="single" w:sz="4" w:space="0" w:color="auto"/>
            </w:tcBorders>
            <w:hideMark/>
          </w:tcPr>
          <w:p w14:paraId="4678BB03" w14:textId="77777777" w:rsidR="00927B43" w:rsidRDefault="00927B43">
            <w:pPr>
              <w:autoSpaceDE w:val="0"/>
              <w:autoSpaceDN w:val="0"/>
              <w:adjustRightInd w:val="0"/>
              <w:jc w:val="center"/>
            </w:pPr>
            <w:r>
              <w:t>301</w:t>
            </w:r>
          </w:p>
          <w:p w14:paraId="20AB4705" w14:textId="77777777" w:rsidR="00927B43" w:rsidRDefault="00927B43">
            <w:pPr>
              <w:jc w:val="center"/>
              <w:rPr>
                <w:b/>
              </w:rPr>
            </w:pPr>
            <w:r>
              <w:t>(250, 363)</w:t>
            </w:r>
          </w:p>
        </w:tc>
        <w:tc>
          <w:tcPr>
            <w:tcW w:w="2124" w:type="dxa"/>
            <w:tcBorders>
              <w:top w:val="single" w:sz="4" w:space="0" w:color="auto"/>
              <w:left w:val="single" w:sz="4" w:space="0" w:color="auto"/>
              <w:bottom w:val="single" w:sz="4" w:space="0" w:color="auto"/>
              <w:right w:val="single" w:sz="4" w:space="0" w:color="auto"/>
            </w:tcBorders>
            <w:hideMark/>
          </w:tcPr>
          <w:p w14:paraId="65D057FE" w14:textId="77777777" w:rsidR="00927B43" w:rsidRDefault="00927B43">
            <w:pPr>
              <w:autoSpaceDE w:val="0"/>
              <w:autoSpaceDN w:val="0"/>
              <w:adjustRightInd w:val="0"/>
              <w:jc w:val="center"/>
            </w:pPr>
            <w:r>
              <w:t>16,71</w:t>
            </w:r>
          </w:p>
          <w:p w14:paraId="04CC8890" w14:textId="77777777" w:rsidR="00927B43" w:rsidRDefault="00927B43">
            <w:pPr>
              <w:jc w:val="center"/>
              <w:rPr>
                <w:b/>
              </w:rPr>
            </w:pPr>
            <w:r>
              <w:t>(14,26, 19,58)</w:t>
            </w:r>
          </w:p>
        </w:tc>
      </w:tr>
      <w:tr w:rsidR="00927B43" w14:paraId="2DC13E5D" w14:textId="77777777" w:rsidTr="00927B43">
        <w:tc>
          <w:tcPr>
            <w:tcW w:w="2123" w:type="dxa"/>
            <w:tcBorders>
              <w:top w:val="single" w:sz="4" w:space="0" w:color="auto"/>
              <w:left w:val="single" w:sz="4" w:space="0" w:color="auto"/>
              <w:bottom w:val="single" w:sz="4" w:space="0" w:color="auto"/>
              <w:right w:val="single" w:sz="4" w:space="0" w:color="auto"/>
            </w:tcBorders>
            <w:hideMark/>
          </w:tcPr>
          <w:p w14:paraId="4AF9809D" w14:textId="77777777" w:rsidR="00927B43" w:rsidRDefault="00927B43">
            <w:pPr>
              <w:jc w:val="center"/>
              <w:rPr>
                <w:b/>
              </w:rPr>
            </w:pPr>
            <w:r>
              <w:t>100 mg</w:t>
            </w:r>
          </w:p>
        </w:tc>
        <w:tc>
          <w:tcPr>
            <w:tcW w:w="1700" w:type="dxa"/>
            <w:tcBorders>
              <w:top w:val="single" w:sz="4" w:space="0" w:color="auto"/>
              <w:left w:val="single" w:sz="4" w:space="0" w:color="auto"/>
              <w:bottom w:val="single" w:sz="4" w:space="0" w:color="auto"/>
              <w:right w:val="single" w:sz="4" w:space="0" w:color="auto"/>
            </w:tcBorders>
            <w:hideMark/>
          </w:tcPr>
          <w:p w14:paraId="60C7E67E" w14:textId="77777777" w:rsidR="00927B43" w:rsidRDefault="00927B43">
            <w:pPr>
              <w:jc w:val="center"/>
              <w:rPr>
                <w:b/>
              </w:rPr>
            </w:pPr>
            <w:r>
              <w:t>96</w:t>
            </w:r>
          </w:p>
        </w:tc>
        <w:tc>
          <w:tcPr>
            <w:tcW w:w="2547" w:type="dxa"/>
            <w:tcBorders>
              <w:top w:val="single" w:sz="4" w:space="0" w:color="auto"/>
              <w:left w:val="single" w:sz="4" w:space="0" w:color="auto"/>
              <w:bottom w:val="single" w:sz="4" w:space="0" w:color="auto"/>
              <w:right w:val="single" w:sz="4" w:space="0" w:color="auto"/>
            </w:tcBorders>
            <w:hideMark/>
          </w:tcPr>
          <w:p w14:paraId="6FE25958" w14:textId="77777777" w:rsidR="00927B43" w:rsidRDefault="00927B43">
            <w:pPr>
              <w:autoSpaceDE w:val="0"/>
              <w:autoSpaceDN w:val="0"/>
              <w:adjustRightInd w:val="0"/>
              <w:jc w:val="center"/>
            </w:pPr>
            <w:r>
              <w:t>354</w:t>
            </w:r>
          </w:p>
          <w:p w14:paraId="598A828C" w14:textId="77777777" w:rsidR="00927B43" w:rsidRDefault="00927B43">
            <w:pPr>
              <w:jc w:val="center"/>
              <w:rPr>
                <w:b/>
              </w:rPr>
            </w:pPr>
            <w:r>
              <w:t>(304, 411)</w:t>
            </w:r>
          </w:p>
        </w:tc>
        <w:tc>
          <w:tcPr>
            <w:tcW w:w="2124" w:type="dxa"/>
            <w:tcBorders>
              <w:top w:val="single" w:sz="4" w:space="0" w:color="auto"/>
              <w:left w:val="single" w:sz="4" w:space="0" w:color="auto"/>
              <w:bottom w:val="single" w:sz="4" w:space="0" w:color="auto"/>
              <w:right w:val="single" w:sz="4" w:space="0" w:color="auto"/>
            </w:tcBorders>
            <w:hideMark/>
          </w:tcPr>
          <w:p w14:paraId="31BF1F2F" w14:textId="77777777" w:rsidR="00927B43" w:rsidRDefault="00927B43">
            <w:pPr>
              <w:autoSpaceDE w:val="0"/>
              <w:autoSpaceDN w:val="0"/>
              <w:adjustRightInd w:val="0"/>
              <w:jc w:val="center"/>
            </w:pPr>
            <w:r>
              <w:t>19,19</w:t>
            </w:r>
          </w:p>
          <w:p w14:paraId="0C1C1E40" w14:textId="77777777" w:rsidR="00927B43" w:rsidRDefault="00927B43">
            <w:pPr>
              <w:jc w:val="center"/>
              <w:rPr>
                <w:b/>
              </w:rPr>
            </w:pPr>
            <w:r>
              <w:t>(16,81, 21,91)</w:t>
            </w:r>
          </w:p>
        </w:tc>
      </w:tr>
    </w:tbl>
    <w:p w14:paraId="698249B4" w14:textId="77777777" w:rsidR="00927B43" w:rsidRPr="00D54FFA" w:rsidRDefault="00927B43" w:rsidP="00927B43">
      <w:pPr>
        <w:autoSpaceDE w:val="0"/>
        <w:autoSpaceDN w:val="0"/>
        <w:adjustRightInd w:val="0"/>
        <w:rPr>
          <w:sz w:val="20"/>
        </w:rPr>
      </w:pPr>
      <w:r w:rsidRPr="00D54FFA">
        <w:rPr>
          <w:sz w:val="20"/>
        </w:rPr>
        <w:t>Data vist som geometrisk middelværdi (95 % konfidensinterval).</w:t>
      </w:r>
    </w:p>
    <w:p w14:paraId="46526903" w14:textId="77777777" w:rsidR="00927B43" w:rsidRPr="00D54FFA" w:rsidRDefault="00927B43" w:rsidP="00927B43">
      <w:pPr>
        <w:autoSpaceDE w:val="0"/>
        <w:autoSpaceDN w:val="0"/>
        <w:adjustRightInd w:val="0"/>
        <w:rPr>
          <w:sz w:val="20"/>
        </w:rPr>
      </w:pPr>
      <w:r w:rsidRPr="00D54FFA">
        <w:rPr>
          <w:sz w:val="20"/>
        </w:rPr>
        <w:t>AUC</w:t>
      </w:r>
      <w:r w:rsidRPr="00D54FFA">
        <w:rPr>
          <w:sz w:val="20"/>
          <w:vertAlign w:val="subscript"/>
        </w:rPr>
        <w:t>(0-</w:t>
      </w:r>
      <w:r w:rsidRPr="00D54FFA">
        <w:rPr>
          <w:rFonts w:ascii="Symbol" w:hAnsi="Symbol"/>
          <w:sz w:val="20"/>
          <w:vertAlign w:val="subscript"/>
        </w:rPr>
        <w:t></w:t>
      </w:r>
      <w:r w:rsidRPr="00D54FFA">
        <w:rPr>
          <w:sz w:val="20"/>
          <w:vertAlign w:val="subscript"/>
        </w:rPr>
        <w:t>)</w:t>
      </w:r>
      <w:r w:rsidRPr="00D54FFA">
        <w:rPr>
          <w:sz w:val="20"/>
        </w:rPr>
        <w:t xml:space="preserve"> og C</w:t>
      </w:r>
      <w:r w:rsidRPr="00D54FFA">
        <w:rPr>
          <w:sz w:val="20"/>
          <w:vertAlign w:val="subscript"/>
        </w:rPr>
        <w:t xml:space="preserve">max </w:t>
      </w:r>
      <w:r w:rsidRPr="00D54FFA">
        <w:rPr>
          <w:sz w:val="20"/>
        </w:rPr>
        <w:t>baseret på farmakokinetisk populations post-hoc-estimater ved den højeste dosis i data for hver patient.</w:t>
      </w:r>
    </w:p>
    <w:p w14:paraId="62938422" w14:textId="77777777" w:rsidR="00927B43" w:rsidRPr="00D54FFA" w:rsidRDefault="00927B43" w:rsidP="00D54FFA">
      <w:pPr>
        <w:autoSpaceDE w:val="0"/>
        <w:autoSpaceDN w:val="0"/>
        <w:adjustRightInd w:val="0"/>
        <w:ind w:left="851"/>
        <w:rPr>
          <w:b/>
          <w:sz w:val="24"/>
          <w:szCs w:val="24"/>
          <w:highlight w:val="green"/>
        </w:rPr>
      </w:pPr>
    </w:p>
    <w:p w14:paraId="504109B5"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Absorption og biotilgængelighed</w:t>
      </w:r>
    </w:p>
    <w:p w14:paraId="24AA8686" w14:textId="77777777" w:rsidR="00927B43" w:rsidRPr="00D54FFA" w:rsidRDefault="00927B43" w:rsidP="00D54FFA">
      <w:pPr>
        <w:autoSpaceDE w:val="0"/>
        <w:autoSpaceDN w:val="0"/>
        <w:adjustRightInd w:val="0"/>
        <w:ind w:left="851"/>
        <w:rPr>
          <w:sz w:val="24"/>
          <w:szCs w:val="24"/>
        </w:rPr>
      </w:pPr>
      <w:r w:rsidRPr="00D54FFA">
        <w:rPr>
          <w:sz w:val="24"/>
          <w:szCs w:val="24"/>
        </w:rPr>
        <w:t>Eltrombopag absorberes med en maksimal koncentration 2-6 timer efter oral administration. Administration af eltrombopag samtidig med antacida og andre produkter med polyvalente kationer, som f.eks. mejeriprodukter og mineraltilskud, nedsætter i signifikant grad optagelsen af eltrombopag (se pkt. 4.2). I et studie af relativ biotilgængelighed hos voksne gav eltrombopagpulver til oral suspension 22 % højere plasma AUC</w:t>
      </w:r>
      <w:r w:rsidRPr="00D54FFA">
        <w:rPr>
          <w:sz w:val="24"/>
          <w:szCs w:val="24"/>
          <w:vertAlign w:val="subscript"/>
        </w:rPr>
        <w:t>(0-</w:t>
      </w:r>
      <w:r w:rsidRPr="00D54FFA">
        <w:rPr>
          <w:rFonts w:eastAsia="SymbolMT"/>
          <w:sz w:val="24"/>
          <w:szCs w:val="24"/>
          <w:vertAlign w:val="subscript"/>
        </w:rPr>
        <w:t>∞</w:t>
      </w:r>
      <w:r w:rsidRPr="00D54FFA">
        <w:rPr>
          <w:sz w:val="24"/>
          <w:szCs w:val="24"/>
          <w:vertAlign w:val="subscript"/>
        </w:rPr>
        <w:t>)</w:t>
      </w:r>
      <w:r w:rsidRPr="00D54FFA">
        <w:rPr>
          <w:sz w:val="24"/>
          <w:szCs w:val="24"/>
        </w:rPr>
        <w:t xml:space="preserve">  end den filmovertrukne tabletformulering. Den absolutte, orale biotilgængelighed af eltrombopag efter administration til mennesker er ikke fastlagt. Ud fra udskillelsen i urinen og metabolitter i fæces blev den orale absorption af lægemidlet anslået til at være mindst 52 % efter administration af en enkelt 75 mg eltrombopag-opløsning.</w:t>
      </w:r>
    </w:p>
    <w:p w14:paraId="3CF782AB" w14:textId="77777777" w:rsidR="00927B43" w:rsidRPr="00D54FFA" w:rsidRDefault="00927B43" w:rsidP="00D54FFA">
      <w:pPr>
        <w:autoSpaceDE w:val="0"/>
        <w:autoSpaceDN w:val="0"/>
        <w:adjustRightInd w:val="0"/>
        <w:ind w:left="851"/>
        <w:rPr>
          <w:sz w:val="24"/>
          <w:szCs w:val="24"/>
        </w:rPr>
      </w:pPr>
    </w:p>
    <w:p w14:paraId="7E5CB89A"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Fordeling</w:t>
      </w:r>
    </w:p>
    <w:p w14:paraId="45121C3E" w14:textId="77777777" w:rsidR="00927B43" w:rsidRPr="00D54FFA" w:rsidRDefault="00927B43" w:rsidP="00D54FFA">
      <w:pPr>
        <w:autoSpaceDE w:val="0"/>
        <w:autoSpaceDN w:val="0"/>
        <w:adjustRightInd w:val="0"/>
        <w:ind w:left="851"/>
        <w:rPr>
          <w:sz w:val="24"/>
          <w:szCs w:val="24"/>
        </w:rPr>
      </w:pPr>
      <w:r w:rsidRPr="00D54FFA">
        <w:rPr>
          <w:sz w:val="24"/>
          <w:szCs w:val="24"/>
        </w:rPr>
        <w:t>Eltrombopag er i høj grad bundet til humane plasmaproteiner (&gt; 99,9 %), hovedsagelig albumin. Eltrombopag er et substrat for BCRP, men er ikke et substrat for P-glykoprotein eller OATP1B1.</w:t>
      </w:r>
    </w:p>
    <w:p w14:paraId="62D25BF9" w14:textId="069677D1" w:rsidR="00D54FFA" w:rsidRDefault="00D54FFA">
      <w:pPr>
        <w:rPr>
          <w:sz w:val="24"/>
          <w:szCs w:val="24"/>
          <w:highlight w:val="green"/>
        </w:rPr>
      </w:pPr>
      <w:r>
        <w:rPr>
          <w:sz w:val="24"/>
          <w:szCs w:val="24"/>
          <w:highlight w:val="green"/>
        </w:rPr>
        <w:br w:type="page"/>
      </w:r>
    </w:p>
    <w:p w14:paraId="557F4918" w14:textId="77777777" w:rsidR="00927B43" w:rsidRPr="00D54FFA" w:rsidRDefault="00927B43" w:rsidP="00D54FFA">
      <w:pPr>
        <w:autoSpaceDE w:val="0"/>
        <w:autoSpaceDN w:val="0"/>
        <w:adjustRightInd w:val="0"/>
        <w:ind w:left="851"/>
        <w:rPr>
          <w:sz w:val="24"/>
          <w:szCs w:val="24"/>
          <w:highlight w:val="green"/>
        </w:rPr>
      </w:pPr>
    </w:p>
    <w:p w14:paraId="3B1F5D6A"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Biotransformation</w:t>
      </w:r>
    </w:p>
    <w:p w14:paraId="2AED04D9" w14:textId="77777777" w:rsidR="00927B43" w:rsidRPr="00D54FFA" w:rsidRDefault="00927B43" w:rsidP="00D54FFA">
      <w:pPr>
        <w:autoSpaceDE w:val="0"/>
        <w:autoSpaceDN w:val="0"/>
        <w:adjustRightInd w:val="0"/>
        <w:ind w:left="851"/>
        <w:rPr>
          <w:sz w:val="24"/>
          <w:szCs w:val="24"/>
        </w:rPr>
      </w:pPr>
      <w:r w:rsidRPr="00D54FFA">
        <w:rPr>
          <w:sz w:val="24"/>
          <w:szCs w:val="24"/>
        </w:rPr>
        <w:t>Eltrombopag metaboliseres primært gennem spaltning, oxidering og konjugering med glukuronsyre, glutathion eller cystein. I et humant studie med radioaktivt mærket eltrombopag udgjorde eltrombopag ca. 64 % af plasma-14C-AUC</w:t>
      </w:r>
      <w:r w:rsidRPr="00D54FFA">
        <w:rPr>
          <w:sz w:val="24"/>
          <w:szCs w:val="24"/>
          <w:vertAlign w:val="subscript"/>
        </w:rPr>
        <w:t>(0-</w:t>
      </w:r>
      <w:r w:rsidRPr="00D54FFA">
        <w:rPr>
          <w:rFonts w:eastAsia="SymbolMT"/>
          <w:sz w:val="24"/>
          <w:szCs w:val="24"/>
          <w:vertAlign w:val="subscript"/>
        </w:rPr>
        <w:t>∞</w:t>
      </w:r>
      <w:r w:rsidRPr="00D54FFA">
        <w:rPr>
          <w:sz w:val="24"/>
          <w:szCs w:val="24"/>
          <w:vertAlign w:val="subscript"/>
        </w:rPr>
        <w:t>)</w:t>
      </w:r>
      <w:r w:rsidRPr="00D54FFA">
        <w:rPr>
          <w:sz w:val="24"/>
          <w:szCs w:val="24"/>
        </w:rPr>
        <w:t xml:space="preserve">. Der blev også observeret en ubetydelig mængde metabolitter pga. glukuronidering og oxidering. </w:t>
      </w:r>
      <w:r w:rsidRPr="00D54FFA">
        <w:rPr>
          <w:i/>
          <w:iCs/>
          <w:sz w:val="24"/>
          <w:szCs w:val="24"/>
        </w:rPr>
        <w:t>In vitro</w:t>
      </w:r>
      <w:r w:rsidRPr="00D54FFA">
        <w:rPr>
          <w:sz w:val="24"/>
          <w:szCs w:val="24"/>
        </w:rPr>
        <w:t>-studier indikerer, at CYP1A2 og CYP2C8 er ansvarlige for den oxidative metabolisme af eltrombopag. Uridin-diphosphoglukuronyl-transferase UGT1A1 og UGT1A3 er ansvarlige for glukuronideringen, og bakterier i den nederste del af mave-tarm-kanalen kan være ansvarlige for spaltnings-pathwayen.</w:t>
      </w:r>
    </w:p>
    <w:p w14:paraId="61DFBBD1" w14:textId="77777777" w:rsidR="00927B43" w:rsidRPr="00D54FFA" w:rsidRDefault="00927B43" w:rsidP="00D54FFA">
      <w:pPr>
        <w:autoSpaceDE w:val="0"/>
        <w:autoSpaceDN w:val="0"/>
        <w:adjustRightInd w:val="0"/>
        <w:ind w:left="851"/>
        <w:rPr>
          <w:sz w:val="24"/>
          <w:szCs w:val="24"/>
          <w:highlight w:val="green"/>
          <w:u w:val="single"/>
        </w:rPr>
      </w:pPr>
    </w:p>
    <w:p w14:paraId="5F352999"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Elimination</w:t>
      </w:r>
    </w:p>
    <w:p w14:paraId="61FB2B1D" w14:textId="77777777" w:rsidR="00927B43" w:rsidRPr="00D54FFA" w:rsidRDefault="00927B43" w:rsidP="00D54FFA">
      <w:pPr>
        <w:autoSpaceDE w:val="0"/>
        <w:autoSpaceDN w:val="0"/>
        <w:adjustRightInd w:val="0"/>
        <w:ind w:left="851"/>
        <w:rPr>
          <w:sz w:val="24"/>
          <w:szCs w:val="24"/>
        </w:rPr>
      </w:pPr>
      <w:r w:rsidRPr="00D54FFA">
        <w:rPr>
          <w:sz w:val="24"/>
          <w:szCs w:val="24"/>
        </w:rPr>
        <w:t>Absorberet eltrombopag metaboliseres i høj grad. Den vigtigste udskillelsesvej for eltrombopag er via fæces (59 %), og 31 % af dosis blev fundet i urinen som metabolitter. Der sås intet uomdannet udgangsstof (eltrombopag) i urinen. Uomdannet eltrombopag udskilt i fæces udgør ca. 20 % af dosis. Halveringstiden for eltrombopag er ca. 21-32 timer.</w:t>
      </w:r>
    </w:p>
    <w:p w14:paraId="7BB1E993" w14:textId="77777777" w:rsidR="00927B43" w:rsidRPr="00D54FFA" w:rsidRDefault="00927B43" w:rsidP="00D54FFA">
      <w:pPr>
        <w:autoSpaceDE w:val="0"/>
        <w:autoSpaceDN w:val="0"/>
        <w:adjustRightInd w:val="0"/>
        <w:ind w:left="851"/>
        <w:rPr>
          <w:sz w:val="24"/>
          <w:szCs w:val="24"/>
          <w:highlight w:val="green"/>
        </w:rPr>
      </w:pPr>
    </w:p>
    <w:p w14:paraId="735A97C6"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Farmakokinetiske interaktioner</w:t>
      </w:r>
    </w:p>
    <w:p w14:paraId="67A563EA" w14:textId="77777777" w:rsidR="00927B43" w:rsidRPr="00D54FFA" w:rsidRDefault="00927B43" w:rsidP="00D54FFA">
      <w:pPr>
        <w:autoSpaceDE w:val="0"/>
        <w:autoSpaceDN w:val="0"/>
        <w:adjustRightInd w:val="0"/>
        <w:ind w:left="851"/>
        <w:rPr>
          <w:sz w:val="24"/>
          <w:szCs w:val="24"/>
        </w:rPr>
      </w:pPr>
      <w:r w:rsidRPr="00D54FFA">
        <w:rPr>
          <w:sz w:val="24"/>
          <w:szCs w:val="24"/>
        </w:rPr>
        <w:t xml:space="preserve">Ud fra et humant studie med radioaktivt mærket eltrombopag er det fundet, at glukuronidering spiller en mindre rolle i eltrombopags metabolisme. Fra undersøgelser af levermikrosomer fra mennesker blev det fundet, at UGT1A1 og UGT1A3 var de ansvarlige enzymer for eltrombopagglukuronideringen. Eltrombopag var en hæmmer af et antal UGT-enzymer </w:t>
      </w:r>
      <w:r w:rsidRPr="00D54FFA">
        <w:rPr>
          <w:i/>
          <w:iCs/>
          <w:sz w:val="24"/>
          <w:szCs w:val="24"/>
        </w:rPr>
        <w:t>in vitro</w:t>
      </w:r>
      <w:r w:rsidRPr="00D54FFA">
        <w:rPr>
          <w:sz w:val="24"/>
          <w:szCs w:val="24"/>
        </w:rPr>
        <w:t>. Klinisk signifikante lægemiddelinteraktioner, der involverer glukuronidisering, forventes ikke pga. Et begrænset bidrag af de enkeltstående UGT-enzymer ved glukuronideringen af eltrombopag.</w:t>
      </w:r>
    </w:p>
    <w:p w14:paraId="4EF6E418" w14:textId="77777777" w:rsidR="00927B43" w:rsidRPr="00D54FFA" w:rsidRDefault="00927B43" w:rsidP="00D54FFA">
      <w:pPr>
        <w:autoSpaceDE w:val="0"/>
        <w:autoSpaceDN w:val="0"/>
        <w:adjustRightInd w:val="0"/>
        <w:ind w:left="851"/>
        <w:rPr>
          <w:sz w:val="24"/>
          <w:szCs w:val="24"/>
        </w:rPr>
      </w:pPr>
    </w:p>
    <w:p w14:paraId="70994F9F" w14:textId="77777777" w:rsidR="00927B43" w:rsidRPr="00D54FFA" w:rsidRDefault="00927B43" w:rsidP="00D54FFA">
      <w:pPr>
        <w:autoSpaceDE w:val="0"/>
        <w:autoSpaceDN w:val="0"/>
        <w:adjustRightInd w:val="0"/>
        <w:ind w:left="851"/>
        <w:rPr>
          <w:sz w:val="24"/>
          <w:szCs w:val="24"/>
        </w:rPr>
      </w:pPr>
      <w:r w:rsidRPr="00D54FFA">
        <w:rPr>
          <w:sz w:val="24"/>
          <w:szCs w:val="24"/>
        </w:rPr>
        <w:t xml:space="preserve">Cirka 21 % af en eltrombopag-dosis undergå oxidativ metabolisme. Ved undersøgelser af levermikrosomer fra mennesker blev det identificeret, at CYP1A2 og CYP2C8 var de ansvarlige enzymer for eltrombopag-oxideringen. Baseret på </w:t>
      </w:r>
      <w:r w:rsidRPr="00D54FFA">
        <w:rPr>
          <w:i/>
          <w:iCs/>
          <w:sz w:val="24"/>
          <w:szCs w:val="24"/>
        </w:rPr>
        <w:t>in vitro</w:t>
      </w:r>
      <w:r w:rsidRPr="00D54FFA">
        <w:rPr>
          <w:sz w:val="24"/>
          <w:szCs w:val="24"/>
        </w:rPr>
        <w:t xml:space="preserve">- og </w:t>
      </w:r>
      <w:r w:rsidRPr="00D54FFA">
        <w:rPr>
          <w:i/>
          <w:iCs/>
          <w:sz w:val="24"/>
          <w:szCs w:val="24"/>
        </w:rPr>
        <w:t>in vivo</w:t>
      </w:r>
      <w:r w:rsidRPr="00D54FFA">
        <w:rPr>
          <w:sz w:val="24"/>
          <w:szCs w:val="24"/>
        </w:rPr>
        <w:t>-data, hverken hæmmer eller inducerer eltrombopag CYP-enzymer (se pkt. 4.5).</w:t>
      </w:r>
    </w:p>
    <w:p w14:paraId="44907DF9" w14:textId="77777777" w:rsidR="00927B43" w:rsidRPr="00D54FFA" w:rsidRDefault="00927B43" w:rsidP="00D54FFA">
      <w:pPr>
        <w:autoSpaceDE w:val="0"/>
        <w:autoSpaceDN w:val="0"/>
        <w:adjustRightInd w:val="0"/>
        <w:ind w:left="851"/>
        <w:rPr>
          <w:sz w:val="24"/>
          <w:szCs w:val="24"/>
          <w:highlight w:val="green"/>
        </w:rPr>
      </w:pPr>
    </w:p>
    <w:p w14:paraId="763D92FE" w14:textId="77777777" w:rsidR="00927B43" w:rsidRPr="00D54FFA" w:rsidRDefault="00927B43" w:rsidP="00D54FFA">
      <w:pPr>
        <w:autoSpaceDE w:val="0"/>
        <w:autoSpaceDN w:val="0"/>
        <w:adjustRightInd w:val="0"/>
        <w:ind w:left="851"/>
        <w:rPr>
          <w:sz w:val="24"/>
          <w:szCs w:val="24"/>
        </w:rPr>
      </w:pPr>
      <w:r w:rsidRPr="00D54FFA">
        <w:rPr>
          <w:i/>
          <w:iCs/>
          <w:sz w:val="24"/>
          <w:szCs w:val="24"/>
        </w:rPr>
        <w:t>In vitro</w:t>
      </w:r>
      <w:r w:rsidRPr="00D54FFA">
        <w:rPr>
          <w:sz w:val="24"/>
          <w:szCs w:val="24"/>
        </w:rPr>
        <w:t>-studier viser, at eltrombopag er en hæmmer af OATP1B1- og BCRP-transporteren, og i et klinisk lægemiddelinteraktionsstudie sås, at eltrombopag øger eksponeringen af OATP1B1- og BCRP-substratet rosuvastatin (se pkt. 4.5). En 50 % dosisreduktion af statiner blev anbefalet i kliniske studier med eltrombopag.</w:t>
      </w:r>
    </w:p>
    <w:p w14:paraId="333D1CCD" w14:textId="77777777" w:rsidR="00927B43" w:rsidRPr="00D54FFA" w:rsidRDefault="00927B43" w:rsidP="00D54FFA">
      <w:pPr>
        <w:autoSpaceDE w:val="0"/>
        <w:autoSpaceDN w:val="0"/>
        <w:adjustRightInd w:val="0"/>
        <w:ind w:left="851"/>
        <w:rPr>
          <w:sz w:val="24"/>
          <w:szCs w:val="24"/>
        </w:rPr>
      </w:pPr>
    </w:p>
    <w:p w14:paraId="4A86A822" w14:textId="77777777" w:rsidR="00927B43" w:rsidRPr="00D54FFA" w:rsidRDefault="00927B43" w:rsidP="00D54FFA">
      <w:pPr>
        <w:autoSpaceDE w:val="0"/>
        <w:autoSpaceDN w:val="0"/>
        <w:adjustRightInd w:val="0"/>
        <w:ind w:left="851"/>
        <w:rPr>
          <w:sz w:val="24"/>
          <w:szCs w:val="24"/>
        </w:rPr>
      </w:pPr>
      <w:r w:rsidRPr="00D54FFA">
        <w:rPr>
          <w:sz w:val="24"/>
          <w:szCs w:val="24"/>
        </w:rPr>
        <w:t>Eltrombopag chelerer med polyvalente kationer som f.eks. jern, calcium, magnesium, aluminium, selen og zink (se pkt. 4.2 og 4.5).</w:t>
      </w:r>
    </w:p>
    <w:p w14:paraId="2AECFB04" w14:textId="77777777" w:rsidR="00927B43" w:rsidRPr="00D54FFA" w:rsidRDefault="00927B43" w:rsidP="00D54FFA">
      <w:pPr>
        <w:autoSpaceDE w:val="0"/>
        <w:autoSpaceDN w:val="0"/>
        <w:adjustRightInd w:val="0"/>
        <w:ind w:left="851"/>
        <w:rPr>
          <w:sz w:val="24"/>
          <w:szCs w:val="24"/>
        </w:rPr>
      </w:pPr>
    </w:p>
    <w:p w14:paraId="60669A0C" w14:textId="77777777" w:rsidR="00927B43" w:rsidRPr="00D54FFA" w:rsidRDefault="00927B43" w:rsidP="00D54FFA">
      <w:pPr>
        <w:autoSpaceDE w:val="0"/>
        <w:autoSpaceDN w:val="0"/>
        <w:adjustRightInd w:val="0"/>
        <w:ind w:left="851"/>
        <w:rPr>
          <w:sz w:val="24"/>
          <w:szCs w:val="24"/>
        </w:rPr>
      </w:pPr>
      <w:r w:rsidRPr="00D54FFA">
        <w:rPr>
          <w:i/>
          <w:iCs/>
          <w:sz w:val="24"/>
          <w:szCs w:val="24"/>
        </w:rPr>
        <w:t>In vitro</w:t>
      </w:r>
      <w:r w:rsidRPr="00D54FFA">
        <w:rPr>
          <w:sz w:val="24"/>
          <w:szCs w:val="24"/>
        </w:rPr>
        <w:t>-studier har vist, at eltrombopag ikke er et substrat for polypeptidet OATP1B1, der er en organisk anion-transportør, men derimod er en hæmmer af denne transportør (IC</w:t>
      </w:r>
      <w:r w:rsidRPr="00D54FFA">
        <w:rPr>
          <w:sz w:val="24"/>
          <w:szCs w:val="24"/>
          <w:vertAlign w:val="subscript"/>
        </w:rPr>
        <w:t>50</w:t>
      </w:r>
      <w:r w:rsidRPr="00D54FFA">
        <w:rPr>
          <w:sz w:val="24"/>
          <w:szCs w:val="24"/>
        </w:rPr>
        <w:t xml:space="preserve">-værdi på 2,7 μM [1,2 μg/ml]). </w:t>
      </w:r>
      <w:r w:rsidRPr="00D54FFA">
        <w:rPr>
          <w:i/>
          <w:iCs/>
          <w:sz w:val="24"/>
          <w:szCs w:val="24"/>
        </w:rPr>
        <w:t>In vitro</w:t>
      </w:r>
      <w:r w:rsidRPr="00D54FFA">
        <w:rPr>
          <w:sz w:val="24"/>
          <w:szCs w:val="24"/>
        </w:rPr>
        <w:t>-studier har endvidere vist, at eltrombopag er et substrat for, og en hæmmer af, det brystcancer-resistente protein (BCRP) (IC</w:t>
      </w:r>
      <w:r w:rsidRPr="00D54FFA">
        <w:rPr>
          <w:sz w:val="24"/>
          <w:szCs w:val="24"/>
          <w:vertAlign w:val="subscript"/>
        </w:rPr>
        <w:t>50</w:t>
      </w:r>
      <w:r w:rsidRPr="00D54FFA">
        <w:rPr>
          <w:sz w:val="24"/>
          <w:szCs w:val="24"/>
        </w:rPr>
        <w:t>-værdi på 2,7 μM [1,2 μg/ml]).</w:t>
      </w:r>
    </w:p>
    <w:p w14:paraId="5B30B724" w14:textId="0F23F217" w:rsidR="00D54FFA" w:rsidRDefault="00D54FFA">
      <w:pPr>
        <w:rPr>
          <w:sz w:val="24"/>
          <w:szCs w:val="24"/>
          <w:highlight w:val="green"/>
        </w:rPr>
      </w:pPr>
      <w:r>
        <w:rPr>
          <w:sz w:val="24"/>
          <w:szCs w:val="24"/>
          <w:highlight w:val="green"/>
        </w:rPr>
        <w:br w:type="page"/>
      </w:r>
    </w:p>
    <w:p w14:paraId="710B240F" w14:textId="77777777" w:rsidR="00927B43" w:rsidRPr="00D54FFA" w:rsidRDefault="00927B43" w:rsidP="00D54FFA">
      <w:pPr>
        <w:autoSpaceDE w:val="0"/>
        <w:autoSpaceDN w:val="0"/>
        <w:adjustRightInd w:val="0"/>
        <w:ind w:left="851"/>
        <w:rPr>
          <w:sz w:val="24"/>
          <w:szCs w:val="24"/>
          <w:highlight w:val="green"/>
        </w:rPr>
      </w:pPr>
    </w:p>
    <w:p w14:paraId="76EED8C9" w14:textId="77777777" w:rsidR="00927B43" w:rsidRPr="00D54FFA" w:rsidRDefault="00927B43" w:rsidP="00D54FFA">
      <w:pPr>
        <w:autoSpaceDE w:val="0"/>
        <w:autoSpaceDN w:val="0"/>
        <w:adjustRightInd w:val="0"/>
        <w:ind w:left="851"/>
        <w:rPr>
          <w:sz w:val="24"/>
          <w:szCs w:val="24"/>
          <w:highlight w:val="green"/>
          <w:u w:val="single"/>
        </w:rPr>
      </w:pPr>
      <w:r w:rsidRPr="00D54FFA">
        <w:rPr>
          <w:sz w:val="24"/>
          <w:szCs w:val="24"/>
          <w:u w:val="single"/>
        </w:rPr>
        <w:t>Særlige patientpopulationer</w:t>
      </w:r>
    </w:p>
    <w:p w14:paraId="43FF88C3" w14:textId="77777777" w:rsidR="00927B43" w:rsidRPr="00D54FFA" w:rsidRDefault="00927B43" w:rsidP="00D54FFA">
      <w:pPr>
        <w:autoSpaceDE w:val="0"/>
        <w:autoSpaceDN w:val="0"/>
        <w:adjustRightInd w:val="0"/>
        <w:ind w:left="851"/>
        <w:rPr>
          <w:sz w:val="24"/>
          <w:szCs w:val="24"/>
          <w:highlight w:val="green"/>
          <w:u w:val="single"/>
        </w:rPr>
      </w:pPr>
    </w:p>
    <w:p w14:paraId="3D2E707D"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Nedsat nyrefunktion</w:t>
      </w:r>
    </w:p>
    <w:p w14:paraId="084F145D" w14:textId="77777777" w:rsidR="00927B43" w:rsidRPr="00D54FFA" w:rsidRDefault="00927B43" w:rsidP="00D54FFA">
      <w:pPr>
        <w:autoSpaceDE w:val="0"/>
        <w:autoSpaceDN w:val="0"/>
        <w:adjustRightInd w:val="0"/>
        <w:ind w:left="851"/>
        <w:rPr>
          <w:sz w:val="24"/>
          <w:szCs w:val="24"/>
        </w:rPr>
      </w:pPr>
      <w:r w:rsidRPr="00D54FFA">
        <w:rPr>
          <w:sz w:val="24"/>
          <w:szCs w:val="24"/>
        </w:rPr>
        <w:t>Eltrombopags farmakokinetik er blevet undersøgt efter administration af eltrombopag til voksne patienter med nedsat nyrefunktion. Efter administration af en enkelt dosis på 50 mg var AUC</w:t>
      </w:r>
      <w:r w:rsidRPr="00D54FFA">
        <w:rPr>
          <w:sz w:val="24"/>
          <w:szCs w:val="24"/>
          <w:vertAlign w:val="subscript"/>
        </w:rPr>
        <w:t>(0-</w:t>
      </w:r>
      <w:r w:rsidRPr="00D54FFA">
        <w:rPr>
          <w:rFonts w:eastAsia="SymbolMT"/>
          <w:sz w:val="24"/>
          <w:szCs w:val="24"/>
          <w:vertAlign w:val="subscript"/>
        </w:rPr>
        <w:t>∞</w:t>
      </w:r>
      <w:r w:rsidRPr="00D54FFA">
        <w:rPr>
          <w:sz w:val="24"/>
          <w:szCs w:val="24"/>
          <w:vertAlign w:val="subscript"/>
        </w:rPr>
        <w:t>)</w:t>
      </w:r>
      <w:r w:rsidRPr="00D54FFA">
        <w:rPr>
          <w:sz w:val="24"/>
          <w:szCs w:val="24"/>
        </w:rPr>
        <w:t xml:space="preserve"> for eltrombopag 32-36 % lavere hos patienter med let til moderat nedsat nyrefunktion, og 60 % lavere hos patienter med svært nedsat nyrefunktion, end hos raske frivillige. Der var en tydelig variation og signifikant overlap i eksponeringen mellem patienter med nedsat nyrefunktion og raske frivillige. Ubundne koncentrationer af eltrombopag (aktiv), der er et stærkt proteinbundet lægemiddel, blev ikke målt. Patienter med nedsat nyrefunktion skal anvende eltrombopag med forsigtighed og overvåges nøje ved f.eks. at måle serum-kreatinin og/eller foretage urinanalyse (se pkt. 4.2). Eltrombopags effekt og sikkerhed er ikke undersøgt hos patienter med både nedsat nyrefunktion og nedsat leverfunktion.</w:t>
      </w:r>
    </w:p>
    <w:p w14:paraId="5CCCF56C" w14:textId="77777777" w:rsidR="00927B43" w:rsidRPr="00D54FFA" w:rsidRDefault="00927B43" w:rsidP="00D54FFA">
      <w:pPr>
        <w:autoSpaceDE w:val="0"/>
        <w:autoSpaceDN w:val="0"/>
        <w:adjustRightInd w:val="0"/>
        <w:ind w:left="851"/>
        <w:rPr>
          <w:sz w:val="24"/>
          <w:szCs w:val="24"/>
          <w:highlight w:val="green"/>
        </w:rPr>
      </w:pPr>
    </w:p>
    <w:p w14:paraId="3DF00E92"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Nedsat leverfunktion</w:t>
      </w:r>
    </w:p>
    <w:p w14:paraId="6A6A4E3B" w14:textId="77777777" w:rsidR="00927B43" w:rsidRPr="00D54FFA" w:rsidRDefault="00927B43" w:rsidP="00D54FFA">
      <w:pPr>
        <w:autoSpaceDE w:val="0"/>
        <w:autoSpaceDN w:val="0"/>
        <w:adjustRightInd w:val="0"/>
        <w:ind w:left="851"/>
        <w:rPr>
          <w:sz w:val="24"/>
          <w:szCs w:val="24"/>
        </w:rPr>
      </w:pPr>
      <w:r w:rsidRPr="00D54FFA">
        <w:rPr>
          <w:sz w:val="24"/>
          <w:szCs w:val="24"/>
        </w:rPr>
        <w:t>Eltrombopags farmakokinetik er blevet undersøgt efter administration af eltrombopag til voksne patienter med nedsat leverfunktion. Efter administration af en enkelt dosis på 50 mg var AUC</w:t>
      </w:r>
      <w:r w:rsidRPr="00D54FFA">
        <w:rPr>
          <w:sz w:val="24"/>
          <w:szCs w:val="24"/>
          <w:vertAlign w:val="subscript"/>
        </w:rPr>
        <w:t>(0-</w:t>
      </w:r>
      <w:r w:rsidRPr="00D54FFA">
        <w:rPr>
          <w:rFonts w:eastAsia="SymbolMT"/>
          <w:sz w:val="24"/>
          <w:szCs w:val="24"/>
          <w:vertAlign w:val="subscript"/>
        </w:rPr>
        <w:t>∞</w:t>
      </w:r>
      <w:r w:rsidRPr="00D54FFA">
        <w:rPr>
          <w:sz w:val="24"/>
          <w:szCs w:val="24"/>
          <w:vertAlign w:val="subscript"/>
        </w:rPr>
        <w:t>)</w:t>
      </w:r>
      <w:r w:rsidRPr="00D54FFA">
        <w:rPr>
          <w:sz w:val="24"/>
          <w:szCs w:val="24"/>
        </w:rPr>
        <w:t xml:space="preserve"> for eltrombopag 41 % højere hos patienter med let nedsat leverfunktion, og 80-93 % højere hos patienter med moderat til svært nedsat leverfunktion, end hos raske frivillige. Der var tydelig variation og signifikant overlap i eksponeringen mellem patienter med nedsat leverfunktion og raske frivillige. Ubundne koncentrationer af eltrombopag (aktiv), der er et stærkt proteinbundet lægemiddel, blev ikke målt.</w:t>
      </w:r>
    </w:p>
    <w:p w14:paraId="0B481224" w14:textId="77777777" w:rsidR="00927B43" w:rsidRPr="00D54FFA" w:rsidRDefault="00927B43" w:rsidP="00D54FFA">
      <w:pPr>
        <w:autoSpaceDE w:val="0"/>
        <w:autoSpaceDN w:val="0"/>
        <w:adjustRightInd w:val="0"/>
        <w:ind w:left="851"/>
        <w:rPr>
          <w:sz w:val="24"/>
          <w:szCs w:val="24"/>
        </w:rPr>
      </w:pPr>
    </w:p>
    <w:p w14:paraId="66ECA759" w14:textId="77777777" w:rsidR="00927B43" w:rsidRPr="00D54FFA" w:rsidRDefault="00927B43" w:rsidP="00D54FFA">
      <w:pPr>
        <w:autoSpaceDE w:val="0"/>
        <w:autoSpaceDN w:val="0"/>
        <w:adjustRightInd w:val="0"/>
        <w:ind w:left="851"/>
        <w:rPr>
          <w:sz w:val="24"/>
          <w:szCs w:val="24"/>
        </w:rPr>
      </w:pPr>
      <w:r w:rsidRPr="00D54FFA">
        <w:rPr>
          <w:sz w:val="24"/>
          <w:szCs w:val="24"/>
        </w:rPr>
        <w:t>Påvirkningen af nedsat leverfunktion på eltrombopags farmakokinetik efter gentagen administration blev undersøgt ved en farmakokinetisk populationsanalyse med 28 raske voksne og 714 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 med let nedsat leverfunktion omkring 111 % (95 % konfidensinterval: 45 % til 283 %)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og patienter med moderat nedsat leverfunktion havde omkring 183 % (95 % konfidensinterval: 90 % til 459 %)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 xml:space="preserve">-værdier. </w:t>
      </w:r>
    </w:p>
    <w:p w14:paraId="1FDCEAFC" w14:textId="77777777" w:rsidR="00927B43" w:rsidRPr="00D54FFA" w:rsidRDefault="00927B43" w:rsidP="00D54FFA">
      <w:pPr>
        <w:autoSpaceDE w:val="0"/>
        <w:autoSpaceDN w:val="0"/>
        <w:adjustRightInd w:val="0"/>
        <w:ind w:left="851"/>
        <w:rPr>
          <w:sz w:val="24"/>
          <w:szCs w:val="24"/>
          <w:highlight w:val="green"/>
        </w:rPr>
      </w:pPr>
    </w:p>
    <w:p w14:paraId="792F7D5E" w14:textId="77777777" w:rsidR="00927B43" w:rsidRPr="00D54FFA" w:rsidRDefault="00927B43" w:rsidP="00D54FFA">
      <w:pPr>
        <w:autoSpaceDE w:val="0"/>
        <w:autoSpaceDN w:val="0"/>
        <w:adjustRightInd w:val="0"/>
        <w:ind w:left="851"/>
        <w:rPr>
          <w:sz w:val="24"/>
          <w:szCs w:val="24"/>
        </w:rPr>
      </w:pPr>
      <w:r w:rsidRPr="00D54FFA">
        <w:rPr>
          <w:sz w:val="24"/>
          <w:szCs w:val="24"/>
        </w:rPr>
        <w:t>Derfor bør eltrombopag ikke gives til ITP-patienter med nedsat leverfunktion (Child-Pugh score ≥ 5), medmindre de forventede fordele ved behandlingen opvejer den identificerede risiko for portal venetrombose (se pkt. 4.2 og 4.4). For patienter med HCV er startdosis af eltrombopag 25 mg én gang daglig (se pkt. 4.2).</w:t>
      </w:r>
    </w:p>
    <w:p w14:paraId="2DE9655A" w14:textId="77777777" w:rsidR="00927B43" w:rsidRPr="00D54FFA" w:rsidRDefault="00927B43" w:rsidP="00D54FFA">
      <w:pPr>
        <w:autoSpaceDE w:val="0"/>
        <w:autoSpaceDN w:val="0"/>
        <w:adjustRightInd w:val="0"/>
        <w:ind w:left="851"/>
        <w:rPr>
          <w:sz w:val="24"/>
          <w:szCs w:val="24"/>
        </w:rPr>
      </w:pPr>
    </w:p>
    <w:p w14:paraId="6DE1FE3E" w14:textId="77777777" w:rsidR="00927B43" w:rsidRPr="00D54FFA" w:rsidRDefault="00927B43" w:rsidP="00D54FFA">
      <w:pPr>
        <w:ind w:left="851"/>
        <w:rPr>
          <w:i/>
          <w:iCs/>
          <w:sz w:val="24"/>
          <w:szCs w:val="24"/>
          <w:u w:val="single"/>
        </w:rPr>
      </w:pPr>
      <w:r w:rsidRPr="00D54FFA">
        <w:rPr>
          <w:i/>
          <w:iCs/>
          <w:sz w:val="24"/>
          <w:szCs w:val="24"/>
          <w:u w:val="single"/>
        </w:rPr>
        <w:t>Race</w:t>
      </w:r>
    </w:p>
    <w:p w14:paraId="11E3747B" w14:textId="77777777" w:rsidR="00927B43" w:rsidRPr="00D54FFA" w:rsidRDefault="00927B43" w:rsidP="00D54FFA">
      <w:pPr>
        <w:autoSpaceDE w:val="0"/>
        <w:autoSpaceDN w:val="0"/>
        <w:adjustRightInd w:val="0"/>
        <w:ind w:left="851"/>
        <w:rPr>
          <w:sz w:val="24"/>
          <w:szCs w:val="24"/>
        </w:rPr>
      </w:pPr>
      <w:r w:rsidRPr="00D54FFA">
        <w:rPr>
          <w:sz w:val="24"/>
          <w:szCs w:val="24"/>
        </w:rPr>
        <w:t>Indflydelsen af østasiatisk etnicitet på eltrombopags farmakokinetik blev vurderet vha. En farmakokinetisk populationsanalyse med 111 raske voksne (31 østasiater) og 88 patienter med ITP (18 østasiater). Ud fra estimaterne fra den farmakokinetiske populationsanalyse havde østasiatiske ITP-patienter ca. 49 %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sammenlignet med ikkeøstasiatiske patienter, som hovedsagelig var kaukasiske (se pkt. 4.2).</w:t>
      </w:r>
    </w:p>
    <w:p w14:paraId="5DF85225" w14:textId="77777777" w:rsidR="00927B43" w:rsidRPr="00D54FFA" w:rsidRDefault="00927B43" w:rsidP="00D54FFA">
      <w:pPr>
        <w:autoSpaceDE w:val="0"/>
        <w:autoSpaceDN w:val="0"/>
        <w:adjustRightInd w:val="0"/>
        <w:ind w:left="851"/>
        <w:rPr>
          <w:sz w:val="24"/>
          <w:szCs w:val="24"/>
        </w:rPr>
      </w:pPr>
    </w:p>
    <w:p w14:paraId="1A744FE0" w14:textId="77777777" w:rsidR="00927B43" w:rsidRPr="00D54FFA" w:rsidRDefault="00927B43" w:rsidP="00D54FFA">
      <w:pPr>
        <w:autoSpaceDE w:val="0"/>
        <w:autoSpaceDN w:val="0"/>
        <w:adjustRightInd w:val="0"/>
        <w:ind w:left="851"/>
        <w:rPr>
          <w:sz w:val="24"/>
          <w:szCs w:val="24"/>
        </w:rPr>
      </w:pPr>
      <w:r w:rsidRPr="00D54FFA">
        <w:rPr>
          <w:sz w:val="24"/>
          <w:szCs w:val="24"/>
        </w:rPr>
        <w:t xml:space="preserve">Indflydelsen af øst-/sydøstasiatisk etnicitet på eltrombopags farmakokinetik blev vurderet vha. En farmakokinetisk populationsanalyse med 635 patienter med HCV (145 østasiater </w:t>
      </w:r>
      <w:r w:rsidRPr="00D54FFA">
        <w:rPr>
          <w:sz w:val="24"/>
          <w:szCs w:val="24"/>
        </w:rPr>
        <w:lastRenderedPageBreak/>
        <w:t>og 69 sydøstasiater). Ud fra estimaterne fra den farmakokinetiske populationsanalyse havde øst-/sydøstasiatiske patienter i gennemsnit ca. 55 %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sammenlignet med patienter af andre racer, som overvejende var kaukasiske (se pkt. 4.2).</w:t>
      </w:r>
    </w:p>
    <w:p w14:paraId="7B291691" w14:textId="77777777" w:rsidR="00927B43" w:rsidRPr="00D54FFA" w:rsidRDefault="00927B43" w:rsidP="00D54FFA">
      <w:pPr>
        <w:autoSpaceDE w:val="0"/>
        <w:autoSpaceDN w:val="0"/>
        <w:adjustRightInd w:val="0"/>
        <w:ind w:left="851"/>
        <w:rPr>
          <w:sz w:val="24"/>
          <w:szCs w:val="24"/>
          <w:highlight w:val="green"/>
        </w:rPr>
      </w:pPr>
    </w:p>
    <w:p w14:paraId="7253C2D7"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Køn</w:t>
      </w:r>
    </w:p>
    <w:p w14:paraId="0882D612" w14:textId="77777777" w:rsidR="00927B43" w:rsidRPr="00D54FFA" w:rsidRDefault="00927B43" w:rsidP="00D54FFA">
      <w:pPr>
        <w:autoSpaceDE w:val="0"/>
        <w:autoSpaceDN w:val="0"/>
        <w:adjustRightInd w:val="0"/>
        <w:ind w:left="851"/>
        <w:rPr>
          <w:sz w:val="24"/>
          <w:szCs w:val="24"/>
        </w:rPr>
      </w:pPr>
      <w:r w:rsidRPr="00D54FFA">
        <w:rPr>
          <w:sz w:val="24"/>
          <w:szCs w:val="24"/>
        </w:rPr>
        <w:t>Indflydelsen af køn på eltrombopags farmakokinetik blev vurderet vha. en farmakokinetisk populationsanalyse blandt 111 raske voksne (14 kvinder) og 88 patienter med ITP (57 kvinder). Ud fra estimaterne fra den farmakokinetiske populationsanalyse havde de kvindelige ITP-patienter ca. 23 %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 xml:space="preserve"> sammenlignet med mandlige patienter. Der blev ikke justeret for forskelle i vægt.</w:t>
      </w:r>
    </w:p>
    <w:p w14:paraId="1E5B2AD6" w14:textId="77777777" w:rsidR="00927B43" w:rsidRPr="00D54FFA" w:rsidRDefault="00927B43" w:rsidP="00D54FFA">
      <w:pPr>
        <w:autoSpaceDE w:val="0"/>
        <w:autoSpaceDN w:val="0"/>
        <w:adjustRightInd w:val="0"/>
        <w:ind w:left="851"/>
        <w:rPr>
          <w:sz w:val="24"/>
          <w:szCs w:val="24"/>
        </w:rPr>
      </w:pPr>
    </w:p>
    <w:p w14:paraId="2A87135C" w14:textId="77777777" w:rsidR="00927B43" w:rsidRPr="00D54FFA" w:rsidRDefault="00927B43" w:rsidP="00D54FFA">
      <w:pPr>
        <w:autoSpaceDE w:val="0"/>
        <w:autoSpaceDN w:val="0"/>
        <w:adjustRightInd w:val="0"/>
        <w:ind w:left="851"/>
        <w:rPr>
          <w:sz w:val="24"/>
          <w:szCs w:val="24"/>
        </w:rPr>
      </w:pPr>
      <w:r w:rsidRPr="00D54FFA">
        <w:rPr>
          <w:sz w:val="24"/>
          <w:szCs w:val="24"/>
        </w:rPr>
        <w:t>Indflydelsen af køn på eltrombopags farmakokinetik blev vurderet vha. en farmakokinetisk populationsanalyse blandt 635 patienter med HCV (260 kvinder). Ud fra modellerede estimater havde de kvindelige HCV-patienter ca. 41 % højere plasma-eltrombopag-AUC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sammenlignet med mandlige patienter.</w:t>
      </w:r>
    </w:p>
    <w:p w14:paraId="1AFE6C11" w14:textId="77777777" w:rsidR="00927B43" w:rsidRPr="00D54FFA" w:rsidRDefault="00927B43" w:rsidP="00D54FFA">
      <w:pPr>
        <w:autoSpaceDE w:val="0"/>
        <w:autoSpaceDN w:val="0"/>
        <w:adjustRightInd w:val="0"/>
        <w:ind w:left="851"/>
        <w:rPr>
          <w:sz w:val="24"/>
          <w:szCs w:val="24"/>
          <w:highlight w:val="green"/>
        </w:rPr>
      </w:pPr>
    </w:p>
    <w:p w14:paraId="2D849222" w14:textId="77777777" w:rsidR="00927B43" w:rsidRPr="00D54FFA" w:rsidRDefault="00927B43" w:rsidP="00D54FFA">
      <w:pPr>
        <w:autoSpaceDE w:val="0"/>
        <w:autoSpaceDN w:val="0"/>
        <w:adjustRightInd w:val="0"/>
        <w:ind w:left="851"/>
        <w:rPr>
          <w:i/>
          <w:iCs/>
          <w:sz w:val="24"/>
          <w:szCs w:val="24"/>
          <w:highlight w:val="green"/>
          <w:u w:val="single"/>
        </w:rPr>
      </w:pPr>
      <w:r w:rsidRPr="00D54FFA">
        <w:rPr>
          <w:i/>
          <w:iCs/>
          <w:sz w:val="24"/>
          <w:szCs w:val="24"/>
          <w:u w:val="single"/>
        </w:rPr>
        <w:t>Alder</w:t>
      </w:r>
    </w:p>
    <w:p w14:paraId="21410532" w14:textId="77777777" w:rsidR="00927B43" w:rsidRPr="00D54FFA" w:rsidRDefault="00927B43" w:rsidP="00D54FFA">
      <w:pPr>
        <w:autoSpaceDE w:val="0"/>
        <w:autoSpaceDN w:val="0"/>
        <w:adjustRightInd w:val="0"/>
        <w:ind w:left="851"/>
        <w:rPr>
          <w:sz w:val="24"/>
          <w:szCs w:val="24"/>
        </w:rPr>
      </w:pPr>
      <w:r w:rsidRPr="00D54FFA">
        <w:rPr>
          <w:sz w:val="24"/>
          <w:szCs w:val="24"/>
        </w:rPr>
        <w:t>Indflydelsen af alder på eltrombopags farmakokinetik blev vurderet vha. en farmakokinetisk populationsanalyse blandt 28 raske personer, 673 patienter med HCV og 41 patienter med kronisk leversygdom af anden ætiologi i alderen fra 19 til 74 år. Der foreligger ingen farmakokinetiske data om anvendelse af eltrombopag til patienter ≥ 75 år. Ud fra modellerede estimater havde ældre (≥ 65 år) patienter ca. 41 % højere plasma-eltrombopag-AUC</w:t>
      </w:r>
      <w:r w:rsidRPr="00D54FFA">
        <w:rPr>
          <w:sz w:val="24"/>
          <w:szCs w:val="24"/>
          <w:vertAlign w:val="subscript"/>
        </w:rPr>
        <w:t>(0-)</w:t>
      </w:r>
      <w:r w:rsidRPr="00D54FFA">
        <w:rPr>
          <w:sz w:val="24"/>
          <w:szCs w:val="24"/>
        </w:rPr>
        <w:t>-værdier sammenlignet med yngre patienter (se pkt. 4.2).</w:t>
      </w:r>
    </w:p>
    <w:p w14:paraId="56711AB1" w14:textId="77777777" w:rsidR="00927B43" w:rsidRPr="00D54FFA" w:rsidRDefault="00927B43" w:rsidP="00D54FFA">
      <w:pPr>
        <w:autoSpaceDE w:val="0"/>
        <w:autoSpaceDN w:val="0"/>
        <w:adjustRightInd w:val="0"/>
        <w:ind w:left="851"/>
        <w:rPr>
          <w:sz w:val="24"/>
          <w:szCs w:val="24"/>
          <w:highlight w:val="green"/>
        </w:rPr>
      </w:pPr>
    </w:p>
    <w:p w14:paraId="4C19D5BC" w14:textId="77777777" w:rsidR="00927B43" w:rsidRPr="00D54FFA" w:rsidRDefault="00927B43" w:rsidP="00D54FFA">
      <w:pPr>
        <w:autoSpaceDE w:val="0"/>
        <w:autoSpaceDN w:val="0"/>
        <w:adjustRightInd w:val="0"/>
        <w:ind w:left="851"/>
        <w:rPr>
          <w:i/>
          <w:iCs/>
          <w:sz w:val="24"/>
          <w:szCs w:val="24"/>
          <w:u w:val="single"/>
        </w:rPr>
      </w:pPr>
      <w:r w:rsidRPr="00D54FFA">
        <w:rPr>
          <w:i/>
          <w:iCs/>
          <w:sz w:val="24"/>
          <w:szCs w:val="24"/>
          <w:u w:val="single"/>
        </w:rPr>
        <w:t>Pædiatrisk population (i alderen 1 til 17 år)</w:t>
      </w:r>
    </w:p>
    <w:p w14:paraId="504EF9E4" w14:textId="77777777" w:rsidR="00927B43" w:rsidRPr="00D54FFA" w:rsidRDefault="00927B43" w:rsidP="00D54FFA">
      <w:pPr>
        <w:autoSpaceDE w:val="0"/>
        <w:autoSpaceDN w:val="0"/>
        <w:adjustRightInd w:val="0"/>
        <w:ind w:left="851"/>
        <w:rPr>
          <w:sz w:val="24"/>
          <w:szCs w:val="24"/>
        </w:rPr>
      </w:pPr>
      <w:r w:rsidRPr="00D54FFA">
        <w:rPr>
          <w:sz w:val="24"/>
          <w:szCs w:val="24"/>
        </w:rPr>
        <w:t>Eltrombopags farmakokinetik er blevet evalueret hos 168 pædiatriske ITP-patienter ved dosering en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Øst-/sydøstasiatiske pædiatriske ITP-patienter havde ca. 43 % højere 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for eltrombopag i plasma sammenlignet med ikke-østasiatiske patienter. Pædiatriske ITP-patienter af hunkøn havde ca. 25 % højere AUC</w:t>
      </w:r>
      <w:r w:rsidRPr="00D54FFA">
        <w:rPr>
          <w:sz w:val="24"/>
          <w:szCs w:val="24"/>
          <w:vertAlign w:val="subscript"/>
        </w:rPr>
        <w:t>(0-</w:t>
      </w:r>
      <w:r w:rsidRPr="00D54FFA">
        <w:rPr>
          <w:rFonts w:ascii="Symbol" w:hAnsi="Symbol"/>
          <w:sz w:val="24"/>
          <w:szCs w:val="24"/>
          <w:vertAlign w:val="subscript"/>
        </w:rPr>
        <w:t></w:t>
      </w:r>
      <w:r w:rsidRPr="00D54FFA">
        <w:rPr>
          <w:sz w:val="24"/>
          <w:szCs w:val="24"/>
          <w:vertAlign w:val="subscript"/>
        </w:rPr>
        <w:t>)</w:t>
      </w:r>
      <w:r w:rsidRPr="00D54FFA">
        <w:rPr>
          <w:sz w:val="24"/>
          <w:szCs w:val="24"/>
        </w:rPr>
        <w:t>-værdier for eltrombopag i plasma sammenlignet med patienter af hankøn.</w:t>
      </w:r>
    </w:p>
    <w:p w14:paraId="00D5800A" w14:textId="77777777" w:rsidR="00927B43" w:rsidRPr="00D54FFA" w:rsidRDefault="00927B43" w:rsidP="00D54FFA">
      <w:pPr>
        <w:autoSpaceDE w:val="0"/>
        <w:autoSpaceDN w:val="0"/>
        <w:adjustRightInd w:val="0"/>
        <w:ind w:left="851"/>
        <w:rPr>
          <w:sz w:val="24"/>
          <w:szCs w:val="24"/>
          <w:highlight w:val="green"/>
        </w:rPr>
      </w:pPr>
    </w:p>
    <w:p w14:paraId="199DBBCE" w14:textId="77777777" w:rsidR="00927B43" w:rsidRPr="00D54FFA" w:rsidRDefault="00927B43" w:rsidP="00D54FFA">
      <w:pPr>
        <w:autoSpaceDE w:val="0"/>
        <w:autoSpaceDN w:val="0"/>
        <w:adjustRightInd w:val="0"/>
        <w:ind w:left="851"/>
        <w:rPr>
          <w:sz w:val="24"/>
          <w:szCs w:val="24"/>
          <w:highlight w:val="green"/>
        </w:rPr>
      </w:pPr>
      <w:r w:rsidRPr="00D54FFA">
        <w:rPr>
          <w:sz w:val="24"/>
          <w:szCs w:val="24"/>
        </w:rPr>
        <w:t>Eltrombopags farmakokinetiske parametre hos pædiatriske patienter med ITP er vist i tabel 10.</w:t>
      </w:r>
    </w:p>
    <w:p w14:paraId="533A7BD8" w14:textId="77777777" w:rsidR="00927B43" w:rsidRPr="00D54FFA" w:rsidRDefault="00927B43" w:rsidP="00D54FFA">
      <w:pPr>
        <w:autoSpaceDE w:val="0"/>
        <w:autoSpaceDN w:val="0"/>
        <w:adjustRightInd w:val="0"/>
        <w:ind w:left="851"/>
        <w:rPr>
          <w:sz w:val="24"/>
          <w:szCs w:val="24"/>
          <w:highlight w:val="green"/>
        </w:rPr>
      </w:pPr>
    </w:p>
    <w:p w14:paraId="05ADE0AE" w14:textId="77777777" w:rsidR="00927B43" w:rsidRDefault="00927B43" w:rsidP="00927B43">
      <w:pPr>
        <w:autoSpaceDE w:val="0"/>
        <w:autoSpaceDN w:val="0"/>
        <w:adjustRightInd w:val="0"/>
        <w:jc w:val="both"/>
        <w:rPr>
          <w:sz w:val="2"/>
          <w:highlight w:val="green"/>
        </w:rPr>
      </w:pPr>
    </w:p>
    <w:p w14:paraId="7A912EDA" w14:textId="77777777" w:rsidR="00927B43" w:rsidRDefault="00927B43" w:rsidP="00927B43">
      <w:pPr>
        <w:autoSpaceDE w:val="0"/>
        <w:autoSpaceDN w:val="0"/>
        <w:adjustRightInd w:val="0"/>
        <w:jc w:val="both"/>
        <w:rPr>
          <w:sz w:val="2"/>
          <w:highlight w:val="green"/>
        </w:rPr>
      </w:pPr>
    </w:p>
    <w:p w14:paraId="2EBF5184" w14:textId="3BC3961E" w:rsidR="00927B43" w:rsidRDefault="00927B43" w:rsidP="00927B43">
      <w:pPr>
        <w:autoSpaceDE w:val="0"/>
        <w:autoSpaceDN w:val="0"/>
        <w:adjustRightInd w:val="0"/>
        <w:ind w:left="1134" w:hanging="1134"/>
        <w:rPr>
          <w:b/>
          <w:bCs/>
          <w:sz w:val="22"/>
        </w:rPr>
      </w:pPr>
      <w:r>
        <w:rPr>
          <w:b/>
          <w:bCs/>
        </w:rPr>
        <w:t>Tabel 10</w:t>
      </w:r>
      <w:r w:rsidR="00D54FFA">
        <w:rPr>
          <w:b/>
          <w:bCs/>
        </w:rPr>
        <w:tab/>
      </w:r>
      <w:r>
        <w:rPr>
          <w:b/>
          <w:bCs/>
        </w:rPr>
        <w:t>Farmakokinetiske gennemsnitsparametre (95 % CI) for eltrombopag i plasma i steady-state hos pædiatriske patienter med ITP (dosisregime: 50 mg én gang dagligt)</w:t>
      </w:r>
    </w:p>
    <w:p w14:paraId="7CA6F337" w14:textId="77777777" w:rsidR="00927B43" w:rsidRDefault="00927B43" w:rsidP="00927B43">
      <w:pPr>
        <w:autoSpaceDE w:val="0"/>
        <w:autoSpaceDN w:val="0"/>
        <w:adjustRightInd w:val="0"/>
        <w:ind w:left="1134" w:hanging="1134"/>
        <w:rPr>
          <w:b/>
          <w:bCs/>
          <w:highlight w:val="green"/>
        </w:rPr>
      </w:pPr>
    </w:p>
    <w:tbl>
      <w:tblPr>
        <w:tblStyle w:val="Tabel-Gitter"/>
        <w:tblW w:w="0" w:type="auto"/>
        <w:tblLook w:val="04A0" w:firstRow="1" w:lastRow="0" w:firstColumn="1" w:lastColumn="0" w:noHBand="0" w:noVBand="1"/>
      </w:tblPr>
      <w:tblGrid>
        <w:gridCol w:w="2724"/>
        <w:gridCol w:w="3508"/>
        <w:gridCol w:w="3194"/>
      </w:tblGrid>
      <w:tr w:rsidR="00927B43" w14:paraId="270CDFF8" w14:textId="77777777" w:rsidTr="00D54FFA">
        <w:trPr>
          <w:trHeight w:val="265"/>
        </w:trPr>
        <w:tc>
          <w:tcPr>
            <w:tcW w:w="2724" w:type="dxa"/>
            <w:tcBorders>
              <w:top w:val="single" w:sz="4" w:space="0" w:color="auto"/>
              <w:left w:val="single" w:sz="4" w:space="0" w:color="auto"/>
              <w:bottom w:val="single" w:sz="4" w:space="0" w:color="auto"/>
              <w:right w:val="single" w:sz="4" w:space="0" w:color="auto"/>
            </w:tcBorders>
            <w:hideMark/>
          </w:tcPr>
          <w:p w14:paraId="2BCD8303" w14:textId="77777777" w:rsidR="00927B43" w:rsidRDefault="00927B43">
            <w:pPr>
              <w:jc w:val="center"/>
              <w:rPr>
                <w:b/>
              </w:rPr>
            </w:pPr>
            <w:r>
              <w:rPr>
                <w:b/>
                <w:bCs/>
              </w:rPr>
              <w:t>Alder</w:t>
            </w:r>
          </w:p>
        </w:tc>
        <w:tc>
          <w:tcPr>
            <w:tcW w:w="3508" w:type="dxa"/>
            <w:tcBorders>
              <w:top w:val="single" w:sz="4" w:space="0" w:color="auto"/>
              <w:left w:val="single" w:sz="4" w:space="0" w:color="auto"/>
              <w:bottom w:val="single" w:sz="4" w:space="0" w:color="auto"/>
              <w:right w:val="single" w:sz="4" w:space="0" w:color="auto"/>
            </w:tcBorders>
            <w:hideMark/>
          </w:tcPr>
          <w:p w14:paraId="0627D1A6" w14:textId="77777777" w:rsidR="00927B43" w:rsidRDefault="00927B43">
            <w:pPr>
              <w:autoSpaceDE w:val="0"/>
              <w:autoSpaceDN w:val="0"/>
              <w:adjustRightInd w:val="0"/>
              <w:jc w:val="center"/>
              <w:rPr>
                <w:b/>
                <w:bCs/>
                <w:sz w:val="14"/>
                <w:szCs w:val="14"/>
              </w:rPr>
            </w:pPr>
            <w:r>
              <w:rPr>
                <w:b/>
                <w:bCs/>
              </w:rPr>
              <w:t>C</w:t>
            </w:r>
            <w:r>
              <w:rPr>
                <w:b/>
                <w:bCs/>
                <w:vertAlign w:val="subscript"/>
              </w:rPr>
              <w:t>max</w:t>
            </w:r>
          </w:p>
          <w:p w14:paraId="40A292B0" w14:textId="77777777" w:rsidR="00927B43" w:rsidRDefault="00927B43">
            <w:pPr>
              <w:jc w:val="center"/>
              <w:rPr>
                <w:b/>
                <w:sz w:val="22"/>
                <w:szCs w:val="22"/>
              </w:rPr>
            </w:pPr>
            <w:r>
              <w:rPr>
                <w:b/>
                <w:bCs/>
              </w:rPr>
              <w:t>(μg/ml)</w:t>
            </w:r>
          </w:p>
        </w:tc>
        <w:tc>
          <w:tcPr>
            <w:tcW w:w="3194" w:type="dxa"/>
            <w:tcBorders>
              <w:top w:val="single" w:sz="4" w:space="0" w:color="auto"/>
              <w:left w:val="single" w:sz="4" w:space="0" w:color="auto"/>
              <w:bottom w:val="single" w:sz="4" w:space="0" w:color="auto"/>
              <w:right w:val="single" w:sz="4" w:space="0" w:color="auto"/>
            </w:tcBorders>
            <w:hideMark/>
          </w:tcPr>
          <w:p w14:paraId="37E24B6C" w14:textId="77777777" w:rsidR="00927B43" w:rsidRDefault="00927B43">
            <w:pPr>
              <w:autoSpaceDE w:val="0"/>
              <w:autoSpaceDN w:val="0"/>
              <w:adjustRightInd w:val="0"/>
              <w:jc w:val="center"/>
              <w:rPr>
                <w:b/>
                <w:bCs/>
                <w:sz w:val="14"/>
                <w:szCs w:val="14"/>
              </w:rPr>
            </w:pPr>
            <w:r>
              <w:rPr>
                <w:b/>
                <w:bCs/>
              </w:rPr>
              <w:t>AUC</w:t>
            </w:r>
            <w:r>
              <w:rPr>
                <w:b/>
                <w:bCs/>
                <w:vertAlign w:val="subscript"/>
              </w:rPr>
              <w:t xml:space="preserve"> (0-</w:t>
            </w:r>
            <w:r>
              <w:rPr>
                <w:rFonts w:ascii="Symbol" w:hAnsi="Symbol"/>
                <w:vertAlign w:val="subscript"/>
              </w:rPr>
              <w:t></w:t>
            </w:r>
            <w:r>
              <w:rPr>
                <w:b/>
                <w:bCs/>
                <w:vertAlign w:val="subscript"/>
              </w:rPr>
              <w:t>)</w:t>
            </w:r>
          </w:p>
          <w:p w14:paraId="7F742DC5" w14:textId="77777777" w:rsidR="00927B43" w:rsidRDefault="00927B43">
            <w:pPr>
              <w:jc w:val="center"/>
              <w:rPr>
                <w:b/>
                <w:sz w:val="22"/>
                <w:szCs w:val="22"/>
              </w:rPr>
            </w:pPr>
            <w:r>
              <w:rPr>
                <w:b/>
                <w:bCs/>
              </w:rPr>
              <w:t>(μg.t/ml)</w:t>
            </w:r>
          </w:p>
        </w:tc>
      </w:tr>
      <w:tr w:rsidR="00927B43" w14:paraId="116688C1" w14:textId="77777777" w:rsidTr="00D54FFA">
        <w:trPr>
          <w:trHeight w:val="249"/>
        </w:trPr>
        <w:tc>
          <w:tcPr>
            <w:tcW w:w="2724" w:type="dxa"/>
            <w:tcBorders>
              <w:top w:val="single" w:sz="4" w:space="0" w:color="auto"/>
              <w:left w:val="single" w:sz="4" w:space="0" w:color="auto"/>
              <w:bottom w:val="single" w:sz="4" w:space="0" w:color="auto"/>
              <w:right w:val="single" w:sz="4" w:space="0" w:color="auto"/>
            </w:tcBorders>
            <w:hideMark/>
          </w:tcPr>
          <w:p w14:paraId="33F8FB3F" w14:textId="77777777" w:rsidR="00927B43" w:rsidRDefault="00927B43">
            <w:pPr>
              <w:rPr>
                <w:b/>
              </w:rPr>
            </w:pPr>
            <w:r>
              <w:t>12 til 17 år (n=62)</w:t>
            </w:r>
          </w:p>
        </w:tc>
        <w:tc>
          <w:tcPr>
            <w:tcW w:w="3508" w:type="dxa"/>
            <w:tcBorders>
              <w:top w:val="single" w:sz="4" w:space="0" w:color="auto"/>
              <w:left w:val="single" w:sz="4" w:space="0" w:color="auto"/>
              <w:bottom w:val="single" w:sz="4" w:space="0" w:color="auto"/>
              <w:right w:val="single" w:sz="4" w:space="0" w:color="auto"/>
            </w:tcBorders>
            <w:hideMark/>
          </w:tcPr>
          <w:p w14:paraId="71CB64AB" w14:textId="77777777" w:rsidR="00927B43" w:rsidRDefault="00927B43">
            <w:pPr>
              <w:autoSpaceDE w:val="0"/>
              <w:autoSpaceDN w:val="0"/>
              <w:adjustRightInd w:val="0"/>
              <w:jc w:val="center"/>
            </w:pPr>
            <w:r>
              <w:t>6,80</w:t>
            </w:r>
          </w:p>
          <w:p w14:paraId="22E1EA96" w14:textId="77777777" w:rsidR="00927B43" w:rsidRDefault="00927B43">
            <w:pPr>
              <w:jc w:val="center"/>
              <w:rPr>
                <w:b/>
              </w:rPr>
            </w:pPr>
            <w:r>
              <w:t>(6,17, 7,50)</w:t>
            </w:r>
          </w:p>
        </w:tc>
        <w:tc>
          <w:tcPr>
            <w:tcW w:w="3194" w:type="dxa"/>
            <w:tcBorders>
              <w:top w:val="single" w:sz="4" w:space="0" w:color="auto"/>
              <w:left w:val="single" w:sz="4" w:space="0" w:color="auto"/>
              <w:bottom w:val="single" w:sz="4" w:space="0" w:color="auto"/>
              <w:right w:val="single" w:sz="4" w:space="0" w:color="auto"/>
            </w:tcBorders>
            <w:hideMark/>
          </w:tcPr>
          <w:p w14:paraId="4FF136B6" w14:textId="77777777" w:rsidR="00927B43" w:rsidRDefault="00927B43">
            <w:pPr>
              <w:autoSpaceDE w:val="0"/>
              <w:autoSpaceDN w:val="0"/>
              <w:adjustRightInd w:val="0"/>
              <w:jc w:val="center"/>
            </w:pPr>
            <w:r>
              <w:t>103</w:t>
            </w:r>
          </w:p>
          <w:p w14:paraId="73CCC320" w14:textId="77777777" w:rsidR="00927B43" w:rsidRDefault="00927B43">
            <w:pPr>
              <w:jc w:val="center"/>
              <w:rPr>
                <w:b/>
              </w:rPr>
            </w:pPr>
            <w:r>
              <w:t>(91,1, 116)</w:t>
            </w:r>
          </w:p>
        </w:tc>
      </w:tr>
      <w:tr w:rsidR="00927B43" w14:paraId="31C385DE" w14:textId="77777777" w:rsidTr="00D54FFA">
        <w:trPr>
          <w:trHeight w:val="265"/>
        </w:trPr>
        <w:tc>
          <w:tcPr>
            <w:tcW w:w="2724" w:type="dxa"/>
            <w:tcBorders>
              <w:top w:val="single" w:sz="4" w:space="0" w:color="auto"/>
              <w:left w:val="single" w:sz="4" w:space="0" w:color="auto"/>
              <w:bottom w:val="single" w:sz="4" w:space="0" w:color="auto"/>
              <w:right w:val="single" w:sz="4" w:space="0" w:color="auto"/>
            </w:tcBorders>
            <w:hideMark/>
          </w:tcPr>
          <w:p w14:paraId="25991DC5" w14:textId="77777777" w:rsidR="00927B43" w:rsidRDefault="00927B43">
            <w:pPr>
              <w:rPr>
                <w:b/>
              </w:rPr>
            </w:pPr>
            <w:r>
              <w:t>6 til 11 år (n=68)</w:t>
            </w:r>
          </w:p>
        </w:tc>
        <w:tc>
          <w:tcPr>
            <w:tcW w:w="3508" w:type="dxa"/>
            <w:tcBorders>
              <w:top w:val="single" w:sz="4" w:space="0" w:color="auto"/>
              <w:left w:val="single" w:sz="4" w:space="0" w:color="auto"/>
              <w:bottom w:val="single" w:sz="4" w:space="0" w:color="auto"/>
              <w:right w:val="single" w:sz="4" w:space="0" w:color="auto"/>
            </w:tcBorders>
            <w:hideMark/>
          </w:tcPr>
          <w:p w14:paraId="7E17D73E" w14:textId="77777777" w:rsidR="00927B43" w:rsidRDefault="00927B43">
            <w:pPr>
              <w:autoSpaceDE w:val="0"/>
              <w:autoSpaceDN w:val="0"/>
              <w:adjustRightInd w:val="0"/>
              <w:jc w:val="center"/>
            </w:pPr>
            <w:r>
              <w:t>10,3</w:t>
            </w:r>
          </w:p>
          <w:p w14:paraId="73A96D11" w14:textId="77777777" w:rsidR="00927B43" w:rsidRDefault="00927B43">
            <w:pPr>
              <w:jc w:val="center"/>
              <w:rPr>
                <w:b/>
              </w:rPr>
            </w:pPr>
            <w:r>
              <w:t>(  9,42, 11,2)</w:t>
            </w:r>
          </w:p>
        </w:tc>
        <w:tc>
          <w:tcPr>
            <w:tcW w:w="3194" w:type="dxa"/>
            <w:tcBorders>
              <w:top w:val="single" w:sz="4" w:space="0" w:color="auto"/>
              <w:left w:val="single" w:sz="4" w:space="0" w:color="auto"/>
              <w:bottom w:val="single" w:sz="4" w:space="0" w:color="auto"/>
              <w:right w:val="single" w:sz="4" w:space="0" w:color="auto"/>
            </w:tcBorders>
            <w:hideMark/>
          </w:tcPr>
          <w:p w14:paraId="45CA15A5" w14:textId="77777777" w:rsidR="00927B43" w:rsidRDefault="00927B43">
            <w:pPr>
              <w:autoSpaceDE w:val="0"/>
              <w:autoSpaceDN w:val="0"/>
              <w:adjustRightInd w:val="0"/>
              <w:jc w:val="center"/>
            </w:pPr>
            <w:r>
              <w:t>153</w:t>
            </w:r>
          </w:p>
          <w:p w14:paraId="74AD2724" w14:textId="77777777" w:rsidR="00927B43" w:rsidRDefault="00927B43">
            <w:pPr>
              <w:jc w:val="center"/>
              <w:rPr>
                <w:b/>
              </w:rPr>
            </w:pPr>
            <w:r>
              <w:t>(137, 170)</w:t>
            </w:r>
          </w:p>
        </w:tc>
      </w:tr>
      <w:tr w:rsidR="00927B43" w14:paraId="5C90B3B2" w14:textId="77777777" w:rsidTr="00D54FFA">
        <w:trPr>
          <w:trHeight w:val="249"/>
        </w:trPr>
        <w:tc>
          <w:tcPr>
            <w:tcW w:w="2724" w:type="dxa"/>
            <w:tcBorders>
              <w:top w:val="single" w:sz="4" w:space="0" w:color="auto"/>
              <w:left w:val="single" w:sz="4" w:space="0" w:color="auto"/>
              <w:bottom w:val="single" w:sz="4" w:space="0" w:color="auto"/>
              <w:right w:val="single" w:sz="4" w:space="0" w:color="auto"/>
            </w:tcBorders>
            <w:hideMark/>
          </w:tcPr>
          <w:p w14:paraId="34F35DCE" w14:textId="77777777" w:rsidR="00927B43" w:rsidRDefault="00927B43">
            <w:pPr>
              <w:rPr>
                <w:b/>
              </w:rPr>
            </w:pPr>
            <w:r>
              <w:t>1 til 5 år (n=38)</w:t>
            </w:r>
          </w:p>
        </w:tc>
        <w:tc>
          <w:tcPr>
            <w:tcW w:w="3508" w:type="dxa"/>
            <w:tcBorders>
              <w:top w:val="single" w:sz="4" w:space="0" w:color="auto"/>
              <w:left w:val="single" w:sz="4" w:space="0" w:color="auto"/>
              <w:bottom w:val="single" w:sz="4" w:space="0" w:color="auto"/>
              <w:right w:val="single" w:sz="4" w:space="0" w:color="auto"/>
            </w:tcBorders>
            <w:hideMark/>
          </w:tcPr>
          <w:p w14:paraId="77627E9A" w14:textId="77777777" w:rsidR="00927B43" w:rsidRDefault="00927B43">
            <w:pPr>
              <w:autoSpaceDE w:val="0"/>
              <w:autoSpaceDN w:val="0"/>
              <w:adjustRightInd w:val="0"/>
              <w:jc w:val="center"/>
            </w:pPr>
            <w:r>
              <w:t>11,6</w:t>
            </w:r>
          </w:p>
          <w:p w14:paraId="189FC0D3" w14:textId="77777777" w:rsidR="00927B43" w:rsidRDefault="00927B43">
            <w:pPr>
              <w:jc w:val="center"/>
              <w:rPr>
                <w:b/>
              </w:rPr>
            </w:pPr>
            <w:r>
              <w:t>(10,4, 12,9)</w:t>
            </w:r>
          </w:p>
        </w:tc>
        <w:tc>
          <w:tcPr>
            <w:tcW w:w="3194" w:type="dxa"/>
            <w:tcBorders>
              <w:top w:val="single" w:sz="4" w:space="0" w:color="auto"/>
              <w:left w:val="single" w:sz="4" w:space="0" w:color="auto"/>
              <w:bottom w:val="single" w:sz="4" w:space="0" w:color="auto"/>
              <w:right w:val="single" w:sz="4" w:space="0" w:color="auto"/>
            </w:tcBorders>
            <w:hideMark/>
          </w:tcPr>
          <w:p w14:paraId="43B52144" w14:textId="77777777" w:rsidR="00927B43" w:rsidRDefault="00927B43">
            <w:pPr>
              <w:autoSpaceDE w:val="0"/>
              <w:autoSpaceDN w:val="0"/>
              <w:adjustRightInd w:val="0"/>
              <w:jc w:val="center"/>
            </w:pPr>
            <w:r>
              <w:t>162</w:t>
            </w:r>
          </w:p>
          <w:p w14:paraId="16C9F38A" w14:textId="77777777" w:rsidR="00927B43" w:rsidRDefault="00927B43">
            <w:pPr>
              <w:jc w:val="center"/>
              <w:rPr>
                <w:b/>
              </w:rPr>
            </w:pPr>
            <w:r>
              <w:t>(139, 187)</w:t>
            </w:r>
          </w:p>
        </w:tc>
      </w:tr>
    </w:tbl>
    <w:p w14:paraId="364AA734" w14:textId="77777777" w:rsidR="00927B43" w:rsidRPr="00D54FFA" w:rsidRDefault="00927B43" w:rsidP="00927B43">
      <w:pPr>
        <w:autoSpaceDE w:val="0"/>
        <w:autoSpaceDN w:val="0"/>
        <w:adjustRightInd w:val="0"/>
        <w:rPr>
          <w:sz w:val="20"/>
        </w:rPr>
      </w:pPr>
      <w:r w:rsidRPr="00D54FFA">
        <w:rPr>
          <w:sz w:val="20"/>
        </w:rPr>
        <w:t>Data præsenteret som geometrisk middelværdi (95 % CI). AUC</w:t>
      </w:r>
      <w:r w:rsidRPr="00D54FFA">
        <w:rPr>
          <w:sz w:val="20"/>
          <w:vertAlign w:val="subscript"/>
        </w:rPr>
        <w:t>(0-</w:t>
      </w:r>
      <w:r w:rsidRPr="00D54FFA">
        <w:rPr>
          <w:rFonts w:ascii="Symbol" w:hAnsi="Symbol"/>
          <w:sz w:val="20"/>
          <w:vertAlign w:val="subscript"/>
        </w:rPr>
        <w:t></w:t>
      </w:r>
      <w:r w:rsidRPr="00D54FFA">
        <w:rPr>
          <w:sz w:val="20"/>
          <w:vertAlign w:val="subscript"/>
        </w:rPr>
        <w:t>)</w:t>
      </w:r>
      <w:r w:rsidRPr="00D54FFA">
        <w:rPr>
          <w:sz w:val="20"/>
        </w:rPr>
        <w:t xml:space="preserve"> og C</w:t>
      </w:r>
      <w:r w:rsidRPr="00D54FFA">
        <w:rPr>
          <w:sz w:val="20"/>
          <w:vertAlign w:val="subscript"/>
        </w:rPr>
        <w:t>max</w:t>
      </w:r>
      <w:r w:rsidRPr="00D54FFA">
        <w:rPr>
          <w:sz w:val="20"/>
        </w:rPr>
        <w:t xml:space="preserve"> baseret på post-hoc</w:t>
      </w:r>
    </w:p>
    <w:p w14:paraId="68FD532D" w14:textId="77777777" w:rsidR="00927B43" w:rsidRPr="00D54FFA" w:rsidRDefault="00927B43" w:rsidP="00927B43">
      <w:pPr>
        <w:autoSpaceDE w:val="0"/>
        <w:autoSpaceDN w:val="0"/>
        <w:adjustRightInd w:val="0"/>
        <w:rPr>
          <w:sz w:val="20"/>
          <w:highlight w:val="green"/>
        </w:rPr>
      </w:pPr>
      <w:r w:rsidRPr="00D54FFA">
        <w:rPr>
          <w:sz w:val="20"/>
        </w:rPr>
        <w:lastRenderedPageBreak/>
        <w:t>estimater af populations-PK.</w:t>
      </w:r>
    </w:p>
    <w:p w14:paraId="596CC4A8" w14:textId="77777777" w:rsidR="00927B43" w:rsidRDefault="00927B43" w:rsidP="00927B43">
      <w:pPr>
        <w:autoSpaceDE w:val="0"/>
        <w:autoSpaceDN w:val="0"/>
        <w:adjustRightInd w:val="0"/>
        <w:jc w:val="both"/>
      </w:pPr>
    </w:p>
    <w:p w14:paraId="03B012B7" w14:textId="77777777" w:rsidR="009260DE" w:rsidRPr="00C84483" w:rsidRDefault="009260DE" w:rsidP="009260DE">
      <w:pPr>
        <w:tabs>
          <w:tab w:val="left" w:pos="851"/>
        </w:tabs>
        <w:ind w:left="851"/>
        <w:rPr>
          <w:sz w:val="24"/>
          <w:szCs w:val="24"/>
        </w:rPr>
      </w:pPr>
    </w:p>
    <w:p w14:paraId="14CA995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FAC44E9" w14:textId="77777777" w:rsidR="00927B43" w:rsidRPr="00200799" w:rsidRDefault="00927B43" w:rsidP="00200799">
      <w:pPr>
        <w:autoSpaceDE w:val="0"/>
        <w:autoSpaceDN w:val="0"/>
        <w:adjustRightInd w:val="0"/>
        <w:ind w:left="851"/>
        <w:rPr>
          <w:b/>
          <w:bCs/>
          <w:sz w:val="24"/>
          <w:szCs w:val="24"/>
        </w:rPr>
      </w:pPr>
    </w:p>
    <w:p w14:paraId="7EDC5F87" w14:textId="77777777" w:rsidR="00927B43" w:rsidRPr="00200799" w:rsidRDefault="00927B43" w:rsidP="00200799">
      <w:pPr>
        <w:autoSpaceDE w:val="0"/>
        <w:autoSpaceDN w:val="0"/>
        <w:adjustRightInd w:val="0"/>
        <w:ind w:left="851"/>
        <w:rPr>
          <w:sz w:val="24"/>
          <w:szCs w:val="24"/>
          <w:u w:val="single"/>
        </w:rPr>
      </w:pPr>
      <w:r w:rsidRPr="00200799">
        <w:rPr>
          <w:sz w:val="24"/>
          <w:szCs w:val="24"/>
          <w:u w:val="single"/>
        </w:rPr>
        <w:t>Sikkerhedsfarmakologi og toksicitet efter gentagne doser</w:t>
      </w:r>
    </w:p>
    <w:p w14:paraId="14CEF4B8" w14:textId="77777777" w:rsidR="00927B43" w:rsidRPr="00200799" w:rsidRDefault="00927B43" w:rsidP="00200799">
      <w:pPr>
        <w:autoSpaceDE w:val="0"/>
        <w:autoSpaceDN w:val="0"/>
        <w:adjustRightInd w:val="0"/>
        <w:ind w:left="851"/>
        <w:rPr>
          <w:sz w:val="24"/>
          <w:szCs w:val="24"/>
        </w:rPr>
      </w:pPr>
      <w:r w:rsidRPr="00200799">
        <w:rPr>
          <w:sz w:val="24"/>
          <w:szCs w:val="24"/>
        </w:rPr>
        <w:t>Eltrombopag stimulerer ikke trombocytproduktionen hos mus, rotter eller hunde pga. en særlig TPO-R-specificitet. Derfor udgør data fra disse dyr ikke en reel model for bivirkninger relateret til eltrombopags farmakologi hos mennesker inklusive reproduktions- og karcinogenicitetsstudier.</w:t>
      </w:r>
    </w:p>
    <w:p w14:paraId="628F025F" w14:textId="77777777" w:rsidR="00927B43" w:rsidRPr="00200799" w:rsidRDefault="00927B43" w:rsidP="00200799">
      <w:pPr>
        <w:autoSpaceDE w:val="0"/>
        <w:autoSpaceDN w:val="0"/>
        <w:adjustRightInd w:val="0"/>
        <w:ind w:left="851"/>
        <w:rPr>
          <w:sz w:val="24"/>
          <w:szCs w:val="24"/>
          <w:highlight w:val="green"/>
        </w:rPr>
      </w:pPr>
    </w:p>
    <w:p w14:paraId="235AD3F3" w14:textId="77777777" w:rsidR="00927B43" w:rsidRPr="00200799" w:rsidRDefault="00927B43" w:rsidP="00200799">
      <w:pPr>
        <w:autoSpaceDE w:val="0"/>
        <w:autoSpaceDN w:val="0"/>
        <w:adjustRightInd w:val="0"/>
        <w:ind w:left="851"/>
        <w:rPr>
          <w:sz w:val="24"/>
          <w:szCs w:val="24"/>
        </w:rPr>
      </w:pPr>
      <w:r w:rsidRPr="00200799">
        <w:rPr>
          <w:sz w:val="24"/>
          <w:szCs w:val="24"/>
        </w:rPr>
        <w:t>Behandlingsrelateret katarakt sås hos gnavere og var dosis- og tidsafhængig. Ved ≥ 6 gange den humane kliniske eksponering hos voksne ITP-patienter ved doser på 75 mg/dag og 3 gange den humane kliniske eksponering hos voksne HCV-patienter ved doser på 100 mg/dag, baseret på AUC, sås katarakt hos mus efter 6 ugers administration og hos rotter efter 28 ugers administration. Ved ≥ 4 gange den humane kliniske eksponering hos ITP-patienter ved doser på 75 mg/dag og 2 gange 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 75 mg/dag baseret på AUC. Der blev dog ikke observeret kararakt hos rotteunger, der fik tolererede doser på 5 gange den humane kliniske eksponering hos pædiatriske ITP-patienter baseret på AUC. Der er ikke observeret katarakt hos voksne hunde efter 52 ugers administration ved 2 gange den humane kliniske eksponering hos voksne eller pædriatriske ITP-patienter ved doser på 75 mg/dag, og ved eksponeringer, der er ækvivalente med den humane kliniske eksponering hos HCV-patienter ved doser på 100 mg/dag, baseret på AUC).</w:t>
      </w:r>
    </w:p>
    <w:p w14:paraId="6E81D828" w14:textId="77777777" w:rsidR="00927B43" w:rsidRPr="00200799" w:rsidRDefault="00927B43" w:rsidP="00200799">
      <w:pPr>
        <w:autoSpaceDE w:val="0"/>
        <w:autoSpaceDN w:val="0"/>
        <w:adjustRightInd w:val="0"/>
        <w:ind w:left="851"/>
        <w:rPr>
          <w:sz w:val="24"/>
          <w:szCs w:val="24"/>
          <w:highlight w:val="green"/>
        </w:rPr>
      </w:pPr>
    </w:p>
    <w:p w14:paraId="064E704B" w14:textId="77777777" w:rsidR="00927B43" w:rsidRPr="00200799" w:rsidRDefault="00927B43" w:rsidP="00200799">
      <w:pPr>
        <w:autoSpaceDE w:val="0"/>
        <w:autoSpaceDN w:val="0"/>
        <w:adjustRightInd w:val="0"/>
        <w:ind w:left="851"/>
        <w:rPr>
          <w:sz w:val="24"/>
          <w:szCs w:val="24"/>
        </w:rPr>
      </w:pPr>
      <w:r w:rsidRPr="00200799">
        <w:rPr>
          <w:sz w:val="24"/>
          <w:szCs w:val="24"/>
        </w:rPr>
        <w:t>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 den humane kliniske eksponering hos HCV-patienter ved doser på 100 mg/dag, baseret på AUC. Der sås ingen renal påvirkning hos rotter efter 28 uger, eller hos hunde efter 52 uger, ved eksponeringer, der var hhv. 4 og 2 gange så store som den humane kliniske eksponering hos voksne ITP-patienter og 3 og 2 gange den humane kliniske eksponering hos pædiatriske ITP-patienter ved doser på 75 mg/dag, og ved eksponeringer, der er ækvivalente med den humane kliniske eksponering hos HCV-patienter ved doser på 100 mg/dag, baseret på AUC.</w:t>
      </w:r>
    </w:p>
    <w:p w14:paraId="0A36A72B" w14:textId="77777777" w:rsidR="00927B43" w:rsidRPr="00200799" w:rsidRDefault="00927B43" w:rsidP="00200799">
      <w:pPr>
        <w:autoSpaceDE w:val="0"/>
        <w:autoSpaceDN w:val="0"/>
        <w:adjustRightInd w:val="0"/>
        <w:ind w:left="851"/>
        <w:rPr>
          <w:sz w:val="24"/>
          <w:szCs w:val="24"/>
          <w:highlight w:val="green"/>
        </w:rPr>
      </w:pPr>
    </w:p>
    <w:p w14:paraId="6DB7DFC1" w14:textId="77777777" w:rsidR="00927B43" w:rsidRPr="00200799" w:rsidRDefault="00927B43" w:rsidP="00200799">
      <w:pPr>
        <w:autoSpaceDE w:val="0"/>
        <w:autoSpaceDN w:val="0"/>
        <w:adjustRightInd w:val="0"/>
        <w:ind w:left="851"/>
        <w:rPr>
          <w:sz w:val="24"/>
          <w:szCs w:val="24"/>
        </w:rPr>
      </w:pPr>
      <w:r w:rsidRPr="00200799">
        <w:rPr>
          <w:sz w:val="24"/>
          <w:szCs w:val="24"/>
        </w:rPr>
        <w:t xml:space="preserve">Hepatocyt-degenerering og/eller -nekroser, der ofte er ledsaget af et øget niveau af serumleverenzymer, blev observeret hos mus, rotter og hunde i doser, der forbindes med morbiditet og mortalitet eller som tåles dårligt. Der blev ikke observeret leverpåvirkning efter kronisk administration hos rotter (28 uger) og hos hunde (52 uger) ved eksponeringer, der var 4 og 2 gange den humane kliniske eksponering hos voksne ITP-patienter og 3 eller 2 gange den humane kliniske eksponering hos pædiatriske ITP-patienter ved doser på 75 </w:t>
      </w:r>
      <w:r w:rsidRPr="00200799">
        <w:rPr>
          <w:sz w:val="24"/>
          <w:szCs w:val="24"/>
        </w:rPr>
        <w:lastRenderedPageBreak/>
        <w:t>mg/dag, og ved eksponeringer, der er 2 gange eller ækvivalente med den humane kliniske eksponering hos HCV-patienter ved doser på 100 mg/dag, baseret på AUC.</w:t>
      </w:r>
    </w:p>
    <w:p w14:paraId="420FE5BA" w14:textId="77777777" w:rsidR="00927B43" w:rsidRPr="00200799" w:rsidRDefault="00927B43" w:rsidP="00200799">
      <w:pPr>
        <w:autoSpaceDE w:val="0"/>
        <w:autoSpaceDN w:val="0"/>
        <w:adjustRightInd w:val="0"/>
        <w:ind w:left="851"/>
        <w:rPr>
          <w:sz w:val="24"/>
          <w:szCs w:val="24"/>
        </w:rPr>
      </w:pPr>
    </w:p>
    <w:p w14:paraId="76ECD8B9" w14:textId="77777777" w:rsidR="00927B43" w:rsidRPr="00200799" w:rsidRDefault="00927B43" w:rsidP="00200799">
      <w:pPr>
        <w:autoSpaceDE w:val="0"/>
        <w:autoSpaceDN w:val="0"/>
        <w:adjustRightInd w:val="0"/>
        <w:ind w:left="851"/>
        <w:rPr>
          <w:sz w:val="24"/>
          <w:szCs w:val="24"/>
        </w:rPr>
      </w:pPr>
      <w:r w:rsidRPr="00200799">
        <w:rPr>
          <w:sz w:val="24"/>
          <w:szCs w:val="24"/>
        </w:rPr>
        <w:t>I korttidsstudier sås et fald i retikulocyttal og regenerativ hyperplasi af de røde blodlegemer (kun hos rotter) ved doser, der blev dårligt tålt af rotter og hunde (&gt; 10 eller 7 gange den humane kliniske eksponering hos voksne eller pædiatriske ITP-patienter ved doser på 75 mg/dag og &gt; 4 gange den humane kliniske eksponering hos HCV-patienter ved doser på 100 mg/dag, baseret på AUC). Der var ingen påvirkning af betydning på den røde cellemasse eller retikulocyttallet efter administration i op til 28 uger hos rotter, 52 uger hos hunde og 2 år hos mus eller rotter ved maksimalt tålte doser, som var 2-4 gange den humane kliniske eksponering hos voksne eller pædiatriske ITP-patienter ved doser på 75 mg/dag og ≤ 2 gange den humane kliniske eksponering hos HCV-patienter ved doser på 100 mg/dag, baseret på AUC.</w:t>
      </w:r>
    </w:p>
    <w:p w14:paraId="77432E56" w14:textId="77777777" w:rsidR="00927B43" w:rsidRPr="00200799" w:rsidRDefault="00927B43" w:rsidP="00200799">
      <w:pPr>
        <w:autoSpaceDE w:val="0"/>
        <w:autoSpaceDN w:val="0"/>
        <w:adjustRightInd w:val="0"/>
        <w:ind w:left="851"/>
        <w:rPr>
          <w:sz w:val="24"/>
          <w:szCs w:val="24"/>
          <w:highlight w:val="green"/>
        </w:rPr>
      </w:pPr>
    </w:p>
    <w:p w14:paraId="67558044" w14:textId="77777777" w:rsidR="00927B43" w:rsidRPr="00200799" w:rsidRDefault="00927B43" w:rsidP="00200799">
      <w:pPr>
        <w:autoSpaceDE w:val="0"/>
        <w:autoSpaceDN w:val="0"/>
        <w:adjustRightInd w:val="0"/>
        <w:ind w:left="851"/>
        <w:rPr>
          <w:sz w:val="24"/>
          <w:szCs w:val="24"/>
        </w:rPr>
      </w:pPr>
      <w:r w:rsidRPr="00200799">
        <w:rPr>
          <w:sz w:val="24"/>
          <w:szCs w:val="24"/>
        </w:rPr>
        <w:t>Endosteal hyperostose blev observeret i et 28 uger langt toksicitetsstudie med rotter med ikke-tålbare doser på 60 mg/kg/dag (6 eller 4 gange den humane kliniske eksponering voksne eller pædiatriske hos ITP-patienter ved doser på 75 mg/dag og 3 gange den humane kliniske eksponering hos HCVpatienter ved doser på 100 mg/dag, baseret på AUC). 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14:paraId="5626A79D" w14:textId="77777777" w:rsidR="00927B43" w:rsidRPr="00200799" w:rsidRDefault="00927B43" w:rsidP="00200799">
      <w:pPr>
        <w:autoSpaceDE w:val="0"/>
        <w:autoSpaceDN w:val="0"/>
        <w:adjustRightInd w:val="0"/>
        <w:ind w:left="851"/>
        <w:rPr>
          <w:sz w:val="24"/>
          <w:szCs w:val="24"/>
          <w:highlight w:val="green"/>
        </w:rPr>
      </w:pPr>
    </w:p>
    <w:p w14:paraId="23F915FE" w14:textId="77777777" w:rsidR="00927B43" w:rsidRPr="00200799" w:rsidRDefault="00927B43" w:rsidP="00200799">
      <w:pPr>
        <w:autoSpaceDE w:val="0"/>
        <w:autoSpaceDN w:val="0"/>
        <w:adjustRightInd w:val="0"/>
        <w:ind w:left="851"/>
        <w:rPr>
          <w:sz w:val="24"/>
          <w:szCs w:val="24"/>
          <w:highlight w:val="green"/>
          <w:u w:val="single"/>
        </w:rPr>
      </w:pPr>
      <w:r w:rsidRPr="00200799">
        <w:rPr>
          <w:sz w:val="24"/>
          <w:szCs w:val="24"/>
          <w:u w:val="single"/>
        </w:rPr>
        <w:t>Karcinogenicitet og mutagenicitet</w:t>
      </w:r>
    </w:p>
    <w:p w14:paraId="556516FD" w14:textId="77777777" w:rsidR="00927B43" w:rsidRPr="00200799" w:rsidRDefault="00927B43" w:rsidP="00200799">
      <w:pPr>
        <w:autoSpaceDE w:val="0"/>
        <w:autoSpaceDN w:val="0"/>
        <w:adjustRightInd w:val="0"/>
        <w:ind w:left="851"/>
        <w:rPr>
          <w:sz w:val="24"/>
          <w:szCs w:val="24"/>
        </w:rPr>
      </w:pPr>
      <w:r w:rsidRPr="00200799">
        <w:rPr>
          <w:sz w:val="24"/>
          <w:szCs w:val="24"/>
        </w:rPr>
        <w:t xml:space="preserve">Eltrombopag var ikke karcinogent i mus ved doser på op til 75 mg/kg/dag eller hos rotter ved 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to </w:t>
      </w:r>
      <w:r w:rsidRPr="00200799">
        <w:rPr>
          <w:i/>
          <w:iCs/>
          <w:sz w:val="24"/>
          <w:szCs w:val="24"/>
        </w:rPr>
        <w:t>in vivo</w:t>
      </w:r>
      <w:r w:rsidRPr="00200799">
        <w:rPr>
          <w:sz w:val="24"/>
          <w:szCs w:val="24"/>
        </w:rPr>
        <w:t>-analyser med rotter (mikronukleus og uplanlagt DNA-syntese, 10 gange eller 8 gange den humane kliniske eksponering hos voksne eller pædiatriske ITP-patienter ved doser på 75 mg/dag og 7 gange den humane kliniske eksponering hos HCV-patienter ved doser på 100 mg/dag, baseret på C</w:t>
      </w:r>
      <w:r w:rsidRPr="00200799">
        <w:rPr>
          <w:sz w:val="24"/>
          <w:szCs w:val="24"/>
          <w:vertAlign w:val="subscript"/>
        </w:rPr>
        <w:t>max</w:t>
      </w:r>
      <w:r w:rsidRPr="00200799">
        <w:rPr>
          <w:sz w:val="24"/>
          <w:szCs w:val="24"/>
        </w:rPr>
        <w:t xml:space="preserve">). I </w:t>
      </w:r>
      <w:r w:rsidRPr="00200799">
        <w:rPr>
          <w:i/>
          <w:iCs/>
          <w:sz w:val="24"/>
          <w:szCs w:val="24"/>
        </w:rPr>
        <w:t>in vitro</w:t>
      </w:r>
      <w:r w:rsidRPr="00200799">
        <w:rPr>
          <w:sz w:val="24"/>
          <w:szCs w:val="24"/>
        </w:rPr>
        <w:t xml:space="preserve">-analysen med muselymfomer var eltrombopag marginalt positivt (&lt; 3 gange forøget mutationshyppighed). Disse </w:t>
      </w:r>
      <w:r w:rsidRPr="00200799">
        <w:rPr>
          <w:i/>
          <w:iCs/>
          <w:sz w:val="24"/>
          <w:szCs w:val="24"/>
        </w:rPr>
        <w:t>in vitro</w:t>
      </w:r>
      <w:r w:rsidRPr="00200799">
        <w:rPr>
          <w:sz w:val="24"/>
          <w:szCs w:val="24"/>
        </w:rPr>
        <w:t xml:space="preserve">- og </w:t>
      </w:r>
      <w:r w:rsidRPr="00200799">
        <w:rPr>
          <w:i/>
          <w:iCs/>
          <w:sz w:val="24"/>
          <w:szCs w:val="24"/>
        </w:rPr>
        <w:t>in vivo</w:t>
      </w:r>
      <w:r w:rsidRPr="00200799">
        <w:rPr>
          <w:sz w:val="24"/>
          <w:szCs w:val="24"/>
        </w:rPr>
        <w:t>-fund tyder på, at eltrombopag ikke udgør nogen genotoksisk risiko for mennesker.</w:t>
      </w:r>
    </w:p>
    <w:p w14:paraId="222FC25A" w14:textId="77777777" w:rsidR="00927B43" w:rsidRPr="00200799" w:rsidRDefault="00927B43" w:rsidP="00200799">
      <w:pPr>
        <w:autoSpaceDE w:val="0"/>
        <w:autoSpaceDN w:val="0"/>
        <w:adjustRightInd w:val="0"/>
        <w:ind w:left="851"/>
        <w:rPr>
          <w:sz w:val="24"/>
          <w:szCs w:val="24"/>
          <w:highlight w:val="green"/>
        </w:rPr>
      </w:pPr>
    </w:p>
    <w:p w14:paraId="1D3FB364" w14:textId="77777777" w:rsidR="00927B43" w:rsidRPr="00200799" w:rsidRDefault="00927B43" w:rsidP="00200799">
      <w:pPr>
        <w:autoSpaceDE w:val="0"/>
        <w:autoSpaceDN w:val="0"/>
        <w:adjustRightInd w:val="0"/>
        <w:ind w:left="851"/>
        <w:rPr>
          <w:sz w:val="24"/>
          <w:szCs w:val="24"/>
          <w:highlight w:val="green"/>
          <w:u w:val="single"/>
        </w:rPr>
      </w:pPr>
      <w:r w:rsidRPr="00200799">
        <w:rPr>
          <w:sz w:val="24"/>
          <w:szCs w:val="24"/>
          <w:u w:val="single"/>
        </w:rPr>
        <w:t>Reproduktionstoksicitet</w:t>
      </w:r>
    </w:p>
    <w:p w14:paraId="1C1C85FA" w14:textId="77777777" w:rsidR="00927B43" w:rsidRPr="00200799" w:rsidRDefault="00927B43" w:rsidP="00200799">
      <w:pPr>
        <w:autoSpaceDE w:val="0"/>
        <w:autoSpaceDN w:val="0"/>
        <w:adjustRightInd w:val="0"/>
        <w:ind w:left="851"/>
        <w:rPr>
          <w:sz w:val="24"/>
          <w:szCs w:val="24"/>
        </w:rPr>
      </w:pPr>
      <w:r w:rsidRPr="00200799">
        <w:rPr>
          <w:sz w:val="24"/>
          <w:szCs w:val="24"/>
        </w:rPr>
        <w:t xml:space="preserve">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 mg/dag, baseret på AUC). Der sås heller ingen virkning på fosterudviklingen hos kaniner ved doser på op til 150 mg/kg/dag –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 HCV-patienter ved doser på 100 mg/dag, baseret på AUC) forbundet med fosterletalitet (øget præ-og post-implantationstab) og reduceret foster- og uterusvægt under graviditet i fertilitetsstudiet med hunner samt en lav forekomst af cervikale ribben og nedsat fostervægt i fosterudviklingsstudiet. Eltrombopag bør kun anvendes under </w:t>
      </w:r>
      <w:r w:rsidRPr="00200799">
        <w:rPr>
          <w:sz w:val="24"/>
          <w:szCs w:val="24"/>
        </w:rPr>
        <w:lastRenderedPageBreak/>
        <w:t>graviditet, hvis de forventede fordele opvejer den potentielle risiko for fosteret (se pkt. 4.6). Eltrombopag påvirkede ikke fertiliteten hos hanrotter i doser på op til 40 mg/kg/dag – den højeste testede dosis (3 gange den humane kliniske eksponering hos ITP-patienter ved doser på 75 mg/dag og 2 gange den humane kliniske eksponering hos HCV-patienter ved doser på 100 mg/dag, baseret på AUC). I det præ- og postnatale udviklingsstudie hos rotter sås ingen uønskede påvirkninger af graviditeten, fødslen eller diegivningen hos F</w:t>
      </w:r>
      <w:r w:rsidRPr="00200799">
        <w:rPr>
          <w:sz w:val="24"/>
          <w:szCs w:val="24"/>
          <w:vertAlign w:val="subscript"/>
        </w:rPr>
        <w:t>0</w:t>
      </w:r>
      <w:r w:rsidRPr="00200799">
        <w:rPr>
          <w:sz w:val="24"/>
          <w:szCs w:val="24"/>
        </w:rPr>
        <w:t>-hunrotter ved en maternel, ikke-toksiske doser (10 og 20 mg/kg/dag). Endvidere sås ingen påvirkning af vækst, udvikling, neurologisk adfærd eller de reproduktive evner hos afkommet (F</w:t>
      </w:r>
      <w:r w:rsidRPr="00200799">
        <w:rPr>
          <w:sz w:val="24"/>
          <w:szCs w:val="24"/>
          <w:vertAlign w:val="subscript"/>
        </w:rPr>
        <w:t>1</w:t>
      </w:r>
      <w:r w:rsidRPr="00200799">
        <w:rPr>
          <w:sz w:val="24"/>
          <w:szCs w:val="24"/>
        </w:rPr>
        <w:t>). Eltrombopag blev fundet i plasma hos alle F</w:t>
      </w:r>
      <w:r w:rsidRPr="00200799">
        <w:rPr>
          <w:sz w:val="24"/>
          <w:szCs w:val="24"/>
          <w:vertAlign w:val="subscript"/>
        </w:rPr>
        <w:t>1</w:t>
      </w:r>
      <w:r w:rsidRPr="00200799">
        <w:rPr>
          <w:sz w:val="24"/>
          <w:szCs w:val="24"/>
        </w:rPr>
        <w:t>- rotteunger i hele den 22 timers prøvetagningsperiode efter administration af lægemidlet til F</w:t>
      </w:r>
      <w:r w:rsidRPr="00200799">
        <w:rPr>
          <w:sz w:val="24"/>
          <w:szCs w:val="24"/>
          <w:vertAlign w:val="subscript"/>
        </w:rPr>
        <w:t>0</w:t>
      </w:r>
      <w:r w:rsidRPr="00200799">
        <w:rPr>
          <w:sz w:val="24"/>
          <w:szCs w:val="24"/>
        </w:rPr>
        <w:t>- moderen, hvilket tyder på, at rotteynglen vil optage eltrombopag gennem diegivningen.</w:t>
      </w:r>
    </w:p>
    <w:p w14:paraId="0D4C7767" w14:textId="77777777" w:rsidR="00927B43" w:rsidRPr="00200799" w:rsidRDefault="00927B43" w:rsidP="00200799">
      <w:pPr>
        <w:autoSpaceDE w:val="0"/>
        <w:autoSpaceDN w:val="0"/>
        <w:adjustRightInd w:val="0"/>
        <w:ind w:left="851"/>
        <w:rPr>
          <w:sz w:val="24"/>
          <w:szCs w:val="24"/>
          <w:highlight w:val="green"/>
        </w:rPr>
      </w:pPr>
    </w:p>
    <w:p w14:paraId="498D6B02" w14:textId="77777777" w:rsidR="00927B43" w:rsidRPr="00200799" w:rsidRDefault="00927B43" w:rsidP="00200799">
      <w:pPr>
        <w:autoSpaceDE w:val="0"/>
        <w:autoSpaceDN w:val="0"/>
        <w:adjustRightInd w:val="0"/>
        <w:ind w:left="851"/>
        <w:rPr>
          <w:sz w:val="24"/>
          <w:szCs w:val="24"/>
          <w:highlight w:val="green"/>
          <w:u w:val="single"/>
        </w:rPr>
      </w:pPr>
      <w:r w:rsidRPr="00200799">
        <w:rPr>
          <w:sz w:val="24"/>
          <w:szCs w:val="24"/>
          <w:u w:val="single"/>
        </w:rPr>
        <w:t>Fototoksicitet</w:t>
      </w:r>
    </w:p>
    <w:p w14:paraId="5D22B98A" w14:textId="77777777" w:rsidR="00927B43" w:rsidRPr="00200799" w:rsidRDefault="00927B43" w:rsidP="00200799">
      <w:pPr>
        <w:autoSpaceDE w:val="0"/>
        <w:autoSpaceDN w:val="0"/>
        <w:adjustRightInd w:val="0"/>
        <w:ind w:left="851"/>
        <w:rPr>
          <w:sz w:val="24"/>
          <w:szCs w:val="24"/>
        </w:rPr>
      </w:pPr>
      <w:r w:rsidRPr="00200799">
        <w:rPr>
          <w:i/>
          <w:iCs/>
          <w:sz w:val="24"/>
          <w:szCs w:val="24"/>
        </w:rPr>
        <w:t>In vitro</w:t>
      </w:r>
      <w:r w:rsidRPr="00200799">
        <w:rPr>
          <w:sz w:val="24"/>
          <w:szCs w:val="24"/>
        </w:rPr>
        <w:t>-studier med eltrombopag tyder på en potentiel fototoksisk risiko, men hos gnavere var der ingen tegn på kutan fototoksicitet (10 eller 7 gange den humane kliniske eksponering hos voksne 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 3 gange den humane kliniske eksponering hos HCV-patienter ved doser på 100 mg/dag, baseret på AUC). Endvidere viste et klinisk farmakologisk studie med 36 individer, at der ikke var evidens for, at fotosensibiliteten øges efter administration af 75 mg eltrombopag. Dette blev målt ved forsinket fototoksisk indeks. Ikke desto mindre kan en potentiel risiko for fotoallergi ikke udelukkes, idet intet specifikt præklinisk studie kunne udføres.</w:t>
      </w:r>
    </w:p>
    <w:p w14:paraId="1834CC8F" w14:textId="77777777" w:rsidR="00927B43" w:rsidRPr="00200799" w:rsidRDefault="00927B43" w:rsidP="00200799">
      <w:pPr>
        <w:autoSpaceDE w:val="0"/>
        <w:autoSpaceDN w:val="0"/>
        <w:adjustRightInd w:val="0"/>
        <w:ind w:left="851"/>
        <w:rPr>
          <w:sz w:val="24"/>
          <w:szCs w:val="24"/>
          <w:highlight w:val="green"/>
        </w:rPr>
      </w:pPr>
    </w:p>
    <w:p w14:paraId="3C98533B" w14:textId="77777777" w:rsidR="00927B43" w:rsidRPr="00200799" w:rsidRDefault="00927B43" w:rsidP="00200799">
      <w:pPr>
        <w:autoSpaceDE w:val="0"/>
        <w:autoSpaceDN w:val="0"/>
        <w:adjustRightInd w:val="0"/>
        <w:ind w:left="851"/>
        <w:rPr>
          <w:sz w:val="24"/>
          <w:szCs w:val="24"/>
          <w:highlight w:val="green"/>
          <w:u w:val="single"/>
        </w:rPr>
      </w:pPr>
      <w:r w:rsidRPr="00200799">
        <w:rPr>
          <w:sz w:val="24"/>
          <w:szCs w:val="24"/>
          <w:u w:val="single"/>
        </w:rPr>
        <w:t>Juvenile dyrestudier</w:t>
      </w:r>
    </w:p>
    <w:p w14:paraId="1E139EA4" w14:textId="77777777" w:rsidR="00927B43" w:rsidRPr="00200799" w:rsidRDefault="00927B43" w:rsidP="00200799">
      <w:pPr>
        <w:autoSpaceDE w:val="0"/>
        <w:autoSpaceDN w:val="0"/>
        <w:adjustRightInd w:val="0"/>
        <w:ind w:left="851"/>
        <w:rPr>
          <w:sz w:val="24"/>
          <w:szCs w:val="24"/>
        </w:rPr>
      </w:pPr>
      <w:r w:rsidRPr="00200799">
        <w:rPr>
          <w:sz w:val="24"/>
          <w:szCs w:val="24"/>
        </w:rPr>
        <w:t>Ved ikke-tolererede doser i rotteunger før afvænning blev der observeret okulære forandringer. Der sås ingen okulærer forandringer ved tolererede doser (se afsnit ovenfor ‘Sikkerhedsfarmakologi og toksicitet efter gentagne doser’). Ved at tage eksponeringsmarginer baseret på AUC i betragtning, kan det konkluderes, at en risiko for eltrombopag-relateret katarakt ikke kan udelukkes hos pædiatriske patienter. Der var ingen fund hos rotteunger, der tydede på en større risiko for toksicitet med eltrombopagbehandling hos pædiatriske vs. voksne ITP-patienter.</w:t>
      </w:r>
    </w:p>
    <w:p w14:paraId="71B9C1BB" w14:textId="77777777" w:rsidR="00927B43" w:rsidRPr="00200799" w:rsidRDefault="00927B43" w:rsidP="00200799">
      <w:pPr>
        <w:autoSpaceDE w:val="0"/>
        <w:autoSpaceDN w:val="0"/>
        <w:adjustRightInd w:val="0"/>
        <w:ind w:left="851"/>
        <w:rPr>
          <w:b/>
          <w:bCs/>
          <w:sz w:val="24"/>
          <w:szCs w:val="24"/>
        </w:rPr>
      </w:pPr>
    </w:p>
    <w:p w14:paraId="3E290B83" w14:textId="77777777" w:rsidR="009260DE" w:rsidRPr="00C84483" w:rsidRDefault="009260DE" w:rsidP="009260DE">
      <w:pPr>
        <w:tabs>
          <w:tab w:val="left" w:pos="851"/>
        </w:tabs>
        <w:ind w:left="851"/>
        <w:rPr>
          <w:sz w:val="24"/>
          <w:szCs w:val="24"/>
        </w:rPr>
      </w:pPr>
    </w:p>
    <w:p w14:paraId="15CFDEC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2A33397" w14:textId="77777777" w:rsidR="009260DE" w:rsidRPr="00BA09F1" w:rsidRDefault="009260DE" w:rsidP="009260DE">
      <w:pPr>
        <w:tabs>
          <w:tab w:val="left" w:pos="851"/>
        </w:tabs>
        <w:ind w:left="851"/>
        <w:rPr>
          <w:sz w:val="24"/>
          <w:szCs w:val="24"/>
        </w:rPr>
      </w:pPr>
    </w:p>
    <w:p w14:paraId="29FF0EE2"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96F347A" w14:textId="77777777" w:rsidR="00927B43" w:rsidRPr="00927B43" w:rsidRDefault="00927B43" w:rsidP="00927B43">
      <w:pPr>
        <w:tabs>
          <w:tab w:val="left" w:pos="851"/>
        </w:tabs>
        <w:ind w:left="851"/>
        <w:rPr>
          <w:b/>
          <w:bCs/>
          <w:sz w:val="24"/>
          <w:szCs w:val="24"/>
        </w:rPr>
      </w:pPr>
    </w:p>
    <w:p w14:paraId="5A3CFE24" w14:textId="659AABFE" w:rsidR="00927B43" w:rsidRPr="00200799" w:rsidRDefault="00927B43" w:rsidP="00927B43">
      <w:pPr>
        <w:tabs>
          <w:tab w:val="left" w:pos="851"/>
        </w:tabs>
        <w:ind w:left="851"/>
        <w:rPr>
          <w:iCs/>
          <w:sz w:val="24"/>
          <w:szCs w:val="24"/>
          <w:u w:val="single"/>
        </w:rPr>
      </w:pPr>
      <w:r w:rsidRPr="00200799">
        <w:rPr>
          <w:iCs/>
          <w:sz w:val="24"/>
          <w:szCs w:val="24"/>
          <w:u w:val="single"/>
        </w:rPr>
        <w:t>Tabletkerne</w:t>
      </w:r>
    </w:p>
    <w:p w14:paraId="70EE9267" w14:textId="77777777" w:rsidR="00927B43" w:rsidRPr="00927B43" w:rsidRDefault="00927B43" w:rsidP="00927B43">
      <w:pPr>
        <w:tabs>
          <w:tab w:val="left" w:pos="851"/>
        </w:tabs>
        <w:ind w:left="851"/>
        <w:rPr>
          <w:sz w:val="24"/>
          <w:szCs w:val="24"/>
        </w:rPr>
      </w:pPr>
      <w:r w:rsidRPr="00927B43">
        <w:rPr>
          <w:sz w:val="24"/>
          <w:szCs w:val="24"/>
        </w:rPr>
        <w:t xml:space="preserve">Mannitol (E421) </w:t>
      </w:r>
    </w:p>
    <w:p w14:paraId="0B7365C5" w14:textId="77777777" w:rsidR="00927B43" w:rsidRPr="00927B43" w:rsidRDefault="00927B43" w:rsidP="00927B43">
      <w:pPr>
        <w:tabs>
          <w:tab w:val="left" w:pos="851"/>
        </w:tabs>
        <w:ind w:left="851"/>
        <w:rPr>
          <w:sz w:val="24"/>
          <w:szCs w:val="24"/>
        </w:rPr>
      </w:pPr>
      <w:r w:rsidRPr="00927B43">
        <w:rPr>
          <w:sz w:val="24"/>
          <w:szCs w:val="24"/>
        </w:rPr>
        <w:t>Povidon (E1201)</w:t>
      </w:r>
    </w:p>
    <w:p w14:paraId="6513DCDA" w14:textId="77777777" w:rsidR="00927B43" w:rsidRPr="00927B43" w:rsidRDefault="00927B43" w:rsidP="00927B43">
      <w:pPr>
        <w:tabs>
          <w:tab w:val="left" w:pos="851"/>
        </w:tabs>
        <w:ind w:left="851"/>
        <w:rPr>
          <w:sz w:val="24"/>
          <w:szCs w:val="24"/>
        </w:rPr>
      </w:pPr>
      <w:r w:rsidRPr="00927B43">
        <w:rPr>
          <w:sz w:val="24"/>
          <w:szCs w:val="24"/>
        </w:rPr>
        <w:t xml:space="preserve">Mikrokrystallinsk cellulose (E460(i)) </w:t>
      </w:r>
    </w:p>
    <w:p w14:paraId="460C906E" w14:textId="77777777" w:rsidR="00927B43" w:rsidRPr="00927B43" w:rsidRDefault="00927B43" w:rsidP="00927B43">
      <w:pPr>
        <w:tabs>
          <w:tab w:val="left" w:pos="851"/>
        </w:tabs>
        <w:ind w:left="851"/>
        <w:rPr>
          <w:sz w:val="24"/>
          <w:szCs w:val="24"/>
        </w:rPr>
      </w:pPr>
      <w:r w:rsidRPr="00927B43">
        <w:rPr>
          <w:sz w:val="24"/>
          <w:szCs w:val="24"/>
        </w:rPr>
        <w:t>Natriumstivelsesglycolat</w:t>
      </w:r>
    </w:p>
    <w:p w14:paraId="6B0DA1C0" w14:textId="77777777" w:rsidR="00927B43" w:rsidRPr="00927B43" w:rsidRDefault="00927B43" w:rsidP="00927B43">
      <w:pPr>
        <w:tabs>
          <w:tab w:val="left" w:pos="851"/>
        </w:tabs>
        <w:ind w:left="851"/>
        <w:rPr>
          <w:sz w:val="24"/>
          <w:szCs w:val="24"/>
        </w:rPr>
      </w:pPr>
      <w:r w:rsidRPr="00927B43">
        <w:rPr>
          <w:sz w:val="24"/>
          <w:szCs w:val="24"/>
        </w:rPr>
        <w:t>Magnesiumstearat (E470b)</w:t>
      </w:r>
    </w:p>
    <w:p w14:paraId="05034222" w14:textId="77777777" w:rsidR="00927B43" w:rsidRPr="00927B43" w:rsidRDefault="00927B43" w:rsidP="00927B43">
      <w:pPr>
        <w:tabs>
          <w:tab w:val="left" w:pos="851"/>
        </w:tabs>
        <w:ind w:left="851"/>
        <w:rPr>
          <w:i/>
          <w:iCs/>
          <w:sz w:val="24"/>
          <w:szCs w:val="24"/>
          <w:u w:val="single"/>
        </w:rPr>
      </w:pPr>
    </w:p>
    <w:p w14:paraId="690CBDBC" w14:textId="1BB2B8E5" w:rsidR="00927B43" w:rsidRPr="00200799" w:rsidRDefault="00927B43" w:rsidP="00927B43">
      <w:pPr>
        <w:tabs>
          <w:tab w:val="left" w:pos="851"/>
        </w:tabs>
        <w:ind w:left="851"/>
        <w:rPr>
          <w:iCs/>
          <w:sz w:val="24"/>
          <w:szCs w:val="24"/>
          <w:u w:val="single"/>
        </w:rPr>
      </w:pPr>
      <w:r w:rsidRPr="00200799">
        <w:rPr>
          <w:iCs/>
          <w:sz w:val="24"/>
          <w:szCs w:val="24"/>
          <w:u w:val="single"/>
        </w:rPr>
        <w:t>Tabletovertræk</w:t>
      </w:r>
    </w:p>
    <w:p w14:paraId="326BD7DF" w14:textId="77777777" w:rsidR="00200799" w:rsidRPr="00927B43" w:rsidRDefault="00200799" w:rsidP="00927B43">
      <w:pPr>
        <w:tabs>
          <w:tab w:val="left" w:pos="851"/>
        </w:tabs>
        <w:ind w:left="851"/>
        <w:rPr>
          <w:i/>
          <w:iCs/>
          <w:sz w:val="24"/>
          <w:szCs w:val="24"/>
          <w:u w:val="single"/>
        </w:rPr>
      </w:pPr>
    </w:p>
    <w:p w14:paraId="28D7B5A8" w14:textId="77699521" w:rsidR="00927B43" w:rsidRPr="00B1480F" w:rsidRDefault="00927B43" w:rsidP="00927B43">
      <w:pPr>
        <w:tabs>
          <w:tab w:val="left" w:pos="851"/>
        </w:tabs>
        <w:ind w:left="851"/>
        <w:rPr>
          <w:i/>
          <w:sz w:val="24"/>
          <w:szCs w:val="24"/>
          <w:lang w:val="en-US"/>
        </w:rPr>
      </w:pPr>
      <w:r w:rsidRPr="00B1480F">
        <w:rPr>
          <w:i/>
          <w:sz w:val="24"/>
          <w:szCs w:val="24"/>
          <w:lang w:val="en-US"/>
        </w:rPr>
        <w:t>25 mg</w:t>
      </w:r>
    </w:p>
    <w:p w14:paraId="7660B822" w14:textId="77777777" w:rsidR="00927B43" w:rsidRPr="00B1480F" w:rsidRDefault="00927B43" w:rsidP="00927B43">
      <w:pPr>
        <w:tabs>
          <w:tab w:val="left" w:pos="851"/>
        </w:tabs>
        <w:ind w:left="851"/>
        <w:rPr>
          <w:sz w:val="24"/>
          <w:szCs w:val="24"/>
          <w:lang w:val="en-US"/>
        </w:rPr>
      </w:pPr>
      <w:r w:rsidRPr="00B1480F">
        <w:rPr>
          <w:sz w:val="24"/>
          <w:szCs w:val="24"/>
          <w:lang w:val="en-US"/>
        </w:rPr>
        <w:t xml:space="preserve">Hypromellose (E464) </w:t>
      </w:r>
    </w:p>
    <w:p w14:paraId="7784E2D7" w14:textId="77777777" w:rsidR="00927B43" w:rsidRPr="00B1480F" w:rsidRDefault="00927B43" w:rsidP="00927B43">
      <w:pPr>
        <w:tabs>
          <w:tab w:val="left" w:pos="851"/>
        </w:tabs>
        <w:ind w:left="851"/>
        <w:rPr>
          <w:sz w:val="24"/>
          <w:szCs w:val="24"/>
          <w:lang w:val="en-US"/>
        </w:rPr>
      </w:pPr>
      <w:r w:rsidRPr="00B1480F">
        <w:rPr>
          <w:sz w:val="24"/>
          <w:szCs w:val="24"/>
          <w:lang w:val="en-US"/>
        </w:rPr>
        <w:t>Titandioxid (E171)</w:t>
      </w:r>
    </w:p>
    <w:p w14:paraId="3FFF40ED" w14:textId="77777777" w:rsidR="00927B43" w:rsidRPr="00927B43" w:rsidRDefault="00927B43" w:rsidP="00927B43">
      <w:pPr>
        <w:tabs>
          <w:tab w:val="left" w:pos="851"/>
        </w:tabs>
        <w:ind w:left="851"/>
        <w:rPr>
          <w:sz w:val="24"/>
          <w:szCs w:val="24"/>
          <w:lang w:val="en-US"/>
        </w:rPr>
      </w:pPr>
      <w:r w:rsidRPr="00927B43">
        <w:rPr>
          <w:sz w:val="24"/>
          <w:szCs w:val="24"/>
          <w:lang w:val="en-US"/>
        </w:rPr>
        <w:lastRenderedPageBreak/>
        <w:t xml:space="preserve">Macrogol (E1521)  </w:t>
      </w:r>
    </w:p>
    <w:p w14:paraId="3E6A9073" w14:textId="77777777" w:rsidR="00927B43" w:rsidRPr="00927B43" w:rsidRDefault="00927B43" w:rsidP="00927B43">
      <w:pPr>
        <w:tabs>
          <w:tab w:val="left" w:pos="851"/>
        </w:tabs>
        <w:ind w:left="851"/>
        <w:rPr>
          <w:sz w:val="24"/>
          <w:szCs w:val="24"/>
          <w:lang w:val="en-US"/>
        </w:rPr>
      </w:pPr>
      <w:r w:rsidRPr="00927B43">
        <w:rPr>
          <w:sz w:val="24"/>
          <w:szCs w:val="24"/>
          <w:lang w:val="en-US"/>
        </w:rPr>
        <w:t xml:space="preserve">Jernoxid gul (E172) </w:t>
      </w:r>
    </w:p>
    <w:p w14:paraId="19346924" w14:textId="77777777" w:rsidR="00927B43" w:rsidRPr="00927B43" w:rsidRDefault="00927B43" w:rsidP="00927B43">
      <w:pPr>
        <w:tabs>
          <w:tab w:val="left" w:pos="851"/>
        </w:tabs>
        <w:ind w:left="851"/>
        <w:rPr>
          <w:sz w:val="24"/>
          <w:szCs w:val="24"/>
          <w:lang w:val="en-US"/>
        </w:rPr>
      </w:pPr>
      <w:r w:rsidRPr="00927B43">
        <w:rPr>
          <w:sz w:val="24"/>
          <w:szCs w:val="24"/>
          <w:lang w:val="en-US"/>
        </w:rPr>
        <w:t>Jernoxid rød (E172)</w:t>
      </w:r>
    </w:p>
    <w:p w14:paraId="0AB249FF" w14:textId="77777777" w:rsidR="00927B43" w:rsidRPr="00927B43" w:rsidRDefault="00927B43" w:rsidP="00927B43">
      <w:pPr>
        <w:tabs>
          <w:tab w:val="left" w:pos="851"/>
        </w:tabs>
        <w:ind w:left="851"/>
        <w:rPr>
          <w:sz w:val="24"/>
          <w:szCs w:val="24"/>
          <w:lang w:val="en-US"/>
        </w:rPr>
      </w:pPr>
    </w:p>
    <w:p w14:paraId="74CD6CC9" w14:textId="288B160A" w:rsidR="00927B43" w:rsidRPr="00200799" w:rsidRDefault="00927B43" w:rsidP="00927B43">
      <w:pPr>
        <w:tabs>
          <w:tab w:val="left" w:pos="851"/>
        </w:tabs>
        <w:ind w:left="851"/>
        <w:rPr>
          <w:i/>
          <w:sz w:val="24"/>
          <w:szCs w:val="24"/>
          <w:lang w:val="en-US"/>
        </w:rPr>
      </w:pPr>
      <w:r w:rsidRPr="00200799">
        <w:rPr>
          <w:i/>
          <w:sz w:val="24"/>
          <w:szCs w:val="24"/>
          <w:lang w:val="en-US"/>
        </w:rPr>
        <w:t>50 mg</w:t>
      </w:r>
    </w:p>
    <w:p w14:paraId="07D36138" w14:textId="77777777" w:rsidR="00927B43" w:rsidRPr="00927B43" w:rsidRDefault="00927B43" w:rsidP="00927B43">
      <w:pPr>
        <w:tabs>
          <w:tab w:val="left" w:pos="851"/>
        </w:tabs>
        <w:ind w:left="851"/>
        <w:rPr>
          <w:sz w:val="24"/>
          <w:szCs w:val="24"/>
          <w:lang w:val="en-US"/>
        </w:rPr>
      </w:pPr>
      <w:r w:rsidRPr="00927B43">
        <w:rPr>
          <w:sz w:val="24"/>
          <w:szCs w:val="24"/>
          <w:lang w:val="en-US"/>
        </w:rPr>
        <w:t>Hypromellose (E464)</w:t>
      </w:r>
    </w:p>
    <w:p w14:paraId="5345611B" w14:textId="77777777" w:rsidR="00927B43" w:rsidRPr="00927B43" w:rsidRDefault="00927B43" w:rsidP="00927B43">
      <w:pPr>
        <w:tabs>
          <w:tab w:val="left" w:pos="851"/>
        </w:tabs>
        <w:ind w:left="851"/>
        <w:rPr>
          <w:sz w:val="24"/>
          <w:szCs w:val="24"/>
          <w:lang w:val="en-US"/>
        </w:rPr>
      </w:pPr>
      <w:r w:rsidRPr="00927B43">
        <w:rPr>
          <w:sz w:val="24"/>
          <w:szCs w:val="24"/>
          <w:lang w:val="en-US"/>
        </w:rPr>
        <w:t>Titandioxid (E171)</w:t>
      </w:r>
    </w:p>
    <w:p w14:paraId="27AB38C1" w14:textId="77777777" w:rsidR="00927B43" w:rsidRPr="00927B43" w:rsidRDefault="00927B43" w:rsidP="00927B43">
      <w:pPr>
        <w:tabs>
          <w:tab w:val="left" w:pos="851"/>
        </w:tabs>
        <w:ind w:left="851"/>
        <w:rPr>
          <w:sz w:val="24"/>
          <w:szCs w:val="24"/>
          <w:lang w:val="en-US"/>
        </w:rPr>
      </w:pPr>
      <w:r w:rsidRPr="00927B43">
        <w:rPr>
          <w:sz w:val="24"/>
          <w:szCs w:val="24"/>
          <w:lang w:val="en-US"/>
        </w:rPr>
        <w:t>Macrogol (E1521)</w:t>
      </w:r>
    </w:p>
    <w:p w14:paraId="6EAD05D3" w14:textId="77777777" w:rsidR="00927B43" w:rsidRPr="00927B43" w:rsidRDefault="00927B43" w:rsidP="00927B43">
      <w:pPr>
        <w:tabs>
          <w:tab w:val="left" w:pos="851"/>
        </w:tabs>
        <w:ind w:left="851"/>
        <w:rPr>
          <w:sz w:val="24"/>
          <w:szCs w:val="24"/>
          <w:lang w:val="en-US"/>
        </w:rPr>
      </w:pPr>
      <w:r w:rsidRPr="00927B43">
        <w:rPr>
          <w:sz w:val="24"/>
          <w:szCs w:val="24"/>
          <w:lang w:val="en-US"/>
        </w:rPr>
        <w:t>Indigokarmin aluminiumlak (E132)</w:t>
      </w:r>
    </w:p>
    <w:p w14:paraId="7EC554F4" w14:textId="77777777" w:rsidR="00927B43" w:rsidRPr="00927B43" w:rsidRDefault="00927B43" w:rsidP="00927B43">
      <w:pPr>
        <w:tabs>
          <w:tab w:val="left" w:pos="851"/>
        </w:tabs>
        <w:ind w:left="851"/>
        <w:rPr>
          <w:sz w:val="24"/>
          <w:szCs w:val="24"/>
          <w:lang w:val="en-US"/>
        </w:rPr>
      </w:pPr>
      <w:r w:rsidRPr="00927B43">
        <w:rPr>
          <w:sz w:val="24"/>
          <w:szCs w:val="24"/>
          <w:lang w:val="en-US"/>
        </w:rPr>
        <w:t xml:space="preserve">Jernoxid gul (E172) </w:t>
      </w:r>
    </w:p>
    <w:p w14:paraId="735904A8" w14:textId="77777777" w:rsidR="00927B43" w:rsidRPr="00927B43" w:rsidRDefault="00927B43" w:rsidP="00927B43">
      <w:pPr>
        <w:tabs>
          <w:tab w:val="left" w:pos="851"/>
        </w:tabs>
        <w:ind w:left="851"/>
        <w:rPr>
          <w:sz w:val="24"/>
          <w:szCs w:val="24"/>
          <w:lang w:val="en-US"/>
        </w:rPr>
      </w:pPr>
    </w:p>
    <w:p w14:paraId="39149027" w14:textId="7AD94BA1" w:rsidR="00927B43" w:rsidRPr="00200799" w:rsidRDefault="00927B43" w:rsidP="00927B43">
      <w:pPr>
        <w:tabs>
          <w:tab w:val="left" w:pos="851"/>
        </w:tabs>
        <w:ind w:left="851"/>
        <w:rPr>
          <w:i/>
          <w:sz w:val="24"/>
          <w:szCs w:val="24"/>
          <w:lang w:val="en-US"/>
        </w:rPr>
      </w:pPr>
      <w:r w:rsidRPr="00200799">
        <w:rPr>
          <w:i/>
          <w:sz w:val="24"/>
          <w:szCs w:val="24"/>
          <w:lang w:val="en-US"/>
        </w:rPr>
        <w:t>75 mg</w:t>
      </w:r>
    </w:p>
    <w:p w14:paraId="64EAEA07" w14:textId="77777777" w:rsidR="00927B43" w:rsidRPr="00927B43" w:rsidRDefault="00927B43" w:rsidP="00927B43">
      <w:pPr>
        <w:tabs>
          <w:tab w:val="left" w:pos="851"/>
        </w:tabs>
        <w:ind w:left="851"/>
        <w:rPr>
          <w:sz w:val="24"/>
          <w:szCs w:val="24"/>
          <w:lang w:val="en-US"/>
        </w:rPr>
      </w:pPr>
      <w:r w:rsidRPr="00927B43">
        <w:rPr>
          <w:sz w:val="24"/>
          <w:szCs w:val="24"/>
          <w:lang w:val="en-US"/>
        </w:rPr>
        <w:t>Hypromellose (E464)</w:t>
      </w:r>
    </w:p>
    <w:p w14:paraId="232101C9" w14:textId="77777777" w:rsidR="00927B43" w:rsidRPr="00927B43" w:rsidRDefault="00927B43" w:rsidP="00927B43">
      <w:pPr>
        <w:tabs>
          <w:tab w:val="left" w:pos="851"/>
        </w:tabs>
        <w:ind w:left="851"/>
        <w:rPr>
          <w:sz w:val="24"/>
          <w:szCs w:val="24"/>
          <w:lang w:val="en-US"/>
        </w:rPr>
      </w:pPr>
      <w:r w:rsidRPr="00927B43">
        <w:rPr>
          <w:sz w:val="24"/>
          <w:szCs w:val="24"/>
          <w:lang w:val="en-US"/>
        </w:rPr>
        <w:t>Jernoxid rød (E172)</w:t>
      </w:r>
    </w:p>
    <w:p w14:paraId="444E3D6F" w14:textId="77777777" w:rsidR="00927B43" w:rsidRPr="00B1480F" w:rsidRDefault="00927B43" w:rsidP="00927B43">
      <w:pPr>
        <w:tabs>
          <w:tab w:val="left" w:pos="851"/>
        </w:tabs>
        <w:ind w:left="851"/>
        <w:rPr>
          <w:sz w:val="24"/>
          <w:szCs w:val="24"/>
        </w:rPr>
      </w:pPr>
      <w:r w:rsidRPr="00B1480F">
        <w:rPr>
          <w:sz w:val="24"/>
          <w:szCs w:val="24"/>
        </w:rPr>
        <w:t>Macrogol (E1521)</w:t>
      </w:r>
    </w:p>
    <w:p w14:paraId="089794C2" w14:textId="77777777" w:rsidR="00927B43" w:rsidRPr="00927B43" w:rsidRDefault="00927B43" w:rsidP="00927B43">
      <w:pPr>
        <w:tabs>
          <w:tab w:val="left" w:pos="851"/>
        </w:tabs>
        <w:ind w:left="851"/>
        <w:rPr>
          <w:sz w:val="24"/>
          <w:szCs w:val="24"/>
        </w:rPr>
      </w:pPr>
      <w:r w:rsidRPr="00927B43">
        <w:rPr>
          <w:sz w:val="24"/>
          <w:szCs w:val="24"/>
        </w:rPr>
        <w:t>Titandioxid (E171)</w:t>
      </w:r>
    </w:p>
    <w:p w14:paraId="3A328A41" w14:textId="77777777" w:rsidR="00927B43" w:rsidRPr="00927B43" w:rsidRDefault="00927B43" w:rsidP="00927B43">
      <w:pPr>
        <w:tabs>
          <w:tab w:val="left" w:pos="851"/>
        </w:tabs>
        <w:ind w:left="851"/>
        <w:rPr>
          <w:sz w:val="24"/>
          <w:szCs w:val="24"/>
        </w:rPr>
      </w:pPr>
      <w:r w:rsidRPr="00927B43">
        <w:rPr>
          <w:sz w:val="24"/>
          <w:szCs w:val="24"/>
        </w:rPr>
        <w:t xml:space="preserve">Jernoxid sort (E172) </w:t>
      </w:r>
    </w:p>
    <w:p w14:paraId="3FEEA6CC" w14:textId="77777777" w:rsidR="00927B43" w:rsidRPr="00927B43" w:rsidRDefault="00927B43" w:rsidP="00927B43">
      <w:pPr>
        <w:tabs>
          <w:tab w:val="left" w:pos="851"/>
        </w:tabs>
        <w:ind w:left="851"/>
        <w:rPr>
          <w:sz w:val="24"/>
          <w:szCs w:val="24"/>
        </w:rPr>
      </w:pPr>
      <w:r w:rsidRPr="00927B43">
        <w:rPr>
          <w:sz w:val="24"/>
          <w:szCs w:val="24"/>
        </w:rPr>
        <w:t xml:space="preserve">Jernoxid gul (E172) </w:t>
      </w:r>
    </w:p>
    <w:p w14:paraId="4181A904" w14:textId="77777777" w:rsidR="00927B43" w:rsidRPr="00927B43" w:rsidRDefault="00927B43" w:rsidP="00927B43">
      <w:pPr>
        <w:tabs>
          <w:tab w:val="left" w:pos="851"/>
        </w:tabs>
        <w:ind w:left="851"/>
        <w:rPr>
          <w:sz w:val="24"/>
          <w:szCs w:val="24"/>
        </w:rPr>
      </w:pPr>
    </w:p>
    <w:p w14:paraId="63A877C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C04795E" w14:textId="77777777" w:rsidR="00927B43" w:rsidRPr="00927B43" w:rsidRDefault="00927B43" w:rsidP="00927B43">
      <w:pPr>
        <w:tabs>
          <w:tab w:val="left" w:pos="851"/>
        </w:tabs>
        <w:ind w:left="851"/>
        <w:rPr>
          <w:sz w:val="24"/>
          <w:szCs w:val="24"/>
        </w:rPr>
      </w:pPr>
      <w:r w:rsidRPr="00927B43">
        <w:rPr>
          <w:sz w:val="24"/>
          <w:szCs w:val="24"/>
        </w:rPr>
        <w:t>Ikke relevant.</w:t>
      </w:r>
    </w:p>
    <w:p w14:paraId="22F93E54" w14:textId="77777777" w:rsidR="009260DE" w:rsidRPr="00C84483" w:rsidRDefault="009260DE" w:rsidP="009260DE">
      <w:pPr>
        <w:tabs>
          <w:tab w:val="left" w:pos="851"/>
        </w:tabs>
        <w:ind w:left="851"/>
        <w:rPr>
          <w:sz w:val="24"/>
          <w:szCs w:val="24"/>
        </w:rPr>
      </w:pPr>
    </w:p>
    <w:p w14:paraId="4ED8EDD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A9274A3" w14:textId="77777777" w:rsidR="00927B43" w:rsidRPr="00927B43" w:rsidRDefault="00927B43" w:rsidP="00927B43">
      <w:pPr>
        <w:tabs>
          <w:tab w:val="left" w:pos="851"/>
        </w:tabs>
        <w:ind w:left="851"/>
        <w:rPr>
          <w:sz w:val="24"/>
          <w:szCs w:val="24"/>
        </w:rPr>
      </w:pPr>
      <w:r w:rsidRPr="00927B43">
        <w:rPr>
          <w:sz w:val="24"/>
          <w:szCs w:val="24"/>
        </w:rPr>
        <w:t>2 år.</w:t>
      </w:r>
    </w:p>
    <w:p w14:paraId="659901C9" w14:textId="77777777" w:rsidR="009260DE" w:rsidRPr="00C84483" w:rsidRDefault="009260DE" w:rsidP="009260DE">
      <w:pPr>
        <w:tabs>
          <w:tab w:val="left" w:pos="851"/>
        </w:tabs>
        <w:ind w:left="851"/>
        <w:rPr>
          <w:sz w:val="24"/>
          <w:szCs w:val="24"/>
        </w:rPr>
      </w:pPr>
    </w:p>
    <w:p w14:paraId="39E66C5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0E1DF5B" w14:textId="77777777" w:rsidR="00927B43" w:rsidRPr="00927B43" w:rsidRDefault="00927B43" w:rsidP="00927B43">
      <w:pPr>
        <w:tabs>
          <w:tab w:val="left" w:pos="851"/>
        </w:tabs>
        <w:ind w:left="851"/>
        <w:rPr>
          <w:sz w:val="24"/>
          <w:szCs w:val="24"/>
        </w:rPr>
      </w:pPr>
      <w:r w:rsidRPr="00927B43">
        <w:rPr>
          <w:sz w:val="24"/>
          <w:szCs w:val="24"/>
        </w:rPr>
        <w:t>Dette lægemiddel kræver ingen særlige forholdsregler vedrørende opbevaringen.</w:t>
      </w:r>
    </w:p>
    <w:p w14:paraId="6EB979CE" w14:textId="77777777" w:rsidR="009260DE" w:rsidRPr="00C84483" w:rsidRDefault="009260DE" w:rsidP="009260DE">
      <w:pPr>
        <w:tabs>
          <w:tab w:val="left" w:pos="851"/>
        </w:tabs>
        <w:ind w:left="851"/>
        <w:rPr>
          <w:sz w:val="24"/>
          <w:szCs w:val="24"/>
        </w:rPr>
      </w:pPr>
    </w:p>
    <w:p w14:paraId="5C82C5B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A545B0D" w14:textId="77777777" w:rsidR="00200799" w:rsidRDefault="00927B43" w:rsidP="00927B43">
      <w:pPr>
        <w:tabs>
          <w:tab w:val="left" w:pos="851"/>
        </w:tabs>
        <w:ind w:left="851"/>
        <w:rPr>
          <w:sz w:val="24"/>
          <w:szCs w:val="24"/>
        </w:rPr>
      </w:pPr>
      <w:bookmarkStart w:id="0" w:name="_Hlk189733429"/>
      <w:r w:rsidRPr="00927B43">
        <w:rPr>
          <w:sz w:val="24"/>
          <w:szCs w:val="24"/>
        </w:rPr>
        <w:t>OPA/Alu/PVC-Alu blist</w:t>
      </w:r>
      <w:r w:rsidR="00200799">
        <w:rPr>
          <w:sz w:val="24"/>
          <w:szCs w:val="24"/>
        </w:rPr>
        <w:t>er</w:t>
      </w:r>
    </w:p>
    <w:p w14:paraId="2C799ADD" w14:textId="77777777" w:rsidR="00200799" w:rsidRDefault="00200799" w:rsidP="00927B43">
      <w:pPr>
        <w:tabs>
          <w:tab w:val="left" w:pos="851"/>
        </w:tabs>
        <w:ind w:left="851"/>
        <w:rPr>
          <w:sz w:val="24"/>
          <w:szCs w:val="24"/>
        </w:rPr>
      </w:pPr>
    </w:p>
    <w:p w14:paraId="18D4FC98" w14:textId="77777777" w:rsidR="00200799" w:rsidRPr="00200799" w:rsidRDefault="00200799" w:rsidP="00927B43">
      <w:pPr>
        <w:tabs>
          <w:tab w:val="left" w:pos="851"/>
        </w:tabs>
        <w:ind w:left="851"/>
        <w:rPr>
          <w:sz w:val="24"/>
          <w:szCs w:val="24"/>
          <w:u w:val="single"/>
        </w:rPr>
      </w:pPr>
      <w:r w:rsidRPr="00200799">
        <w:rPr>
          <w:sz w:val="24"/>
          <w:szCs w:val="24"/>
          <w:u w:val="single"/>
        </w:rPr>
        <w:t>Pakningsstørrelser</w:t>
      </w:r>
    </w:p>
    <w:p w14:paraId="565C0CC2" w14:textId="1FA85BC3" w:rsidR="00927B43" w:rsidRPr="00927B43" w:rsidRDefault="00927B43" w:rsidP="00927B43">
      <w:pPr>
        <w:tabs>
          <w:tab w:val="left" w:pos="851"/>
        </w:tabs>
        <w:ind w:left="851"/>
        <w:rPr>
          <w:sz w:val="24"/>
          <w:szCs w:val="24"/>
        </w:rPr>
      </w:pPr>
      <w:r w:rsidRPr="00927B43">
        <w:rPr>
          <w:sz w:val="24"/>
          <w:szCs w:val="24"/>
        </w:rPr>
        <w:t xml:space="preserve">14 </w:t>
      </w:r>
      <w:r w:rsidR="00200799">
        <w:rPr>
          <w:sz w:val="24"/>
          <w:szCs w:val="24"/>
        </w:rPr>
        <w:t>og</w:t>
      </w:r>
      <w:r w:rsidRPr="00927B43">
        <w:rPr>
          <w:sz w:val="24"/>
          <w:szCs w:val="24"/>
        </w:rPr>
        <w:t xml:space="preserve"> 28 filmovertrukne tabletter</w:t>
      </w:r>
      <w:r w:rsidR="00200799">
        <w:rPr>
          <w:sz w:val="24"/>
          <w:szCs w:val="24"/>
        </w:rPr>
        <w:t>,</w:t>
      </w:r>
      <w:r w:rsidRPr="00927B43">
        <w:rPr>
          <w:sz w:val="24"/>
          <w:szCs w:val="24"/>
        </w:rPr>
        <w:t xml:space="preserve"> og sampakninger </w:t>
      </w:r>
      <w:r w:rsidR="00200799">
        <w:rPr>
          <w:sz w:val="24"/>
          <w:szCs w:val="24"/>
        </w:rPr>
        <w:t>med</w:t>
      </w:r>
      <w:r w:rsidRPr="00927B43">
        <w:rPr>
          <w:sz w:val="24"/>
          <w:szCs w:val="24"/>
        </w:rPr>
        <w:t xml:space="preserve"> 84 (3 pakker </w:t>
      </w:r>
      <w:r w:rsidR="00200799">
        <w:rPr>
          <w:sz w:val="24"/>
          <w:szCs w:val="24"/>
        </w:rPr>
        <w:t>á</w:t>
      </w:r>
      <w:r w:rsidRPr="00927B43">
        <w:rPr>
          <w:sz w:val="24"/>
          <w:szCs w:val="24"/>
        </w:rPr>
        <w:t xml:space="preserve"> 28) filmovertrukne tabletter.</w:t>
      </w:r>
    </w:p>
    <w:p w14:paraId="24625F3F" w14:textId="77777777" w:rsidR="00927B43" w:rsidRPr="00927B43" w:rsidRDefault="00927B43" w:rsidP="00927B43">
      <w:pPr>
        <w:tabs>
          <w:tab w:val="left" w:pos="851"/>
        </w:tabs>
        <w:ind w:left="851"/>
        <w:rPr>
          <w:sz w:val="24"/>
          <w:szCs w:val="24"/>
        </w:rPr>
      </w:pPr>
    </w:p>
    <w:bookmarkEnd w:id="0"/>
    <w:p w14:paraId="6CECB586" w14:textId="77777777" w:rsidR="00927B43" w:rsidRPr="00927B43" w:rsidRDefault="00927B43" w:rsidP="00927B43">
      <w:pPr>
        <w:tabs>
          <w:tab w:val="left" w:pos="851"/>
        </w:tabs>
        <w:ind w:left="851"/>
        <w:rPr>
          <w:sz w:val="24"/>
          <w:szCs w:val="24"/>
        </w:rPr>
      </w:pPr>
      <w:r w:rsidRPr="00927B43">
        <w:rPr>
          <w:sz w:val="24"/>
          <w:szCs w:val="24"/>
        </w:rPr>
        <w:t>Ikke alle pakningsstørrelser er nødvendigvis markedsført.</w:t>
      </w:r>
    </w:p>
    <w:p w14:paraId="4FFCB404" w14:textId="77777777" w:rsidR="00927B43" w:rsidRPr="00927B43" w:rsidRDefault="00927B43" w:rsidP="00927B43">
      <w:pPr>
        <w:tabs>
          <w:tab w:val="left" w:pos="851"/>
        </w:tabs>
        <w:ind w:left="851"/>
        <w:rPr>
          <w:sz w:val="24"/>
          <w:szCs w:val="24"/>
        </w:rPr>
      </w:pPr>
    </w:p>
    <w:p w14:paraId="20B1591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5286EEF" w14:textId="77777777" w:rsidR="00927B43" w:rsidRPr="00927B43" w:rsidRDefault="00927B43" w:rsidP="00927B43">
      <w:pPr>
        <w:tabs>
          <w:tab w:val="left" w:pos="851"/>
        </w:tabs>
        <w:ind w:left="851"/>
        <w:rPr>
          <w:sz w:val="24"/>
          <w:szCs w:val="24"/>
        </w:rPr>
      </w:pPr>
      <w:r w:rsidRPr="00927B43">
        <w:rPr>
          <w:sz w:val="24"/>
          <w:szCs w:val="24"/>
        </w:rPr>
        <w:t>Ikke anvendt lægemiddel samt affald heraf skal bortskaffes i henhold til lokale retningslinjer.</w:t>
      </w:r>
    </w:p>
    <w:p w14:paraId="3AB1AF22" w14:textId="77777777" w:rsidR="009260DE" w:rsidRPr="00C84483" w:rsidRDefault="009260DE" w:rsidP="000730CA">
      <w:pPr>
        <w:tabs>
          <w:tab w:val="left" w:pos="851"/>
        </w:tabs>
        <w:ind w:left="851"/>
        <w:rPr>
          <w:sz w:val="24"/>
          <w:szCs w:val="24"/>
        </w:rPr>
      </w:pPr>
    </w:p>
    <w:p w14:paraId="4D987FB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6A7E686" w14:textId="06C45F4A" w:rsidR="00927B43" w:rsidRPr="00B1480F" w:rsidRDefault="00927B43" w:rsidP="00927B43">
      <w:pPr>
        <w:tabs>
          <w:tab w:val="left" w:pos="851"/>
        </w:tabs>
        <w:ind w:left="851"/>
        <w:rPr>
          <w:bCs/>
          <w:sz w:val="24"/>
          <w:szCs w:val="24"/>
        </w:rPr>
      </w:pPr>
      <w:r w:rsidRPr="00B1480F">
        <w:rPr>
          <w:bCs/>
          <w:sz w:val="24"/>
          <w:szCs w:val="24"/>
        </w:rPr>
        <w:t>Vivanta Generics s.r.o.</w:t>
      </w:r>
    </w:p>
    <w:p w14:paraId="52438775" w14:textId="65C45A8D" w:rsidR="00927B43" w:rsidRPr="00927B43" w:rsidRDefault="00927B43" w:rsidP="00927B43">
      <w:pPr>
        <w:tabs>
          <w:tab w:val="left" w:pos="851"/>
        </w:tabs>
        <w:ind w:left="851"/>
        <w:rPr>
          <w:bCs/>
          <w:sz w:val="24"/>
          <w:szCs w:val="24"/>
        </w:rPr>
      </w:pPr>
      <w:r w:rsidRPr="00927B43">
        <w:rPr>
          <w:bCs/>
          <w:sz w:val="24"/>
          <w:szCs w:val="24"/>
        </w:rPr>
        <w:t>Trtinova 260/1, Cakovice</w:t>
      </w:r>
    </w:p>
    <w:p w14:paraId="03B0791C" w14:textId="77777777" w:rsidR="00927B43" w:rsidRPr="00927B43" w:rsidRDefault="00927B43" w:rsidP="00927B43">
      <w:pPr>
        <w:tabs>
          <w:tab w:val="left" w:pos="851"/>
        </w:tabs>
        <w:ind w:left="851"/>
        <w:rPr>
          <w:bCs/>
          <w:sz w:val="24"/>
          <w:szCs w:val="24"/>
        </w:rPr>
      </w:pPr>
      <w:r w:rsidRPr="00927B43">
        <w:rPr>
          <w:bCs/>
          <w:sz w:val="24"/>
          <w:szCs w:val="24"/>
        </w:rPr>
        <w:t xml:space="preserve">19600, Prague 9 </w:t>
      </w:r>
    </w:p>
    <w:p w14:paraId="2422E657" w14:textId="77777777" w:rsidR="00927B43" w:rsidRPr="00927B43" w:rsidRDefault="00927B43" w:rsidP="00927B43">
      <w:pPr>
        <w:tabs>
          <w:tab w:val="left" w:pos="851"/>
        </w:tabs>
        <w:ind w:left="851"/>
        <w:rPr>
          <w:bCs/>
          <w:sz w:val="24"/>
          <w:szCs w:val="24"/>
        </w:rPr>
      </w:pPr>
      <w:r w:rsidRPr="00927B43">
        <w:rPr>
          <w:bCs/>
          <w:sz w:val="24"/>
          <w:szCs w:val="24"/>
        </w:rPr>
        <w:t>Tjekkiet</w:t>
      </w:r>
    </w:p>
    <w:p w14:paraId="3F651B54" w14:textId="77777777" w:rsidR="009260DE" w:rsidRDefault="009260DE" w:rsidP="009260DE">
      <w:pPr>
        <w:tabs>
          <w:tab w:val="left" w:pos="851"/>
        </w:tabs>
        <w:ind w:left="851"/>
        <w:rPr>
          <w:sz w:val="24"/>
          <w:szCs w:val="24"/>
        </w:rPr>
      </w:pPr>
    </w:p>
    <w:p w14:paraId="517A0EC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294EA0A" w14:textId="3B8C4989" w:rsidR="009260DE" w:rsidRDefault="00847D7D" w:rsidP="00847D7D">
      <w:pPr>
        <w:tabs>
          <w:tab w:val="left" w:pos="851"/>
          <w:tab w:val="left" w:pos="1701"/>
        </w:tabs>
        <w:ind w:left="851"/>
        <w:rPr>
          <w:sz w:val="24"/>
          <w:szCs w:val="24"/>
        </w:rPr>
      </w:pPr>
      <w:r>
        <w:rPr>
          <w:sz w:val="24"/>
          <w:szCs w:val="24"/>
        </w:rPr>
        <w:t>25 mg:</w:t>
      </w:r>
      <w:r>
        <w:rPr>
          <w:sz w:val="24"/>
          <w:szCs w:val="24"/>
        </w:rPr>
        <w:tab/>
        <w:t>69223</w:t>
      </w:r>
    </w:p>
    <w:p w14:paraId="7F4967B5" w14:textId="6527DBAB" w:rsidR="00847D7D" w:rsidRDefault="00847D7D" w:rsidP="00847D7D">
      <w:pPr>
        <w:tabs>
          <w:tab w:val="left" w:pos="851"/>
          <w:tab w:val="left" w:pos="1701"/>
        </w:tabs>
        <w:ind w:left="851"/>
        <w:rPr>
          <w:sz w:val="24"/>
          <w:szCs w:val="24"/>
        </w:rPr>
      </w:pPr>
      <w:r>
        <w:rPr>
          <w:sz w:val="24"/>
          <w:szCs w:val="24"/>
        </w:rPr>
        <w:t>50 mg:</w:t>
      </w:r>
      <w:r>
        <w:rPr>
          <w:sz w:val="24"/>
          <w:szCs w:val="24"/>
        </w:rPr>
        <w:tab/>
        <w:t>69224</w:t>
      </w:r>
    </w:p>
    <w:p w14:paraId="168CBC8F" w14:textId="3029954E" w:rsidR="00847D7D" w:rsidRPr="00C84483" w:rsidRDefault="00847D7D" w:rsidP="00847D7D">
      <w:pPr>
        <w:tabs>
          <w:tab w:val="left" w:pos="851"/>
          <w:tab w:val="left" w:pos="1701"/>
        </w:tabs>
        <w:ind w:left="851"/>
        <w:rPr>
          <w:sz w:val="24"/>
          <w:szCs w:val="24"/>
        </w:rPr>
      </w:pPr>
      <w:r>
        <w:rPr>
          <w:sz w:val="24"/>
          <w:szCs w:val="24"/>
        </w:rPr>
        <w:t>75 mg:</w:t>
      </w:r>
      <w:r>
        <w:rPr>
          <w:sz w:val="24"/>
          <w:szCs w:val="24"/>
        </w:rPr>
        <w:tab/>
        <w:t>69225</w:t>
      </w:r>
    </w:p>
    <w:p w14:paraId="35E35900" w14:textId="77777777" w:rsidR="009260DE" w:rsidRPr="00C84483" w:rsidRDefault="009260DE" w:rsidP="009260DE">
      <w:pPr>
        <w:tabs>
          <w:tab w:val="left" w:pos="851"/>
        </w:tabs>
        <w:ind w:left="851"/>
        <w:jc w:val="both"/>
        <w:rPr>
          <w:sz w:val="24"/>
          <w:szCs w:val="24"/>
        </w:rPr>
      </w:pPr>
    </w:p>
    <w:p w14:paraId="6DDA26E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5130D7C" w14:textId="7D2DC9FC" w:rsidR="009260DE" w:rsidRPr="00C84483" w:rsidRDefault="00B1480F" w:rsidP="009260DE">
      <w:pPr>
        <w:tabs>
          <w:tab w:val="left" w:pos="851"/>
        </w:tabs>
        <w:ind w:left="851"/>
        <w:rPr>
          <w:sz w:val="24"/>
          <w:szCs w:val="24"/>
        </w:rPr>
      </w:pPr>
      <w:r>
        <w:rPr>
          <w:sz w:val="24"/>
          <w:szCs w:val="24"/>
        </w:rPr>
        <w:t>28. marts 2025</w:t>
      </w:r>
    </w:p>
    <w:p w14:paraId="26F93646" w14:textId="77777777" w:rsidR="009260DE" w:rsidRPr="00C84483" w:rsidRDefault="009260DE" w:rsidP="009260DE">
      <w:pPr>
        <w:tabs>
          <w:tab w:val="left" w:pos="851"/>
        </w:tabs>
        <w:ind w:left="851"/>
        <w:rPr>
          <w:sz w:val="24"/>
          <w:szCs w:val="24"/>
        </w:rPr>
      </w:pPr>
    </w:p>
    <w:p w14:paraId="41A3E84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813E01D" w14:textId="2A88BD42" w:rsidR="009260DE" w:rsidRPr="00C84483" w:rsidRDefault="00847D7D" w:rsidP="009260DE">
      <w:pPr>
        <w:tabs>
          <w:tab w:val="left" w:pos="851"/>
        </w:tabs>
        <w:ind w:left="851"/>
        <w:rPr>
          <w:sz w:val="24"/>
          <w:szCs w:val="24"/>
        </w:rPr>
      </w:pPr>
      <w:r>
        <w:rPr>
          <w:sz w:val="24"/>
          <w:szCs w:val="24"/>
        </w:rPr>
        <w:t>-</w:t>
      </w:r>
      <w:bookmarkStart w:id="1" w:name="_GoBack"/>
      <w:bookmarkEnd w:id="1"/>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4D3A" w14:textId="77777777" w:rsidR="00847D7D" w:rsidRDefault="00847D7D">
      <w:r>
        <w:separator/>
      </w:r>
    </w:p>
  </w:endnote>
  <w:endnote w:type="continuationSeparator" w:id="0">
    <w:p w14:paraId="53235239" w14:textId="77777777" w:rsidR="00847D7D" w:rsidRDefault="0084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F6B1" w14:textId="77777777" w:rsidR="00847D7D" w:rsidRDefault="00847D7D">
    <w:pPr>
      <w:pStyle w:val="Sidefod"/>
      <w:pBdr>
        <w:bottom w:val="single" w:sz="6" w:space="1" w:color="auto"/>
      </w:pBdr>
    </w:pPr>
  </w:p>
  <w:p w14:paraId="7A4EADBA" w14:textId="77777777" w:rsidR="00847D7D" w:rsidRDefault="00847D7D" w:rsidP="00C42586">
    <w:pPr>
      <w:pStyle w:val="Sidefod"/>
      <w:tabs>
        <w:tab w:val="clear" w:pos="4819"/>
        <w:tab w:val="left" w:pos="8505"/>
      </w:tabs>
      <w:rPr>
        <w:i/>
        <w:sz w:val="18"/>
        <w:szCs w:val="18"/>
      </w:rPr>
    </w:pPr>
  </w:p>
  <w:p w14:paraId="376BB913" w14:textId="2BB82082" w:rsidR="00847D7D" w:rsidRPr="00B373D7" w:rsidRDefault="00847D7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Eltrombopag Vivanta, filmovertrukne tabletter 25 mg, 50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2457" w14:textId="77777777" w:rsidR="00847D7D" w:rsidRDefault="00847D7D">
      <w:r>
        <w:separator/>
      </w:r>
    </w:p>
  </w:footnote>
  <w:footnote w:type="continuationSeparator" w:id="0">
    <w:p w14:paraId="615877BE" w14:textId="77777777" w:rsidR="00847D7D" w:rsidRDefault="0084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069"/>
    <w:multiLevelType w:val="hybridMultilevel"/>
    <w:tmpl w:val="E2D832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3B73B76"/>
    <w:multiLevelType w:val="multilevel"/>
    <w:tmpl w:val="B816CBE0"/>
    <w:lvl w:ilvl="0">
      <w:start w:val="1"/>
      <w:numFmt w:val="decimal"/>
      <w:lvlText w:val="%1."/>
      <w:lvlJc w:val="left"/>
      <w:pPr>
        <w:ind w:left="0" w:hanging="567"/>
      </w:pPr>
      <w:rPr>
        <w:rFonts w:ascii="Times New Roman" w:eastAsia="Times New Roman" w:hAnsi="Times New Roman" w:cs="Times New Roman" w:hint="default"/>
        <w:b/>
        <w:bCs/>
        <w:sz w:val="22"/>
        <w:szCs w:val="22"/>
      </w:rPr>
    </w:lvl>
    <w:lvl w:ilvl="1">
      <w:start w:val="1"/>
      <w:numFmt w:val="decimal"/>
      <w:lvlText w:val="%1.%2"/>
      <w:lvlJc w:val="left"/>
      <w:pPr>
        <w:ind w:left="0" w:hanging="567"/>
      </w:pPr>
      <w:rPr>
        <w:rFonts w:ascii="Times New Roman" w:eastAsia="Times New Roman" w:hAnsi="Times New Roman" w:cs="Times New Roman" w:hint="default"/>
        <w:b/>
        <w:bCs/>
        <w:sz w:val="22"/>
        <w:szCs w:val="22"/>
      </w:rPr>
    </w:lvl>
    <w:lvl w:ilvl="2">
      <w:start w:val="1"/>
      <w:numFmt w:val="bullet"/>
      <w:lvlText w:val="–"/>
      <w:lvlJc w:val="left"/>
      <w:pPr>
        <w:ind w:left="0" w:hanging="180"/>
      </w:pPr>
      <w:rPr>
        <w:rFonts w:ascii="Arial" w:eastAsia="Arial" w:hAnsi="Arial" w:cs="Times New Roman" w:hint="default"/>
        <w:w w:val="94"/>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FB702E"/>
    <w:multiLevelType w:val="hybridMultilevel"/>
    <w:tmpl w:val="B7443072"/>
    <w:lvl w:ilvl="0" w:tplc="03AE7CBE">
      <w:numFmt w:val="bullet"/>
      <w:lvlText w:val="◆"/>
      <w:lvlJc w:val="left"/>
      <w:pPr>
        <w:ind w:left="685" w:hanging="567"/>
      </w:pPr>
      <w:rPr>
        <w:w w:val="65"/>
      </w:rPr>
    </w:lvl>
    <w:lvl w:ilvl="1" w:tplc="FAC27D1C">
      <w:numFmt w:val="bullet"/>
      <w:lvlText w:val="•"/>
      <w:lvlJc w:val="left"/>
      <w:pPr>
        <w:ind w:left="1546" w:hanging="567"/>
      </w:pPr>
    </w:lvl>
    <w:lvl w:ilvl="2" w:tplc="14BCB712">
      <w:numFmt w:val="bullet"/>
      <w:lvlText w:val="•"/>
      <w:lvlJc w:val="left"/>
      <w:pPr>
        <w:ind w:left="2413" w:hanging="567"/>
      </w:pPr>
    </w:lvl>
    <w:lvl w:ilvl="3" w:tplc="9E92D472">
      <w:numFmt w:val="bullet"/>
      <w:lvlText w:val="•"/>
      <w:lvlJc w:val="left"/>
      <w:pPr>
        <w:ind w:left="3279" w:hanging="567"/>
      </w:pPr>
    </w:lvl>
    <w:lvl w:ilvl="4" w:tplc="D32A9DA0">
      <w:numFmt w:val="bullet"/>
      <w:lvlText w:val="•"/>
      <w:lvlJc w:val="left"/>
      <w:pPr>
        <w:ind w:left="4146" w:hanging="567"/>
      </w:pPr>
    </w:lvl>
    <w:lvl w:ilvl="5" w:tplc="976A3AE6">
      <w:numFmt w:val="bullet"/>
      <w:lvlText w:val="•"/>
      <w:lvlJc w:val="left"/>
      <w:pPr>
        <w:ind w:left="5013" w:hanging="567"/>
      </w:pPr>
    </w:lvl>
    <w:lvl w:ilvl="6" w:tplc="189EB0EE">
      <w:numFmt w:val="bullet"/>
      <w:lvlText w:val="•"/>
      <w:lvlJc w:val="left"/>
      <w:pPr>
        <w:ind w:left="5879" w:hanging="567"/>
      </w:pPr>
    </w:lvl>
    <w:lvl w:ilvl="7" w:tplc="07F6A51A">
      <w:numFmt w:val="bullet"/>
      <w:lvlText w:val="•"/>
      <w:lvlJc w:val="left"/>
      <w:pPr>
        <w:ind w:left="6746" w:hanging="567"/>
      </w:pPr>
    </w:lvl>
    <w:lvl w:ilvl="8" w:tplc="40C66A5E">
      <w:numFmt w:val="bullet"/>
      <w:lvlText w:val="•"/>
      <w:lvlJc w:val="left"/>
      <w:pPr>
        <w:ind w:left="7613" w:hanging="567"/>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1E"/>
    <w:rsid w:val="000259B9"/>
    <w:rsid w:val="00041491"/>
    <w:rsid w:val="00050D16"/>
    <w:rsid w:val="000730CA"/>
    <w:rsid w:val="00074F2A"/>
    <w:rsid w:val="000A1CA8"/>
    <w:rsid w:val="000A466B"/>
    <w:rsid w:val="000B058C"/>
    <w:rsid w:val="000D68B0"/>
    <w:rsid w:val="000E4EE6"/>
    <w:rsid w:val="001454E2"/>
    <w:rsid w:val="00200799"/>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9304C"/>
    <w:rsid w:val="004E3B12"/>
    <w:rsid w:val="00532310"/>
    <w:rsid w:val="00565F0F"/>
    <w:rsid w:val="00594A86"/>
    <w:rsid w:val="00596D86"/>
    <w:rsid w:val="005F3B3D"/>
    <w:rsid w:val="00637F5A"/>
    <w:rsid w:val="00641C65"/>
    <w:rsid w:val="006560B1"/>
    <w:rsid w:val="0066391E"/>
    <w:rsid w:val="006756DD"/>
    <w:rsid w:val="0071241E"/>
    <w:rsid w:val="007234D7"/>
    <w:rsid w:val="00737275"/>
    <w:rsid w:val="00740EEC"/>
    <w:rsid w:val="0077543A"/>
    <w:rsid w:val="0078011A"/>
    <w:rsid w:val="00782AF4"/>
    <w:rsid w:val="00790EE7"/>
    <w:rsid w:val="007B6649"/>
    <w:rsid w:val="008132A0"/>
    <w:rsid w:val="0082576E"/>
    <w:rsid w:val="00847D7D"/>
    <w:rsid w:val="0089346F"/>
    <w:rsid w:val="008B50F2"/>
    <w:rsid w:val="00907F75"/>
    <w:rsid w:val="009260DE"/>
    <w:rsid w:val="00927B43"/>
    <w:rsid w:val="0093258A"/>
    <w:rsid w:val="009C7BA3"/>
    <w:rsid w:val="009D1F5A"/>
    <w:rsid w:val="00A10294"/>
    <w:rsid w:val="00A15E0E"/>
    <w:rsid w:val="00B003BF"/>
    <w:rsid w:val="00B1480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4FFA"/>
    <w:rsid w:val="00D93992"/>
    <w:rsid w:val="00E108AA"/>
    <w:rsid w:val="00E3749A"/>
    <w:rsid w:val="00E7437F"/>
    <w:rsid w:val="00E865B8"/>
    <w:rsid w:val="00EC0B9B"/>
    <w:rsid w:val="00ED5E9F"/>
    <w:rsid w:val="00F25C8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A4D11"/>
  <w15:chartTrackingRefBased/>
  <w15:docId w15:val="{25414033-3D46-4DC3-B83A-29BDF87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927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927B43"/>
    <w:rPr>
      <w:rFonts w:ascii="Arial" w:hAnsi="Arial"/>
      <w:b/>
      <w:kern w:val="28"/>
      <w:sz w:val="28"/>
      <w:lang w:eastAsia="en-US"/>
    </w:rPr>
  </w:style>
  <w:style w:type="paragraph" w:styleId="Brdtekst">
    <w:name w:val="Body Text"/>
    <w:basedOn w:val="Normal"/>
    <w:link w:val="BrdtekstTegn"/>
    <w:uiPriority w:val="1"/>
    <w:semiHidden/>
    <w:unhideWhenUsed/>
    <w:qFormat/>
    <w:rsid w:val="00927B4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927B43"/>
    <w:rPr>
      <w:sz w:val="22"/>
      <w:szCs w:val="22"/>
      <w:lang w:val="en-US" w:eastAsia="en-US"/>
    </w:rPr>
  </w:style>
  <w:style w:type="paragraph" w:styleId="Listeafsnit">
    <w:name w:val="List Paragraph"/>
    <w:basedOn w:val="Normal"/>
    <w:uiPriority w:val="1"/>
    <w:qFormat/>
    <w:rsid w:val="00927B43"/>
    <w:pPr>
      <w:spacing w:after="160" w:line="256" w:lineRule="auto"/>
      <w:ind w:left="720"/>
      <w:contextualSpacing/>
    </w:pPr>
    <w:rPr>
      <w:rFonts w:asciiTheme="minorHAnsi" w:eastAsiaTheme="minorHAnsi" w:hAnsiTheme="minorHAnsi" w:cstheme="minorBidi"/>
      <w:sz w:val="22"/>
      <w:szCs w:val="22"/>
      <w:lang w:val="en-IN"/>
    </w:rPr>
  </w:style>
  <w:style w:type="paragraph" w:customStyle="1" w:styleId="TableParagraph">
    <w:name w:val="Table Paragraph"/>
    <w:basedOn w:val="Normal"/>
    <w:uiPriority w:val="1"/>
    <w:qFormat/>
    <w:rsid w:val="00927B43"/>
    <w:pPr>
      <w:widowControl w:val="0"/>
      <w:autoSpaceDE w:val="0"/>
      <w:autoSpaceDN w:val="0"/>
      <w:spacing w:line="247" w:lineRule="exact"/>
      <w:ind w:left="103"/>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839">
      <w:bodyDiv w:val="1"/>
      <w:marLeft w:val="0"/>
      <w:marRight w:val="0"/>
      <w:marTop w:val="0"/>
      <w:marBottom w:val="0"/>
      <w:divBdr>
        <w:top w:val="none" w:sz="0" w:space="0" w:color="auto"/>
        <w:left w:val="none" w:sz="0" w:space="0" w:color="auto"/>
        <w:bottom w:val="none" w:sz="0" w:space="0" w:color="auto"/>
        <w:right w:val="none" w:sz="0" w:space="0" w:color="auto"/>
      </w:divBdr>
    </w:div>
    <w:div w:id="77138192">
      <w:bodyDiv w:val="1"/>
      <w:marLeft w:val="0"/>
      <w:marRight w:val="0"/>
      <w:marTop w:val="0"/>
      <w:marBottom w:val="0"/>
      <w:divBdr>
        <w:top w:val="none" w:sz="0" w:space="0" w:color="auto"/>
        <w:left w:val="none" w:sz="0" w:space="0" w:color="auto"/>
        <w:bottom w:val="none" w:sz="0" w:space="0" w:color="auto"/>
        <w:right w:val="none" w:sz="0" w:space="0" w:color="auto"/>
      </w:divBdr>
    </w:div>
    <w:div w:id="102043936">
      <w:bodyDiv w:val="1"/>
      <w:marLeft w:val="0"/>
      <w:marRight w:val="0"/>
      <w:marTop w:val="0"/>
      <w:marBottom w:val="0"/>
      <w:divBdr>
        <w:top w:val="none" w:sz="0" w:space="0" w:color="auto"/>
        <w:left w:val="none" w:sz="0" w:space="0" w:color="auto"/>
        <w:bottom w:val="none" w:sz="0" w:space="0" w:color="auto"/>
        <w:right w:val="none" w:sz="0" w:space="0" w:color="auto"/>
      </w:divBdr>
    </w:div>
    <w:div w:id="1437876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5869011">
      <w:bodyDiv w:val="1"/>
      <w:marLeft w:val="0"/>
      <w:marRight w:val="0"/>
      <w:marTop w:val="0"/>
      <w:marBottom w:val="0"/>
      <w:divBdr>
        <w:top w:val="none" w:sz="0" w:space="0" w:color="auto"/>
        <w:left w:val="none" w:sz="0" w:space="0" w:color="auto"/>
        <w:bottom w:val="none" w:sz="0" w:space="0" w:color="auto"/>
        <w:right w:val="none" w:sz="0" w:space="0" w:color="auto"/>
      </w:divBdr>
    </w:div>
    <w:div w:id="360516713">
      <w:bodyDiv w:val="1"/>
      <w:marLeft w:val="0"/>
      <w:marRight w:val="0"/>
      <w:marTop w:val="0"/>
      <w:marBottom w:val="0"/>
      <w:divBdr>
        <w:top w:val="none" w:sz="0" w:space="0" w:color="auto"/>
        <w:left w:val="none" w:sz="0" w:space="0" w:color="auto"/>
        <w:bottom w:val="none" w:sz="0" w:space="0" w:color="auto"/>
        <w:right w:val="none" w:sz="0" w:space="0" w:color="auto"/>
      </w:divBdr>
    </w:div>
    <w:div w:id="428619319">
      <w:bodyDiv w:val="1"/>
      <w:marLeft w:val="0"/>
      <w:marRight w:val="0"/>
      <w:marTop w:val="0"/>
      <w:marBottom w:val="0"/>
      <w:divBdr>
        <w:top w:val="none" w:sz="0" w:space="0" w:color="auto"/>
        <w:left w:val="none" w:sz="0" w:space="0" w:color="auto"/>
        <w:bottom w:val="none" w:sz="0" w:space="0" w:color="auto"/>
        <w:right w:val="none" w:sz="0" w:space="0" w:color="auto"/>
      </w:divBdr>
    </w:div>
    <w:div w:id="487938402">
      <w:bodyDiv w:val="1"/>
      <w:marLeft w:val="0"/>
      <w:marRight w:val="0"/>
      <w:marTop w:val="0"/>
      <w:marBottom w:val="0"/>
      <w:divBdr>
        <w:top w:val="none" w:sz="0" w:space="0" w:color="auto"/>
        <w:left w:val="none" w:sz="0" w:space="0" w:color="auto"/>
        <w:bottom w:val="none" w:sz="0" w:space="0" w:color="auto"/>
        <w:right w:val="none" w:sz="0" w:space="0" w:color="auto"/>
      </w:divBdr>
    </w:div>
    <w:div w:id="507794305">
      <w:bodyDiv w:val="1"/>
      <w:marLeft w:val="0"/>
      <w:marRight w:val="0"/>
      <w:marTop w:val="0"/>
      <w:marBottom w:val="0"/>
      <w:divBdr>
        <w:top w:val="none" w:sz="0" w:space="0" w:color="auto"/>
        <w:left w:val="none" w:sz="0" w:space="0" w:color="auto"/>
        <w:bottom w:val="none" w:sz="0" w:space="0" w:color="auto"/>
        <w:right w:val="none" w:sz="0" w:space="0" w:color="auto"/>
      </w:divBdr>
    </w:div>
    <w:div w:id="540442369">
      <w:bodyDiv w:val="1"/>
      <w:marLeft w:val="0"/>
      <w:marRight w:val="0"/>
      <w:marTop w:val="0"/>
      <w:marBottom w:val="0"/>
      <w:divBdr>
        <w:top w:val="none" w:sz="0" w:space="0" w:color="auto"/>
        <w:left w:val="none" w:sz="0" w:space="0" w:color="auto"/>
        <w:bottom w:val="none" w:sz="0" w:space="0" w:color="auto"/>
        <w:right w:val="none" w:sz="0" w:space="0" w:color="auto"/>
      </w:divBdr>
    </w:div>
    <w:div w:id="637036403">
      <w:bodyDiv w:val="1"/>
      <w:marLeft w:val="0"/>
      <w:marRight w:val="0"/>
      <w:marTop w:val="0"/>
      <w:marBottom w:val="0"/>
      <w:divBdr>
        <w:top w:val="none" w:sz="0" w:space="0" w:color="auto"/>
        <w:left w:val="none" w:sz="0" w:space="0" w:color="auto"/>
        <w:bottom w:val="none" w:sz="0" w:space="0" w:color="auto"/>
        <w:right w:val="none" w:sz="0" w:space="0" w:color="auto"/>
      </w:divBdr>
    </w:div>
    <w:div w:id="838690060">
      <w:bodyDiv w:val="1"/>
      <w:marLeft w:val="0"/>
      <w:marRight w:val="0"/>
      <w:marTop w:val="0"/>
      <w:marBottom w:val="0"/>
      <w:divBdr>
        <w:top w:val="none" w:sz="0" w:space="0" w:color="auto"/>
        <w:left w:val="none" w:sz="0" w:space="0" w:color="auto"/>
        <w:bottom w:val="none" w:sz="0" w:space="0" w:color="auto"/>
        <w:right w:val="none" w:sz="0" w:space="0" w:color="auto"/>
      </w:divBdr>
    </w:div>
    <w:div w:id="859127126">
      <w:bodyDiv w:val="1"/>
      <w:marLeft w:val="0"/>
      <w:marRight w:val="0"/>
      <w:marTop w:val="0"/>
      <w:marBottom w:val="0"/>
      <w:divBdr>
        <w:top w:val="none" w:sz="0" w:space="0" w:color="auto"/>
        <w:left w:val="none" w:sz="0" w:space="0" w:color="auto"/>
        <w:bottom w:val="none" w:sz="0" w:space="0" w:color="auto"/>
        <w:right w:val="none" w:sz="0" w:space="0" w:color="auto"/>
      </w:divBdr>
    </w:div>
    <w:div w:id="866063954">
      <w:bodyDiv w:val="1"/>
      <w:marLeft w:val="0"/>
      <w:marRight w:val="0"/>
      <w:marTop w:val="0"/>
      <w:marBottom w:val="0"/>
      <w:divBdr>
        <w:top w:val="none" w:sz="0" w:space="0" w:color="auto"/>
        <w:left w:val="none" w:sz="0" w:space="0" w:color="auto"/>
        <w:bottom w:val="none" w:sz="0" w:space="0" w:color="auto"/>
        <w:right w:val="none" w:sz="0" w:space="0" w:color="auto"/>
      </w:divBdr>
    </w:div>
    <w:div w:id="919949346">
      <w:bodyDiv w:val="1"/>
      <w:marLeft w:val="0"/>
      <w:marRight w:val="0"/>
      <w:marTop w:val="0"/>
      <w:marBottom w:val="0"/>
      <w:divBdr>
        <w:top w:val="none" w:sz="0" w:space="0" w:color="auto"/>
        <w:left w:val="none" w:sz="0" w:space="0" w:color="auto"/>
        <w:bottom w:val="none" w:sz="0" w:space="0" w:color="auto"/>
        <w:right w:val="none" w:sz="0" w:space="0" w:color="auto"/>
      </w:divBdr>
    </w:div>
    <w:div w:id="928388822">
      <w:bodyDiv w:val="1"/>
      <w:marLeft w:val="0"/>
      <w:marRight w:val="0"/>
      <w:marTop w:val="0"/>
      <w:marBottom w:val="0"/>
      <w:divBdr>
        <w:top w:val="none" w:sz="0" w:space="0" w:color="auto"/>
        <w:left w:val="none" w:sz="0" w:space="0" w:color="auto"/>
        <w:bottom w:val="none" w:sz="0" w:space="0" w:color="auto"/>
        <w:right w:val="none" w:sz="0" w:space="0" w:color="auto"/>
      </w:divBdr>
    </w:div>
    <w:div w:id="1035693832">
      <w:bodyDiv w:val="1"/>
      <w:marLeft w:val="0"/>
      <w:marRight w:val="0"/>
      <w:marTop w:val="0"/>
      <w:marBottom w:val="0"/>
      <w:divBdr>
        <w:top w:val="none" w:sz="0" w:space="0" w:color="auto"/>
        <w:left w:val="none" w:sz="0" w:space="0" w:color="auto"/>
        <w:bottom w:val="none" w:sz="0" w:space="0" w:color="auto"/>
        <w:right w:val="none" w:sz="0" w:space="0" w:color="auto"/>
      </w:divBdr>
    </w:div>
    <w:div w:id="1045330552">
      <w:bodyDiv w:val="1"/>
      <w:marLeft w:val="0"/>
      <w:marRight w:val="0"/>
      <w:marTop w:val="0"/>
      <w:marBottom w:val="0"/>
      <w:divBdr>
        <w:top w:val="none" w:sz="0" w:space="0" w:color="auto"/>
        <w:left w:val="none" w:sz="0" w:space="0" w:color="auto"/>
        <w:bottom w:val="none" w:sz="0" w:space="0" w:color="auto"/>
        <w:right w:val="none" w:sz="0" w:space="0" w:color="auto"/>
      </w:divBdr>
    </w:div>
    <w:div w:id="1060665446">
      <w:bodyDiv w:val="1"/>
      <w:marLeft w:val="0"/>
      <w:marRight w:val="0"/>
      <w:marTop w:val="0"/>
      <w:marBottom w:val="0"/>
      <w:divBdr>
        <w:top w:val="none" w:sz="0" w:space="0" w:color="auto"/>
        <w:left w:val="none" w:sz="0" w:space="0" w:color="auto"/>
        <w:bottom w:val="none" w:sz="0" w:space="0" w:color="auto"/>
        <w:right w:val="none" w:sz="0" w:space="0" w:color="auto"/>
      </w:divBdr>
    </w:div>
    <w:div w:id="1104884860">
      <w:bodyDiv w:val="1"/>
      <w:marLeft w:val="0"/>
      <w:marRight w:val="0"/>
      <w:marTop w:val="0"/>
      <w:marBottom w:val="0"/>
      <w:divBdr>
        <w:top w:val="none" w:sz="0" w:space="0" w:color="auto"/>
        <w:left w:val="none" w:sz="0" w:space="0" w:color="auto"/>
        <w:bottom w:val="none" w:sz="0" w:space="0" w:color="auto"/>
        <w:right w:val="none" w:sz="0" w:space="0" w:color="auto"/>
      </w:divBdr>
    </w:div>
    <w:div w:id="1121262749">
      <w:bodyDiv w:val="1"/>
      <w:marLeft w:val="0"/>
      <w:marRight w:val="0"/>
      <w:marTop w:val="0"/>
      <w:marBottom w:val="0"/>
      <w:divBdr>
        <w:top w:val="none" w:sz="0" w:space="0" w:color="auto"/>
        <w:left w:val="none" w:sz="0" w:space="0" w:color="auto"/>
        <w:bottom w:val="none" w:sz="0" w:space="0" w:color="auto"/>
        <w:right w:val="none" w:sz="0" w:space="0" w:color="auto"/>
      </w:divBdr>
    </w:div>
    <w:div w:id="1231576865">
      <w:bodyDiv w:val="1"/>
      <w:marLeft w:val="0"/>
      <w:marRight w:val="0"/>
      <w:marTop w:val="0"/>
      <w:marBottom w:val="0"/>
      <w:divBdr>
        <w:top w:val="none" w:sz="0" w:space="0" w:color="auto"/>
        <w:left w:val="none" w:sz="0" w:space="0" w:color="auto"/>
        <w:bottom w:val="none" w:sz="0" w:space="0" w:color="auto"/>
        <w:right w:val="none" w:sz="0" w:space="0" w:color="auto"/>
      </w:divBdr>
    </w:div>
    <w:div w:id="1311978356">
      <w:bodyDiv w:val="1"/>
      <w:marLeft w:val="0"/>
      <w:marRight w:val="0"/>
      <w:marTop w:val="0"/>
      <w:marBottom w:val="0"/>
      <w:divBdr>
        <w:top w:val="none" w:sz="0" w:space="0" w:color="auto"/>
        <w:left w:val="none" w:sz="0" w:space="0" w:color="auto"/>
        <w:bottom w:val="none" w:sz="0" w:space="0" w:color="auto"/>
        <w:right w:val="none" w:sz="0" w:space="0" w:color="auto"/>
      </w:divBdr>
    </w:div>
    <w:div w:id="1341932774">
      <w:bodyDiv w:val="1"/>
      <w:marLeft w:val="0"/>
      <w:marRight w:val="0"/>
      <w:marTop w:val="0"/>
      <w:marBottom w:val="0"/>
      <w:divBdr>
        <w:top w:val="none" w:sz="0" w:space="0" w:color="auto"/>
        <w:left w:val="none" w:sz="0" w:space="0" w:color="auto"/>
        <w:bottom w:val="none" w:sz="0" w:space="0" w:color="auto"/>
        <w:right w:val="none" w:sz="0" w:space="0" w:color="auto"/>
      </w:divBdr>
    </w:div>
    <w:div w:id="1343555236">
      <w:bodyDiv w:val="1"/>
      <w:marLeft w:val="0"/>
      <w:marRight w:val="0"/>
      <w:marTop w:val="0"/>
      <w:marBottom w:val="0"/>
      <w:divBdr>
        <w:top w:val="none" w:sz="0" w:space="0" w:color="auto"/>
        <w:left w:val="none" w:sz="0" w:space="0" w:color="auto"/>
        <w:bottom w:val="none" w:sz="0" w:space="0" w:color="auto"/>
        <w:right w:val="none" w:sz="0" w:space="0" w:color="auto"/>
      </w:divBdr>
    </w:div>
    <w:div w:id="1369843157">
      <w:bodyDiv w:val="1"/>
      <w:marLeft w:val="0"/>
      <w:marRight w:val="0"/>
      <w:marTop w:val="0"/>
      <w:marBottom w:val="0"/>
      <w:divBdr>
        <w:top w:val="none" w:sz="0" w:space="0" w:color="auto"/>
        <w:left w:val="none" w:sz="0" w:space="0" w:color="auto"/>
        <w:bottom w:val="none" w:sz="0" w:space="0" w:color="auto"/>
        <w:right w:val="none" w:sz="0" w:space="0" w:color="auto"/>
      </w:divBdr>
    </w:div>
    <w:div w:id="1404916369">
      <w:bodyDiv w:val="1"/>
      <w:marLeft w:val="0"/>
      <w:marRight w:val="0"/>
      <w:marTop w:val="0"/>
      <w:marBottom w:val="0"/>
      <w:divBdr>
        <w:top w:val="none" w:sz="0" w:space="0" w:color="auto"/>
        <w:left w:val="none" w:sz="0" w:space="0" w:color="auto"/>
        <w:bottom w:val="none" w:sz="0" w:space="0" w:color="auto"/>
        <w:right w:val="none" w:sz="0" w:space="0" w:color="auto"/>
      </w:divBdr>
    </w:div>
    <w:div w:id="1412459874">
      <w:bodyDiv w:val="1"/>
      <w:marLeft w:val="0"/>
      <w:marRight w:val="0"/>
      <w:marTop w:val="0"/>
      <w:marBottom w:val="0"/>
      <w:divBdr>
        <w:top w:val="none" w:sz="0" w:space="0" w:color="auto"/>
        <w:left w:val="none" w:sz="0" w:space="0" w:color="auto"/>
        <w:bottom w:val="none" w:sz="0" w:space="0" w:color="auto"/>
        <w:right w:val="none" w:sz="0" w:space="0" w:color="auto"/>
      </w:divBdr>
    </w:div>
    <w:div w:id="1480074200">
      <w:bodyDiv w:val="1"/>
      <w:marLeft w:val="0"/>
      <w:marRight w:val="0"/>
      <w:marTop w:val="0"/>
      <w:marBottom w:val="0"/>
      <w:divBdr>
        <w:top w:val="none" w:sz="0" w:space="0" w:color="auto"/>
        <w:left w:val="none" w:sz="0" w:space="0" w:color="auto"/>
        <w:bottom w:val="none" w:sz="0" w:space="0" w:color="auto"/>
        <w:right w:val="none" w:sz="0" w:space="0" w:color="auto"/>
      </w:divBdr>
    </w:div>
    <w:div w:id="1535146204">
      <w:bodyDiv w:val="1"/>
      <w:marLeft w:val="0"/>
      <w:marRight w:val="0"/>
      <w:marTop w:val="0"/>
      <w:marBottom w:val="0"/>
      <w:divBdr>
        <w:top w:val="none" w:sz="0" w:space="0" w:color="auto"/>
        <w:left w:val="none" w:sz="0" w:space="0" w:color="auto"/>
        <w:bottom w:val="none" w:sz="0" w:space="0" w:color="auto"/>
        <w:right w:val="none" w:sz="0" w:space="0" w:color="auto"/>
      </w:divBdr>
    </w:div>
    <w:div w:id="1582912151">
      <w:bodyDiv w:val="1"/>
      <w:marLeft w:val="0"/>
      <w:marRight w:val="0"/>
      <w:marTop w:val="0"/>
      <w:marBottom w:val="0"/>
      <w:divBdr>
        <w:top w:val="none" w:sz="0" w:space="0" w:color="auto"/>
        <w:left w:val="none" w:sz="0" w:space="0" w:color="auto"/>
        <w:bottom w:val="none" w:sz="0" w:space="0" w:color="auto"/>
        <w:right w:val="none" w:sz="0" w:space="0" w:color="auto"/>
      </w:divBdr>
    </w:div>
    <w:div w:id="1605455309">
      <w:bodyDiv w:val="1"/>
      <w:marLeft w:val="0"/>
      <w:marRight w:val="0"/>
      <w:marTop w:val="0"/>
      <w:marBottom w:val="0"/>
      <w:divBdr>
        <w:top w:val="none" w:sz="0" w:space="0" w:color="auto"/>
        <w:left w:val="none" w:sz="0" w:space="0" w:color="auto"/>
        <w:bottom w:val="none" w:sz="0" w:space="0" w:color="auto"/>
        <w:right w:val="none" w:sz="0" w:space="0" w:color="auto"/>
      </w:divBdr>
    </w:div>
    <w:div w:id="1647123226">
      <w:bodyDiv w:val="1"/>
      <w:marLeft w:val="0"/>
      <w:marRight w:val="0"/>
      <w:marTop w:val="0"/>
      <w:marBottom w:val="0"/>
      <w:divBdr>
        <w:top w:val="none" w:sz="0" w:space="0" w:color="auto"/>
        <w:left w:val="none" w:sz="0" w:space="0" w:color="auto"/>
        <w:bottom w:val="none" w:sz="0" w:space="0" w:color="auto"/>
        <w:right w:val="none" w:sz="0" w:space="0" w:color="auto"/>
      </w:divBdr>
    </w:div>
    <w:div w:id="1754619622">
      <w:bodyDiv w:val="1"/>
      <w:marLeft w:val="0"/>
      <w:marRight w:val="0"/>
      <w:marTop w:val="0"/>
      <w:marBottom w:val="0"/>
      <w:divBdr>
        <w:top w:val="none" w:sz="0" w:space="0" w:color="auto"/>
        <w:left w:val="none" w:sz="0" w:space="0" w:color="auto"/>
        <w:bottom w:val="none" w:sz="0" w:space="0" w:color="auto"/>
        <w:right w:val="none" w:sz="0" w:space="0" w:color="auto"/>
      </w:divBdr>
    </w:div>
    <w:div w:id="1760179965">
      <w:bodyDiv w:val="1"/>
      <w:marLeft w:val="0"/>
      <w:marRight w:val="0"/>
      <w:marTop w:val="0"/>
      <w:marBottom w:val="0"/>
      <w:divBdr>
        <w:top w:val="none" w:sz="0" w:space="0" w:color="auto"/>
        <w:left w:val="none" w:sz="0" w:space="0" w:color="auto"/>
        <w:bottom w:val="none" w:sz="0" w:space="0" w:color="auto"/>
        <w:right w:val="none" w:sz="0" w:space="0" w:color="auto"/>
      </w:divBdr>
    </w:div>
    <w:div w:id="1768112384">
      <w:bodyDiv w:val="1"/>
      <w:marLeft w:val="0"/>
      <w:marRight w:val="0"/>
      <w:marTop w:val="0"/>
      <w:marBottom w:val="0"/>
      <w:divBdr>
        <w:top w:val="none" w:sz="0" w:space="0" w:color="auto"/>
        <w:left w:val="none" w:sz="0" w:space="0" w:color="auto"/>
        <w:bottom w:val="none" w:sz="0" w:space="0" w:color="auto"/>
        <w:right w:val="none" w:sz="0" w:space="0" w:color="auto"/>
      </w:divBdr>
    </w:div>
    <w:div w:id="1775831525">
      <w:bodyDiv w:val="1"/>
      <w:marLeft w:val="0"/>
      <w:marRight w:val="0"/>
      <w:marTop w:val="0"/>
      <w:marBottom w:val="0"/>
      <w:divBdr>
        <w:top w:val="none" w:sz="0" w:space="0" w:color="auto"/>
        <w:left w:val="none" w:sz="0" w:space="0" w:color="auto"/>
        <w:bottom w:val="none" w:sz="0" w:space="0" w:color="auto"/>
        <w:right w:val="none" w:sz="0" w:space="0" w:color="auto"/>
      </w:divBdr>
    </w:div>
    <w:div w:id="1941402702">
      <w:bodyDiv w:val="1"/>
      <w:marLeft w:val="0"/>
      <w:marRight w:val="0"/>
      <w:marTop w:val="0"/>
      <w:marBottom w:val="0"/>
      <w:divBdr>
        <w:top w:val="none" w:sz="0" w:space="0" w:color="auto"/>
        <w:left w:val="none" w:sz="0" w:space="0" w:color="auto"/>
        <w:bottom w:val="none" w:sz="0" w:space="0" w:color="auto"/>
        <w:right w:val="none" w:sz="0" w:space="0" w:color="auto"/>
      </w:divBdr>
    </w:div>
    <w:div w:id="2012678543">
      <w:bodyDiv w:val="1"/>
      <w:marLeft w:val="0"/>
      <w:marRight w:val="0"/>
      <w:marTop w:val="0"/>
      <w:marBottom w:val="0"/>
      <w:divBdr>
        <w:top w:val="none" w:sz="0" w:space="0" w:color="auto"/>
        <w:left w:val="none" w:sz="0" w:space="0" w:color="auto"/>
        <w:bottom w:val="none" w:sz="0" w:space="0" w:color="auto"/>
        <w:right w:val="none" w:sz="0" w:space="0" w:color="auto"/>
      </w:divBdr>
    </w:div>
    <w:div w:id="21201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111</TotalTime>
  <Pages>39</Pages>
  <Words>14876</Words>
  <Characters>90487</Characters>
  <Application>Microsoft Office Word</Application>
  <DocSecurity>0</DocSecurity>
  <Lines>754</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2023022652 mt</dc:description>
  <cp:lastModifiedBy>Hanne Thy Iversen</cp:lastModifiedBy>
  <cp:revision>8</cp:revision>
  <cp:lastPrinted>2012-08-22T08:53:00Z</cp:lastPrinted>
  <dcterms:created xsi:type="dcterms:W3CDTF">2025-03-28T10:21:00Z</dcterms:created>
  <dcterms:modified xsi:type="dcterms:W3CDTF">2025-03-28T12:55:00Z</dcterms:modified>
</cp:coreProperties>
</file>