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98D57" w14:textId="77777777" w:rsidR="009260DE" w:rsidRPr="003D3B2F" w:rsidRDefault="0021526C" w:rsidP="009260DE">
      <w:pPr>
        <w:rPr>
          <w:sz w:val="24"/>
          <w:szCs w:val="24"/>
        </w:rPr>
      </w:pPr>
      <w:r w:rsidRPr="003D3B2F">
        <w:rPr>
          <w:noProof/>
          <w:sz w:val="24"/>
          <w:szCs w:val="24"/>
          <w:lang w:eastAsia="da-DK"/>
        </w:rPr>
        <w:drawing>
          <wp:anchor distT="0" distB="0" distL="114300" distR="114300" simplePos="0" relativeHeight="251658240" behindDoc="0" locked="0" layoutInCell="1" allowOverlap="1" wp14:anchorId="66DD4F1E" wp14:editId="53310FEF">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3D3B2F">
        <w:rPr>
          <w:sz w:val="24"/>
          <w:szCs w:val="24"/>
        </w:rPr>
        <w:br w:type="textWrapping" w:clear="all"/>
      </w:r>
    </w:p>
    <w:p w14:paraId="3C1406AC" w14:textId="397F7FB6" w:rsidR="009260DE" w:rsidRPr="003D3B2F" w:rsidRDefault="009260DE" w:rsidP="009260DE">
      <w:pPr>
        <w:pStyle w:val="Titel"/>
        <w:tabs>
          <w:tab w:val="right" w:pos="9356"/>
        </w:tabs>
        <w:jc w:val="left"/>
        <w:rPr>
          <w:b w:val="0"/>
          <w:szCs w:val="24"/>
          <w:lang w:eastAsia="en-US"/>
        </w:rPr>
      </w:pPr>
      <w:r w:rsidRPr="003D3B2F">
        <w:rPr>
          <w:b w:val="0"/>
          <w:szCs w:val="24"/>
          <w:lang w:eastAsia="en-US"/>
        </w:rPr>
        <w:tab/>
      </w:r>
      <w:r w:rsidR="00BD4844">
        <w:rPr>
          <w:szCs w:val="24"/>
        </w:rPr>
        <w:t>24. april 2026</w:t>
      </w:r>
    </w:p>
    <w:p w14:paraId="6750C208" w14:textId="77777777" w:rsidR="009260DE" w:rsidRPr="003D3B2F" w:rsidRDefault="009260DE" w:rsidP="009260DE">
      <w:pPr>
        <w:pStyle w:val="Titel"/>
        <w:tabs>
          <w:tab w:val="left" w:pos="8222"/>
        </w:tabs>
        <w:jc w:val="left"/>
        <w:rPr>
          <w:b w:val="0"/>
          <w:szCs w:val="24"/>
        </w:rPr>
      </w:pPr>
    </w:p>
    <w:p w14:paraId="2030AD09" w14:textId="77777777" w:rsidR="009260DE" w:rsidRPr="003D3B2F" w:rsidRDefault="009260DE" w:rsidP="009260DE">
      <w:pPr>
        <w:pStyle w:val="Titel"/>
        <w:jc w:val="left"/>
        <w:rPr>
          <w:b w:val="0"/>
          <w:szCs w:val="24"/>
        </w:rPr>
      </w:pPr>
    </w:p>
    <w:p w14:paraId="066AFCFA" w14:textId="77777777" w:rsidR="009260DE" w:rsidRPr="003D3B2F" w:rsidRDefault="009260DE" w:rsidP="009260DE">
      <w:pPr>
        <w:pStyle w:val="Titel"/>
        <w:jc w:val="left"/>
        <w:rPr>
          <w:b w:val="0"/>
          <w:szCs w:val="24"/>
        </w:rPr>
      </w:pPr>
    </w:p>
    <w:p w14:paraId="5177B9F8" w14:textId="77777777" w:rsidR="009260DE" w:rsidRPr="003D3B2F" w:rsidRDefault="009260DE" w:rsidP="009260DE">
      <w:pPr>
        <w:jc w:val="center"/>
        <w:rPr>
          <w:b/>
          <w:sz w:val="24"/>
          <w:szCs w:val="24"/>
        </w:rPr>
      </w:pPr>
      <w:r w:rsidRPr="003D3B2F">
        <w:rPr>
          <w:b/>
          <w:sz w:val="24"/>
          <w:szCs w:val="24"/>
        </w:rPr>
        <w:t>PRODUKTRESUMÉ</w:t>
      </w:r>
    </w:p>
    <w:p w14:paraId="79262CF1" w14:textId="77777777" w:rsidR="009260DE" w:rsidRPr="003D3B2F" w:rsidRDefault="009260DE" w:rsidP="009260DE">
      <w:pPr>
        <w:jc w:val="center"/>
        <w:rPr>
          <w:b/>
          <w:sz w:val="24"/>
          <w:szCs w:val="24"/>
        </w:rPr>
      </w:pPr>
    </w:p>
    <w:p w14:paraId="48970F30" w14:textId="77777777" w:rsidR="009260DE" w:rsidRPr="003D3B2F" w:rsidRDefault="009260DE" w:rsidP="009260DE">
      <w:pPr>
        <w:jc w:val="center"/>
        <w:rPr>
          <w:b/>
          <w:sz w:val="24"/>
          <w:szCs w:val="24"/>
        </w:rPr>
      </w:pPr>
      <w:r w:rsidRPr="003D3B2F">
        <w:rPr>
          <w:b/>
          <w:sz w:val="24"/>
          <w:szCs w:val="24"/>
        </w:rPr>
        <w:t>for</w:t>
      </w:r>
    </w:p>
    <w:p w14:paraId="662E852B" w14:textId="77777777" w:rsidR="000B058C" w:rsidRPr="003D3B2F" w:rsidRDefault="000B058C" w:rsidP="009260DE">
      <w:pPr>
        <w:jc w:val="center"/>
        <w:rPr>
          <w:b/>
          <w:sz w:val="24"/>
          <w:szCs w:val="24"/>
        </w:rPr>
      </w:pPr>
    </w:p>
    <w:p w14:paraId="21B7AF92" w14:textId="4110936A" w:rsidR="009260DE" w:rsidRPr="003D3B2F" w:rsidRDefault="00C91B4E" w:rsidP="009260DE">
      <w:pPr>
        <w:jc w:val="center"/>
        <w:rPr>
          <w:b/>
          <w:sz w:val="24"/>
          <w:szCs w:val="24"/>
        </w:rPr>
      </w:pPr>
      <w:proofErr w:type="spellStart"/>
      <w:r w:rsidRPr="003D3B2F">
        <w:rPr>
          <w:b/>
          <w:sz w:val="24"/>
          <w:szCs w:val="24"/>
        </w:rPr>
        <w:t>Empagliflozin</w:t>
      </w:r>
      <w:proofErr w:type="spellEnd"/>
      <w:r w:rsidRPr="003D3B2F">
        <w:rPr>
          <w:b/>
          <w:sz w:val="24"/>
          <w:szCs w:val="24"/>
        </w:rPr>
        <w:t>/</w:t>
      </w:r>
      <w:proofErr w:type="spellStart"/>
      <w:r w:rsidRPr="003D3B2F">
        <w:rPr>
          <w:b/>
          <w:sz w:val="24"/>
          <w:szCs w:val="24"/>
        </w:rPr>
        <w:t>Metformin</w:t>
      </w:r>
      <w:proofErr w:type="spellEnd"/>
      <w:r w:rsidRPr="003D3B2F">
        <w:rPr>
          <w:b/>
          <w:sz w:val="24"/>
          <w:szCs w:val="24"/>
        </w:rPr>
        <w:t xml:space="preserve"> </w:t>
      </w:r>
      <w:r w:rsidR="00595CFD">
        <w:rPr>
          <w:b/>
          <w:sz w:val="24"/>
          <w:szCs w:val="24"/>
        </w:rPr>
        <w:t>"</w:t>
      </w:r>
      <w:proofErr w:type="spellStart"/>
      <w:r w:rsidRPr="003D3B2F">
        <w:rPr>
          <w:b/>
          <w:sz w:val="24"/>
          <w:szCs w:val="24"/>
        </w:rPr>
        <w:t>Krka</w:t>
      </w:r>
      <w:proofErr w:type="spellEnd"/>
      <w:r w:rsidR="00595CFD">
        <w:rPr>
          <w:b/>
          <w:sz w:val="24"/>
          <w:szCs w:val="24"/>
        </w:rPr>
        <w:t>"</w:t>
      </w:r>
      <w:r w:rsidRPr="003D3B2F">
        <w:rPr>
          <w:b/>
          <w:sz w:val="24"/>
          <w:szCs w:val="24"/>
        </w:rPr>
        <w:t>, filmovertrukne tabletter</w:t>
      </w:r>
    </w:p>
    <w:p w14:paraId="1ED72B90" w14:textId="77777777" w:rsidR="009260DE" w:rsidRPr="003D3B2F" w:rsidRDefault="009260DE" w:rsidP="009260DE">
      <w:pPr>
        <w:jc w:val="both"/>
        <w:rPr>
          <w:sz w:val="24"/>
          <w:szCs w:val="24"/>
        </w:rPr>
      </w:pPr>
    </w:p>
    <w:p w14:paraId="3FAEFDA4" w14:textId="77777777" w:rsidR="009260DE" w:rsidRPr="003D3B2F" w:rsidRDefault="009260DE" w:rsidP="009260DE">
      <w:pPr>
        <w:jc w:val="both"/>
        <w:rPr>
          <w:sz w:val="24"/>
          <w:szCs w:val="24"/>
        </w:rPr>
      </w:pPr>
    </w:p>
    <w:p w14:paraId="37455D9C" w14:textId="77777777" w:rsidR="009260DE" w:rsidRPr="003D3B2F" w:rsidRDefault="009260DE" w:rsidP="009260DE">
      <w:pPr>
        <w:tabs>
          <w:tab w:val="left" w:pos="851"/>
        </w:tabs>
        <w:ind w:left="851" w:hanging="851"/>
        <w:rPr>
          <w:b/>
          <w:sz w:val="24"/>
          <w:szCs w:val="24"/>
        </w:rPr>
      </w:pPr>
      <w:r w:rsidRPr="003D3B2F">
        <w:rPr>
          <w:b/>
          <w:sz w:val="24"/>
          <w:szCs w:val="24"/>
        </w:rPr>
        <w:t>0.</w:t>
      </w:r>
      <w:r w:rsidRPr="003D3B2F">
        <w:rPr>
          <w:b/>
          <w:sz w:val="24"/>
          <w:szCs w:val="24"/>
        </w:rPr>
        <w:tab/>
        <w:t>D.SP.NR.</w:t>
      </w:r>
    </w:p>
    <w:p w14:paraId="7B250C20" w14:textId="29CD4FC0" w:rsidR="009260DE" w:rsidRPr="003D3B2F" w:rsidRDefault="00C91B4E" w:rsidP="009260DE">
      <w:pPr>
        <w:tabs>
          <w:tab w:val="left" w:pos="851"/>
        </w:tabs>
        <w:ind w:left="851"/>
        <w:rPr>
          <w:sz w:val="24"/>
          <w:szCs w:val="24"/>
        </w:rPr>
      </w:pPr>
      <w:r w:rsidRPr="003D3B2F">
        <w:rPr>
          <w:sz w:val="24"/>
          <w:szCs w:val="24"/>
        </w:rPr>
        <w:t>34426</w:t>
      </w:r>
    </w:p>
    <w:p w14:paraId="574F1B63" w14:textId="77777777" w:rsidR="009260DE" w:rsidRPr="003D3B2F" w:rsidRDefault="009260DE" w:rsidP="009260DE">
      <w:pPr>
        <w:tabs>
          <w:tab w:val="left" w:pos="851"/>
        </w:tabs>
        <w:ind w:left="851"/>
        <w:rPr>
          <w:sz w:val="24"/>
          <w:szCs w:val="24"/>
        </w:rPr>
      </w:pPr>
    </w:p>
    <w:p w14:paraId="10DA973C" w14:textId="77777777" w:rsidR="009260DE" w:rsidRPr="003D3B2F" w:rsidRDefault="009260DE" w:rsidP="009260DE">
      <w:pPr>
        <w:tabs>
          <w:tab w:val="left" w:pos="851"/>
        </w:tabs>
        <w:ind w:left="851" w:hanging="851"/>
        <w:rPr>
          <w:b/>
          <w:sz w:val="24"/>
          <w:szCs w:val="24"/>
        </w:rPr>
      </w:pPr>
      <w:r w:rsidRPr="003D3B2F">
        <w:rPr>
          <w:b/>
          <w:sz w:val="24"/>
          <w:szCs w:val="24"/>
        </w:rPr>
        <w:t>1.</w:t>
      </w:r>
      <w:r w:rsidRPr="003D3B2F">
        <w:rPr>
          <w:b/>
          <w:sz w:val="24"/>
          <w:szCs w:val="24"/>
        </w:rPr>
        <w:tab/>
        <w:t>LÆGEMIDLETS NAVN</w:t>
      </w:r>
    </w:p>
    <w:p w14:paraId="2CE88C59" w14:textId="0510CF09" w:rsidR="009260DE" w:rsidRPr="003D3B2F" w:rsidRDefault="00C91B4E" w:rsidP="009260DE">
      <w:pPr>
        <w:tabs>
          <w:tab w:val="left" w:pos="851"/>
        </w:tabs>
        <w:ind w:left="851"/>
        <w:rPr>
          <w:sz w:val="24"/>
          <w:szCs w:val="24"/>
        </w:rPr>
      </w:pPr>
      <w:proofErr w:type="spellStart"/>
      <w:r w:rsidRPr="003D3B2F">
        <w:rPr>
          <w:sz w:val="24"/>
          <w:szCs w:val="24"/>
        </w:rPr>
        <w:t>Empagliflozin</w:t>
      </w:r>
      <w:proofErr w:type="spellEnd"/>
      <w:r w:rsidRPr="003D3B2F">
        <w:rPr>
          <w:sz w:val="24"/>
          <w:szCs w:val="24"/>
        </w:rPr>
        <w:t>/</w:t>
      </w:r>
      <w:proofErr w:type="spellStart"/>
      <w:r w:rsidRPr="003D3B2F">
        <w:rPr>
          <w:sz w:val="24"/>
          <w:szCs w:val="24"/>
        </w:rPr>
        <w:t>Metformin</w:t>
      </w:r>
      <w:proofErr w:type="spellEnd"/>
      <w:r w:rsidRPr="003D3B2F">
        <w:rPr>
          <w:sz w:val="24"/>
          <w:szCs w:val="24"/>
        </w:rPr>
        <w:t xml:space="preserve"> </w:t>
      </w:r>
      <w:r w:rsidR="00595CFD">
        <w:rPr>
          <w:sz w:val="24"/>
          <w:szCs w:val="24"/>
        </w:rPr>
        <w:t>"</w:t>
      </w:r>
      <w:proofErr w:type="spellStart"/>
      <w:r w:rsidRPr="003D3B2F">
        <w:rPr>
          <w:sz w:val="24"/>
          <w:szCs w:val="24"/>
        </w:rPr>
        <w:t>Krka</w:t>
      </w:r>
      <w:proofErr w:type="spellEnd"/>
      <w:r w:rsidR="00595CFD">
        <w:rPr>
          <w:sz w:val="24"/>
          <w:szCs w:val="24"/>
        </w:rPr>
        <w:t>"</w:t>
      </w:r>
    </w:p>
    <w:p w14:paraId="705D0AF8" w14:textId="77777777" w:rsidR="009260DE" w:rsidRPr="003D3B2F" w:rsidRDefault="009260DE" w:rsidP="009260DE">
      <w:pPr>
        <w:tabs>
          <w:tab w:val="left" w:pos="851"/>
        </w:tabs>
        <w:ind w:left="851"/>
        <w:rPr>
          <w:sz w:val="24"/>
          <w:szCs w:val="24"/>
        </w:rPr>
      </w:pPr>
    </w:p>
    <w:p w14:paraId="3C7AC7BA" w14:textId="77777777" w:rsidR="009260DE" w:rsidRPr="003D3B2F" w:rsidRDefault="009260DE" w:rsidP="009260DE">
      <w:pPr>
        <w:tabs>
          <w:tab w:val="left" w:pos="851"/>
        </w:tabs>
        <w:ind w:left="851" w:hanging="851"/>
        <w:rPr>
          <w:b/>
          <w:sz w:val="24"/>
          <w:szCs w:val="24"/>
        </w:rPr>
      </w:pPr>
      <w:r w:rsidRPr="003D3B2F">
        <w:rPr>
          <w:b/>
          <w:sz w:val="24"/>
          <w:szCs w:val="24"/>
        </w:rPr>
        <w:t>2.</w:t>
      </w:r>
      <w:r w:rsidRPr="003D3B2F">
        <w:rPr>
          <w:b/>
          <w:sz w:val="24"/>
          <w:szCs w:val="24"/>
        </w:rPr>
        <w:tab/>
        <w:t>KVALITATIV OG KVANTITATIV SAMMENSÆTNING</w:t>
      </w:r>
    </w:p>
    <w:p w14:paraId="6D693ECE" w14:textId="77777777" w:rsidR="001C0D88" w:rsidRDefault="001C0D88" w:rsidP="00503DFB">
      <w:pPr>
        <w:ind w:left="851"/>
        <w:rPr>
          <w:sz w:val="24"/>
          <w:szCs w:val="24"/>
          <w:u w:val="single"/>
        </w:rPr>
      </w:pPr>
    </w:p>
    <w:p w14:paraId="4684C5EA" w14:textId="4B328D72" w:rsidR="00841BE0" w:rsidRPr="00841BE0" w:rsidRDefault="00841BE0" w:rsidP="00503DFB">
      <w:pPr>
        <w:ind w:left="851"/>
        <w:rPr>
          <w:sz w:val="24"/>
          <w:szCs w:val="24"/>
          <w:u w:val="single"/>
        </w:rPr>
      </w:pPr>
      <w:proofErr w:type="spellStart"/>
      <w:r w:rsidRPr="00841BE0">
        <w:rPr>
          <w:sz w:val="24"/>
          <w:szCs w:val="24"/>
          <w:u w:val="single"/>
        </w:rPr>
        <w:t>Empagliflozin</w:t>
      </w:r>
      <w:proofErr w:type="spellEnd"/>
      <w:r w:rsidRPr="00841BE0">
        <w:rPr>
          <w:sz w:val="24"/>
          <w:szCs w:val="24"/>
          <w:u w:val="single"/>
        </w:rPr>
        <w:t>/</w:t>
      </w:r>
      <w:proofErr w:type="spellStart"/>
      <w:r w:rsidRPr="00841BE0">
        <w:rPr>
          <w:sz w:val="24"/>
          <w:szCs w:val="24"/>
          <w:u w:val="single"/>
        </w:rPr>
        <w:t>Metformin</w:t>
      </w:r>
      <w:proofErr w:type="spellEnd"/>
      <w:r w:rsidRPr="00841BE0">
        <w:rPr>
          <w:sz w:val="24"/>
          <w:szCs w:val="24"/>
          <w:u w:val="single"/>
        </w:rPr>
        <w:t xml:space="preserve"> </w:t>
      </w:r>
      <w:r w:rsidR="00595CFD">
        <w:rPr>
          <w:sz w:val="24"/>
          <w:szCs w:val="24"/>
          <w:u w:val="single"/>
        </w:rPr>
        <w:t>"</w:t>
      </w:r>
      <w:proofErr w:type="spellStart"/>
      <w:r w:rsidRPr="00841BE0">
        <w:rPr>
          <w:sz w:val="24"/>
          <w:szCs w:val="24"/>
          <w:u w:val="single"/>
        </w:rPr>
        <w:t>Krka</w:t>
      </w:r>
      <w:proofErr w:type="spellEnd"/>
      <w:r w:rsidR="00595CFD">
        <w:rPr>
          <w:sz w:val="24"/>
          <w:szCs w:val="24"/>
          <w:u w:val="single"/>
        </w:rPr>
        <w:t>"</w:t>
      </w:r>
      <w:r w:rsidRPr="00841BE0">
        <w:rPr>
          <w:sz w:val="24"/>
          <w:szCs w:val="24"/>
          <w:u w:val="single"/>
        </w:rPr>
        <w:t xml:space="preserve"> 5 mg/850 mg filmovertrukne tabletter</w:t>
      </w:r>
    </w:p>
    <w:p w14:paraId="6EA97EC4" w14:textId="77777777" w:rsidR="00841BE0" w:rsidRPr="00841BE0" w:rsidRDefault="00841BE0" w:rsidP="00503DFB">
      <w:pPr>
        <w:ind w:left="851"/>
        <w:rPr>
          <w:sz w:val="24"/>
          <w:szCs w:val="24"/>
        </w:rPr>
      </w:pPr>
      <w:r w:rsidRPr="00841BE0">
        <w:rPr>
          <w:sz w:val="24"/>
          <w:szCs w:val="24"/>
        </w:rPr>
        <w:t xml:space="preserve">Hver filmovertrukket tablet indeholder 5 mg </w:t>
      </w:r>
      <w:proofErr w:type="spellStart"/>
      <w:r w:rsidRPr="00841BE0">
        <w:rPr>
          <w:sz w:val="24"/>
          <w:szCs w:val="24"/>
        </w:rPr>
        <w:t>empagliflozin</w:t>
      </w:r>
      <w:proofErr w:type="spellEnd"/>
      <w:r w:rsidRPr="00841BE0">
        <w:rPr>
          <w:sz w:val="24"/>
          <w:szCs w:val="24"/>
        </w:rPr>
        <w:t xml:space="preserve"> og 850 mg </w:t>
      </w:r>
      <w:proofErr w:type="spellStart"/>
      <w:r w:rsidRPr="00841BE0">
        <w:rPr>
          <w:sz w:val="24"/>
          <w:szCs w:val="24"/>
        </w:rPr>
        <w:t>metforminhydrochlorid</w:t>
      </w:r>
      <w:proofErr w:type="spellEnd"/>
      <w:r w:rsidRPr="00841BE0">
        <w:rPr>
          <w:sz w:val="24"/>
          <w:szCs w:val="24"/>
        </w:rPr>
        <w:t>.</w:t>
      </w:r>
    </w:p>
    <w:p w14:paraId="77712075" w14:textId="77777777" w:rsidR="00841BE0" w:rsidRPr="00841BE0" w:rsidRDefault="00841BE0" w:rsidP="00503DFB">
      <w:pPr>
        <w:ind w:left="851"/>
        <w:rPr>
          <w:sz w:val="24"/>
          <w:szCs w:val="24"/>
        </w:rPr>
      </w:pPr>
    </w:p>
    <w:p w14:paraId="49F72110" w14:textId="2E7B2EF3" w:rsidR="00841BE0" w:rsidRPr="00841BE0" w:rsidRDefault="00841BE0" w:rsidP="00503DFB">
      <w:pPr>
        <w:ind w:left="851"/>
        <w:rPr>
          <w:sz w:val="24"/>
          <w:szCs w:val="24"/>
          <w:u w:val="single"/>
        </w:rPr>
      </w:pPr>
      <w:proofErr w:type="spellStart"/>
      <w:r w:rsidRPr="00841BE0">
        <w:rPr>
          <w:sz w:val="24"/>
          <w:szCs w:val="24"/>
          <w:u w:val="single"/>
        </w:rPr>
        <w:t>Empagliflozin</w:t>
      </w:r>
      <w:proofErr w:type="spellEnd"/>
      <w:r w:rsidRPr="00841BE0">
        <w:rPr>
          <w:sz w:val="24"/>
          <w:szCs w:val="24"/>
          <w:u w:val="single"/>
        </w:rPr>
        <w:t>/</w:t>
      </w:r>
      <w:proofErr w:type="spellStart"/>
      <w:r w:rsidRPr="00841BE0">
        <w:rPr>
          <w:sz w:val="24"/>
          <w:szCs w:val="24"/>
          <w:u w:val="single"/>
        </w:rPr>
        <w:t>Metformin</w:t>
      </w:r>
      <w:proofErr w:type="spellEnd"/>
      <w:r w:rsidRPr="00841BE0">
        <w:rPr>
          <w:sz w:val="24"/>
          <w:szCs w:val="24"/>
          <w:u w:val="single"/>
        </w:rPr>
        <w:t xml:space="preserve"> </w:t>
      </w:r>
      <w:r w:rsidR="00595CFD">
        <w:rPr>
          <w:sz w:val="24"/>
          <w:szCs w:val="24"/>
          <w:u w:val="single"/>
        </w:rPr>
        <w:t>"</w:t>
      </w:r>
      <w:proofErr w:type="spellStart"/>
      <w:r w:rsidRPr="00841BE0">
        <w:rPr>
          <w:sz w:val="24"/>
          <w:szCs w:val="24"/>
          <w:u w:val="single"/>
        </w:rPr>
        <w:t>Krka</w:t>
      </w:r>
      <w:proofErr w:type="spellEnd"/>
      <w:r w:rsidR="00595CFD">
        <w:rPr>
          <w:sz w:val="24"/>
          <w:szCs w:val="24"/>
          <w:u w:val="single"/>
        </w:rPr>
        <w:t>"</w:t>
      </w:r>
      <w:r w:rsidRPr="00841BE0">
        <w:rPr>
          <w:sz w:val="24"/>
          <w:szCs w:val="24"/>
          <w:u w:val="single"/>
        </w:rPr>
        <w:t xml:space="preserve"> 5 mg/1.000 mg filmovertrukne tabletter</w:t>
      </w:r>
    </w:p>
    <w:p w14:paraId="28BC46B2" w14:textId="77777777" w:rsidR="00841BE0" w:rsidRPr="00841BE0" w:rsidRDefault="00841BE0" w:rsidP="00503DFB">
      <w:pPr>
        <w:ind w:left="851"/>
        <w:rPr>
          <w:sz w:val="24"/>
          <w:szCs w:val="24"/>
        </w:rPr>
      </w:pPr>
      <w:r w:rsidRPr="00841BE0">
        <w:rPr>
          <w:sz w:val="24"/>
          <w:szCs w:val="24"/>
        </w:rPr>
        <w:t xml:space="preserve">Hver filmovertrukket tablet indeholder 5 mg </w:t>
      </w:r>
      <w:proofErr w:type="spellStart"/>
      <w:r w:rsidRPr="00841BE0">
        <w:rPr>
          <w:sz w:val="24"/>
          <w:szCs w:val="24"/>
        </w:rPr>
        <w:t>empagliflozin</w:t>
      </w:r>
      <w:proofErr w:type="spellEnd"/>
      <w:r w:rsidRPr="00841BE0">
        <w:rPr>
          <w:sz w:val="24"/>
          <w:szCs w:val="24"/>
        </w:rPr>
        <w:t xml:space="preserve"> og 1.000 mg </w:t>
      </w:r>
      <w:proofErr w:type="spellStart"/>
      <w:r w:rsidRPr="00841BE0">
        <w:rPr>
          <w:sz w:val="24"/>
          <w:szCs w:val="24"/>
        </w:rPr>
        <w:t>metforminhydrochlorid</w:t>
      </w:r>
      <w:proofErr w:type="spellEnd"/>
      <w:r w:rsidRPr="00841BE0">
        <w:rPr>
          <w:sz w:val="24"/>
          <w:szCs w:val="24"/>
        </w:rPr>
        <w:t>.</w:t>
      </w:r>
    </w:p>
    <w:p w14:paraId="59F0D302" w14:textId="77777777" w:rsidR="00841BE0" w:rsidRPr="00841BE0" w:rsidRDefault="00841BE0" w:rsidP="00503DFB">
      <w:pPr>
        <w:ind w:left="851"/>
        <w:rPr>
          <w:sz w:val="24"/>
          <w:szCs w:val="24"/>
        </w:rPr>
      </w:pPr>
    </w:p>
    <w:p w14:paraId="06DBE459" w14:textId="2F7FBEC7" w:rsidR="00841BE0" w:rsidRPr="00841BE0" w:rsidRDefault="00841BE0" w:rsidP="00503DFB">
      <w:pPr>
        <w:ind w:left="851"/>
        <w:rPr>
          <w:sz w:val="24"/>
          <w:szCs w:val="24"/>
          <w:u w:val="single"/>
        </w:rPr>
      </w:pPr>
      <w:proofErr w:type="spellStart"/>
      <w:r w:rsidRPr="00841BE0">
        <w:rPr>
          <w:sz w:val="24"/>
          <w:szCs w:val="24"/>
          <w:u w:val="single"/>
        </w:rPr>
        <w:t>Empagliflozin</w:t>
      </w:r>
      <w:proofErr w:type="spellEnd"/>
      <w:r w:rsidRPr="00841BE0">
        <w:rPr>
          <w:sz w:val="24"/>
          <w:szCs w:val="24"/>
          <w:u w:val="single"/>
        </w:rPr>
        <w:t>/</w:t>
      </w:r>
      <w:proofErr w:type="spellStart"/>
      <w:r w:rsidRPr="00841BE0">
        <w:rPr>
          <w:sz w:val="24"/>
          <w:szCs w:val="24"/>
          <w:u w:val="single"/>
        </w:rPr>
        <w:t>Metformin</w:t>
      </w:r>
      <w:proofErr w:type="spellEnd"/>
      <w:r w:rsidRPr="00841BE0">
        <w:rPr>
          <w:sz w:val="24"/>
          <w:szCs w:val="24"/>
          <w:u w:val="single"/>
        </w:rPr>
        <w:t xml:space="preserve"> </w:t>
      </w:r>
      <w:r w:rsidR="00595CFD">
        <w:rPr>
          <w:sz w:val="24"/>
          <w:szCs w:val="24"/>
          <w:u w:val="single"/>
        </w:rPr>
        <w:t>"</w:t>
      </w:r>
      <w:proofErr w:type="spellStart"/>
      <w:r w:rsidRPr="00841BE0">
        <w:rPr>
          <w:sz w:val="24"/>
          <w:szCs w:val="24"/>
          <w:u w:val="single"/>
        </w:rPr>
        <w:t>Krka</w:t>
      </w:r>
      <w:proofErr w:type="spellEnd"/>
      <w:r w:rsidR="00595CFD">
        <w:rPr>
          <w:sz w:val="24"/>
          <w:szCs w:val="24"/>
          <w:u w:val="single"/>
        </w:rPr>
        <w:t>"</w:t>
      </w:r>
      <w:r w:rsidRPr="00841BE0">
        <w:rPr>
          <w:sz w:val="24"/>
          <w:szCs w:val="24"/>
          <w:u w:val="single"/>
        </w:rPr>
        <w:t xml:space="preserve"> 12,5 mg/850 mg filmovertrukne tabletter</w:t>
      </w:r>
    </w:p>
    <w:p w14:paraId="3CD3DE08" w14:textId="77777777" w:rsidR="00841BE0" w:rsidRPr="00841BE0" w:rsidRDefault="00841BE0" w:rsidP="00503DFB">
      <w:pPr>
        <w:ind w:left="851"/>
        <w:rPr>
          <w:sz w:val="24"/>
          <w:szCs w:val="24"/>
        </w:rPr>
      </w:pPr>
      <w:r w:rsidRPr="00841BE0">
        <w:rPr>
          <w:sz w:val="24"/>
          <w:szCs w:val="24"/>
        </w:rPr>
        <w:t xml:space="preserve">Hver filmovertrukket tablet indeholder 12,5 mg </w:t>
      </w:r>
      <w:proofErr w:type="spellStart"/>
      <w:r w:rsidRPr="00841BE0">
        <w:rPr>
          <w:sz w:val="24"/>
          <w:szCs w:val="24"/>
        </w:rPr>
        <w:t>empagliflozin</w:t>
      </w:r>
      <w:proofErr w:type="spellEnd"/>
      <w:r w:rsidRPr="00841BE0">
        <w:rPr>
          <w:sz w:val="24"/>
          <w:szCs w:val="24"/>
        </w:rPr>
        <w:t xml:space="preserve"> og 850 mg </w:t>
      </w:r>
      <w:proofErr w:type="spellStart"/>
      <w:r w:rsidRPr="00841BE0">
        <w:rPr>
          <w:sz w:val="24"/>
          <w:szCs w:val="24"/>
        </w:rPr>
        <w:t>metforminhydrochlorid</w:t>
      </w:r>
      <w:proofErr w:type="spellEnd"/>
      <w:r w:rsidRPr="00841BE0">
        <w:rPr>
          <w:sz w:val="24"/>
          <w:szCs w:val="24"/>
        </w:rPr>
        <w:t>.</w:t>
      </w:r>
    </w:p>
    <w:p w14:paraId="26F9BF7C" w14:textId="77777777" w:rsidR="00841BE0" w:rsidRPr="00841BE0" w:rsidRDefault="00841BE0" w:rsidP="00503DFB">
      <w:pPr>
        <w:ind w:left="851"/>
        <w:rPr>
          <w:sz w:val="24"/>
          <w:szCs w:val="24"/>
        </w:rPr>
      </w:pPr>
    </w:p>
    <w:p w14:paraId="5633C512" w14:textId="05A09DB7" w:rsidR="00841BE0" w:rsidRPr="00841BE0" w:rsidRDefault="00841BE0" w:rsidP="00503DFB">
      <w:pPr>
        <w:ind w:left="851"/>
        <w:rPr>
          <w:sz w:val="24"/>
          <w:szCs w:val="24"/>
          <w:u w:val="single"/>
        </w:rPr>
      </w:pPr>
      <w:proofErr w:type="spellStart"/>
      <w:r w:rsidRPr="00841BE0">
        <w:rPr>
          <w:sz w:val="24"/>
          <w:szCs w:val="24"/>
          <w:u w:val="single"/>
        </w:rPr>
        <w:t>Empagliflozin</w:t>
      </w:r>
      <w:proofErr w:type="spellEnd"/>
      <w:r w:rsidRPr="00841BE0">
        <w:rPr>
          <w:sz w:val="24"/>
          <w:szCs w:val="24"/>
          <w:u w:val="single"/>
        </w:rPr>
        <w:t>/</w:t>
      </w:r>
      <w:proofErr w:type="spellStart"/>
      <w:r w:rsidRPr="00841BE0">
        <w:rPr>
          <w:sz w:val="24"/>
          <w:szCs w:val="24"/>
          <w:u w:val="single"/>
        </w:rPr>
        <w:t>Metformin</w:t>
      </w:r>
      <w:proofErr w:type="spellEnd"/>
      <w:r w:rsidRPr="00841BE0">
        <w:rPr>
          <w:sz w:val="24"/>
          <w:szCs w:val="24"/>
          <w:u w:val="single"/>
        </w:rPr>
        <w:t xml:space="preserve"> </w:t>
      </w:r>
      <w:r w:rsidR="00595CFD">
        <w:rPr>
          <w:sz w:val="24"/>
          <w:szCs w:val="24"/>
          <w:u w:val="single"/>
        </w:rPr>
        <w:t>"</w:t>
      </w:r>
      <w:proofErr w:type="spellStart"/>
      <w:r w:rsidRPr="00841BE0">
        <w:rPr>
          <w:sz w:val="24"/>
          <w:szCs w:val="24"/>
          <w:u w:val="single"/>
        </w:rPr>
        <w:t>Krka</w:t>
      </w:r>
      <w:proofErr w:type="spellEnd"/>
      <w:r w:rsidR="00595CFD">
        <w:rPr>
          <w:sz w:val="24"/>
          <w:szCs w:val="24"/>
          <w:u w:val="single"/>
        </w:rPr>
        <w:t>"</w:t>
      </w:r>
      <w:r w:rsidRPr="00841BE0">
        <w:rPr>
          <w:sz w:val="24"/>
          <w:szCs w:val="24"/>
          <w:u w:val="single"/>
        </w:rPr>
        <w:t xml:space="preserve"> 12,5 mg/1.000 mg filmovertrukne tabletter</w:t>
      </w:r>
    </w:p>
    <w:p w14:paraId="1B1C3941" w14:textId="77777777" w:rsidR="00841BE0" w:rsidRPr="00841BE0" w:rsidRDefault="00841BE0" w:rsidP="00503DFB">
      <w:pPr>
        <w:ind w:left="851"/>
        <w:rPr>
          <w:sz w:val="24"/>
          <w:szCs w:val="24"/>
        </w:rPr>
      </w:pPr>
      <w:r w:rsidRPr="00841BE0">
        <w:rPr>
          <w:sz w:val="24"/>
          <w:szCs w:val="24"/>
        </w:rPr>
        <w:t xml:space="preserve">Hver filmovertrukket tablet indeholder 12,5 mg </w:t>
      </w:r>
      <w:proofErr w:type="spellStart"/>
      <w:r w:rsidRPr="00841BE0">
        <w:rPr>
          <w:sz w:val="24"/>
          <w:szCs w:val="24"/>
        </w:rPr>
        <w:t>empagliflozin</w:t>
      </w:r>
      <w:proofErr w:type="spellEnd"/>
      <w:r w:rsidRPr="00841BE0">
        <w:rPr>
          <w:sz w:val="24"/>
          <w:szCs w:val="24"/>
        </w:rPr>
        <w:t xml:space="preserve"> og 1.000 mg </w:t>
      </w:r>
      <w:proofErr w:type="spellStart"/>
      <w:r w:rsidRPr="00841BE0">
        <w:rPr>
          <w:sz w:val="24"/>
          <w:szCs w:val="24"/>
        </w:rPr>
        <w:t>metforminhydrochlorid</w:t>
      </w:r>
      <w:proofErr w:type="spellEnd"/>
      <w:r w:rsidRPr="00841BE0">
        <w:rPr>
          <w:sz w:val="24"/>
          <w:szCs w:val="24"/>
        </w:rPr>
        <w:t>.</w:t>
      </w:r>
    </w:p>
    <w:p w14:paraId="24CD33CE" w14:textId="77777777" w:rsidR="00841BE0" w:rsidRPr="00841BE0" w:rsidRDefault="00841BE0" w:rsidP="00503DFB">
      <w:pPr>
        <w:ind w:left="851"/>
        <w:rPr>
          <w:sz w:val="24"/>
          <w:szCs w:val="24"/>
        </w:rPr>
      </w:pPr>
    </w:p>
    <w:p w14:paraId="6F491A5C" w14:textId="77777777" w:rsidR="00841BE0" w:rsidRPr="00841BE0" w:rsidRDefault="00841BE0" w:rsidP="00503DFB">
      <w:pPr>
        <w:ind w:left="851"/>
        <w:rPr>
          <w:sz w:val="24"/>
          <w:szCs w:val="24"/>
        </w:rPr>
      </w:pPr>
      <w:r w:rsidRPr="00841BE0">
        <w:rPr>
          <w:sz w:val="24"/>
          <w:szCs w:val="24"/>
        </w:rPr>
        <w:t>Alle hjælpestoffer er anført under pkt. 6.1.</w:t>
      </w:r>
    </w:p>
    <w:p w14:paraId="1D0594F6" w14:textId="77777777" w:rsidR="009260DE" w:rsidRPr="003D3B2F" w:rsidRDefault="009260DE" w:rsidP="009260DE">
      <w:pPr>
        <w:tabs>
          <w:tab w:val="left" w:pos="851"/>
        </w:tabs>
        <w:ind w:left="851"/>
        <w:rPr>
          <w:sz w:val="24"/>
          <w:szCs w:val="24"/>
        </w:rPr>
      </w:pPr>
    </w:p>
    <w:p w14:paraId="7A30507E" w14:textId="77777777" w:rsidR="009260DE" w:rsidRPr="003D3B2F" w:rsidRDefault="009260DE" w:rsidP="009260DE">
      <w:pPr>
        <w:tabs>
          <w:tab w:val="left" w:pos="851"/>
        </w:tabs>
        <w:ind w:left="851" w:hanging="851"/>
        <w:rPr>
          <w:b/>
          <w:sz w:val="24"/>
          <w:szCs w:val="24"/>
        </w:rPr>
      </w:pPr>
      <w:r w:rsidRPr="003D3B2F">
        <w:rPr>
          <w:b/>
          <w:sz w:val="24"/>
          <w:szCs w:val="24"/>
        </w:rPr>
        <w:t>3.</w:t>
      </w:r>
      <w:r w:rsidRPr="003D3B2F">
        <w:rPr>
          <w:b/>
          <w:sz w:val="24"/>
          <w:szCs w:val="24"/>
        </w:rPr>
        <w:tab/>
        <w:t>LÆGEMIDDELFORM</w:t>
      </w:r>
    </w:p>
    <w:p w14:paraId="0980B9E3" w14:textId="73DB8D88" w:rsidR="00841BE0" w:rsidRPr="00841BE0" w:rsidRDefault="00841BE0" w:rsidP="00503DFB">
      <w:pPr>
        <w:ind w:left="851"/>
        <w:rPr>
          <w:sz w:val="24"/>
          <w:szCs w:val="24"/>
        </w:rPr>
      </w:pPr>
      <w:r w:rsidRPr="00841BE0">
        <w:rPr>
          <w:sz w:val="24"/>
          <w:szCs w:val="24"/>
        </w:rPr>
        <w:t>Filmovertruk</w:t>
      </w:r>
      <w:r w:rsidR="00595CFD">
        <w:rPr>
          <w:sz w:val="24"/>
          <w:szCs w:val="24"/>
        </w:rPr>
        <w:t>ne tabletter</w:t>
      </w:r>
      <w:r w:rsidRPr="00841BE0">
        <w:rPr>
          <w:sz w:val="24"/>
          <w:szCs w:val="24"/>
        </w:rPr>
        <w:t xml:space="preserve"> (tablet)</w:t>
      </w:r>
    </w:p>
    <w:p w14:paraId="2A67F82E" w14:textId="77777777" w:rsidR="00841BE0" w:rsidRPr="00841BE0" w:rsidRDefault="00841BE0" w:rsidP="00503DFB">
      <w:pPr>
        <w:ind w:left="851"/>
        <w:rPr>
          <w:sz w:val="24"/>
          <w:szCs w:val="24"/>
        </w:rPr>
      </w:pPr>
    </w:p>
    <w:p w14:paraId="71A8D7D2" w14:textId="53FBEF51" w:rsidR="00841BE0" w:rsidRPr="00841BE0" w:rsidRDefault="00841BE0" w:rsidP="00503DFB">
      <w:pPr>
        <w:ind w:left="851"/>
        <w:rPr>
          <w:sz w:val="24"/>
          <w:szCs w:val="24"/>
          <w:u w:val="single"/>
        </w:rPr>
      </w:pPr>
      <w:proofErr w:type="spellStart"/>
      <w:r w:rsidRPr="00841BE0">
        <w:rPr>
          <w:sz w:val="24"/>
          <w:szCs w:val="24"/>
          <w:u w:val="single"/>
        </w:rPr>
        <w:t>Empagliflozin</w:t>
      </w:r>
      <w:proofErr w:type="spellEnd"/>
      <w:r w:rsidRPr="00841BE0">
        <w:rPr>
          <w:sz w:val="24"/>
          <w:szCs w:val="24"/>
          <w:u w:val="single"/>
        </w:rPr>
        <w:t>/</w:t>
      </w:r>
      <w:proofErr w:type="spellStart"/>
      <w:r w:rsidRPr="00841BE0">
        <w:rPr>
          <w:sz w:val="24"/>
          <w:szCs w:val="24"/>
          <w:u w:val="single"/>
        </w:rPr>
        <w:t>Metformin</w:t>
      </w:r>
      <w:proofErr w:type="spellEnd"/>
      <w:r w:rsidRPr="00841BE0">
        <w:rPr>
          <w:sz w:val="24"/>
          <w:szCs w:val="24"/>
          <w:u w:val="single"/>
        </w:rPr>
        <w:t xml:space="preserve"> </w:t>
      </w:r>
      <w:r w:rsidR="00595CFD">
        <w:rPr>
          <w:sz w:val="24"/>
          <w:szCs w:val="24"/>
          <w:u w:val="single"/>
        </w:rPr>
        <w:t>"</w:t>
      </w:r>
      <w:proofErr w:type="spellStart"/>
      <w:r w:rsidRPr="00841BE0">
        <w:rPr>
          <w:sz w:val="24"/>
          <w:szCs w:val="24"/>
          <w:u w:val="single"/>
        </w:rPr>
        <w:t>Krka</w:t>
      </w:r>
      <w:proofErr w:type="spellEnd"/>
      <w:r w:rsidR="00595CFD">
        <w:rPr>
          <w:sz w:val="24"/>
          <w:szCs w:val="24"/>
          <w:u w:val="single"/>
        </w:rPr>
        <w:t>"</w:t>
      </w:r>
      <w:r w:rsidRPr="00841BE0">
        <w:rPr>
          <w:sz w:val="24"/>
          <w:szCs w:val="24"/>
          <w:u w:val="single"/>
        </w:rPr>
        <w:t xml:space="preserve"> 5 mg/850 mg filmovertrukne tabletter</w:t>
      </w:r>
    </w:p>
    <w:p w14:paraId="756C8EB1" w14:textId="77777777" w:rsidR="00841BE0" w:rsidRPr="00841BE0" w:rsidRDefault="00841BE0" w:rsidP="00503DFB">
      <w:pPr>
        <w:ind w:left="851"/>
        <w:rPr>
          <w:sz w:val="24"/>
          <w:szCs w:val="24"/>
        </w:rPr>
      </w:pPr>
      <w:r w:rsidRPr="00841BE0">
        <w:rPr>
          <w:sz w:val="24"/>
          <w:szCs w:val="24"/>
        </w:rPr>
        <w:t xml:space="preserve">Lysegul, oval (længde 20 mm og bredde 10 mm), </w:t>
      </w:r>
      <w:proofErr w:type="spellStart"/>
      <w:r w:rsidRPr="00841BE0">
        <w:rPr>
          <w:sz w:val="24"/>
          <w:szCs w:val="24"/>
        </w:rPr>
        <w:t>bikonveks</w:t>
      </w:r>
      <w:proofErr w:type="spellEnd"/>
      <w:r w:rsidRPr="00841BE0">
        <w:rPr>
          <w:sz w:val="24"/>
          <w:szCs w:val="24"/>
        </w:rPr>
        <w:t xml:space="preserve"> filmovertrukket tablet, præget med G1 på den ene side af tabletten.</w:t>
      </w:r>
    </w:p>
    <w:p w14:paraId="60AB22CC" w14:textId="799B505B" w:rsidR="001C0D88" w:rsidRDefault="001C0D88">
      <w:pPr>
        <w:rPr>
          <w:sz w:val="24"/>
          <w:szCs w:val="24"/>
        </w:rPr>
      </w:pPr>
      <w:r>
        <w:rPr>
          <w:sz w:val="24"/>
          <w:szCs w:val="24"/>
        </w:rPr>
        <w:br w:type="page"/>
      </w:r>
    </w:p>
    <w:p w14:paraId="5666A613" w14:textId="77777777" w:rsidR="00841BE0" w:rsidRPr="00841BE0" w:rsidRDefault="00841BE0" w:rsidP="00503DFB">
      <w:pPr>
        <w:ind w:left="851"/>
        <w:rPr>
          <w:sz w:val="24"/>
          <w:szCs w:val="24"/>
        </w:rPr>
      </w:pPr>
    </w:p>
    <w:p w14:paraId="2062C7C0" w14:textId="35A00DA1" w:rsidR="00841BE0" w:rsidRPr="00841BE0" w:rsidRDefault="00841BE0" w:rsidP="00503DFB">
      <w:pPr>
        <w:ind w:left="851"/>
        <w:rPr>
          <w:sz w:val="24"/>
          <w:szCs w:val="24"/>
          <w:u w:val="single"/>
        </w:rPr>
      </w:pPr>
      <w:proofErr w:type="spellStart"/>
      <w:r w:rsidRPr="00841BE0">
        <w:rPr>
          <w:sz w:val="24"/>
          <w:szCs w:val="24"/>
          <w:u w:val="single"/>
        </w:rPr>
        <w:t>Empagliflozin</w:t>
      </w:r>
      <w:proofErr w:type="spellEnd"/>
      <w:r w:rsidRPr="00841BE0">
        <w:rPr>
          <w:sz w:val="24"/>
          <w:szCs w:val="24"/>
          <w:u w:val="single"/>
        </w:rPr>
        <w:t>/</w:t>
      </w:r>
      <w:proofErr w:type="spellStart"/>
      <w:r w:rsidRPr="00841BE0">
        <w:rPr>
          <w:sz w:val="24"/>
          <w:szCs w:val="24"/>
          <w:u w:val="single"/>
        </w:rPr>
        <w:t>Metformin</w:t>
      </w:r>
      <w:proofErr w:type="spellEnd"/>
      <w:r w:rsidRPr="00841BE0">
        <w:rPr>
          <w:sz w:val="24"/>
          <w:szCs w:val="24"/>
          <w:u w:val="single"/>
        </w:rPr>
        <w:t xml:space="preserve"> </w:t>
      </w:r>
      <w:r w:rsidR="00595CFD">
        <w:rPr>
          <w:sz w:val="24"/>
          <w:szCs w:val="24"/>
          <w:u w:val="single"/>
        </w:rPr>
        <w:t>"</w:t>
      </w:r>
      <w:proofErr w:type="spellStart"/>
      <w:r w:rsidRPr="00841BE0">
        <w:rPr>
          <w:sz w:val="24"/>
          <w:szCs w:val="24"/>
          <w:u w:val="single"/>
        </w:rPr>
        <w:t>Krka</w:t>
      </w:r>
      <w:proofErr w:type="spellEnd"/>
      <w:r w:rsidR="00595CFD">
        <w:rPr>
          <w:sz w:val="24"/>
          <w:szCs w:val="24"/>
          <w:u w:val="single"/>
        </w:rPr>
        <w:t>"</w:t>
      </w:r>
      <w:r w:rsidRPr="00841BE0">
        <w:rPr>
          <w:sz w:val="24"/>
          <w:szCs w:val="24"/>
          <w:u w:val="single"/>
        </w:rPr>
        <w:t xml:space="preserve"> 5 mg/1.000 mg filmovertrukne tabletter</w:t>
      </w:r>
    </w:p>
    <w:p w14:paraId="0895C9D9" w14:textId="77777777" w:rsidR="00841BE0" w:rsidRPr="00841BE0" w:rsidRDefault="00841BE0" w:rsidP="00503DFB">
      <w:pPr>
        <w:ind w:left="851"/>
        <w:rPr>
          <w:sz w:val="24"/>
          <w:szCs w:val="24"/>
        </w:rPr>
      </w:pPr>
      <w:r w:rsidRPr="00841BE0">
        <w:rPr>
          <w:sz w:val="24"/>
          <w:szCs w:val="24"/>
        </w:rPr>
        <w:t xml:space="preserve">Brungul, oval (længde 21 mm og bredde 10 mm), </w:t>
      </w:r>
      <w:proofErr w:type="spellStart"/>
      <w:r w:rsidRPr="00841BE0">
        <w:rPr>
          <w:sz w:val="24"/>
          <w:szCs w:val="24"/>
        </w:rPr>
        <w:t>bikonveks</w:t>
      </w:r>
      <w:proofErr w:type="spellEnd"/>
      <w:r w:rsidRPr="00841BE0">
        <w:rPr>
          <w:sz w:val="24"/>
          <w:szCs w:val="24"/>
        </w:rPr>
        <w:t xml:space="preserve"> filmovertrukket tablet, præget med G3 på den ene side af tabletten.</w:t>
      </w:r>
    </w:p>
    <w:p w14:paraId="756D4D0A" w14:textId="77777777" w:rsidR="00841BE0" w:rsidRPr="00841BE0" w:rsidRDefault="00841BE0" w:rsidP="00503DFB">
      <w:pPr>
        <w:ind w:left="851"/>
        <w:rPr>
          <w:sz w:val="24"/>
          <w:szCs w:val="24"/>
        </w:rPr>
      </w:pPr>
    </w:p>
    <w:p w14:paraId="7D317636" w14:textId="7B6437B9" w:rsidR="00841BE0" w:rsidRPr="00841BE0" w:rsidRDefault="00841BE0" w:rsidP="00503DFB">
      <w:pPr>
        <w:ind w:left="851"/>
        <w:rPr>
          <w:sz w:val="24"/>
          <w:szCs w:val="24"/>
          <w:u w:val="single"/>
        </w:rPr>
      </w:pPr>
      <w:proofErr w:type="spellStart"/>
      <w:r w:rsidRPr="00841BE0">
        <w:rPr>
          <w:sz w:val="24"/>
          <w:szCs w:val="24"/>
          <w:u w:val="single"/>
        </w:rPr>
        <w:t>Empagliflozin</w:t>
      </w:r>
      <w:proofErr w:type="spellEnd"/>
      <w:r w:rsidRPr="00841BE0">
        <w:rPr>
          <w:sz w:val="24"/>
          <w:szCs w:val="24"/>
          <w:u w:val="single"/>
        </w:rPr>
        <w:t>/</w:t>
      </w:r>
      <w:proofErr w:type="spellStart"/>
      <w:r w:rsidRPr="00841BE0">
        <w:rPr>
          <w:sz w:val="24"/>
          <w:szCs w:val="24"/>
          <w:u w:val="single"/>
        </w:rPr>
        <w:t>Metformin</w:t>
      </w:r>
      <w:proofErr w:type="spellEnd"/>
      <w:r w:rsidRPr="00841BE0">
        <w:rPr>
          <w:sz w:val="24"/>
          <w:szCs w:val="24"/>
          <w:u w:val="single"/>
        </w:rPr>
        <w:t xml:space="preserve"> </w:t>
      </w:r>
      <w:r w:rsidR="00595CFD">
        <w:rPr>
          <w:sz w:val="24"/>
          <w:szCs w:val="24"/>
          <w:u w:val="single"/>
        </w:rPr>
        <w:t>"</w:t>
      </w:r>
      <w:proofErr w:type="spellStart"/>
      <w:r w:rsidRPr="00841BE0">
        <w:rPr>
          <w:sz w:val="24"/>
          <w:szCs w:val="24"/>
          <w:u w:val="single"/>
        </w:rPr>
        <w:t>Krka</w:t>
      </w:r>
      <w:proofErr w:type="spellEnd"/>
      <w:r w:rsidR="00595CFD">
        <w:rPr>
          <w:sz w:val="24"/>
          <w:szCs w:val="24"/>
          <w:u w:val="single"/>
        </w:rPr>
        <w:t>"</w:t>
      </w:r>
      <w:r w:rsidRPr="00841BE0">
        <w:rPr>
          <w:sz w:val="24"/>
          <w:szCs w:val="24"/>
          <w:u w:val="single"/>
        </w:rPr>
        <w:t xml:space="preserve"> 12,5 mg/850 mg filmovertrukne tabletter</w:t>
      </w:r>
    </w:p>
    <w:p w14:paraId="6D90DFF0" w14:textId="77777777" w:rsidR="00841BE0" w:rsidRPr="00841BE0" w:rsidRDefault="00841BE0" w:rsidP="00503DFB">
      <w:pPr>
        <w:ind w:left="851"/>
        <w:rPr>
          <w:sz w:val="24"/>
          <w:szCs w:val="24"/>
        </w:rPr>
      </w:pPr>
      <w:r w:rsidRPr="00841BE0">
        <w:rPr>
          <w:sz w:val="24"/>
          <w:szCs w:val="24"/>
        </w:rPr>
        <w:t xml:space="preserve">Grålyserød, oval (længde 20 mm og bredde 10 mm), </w:t>
      </w:r>
      <w:proofErr w:type="spellStart"/>
      <w:r w:rsidRPr="00841BE0">
        <w:rPr>
          <w:sz w:val="24"/>
          <w:szCs w:val="24"/>
        </w:rPr>
        <w:t>bikonveks</w:t>
      </w:r>
      <w:proofErr w:type="spellEnd"/>
      <w:r w:rsidRPr="00841BE0">
        <w:rPr>
          <w:sz w:val="24"/>
          <w:szCs w:val="24"/>
        </w:rPr>
        <w:t xml:space="preserve"> filmovertrukket tablet, præget med G2 på den ene side af tabletten.</w:t>
      </w:r>
    </w:p>
    <w:p w14:paraId="69EBF0CC" w14:textId="77777777" w:rsidR="00841BE0" w:rsidRPr="00841BE0" w:rsidRDefault="00841BE0" w:rsidP="00503DFB">
      <w:pPr>
        <w:ind w:left="851"/>
        <w:rPr>
          <w:sz w:val="24"/>
          <w:szCs w:val="24"/>
        </w:rPr>
      </w:pPr>
    </w:p>
    <w:p w14:paraId="1B81B0A2" w14:textId="73FCDC36" w:rsidR="00841BE0" w:rsidRPr="00841BE0" w:rsidRDefault="00841BE0" w:rsidP="00503DFB">
      <w:pPr>
        <w:ind w:left="851"/>
        <w:rPr>
          <w:sz w:val="24"/>
          <w:szCs w:val="24"/>
          <w:u w:val="single"/>
        </w:rPr>
      </w:pPr>
      <w:proofErr w:type="spellStart"/>
      <w:r w:rsidRPr="00841BE0">
        <w:rPr>
          <w:sz w:val="24"/>
          <w:szCs w:val="24"/>
          <w:u w:val="single"/>
        </w:rPr>
        <w:t>Empagliflozin</w:t>
      </w:r>
      <w:proofErr w:type="spellEnd"/>
      <w:r w:rsidRPr="00841BE0">
        <w:rPr>
          <w:sz w:val="24"/>
          <w:szCs w:val="24"/>
          <w:u w:val="single"/>
        </w:rPr>
        <w:t>/</w:t>
      </w:r>
      <w:proofErr w:type="spellStart"/>
      <w:r w:rsidRPr="00841BE0">
        <w:rPr>
          <w:sz w:val="24"/>
          <w:szCs w:val="24"/>
          <w:u w:val="single"/>
        </w:rPr>
        <w:t>Metformin</w:t>
      </w:r>
      <w:proofErr w:type="spellEnd"/>
      <w:r w:rsidRPr="00841BE0">
        <w:rPr>
          <w:sz w:val="24"/>
          <w:szCs w:val="24"/>
          <w:u w:val="single"/>
        </w:rPr>
        <w:t xml:space="preserve"> </w:t>
      </w:r>
      <w:r w:rsidR="00595CFD">
        <w:rPr>
          <w:sz w:val="24"/>
          <w:szCs w:val="24"/>
          <w:u w:val="single"/>
        </w:rPr>
        <w:t>"</w:t>
      </w:r>
      <w:proofErr w:type="spellStart"/>
      <w:r w:rsidRPr="00841BE0">
        <w:rPr>
          <w:sz w:val="24"/>
          <w:szCs w:val="24"/>
          <w:u w:val="single"/>
        </w:rPr>
        <w:t>Krka</w:t>
      </w:r>
      <w:proofErr w:type="spellEnd"/>
      <w:r w:rsidR="00595CFD">
        <w:rPr>
          <w:sz w:val="24"/>
          <w:szCs w:val="24"/>
          <w:u w:val="single"/>
        </w:rPr>
        <w:t>"</w:t>
      </w:r>
      <w:r w:rsidRPr="00841BE0">
        <w:rPr>
          <w:sz w:val="24"/>
          <w:szCs w:val="24"/>
          <w:u w:val="single"/>
        </w:rPr>
        <w:t xml:space="preserve"> 12,5 mg/1.000 mg filmovertrukne tabletter</w:t>
      </w:r>
    </w:p>
    <w:p w14:paraId="5961E741" w14:textId="77777777" w:rsidR="00841BE0" w:rsidRPr="00841BE0" w:rsidRDefault="00841BE0" w:rsidP="00503DFB">
      <w:pPr>
        <w:ind w:left="851"/>
        <w:rPr>
          <w:sz w:val="24"/>
          <w:szCs w:val="24"/>
        </w:rPr>
      </w:pPr>
      <w:proofErr w:type="spellStart"/>
      <w:r w:rsidRPr="00841BE0">
        <w:rPr>
          <w:sz w:val="24"/>
          <w:szCs w:val="24"/>
        </w:rPr>
        <w:t>Brunlilla</w:t>
      </w:r>
      <w:proofErr w:type="spellEnd"/>
      <w:r w:rsidRPr="00841BE0">
        <w:rPr>
          <w:sz w:val="24"/>
          <w:szCs w:val="24"/>
        </w:rPr>
        <w:t xml:space="preserve">, oval (længde 21 mm og bredde 10 mm), </w:t>
      </w:r>
      <w:proofErr w:type="spellStart"/>
      <w:r w:rsidRPr="00841BE0">
        <w:rPr>
          <w:sz w:val="24"/>
          <w:szCs w:val="24"/>
        </w:rPr>
        <w:t>bikonveks</w:t>
      </w:r>
      <w:proofErr w:type="spellEnd"/>
      <w:r w:rsidRPr="00841BE0">
        <w:rPr>
          <w:sz w:val="24"/>
          <w:szCs w:val="24"/>
        </w:rPr>
        <w:t xml:space="preserve"> filmovertrukket tablet, præget med G4 på den ene side af tabletten.</w:t>
      </w:r>
    </w:p>
    <w:p w14:paraId="7D9EA4CE" w14:textId="77777777" w:rsidR="009260DE" w:rsidRPr="003D3B2F" w:rsidRDefault="009260DE" w:rsidP="009260DE">
      <w:pPr>
        <w:tabs>
          <w:tab w:val="left" w:pos="851"/>
        </w:tabs>
        <w:ind w:left="851"/>
        <w:rPr>
          <w:sz w:val="24"/>
          <w:szCs w:val="24"/>
        </w:rPr>
      </w:pPr>
    </w:p>
    <w:p w14:paraId="4A25780F" w14:textId="77777777" w:rsidR="009260DE" w:rsidRPr="003D3B2F" w:rsidRDefault="009260DE" w:rsidP="009260DE">
      <w:pPr>
        <w:tabs>
          <w:tab w:val="left" w:pos="851"/>
        </w:tabs>
        <w:ind w:left="851"/>
        <w:rPr>
          <w:sz w:val="24"/>
          <w:szCs w:val="24"/>
        </w:rPr>
      </w:pPr>
    </w:p>
    <w:p w14:paraId="1A7BAFCB" w14:textId="77777777" w:rsidR="009260DE" w:rsidRPr="003D3B2F" w:rsidRDefault="009260DE" w:rsidP="009260DE">
      <w:pPr>
        <w:tabs>
          <w:tab w:val="left" w:pos="851"/>
        </w:tabs>
        <w:ind w:left="851" w:hanging="851"/>
        <w:rPr>
          <w:b/>
          <w:sz w:val="24"/>
          <w:szCs w:val="24"/>
        </w:rPr>
      </w:pPr>
      <w:r w:rsidRPr="003D3B2F">
        <w:rPr>
          <w:b/>
          <w:sz w:val="24"/>
          <w:szCs w:val="24"/>
        </w:rPr>
        <w:t>4.</w:t>
      </w:r>
      <w:r w:rsidRPr="003D3B2F">
        <w:rPr>
          <w:b/>
          <w:sz w:val="24"/>
          <w:szCs w:val="24"/>
        </w:rPr>
        <w:tab/>
        <w:t>KLINISKE OPLYSNINGER</w:t>
      </w:r>
    </w:p>
    <w:p w14:paraId="1613B825" w14:textId="77777777" w:rsidR="009260DE" w:rsidRPr="003D3B2F" w:rsidRDefault="009260DE" w:rsidP="009260DE">
      <w:pPr>
        <w:tabs>
          <w:tab w:val="left" w:pos="851"/>
        </w:tabs>
        <w:ind w:left="851"/>
        <w:rPr>
          <w:b/>
          <w:sz w:val="24"/>
          <w:szCs w:val="24"/>
        </w:rPr>
      </w:pPr>
    </w:p>
    <w:p w14:paraId="0D8C1C2A" w14:textId="77777777" w:rsidR="009260DE" w:rsidRPr="003D3B2F" w:rsidRDefault="009260DE" w:rsidP="009260DE">
      <w:pPr>
        <w:tabs>
          <w:tab w:val="left" w:pos="851"/>
        </w:tabs>
        <w:ind w:left="851" w:hanging="851"/>
        <w:rPr>
          <w:b/>
          <w:sz w:val="24"/>
          <w:szCs w:val="24"/>
          <w:u w:val="single"/>
        </w:rPr>
      </w:pPr>
      <w:r w:rsidRPr="003D3B2F">
        <w:rPr>
          <w:b/>
          <w:sz w:val="24"/>
          <w:szCs w:val="24"/>
        </w:rPr>
        <w:t>4.1</w:t>
      </w:r>
      <w:r w:rsidRPr="003D3B2F">
        <w:rPr>
          <w:b/>
          <w:sz w:val="24"/>
          <w:szCs w:val="24"/>
        </w:rPr>
        <w:tab/>
        <w:t>Terapeutiske indikationer</w:t>
      </w:r>
    </w:p>
    <w:p w14:paraId="74D34A93" w14:textId="1ADFB579" w:rsidR="00841BE0" w:rsidRPr="00841BE0" w:rsidRDefault="00841BE0" w:rsidP="00503DFB">
      <w:pPr>
        <w:ind w:left="851"/>
        <w:rPr>
          <w:sz w:val="24"/>
          <w:szCs w:val="24"/>
        </w:rPr>
      </w:pP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 xml:space="preserve"> er indiceret til voksne og børn i alderen 10 år og derover til behandling af type 2-diabetes mellitus som supplement til diæt og motion:</w:t>
      </w:r>
    </w:p>
    <w:p w14:paraId="68E0E927" w14:textId="77777777" w:rsidR="00841BE0" w:rsidRPr="00841BE0" w:rsidRDefault="00841BE0" w:rsidP="00503DFB">
      <w:pPr>
        <w:numPr>
          <w:ilvl w:val="0"/>
          <w:numId w:val="6"/>
        </w:numPr>
        <w:ind w:left="1276" w:hanging="425"/>
        <w:rPr>
          <w:sz w:val="24"/>
          <w:szCs w:val="24"/>
        </w:rPr>
      </w:pPr>
      <w:r w:rsidRPr="00841BE0">
        <w:rPr>
          <w:sz w:val="24"/>
          <w:szCs w:val="24"/>
        </w:rPr>
        <w:t xml:space="preserve">hvis patienten er utilstrækkeligt kontrolleret med den maksimalt tolererede dosis </w:t>
      </w:r>
      <w:proofErr w:type="spellStart"/>
      <w:r w:rsidRPr="00841BE0">
        <w:rPr>
          <w:sz w:val="24"/>
          <w:szCs w:val="24"/>
        </w:rPr>
        <w:t>metformin</w:t>
      </w:r>
      <w:proofErr w:type="spellEnd"/>
      <w:r w:rsidRPr="00841BE0">
        <w:rPr>
          <w:sz w:val="24"/>
          <w:szCs w:val="24"/>
        </w:rPr>
        <w:t xml:space="preserve"> som monoterapi</w:t>
      </w:r>
    </w:p>
    <w:p w14:paraId="175D71D6" w14:textId="77777777" w:rsidR="00841BE0" w:rsidRPr="00841BE0" w:rsidRDefault="00841BE0" w:rsidP="00503DFB">
      <w:pPr>
        <w:numPr>
          <w:ilvl w:val="0"/>
          <w:numId w:val="6"/>
        </w:numPr>
        <w:ind w:left="1276" w:hanging="425"/>
        <w:rPr>
          <w:sz w:val="24"/>
          <w:szCs w:val="24"/>
        </w:rPr>
      </w:pPr>
      <w:r w:rsidRPr="00841BE0">
        <w:rPr>
          <w:sz w:val="24"/>
          <w:szCs w:val="24"/>
        </w:rPr>
        <w:t xml:space="preserve">i kombination med andre </w:t>
      </w:r>
      <w:proofErr w:type="spellStart"/>
      <w:r w:rsidRPr="00841BE0">
        <w:rPr>
          <w:sz w:val="24"/>
          <w:szCs w:val="24"/>
        </w:rPr>
        <w:t>antidiabetika</w:t>
      </w:r>
      <w:proofErr w:type="spellEnd"/>
      <w:r w:rsidRPr="00841BE0">
        <w:rPr>
          <w:sz w:val="24"/>
          <w:szCs w:val="24"/>
        </w:rPr>
        <w:t xml:space="preserve">, hvis patienten er utilstrækkeligt kontrolleret med </w:t>
      </w:r>
      <w:proofErr w:type="spellStart"/>
      <w:r w:rsidRPr="00841BE0">
        <w:rPr>
          <w:sz w:val="24"/>
          <w:szCs w:val="24"/>
        </w:rPr>
        <w:t>metformin</w:t>
      </w:r>
      <w:proofErr w:type="spellEnd"/>
      <w:r w:rsidRPr="00841BE0">
        <w:rPr>
          <w:sz w:val="24"/>
          <w:szCs w:val="24"/>
        </w:rPr>
        <w:t xml:space="preserve"> og disse lægemidler</w:t>
      </w:r>
    </w:p>
    <w:p w14:paraId="76E4CB19" w14:textId="77777777" w:rsidR="00841BE0" w:rsidRPr="00841BE0" w:rsidRDefault="00841BE0" w:rsidP="00503DFB">
      <w:pPr>
        <w:numPr>
          <w:ilvl w:val="0"/>
          <w:numId w:val="6"/>
        </w:numPr>
        <w:ind w:left="1276" w:hanging="425"/>
        <w:rPr>
          <w:sz w:val="24"/>
          <w:szCs w:val="24"/>
        </w:rPr>
      </w:pPr>
      <w:r w:rsidRPr="00841BE0">
        <w:rPr>
          <w:sz w:val="24"/>
          <w:szCs w:val="24"/>
        </w:rPr>
        <w:t xml:space="preserve">hvis patienten allerede er i behandling med en kombination af </w:t>
      </w:r>
      <w:proofErr w:type="spellStart"/>
      <w:r w:rsidRPr="00841BE0">
        <w:rPr>
          <w:sz w:val="24"/>
          <w:szCs w:val="24"/>
        </w:rPr>
        <w:t>empagliflozin</w:t>
      </w:r>
      <w:proofErr w:type="spellEnd"/>
      <w:r w:rsidRPr="00841BE0">
        <w:rPr>
          <w:sz w:val="24"/>
          <w:szCs w:val="24"/>
        </w:rPr>
        <w:t xml:space="preserve"> og </w:t>
      </w:r>
      <w:proofErr w:type="spellStart"/>
      <w:r w:rsidRPr="00841BE0">
        <w:rPr>
          <w:sz w:val="24"/>
          <w:szCs w:val="24"/>
        </w:rPr>
        <w:t>metformin</w:t>
      </w:r>
      <w:proofErr w:type="spellEnd"/>
      <w:r w:rsidRPr="00841BE0">
        <w:rPr>
          <w:sz w:val="24"/>
          <w:szCs w:val="24"/>
        </w:rPr>
        <w:t xml:space="preserve"> som særskilte tabletter.</w:t>
      </w:r>
    </w:p>
    <w:p w14:paraId="42506C4D" w14:textId="77777777" w:rsidR="00841BE0" w:rsidRPr="00841BE0" w:rsidRDefault="00841BE0" w:rsidP="00503DFB">
      <w:pPr>
        <w:ind w:left="851"/>
        <w:rPr>
          <w:sz w:val="24"/>
          <w:szCs w:val="24"/>
        </w:rPr>
      </w:pPr>
      <w:r w:rsidRPr="00841BE0">
        <w:rPr>
          <w:sz w:val="24"/>
          <w:szCs w:val="24"/>
        </w:rPr>
        <w:t>For studieresultater vedrørende kombinationer, effekt på glykæmisk kontrol og kardiovaskulære hændelser samt studiepopulationer, se pkt. 4.4, 4.5 og 5.1.</w:t>
      </w:r>
    </w:p>
    <w:p w14:paraId="3D53FEBC" w14:textId="77777777" w:rsidR="009260DE" w:rsidRPr="003D3B2F" w:rsidRDefault="009260DE" w:rsidP="009260DE">
      <w:pPr>
        <w:tabs>
          <w:tab w:val="left" w:pos="851"/>
        </w:tabs>
        <w:ind w:left="851"/>
        <w:rPr>
          <w:sz w:val="24"/>
          <w:szCs w:val="24"/>
        </w:rPr>
      </w:pPr>
    </w:p>
    <w:p w14:paraId="5A603462" w14:textId="77777777" w:rsidR="009260DE" w:rsidRPr="003D3B2F" w:rsidRDefault="009260DE" w:rsidP="009260DE">
      <w:pPr>
        <w:tabs>
          <w:tab w:val="left" w:pos="851"/>
        </w:tabs>
        <w:ind w:left="851" w:hanging="851"/>
        <w:rPr>
          <w:b/>
          <w:sz w:val="24"/>
          <w:szCs w:val="24"/>
        </w:rPr>
      </w:pPr>
      <w:r w:rsidRPr="003D3B2F">
        <w:rPr>
          <w:b/>
          <w:sz w:val="24"/>
          <w:szCs w:val="24"/>
        </w:rPr>
        <w:t>4.2</w:t>
      </w:r>
      <w:r w:rsidRPr="003D3B2F">
        <w:rPr>
          <w:b/>
          <w:sz w:val="24"/>
          <w:szCs w:val="24"/>
        </w:rPr>
        <w:tab/>
        <w:t xml:space="preserve">Dosering og </w:t>
      </w:r>
      <w:r w:rsidR="002C1EC0" w:rsidRPr="003D3B2F">
        <w:rPr>
          <w:b/>
          <w:sz w:val="24"/>
          <w:szCs w:val="24"/>
        </w:rPr>
        <w:t>administration</w:t>
      </w:r>
    </w:p>
    <w:p w14:paraId="7E1160A5" w14:textId="77777777" w:rsidR="00841BE0" w:rsidRPr="00841BE0" w:rsidRDefault="00841BE0" w:rsidP="00841BE0">
      <w:pPr>
        <w:tabs>
          <w:tab w:val="left" w:pos="851"/>
        </w:tabs>
        <w:ind w:left="851"/>
        <w:rPr>
          <w:sz w:val="24"/>
          <w:szCs w:val="24"/>
        </w:rPr>
      </w:pPr>
    </w:p>
    <w:p w14:paraId="7BB59BF0" w14:textId="77777777" w:rsidR="00841BE0" w:rsidRPr="00841BE0" w:rsidRDefault="00841BE0" w:rsidP="00503DFB">
      <w:pPr>
        <w:ind w:left="851"/>
        <w:rPr>
          <w:sz w:val="24"/>
          <w:szCs w:val="24"/>
        </w:rPr>
      </w:pPr>
      <w:r w:rsidRPr="00841BE0">
        <w:rPr>
          <w:sz w:val="24"/>
          <w:szCs w:val="24"/>
          <w:u w:val="single"/>
        </w:rPr>
        <w:t>Dosering</w:t>
      </w:r>
    </w:p>
    <w:p w14:paraId="012C4C17" w14:textId="77777777" w:rsidR="00841BE0" w:rsidRPr="00841BE0" w:rsidRDefault="00841BE0" w:rsidP="00503DFB">
      <w:pPr>
        <w:ind w:left="851"/>
        <w:rPr>
          <w:sz w:val="24"/>
          <w:szCs w:val="24"/>
        </w:rPr>
      </w:pPr>
    </w:p>
    <w:p w14:paraId="1B6FB240" w14:textId="0A3B679D" w:rsidR="00841BE0" w:rsidRPr="00841BE0" w:rsidRDefault="00841BE0" w:rsidP="00503DFB">
      <w:pPr>
        <w:ind w:left="851"/>
        <w:rPr>
          <w:i/>
          <w:sz w:val="24"/>
          <w:szCs w:val="24"/>
        </w:rPr>
      </w:pPr>
      <w:r w:rsidRPr="00841BE0">
        <w:rPr>
          <w:i/>
          <w:sz w:val="24"/>
          <w:szCs w:val="24"/>
        </w:rPr>
        <w:t>Voksne med normal nyrefunktion (</w:t>
      </w:r>
      <w:proofErr w:type="spellStart"/>
      <w:r w:rsidRPr="00841BE0">
        <w:rPr>
          <w:i/>
          <w:sz w:val="24"/>
          <w:szCs w:val="24"/>
        </w:rPr>
        <w:t>eGFR</w:t>
      </w:r>
      <w:proofErr w:type="spellEnd"/>
      <w:r w:rsidRPr="00841BE0">
        <w:rPr>
          <w:i/>
          <w:sz w:val="24"/>
          <w:szCs w:val="24"/>
        </w:rPr>
        <w:t xml:space="preserve"> ≥ 90 ml/min/1,73 m</w:t>
      </w:r>
      <w:r w:rsidRPr="00841BE0">
        <w:rPr>
          <w:i/>
          <w:sz w:val="24"/>
          <w:szCs w:val="24"/>
          <w:vertAlign w:val="superscript"/>
        </w:rPr>
        <w:t>2</w:t>
      </w:r>
      <w:r w:rsidRPr="00841BE0">
        <w:rPr>
          <w:i/>
          <w:sz w:val="24"/>
          <w:szCs w:val="24"/>
        </w:rPr>
        <w:t>)</w:t>
      </w:r>
    </w:p>
    <w:p w14:paraId="2715F4F4" w14:textId="77777777" w:rsidR="00841BE0" w:rsidRPr="00841BE0" w:rsidRDefault="00841BE0" w:rsidP="00503DFB">
      <w:pPr>
        <w:ind w:left="851"/>
        <w:rPr>
          <w:sz w:val="24"/>
          <w:szCs w:val="24"/>
        </w:rPr>
      </w:pPr>
      <w:r w:rsidRPr="00841BE0">
        <w:rPr>
          <w:sz w:val="24"/>
          <w:szCs w:val="24"/>
        </w:rPr>
        <w:t xml:space="preserve">Den anbefalede dosis er én tablet to gange dagligt. Dosis er individuel og tilpasses patientens aktuelle behandling samt virkning og </w:t>
      </w:r>
      <w:proofErr w:type="spellStart"/>
      <w:r w:rsidRPr="00841BE0">
        <w:rPr>
          <w:sz w:val="24"/>
          <w:szCs w:val="24"/>
        </w:rPr>
        <w:t>tolerabilitet</w:t>
      </w:r>
      <w:proofErr w:type="spellEnd"/>
      <w:r w:rsidRPr="00841BE0">
        <w:rPr>
          <w:sz w:val="24"/>
          <w:szCs w:val="24"/>
        </w:rPr>
        <w:t xml:space="preserve"> ved brug af den anbefalede dosis på 10 mg eller 25 mg </w:t>
      </w:r>
      <w:proofErr w:type="spellStart"/>
      <w:r w:rsidRPr="00841BE0">
        <w:rPr>
          <w:sz w:val="24"/>
          <w:szCs w:val="24"/>
        </w:rPr>
        <w:t>empagliflozin</w:t>
      </w:r>
      <w:proofErr w:type="spellEnd"/>
      <w:r w:rsidRPr="00841BE0">
        <w:rPr>
          <w:sz w:val="24"/>
          <w:szCs w:val="24"/>
        </w:rPr>
        <w:t xml:space="preserve"> dagligt samtidig med at den anbefalede, højeste daglige dosis af </w:t>
      </w:r>
      <w:proofErr w:type="spellStart"/>
      <w:r w:rsidRPr="00841BE0">
        <w:rPr>
          <w:sz w:val="24"/>
          <w:szCs w:val="24"/>
        </w:rPr>
        <w:t>metformin</w:t>
      </w:r>
      <w:proofErr w:type="spellEnd"/>
      <w:r w:rsidRPr="00841BE0">
        <w:rPr>
          <w:sz w:val="24"/>
          <w:szCs w:val="24"/>
        </w:rPr>
        <w:t xml:space="preserve"> ikke overskrides.</w:t>
      </w:r>
    </w:p>
    <w:p w14:paraId="1063005C" w14:textId="77777777" w:rsidR="00841BE0" w:rsidRPr="00841BE0" w:rsidRDefault="00841BE0" w:rsidP="00503DFB">
      <w:pPr>
        <w:ind w:left="851"/>
        <w:rPr>
          <w:sz w:val="24"/>
          <w:szCs w:val="24"/>
        </w:rPr>
      </w:pPr>
    </w:p>
    <w:p w14:paraId="41117EBC" w14:textId="77777777" w:rsidR="00841BE0" w:rsidRPr="00841BE0" w:rsidRDefault="00841BE0" w:rsidP="00503DFB">
      <w:pPr>
        <w:ind w:left="851"/>
        <w:rPr>
          <w:i/>
          <w:sz w:val="24"/>
          <w:szCs w:val="24"/>
        </w:rPr>
      </w:pPr>
      <w:r w:rsidRPr="00841BE0">
        <w:rPr>
          <w:i/>
          <w:sz w:val="24"/>
          <w:szCs w:val="24"/>
          <w:u w:val="single"/>
        </w:rPr>
        <w:t xml:space="preserve">Til patienter, der er utilstrækkeligt kontrolleret med </w:t>
      </w:r>
      <w:proofErr w:type="spellStart"/>
      <w:r w:rsidRPr="00841BE0">
        <w:rPr>
          <w:i/>
          <w:sz w:val="24"/>
          <w:szCs w:val="24"/>
          <w:u w:val="single"/>
        </w:rPr>
        <w:t>metformin</w:t>
      </w:r>
      <w:proofErr w:type="spellEnd"/>
      <w:r w:rsidRPr="00841BE0">
        <w:rPr>
          <w:i/>
          <w:sz w:val="24"/>
          <w:szCs w:val="24"/>
          <w:u w:val="single"/>
        </w:rPr>
        <w:t xml:space="preserve"> (enten som monoterapi eller i</w:t>
      </w:r>
      <w:r w:rsidRPr="00841BE0">
        <w:rPr>
          <w:i/>
          <w:sz w:val="24"/>
          <w:szCs w:val="24"/>
        </w:rPr>
        <w:t xml:space="preserve"> </w:t>
      </w:r>
      <w:r w:rsidRPr="00841BE0">
        <w:rPr>
          <w:i/>
          <w:sz w:val="24"/>
          <w:szCs w:val="24"/>
          <w:u w:val="single"/>
        </w:rPr>
        <w:t xml:space="preserve">kombination med andre </w:t>
      </w:r>
      <w:proofErr w:type="spellStart"/>
      <w:r w:rsidRPr="00841BE0">
        <w:rPr>
          <w:i/>
          <w:sz w:val="24"/>
          <w:szCs w:val="24"/>
          <w:u w:val="single"/>
        </w:rPr>
        <w:t>antidiabetika</w:t>
      </w:r>
      <w:proofErr w:type="spellEnd"/>
      <w:r w:rsidRPr="00841BE0">
        <w:rPr>
          <w:i/>
          <w:sz w:val="24"/>
          <w:szCs w:val="24"/>
          <w:u w:val="single"/>
        </w:rPr>
        <w:t>)</w:t>
      </w:r>
    </w:p>
    <w:p w14:paraId="5737C20F" w14:textId="36FED14B" w:rsidR="00841BE0" w:rsidRPr="00841BE0" w:rsidRDefault="00841BE0" w:rsidP="00503DFB">
      <w:pPr>
        <w:ind w:left="851"/>
        <w:rPr>
          <w:sz w:val="24"/>
          <w:szCs w:val="24"/>
        </w:rPr>
      </w:pPr>
      <w:r w:rsidRPr="00841BE0">
        <w:rPr>
          <w:sz w:val="24"/>
          <w:szCs w:val="24"/>
        </w:rPr>
        <w:t xml:space="preserve">Den anbefalede startdosis af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 xml:space="preserve"> hos patienter med utilstrækkelig kontrol med </w:t>
      </w:r>
      <w:proofErr w:type="spellStart"/>
      <w:r w:rsidRPr="00841BE0">
        <w:rPr>
          <w:sz w:val="24"/>
          <w:szCs w:val="24"/>
        </w:rPr>
        <w:t>metformin</w:t>
      </w:r>
      <w:proofErr w:type="spellEnd"/>
      <w:r w:rsidRPr="00841BE0">
        <w:rPr>
          <w:sz w:val="24"/>
          <w:szCs w:val="24"/>
        </w:rPr>
        <w:t xml:space="preserve"> alene eller i kombination med andre </w:t>
      </w:r>
      <w:proofErr w:type="spellStart"/>
      <w:r w:rsidRPr="00841BE0">
        <w:rPr>
          <w:sz w:val="24"/>
          <w:szCs w:val="24"/>
        </w:rPr>
        <w:t>antidiabetika</w:t>
      </w:r>
      <w:proofErr w:type="spellEnd"/>
      <w:r w:rsidRPr="00841BE0">
        <w:rPr>
          <w:sz w:val="24"/>
          <w:szCs w:val="24"/>
        </w:rPr>
        <w:t xml:space="preserve"> er 5 mg </w:t>
      </w:r>
      <w:proofErr w:type="spellStart"/>
      <w:r w:rsidRPr="00841BE0">
        <w:rPr>
          <w:sz w:val="24"/>
          <w:szCs w:val="24"/>
        </w:rPr>
        <w:t>empagliflozin</w:t>
      </w:r>
      <w:proofErr w:type="spellEnd"/>
      <w:r w:rsidRPr="00841BE0">
        <w:rPr>
          <w:sz w:val="24"/>
          <w:szCs w:val="24"/>
        </w:rPr>
        <w:t xml:space="preserve"> to gange dagligt (daglig dosis 10 mg) og en dosis af </w:t>
      </w:r>
      <w:proofErr w:type="spellStart"/>
      <w:r w:rsidRPr="00841BE0">
        <w:rPr>
          <w:sz w:val="24"/>
          <w:szCs w:val="24"/>
        </w:rPr>
        <w:t>metformin</w:t>
      </w:r>
      <w:proofErr w:type="spellEnd"/>
      <w:r w:rsidRPr="00841BE0">
        <w:rPr>
          <w:sz w:val="24"/>
          <w:szCs w:val="24"/>
        </w:rPr>
        <w:t xml:space="preserve">, der svarer til den dosis, som patienten allerede får. Dosis kan øges til en daglig dosis på 25 mg </w:t>
      </w:r>
      <w:proofErr w:type="spellStart"/>
      <w:r w:rsidRPr="00841BE0">
        <w:rPr>
          <w:sz w:val="24"/>
          <w:szCs w:val="24"/>
        </w:rPr>
        <w:t>empagliflozin</w:t>
      </w:r>
      <w:proofErr w:type="spellEnd"/>
      <w:r w:rsidRPr="00841BE0">
        <w:rPr>
          <w:sz w:val="24"/>
          <w:szCs w:val="24"/>
        </w:rPr>
        <w:t xml:space="preserve"> hos patienter, der tåler en daglig dosis på 10 mg </w:t>
      </w:r>
      <w:proofErr w:type="spellStart"/>
      <w:r w:rsidRPr="00841BE0">
        <w:rPr>
          <w:sz w:val="24"/>
          <w:szCs w:val="24"/>
        </w:rPr>
        <w:t>empagliflozin</w:t>
      </w:r>
      <w:proofErr w:type="spellEnd"/>
      <w:r w:rsidRPr="00841BE0">
        <w:rPr>
          <w:sz w:val="24"/>
          <w:szCs w:val="24"/>
        </w:rPr>
        <w:t xml:space="preserve"> og har behov for en bedre glykæmisk kontrol. Når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 xml:space="preserve"> bruges i kombination med et </w:t>
      </w:r>
      <w:proofErr w:type="spellStart"/>
      <w:r w:rsidRPr="00841BE0">
        <w:rPr>
          <w:sz w:val="24"/>
          <w:szCs w:val="24"/>
        </w:rPr>
        <w:t>sulfonylurinstof</w:t>
      </w:r>
      <w:proofErr w:type="spellEnd"/>
      <w:r w:rsidRPr="00841BE0">
        <w:rPr>
          <w:sz w:val="24"/>
          <w:szCs w:val="24"/>
        </w:rPr>
        <w:t xml:space="preserve"> og/eller med insulin, kan det være nødvendigt med en lavere dosis af </w:t>
      </w:r>
      <w:proofErr w:type="spellStart"/>
      <w:r w:rsidRPr="00841BE0">
        <w:rPr>
          <w:sz w:val="24"/>
          <w:szCs w:val="24"/>
        </w:rPr>
        <w:t>sulfonylurinstof</w:t>
      </w:r>
      <w:proofErr w:type="spellEnd"/>
      <w:r w:rsidRPr="00841BE0">
        <w:rPr>
          <w:sz w:val="24"/>
          <w:szCs w:val="24"/>
        </w:rPr>
        <w:t xml:space="preserve"> og/eller insulin for at mindske risikoen for hypoglykæmi (se pkt. 4.5 og 4.8).</w:t>
      </w:r>
    </w:p>
    <w:p w14:paraId="111C8DD2" w14:textId="3AFDF9D9" w:rsidR="001C0D88" w:rsidRDefault="001C0D88">
      <w:pPr>
        <w:rPr>
          <w:sz w:val="24"/>
          <w:szCs w:val="24"/>
        </w:rPr>
      </w:pPr>
      <w:r>
        <w:rPr>
          <w:sz w:val="24"/>
          <w:szCs w:val="24"/>
        </w:rPr>
        <w:br w:type="page"/>
      </w:r>
    </w:p>
    <w:p w14:paraId="3C66D698" w14:textId="77777777" w:rsidR="00841BE0" w:rsidRPr="00841BE0" w:rsidRDefault="00841BE0" w:rsidP="00503DFB">
      <w:pPr>
        <w:ind w:left="851"/>
        <w:rPr>
          <w:sz w:val="24"/>
          <w:szCs w:val="24"/>
        </w:rPr>
      </w:pPr>
    </w:p>
    <w:p w14:paraId="0F797900" w14:textId="77777777" w:rsidR="00841BE0" w:rsidRPr="00841BE0" w:rsidRDefault="00841BE0" w:rsidP="00503DFB">
      <w:pPr>
        <w:ind w:left="851"/>
        <w:rPr>
          <w:i/>
          <w:sz w:val="24"/>
          <w:szCs w:val="24"/>
        </w:rPr>
      </w:pPr>
      <w:r w:rsidRPr="00841BE0">
        <w:rPr>
          <w:i/>
          <w:sz w:val="24"/>
          <w:szCs w:val="24"/>
          <w:u w:val="single"/>
        </w:rPr>
        <w:t xml:space="preserve">Til patienter der skifter fra særskilte tabletter med </w:t>
      </w:r>
      <w:proofErr w:type="spellStart"/>
      <w:r w:rsidRPr="00841BE0">
        <w:rPr>
          <w:i/>
          <w:sz w:val="24"/>
          <w:szCs w:val="24"/>
          <w:u w:val="single"/>
        </w:rPr>
        <w:t>empagliflozin</w:t>
      </w:r>
      <w:proofErr w:type="spellEnd"/>
      <w:r w:rsidRPr="00841BE0">
        <w:rPr>
          <w:i/>
          <w:sz w:val="24"/>
          <w:szCs w:val="24"/>
          <w:u w:val="single"/>
        </w:rPr>
        <w:t xml:space="preserve"> og </w:t>
      </w:r>
      <w:proofErr w:type="spellStart"/>
      <w:r w:rsidRPr="00841BE0">
        <w:rPr>
          <w:i/>
          <w:sz w:val="24"/>
          <w:szCs w:val="24"/>
          <w:u w:val="single"/>
        </w:rPr>
        <w:t>metformin</w:t>
      </w:r>
      <w:proofErr w:type="spellEnd"/>
    </w:p>
    <w:p w14:paraId="4223A1F5" w14:textId="1ECFFD95" w:rsidR="00841BE0" w:rsidRPr="00841BE0" w:rsidRDefault="00841BE0" w:rsidP="00503DFB">
      <w:pPr>
        <w:ind w:left="851"/>
        <w:rPr>
          <w:sz w:val="24"/>
          <w:szCs w:val="24"/>
        </w:rPr>
      </w:pPr>
      <w:r w:rsidRPr="00841BE0">
        <w:rPr>
          <w:sz w:val="24"/>
          <w:szCs w:val="24"/>
        </w:rPr>
        <w:t xml:space="preserve">Ved skift fra særskilte tabletter med </w:t>
      </w:r>
      <w:proofErr w:type="spellStart"/>
      <w:r w:rsidRPr="00841BE0">
        <w:rPr>
          <w:sz w:val="24"/>
          <w:szCs w:val="24"/>
        </w:rPr>
        <w:t>empagliflozin</w:t>
      </w:r>
      <w:proofErr w:type="spellEnd"/>
      <w:r w:rsidRPr="00841BE0">
        <w:rPr>
          <w:sz w:val="24"/>
          <w:szCs w:val="24"/>
        </w:rPr>
        <w:t xml:space="preserve"> (daglig dosis 10 mg eller 25 mg) og </w:t>
      </w:r>
      <w:proofErr w:type="spellStart"/>
      <w:r w:rsidRPr="00841BE0">
        <w:rPr>
          <w:sz w:val="24"/>
          <w:szCs w:val="24"/>
        </w:rPr>
        <w:t>metformin</w:t>
      </w:r>
      <w:proofErr w:type="spellEnd"/>
      <w:r w:rsidRPr="00841BE0">
        <w:rPr>
          <w:sz w:val="24"/>
          <w:szCs w:val="24"/>
        </w:rPr>
        <w:t xml:space="preserve"> til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 xml:space="preserve">, skal de daglige doser af </w:t>
      </w:r>
      <w:proofErr w:type="spellStart"/>
      <w:r w:rsidRPr="00841BE0">
        <w:rPr>
          <w:sz w:val="24"/>
          <w:szCs w:val="24"/>
        </w:rPr>
        <w:t>empagliflozin</w:t>
      </w:r>
      <w:proofErr w:type="spellEnd"/>
      <w:r w:rsidRPr="00841BE0">
        <w:rPr>
          <w:sz w:val="24"/>
          <w:szCs w:val="24"/>
        </w:rPr>
        <w:t xml:space="preserve"> og </w:t>
      </w:r>
      <w:proofErr w:type="spellStart"/>
      <w:r w:rsidRPr="00841BE0">
        <w:rPr>
          <w:sz w:val="24"/>
          <w:szCs w:val="24"/>
        </w:rPr>
        <w:t>metformin</w:t>
      </w:r>
      <w:proofErr w:type="spellEnd"/>
      <w:r w:rsidRPr="00841BE0">
        <w:rPr>
          <w:sz w:val="24"/>
          <w:szCs w:val="24"/>
        </w:rPr>
        <w:t xml:space="preserve"> svare til de doser, som patienten allerede får, eller til den nærmeste, terapeutisk relevante dosis </w:t>
      </w:r>
      <w:proofErr w:type="spellStart"/>
      <w:r w:rsidRPr="00841BE0">
        <w:rPr>
          <w:sz w:val="24"/>
          <w:szCs w:val="24"/>
        </w:rPr>
        <w:t>metformin</w:t>
      </w:r>
      <w:proofErr w:type="spellEnd"/>
      <w:r w:rsidRPr="00841BE0">
        <w:rPr>
          <w:sz w:val="24"/>
          <w:szCs w:val="24"/>
        </w:rPr>
        <w:t xml:space="preserve"> (se pkt. 2 for tilgængelige styrker).</w:t>
      </w:r>
    </w:p>
    <w:p w14:paraId="6C090D3E" w14:textId="77777777" w:rsidR="00841BE0" w:rsidRPr="00841BE0" w:rsidRDefault="00841BE0" w:rsidP="00503DFB">
      <w:pPr>
        <w:ind w:left="851"/>
        <w:rPr>
          <w:sz w:val="24"/>
          <w:szCs w:val="24"/>
        </w:rPr>
      </w:pPr>
    </w:p>
    <w:p w14:paraId="324DEA2D" w14:textId="77777777" w:rsidR="00841BE0" w:rsidRPr="00841BE0" w:rsidRDefault="00841BE0" w:rsidP="00503DFB">
      <w:pPr>
        <w:ind w:left="851"/>
        <w:rPr>
          <w:i/>
          <w:sz w:val="24"/>
          <w:szCs w:val="24"/>
        </w:rPr>
      </w:pPr>
      <w:r w:rsidRPr="00841BE0">
        <w:rPr>
          <w:i/>
          <w:sz w:val="24"/>
          <w:szCs w:val="24"/>
          <w:u w:val="single"/>
        </w:rPr>
        <w:t>Glemt dosis</w:t>
      </w:r>
    </w:p>
    <w:p w14:paraId="721D947D" w14:textId="77777777" w:rsidR="00841BE0" w:rsidRPr="00841BE0" w:rsidRDefault="00841BE0" w:rsidP="00503DFB">
      <w:pPr>
        <w:ind w:left="851"/>
        <w:rPr>
          <w:sz w:val="24"/>
          <w:szCs w:val="24"/>
        </w:rPr>
      </w:pPr>
      <w:r w:rsidRPr="00841BE0">
        <w:rPr>
          <w:sz w:val="24"/>
          <w:szCs w:val="24"/>
        </w:rPr>
        <w:t>En glemt dosis bør tages, så snart patienten kommer i tanker om det – dog ikke som en dobbeltdosis. I et sådant tilfælde skal den glemte dosis springes over.</w:t>
      </w:r>
    </w:p>
    <w:p w14:paraId="73D67EEF" w14:textId="77777777" w:rsidR="00841BE0" w:rsidRPr="00841BE0" w:rsidRDefault="00841BE0" w:rsidP="00503DFB">
      <w:pPr>
        <w:ind w:left="851"/>
        <w:rPr>
          <w:sz w:val="24"/>
          <w:szCs w:val="24"/>
        </w:rPr>
      </w:pPr>
    </w:p>
    <w:p w14:paraId="06D09D06" w14:textId="77777777" w:rsidR="00841BE0" w:rsidRPr="00841BE0" w:rsidRDefault="00841BE0" w:rsidP="00503DFB">
      <w:pPr>
        <w:ind w:left="851"/>
        <w:rPr>
          <w:i/>
          <w:sz w:val="24"/>
          <w:szCs w:val="24"/>
        </w:rPr>
      </w:pPr>
      <w:r w:rsidRPr="00841BE0">
        <w:rPr>
          <w:i/>
          <w:sz w:val="24"/>
          <w:szCs w:val="24"/>
          <w:u w:val="single"/>
        </w:rPr>
        <w:t>Særlige populationer</w:t>
      </w:r>
    </w:p>
    <w:p w14:paraId="0C24AEF2" w14:textId="77777777" w:rsidR="00841BE0" w:rsidRPr="00841BE0" w:rsidRDefault="00841BE0" w:rsidP="00503DFB">
      <w:pPr>
        <w:ind w:left="851"/>
        <w:rPr>
          <w:i/>
          <w:sz w:val="24"/>
          <w:szCs w:val="24"/>
        </w:rPr>
      </w:pPr>
    </w:p>
    <w:p w14:paraId="7658437E" w14:textId="77777777" w:rsidR="00841BE0" w:rsidRPr="00841BE0" w:rsidRDefault="00841BE0" w:rsidP="00503DFB">
      <w:pPr>
        <w:ind w:left="851"/>
        <w:rPr>
          <w:i/>
          <w:sz w:val="24"/>
          <w:szCs w:val="24"/>
        </w:rPr>
      </w:pPr>
      <w:r w:rsidRPr="00841BE0">
        <w:rPr>
          <w:i/>
          <w:sz w:val="24"/>
          <w:szCs w:val="24"/>
        </w:rPr>
        <w:t>Nedsat nyrefunktion</w:t>
      </w:r>
    </w:p>
    <w:p w14:paraId="332220DA" w14:textId="77777777" w:rsidR="00841BE0" w:rsidRPr="00841BE0" w:rsidRDefault="00841BE0" w:rsidP="00503DFB">
      <w:pPr>
        <w:ind w:left="851"/>
        <w:rPr>
          <w:sz w:val="24"/>
          <w:szCs w:val="24"/>
        </w:rPr>
      </w:pPr>
      <w:r w:rsidRPr="00841BE0">
        <w:rPr>
          <w:sz w:val="24"/>
          <w:szCs w:val="24"/>
        </w:rPr>
        <w:t xml:space="preserve">Den glykæmiske virkning af </w:t>
      </w:r>
      <w:proofErr w:type="spellStart"/>
      <w:r w:rsidRPr="00841BE0">
        <w:rPr>
          <w:sz w:val="24"/>
          <w:szCs w:val="24"/>
        </w:rPr>
        <w:t>empagliflozin</w:t>
      </w:r>
      <w:proofErr w:type="spellEnd"/>
      <w:r w:rsidRPr="00841BE0">
        <w:rPr>
          <w:sz w:val="24"/>
          <w:szCs w:val="24"/>
        </w:rPr>
        <w:t xml:space="preserve"> er afhængig af nyrefunktionen. For kardiovaskulær risikoreduktion som tillæg til standardbehandling bør der anvendes en dosis på 10 mg </w:t>
      </w:r>
      <w:proofErr w:type="spellStart"/>
      <w:r w:rsidRPr="00841BE0">
        <w:rPr>
          <w:sz w:val="24"/>
          <w:szCs w:val="24"/>
        </w:rPr>
        <w:t>empagliflozin</w:t>
      </w:r>
      <w:proofErr w:type="spellEnd"/>
      <w:r w:rsidRPr="00841BE0">
        <w:rPr>
          <w:sz w:val="24"/>
          <w:szCs w:val="24"/>
        </w:rPr>
        <w:t xml:space="preserve"> dagligt til patienter med en </w:t>
      </w:r>
      <w:proofErr w:type="spellStart"/>
      <w:r w:rsidRPr="00841BE0">
        <w:rPr>
          <w:sz w:val="24"/>
          <w:szCs w:val="24"/>
        </w:rPr>
        <w:t>eGFR</w:t>
      </w:r>
      <w:proofErr w:type="spellEnd"/>
      <w:r w:rsidRPr="00841BE0">
        <w:rPr>
          <w:sz w:val="24"/>
          <w:szCs w:val="24"/>
        </w:rPr>
        <w:t xml:space="preserve"> under 60 ml/min/1,73 m</w:t>
      </w:r>
      <w:r w:rsidRPr="00841BE0">
        <w:rPr>
          <w:sz w:val="24"/>
          <w:szCs w:val="24"/>
          <w:vertAlign w:val="superscript"/>
        </w:rPr>
        <w:t>2</w:t>
      </w:r>
      <w:r w:rsidRPr="00841BE0">
        <w:rPr>
          <w:sz w:val="24"/>
          <w:szCs w:val="24"/>
        </w:rPr>
        <w:t xml:space="preserve"> (se tabel 1). Da den blodsukkerreducerende virkning af </w:t>
      </w:r>
      <w:proofErr w:type="spellStart"/>
      <w:r w:rsidRPr="00841BE0">
        <w:rPr>
          <w:sz w:val="24"/>
          <w:szCs w:val="24"/>
        </w:rPr>
        <w:t>empagliflozin</w:t>
      </w:r>
      <w:proofErr w:type="spellEnd"/>
      <w:r w:rsidRPr="00841BE0">
        <w:rPr>
          <w:sz w:val="24"/>
          <w:szCs w:val="24"/>
        </w:rPr>
        <w:t xml:space="preserve"> er nedsat hos patienter med moderat nedsat nyrefunktion og sandsynligvis mangler hos patienter med svært nedsat nyrefunktion, skal det overvejes at tillægge andre </w:t>
      </w:r>
      <w:proofErr w:type="spellStart"/>
      <w:r w:rsidRPr="00841BE0">
        <w:rPr>
          <w:sz w:val="24"/>
          <w:szCs w:val="24"/>
        </w:rPr>
        <w:t>antihyperglykæmiske</w:t>
      </w:r>
      <w:proofErr w:type="spellEnd"/>
      <w:r w:rsidRPr="00841BE0">
        <w:rPr>
          <w:sz w:val="24"/>
          <w:szCs w:val="24"/>
        </w:rPr>
        <w:t xml:space="preserve"> lægemidler, hvis der er behov for yderligere glykæmisk kontrol.</w:t>
      </w:r>
    </w:p>
    <w:p w14:paraId="3F530A36" w14:textId="77777777" w:rsidR="00841BE0" w:rsidRPr="00841BE0" w:rsidRDefault="00841BE0" w:rsidP="00503DFB">
      <w:pPr>
        <w:ind w:left="851"/>
        <w:rPr>
          <w:sz w:val="24"/>
          <w:szCs w:val="24"/>
        </w:rPr>
      </w:pPr>
      <w:r w:rsidRPr="00841BE0">
        <w:rPr>
          <w:sz w:val="24"/>
          <w:szCs w:val="24"/>
        </w:rPr>
        <w:t xml:space="preserve">For anbefalinger om dosisjustering i henhold til </w:t>
      </w:r>
      <w:proofErr w:type="spellStart"/>
      <w:r w:rsidRPr="00841BE0">
        <w:rPr>
          <w:sz w:val="24"/>
          <w:szCs w:val="24"/>
        </w:rPr>
        <w:t>eGFR</w:t>
      </w:r>
      <w:proofErr w:type="spellEnd"/>
      <w:r w:rsidRPr="00841BE0">
        <w:rPr>
          <w:sz w:val="24"/>
          <w:szCs w:val="24"/>
        </w:rPr>
        <w:t xml:space="preserve"> eller </w:t>
      </w:r>
      <w:proofErr w:type="spellStart"/>
      <w:r w:rsidRPr="00841BE0">
        <w:rPr>
          <w:sz w:val="24"/>
          <w:szCs w:val="24"/>
        </w:rPr>
        <w:t>CrCl</w:t>
      </w:r>
      <w:proofErr w:type="spellEnd"/>
      <w:r w:rsidRPr="00841BE0">
        <w:rPr>
          <w:sz w:val="24"/>
          <w:szCs w:val="24"/>
        </w:rPr>
        <w:t xml:space="preserve"> henvises til tabel 1.</w:t>
      </w:r>
    </w:p>
    <w:p w14:paraId="6FBB8A3D" w14:textId="77777777" w:rsidR="00841BE0" w:rsidRPr="00841BE0" w:rsidRDefault="00841BE0" w:rsidP="00503DFB">
      <w:pPr>
        <w:ind w:left="851"/>
        <w:rPr>
          <w:sz w:val="24"/>
          <w:szCs w:val="24"/>
        </w:rPr>
      </w:pPr>
    </w:p>
    <w:p w14:paraId="08B33116" w14:textId="77777777" w:rsidR="00841BE0" w:rsidRPr="00841BE0" w:rsidRDefault="00841BE0" w:rsidP="00503DFB">
      <w:pPr>
        <w:ind w:left="851"/>
        <w:rPr>
          <w:sz w:val="24"/>
          <w:szCs w:val="24"/>
        </w:rPr>
      </w:pPr>
      <w:proofErr w:type="spellStart"/>
      <w:r w:rsidRPr="00841BE0">
        <w:rPr>
          <w:sz w:val="24"/>
          <w:szCs w:val="24"/>
        </w:rPr>
        <w:t>eGFR</w:t>
      </w:r>
      <w:proofErr w:type="spellEnd"/>
      <w:r w:rsidRPr="00841BE0">
        <w:rPr>
          <w:sz w:val="24"/>
          <w:szCs w:val="24"/>
        </w:rPr>
        <w:t xml:space="preserve"> skal bestemmes, inden behandling med </w:t>
      </w:r>
      <w:proofErr w:type="spellStart"/>
      <w:r w:rsidRPr="00841BE0">
        <w:rPr>
          <w:sz w:val="24"/>
          <w:szCs w:val="24"/>
        </w:rPr>
        <w:t>metforminholdige</w:t>
      </w:r>
      <w:proofErr w:type="spellEnd"/>
      <w:r w:rsidRPr="00841BE0">
        <w:rPr>
          <w:sz w:val="24"/>
          <w:szCs w:val="24"/>
        </w:rPr>
        <w:t xml:space="preserve"> præparater iværksættes og derefter mindst én gang om året. Hos patienter med øget risiko for yderligere progression af nedsat nyrefunktion og hos ældre bør nyrefunktionen vurderes oftere, f.eks. hver 3.</w:t>
      </w:r>
      <w:r w:rsidRPr="00841BE0">
        <w:rPr>
          <w:sz w:val="24"/>
          <w:szCs w:val="24"/>
        </w:rPr>
        <w:noBreakHyphen/>
        <w:t>6. måned.</w:t>
      </w:r>
    </w:p>
    <w:p w14:paraId="5D6ED442" w14:textId="77777777" w:rsidR="00841BE0" w:rsidRPr="00841BE0" w:rsidRDefault="00841BE0" w:rsidP="00503DFB">
      <w:pPr>
        <w:ind w:left="851"/>
        <w:rPr>
          <w:sz w:val="24"/>
          <w:szCs w:val="24"/>
        </w:rPr>
      </w:pPr>
    </w:p>
    <w:p w14:paraId="7FD1DBD0" w14:textId="2410D536" w:rsidR="00841BE0" w:rsidRPr="00841BE0" w:rsidRDefault="00841BE0" w:rsidP="00503DFB">
      <w:pPr>
        <w:ind w:left="851"/>
        <w:rPr>
          <w:sz w:val="24"/>
          <w:szCs w:val="24"/>
        </w:rPr>
      </w:pPr>
      <w:r w:rsidRPr="00841BE0">
        <w:rPr>
          <w:sz w:val="24"/>
          <w:szCs w:val="24"/>
        </w:rPr>
        <w:t xml:space="preserve">Hvis der ikke findes en passende styrke af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 bør enkeltstofferne anvendes enkeltvist i stedet for fastdosis-kombinationen.</w:t>
      </w:r>
    </w:p>
    <w:p w14:paraId="30EAB3B9" w14:textId="77777777" w:rsidR="00841BE0" w:rsidRPr="00841BE0" w:rsidRDefault="00841BE0" w:rsidP="00503DFB">
      <w:pPr>
        <w:ind w:left="851"/>
        <w:rPr>
          <w:sz w:val="24"/>
          <w:szCs w:val="24"/>
        </w:rPr>
      </w:pPr>
    </w:p>
    <w:p w14:paraId="36FD8F1B" w14:textId="498104A9" w:rsidR="00841BE0" w:rsidRPr="00841BE0" w:rsidRDefault="00841BE0" w:rsidP="00503DFB">
      <w:pPr>
        <w:ind w:left="851"/>
        <w:rPr>
          <w:sz w:val="24"/>
          <w:szCs w:val="24"/>
        </w:rPr>
      </w:pPr>
      <w:r w:rsidRPr="00841BE0">
        <w:rPr>
          <w:sz w:val="24"/>
          <w:szCs w:val="24"/>
        </w:rPr>
        <w:t xml:space="preserve">For doseringsanbefalinger til den pædiatriske population, se underpunktet </w:t>
      </w:r>
      <w:r w:rsidR="00595CFD">
        <w:rPr>
          <w:sz w:val="24"/>
          <w:szCs w:val="24"/>
        </w:rPr>
        <w:t>"</w:t>
      </w:r>
      <w:r w:rsidRPr="00841BE0">
        <w:rPr>
          <w:sz w:val="24"/>
          <w:szCs w:val="24"/>
        </w:rPr>
        <w:t>Pædiatrisk population</w:t>
      </w:r>
      <w:r w:rsidR="00595CFD">
        <w:rPr>
          <w:sz w:val="24"/>
          <w:szCs w:val="24"/>
        </w:rPr>
        <w:t>"</w:t>
      </w:r>
      <w:r w:rsidRPr="00841BE0">
        <w:rPr>
          <w:sz w:val="24"/>
          <w:szCs w:val="24"/>
        </w:rPr>
        <w:t xml:space="preserve"> nedenfor.</w:t>
      </w:r>
    </w:p>
    <w:p w14:paraId="3867E2EA" w14:textId="77777777" w:rsidR="00841BE0" w:rsidRPr="00841BE0" w:rsidRDefault="00841BE0" w:rsidP="00503DFB">
      <w:pPr>
        <w:ind w:left="851"/>
        <w:rPr>
          <w:sz w:val="24"/>
          <w:szCs w:val="24"/>
        </w:rPr>
      </w:pPr>
    </w:p>
    <w:p w14:paraId="0478F843" w14:textId="77777777" w:rsidR="00841BE0" w:rsidRPr="00841BE0" w:rsidRDefault="00841BE0" w:rsidP="00595CFD">
      <w:pPr>
        <w:rPr>
          <w:sz w:val="24"/>
          <w:szCs w:val="24"/>
        </w:rPr>
      </w:pPr>
      <w:r w:rsidRPr="00841BE0">
        <w:rPr>
          <w:sz w:val="24"/>
          <w:szCs w:val="24"/>
        </w:rPr>
        <w:t xml:space="preserve">Tabel 1: Dosering hos voksne patienter med nedsat </w:t>
      </w:r>
      <w:proofErr w:type="spellStart"/>
      <w:r w:rsidRPr="00841BE0">
        <w:rPr>
          <w:sz w:val="24"/>
          <w:szCs w:val="24"/>
        </w:rPr>
        <w:t>nyrefunktion</w:t>
      </w:r>
      <w:r w:rsidRPr="00841BE0">
        <w:rPr>
          <w:sz w:val="24"/>
          <w:szCs w:val="24"/>
          <w:vertAlign w:val="superscript"/>
        </w:rPr>
        <w:t>a</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79"/>
        <w:gridCol w:w="4071"/>
        <w:gridCol w:w="3578"/>
      </w:tblGrid>
      <w:tr w:rsidR="00841BE0" w:rsidRPr="00841BE0" w14:paraId="4256E5B1" w14:textId="77777777" w:rsidTr="00503DFB">
        <w:trPr>
          <w:trHeight w:val="1012"/>
        </w:trPr>
        <w:tc>
          <w:tcPr>
            <w:tcW w:w="1028" w:type="pct"/>
            <w:tcBorders>
              <w:top w:val="single" w:sz="4" w:space="0" w:color="000000"/>
              <w:left w:val="single" w:sz="4" w:space="0" w:color="000000"/>
              <w:bottom w:val="single" w:sz="4" w:space="0" w:color="000000"/>
              <w:right w:val="single" w:sz="4" w:space="0" w:color="000000"/>
            </w:tcBorders>
            <w:hideMark/>
          </w:tcPr>
          <w:p w14:paraId="2FD8E03B" w14:textId="77777777" w:rsidR="00841BE0" w:rsidRPr="00841BE0" w:rsidRDefault="00841BE0" w:rsidP="00503DFB">
            <w:pPr>
              <w:ind w:left="32"/>
              <w:rPr>
                <w:b/>
                <w:sz w:val="22"/>
                <w:szCs w:val="22"/>
              </w:rPr>
            </w:pPr>
            <w:proofErr w:type="spellStart"/>
            <w:r w:rsidRPr="00841BE0">
              <w:rPr>
                <w:b/>
                <w:sz w:val="22"/>
                <w:szCs w:val="22"/>
              </w:rPr>
              <w:t>eGFR</w:t>
            </w:r>
            <w:proofErr w:type="spellEnd"/>
          </w:p>
          <w:p w14:paraId="2E1F129F" w14:textId="77777777" w:rsidR="00841BE0" w:rsidRPr="00841BE0" w:rsidRDefault="00841BE0" w:rsidP="00503DFB">
            <w:pPr>
              <w:ind w:left="32"/>
              <w:rPr>
                <w:b/>
                <w:sz w:val="22"/>
                <w:szCs w:val="22"/>
              </w:rPr>
            </w:pPr>
            <w:r w:rsidRPr="00841BE0">
              <w:rPr>
                <w:b/>
                <w:sz w:val="22"/>
                <w:szCs w:val="22"/>
              </w:rPr>
              <w:t xml:space="preserve">[ml/min/1,73 m²] eller </w:t>
            </w:r>
            <w:proofErr w:type="spellStart"/>
            <w:r w:rsidRPr="00841BE0">
              <w:rPr>
                <w:b/>
                <w:sz w:val="22"/>
                <w:szCs w:val="22"/>
              </w:rPr>
              <w:t>CrCl</w:t>
            </w:r>
            <w:proofErr w:type="spellEnd"/>
            <w:r w:rsidRPr="00841BE0">
              <w:rPr>
                <w:b/>
                <w:sz w:val="22"/>
                <w:szCs w:val="22"/>
              </w:rPr>
              <w:t xml:space="preserve"> [ml/min]</w:t>
            </w:r>
          </w:p>
        </w:tc>
        <w:tc>
          <w:tcPr>
            <w:tcW w:w="2114" w:type="pct"/>
            <w:tcBorders>
              <w:top w:val="single" w:sz="4" w:space="0" w:color="000000"/>
              <w:left w:val="single" w:sz="4" w:space="0" w:color="000000"/>
              <w:bottom w:val="single" w:sz="4" w:space="0" w:color="000000"/>
              <w:right w:val="single" w:sz="4" w:space="0" w:color="000000"/>
            </w:tcBorders>
            <w:hideMark/>
          </w:tcPr>
          <w:p w14:paraId="791A39C5" w14:textId="77777777" w:rsidR="00841BE0" w:rsidRPr="00841BE0" w:rsidRDefault="00841BE0" w:rsidP="00503DFB">
            <w:pPr>
              <w:ind w:left="32"/>
              <w:rPr>
                <w:b/>
                <w:sz w:val="22"/>
                <w:szCs w:val="22"/>
                <w:lang w:val="en-GB"/>
              </w:rPr>
            </w:pPr>
            <w:r w:rsidRPr="00841BE0">
              <w:rPr>
                <w:b/>
                <w:sz w:val="22"/>
                <w:szCs w:val="22"/>
                <w:lang w:val="en-GB"/>
              </w:rPr>
              <w:t>Metformin</w:t>
            </w:r>
          </w:p>
        </w:tc>
        <w:tc>
          <w:tcPr>
            <w:tcW w:w="1858" w:type="pct"/>
            <w:tcBorders>
              <w:top w:val="single" w:sz="4" w:space="0" w:color="000000"/>
              <w:left w:val="single" w:sz="4" w:space="0" w:color="000000"/>
              <w:bottom w:val="single" w:sz="4" w:space="0" w:color="000000"/>
              <w:right w:val="single" w:sz="4" w:space="0" w:color="000000"/>
            </w:tcBorders>
            <w:hideMark/>
          </w:tcPr>
          <w:p w14:paraId="7E273CDD" w14:textId="77777777" w:rsidR="00841BE0" w:rsidRPr="00841BE0" w:rsidRDefault="00841BE0" w:rsidP="00503DFB">
            <w:pPr>
              <w:ind w:left="32"/>
              <w:rPr>
                <w:b/>
                <w:sz w:val="22"/>
                <w:szCs w:val="22"/>
                <w:lang w:val="en-GB"/>
              </w:rPr>
            </w:pPr>
            <w:r w:rsidRPr="00841BE0">
              <w:rPr>
                <w:b/>
                <w:sz w:val="22"/>
                <w:szCs w:val="22"/>
                <w:lang w:val="en-GB"/>
              </w:rPr>
              <w:t>Empagliflozin</w:t>
            </w:r>
          </w:p>
        </w:tc>
      </w:tr>
      <w:tr w:rsidR="00841BE0" w:rsidRPr="00841BE0" w14:paraId="270CF416" w14:textId="77777777" w:rsidTr="00503DFB">
        <w:trPr>
          <w:trHeight w:val="1266"/>
        </w:trPr>
        <w:tc>
          <w:tcPr>
            <w:tcW w:w="1028" w:type="pct"/>
            <w:tcBorders>
              <w:top w:val="single" w:sz="4" w:space="0" w:color="000000"/>
              <w:left w:val="single" w:sz="4" w:space="0" w:color="000000"/>
              <w:bottom w:val="single" w:sz="4" w:space="0" w:color="000000"/>
              <w:right w:val="single" w:sz="4" w:space="0" w:color="000000"/>
            </w:tcBorders>
            <w:hideMark/>
          </w:tcPr>
          <w:p w14:paraId="1AB69770" w14:textId="77777777" w:rsidR="00841BE0" w:rsidRPr="00841BE0" w:rsidRDefault="00841BE0" w:rsidP="00503DFB">
            <w:pPr>
              <w:ind w:left="32"/>
              <w:rPr>
                <w:sz w:val="22"/>
                <w:szCs w:val="22"/>
                <w:lang w:val="en-GB"/>
              </w:rPr>
            </w:pPr>
            <w:r w:rsidRPr="00841BE0">
              <w:rPr>
                <w:sz w:val="22"/>
                <w:szCs w:val="22"/>
                <w:lang w:val="en-GB"/>
              </w:rPr>
              <w:t>≥ 60</w:t>
            </w:r>
          </w:p>
        </w:tc>
        <w:tc>
          <w:tcPr>
            <w:tcW w:w="2114" w:type="pct"/>
            <w:tcBorders>
              <w:top w:val="single" w:sz="4" w:space="0" w:color="000000"/>
              <w:left w:val="single" w:sz="4" w:space="0" w:color="000000"/>
              <w:bottom w:val="single" w:sz="4" w:space="0" w:color="000000"/>
              <w:right w:val="single" w:sz="4" w:space="0" w:color="000000"/>
            </w:tcBorders>
            <w:hideMark/>
          </w:tcPr>
          <w:p w14:paraId="69DC58E2" w14:textId="77777777" w:rsidR="00841BE0" w:rsidRPr="00841BE0" w:rsidRDefault="00841BE0" w:rsidP="00503DFB">
            <w:pPr>
              <w:ind w:left="32"/>
              <w:rPr>
                <w:sz w:val="22"/>
                <w:szCs w:val="22"/>
              </w:rPr>
            </w:pPr>
            <w:r w:rsidRPr="00841BE0">
              <w:rPr>
                <w:sz w:val="22"/>
                <w:szCs w:val="22"/>
              </w:rPr>
              <w:t>Den maksimale daglige dosis er 3.000 mg Dosisreduktion kan overvejes i forbindelse med tiltagende nedsættelse af nyrefunktionen.</w:t>
            </w:r>
          </w:p>
        </w:tc>
        <w:tc>
          <w:tcPr>
            <w:tcW w:w="1858" w:type="pct"/>
            <w:tcBorders>
              <w:top w:val="single" w:sz="4" w:space="0" w:color="000000"/>
              <w:left w:val="single" w:sz="4" w:space="0" w:color="000000"/>
              <w:bottom w:val="single" w:sz="4" w:space="0" w:color="000000"/>
              <w:right w:val="single" w:sz="4" w:space="0" w:color="000000"/>
            </w:tcBorders>
            <w:hideMark/>
          </w:tcPr>
          <w:p w14:paraId="454AD4F5" w14:textId="77777777" w:rsidR="00841BE0" w:rsidRPr="00841BE0" w:rsidRDefault="00841BE0" w:rsidP="00503DFB">
            <w:pPr>
              <w:ind w:left="32"/>
              <w:rPr>
                <w:sz w:val="22"/>
                <w:szCs w:val="22"/>
              </w:rPr>
            </w:pPr>
            <w:r w:rsidRPr="00841BE0">
              <w:rPr>
                <w:sz w:val="22"/>
                <w:szCs w:val="22"/>
              </w:rPr>
              <w:t>Initiér med 10 mg.</w:t>
            </w:r>
          </w:p>
          <w:p w14:paraId="62D88255" w14:textId="77777777" w:rsidR="00841BE0" w:rsidRPr="00841BE0" w:rsidRDefault="00841BE0" w:rsidP="00503DFB">
            <w:pPr>
              <w:ind w:left="32"/>
              <w:rPr>
                <w:sz w:val="22"/>
                <w:szCs w:val="22"/>
              </w:rPr>
            </w:pPr>
            <w:r w:rsidRPr="00841BE0">
              <w:rPr>
                <w:sz w:val="22"/>
                <w:szCs w:val="22"/>
              </w:rPr>
              <w:t xml:space="preserve">Hos patienter, der tolererer 10 mg </w:t>
            </w:r>
            <w:proofErr w:type="spellStart"/>
            <w:r w:rsidRPr="00841BE0">
              <w:rPr>
                <w:sz w:val="22"/>
                <w:szCs w:val="22"/>
              </w:rPr>
              <w:t>empagliflozin</w:t>
            </w:r>
            <w:proofErr w:type="spellEnd"/>
            <w:r w:rsidRPr="00841BE0">
              <w:rPr>
                <w:sz w:val="22"/>
                <w:szCs w:val="22"/>
              </w:rPr>
              <w:t xml:space="preserve"> og har behov for yderligere glykæmisk kontrol, kan dosis øges til 25 mg.</w:t>
            </w:r>
          </w:p>
        </w:tc>
      </w:tr>
      <w:tr w:rsidR="00841BE0" w:rsidRPr="00841BE0" w14:paraId="6383331E" w14:textId="77777777" w:rsidTr="00503DFB">
        <w:trPr>
          <w:trHeight w:val="705"/>
        </w:trPr>
        <w:tc>
          <w:tcPr>
            <w:tcW w:w="1028" w:type="pct"/>
            <w:tcBorders>
              <w:top w:val="single" w:sz="4" w:space="0" w:color="000000"/>
              <w:left w:val="single" w:sz="4" w:space="0" w:color="000000"/>
              <w:bottom w:val="single" w:sz="4" w:space="0" w:color="000000"/>
              <w:right w:val="single" w:sz="4" w:space="0" w:color="000000"/>
            </w:tcBorders>
            <w:hideMark/>
          </w:tcPr>
          <w:p w14:paraId="36FCB77A" w14:textId="77777777" w:rsidR="00841BE0" w:rsidRPr="00841BE0" w:rsidRDefault="00841BE0" w:rsidP="00503DFB">
            <w:pPr>
              <w:ind w:left="32"/>
              <w:rPr>
                <w:sz w:val="22"/>
                <w:szCs w:val="22"/>
                <w:lang w:val="en-GB"/>
              </w:rPr>
            </w:pPr>
            <w:r w:rsidRPr="00841BE0">
              <w:rPr>
                <w:sz w:val="22"/>
                <w:szCs w:val="22"/>
                <w:lang w:val="en-GB"/>
              </w:rPr>
              <w:t xml:space="preserve">45 </w:t>
            </w:r>
            <w:proofErr w:type="spellStart"/>
            <w:proofErr w:type="gramStart"/>
            <w:r w:rsidRPr="00841BE0">
              <w:rPr>
                <w:sz w:val="22"/>
                <w:szCs w:val="22"/>
                <w:lang w:val="en-GB"/>
              </w:rPr>
              <w:t>til</w:t>
            </w:r>
            <w:proofErr w:type="spellEnd"/>
            <w:proofErr w:type="gramEnd"/>
            <w:r w:rsidRPr="00841BE0">
              <w:rPr>
                <w:sz w:val="22"/>
                <w:szCs w:val="22"/>
                <w:lang w:val="en-GB"/>
              </w:rPr>
              <w:t xml:space="preserve"> &lt; 60</w:t>
            </w:r>
          </w:p>
        </w:tc>
        <w:tc>
          <w:tcPr>
            <w:tcW w:w="2114" w:type="pct"/>
            <w:tcBorders>
              <w:top w:val="single" w:sz="4" w:space="0" w:color="000000"/>
              <w:left w:val="single" w:sz="4" w:space="0" w:color="000000"/>
              <w:bottom w:val="single" w:sz="4" w:space="0" w:color="000000"/>
              <w:right w:val="single" w:sz="4" w:space="0" w:color="000000"/>
            </w:tcBorders>
            <w:hideMark/>
          </w:tcPr>
          <w:p w14:paraId="181781BD" w14:textId="77777777" w:rsidR="00841BE0" w:rsidRPr="00841BE0" w:rsidRDefault="00841BE0" w:rsidP="00503DFB">
            <w:pPr>
              <w:ind w:left="32"/>
              <w:rPr>
                <w:sz w:val="22"/>
                <w:szCs w:val="22"/>
              </w:rPr>
            </w:pPr>
            <w:r w:rsidRPr="00841BE0">
              <w:rPr>
                <w:sz w:val="22"/>
                <w:szCs w:val="22"/>
              </w:rPr>
              <w:t>Den maksimale daglige dosis er 2.000 mg</w:t>
            </w:r>
          </w:p>
          <w:p w14:paraId="58D8EEE6" w14:textId="77777777" w:rsidR="00841BE0" w:rsidRPr="00841BE0" w:rsidRDefault="00841BE0" w:rsidP="00503DFB">
            <w:pPr>
              <w:ind w:left="32"/>
              <w:rPr>
                <w:sz w:val="22"/>
                <w:szCs w:val="22"/>
              </w:rPr>
            </w:pPr>
            <w:r w:rsidRPr="00841BE0">
              <w:rPr>
                <w:sz w:val="22"/>
                <w:szCs w:val="22"/>
              </w:rPr>
              <w:t>Startdosis er højst halvdelen af den maksimale dosis.</w:t>
            </w:r>
          </w:p>
        </w:tc>
        <w:tc>
          <w:tcPr>
            <w:tcW w:w="1858" w:type="pct"/>
            <w:tcBorders>
              <w:top w:val="single" w:sz="4" w:space="0" w:color="000000"/>
              <w:left w:val="single" w:sz="4" w:space="0" w:color="000000"/>
              <w:bottom w:val="single" w:sz="4" w:space="0" w:color="000000"/>
              <w:right w:val="single" w:sz="4" w:space="0" w:color="000000"/>
            </w:tcBorders>
            <w:hideMark/>
          </w:tcPr>
          <w:p w14:paraId="1551D316" w14:textId="77777777" w:rsidR="00841BE0" w:rsidRPr="00841BE0" w:rsidRDefault="00841BE0" w:rsidP="00503DFB">
            <w:pPr>
              <w:ind w:left="32"/>
              <w:rPr>
                <w:sz w:val="22"/>
                <w:szCs w:val="22"/>
              </w:rPr>
            </w:pPr>
            <w:r w:rsidRPr="00841BE0">
              <w:rPr>
                <w:sz w:val="22"/>
                <w:szCs w:val="22"/>
              </w:rPr>
              <w:t>Initiér med 10 </w:t>
            </w:r>
            <w:proofErr w:type="spellStart"/>
            <w:proofErr w:type="gramStart"/>
            <w:r w:rsidRPr="00841BE0">
              <w:rPr>
                <w:sz w:val="22"/>
                <w:szCs w:val="22"/>
              </w:rPr>
              <w:t>mg.</w:t>
            </w:r>
            <w:r w:rsidRPr="00841BE0">
              <w:rPr>
                <w:sz w:val="22"/>
                <w:szCs w:val="22"/>
                <w:vertAlign w:val="superscript"/>
              </w:rPr>
              <w:t>b</w:t>
            </w:r>
            <w:proofErr w:type="spellEnd"/>
            <w:proofErr w:type="gramEnd"/>
          </w:p>
          <w:p w14:paraId="7F1BAB2F" w14:textId="77777777" w:rsidR="00841BE0" w:rsidRPr="00841BE0" w:rsidRDefault="00841BE0" w:rsidP="00503DFB">
            <w:pPr>
              <w:ind w:left="32"/>
              <w:rPr>
                <w:sz w:val="22"/>
                <w:szCs w:val="22"/>
              </w:rPr>
            </w:pPr>
            <w:r w:rsidRPr="00841BE0">
              <w:rPr>
                <w:sz w:val="22"/>
                <w:szCs w:val="22"/>
              </w:rPr>
              <w:t xml:space="preserve">Fortsæt med 10 mg hos patienter, der allerede tager </w:t>
            </w:r>
            <w:proofErr w:type="spellStart"/>
            <w:r w:rsidRPr="00841BE0">
              <w:rPr>
                <w:sz w:val="22"/>
                <w:szCs w:val="22"/>
              </w:rPr>
              <w:t>empagliflozin</w:t>
            </w:r>
            <w:proofErr w:type="spellEnd"/>
            <w:r w:rsidRPr="00841BE0">
              <w:rPr>
                <w:sz w:val="22"/>
                <w:szCs w:val="22"/>
              </w:rPr>
              <w:t>.</w:t>
            </w:r>
          </w:p>
        </w:tc>
      </w:tr>
      <w:tr w:rsidR="00841BE0" w:rsidRPr="00841BE0" w14:paraId="04D5AE51" w14:textId="77777777" w:rsidTr="00503DFB">
        <w:trPr>
          <w:trHeight w:val="787"/>
        </w:trPr>
        <w:tc>
          <w:tcPr>
            <w:tcW w:w="1028" w:type="pct"/>
            <w:tcBorders>
              <w:top w:val="single" w:sz="4" w:space="0" w:color="000000"/>
              <w:left w:val="single" w:sz="4" w:space="0" w:color="000000"/>
              <w:bottom w:val="single" w:sz="4" w:space="0" w:color="000000"/>
              <w:right w:val="single" w:sz="4" w:space="0" w:color="000000"/>
            </w:tcBorders>
            <w:hideMark/>
          </w:tcPr>
          <w:p w14:paraId="3B4CE848" w14:textId="77777777" w:rsidR="00841BE0" w:rsidRPr="00841BE0" w:rsidRDefault="00841BE0" w:rsidP="00503DFB">
            <w:pPr>
              <w:ind w:left="32"/>
              <w:rPr>
                <w:sz w:val="22"/>
                <w:szCs w:val="22"/>
                <w:lang w:val="en-GB"/>
              </w:rPr>
            </w:pPr>
            <w:r w:rsidRPr="00841BE0">
              <w:rPr>
                <w:sz w:val="22"/>
                <w:szCs w:val="22"/>
                <w:lang w:val="en-GB"/>
              </w:rPr>
              <w:t xml:space="preserve">30 </w:t>
            </w:r>
            <w:proofErr w:type="spellStart"/>
            <w:proofErr w:type="gramStart"/>
            <w:r w:rsidRPr="00841BE0">
              <w:rPr>
                <w:sz w:val="22"/>
                <w:szCs w:val="22"/>
                <w:lang w:val="en-GB"/>
              </w:rPr>
              <w:t>til</w:t>
            </w:r>
            <w:proofErr w:type="spellEnd"/>
            <w:proofErr w:type="gramEnd"/>
            <w:r w:rsidRPr="00841BE0">
              <w:rPr>
                <w:sz w:val="22"/>
                <w:szCs w:val="22"/>
                <w:lang w:val="en-GB"/>
              </w:rPr>
              <w:t xml:space="preserve"> &lt; 45</w:t>
            </w:r>
          </w:p>
        </w:tc>
        <w:tc>
          <w:tcPr>
            <w:tcW w:w="2114" w:type="pct"/>
            <w:tcBorders>
              <w:top w:val="single" w:sz="4" w:space="0" w:color="000000"/>
              <w:left w:val="single" w:sz="4" w:space="0" w:color="000000"/>
              <w:bottom w:val="single" w:sz="4" w:space="0" w:color="000000"/>
              <w:right w:val="single" w:sz="4" w:space="0" w:color="000000"/>
            </w:tcBorders>
            <w:hideMark/>
          </w:tcPr>
          <w:p w14:paraId="1077D898" w14:textId="77777777" w:rsidR="00841BE0" w:rsidRPr="00841BE0" w:rsidRDefault="00841BE0" w:rsidP="00503DFB">
            <w:pPr>
              <w:ind w:left="32"/>
              <w:rPr>
                <w:sz w:val="22"/>
                <w:szCs w:val="22"/>
              </w:rPr>
            </w:pPr>
            <w:r w:rsidRPr="00841BE0">
              <w:rPr>
                <w:sz w:val="22"/>
                <w:szCs w:val="22"/>
              </w:rPr>
              <w:t>Den maksimale daglige dosis er 1.000 mg</w:t>
            </w:r>
          </w:p>
          <w:p w14:paraId="60BCE8CD" w14:textId="77777777" w:rsidR="00841BE0" w:rsidRPr="00841BE0" w:rsidRDefault="00841BE0" w:rsidP="00503DFB">
            <w:pPr>
              <w:ind w:left="32"/>
              <w:rPr>
                <w:sz w:val="22"/>
                <w:szCs w:val="22"/>
              </w:rPr>
            </w:pPr>
            <w:r w:rsidRPr="00841BE0">
              <w:rPr>
                <w:sz w:val="22"/>
                <w:szCs w:val="22"/>
              </w:rPr>
              <w:t>Startdosen er højst halvdelen af den maksimale dosis.</w:t>
            </w:r>
          </w:p>
        </w:tc>
        <w:tc>
          <w:tcPr>
            <w:tcW w:w="1858" w:type="pct"/>
            <w:tcBorders>
              <w:top w:val="single" w:sz="4" w:space="0" w:color="000000"/>
              <w:left w:val="single" w:sz="4" w:space="0" w:color="000000"/>
              <w:bottom w:val="single" w:sz="4" w:space="0" w:color="000000"/>
              <w:right w:val="single" w:sz="4" w:space="0" w:color="000000"/>
            </w:tcBorders>
            <w:hideMark/>
          </w:tcPr>
          <w:p w14:paraId="4A3BF968" w14:textId="77777777" w:rsidR="00841BE0" w:rsidRPr="00841BE0" w:rsidRDefault="00841BE0" w:rsidP="00503DFB">
            <w:pPr>
              <w:ind w:left="32"/>
              <w:rPr>
                <w:sz w:val="22"/>
                <w:szCs w:val="22"/>
              </w:rPr>
            </w:pPr>
            <w:r w:rsidRPr="00841BE0">
              <w:rPr>
                <w:sz w:val="22"/>
                <w:szCs w:val="22"/>
              </w:rPr>
              <w:t>Initiér med 10 </w:t>
            </w:r>
            <w:proofErr w:type="spellStart"/>
            <w:proofErr w:type="gramStart"/>
            <w:r w:rsidRPr="00841BE0">
              <w:rPr>
                <w:sz w:val="22"/>
                <w:szCs w:val="22"/>
              </w:rPr>
              <w:t>mg.</w:t>
            </w:r>
            <w:r w:rsidRPr="00841BE0">
              <w:rPr>
                <w:sz w:val="22"/>
                <w:szCs w:val="22"/>
                <w:vertAlign w:val="superscript"/>
              </w:rPr>
              <w:t>b</w:t>
            </w:r>
            <w:proofErr w:type="spellEnd"/>
            <w:proofErr w:type="gramEnd"/>
          </w:p>
          <w:p w14:paraId="79DBEB10" w14:textId="77777777" w:rsidR="00841BE0" w:rsidRPr="00841BE0" w:rsidRDefault="00841BE0" w:rsidP="00503DFB">
            <w:pPr>
              <w:ind w:left="32"/>
              <w:rPr>
                <w:sz w:val="22"/>
                <w:szCs w:val="22"/>
              </w:rPr>
            </w:pPr>
            <w:r w:rsidRPr="00841BE0">
              <w:rPr>
                <w:sz w:val="22"/>
                <w:szCs w:val="22"/>
              </w:rPr>
              <w:t xml:space="preserve">Fortsæt med 10 mg hos patienter, der allerede tager </w:t>
            </w:r>
            <w:proofErr w:type="spellStart"/>
            <w:proofErr w:type="gramStart"/>
            <w:r w:rsidRPr="00841BE0">
              <w:rPr>
                <w:sz w:val="22"/>
                <w:szCs w:val="22"/>
              </w:rPr>
              <w:t>empagliflozin.</w:t>
            </w:r>
            <w:r w:rsidRPr="00841BE0">
              <w:rPr>
                <w:sz w:val="22"/>
                <w:szCs w:val="22"/>
                <w:vertAlign w:val="superscript"/>
              </w:rPr>
              <w:t>b</w:t>
            </w:r>
            <w:proofErr w:type="spellEnd"/>
            <w:proofErr w:type="gramEnd"/>
          </w:p>
        </w:tc>
      </w:tr>
      <w:tr w:rsidR="00841BE0" w:rsidRPr="00841BE0" w14:paraId="3F3FDA29" w14:textId="77777777" w:rsidTr="00503DFB">
        <w:trPr>
          <w:trHeight w:val="251"/>
        </w:trPr>
        <w:tc>
          <w:tcPr>
            <w:tcW w:w="1028" w:type="pct"/>
            <w:tcBorders>
              <w:top w:val="single" w:sz="4" w:space="0" w:color="000000"/>
              <w:left w:val="single" w:sz="4" w:space="0" w:color="000000"/>
              <w:bottom w:val="single" w:sz="4" w:space="0" w:color="000000"/>
              <w:right w:val="single" w:sz="4" w:space="0" w:color="000000"/>
            </w:tcBorders>
            <w:hideMark/>
          </w:tcPr>
          <w:p w14:paraId="148D0350" w14:textId="77777777" w:rsidR="00841BE0" w:rsidRPr="00841BE0" w:rsidRDefault="00841BE0" w:rsidP="00503DFB">
            <w:pPr>
              <w:ind w:left="32"/>
              <w:rPr>
                <w:sz w:val="22"/>
                <w:szCs w:val="22"/>
                <w:lang w:val="en-GB"/>
              </w:rPr>
            </w:pPr>
            <w:r w:rsidRPr="00841BE0">
              <w:rPr>
                <w:sz w:val="22"/>
                <w:szCs w:val="22"/>
                <w:lang w:val="en-GB"/>
              </w:rPr>
              <w:t>&lt; 30</w:t>
            </w:r>
          </w:p>
        </w:tc>
        <w:tc>
          <w:tcPr>
            <w:tcW w:w="2114" w:type="pct"/>
            <w:tcBorders>
              <w:top w:val="single" w:sz="4" w:space="0" w:color="000000"/>
              <w:left w:val="single" w:sz="4" w:space="0" w:color="000000"/>
              <w:bottom w:val="single" w:sz="4" w:space="0" w:color="000000"/>
              <w:right w:val="single" w:sz="4" w:space="0" w:color="000000"/>
            </w:tcBorders>
            <w:hideMark/>
          </w:tcPr>
          <w:p w14:paraId="00C4DC26" w14:textId="77777777" w:rsidR="00841BE0" w:rsidRPr="00841BE0" w:rsidRDefault="00841BE0" w:rsidP="00503DFB">
            <w:pPr>
              <w:ind w:left="32"/>
              <w:rPr>
                <w:sz w:val="22"/>
                <w:szCs w:val="22"/>
                <w:lang w:val="en-GB"/>
              </w:rPr>
            </w:pPr>
            <w:r w:rsidRPr="00841BE0">
              <w:rPr>
                <w:sz w:val="22"/>
                <w:szCs w:val="22"/>
                <w:lang w:val="en-GB"/>
              </w:rPr>
              <w:t xml:space="preserve">Metformin er </w:t>
            </w:r>
            <w:proofErr w:type="spellStart"/>
            <w:r w:rsidRPr="00841BE0">
              <w:rPr>
                <w:sz w:val="22"/>
                <w:szCs w:val="22"/>
                <w:lang w:val="en-GB"/>
              </w:rPr>
              <w:t>kontraindiceret</w:t>
            </w:r>
            <w:proofErr w:type="spellEnd"/>
            <w:r w:rsidRPr="00841BE0">
              <w:rPr>
                <w:sz w:val="22"/>
                <w:szCs w:val="22"/>
                <w:lang w:val="en-GB"/>
              </w:rPr>
              <w:t>.</w:t>
            </w:r>
          </w:p>
        </w:tc>
        <w:tc>
          <w:tcPr>
            <w:tcW w:w="1858" w:type="pct"/>
            <w:tcBorders>
              <w:top w:val="single" w:sz="4" w:space="0" w:color="000000"/>
              <w:left w:val="single" w:sz="4" w:space="0" w:color="000000"/>
              <w:bottom w:val="single" w:sz="4" w:space="0" w:color="000000"/>
              <w:right w:val="single" w:sz="4" w:space="0" w:color="000000"/>
            </w:tcBorders>
            <w:hideMark/>
          </w:tcPr>
          <w:p w14:paraId="1B3E473E" w14:textId="77777777" w:rsidR="00841BE0" w:rsidRPr="00841BE0" w:rsidRDefault="00841BE0" w:rsidP="00503DFB">
            <w:pPr>
              <w:ind w:left="32"/>
              <w:rPr>
                <w:sz w:val="22"/>
                <w:szCs w:val="22"/>
                <w:lang w:val="en-GB"/>
              </w:rPr>
            </w:pPr>
            <w:r w:rsidRPr="00841BE0">
              <w:rPr>
                <w:sz w:val="22"/>
                <w:szCs w:val="22"/>
                <w:lang w:val="en-GB"/>
              </w:rPr>
              <w:t xml:space="preserve">Empagliflozin </w:t>
            </w:r>
            <w:proofErr w:type="spellStart"/>
            <w:r w:rsidRPr="00841BE0">
              <w:rPr>
                <w:sz w:val="22"/>
                <w:szCs w:val="22"/>
                <w:lang w:val="en-GB"/>
              </w:rPr>
              <w:t>frarådes</w:t>
            </w:r>
            <w:proofErr w:type="spellEnd"/>
            <w:r w:rsidRPr="00841BE0">
              <w:rPr>
                <w:sz w:val="22"/>
                <w:szCs w:val="22"/>
                <w:lang w:val="en-GB"/>
              </w:rPr>
              <w:t>.</w:t>
            </w:r>
          </w:p>
        </w:tc>
      </w:tr>
    </w:tbl>
    <w:p w14:paraId="0FA12490" w14:textId="44A41E70" w:rsidR="00841BE0" w:rsidRPr="00841BE0" w:rsidRDefault="00841BE0" w:rsidP="00503DFB">
      <w:pPr>
        <w:ind w:left="284" w:hanging="284"/>
        <w:rPr>
          <w:sz w:val="24"/>
          <w:szCs w:val="24"/>
        </w:rPr>
      </w:pPr>
      <w:r w:rsidRPr="00841BE0">
        <w:rPr>
          <w:sz w:val="24"/>
          <w:szCs w:val="24"/>
          <w:vertAlign w:val="superscript"/>
        </w:rPr>
        <w:t>a</w:t>
      </w:r>
      <w:r w:rsidRPr="00841BE0">
        <w:rPr>
          <w:sz w:val="24"/>
          <w:szCs w:val="24"/>
        </w:rPr>
        <w:t xml:space="preserve"> </w:t>
      </w:r>
      <w:r w:rsidR="00503DFB" w:rsidRPr="003D3B2F">
        <w:rPr>
          <w:sz w:val="24"/>
          <w:szCs w:val="24"/>
        </w:rPr>
        <w:tab/>
      </w:r>
      <w:r w:rsidRPr="00841BE0">
        <w:rPr>
          <w:sz w:val="24"/>
          <w:szCs w:val="24"/>
        </w:rPr>
        <w:t>Se pkt. 4.4, 4.8, 5.1 og 5.2</w:t>
      </w:r>
    </w:p>
    <w:p w14:paraId="34045306" w14:textId="673096C3" w:rsidR="00841BE0" w:rsidRPr="00841BE0" w:rsidRDefault="00841BE0" w:rsidP="00503DFB">
      <w:pPr>
        <w:ind w:left="284" w:hanging="284"/>
        <w:rPr>
          <w:sz w:val="24"/>
          <w:szCs w:val="24"/>
        </w:rPr>
      </w:pPr>
      <w:r w:rsidRPr="00841BE0">
        <w:rPr>
          <w:sz w:val="24"/>
          <w:szCs w:val="24"/>
          <w:vertAlign w:val="superscript"/>
        </w:rPr>
        <w:t>b</w:t>
      </w:r>
      <w:r w:rsidRPr="00841BE0">
        <w:rPr>
          <w:sz w:val="24"/>
          <w:szCs w:val="24"/>
        </w:rPr>
        <w:t xml:space="preserve"> </w:t>
      </w:r>
      <w:r w:rsidR="00503DFB" w:rsidRPr="003D3B2F">
        <w:rPr>
          <w:sz w:val="24"/>
          <w:szCs w:val="24"/>
        </w:rPr>
        <w:tab/>
      </w:r>
      <w:r w:rsidRPr="00841BE0">
        <w:rPr>
          <w:sz w:val="24"/>
          <w:szCs w:val="24"/>
        </w:rPr>
        <w:t>patienter med type 2-diabetes mellitus og kendt kardiovaskulær sygdom</w:t>
      </w:r>
    </w:p>
    <w:p w14:paraId="24F1D530" w14:textId="77777777" w:rsidR="00841BE0" w:rsidRPr="00841BE0" w:rsidRDefault="00841BE0" w:rsidP="00841BE0">
      <w:pPr>
        <w:tabs>
          <w:tab w:val="left" w:pos="851"/>
        </w:tabs>
        <w:ind w:left="851"/>
        <w:rPr>
          <w:sz w:val="24"/>
          <w:szCs w:val="24"/>
        </w:rPr>
      </w:pPr>
    </w:p>
    <w:p w14:paraId="6C8C5B44" w14:textId="77777777" w:rsidR="00841BE0" w:rsidRPr="00841BE0" w:rsidRDefault="00841BE0" w:rsidP="00503DFB">
      <w:pPr>
        <w:ind w:left="851"/>
        <w:rPr>
          <w:i/>
          <w:sz w:val="24"/>
          <w:szCs w:val="24"/>
        </w:rPr>
      </w:pPr>
      <w:r w:rsidRPr="00841BE0">
        <w:rPr>
          <w:i/>
          <w:sz w:val="24"/>
          <w:szCs w:val="24"/>
        </w:rPr>
        <w:t>Nedsat leverfunktion</w:t>
      </w:r>
    </w:p>
    <w:p w14:paraId="5F962ED2" w14:textId="77777777" w:rsidR="00841BE0" w:rsidRPr="00841BE0" w:rsidRDefault="00841BE0" w:rsidP="00503DFB">
      <w:pPr>
        <w:ind w:left="851"/>
        <w:rPr>
          <w:sz w:val="24"/>
          <w:szCs w:val="24"/>
        </w:rPr>
      </w:pPr>
      <w:r w:rsidRPr="00841BE0">
        <w:rPr>
          <w:sz w:val="24"/>
          <w:szCs w:val="24"/>
        </w:rPr>
        <w:t>Dette lægemiddel må ikke bruges til patienter med nedsat leverfunktion (se pkt. 4.3, 4.4 og 5.2).</w:t>
      </w:r>
    </w:p>
    <w:p w14:paraId="1F8F1684" w14:textId="77777777" w:rsidR="00841BE0" w:rsidRPr="00841BE0" w:rsidRDefault="00841BE0" w:rsidP="00503DFB">
      <w:pPr>
        <w:ind w:left="851"/>
        <w:rPr>
          <w:sz w:val="24"/>
          <w:szCs w:val="24"/>
        </w:rPr>
      </w:pPr>
    </w:p>
    <w:p w14:paraId="4F5F92D4" w14:textId="77777777" w:rsidR="00841BE0" w:rsidRPr="00841BE0" w:rsidRDefault="00841BE0" w:rsidP="00503DFB">
      <w:pPr>
        <w:ind w:left="851"/>
        <w:rPr>
          <w:i/>
          <w:sz w:val="24"/>
          <w:szCs w:val="24"/>
        </w:rPr>
      </w:pPr>
      <w:r w:rsidRPr="00841BE0">
        <w:rPr>
          <w:i/>
          <w:sz w:val="24"/>
          <w:szCs w:val="24"/>
        </w:rPr>
        <w:t>Ældre</w:t>
      </w:r>
    </w:p>
    <w:p w14:paraId="2090B6CB" w14:textId="28445168" w:rsidR="00841BE0" w:rsidRPr="00841BE0" w:rsidRDefault="00841BE0" w:rsidP="00503DFB">
      <w:pPr>
        <w:ind w:left="851"/>
        <w:rPr>
          <w:sz w:val="24"/>
          <w:szCs w:val="24"/>
        </w:rPr>
      </w:pPr>
      <w:r w:rsidRPr="00841BE0">
        <w:rPr>
          <w:sz w:val="24"/>
          <w:szCs w:val="24"/>
        </w:rPr>
        <w:t xml:space="preserve">På grund af virkningsmekanismen er </w:t>
      </w:r>
      <w:proofErr w:type="spellStart"/>
      <w:r w:rsidRPr="00841BE0">
        <w:rPr>
          <w:sz w:val="24"/>
          <w:szCs w:val="24"/>
        </w:rPr>
        <w:t>empagliflozins</w:t>
      </w:r>
      <w:proofErr w:type="spellEnd"/>
      <w:r w:rsidRPr="00841BE0">
        <w:rPr>
          <w:sz w:val="24"/>
          <w:szCs w:val="24"/>
        </w:rPr>
        <w:t xml:space="preserve"> glykæmiske virkning reduceret ved nedsat nyrefunktion. Da </w:t>
      </w:r>
      <w:proofErr w:type="spellStart"/>
      <w:r w:rsidRPr="00841BE0">
        <w:rPr>
          <w:sz w:val="24"/>
          <w:szCs w:val="24"/>
        </w:rPr>
        <w:t>metformin</w:t>
      </w:r>
      <w:proofErr w:type="spellEnd"/>
      <w:r w:rsidRPr="00841BE0">
        <w:rPr>
          <w:sz w:val="24"/>
          <w:szCs w:val="24"/>
        </w:rPr>
        <w:t xml:space="preserve"> udskilles gennem nyrerne, og da ældre patienter er mere tilbøjelige til at have nedsat nyrefunktion, skal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 xml:space="preserve"> bruges med forsigtighed. Kontrol af nyrefunktionen er (især hos ældre) nødvendig for at forhindre </w:t>
      </w:r>
      <w:proofErr w:type="spellStart"/>
      <w:r w:rsidRPr="00841BE0">
        <w:rPr>
          <w:sz w:val="24"/>
          <w:szCs w:val="24"/>
        </w:rPr>
        <w:t>metformin</w:t>
      </w:r>
      <w:proofErr w:type="spellEnd"/>
      <w:r w:rsidRPr="00841BE0">
        <w:rPr>
          <w:sz w:val="24"/>
          <w:szCs w:val="24"/>
        </w:rPr>
        <w:t xml:space="preserve">-associeret laktatacidose (se pkt. 4.3 og 4.4). Hos patienter på 75 år og derover skal der tages højde for den øgede risiko for </w:t>
      </w:r>
      <w:proofErr w:type="spellStart"/>
      <w:r w:rsidRPr="00841BE0">
        <w:rPr>
          <w:sz w:val="24"/>
          <w:szCs w:val="24"/>
        </w:rPr>
        <w:t>volumendepletering</w:t>
      </w:r>
      <w:proofErr w:type="spellEnd"/>
      <w:r w:rsidRPr="00841BE0">
        <w:rPr>
          <w:sz w:val="24"/>
          <w:szCs w:val="24"/>
        </w:rPr>
        <w:t xml:space="preserve"> (se pkt. 4.4 og 4.8).</w:t>
      </w:r>
    </w:p>
    <w:p w14:paraId="6AC1532C" w14:textId="77777777" w:rsidR="00841BE0" w:rsidRPr="00841BE0" w:rsidRDefault="00841BE0" w:rsidP="00503DFB">
      <w:pPr>
        <w:ind w:left="851"/>
        <w:rPr>
          <w:sz w:val="24"/>
          <w:szCs w:val="24"/>
        </w:rPr>
      </w:pPr>
    </w:p>
    <w:p w14:paraId="15A0BF7D" w14:textId="77777777" w:rsidR="00841BE0" w:rsidRPr="00841BE0" w:rsidRDefault="00841BE0" w:rsidP="00503DFB">
      <w:pPr>
        <w:ind w:left="851"/>
        <w:rPr>
          <w:i/>
          <w:sz w:val="24"/>
          <w:szCs w:val="24"/>
        </w:rPr>
      </w:pPr>
      <w:r w:rsidRPr="00841BE0">
        <w:rPr>
          <w:i/>
          <w:sz w:val="24"/>
          <w:szCs w:val="24"/>
        </w:rPr>
        <w:t>Pædiatrisk population</w:t>
      </w:r>
    </w:p>
    <w:p w14:paraId="52DEE597" w14:textId="77777777" w:rsidR="00841BE0" w:rsidRPr="00841BE0" w:rsidRDefault="00841BE0" w:rsidP="00503DFB">
      <w:pPr>
        <w:ind w:left="851"/>
        <w:rPr>
          <w:sz w:val="24"/>
          <w:szCs w:val="24"/>
        </w:rPr>
      </w:pPr>
      <w:r w:rsidRPr="00841BE0">
        <w:rPr>
          <w:sz w:val="24"/>
          <w:szCs w:val="24"/>
        </w:rPr>
        <w:t xml:space="preserve">Doseringen skal tilpasses individuelt på baggrund af patientens aktuelle regime, effektivitet og </w:t>
      </w:r>
      <w:proofErr w:type="spellStart"/>
      <w:r w:rsidRPr="00841BE0">
        <w:rPr>
          <w:sz w:val="24"/>
          <w:szCs w:val="24"/>
        </w:rPr>
        <w:t>tolerabilitet</w:t>
      </w:r>
      <w:proofErr w:type="spellEnd"/>
      <w:r w:rsidRPr="00841BE0">
        <w:rPr>
          <w:sz w:val="24"/>
          <w:szCs w:val="24"/>
        </w:rPr>
        <w:t>.</w:t>
      </w:r>
    </w:p>
    <w:p w14:paraId="4C1AC120" w14:textId="77777777" w:rsidR="00841BE0" w:rsidRPr="00841BE0" w:rsidRDefault="00841BE0" w:rsidP="00503DFB">
      <w:pPr>
        <w:ind w:left="851"/>
        <w:rPr>
          <w:sz w:val="24"/>
          <w:szCs w:val="24"/>
        </w:rPr>
      </w:pPr>
      <w:r w:rsidRPr="00841BE0">
        <w:rPr>
          <w:sz w:val="24"/>
          <w:szCs w:val="24"/>
        </w:rPr>
        <w:t xml:space="preserve">Hvis der tilføjes </w:t>
      </w:r>
      <w:proofErr w:type="spellStart"/>
      <w:r w:rsidRPr="00841BE0">
        <w:rPr>
          <w:sz w:val="24"/>
          <w:szCs w:val="24"/>
        </w:rPr>
        <w:t>empagliflozin</w:t>
      </w:r>
      <w:proofErr w:type="spellEnd"/>
      <w:r w:rsidRPr="00841BE0">
        <w:rPr>
          <w:sz w:val="24"/>
          <w:szCs w:val="24"/>
        </w:rPr>
        <w:t xml:space="preserve"> til behandlingen hos patienter, der allerede får </w:t>
      </w:r>
      <w:proofErr w:type="spellStart"/>
      <w:r w:rsidRPr="00841BE0">
        <w:rPr>
          <w:sz w:val="24"/>
          <w:szCs w:val="24"/>
        </w:rPr>
        <w:t>metformin</w:t>
      </w:r>
      <w:proofErr w:type="spellEnd"/>
      <w:r w:rsidRPr="00841BE0">
        <w:rPr>
          <w:sz w:val="24"/>
          <w:szCs w:val="24"/>
        </w:rPr>
        <w:t xml:space="preserve">, bør </w:t>
      </w:r>
      <w:proofErr w:type="spellStart"/>
      <w:r w:rsidRPr="00841BE0">
        <w:rPr>
          <w:sz w:val="24"/>
          <w:szCs w:val="24"/>
        </w:rPr>
        <w:t>metformindosis</w:t>
      </w:r>
      <w:proofErr w:type="spellEnd"/>
      <w:r w:rsidRPr="00841BE0">
        <w:rPr>
          <w:sz w:val="24"/>
          <w:szCs w:val="24"/>
        </w:rPr>
        <w:t xml:space="preserve"> forblive den samme, som </w:t>
      </w:r>
      <w:proofErr w:type="gramStart"/>
      <w:r w:rsidRPr="00841BE0">
        <w:rPr>
          <w:sz w:val="24"/>
          <w:szCs w:val="24"/>
        </w:rPr>
        <w:t>den patienten</w:t>
      </w:r>
      <w:proofErr w:type="gramEnd"/>
      <w:r w:rsidRPr="00841BE0">
        <w:rPr>
          <w:sz w:val="24"/>
          <w:szCs w:val="24"/>
        </w:rPr>
        <w:t xml:space="preserve"> allerede tager. Den anbefalede </w:t>
      </w:r>
      <w:proofErr w:type="spellStart"/>
      <w:r w:rsidRPr="00841BE0">
        <w:rPr>
          <w:sz w:val="24"/>
          <w:szCs w:val="24"/>
        </w:rPr>
        <w:t>empagliflozinstartdosis</w:t>
      </w:r>
      <w:proofErr w:type="spellEnd"/>
      <w:r w:rsidRPr="00841BE0">
        <w:rPr>
          <w:sz w:val="24"/>
          <w:szCs w:val="24"/>
        </w:rPr>
        <w:t xml:space="preserve"> er 5 mg to gange dagligt (10 mg samlet daglig dosis). Hos patienter, der tåler </w:t>
      </w:r>
      <w:proofErr w:type="spellStart"/>
      <w:r w:rsidRPr="00841BE0">
        <w:rPr>
          <w:sz w:val="24"/>
          <w:szCs w:val="24"/>
        </w:rPr>
        <w:t>empagliflozin</w:t>
      </w:r>
      <w:proofErr w:type="spellEnd"/>
      <w:r w:rsidRPr="00841BE0">
        <w:rPr>
          <w:sz w:val="24"/>
          <w:szCs w:val="24"/>
        </w:rPr>
        <w:t xml:space="preserve"> 5 mg to gange dagligt, og har behov for yderligere glykæmisk kontrol, kan dosen øges til 12,5 mg to gange dagligt (25 mg samlet daglig dosis).</w:t>
      </w:r>
    </w:p>
    <w:p w14:paraId="396FB859" w14:textId="3934C776" w:rsidR="00841BE0" w:rsidRPr="00841BE0" w:rsidRDefault="00841BE0" w:rsidP="00503DFB">
      <w:pPr>
        <w:ind w:left="851"/>
        <w:rPr>
          <w:sz w:val="24"/>
          <w:szCs w:val="24"/>
        </w:rPr>
      </w:pPr>
      <w:r w:rsidRPr="00841BE0">
        <w:rPr>
          <w:sz w:val="24"/>
          <w:szCs w:val="24"/>
        </w:rPr>
        <w:t xml:space="preserve">Hvis patienterne skifter fra separate tabletter med </w:t>
      </w:r>
      <w:proofErr w:type="spellStart"/>
      <w:r w:rsidRPr="00841BE0">
        <w:rPr>
          <w:sz w:val="24"/>
          <w:szCs w:val="24"/>
        </w:rPr>
        <w:t>empagliflozin</w:t>
      </w:r>
      <w:proofErr w:type="spellEnd"/>
      <w:r w:rsidRPr="00841BE0">
        <w:rPr>
          <w:sz w:val="24"/>
          <w:szCs w:val="24"/>
        </w:rPr>
        <w:t xml:space="preserve"> og </w:t>
      </w:r>
      <w:proofErr w:type="spellStart"/>
      <w:r w:rsidRPr="00841BE0">
        <w:rPr>
          <w:sz w:val="24"/>
          <w:szCs w:val="24"/>
        </w:rPr>
        <w:t>metformin</w:t>
      </w:r>
      <w:proofErr w:type="spellEnd"/>
      <w:r w:rsidRPr="00841BE0">
        <w:rPr>
          <w:sz w:val="24"/>
          <w:szCs w:val="24"/>
        </w:rPr>
        <w:t xml:space="preserve"> til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 xml:space="preserve">, bør den daglige dosis af </w:t>
      </w:r>
      <w:proofErr w:type="spellStart"/>
      <w:r w:rsidRPr="00841BE0">
        <w:rPr>
          <w:sz w:val="24"/>
          <w:szCs w:val="24"/>
        </w:rPr>
        <w:t>empagliflozin</w:t>
      </w:r>
      <w:proofErr w:type="spellEnd"/>
      <w:r w:rsidRPr="00841BE0">
        <w:rPr>
          <w:sz w:val="24"/>
          <w:szCs w:val="24"/>
        </w:rPr>
        <w:t xml:space="preserve"> og </w:t>
      </w:r>
      <w:proofErr w:type="spellStart"/>
      <w:r w:rsidRPr="00841BE0">
        <w:rPr>
          <w:sz w:val="24"/>
          <w:szCs w:val="24"/>
        </w:rPr>
        <w:t>metformin</w:t>
      </w:r>
      <w:proofErr w:type="spellEnd"/>
      <w:r w:rsidRPr="00841BE0">
        <w:rPr>
          <w:sz w:val="24"/>
          <w:szCs w:val="24"/>
        </w:rPr>
        <w:t xml:space="preserve"> forblive den samme, som den der allerede tages, eller den nærmeste behandlingsmæssigt egnede dosis </w:t>
      </w:r>
      <w:proofErr w:type="spellStart"/>
      <w:r w:rsidRPr="00841BE0">
        <w:rPr>
          <w:sz w:val="24"/>
          <w:szCs w:val="24"/>
        </w:rPr>
        <w:t>metformin</w:t>
      </w:r>
      <w:proofErr w:type="spellEnd"/>
      <w:r w:rsidRPr="00841BE0">
        <w:rPr>
          <w:sz w:val="24"/>
          <w:szCs w:val="24"/>
        </w:rPr>
        <w:t>.</w:t>
      </w:r>
    </w:p>
    <w:p w14:paraId="0E00125D" w14:textId="4EF8600D" w:rsidR="00841BE0" w:rsidRPr="00841BE0" w:rsidRDefault="00841BE0" w:rsidP="00503DFB">
      <w:pPr>
        <w:ind w:left="851"/>
        <w:rPr>
          <w:sz w:val="24"/>
          <w:szCs w:val="24"/>
        </w:rPr>
      </w:pPr>
      <w:r w:rsidRPr="00841BE0">
        <w:rPr>
          <w:sz w:val="24"/>
          <w:szCs w:val="24"/>
        </w:rPr>
        <w:t xml:space="preserve">Den maksimale anbefalede daglige dosis af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 xml:space="preserve"> er 25 mg </w:t>
      </w:r>
      <w:proofErr w:type="spellStart"/>
      <w:r w:rsidRPr="00841BE0">
        <w:rPr>
          <w:sz w:val="24"/>
          <w:szCs w:val="24"/>
        </w:rPr>
        <w:t>empagliflozin</w:t>
      </w:r>
      <w:proofErr w:type="spellEnd"/>
      <w:r w:rsidRPr="00841BE0">
        <w:rPr>
          <w:sz w:val="24"/>
          <w:szCs w:val="24"/>
        </w:rPr>
        <w:t xml:space="preserve"> og 2.000 mg </w:t>
      </w:r>
      <w:proofErr w:type="spellStart"/>
      <w:r w:rsidRPr="00841BE0">
        <w:rPr>
          <w:sz w:val="24"/>
          <w:szCs w:val="24"/>
        </w:rPr>
        <w:t>metformin</w:t>
      </w:r>
      <w:proofErr w:type="spellEnd"/>
      <w:r w:rsidRPr="00841BE0">
        <w:rPr>
          <w:sz w:val="24"/>
          <w:szCs w:val="24"/>
        </w:rPr>
        <w:t xml:space="preserve"> (se generelle oplysninger ovenfor i pkt. 4.2).</w:t>
      </w:r>
    </w:p>
    <w:p w14:paraId="33CD4012" w14:textId="77777777" w:rsidR="00841BE0" w:rsidRPr="00841BE0" w:rsidRDefault="00841BE0" w:rsidP="00503DFB">
      <w:pPr>
        <w:ind w:left="851"/>
        <w:rPr>
          <w:sz w:val="24"/>
          <w:szCs w:val="24"/>
        </w:rPr>
      </w:pPr>
    </w:p>
    <w:p w14:paraId="641FB48D" w14:textId="77777777" w:rsidR="00841BE0" w:rsidRPr="00841BE0" w:rsidRDefault="00841BE0" w:rsidP="00503DFB">
      <w:pPr>
        <w:ind w:left="851"/>
        <w:rPr>
          <w:sz w:val="24"/>
          <w:szCs w:val="24"/>
        </w:rPr>
      </w:pPr>
      <w:r w:rsidRPr="00841BE0">
        <w:rPr>
          <w:sz w:val="24"/>
          <w:szCs w:val="24"/>
        </w:rPr>
        <w:t xml:space="preserve">Der foreligger ingen data for børn med </w:t>
      </w:r>
      <w:proofErr w:type="spellStart"/>
      <w:r w:rsidRPr="00841BE0">
        <w:rPr>
          <w:sz w:val="24"/>
          <w:szCs w:val="24"/>
        </w:rPr>
        <w:t>eGFR</w:t>
      </w:r>
      <w:proofErr w:type="spellEnd"/>
      <w:r w:rsidRPr="00841BE0">
        <w:rPr>
          <w:sz w:val="24"/>
          <w:szCs w:val="24"/>
        </w:rPr>
        <w:t xml:space="preserve"> &lt; 60 ml/min/1,73 m² og børn under 10 år.</w:t>
      </w:r>
    </w:p>
    <w:p w14:paraId="2F5E6009" w14:textId="77777777" w:rsidR="00841BE0" w:rsidRPr="00841BE0" w:rsidRDefault="00841BE0" w:rsidP="00503DFB">
      <w:pPr>
        <w:ind w:left="851"/>
        <w:rPr>
          <w:sz w:val="24"/>
          <w:szCs w:val="24"/>
        </w:rPr>
      </w:pPr>
    </w:p>
    <w:p w14:paraId="529718CD" w14:textId="77777777" w:rsidR="00841BE0" w:rsidRPr="00841BE0" w:rsidRDefault="00841BE0" w:rsidP="00503DFB">
      <w:pPr>
        <w:ind w:left="851"/>
        <w:rPr>
          <w:sz w:val="24"/>
          <w:szCs w:val="24"/>
        </w:rPr>
      </w:pPr>
      <w:r w:rsidRPr="00841BE0">
        <w:rPr>
          <w:sz w:val="24"/>
          <w:szCs w:val="24"/>
          <w:u w:val="single"/>
        </w:rPr>
        <w:t>Administration</w:t>
      </w:r>
    </w:p>
    <w:p w14:paraId="099F6105" w14:textId="3C642290" w:rsidR="00841BE0" w:rsidRPr="00841BE0" w:rsidRDefault="00841BE0" w:rsidP="00503DFB">
      <w:pPr>
        <w:ind w:left="851"/>
        <w:rPr>
          <w:sz w:val="24"/>
          <w:szCs w:val="24"/>
        </w:rPr>
      </w:pP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 xml:space="preserve"> tages to gange dagligt i forbindelse med et måltid for at mindske de </w:t>
      </w:r>
      <w:proofErr w:type="spellStart"/>
      <w:r w:rsidRPr="00841BE0">
        <w:rPr>
          <w:sz w:val="24"/>
          <w:szCs w:val="24"/>
        </w:rPr>
        <w:t>gastrointestinale</w:t>
      </w:r>
      <w:proofErr w:type="spellEnd"/>
      <w:r w:rsidRPr="00841BE0">
        <w:rPr>
          <w:sz w:val="24"/>
          <w:szCs w:val="24"/>
        </w:rPr>
        <w:t xml:space="preserve"> bivirkninger af </w:t>
      </w:r>
      <w:proofErr w:type="spellStart"/>
      <w:r w:rsidRPr="00841BE0">
        <w:rPr>
          <w:sz w:val="24"/>
          <w:szCs w:val="24"/>
        </w:rPr>
        <w:t>metformin</w:t>
      </w:r>
      <w:proofErr w:type="spellEnd"/>
      <w:r w:rsidRPr="00841BE0">
        <w:rPr>
          <w:sz w:val="24"/>
          <w:szCs w:val="24"/>
        </w:rPr>
        <w:t>. Tabletterne bør synkes hele sammen med vand. Alle patienter skal fortsætte med deres kostplan, der skal indebære et jævnt indtag af kulhydrater i løbet af dagen. Overvægtige patienter skal fortsætte med deres lavenergikost.</w:t>
      </w:r>
    </w:p>
    <w:p w14:paraId="53920C03" w14:textId="77777777" w:rsidR="009260DE" w:rsidRPr="003D3B2F" w:rsidRDefault="009260DE" w:rsidP="00503DFB">
      <w:pPr>
        <w:ind w:left="851"/>
        <w:rPr>
          <w:sz w:val="24"/>
          <w:szCs w:val="24"/>
        </w:rPr>
      </w:pPr>
    </w:p>
    <w:p w14:paraId="24E3C002" w14:textId="77777777" w:rsidR="009260DE" w:rsidRPr="003D3B2F" w:rsidRDefault="009260DE" w:rsidP="009260DE">
      <w:pPr>
        <w:tabs>
          <w:tab w:val="left" w:pos="851"/>
        </w:tabs>
        <w:ind w:left="851" w:hanging="851"/>
        <w:rPr>
          <w:b/>
          <w:sz w:val="24"/>
          <w:szCs w:val="24"/>
        </w:rPr>
      </w:pPr>
      <w:r w:rsidRPr="003D3B2F">
        <w:rPr>
          <w:b/>
          <w:sz w:val="24"/>
          <w:szCs w:val="24"/>
        </w:rPr>
        <w:t>4.3</w:t>
      </w:r>
      <w:r w:rsidRPr="003D3B2F">
        <w:rPr>
          <w:b/>
          <w:sz w:val="24"/>
          <w:szCs w:val="24"/>
        </w:rPr>
        <w:tab/>
        <w:t>Kontraindikationer</w:t>
      </w:r>
    </w:p>
    <w:p w14:paraId="39EE7AE4" w14:textId="77777777" w:rsidR="00841BE0" w:rsidRPr="00841BE0" w:rsidRDefault="00841BE0" w:rsidP="00503DFB">
      <w:pPr>
        <w:numPr>
          <w:ilvl w:val="0"/>
          <w:numId w:val="6"/>
        </w:numPr>
        <w:ind w:left="1276" w:hanging="425"/>
        <w:rPr>
          <w:sz w:val="24"/>
          <w:szCs w:val="24"/>
        </w:rPr>
      </w:pPr>
      <w:r w:rsidRPr="00841BE0">
        <w:rPr>
          <w:sz w:val="24"/>
          <w:szCs w:val="24"/>
        </w:rPr>
        <w:t>Overfølsomhed over for de aktive stoffer eller over for et eller flere af hjælpestofferne anført i pkt. 6.1.</w:t>
      </w:r>
    </w:p>
    <w:p w14:paraId="0CED4510" w14:textId="77777777" w:rsidR="00841BE0" w:rsidRPr="00841BE0" w:rsidRDefault="00841BE0" w:rsidP="00503DFB">
      <w:pPr>
        <w:numPr>
          <w:ilvl w:val="0"/>
          <w:numId w:val="6"/>
        </w:numPr>
        <w:ind w:left="1276" w:hanging="425"/>
        <w:rPr>
          <w:sz w:val="24"/>
          <w:szCs w:val="24"/>
        </w:rPr>
      </w:pPr>
      <w:r w:rsidRPr="00841BE0">
        <w:rPr>
          <w:sz w:val="24"/>
          <w:szCs w:val="24"/>
        </w:rPr>
        <w:t xml:space="preserve">Enhver type af akut metabolisk acidose (såsom laktatacidose, diabetisk </w:t>
      </w:r>
      <w:proofErr w:type="spellStart"/>
      <w:r w:rsidRPr="00841BE0">
        <w:rPr>
          <w:sz w:val="24"/>
          <w:szCs w:val="24"/>
        </w:rPr>
        <w:t>ketoacidose</w:t>
      </w:r>
      <w:proofErr w:type="spellEnd"/>
      <w:r w:rsidRPr="00841BE0">
        <w:rPr>
          <w:sz w:val="24"/>
          <w:szCs w:val="24"/>
        </w:rPr>
        <w:t>) (se pkt. 4.4).</w:t>
      </w:r>
    </w:p>
    <w:p w14:paraId="057F2E30" w14:textId="77777777" w:rsidR="00841BE0" w:rsidRPr="00841BE0" w:rsidRDefault="00841BE0" w:rsidP="00503DFB">
      <w:pPr>
        <w:numPr>
          <w:ilvl w:val="0"/>
          <w:numId w:val="6"/>
        </w:numPr>
        <w:ind w:left="1276" w:hanging="425"/>
        <w:rPr>
          <w:sz w:val="24"/>
          <w:szCs w:val="24"/>
        </w:rPr>
      </w:pPr>
      <w:r w:rsidRPr="00841BE0">
        <w:rPr>
          <w:sz w:val="24"/>
          <w:szCs w:val="24"/>
        </w:rPr>
        <w:t>Diabetisk prækoma.</w:t>
      </w:r>
    </w:p>
    <w:p w14:paraId="7B1BA3D4" w14:textId="77777777" w:rsidR="00841BE0" w:rsidRPr="00841BE0" w:rsidRDefault="00841BE0" w:rsidP="00503DFB">
      <w:pPr>
        <w:numPr>
          <w:ilvl w:val="0"/>
          <w:numId w:val="6"/>
        </w:numPr>
        <w:ind w:left="1276" w:hanging="425"/>
        <w:rPr>
          <w:sz w:val="24"/>
          <w:szCs w:val="24"/>
        </w:rPr>
      </w:pPr>
      <w:proofErr w:type="gramStart"/>
      <w:r w:rsidRPr="00841BE0">
        <w:rPr>
          <w:sz w:val="24"/>
          <w:szCs w:val="24"/>
        </w:rPr>
        <w:t>Svær nyresvigt</w:t>
      </w:r>
      <w:proofErr w:type="gramEnd"/>
      <w:r w:rsidRPr="00841BE0">
        <w:rPr>
          <w:sz w:val="24"/>
          <w:szCs w:val="24"/>
        </w:rPr>
        <w:t xml:space="preserve"> (</w:t>
      </w:r>
      <w:proofErr w:type="spellStart"/>
      <w:r w:rsidRPr="00841BE0">
        <w:rPr>
          <w:sz w:val="24"/>
          <w:szCs w:val="24"/>
        </w:rPr>
        <w:t>eGFR</w:t>
      </w:r>
      <w:proofErr w:type="spellEnd"/>
      <w:r w:rsidRPr="00841BE0">
        <w:rPr>
          <w:sz w:val="24"/>
          <w:szCs w:val="24"/>
        </w:rPr>
        <w:t xml:space="preserve"> &lt; 30 ml/min/1,73 m</w:t>
      </w:r>
      <w:r w:rsidRPr="00841BE0">
        <w:rPr>
          <w:sz w:val="24"/>
          <w:szCs w:val="24"/>
          <w:vertAlign w:val="superscript"/>
        </w:rPr>
        <w:t>2</w:t>
      </w:r>
      <w:r w:rsidRPr="00841BE0">
        <w:rPr>
          <w:sz w:val="24"/>
          <w:szCs w:val="24"/>
        </w:rPr>
        <w:t>) (se pkt. 4.2 og 4.4).</w:t>
      </w:r>
    </w:p>
    <w:p w14:paraId="6E68E54A" w14:textId="77777777" w:rsidR="00841BE0" w:rsidRPr="00841BE0" w:rsidRDefault="00841BE0" w:rsidP="00503DFB">
      <w:pPr>
        <w:numPr>
          <w:ilvl w:val="0"/>
          <w:numId w:val="6"/>
        </w:numPr>
        <w:ind w:left="1276" w:hanging="425"/>
        <w:rPr>
          <w:sz w:val="24"/>
          <w:szCs w:val="24"/>
        </w:rPr>
      </w:pPr>
      <w:r w:rsidRPr="00841BE0">
        <w:rPr>
          <w:sz w:val="24"/>
          <w:szCs w:val="24"/>
        </w:rPr>
        <w:t xml:space="preserve">Akutte tilstande med risiko for ændring i nyrefunktionen, f.eks. dehydrering, en svær infektion eller </w:t>
      </w:r>
      <w:proofErr w:type="spellStart"/>
      <w:r w:rsidRPr="00841BE0">
        <w:rPr>
          <w:sz w:val="24"/>
          <w:szCs w:val="24"/>
        </w:rPr>
        <w:t>shock</w:t>
      </w:r>
      <w:proofErr w:type="spellEnd"/>
      <w:r w:rsidRPr="00841BE0">
        <w:rPr>
          <w:sz w:val="24"/>
          <w:szCs w:val="24"/>
        </w:rPr>
        <w:t xml:space="preserve"> (se pkt. 4.4 og 4.8).</w:t>
      </w:r>
    </w:p>
    <w:p w14:paraId="493129AA" w14:textId="77777777" w:rsidR="00841BE0" w:rsidRPr="00841BE0" w:rsidRDefault="00841BE0" w:rsidP="00503DFB">
      <w:pPr>
        <w:numPr>
          <w:ilvl w:val="0"/>
          <w:numId w:val="6"/>
        </w:numPr>
        <w:ind w:left="1276" w:hanging="425"/>
        <w:rPr>
          <w:sz w:val="24"/>
          <w:szCs w:val="24"/>
        </w:rPr>
      </w:pPr>
      <w:r w:rsidRPr="00841BE0">
        <w:rPr>
          <w:sz w:val="24"/>
          <w:szCs w:val="24"/>
        </w:rPr>
        <w:t xml:space="preserve">Sygdom, der kan give </w:t>
      </w:r>
      <w:proofErr w:type="spellStart"/>
      <w:r w:rsidRPr="00841BE0">
        <w:rPr>
          <w:sz w:val="24"/>
          <w:szCs w:val="24"/>
        </w:rPr>
        <w:t>vævshypoksi</w:t>
      </w:r>
      <w:proofErr w:type="spellEnd"/>
      <w:r w:rsidRPr="00841BE0">
        <w:rPr>
          <w:sz w:val="24"/>
          <w:szCs w:val="24"/>
        </w:rPr>
        <w:t xml:space="preserve"> (især akut sygdom eller forværring af kronisk sygdom), f.eks. </w:t>
      </w:r>
      <w:proofErr w:type="spellStart"/>
      <w:r w:rsidRPr="00841BE0">
        <w:rPr>
          <w:sz w:val="24"/>
          <w:szCs w:val="24"/>
        </w:rPr>
        <w:t>dekompenseret</w:t>
      </w:r>
      <w:proofErr w:type="spellEnd"/>
      <w:r w:rsidRPr="00841BE0">
        <w:rPr>
          <w:sz w:val="24"/>
          <w:szCs w:val="24"/>
        </w:rPr>
        <w:t xml:space="preserve"> hjertesvigt, respirationssvigt, nyligt myokardieinfarkt eller </w:t>
      </w:r>
      <w:proofErr w:type="spellStart"/>
      <w:r w:rsidRPr="00841BE0">
        <w:rPr>
          <w:sz w:val="24"/>
          <w:szCs w:val="24"/>
        </w:rPr>
        <w:t>shock</w:t>
      </w:r>
      <w:proofErr w:type="spellEnd"/>
      <w:r w:rsidRPr="00841BE0">
        <w:rPr>
          <w:sz w:val="24"/>
          <w:szCs w:val="24"/>
        </w:rPr>
        <w:t xml:space="preserve"> (se pkt. 4.4).</w:t>
      </w:r>
    </w:p>
    <w:p w14:paraId="7E183A3E" w14:textId="77777777" w:rsidR="00841BE0" w:rsidRPr="00841BE0" w:rsidRDefault="00841BE0" w:rsidP="00503DFB">
      <w:pPr>
        <w:numPr>
          <w:ilvl w:val="0"/>
          <w:numId w:val="6"/>
        </w:numPr>
        <w:ind w:left="1276" w:hanging="425"/>
        <w:rPr>
          <w:sz w:val="24"/>
          <w:szCs w:val="24"/>
        </w:rPr>
      </w:pPr>
      <w:r w:rsidRPr="00841BE0">
        <w:rPr>
          <w:sz w:val="24"/>
          <w:szCs w:val="24"/>
        </w:rPr>
        <w:t>Nedsat leverfunktion, akut alkoholforgiftning eller alkoholisme (se pkt. 4.2 og 4.5).</w:t>
      </w:r>
    </w:p>
    <w:p w14:paraId="3C954C11" w14:textId="77777777" w:rsidR="009260DE" w:rsidRPr="003D3B2F" w:rsidRDefault="009260DE" w:rsidP="009260DE">
      <w:pPr>
        <w:tabs>
          <w:tab w:val="left" w:pos="851"/>
        </w:tabs>
        <w:ind w:left="851"/>
        <w:rPr>
          <w:sz w:val="24"/>
          <w:szCs w:val="24"/>
        </w:rPr>
      </w:pPr>
    </w:p>
    <w:p w14:paraId="4693F6B3" w14:textId="77777777" w:rsidR="009260DE" w:rsidRPr="003D3B2F" w:rsidRDefault="009260DE" w:rsidP="009260DE">
      <w:pPr>
        <w:tabs>
          <w:tab w:val="left" w:pos="851"/>
        </w:tabs>
        <w:ind w:left="851" w:hanging="851"/>
        <w:rPr>
          <w:b/>
          <w:sz w:val="24"/>
          <w:szCs w:val="24"/>
        </w:rPr>
      </w:pPr>
      <w:r w:rsidRPr="003D3B2F">
        <w:rPr>
          <w:b/>
          <w:sz w:val="24"/>
          <w:szCs w:val="24"/>
        </w:rPr>
        <w:t>4.4</w:t>
      </w:r>
      <w:r w:rsidRPr="003D3B2F">
        <w:rPr>
          <w:b/>
          <w:sz w:val="24"/>
          <w:szCs w:val="24"/>
        </w:rPr>
        <w:tab/>
        <w:t>Særlige advarsler og forsigtighedsregler vedrørende brugen</w:t>
      </w:r>
    </w:p>
    <w:p w14:paraId="08E00528" w14:textId="77777777" w:rsidR="00595CFD" w:rsidRDefault="00595CFD" w:rsidP="00A3510F">
      <w:pPr>
        <w:ind w:left="851"/>
        <w:rPr>
          <w:sz w:val="24"/>
          <w:szCs w:val="24"/>
          <w:u w:val="single"/>
        </w:rPr>
      </w:pPr>
    </w:p>
    <w:p w14:paraId="7662C2FA" w14:textId="27E4A022" w:rsidR="00841BE0" w:rsidRPr="00841BE0" w:rsidRDefault="00841BE0" w:rsidP="00A3510F">
      <w:pPr>
        <w:ind w:left="851"/>
        <w:rPr>
          <w:sz w:val="24"/>
          <w:szCs w:val="24"/>
          <w:u w:val="single"/>
        </w:rPr>
      </w:pPr>
      <w:r w:rsidRPr="00841BE0">
        <w:rPr>
          <w:sz w:val="24"/>
          <w:szCs w:val="24"/>
          <w:u w:val="single"/>
        </w:rPr>
        <w:t>Generelt</w:t>
      </w:r>
    </w:p>
    <w:p w14:paraId="45DEEABB" w14:textId="2B342466" w:rsidR="00841BE0" w:rsidRPr="00841BE0" w:rsidRDefault="00841BE0" w:rsidP="00A3510F">
      <w:pPr>
        <w:ind w:left="851"/>
        <w:rPr>
          <w:sz w:val="24"/>
          <w:szCs w:val="24"/>
        </w:rPr>
      </w:pPr>
      <w:proofErr w:type="spellStart"/>
      <w:r w:rsidRPr="00841BE0">
        <w:rPr>
          <w:sz w:val="24"/>
          <w:szCs w:val="24"/>
        </w:rPr>
        <w:t>Empagliflozin</w:t>
      </w:r>
      <w:proofErr w:type="spellEnd"/>
      <w:r w:rsidRPr="00841BE0">
        <w:rPr>
          <w:sz w:val="24"/>
          <w:szCs w:val="24"/>
        </w:rPr>
        <w:t xml:space="preserve"> må ikke anvendes til patienter med type 1-diabetes mellitus (se </w:t>
      </w:r>
      <w:r w:rsidR="00595CFD">
        <w:rPr>
          <w:sz w:val="24"/>
          <w:szCs w:val="24"/>
        </w:rPr>
        <w:t>"</w:t>
      </w:r>
      <w:r w:rsidRPr="00841BE0">
        <w:rPr>
          <w:sz w:val="24"/>
          <w:szCs w:val="24"/>
        </w:rPr>
        <w:t xml:space="preserve">Diabetisk </w:t>
      </w:r>
      <w:proofErr w:type="spellStart"/>
      <w:r w:rsidRPr="00841BE0">
        <w:rPr>
          <w:sz w:val="24"/>
          <w:szCs w:val="24"/>
        </w:rPr>
        <w:t>ketoacidose</w:t>
      </w:r>
      <w:proofErr w:type="spellEnd"/>
      <w:r w:rsidR="00595CFD">
        <w:rPr>
          <w:sz w:val="24"/>
          <w:szCs w:val="24"/>
        </w:rPr>
        <w:t>"</w:t>
      </w:r>
      <w:r w:rsidRPr="00841BE0">
        <w:rPr>
          <w:sz w:val="24"/>
          <w:szCs w:val="24"/>
        </w:rPr>
        <w:t xml:space="preserve"> i pkt. 4.4)</w:t>
      </w:r>
    </w:p>
    <w:p w14:paraId="13DFCFCB" w14:textId="77777777" w:rsidR="00841BE0" w:rsidRPr="00841BE0" w:rsidRDefault="00841BE0" w:rsidP="00A3510F">
      <w:pPr>
        <w:ind w:left="851"/>
        <w:rPr>
          <w:sz w:val="24"/>
          <w:szCs w:val="24"/>
        </w:rPr>
      </w:pPr>
    </w:p>
    <w:p w14:paraId="0C3359A5" w14:textId="77777777" w:rsidR="00841BE0" w:rsidRPr="00841BE0" w:rsidRDefault="00841BE0" w:rsidP="00A3510F">
      <w:pPr>
        <w:ind w:left="851"/>
        <w:rPr>
          <w:sz w:val="24"/>
          <w:szCs w:val="24"/>
          <w:u w:val="single"/>
        </w:rPr>
      </w:pPr>
      <w:r w:rsidRPr="00841BE0">
        <w:rPr>
          <w:sz w:val="24"/>
          <w:szCs w:val="24"/>
          <w:u w:val="single"/>
        </w:rPr>
        <w:t>Laktatacidose</w:t>
      </w:r>
    </w:p>
    <w:p w14:paraId="2902B994" w14:textId="77777777" w:rsidR="00841BE0" w:rsidRPr="00841BE0" w:rsidRDefault="00841BE0" w:rsidP="00A3510F">
      <w:pPr>
        <w:ind w:left="851"/>
        <w:rPr>
          <w:sz w:val="24"/>
          <w:szCs w:val="24"/>
        </w:rPr>
      </w:pPr>
      <w:r w:rsidRPr="00841BE0">
        <w:rPr>
          <w:sz w:val="24"/>
          <w:szCs w:val="24"/>
        </w:rPr>
        <w:t xml:space="preserve">Laktatacidose er en meget sjælden, men alvorlig metabolisk komplikation, som oftest indtræder ved akut forværring af nyrefunktionen eller ved </w:t>
      </w:r>
      <w:proofErr w:type="spellStart"/>
      <w:r w:rsidRPr="00841BE0">
        <w:rPr>
          <w:sz w:val="24"/>
          <w:szCs w:val="24"/>
        </w:rPr>
        <w:t>kardiopulmonal</w:t>
      </w:r>
      <w:proofErr w:type="spellEnd"/>
      <w:r w:rsidRPr="00841BE0">
        <w:rPr>
          <w:sz w:val="24"/>
          <w:szCs w:val="24"/>
        </w:rPr>
        <w:t xml:space="preserve"> sygdom eller sepsis. Ved akut forværring af nyrefunktionen akkumuleres </w:t>
      </w:r>
      <w:proofErr w:type="spellStart"/>
      <w:r w:rsidRPr="00841BE0">
        <w:rPr>
          <w:sz w:val="24"/>
          <w:szCs w:val="24"/>
        </w:rPr>
        <w:t>metformin</w:t>
      </w:r>
      <w:proofErr w:type="spellEnd"/>
      <w:r w:rsidRPr="00841BE0">
        <w:rPr>
          <w:sz w:val="24"/>
          <w:szCs w:val="24"/>
        </w:rPr>
        <w:t>, hvilket øger risikoen for laktatacidose.</w:t>
      </w:r>
    </w:p>
    <w:p w14:paraId="689623CD" w14:textId="77777777" w:rsidR="00841BE0" w:rsidRPr="00841BE0" w:rsidRDefault="00841BE0" w:rsidP="00A3510F">
      <w:pPr>
        <w:ind w:left="851"/>
        <w:rPr>
          <w:sz w:val="24"/>
          <w:szCs w:val="24"/>
        </w:rPr>
      </w:pPr>
      <w:r w:rsidRPr="00841BE0">
        <w:rPr>
          <w:sz w:val="24"/>
          <w:szCs w:val="24"/>
        </w:rPr>
        <w:t xml:space="preserve">Patienterne skal informeres om, at i tilfælde af dehydrering (svær diarré eller opkastning, feber eller nedsat væskeindtagelse) skal </w:t>
      </w:r>
      <w:proofErr w:type="spellStart"/>
      <w:r w:rsidRPr="00841BE0">
        <w:rPr>
          <w:sz w:val="24"/>
          <w:szCs w:val="24"/>
        </w:rPr>
        <w:t>metforminbehandlingen</w:t>
      </w:r>
      <w:proofErr w:type="spellEnd"/>
      <w:r w:rsidRPr="00841BE0">
        <w:rPr>
          <w:sz w:val="24"/>
          <w:szCs w:val="24"/>
        </w:rPr>
        <w:t xml:space="preserve"> afbrydes midlertidigt, og at det anbefales, at de kontakter en læge.</w:t>
      </w:r>
    </w:p>
    <w:p w14:paraId="62E862C9" w14:textId="77777777" w:rsidR="00841BE0" w:rsidRPr="00841BE0" w:rsidRDefault="00841BE0" w:rsidP="00A3510F">
      <w:pPr>
        <w:ind w:left="851"/>
        <w:rPr>
          <w:sz w:val="24"/>
          <w:szCs w:val="24"/>
        </w:rPr>
      </w:pPr>
      <w:r w:rsidRPr="00841BE0">
        <w:rPr>
          <w:sz w:val="24"/>
          <w:szCs w:val="24"/>
        </w:rPr>
        <w:t xml:space="preserve">Lægemidler, som kan medføre akut nedsættelse af nyrefunktionen (såsom </w:t>
      </w:r>
      <w:proofErr w:type="spellStart"/>
      <w:r w:rsidRPr="00841BE0">
        <w:rPr>
          <w:sz w:val="24"/>
          <w:szCs w:val="24"/>
        </w:rPr>
        <w:t>antihypertensiva</w:t>
      </w:r>
      <w:proofErr w:type="spellEnd"/>
      <w:r w:rsidRPr="00841BE0">
        <w:rPr>
          <w:sz w:val="24"/>
          <w:szCs w:val="24"/>
        </w:rPr>
        <w:t xml:space="preserve">, </w:t>
      </w:r>
      <w:proofErr w:type="spellStart"/>
      <w:r w:rsidRPr="00841BE0">
        <w:rPr>
          <w:sz w:val="24"/>
          <w:szCs w:val="24"/>
        </w:rPr>
        <w:t>diuretika</w:t>
      </w:r>
      <w:proofErr w:type="spellEnd"/>
      <w:r w:rsidRPr="00841BE0">
        <w:rPr>
          <w:sz w:val="24"/>
          <w:szCs w:val="24"/>
        </w:rPr>
        <w:t xml:space="preserve"> og </w:t>
      </w:r>
      <w:proofErr w:type="spellStart"/>
      <w:r w:rsidRPr="00841BE0">
        <w:rPr>
          <w:sz w:val="24"/>
          <w:szCs w:val="24"/>
        </w:rPr>
        <w:t>NSAID’er</w:t>
      </w:r>
      <w:proofErr w:type="spellEnd"/>
      <w:r w:rsidRPr="00841BE0">
        <w:rPr>
          <w:sz w:val="24"/>
          <w:szCs w:val="24"/>
        </w:rPr>
        <w:t xml:space="preserve">), bør opstartes med forsigtighed hos patienter i behandling med </w:t>
      </w:r>
      <w:proofErr w:type="spellStart"/>
      <w:r w:rsidRPr="00841BE0">
        <w:rPr>
          <w:sz w:val="24"/>
          <w:szCs w:val="24"/>
        </w:rPr>
        <w:t>metformin</w:t>
      </w:r>
      <w:proofErr w:type="spellEnd"/>
      <w:r w:rsidRPr="00841BE0">
        <w:rPr>
          <w:sz w:val="24"/>
          <w:szCs w:val="24"/>
        </w:rPr>
        <w:t xml:space="preserve">. Andre risikofaktorer for laktatacidose omfatter stort alkoholforbrug, leverinsufficiens, utilstrækkeligt kontrolleret diabetes, </w:t>
      </w:r>
      <w:proofErr w:type="spellStart"/>
      <w:r w:rsidRPr="00841BE0">
        <w:rPr>
          <w:sz w:val="24"/>
          <w:szCs w:val="24"/>
        </w:rPr>
        <w:t>ketose</w:t>
      </w:r>
      <w:proofErr w:type="spellEnd"/>
      <w:r w:rsidRPr="00841BE0">
        <w:rPr>
          <w:sz w:val="24"/>
          <w:szCs w:val="24"/>
        </w:rPr>
        <w:t xml:space="preserve">, langvarig faste og enhver tilstand forbundet med </w:t>
      </w:r>
      <w:proofErr w:type="spellStart"/>
      <w:r w:rsidRPr="00841BE0">
        <w:rPr>
          <w:sz w:val="24"/>
          <w:szCs w:val="24"/>
        </w:rPr>
        <w:t>hypoksi</w:t>
      </w:r>
      <w:proofErr w:type="spellEnd"/>
      <w:r w:rsidRPr="00841BE0">
        <w:rPr>
          <w:sz w:val="24"/>
          <w:szCs w:val="24"/>
        </w:rPr>
        <w:t xml:space="preserve"> samt samtidig brug af lægemidler, der kan forårsage laktatacidose (se pkt. 4.3 og 4.5).</w:t>
      </w:r>
    </w:p>
    <w:p w14:paraId="0822A7C4" w14:textId="77777777" w:rsidR="00841BE0" w:rsidRPr="00841BE0" w:rsidRDefault="00841BE0" w:rsidP="00A3510F">
      <w:pPr>
        <w:ind w:left="851"/>
        <w:rPr>
          <w:sz w:val="24"/>
          <w:szCs w:val="24"/>
        </w:rPr>
      </w:pPr>
    </w:p>
    <w:p w14:paraId="348ACF83" w14:textId="77777777" w:rsidR="00841BE0" w:rsidRPr="00841BE0" w:rsidRDefault="00841BE0" w:rsidP="00A3510F">
      <w:pPr>
        <w:ind w:left="851"/>
        <w:rPr>
          <w:sz w:val="24"/>
          <w:szCs w:val="24"/>
        </w:rPr>
      </w:pPr>
      <w:r w:rsidRPr="00841BE0">
        <w:rPr>
          <w:sz w:val="24"/>
          <w:szCs w:val="24"/>
        </w:rPr>
        <w:t xml:space="preserve">Patienter og/eller omsorgspersoner skal informeres om risikoen for laktatacidose. Laktatacidose er kendetegnet ved </w:t>
      </w:r>
      <w:proofErr w:type="spellStart"/>
      <w:r w:rsidRPr="00841BE0">
        <w:rPr>
          <w:sz w:val="24"/>
          <w:szCs w:val="24"/>
        </w:rPr>
        <w:t>acidotisk</w:t>
      </w:r>
      <w:proofErr w:type="spellEnd"/>
      <w:r w:rsidRPr="00841BE0">
        <w:rPr>
          <w:sz w:val="24"/>
          <w:szCs w:val="24"/>
        </w:rPr>
        <w:t xml:space="preserve"> dyspnø, </w:t>
      </w:r>
      <w:proofErr w:type="spellStart"/>
      <w:r w:rsidRPr="00841BE0">
        <w:rPr>
          <w:sz w:val="24"/>
          <w:szCs w:val="24"/>
        </w:rPr>
        <w:t>abdominalsmerter</w:t>
      </w:r>
      <w:proofErr w:type="spellEnd"/>
      <w:r w:rsidRPr="00841BE0">
        <w:rPr>
          <w:sz w:val="24"/>
          <w:szCs w:val="24"/>
        </w:rPr>
        <w:t xml:space="preserve">, muskelkramper, asteni og </w:t>
      </w:r>
      <w:proofErr w:type="spellStart"/>
      <w:r w:rsidRPr="00841BE0">
        <w:rPr>
          <w:sz w:val="24"/>
          <w:szCs w:val="24"/>
        </w:rPr>
        <w:t>hypotermi</w:t>
      </w:r>
      <w:proofErr w:type="spellEnd"/>
      <w:r w:rsidRPr="00841BE0">
        <w:rPr>
          <w:sz w:val="24"/>
          <w:szCs w:val="24"/>
        </w:rPr>
        <w:t xml:space="preserve"> efterfulgt af koma. Patienterne skal informeres om at stoppe med at tage </w:t>
      </w:r>
      <w:proofErr w:type="spellStart"/>
      <w:r w:rsidRPr="00841BE0">
        <w:rPr>
          <w:sz w:val="24"/>
          <w:szCs w:val="24"/>
        </w:rPr>
        <w:t>metformin</w:t>
      </w:r>
      <w:proofErr w:type="spellEnd"/>
      <w:r w:rsidRPr="00841BE0">
        <w:rPr>
          <w:sz w:val="24"/>
          <w:szCs w:val="24"/>
        </w:rPr>
        <w:t xml:space="preserve"> og øjeblikkeligt søge lægehjælp ved symptomer, der kan give mistanke om laktatacidose. Diagnostiske laboratoriefund er nedsat pH i blodet (&lt; 7,35), forhøjet laktatniveau i blodet (&gt; 5 mmol/l) samt øget anion-</w:t>
      </w:r>
      <w:proofErr w:type="spellStart"/>
      <w:r w:rsidRPr="00841BE0">
        <w:rPr>
          <w:sz w:val="24"/>
          <w:szCs w:val="24"/>
        </w:rPr>
        <w:t>gap</w:t>
      </w:r>
      <w:proofErr w:type="spellEnd"/>
      <w:r w:rsidRPr="00841BE0">
        <w:rPr>
          <w:sz w:val="24"/>
          <w:szCs w:val="24"/>
        </w:rPr>
        <w:t xml:space="preserve"> og laktat/pyruvat-ratio.</w:t>
      </w:r>
    </w:p>
    <w:p w14:paraId="4C47AF1A" w14:textId="77777777" w:rsidR="00841BE0" w:rsidRPr="00841BE0" w:rsidRDefault="00841BE0" w:rsidP="00A3510F">
      <w:pPr>
        <w:ind w:left="851"/>
        <w:rPr>
          <w:sz w:val="24"/>
          <w:szCs w:val="24"/>
        </w:rPr>
      </w:pPr>
    </w:p>
    <w:p w14:paraId="75156277" w14:textId="77777777" w:rsidR="00841BE0" w:rsidRPr="00841BE0" w:rsidRDefault="00841BE0" w:rsidP="00A3510F">
      <w:pPr>
        <w:ind w:left="851"/>
        <w:rPr>
          <w:i/>
          <w:iCs/>
          <w:sz w:val="24"/>
          <w:szCs w:val="24"/>
        </w:rPr>
      </w:pPr>
      <w:r w:rsidRPr="00841BE0">
        <w:rPr>
          <w:i/>
          <w:iCs/>
          <w:sz w:val="24"/>
          <w:szCs w:val="24"/>
        </w:rPr>
        <w:t>Patienter med kendte eller formodede mitokondriesygdomme</w:t>
      </w:r>
    </w:p>
    <w:p w14:paraId="506F7042" w14:textId="77777777" w:rsidR="00841BE0" w:rsidRPr="00841BE0" w:rsidRDefault="00841BE0" w:rsidP="00A3510F">
      <w:pPr>
        <w:ind w:left="851"/>
        <w:rPr>
          <w:sz w:val="24"/>
          <w:szCs w:val="24"/>
        </w:rPr>
      </w:pPr>
      <w:r w:rsidRPr="00841BE0">
        <w:rPr>
          <w:sz w:val="24"/>
          <w:szCs w:val="24"/>
        </w:rPr>
        <w:t xml:space="preserve">Hos patienter med kendte mitokondriesygdomme, såsom syndromet </w:t>
      </w:r>
      <w:proofErr w:type="spellStart"/>
      <w:r w:rsidRPr="00841BE0">
        <w:rPr>
          <w:sz w:val="24"/>
          <w:szCs w:val="24"/>
        </w:rPr>
        <w:t>mitokondriel</w:t>
      </w:r>
      <w:proofErr w:type="spellEnd"/>
      <w:r w:rsidRPr="00841BE0">
        <w:rPr>
          <w:sz w:val="24"/>
          <w:szCs w:val="24"/>
        </w:rPr>
        <w:t xml:space="preserve"> encefalopati med laktatacidose og slagtilfælde-lignende episoder (MELAS) og </w:t>
      </w:r>
      <w:proofErr w:type="spellStart"/>
      <w:r w:rsidRPr="00841BE0">
        <w:rPr>
          <w:sz w:val="24"/>
          <w:szCs w:val="24"/>
        </w:rPr>
        <w:t>maternel</w:t>
      </w:r>
      <w:proofErr w:type="spellEnd"/>
      <w:r w:rsidRPr="00841BE0">
        <w:rPr>
          <w:sz w:val="24"/>
          <w:szCs w:val="24"/>
        </w:rPr>
        <w:t xml:space="preserve"> arvelig diabetes og døvhed (MIDD), frarådes </w:t>
      </w:r>
      <w:proofErr w:type="spellStart"/>
      <w:r w:rsidRPr="00841BE0">
        <w:rPr>
          <w:sz w:val="24"/>
          <w:szCs w:val="24"/>
        </w:rPr>
        <w:t>metformin</w:t>
      </w:r>
      <w:proofErr w:type="spellEnd"/>
      <w:r w:rsidRPr="00841BE0">
        <w:rPr>
          <w:sz w:val="24"/>
          <w:szCs w:val="24"/>
        </w:rPr>
        <w:t xml:space="preserve"> på grund af risikoen for forværring af laktatacidose og neurologiske komplikationer, som kan føre til forværring af sygdommen.</w:t>
      </w:r>
    </w:p>
    <w:p w14:paraId="5E3265B9" w14:textId="77777777" w:rsidR="00841BE0" w:rsidRPr="00841BE0" w:rsidRDefault="00841BE0" w:rsidP="00A3510F">
      <w:pPr>
        <w:ind w:left="851"/>
        <w:rPr>
          <w:sz w:val="24"/>
          <w:szCs w:val="24"/>
        </w:rPr>
      </w:pPr>
    </w:p>
    <w:p w14:paraId="4E754A90" w14:textId="77777777" w:rsidR="00841BE0" w:rsidRPr="00841BE0" w:rsidRDefault="00841BE0" w:rsidP="00A3510F">
      <w:pPr>
        <w:ind w:left="851"/>
        <w:rPr>
          <w:sz w:val="24"/>
          <w:szCs w:val="24"/>
        </w:rPr>
      </w:pPr>
      <w:r w:rsidRPr="00841BE0">
        <w:rPr>
          <w:sz w:val="24"/>
          <w:szCs w:val="24"/>
        </w:rPr>
        <w:t xml:space="preserve">I tilfælde af tegn og symptomer, der tyder på MELAS-syndrom eller MIDD efter indtagelse af </w:t>
      </w:r>
      <w:proofErr w:type="spellStart"/>
      <w:r w:rsidRPr="00841BE0">
        <w:rPr>
          <w:sz w:val="24"/>
          <w:szCs w:val="24"/>
        </w:rPr>
        <w:t>metformin</w:t>
      </w:r>
      <w:proofErr w:type="spellEnd"/>
      <w:r w:rsidRPr="00841BE0">
        <w:rPr>
          <w:sz w:val="24"/>
          <w:szCs w:val="24"/>
        </w:rPr>
        <w:t xml:space="preserve">, skal behandlingen med </w:t>
      </w:r>
      <w:proofErr w:type="spellStart"/>
      <w:r w:rsidRPr="00841BE0">
        <w:rPr>
          <w:sz w:val="24"/>
          <w:szCs w:val="24"/>
        </w:rPr>
        <w:t>metformin</w:t>
      </w:r>
      <w:proofErr w:type="spellEnd"/>
      <w:r w:rsidRPr="00841BE0">
        <w:rPr>
          <w:sz w:val="24"/>
          <w:szCs w:val="24"/>
        </w:rPr>
        <w:t xml:space="preserve"> straks seponeres, og umiddelbar diagnostisk evaluering udføres.</w:t>
      </w:r>
    </w:p>
    <w:p w14:paraId="04BA66C9" w14:textId="77777777" w:rsidR="00841BE0" w:rsidRPr="00841BE0" w:rsidRDefault="00841BE0" w:rsidP="00A3510F">
      <w:pPr>
        <w:ind w:left="851"/>
        <w:rPr>
          <w:sz w:val="24"/>
          <w:szCs w:val="24"/>
        </w:rPr>
      </w:pPr>
    </w:p>
    <w:p w14:paraId="7E05D2C8" w14:textId="77777777" w:rsidR="00841BE0" w:rsidRPr="00841BE0" w:rsidRDefault="00841BE0" w:rsidP="00A3510F">
      <w:pPr>
        <w:ind w:left="851"/>
        <w:rPr>
          <w:sz w:val="24"/>
          <w:szCs w:val="24"/>
          <w:u w:val="single"/>
        </w:rPr>
      </w:pPr>
      <w:r w:rsidRPr="00841BE0">
        <w:rPr>
          <w:sz w:val="24"/>
          <w:szCs w:val="24"/>
          <w:u w:val="single"/>
        </w:rPr>
        <w:t xml:space="preserve">Diabetisk </w:t>
      </w:r>
      <w:proofErr w:type="spellStart"/>
      <w:r w:rsidRPr="00841BE0">
        <w:rPr>
          <w:sz w:val="24"/>
          <w:szCs w:val="24"/>
          <w:u w:val="single"/>
        </w:rPr>
        <w:t>ketoacidose</w:t>
      </w:r>
      <w:proofErr w:type="spellEnd"/>
    </w:p>
    <w:p w14:paraId="4074317A" w14:textId="77777777" w:rsidR="00841BE0" w:rsidRPr="00841BE0" w:rsidRDefault="00841BE0" w:rsidP="00A3510F">
      <w:pPr>
        <w:ind w:left="851"/>
        <w:rPr>
          <w:sz w:val="24"/>
          <w:szCs w:val="24"/>
        </w:rPr>
      </w:pPr>
      <w:r w:rsidRPr="00841BE0">
        <w:rPr>
          <w:sz w:val="24"/>
          <w:szCs w:val="24"/>
        </w:rPr>
        <w:t xml:space="preserve">Der er rapporteret om sjældne tilfælde af diabetisk </w:t>
      </w:r>
      <w:proofErr w:type="spellStart"/>
      <w:r w:rsidRPr="00841BE0">
        <w:rPr>
          <w:sz w:val="24"/>
          <w:szCs w:val="24"/>
        </w:rPr>
        <w:t>ketoacidose</w:t>
      </w:r>
      <w:proofErr w:type="spellEnd"/>
      <w:r w:rsidRPr="00841BE0">
        <w:rPr>
          <w:sz w:val="24"/>
          <w:szCs w:val="24"/>
        </w:rPr>
        <w:t xml:space="preserve">, herunder livstruende og dødelige tilfælde, hos patienter, der har fået behandling med SGLT2-hæmmere, herunder </w:t>
      </w:r>
      <w:proofErr w:type="spellStart"/>
      <w:r w:rsidRPr="00841BE0">
        <w:rPr>
          <w:sz w:val="24"/>
          <w:szCs w:val="24"/>
        </w:rPr>
        <w:t>empagliflozin</w:t>
      </w:r>
      <w:proofErr w:type="spellEnd"/>
      <w:r w:rsidRPr="00841BE0">
        <w:rPr>
          <w:sz w:val="24"/>
          <w:szCs w:val="24"/>
        </w:rPr>
        <w:t xml:space="preserve">. I en række tilfælde fremstod tilstanden atypisk med kun moderat forhøjet </w:t>
      </w:r>
      <w:proofErr w:type="spellStart"/>
      <w:r w:rsidRPr="00841BE0">
        <w:rPr>
          <w:sz w:val="24"/>
          <w:szCs w:val="24"/>
        </w:rPr>
        <w:t>blodglucose</w:t>
      </w:r>
      <w:proofErr w:type="spellEnd"/>
      <w:r w:rsidRPr="00841BE0">
        <w:rPr>
          <w:sz w:val="24"/>
          <w:szCs w:val="24"/>
        </w:rPr>
        <w:t xml:space="preserve">, under 14 mmol/l (250 mg/dl). Det vides ikke, om der er større sandsynlighed for diabetisk </w:t>
      </w:r>
      <w:proofErr w:type="spellStart"/>
      <w:r w:rsidRPr="00841BE0">
        <w:rPr>
          <w:sz w:val="24"/>
          <w:szCs w:val="24"/>
        </w:rPr>
        <w:t>ketoacidose</w:t>
      </w:r>
      <w:proofErr w:type="spellEnd"/>
      <w:r w:rsidRPr="00841BE0">
        <w:rPr>
          <w:sz w:val="24"/>
          <w:szCs w:val="24"/>
        </w:rPr>
        <w:t xml:space="preserve"> ved højere doser af </w:t>
      </w:r>
      <w:proofErr w:type="spellStart"/>
      <w:r w:rsidRPr="00841BE0">
        <w:rPr>
          <w:sz w:val="24"/>
          <w:szCs w:val="24"/>
        </w:rPr>
        <w:t>empagliflozin</w:t>
      </w:r>
      <w:proofErr w:type="spellEnd"/>
      <w:r w:rsidRPr="00841BE0">
        <w:rPr>
          <w:sz w:val="24"/>
          <w:szCs w:val="24"/>
        </w:rPr>
        <w:t>.</w:t>
      </w:r>
    </w:p>
    <w:p w14:paraId="449AE1AC" w14:textId="77777777" w:rsidR="00841BE0" w:rsidRPr="00841BE0" w:rsidRDefault="00841BE0" w:rsidP="00A3510F">
      <w:pPr>
        <w:ind w:left="851"/>
        <w:rPr>
          <w:sz w:val="24"/>
          <w:szCs w:val="24"/>
        </w:rPr>
      </w:pPr>
    </w:p>
    <w:p w14:paraId="04D060D9" w14:textId="77777777" w:rsidR="00841BE0" w:rsidRPr="00841BE0" w:rsidRDefault="00841BE0" w:rsidP="00A3510F">
      <w:pPr>
        <w:ind w:left="851"/>
        <w:rPr>
          <w:sz w:val="24"/>
          <w:szCs w:val="24"/>
        </w:rPr>
      </w:pPr>
      <w:r w:rsidRPr="00841BE0">
        <w:rPr>
          <w:sz w:val="24"/>
          <w:szCs w:val="24"/>
        </w:rPr>
        <w:t xml:space="preserve">Risikoen for diabetisk </w:t>
      </w:r>
      <w:proofErr w:type="spellStart"/>
      <w:r w:rsidRPr="00841BE0">
        <w:rPr>
          <w:sz w:val="24"/>
          <w:szCs w:val="24"/>
        </w:rPr>
        <w:t>ketoacidose</w:t>
      </w:r>
      <w:proofErr w:type="spellEnd"/>
      <w:r w:rsidRPr="00841BE0">
        <w:rPr>
          <w:sz w:val="24"/>
          <w:szCs w:val="24"/>
        </w:rPr>
        <w:t xml:space="preserve"> skal overvejes ved ikke-specifikke symptomer som f.eks. kvalme, opkastning, anoreksi, </w:t>
      </w:r>
      <w:proofErr w:type="spellStart"/>
      <w:r w:rsidRPr="00841BE0">
        <w:rPr>
          <w:sz w:val="24"/>
          <w:szCs w:val="24"/>
        </w:rPr>
        <w:t>abdominalsmerter</w:t>
      </w:r>
      <w:proofErr w:type="spellEnd"/>
      <w:r w:rsidRPr="00841BE0">
        <w:rPr>
          <w:sz w:val="24"/>
          <w:szCs w:val="24"/>
        </w:rPr>
        <w:t xml:space="preserve">, udtalt tørst, vejrtrækningsbesvær, konfusion, usædvanlig træthed eller søvnighed. Patienterne skal straks tjekkes for </w:t>
      </w:r>
      <w:proofErr w:type="spellStart"/>
      <w:r w:rsidRPr="00841BE0">
        <w:rPr>
          <w:sz w:val="24"/>
          <w:szCs w:val="24"/>
        </w:rPr>
        <w:t>ketoacidose</w:t>
      </w:r>
      <w:proofErr w:type="spellEnd"/>
      <w:r w:rsidRPr="00841BE0">
        <w:rPr>
          <w:sz w:val="24"/>
          <w:szCs w:val="24"/>
        </w:rPr>
        <w:t xml:space="preserve">, hvis de får disse symptomer, uanset </w:t>
      </w:r>
      <w:proofErr w:type="spellStart"/>
      <w:r w:rsidRPr="00841BE0">
        <w:rPr>
          <w:sz w:val="24"/>
          <w:szCs w:val="24"/>
        </w:rPr>
        <w:t>blodglucoseniveau</w:t>
      </w:r>
      <w:proofErr w:type="spellEnd"/>
      <w:r w:rsidRPr="00841BE0">
        <w:rPr>
          <w:sz w:val="24"/>
          <w:szCs w:val="24"/>
        </w:rPr>
        <w:t>.</w:t>
      </w:r>
    </w:p>
    <w:p w14:paraId="492024BF" w14:textId="77777777" w:rsidR="00841BE0" w:rsidRPr="00841BE0" w:rsidRDefault="00841BE0" w:rsidP="00A3510F">
      <w:pPr>
        <w:ind w:left="851"/>
        <w:rPr>
          <w:sz w:val="24"/>
          <w:szCs w:val="24"/>
        </w:rPr>
      </w:pPr>
    </w:p>
    <w:p w14:paraId="712E8AE6" w14:textId="77777777" w:rsidR="00841BE0" w:rsidRPr="00841BE0" w:rsidRDefault="00841BE0" w:rsidP="00A3510F">
      <w:pPr>
        <w:ind w:left="851"/>
        <w:rPr>
          <w:sz w:val="24"/>
          <w:szCs w:val="24"/>
        </w:rPr>
      </w:pPr>
      <w:proofErr w:type="spellStart"/>
      <w:r w:rsidRPr="00841BE0">
        <w:rPr>
          <w:sz w:val="24"/>
          <w:szCs w:val="24"/>
        </w:rPr>
        <w:t>Empagliflozin</w:t>
      </w:r>
      <w:proofErr w:type="spellEnd"/>
      <w:r w:rsidRPr="00841BE0">
        <w:rPr>
          <w:sz w:val="24"/>
          <w:szCs w:val="24"/>
        </w:rPr>
        <w:t xml:space="preserve"> skal straks seponeres hos patienter med formodet eller verificeret diabetisk </w:t>
      </w:r>
      <w:proofErr w:type="spellStart"/>
      <w:r w:rsidRPr="00841BE0">
        <w:rPr>
          <w:sz w:val="24"/>
          <w:szCs w:val="24"/>
        </w:rPr>
        <w:t>ketoacidose</w:t>
      </w:r>
      <w:proofErr w:type="spellEnd"/>
      <w:r w:rsidRPr="00841BE0">
        <w:rPr>
          <w:sz w:val="24"/>
          <w:szCs w:val="24"/>
        </w:rPr>
        <w:t>.</w:t>
      </w:r>
    </w:p>
    <w:p w14:paraId="21939FC1" w14:textId="77777777" w:rsidR="00841BE0" w:rsidRPr="00841BE0" w:rsidRDefault="00841BE0" w:rsidP="00A3510F">
      <w:pPr>
        <w:ind w:left="851"/>
        <w:rPr>
          <w:sz w:val="24"/>
          <w:szCs w:val="24"/>
        </w:rPr>
      </w:pPr>
      <w:r w:rsidRPr="00841BE0">
        <w:rPr>
          <w:sz w:val="24"/>
          <w:szCs w:val="24"/>
        </w:rPr>
        <w:t xml:space="preserve">Behandlingen bør afbrydes hos patienter, som hospitalsindlægges på grund af større operationer eller alvorlige akutte sygdomme. Det anbefales, at disse patienter overvåges for ketonstoffer. Niveauet af ketonstoffer bør måles i blodet snarere end i urinen. Behandlingen med </w:t>
      </w:r>
      <w:proofErr w:type="spellStart"/>
      <w:r w:rsidRPr="00841BE0">
        <w:rPr>
          <w:sz w:val="24"/>
          <w:szCs w:val="24"/>
        </w:rPr>
        <w:t>empagliflozin</w:t>
      </w:r>
      <w:proofErr w:type="spellEnd"/>
      <w:r w:rsidRPr="00841BE0">
        <w:rPr>
          <w:sz w:val="24"/>
          <w:szCs w:val="24"/>
        </w:rPr>
        <w:t xml:space="preserve"> kan genoptages, når ketonstofværdierne er normale, og patientens tilstand er stabiliseret.</w:t>
      </w:r>
    </w:p>
    <w:p w14:paraId="37646EE1" w14:textId="77777777" w:rsidR="00841BE0" w:rsidRPr="00841BE0" w:rsidRDefault="00841BE0" w:rsidP="00A3510F">
      <w:pPr>
        <w:ind w:left="851"/>
        <w:rPr>
          <w:sz w:val="24"/>
          <w:szCs w:val="24"/>
        </w:rPr>
      </w:pPr>
    </w:p>
    <w:p w14:paraId="22FE7752" w14:textId="77777777" w:rsidR="00841BE0" w:rsidRPr="00841BE0" w:rsidRDefault="00841BE0" w:rsidP="00A3510F">
      <w:pPr>
        <w:ind w:left="851"/>
        <w:rPr>
          <w:sz w:val="24"/>
          <w:szCs w:val="24"/>
        </w:rPr>
      </w:pPr>
      <w:r w:rsidRPr="00841BE0">
        <w:rPr>
          <w:sz w:val="24"/>
          <w:szCs w:val="24"/>
        </w:rPr>
        <w:t xml:space="preserve">Inden </w:t>
      </w:r>
      <w:proofErr w:type="spellStart"/>
      <w:r w:rsidRPr="00841BE0">
        <w:rPr>
          <w:sz w:val="24"/>
          <w:szCs w:val="24"/>
        </w:rPr>
        <w:t>empagliflozin</w:t>
      </w:r>
      <w:proofErr w:type="spellEnd"/>
      <w:r w:rsidRPr="00841BE0">
        <w:rPr>
          <w:sz w:val="24"/>
          <w:szCs w:val="24"/>
        </w:rPr>
        <w:t xml:space="preserve">-behandling påbegyndes, skal der tages højde for faktorer i patientens sygehistorie, som kan prædisponere for </w:t>
      </w:r>
      <w:proofErr w:type="spellStart"/>
      <w:r w:rsidRPr="00841BE0">
        <w:rPr>
          <w:sz w:val="24"/>
          <w:szCs w:val="24"/>
        </w:rPr>
        <w:t>ketoacidose</w:t>
      </w:r>
      <w:proofErr w:type="spellEnd"/>
      <w:r w:rsidRPr="00841BE0">
        <w:rPr>
          <w:sz w:val="24"/>
          <w:szCs w:val="24"/>
        </w:rPr>
        <w:t>.</w:t>
      </w:r>
    </w:p>
    <w:p w14:paraId="17344681" w14:textId="77777777" w:rsidR="00841BE0" w:rsidRPr="00841BE0" w:rsidRDefault="00841BE0" w:rsidP="00A3510F">
      <w:pPr>
        <w:ind w:left="851"/>
        <w:rPr>
          <w:sz w:val="24"/>
          <w:szCs w:val="24"/>
        </w:rPr>
      </w:pPr>
    </w:p>
    <w:p w14:paraId="4B8181CD" w14:textId="77777777" w:rsidR="00841BE0" w:rsidRPr="00841BE0" w:rsidRDefault="00841BE0" w:rsidP="00A3510F">
      <w:pPr>
        <w:ind w:left="851"/>
        <w:rPr>
          <w:sz w:val="24"/>
          <w:szCs w:val="24"/>
        </w:rPr>
      </w:pPr>
      <w:r w:rsidRPr="00841BE0">
        <w:rPr>
          <w:sz w:val="24"/>
          <w:szCs w:val="24"/>
        </w:rPr>
        <w:t xml:space="preserve">Langvarig diabetisk </w:t>
      </w:r>
      <w:proofErr w:type="spellStart"/>
      <w:r w:rsidRPr="00841BE0">
        <w:rPr>
          <w:sz w:val="24"/>
          <w:szCs w:val="24"/>
        </w:rPr>
        <w:t>ketoacidose</w:t>
      </w:r>
      <w:proofErr w:type="spellEnd"/>
      <w:r w:rsidRPr="00841BE0">
        <w:rPr>
          <w:sz w:val="24"/>
          <w:szCs w:val="24"/>
        </w:rPr>
        <w:t xml:space="preserve"> og langvarig </w:t>
      </w:r>
      <w:proofErr w:type="spellStart"/>
      <w:r w:rsidRPr="00841BE0">
        <w:rPr>
          <w:sz w:val="24"/>
          <w:szCs w:val="24"/>
        </w:rPr>
        <w:t>glukosuri</w:t>
      </w:r>
      <w:proofErr w:type="spellEnd"/>
      <w:r w:rsidRPr="00841BE0">
        <w:rPr>
          <w:sz w:val="24"/>
          <w:szCs w:val="24"/>
        </w:rPr>
        <w:t xml:space="preserve"> er blevet observeret med </w:t>
      </w:r>
      <w:proofErr w:type="spellStart"/>
      <w:r w:rsidRPr="00841BE0">
        <w:rPr>
          <w:sz w:val="24"/>
          <w:szCs w:val="24"/>
        </w:rPr>
        <w:t>empagliflozin</w:t>
      </w:r>
      <w:proofErr w:type="spellEnd"/>
      <w:r w:rsidRPr="00841BE0">
        <w:rPr>
          <w:sz w:val="24"/>
          <w:szCs w:val="24"/>
        </w:rPr>
        <w:t xml:space="preserve">. Diabetisk </w:t>
      </w:r>
      <w:proofErr w:type="spellStart"/>
      <w:r w:rsidRPr="00841BE0">
        <w:rPr>
          <w:sz w:val="24"/>
          <w:szCs w:val="24"/>
        </w:rPr>
        <w:t>ketoacidose</w:t>
      </w:r>
      <w:proofErr w:type="spellEnd"/>
      <w:r w:rsidRPr="00841BE0">
        <w:rPr>
          <w:sz w:val="24"/>
          <w:szCs w:val="24"/>
        </w:rPr>
        <w:t xml:space="preserve"> kan vare længere efter </w:t>
      </w:r>
      <w:proofErr w:type="spellStart"/>
      <w:r w:rsidRPr="00841BE0">
        <w:rPr>
          <w:sz w:val="24"/>
          <w:szCs w:val="24"/>
        </w:rPr>
        <w:t>seponering</w:t>
      </w:r>
      <w:proofErr w:type="spellEnd"/>
      <w:r w:rsidRPr="00841BE0">
        <w:rPr>
          <w:sz w:val="24"/>
          <w:szCs w:val="24"/>
        </w:rPr>
        <w:t xml:space="preserve"> af </w:t>
      </w:r>
      <w:proofErr w:type="spellStart"/>
      <w:r w:rsidRPr="00841BE0">
        <w:rPr>
          <w:sz w:val="24"/>
          <w:szCs w:val="24"/>
        </w:rPr>
        <w:t>empagliflozin</w:t>
      </w:r>
      <w:proofErr w:type="spellEnd"/>
      <w:r w:rsidRPr="00841BE0">
        <w:rPr>
          <w:sz w:val="24"/>
          <w:szCs w:val="24"/>
        </w:rPr>
        <w:t xml:space="preserve"> end forventet ud fra plasmahalveringstiden (se pkt. 5.2). </w:t>
      </w:r>
      <w:proofErr w:type="spellStart"/>
      <w:r w:rsidRPr="00841BE0">
        <w:rPr>
          <w:sz w:val="24"/>
          <w:szCs w:val="24"/>
        </w:rPr>
        <w:t>Empagliflozin</w:t>
      </w:r>
      <w:proofErr w:type="spellEnd"/>
      <w:r w:rsidRPr="00841BE0">
        <w:rPr>
          <w:sz w:val="24"/>
          <w:szCs w:val="24"/>
        </w:rPr>
        <w:t xml:space="preserve">-uafhængige faktorer, såsom insulinmangel, kan være involveret i længere perioder med diabetisk </w:t>
      </w:r>
      <w:proofErr w:type="spellStart"/>
      <w:r w:rsidRPr="00841BE0">
        <w:rPr>
          <w:sz w:val="24"/>
          <w:szCs w:val="24"/>
        </w:rPr>
        <w:t>ketoacidose</w:t>
      </w:r>
      <w:proofErr w:type="spellEnd"/>
      <w:r w:rsidRPr="00841BE0">
        <w:rPr>
          <w:sz w:val="24"/>
          <w:szCs w:val="24"/>
        </w:rPr>
        <w:t>.</w:t>
      </w:r>
    </w:p>
    <w:p w14:paraId="425D857E" w14:textId="77777777" w:rsidR="00841BE0" w:rsidRPr="00841BE0" w:rsidRDefault="00841BE0" w:rsidP="00A3510F">
      <w:pPr>
        <w:ind w:left="851"/>
        <w:rPr>
          <w:sz w:val="24"/>
          <w:szCs w:val="24"/>
        </w:rPr>
      </w:pPr>
    </w:p>
    <w:p w14:paraId="18D6FB75" w14:textId="77777777" w:rsidR="00841BE0" w:rsidRPr="00841BE0" w:rsidRDefault="00841BE0" w:rsidP="00A3510F">
      <w:pPr>
        <w:ind w:left="851"/>
        <w:rPr>
          <w:sz w:val="24"/>
          <w:szCs w:val="24"/>
        </w:rPr>
      </w:pPr>
      <w:r w:rsidRPr="00841BE0">
        <w:rPr>
          <w:sz w:val="24"/>
          <w:szCs w:val="24"/>
        </w:rPr>
        <w:t xml:space="preserve">Der er forhøjet risiko for diabetisk </w:t>
      </w:r>
      <w:proofErr w:type="spellStart"/>
      <w:r w:rsidRPr="00841BE0">
        <w:rPr>
          <w:sz w:val="24"/>
          <w:szCs w:val="24"/>
        </w:rPr>
        <w:t>ketoacidose</w:t>
      </w:r>
      <w:proofErr w:type="spellEnd"/>
      <w:r w:rsidRPr="00841BE0">
        <w:rPr>
          <w:sz w:val="24"/>
          <w:szCs w:val="24"/>
        </w:rPr>
        <w:t xml:space="preserve"> hos patienter med lav restfunktion af betaceller (f.eks. voksne patienter med type 2-diabetes og lavt C-peptid-niveau eller latent autoimmun diabetes (LADA) eller patienter med </w:t>
      </w:r>
      <w:proofErr w:type="spellStart"/>
      <w:r w:rsidRPr="00841BE0">
        <w:rPr>
          <w:sz w:val="24"/>
          <w:szCs w:val="24"/>
        </w:rPr>
        <w:t>pankreatitis</w:t>
      </w:r>
      <w:proofErr w:type="spellEnd"/>
      <w:r w:rsidRPr="00841BE0">
        <w:rPr>
          <w:sz w:val="24"/>
          <w:szCs w:val="24"/>
        </w:rPr>
        <w:t xml:space="preserve"> i anamnesen), patienter med tilstande, der medfører begrænset fødeindtagelse eller svær dehydrering, patienter, hvis insulindoser er reduceret, samt patienter med øget insulinbehov som følge af akutte medicinske sygdomme, kirurgi eller alkoholmisbrug. SGLT2-hæmmere skal anvendes med forsigtighed hos disse patienter.</w:t>
      </w:r>
    </w:p>
    <w:p w14:paraId="0A797254" w14:textId="77777777" w:rsidR="00841BE0" w:rsidRPr="00841BE0" w:rsidRDefault="00841BE0" w:rsidP="00A3510F">
      <w:pPr>
        <w:ind w:left="851"/>
        <w:rPr>
          <w:sz w:val="24"/>
          <w:szCs w:val="24"/>
        </w:rPr>
      </w:pPr>
    </w:p>
    <w:p w14:paraId="7023A42E" w14:textId="77777777" w:rsidR="00841BE0" w:rsidRPr="00841BE0" w:rsidRDefault="00841BE0" w:rsidP="00A3510F">
      <w:pPr>
        <w:ind w:left="851"/>
        <w:rPr>
          <w:sz w:val="24"/>
          <w:szCs w:val="24"/>
        </w:rPr>
      </w:pPr>
      <w:r w:rsidRPr="00841BE0">
        <w:rPr>
          <w:sz w:val="24"/>
          <w:szCs w:val="24"/>
        </w:rPr>
        <w:t xml:space="preserve">Det frarådes at genoptage behandling med en SGLT2-hæmmer hos patienter, der tidligere har haft diabetisk </w:t>
      </w:r>
      <w:proofErr w:type="spellStart"/>
      <w:r w:rsidRPr="00841BE0">
        <w:rPr>
          <w:sz w:val="24"/>
          <w:szCs w:val="24"/>
        </w:rPr>
        <w:t>ketoacidose</w:t>
      </w:r>
      <w:proofErr w:type="spellEnd"/>
      <w:r w:rsidRPr="00841BE0">
        <w:rPr>
          <w:sz w:val="24"/>
          <w:szCs w:val="24"/>
        </w:rPr>
        <w:t xml:space="preserve"> under behandling med en SGLT2-hæmmer, medmindre en anden uomtvistelig medvirkende faktor identificeres og afhjælpes.</w:t>
      </w:r>
    </w:p>
    <w:p w14:paraId="225E643C" w14:textId="630432D4" w:rsidR="00841BE0" w:rsidRPr="00841BE0" w:rsidRDefault="00841BE0" w:rsidP="00A3510F">
      <w:pPr>
        <w:ind w:left="851"/>
        <w:rPr>
          <w:sz w:val="24"/>
          <w:szCs w:val="24"/>
        </w:rPr>
      </w:pP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 xml:space="preserve"> bør ikke anvendes til patienter med type 1-diabetes. Data fra et klinisk studieprogram hos patienter med type 1-diabetes viste en øget forekomst af diabetisk </w:t>
      </w:r>
      <w:proofErr w:type="spellStart"/>
      <w:r w:rsidRPr="00841BE0">
        <w:rPr>
          <w:sz w:val="24"/>
          <w:szCs w:val="24"/>
        </w:rPr>
        <w:t>ketoacidose</w:t>
      </w:r>
      <w:proofErr w:type="spellEnd"/>
      <w:r w:rsidRPr="00841BE0">
        <w:rPr>
          <w:sz w:val="24"/>
          <w:szCs w:val="24"/>
        </w:rPr>
        <w:t xml:space="preserve"> med en almindelig hyppighed hos patienter i behandling med </w:t>
      </w:r>
      <w:proofErr w:type="spellStart"/>
      <w:r w:rsidRPr="00841BE0">
        <w:rPr>
          <w:sz w:val="24"/>
          <w:szCs w:val="24"/>
        </w:rPr>
        <w:t>empagliflozin</w:t>
      </w:r>
      <w:proofErr w:type="spellEnd"/>
      <w:r w:rsidRPr="00841BE0">
        <w:rPr>
          <w:sz w:val="24"/>
          <w:szCs w:val="24"/>
        </w:rPr>
        <w:t xml:space="preserve"> 10 mg og 25 mg som tillæg til insulin, sammenlignet med placebo.</w:t>
      </w:r>
    </w:p>
    <w:p w14:paraId="1A381E73" w14:textId="77777777" w:rsidR="00841BE0" w:rsidRPr="00841BE0" w:rsidRDefault="00841BE0" w:rsidP="00A3510F">
      <w:pPr>
        <w:ind w:left="851"/>
        <w:rPr>
          <w:sz w:val="24"/>
          <w:szCs w:val="24"/>
        </w:rPr>
      </w:pPr>
    </w:p>
    <w:p w14:paraId="75F4F4A5" w14:textId="77777777" w:rsidR="00841BE0" w:rsidRPr="00841BE0" w:rsidRDefault="00841BE0" w:rsidP="00A3510F">
      <w:pPr>
        <w:ind w:left="851"/>
        <w:rPr>
          <w:sz w:val="24"/>
          <w:szCs w:val="24"/>
          <w:u w:val="single"/>
        </w:rPr>
      </w:pPr>
      <w:r w:rsidRPr="00841BE0">
        <w:rPr>
          <w:sz w:val="24"/>
          <w:szCs w:val="24"/>
          <w:u w:val="single"/>
        </w:rPr>
        <w:t xml:space="preserve">Administration af </w:t>
      </w:r>
      <w:proofErr w:type="spellStart"/>
      <w:r w:rsidRPr="00841BE0">
        <w:rPr>
          <w:sz w:val="24"/>
          <w:szCs w:val="24"/>
          <w:u w:val="single"/>
        </w:rPr>
        <w:t>iodholdige</w:t>
      </w:r>
      <w:proofErr w:type="spellEnd"/>
      <w:r w:rsidRPr="00841BE0">
        <w:rPr>
          <w:sz w:val="24"/>
          <w:szCs w:val="24"/>
          <w:u w:val="single"/>
        </w:rPr>
        <w:t xml:space="preserve"> kontrastmidler</w:t>
      </w:r>
    </w:p>
    <w:p w14:paraId="515A5A19" w14:textId="77777777" w:rsidR="00841BE0" w:rsidRPr="00841BE0" w:rsidRDefault="00841BE0" w:rsidP="00A3510F">
      <w:pPr>
        <w:ind w:left="851"/>
        <w:rPr>
          <w:sz w:val="24"/>
          <w:szCs w:val="24"/>
        </w:rPr>
      </w:pPr>
      <w:r w:rsidRPr="00841BE0">
        <w:rPr>
          <w:sz w:val="24"/>
          <w:szCs w:val="24"/>
        </w:rPr>
        <w:t xml:space="preserve">Intravaskulær administration af </w:t>
      </w:r>
      <w:proofErr w:type="spellStart"/>
      <w:r w:rsidRPr="00841BE0">
        <w:rPr>
          <w:sz w:val="24"/>
          <w:szCs w:val="24"/>
        </w:rPr>
        <w:t>iodholdige</w:t>
      </w:r>
      <w:proofErr w:type="spellEnd"/>
      <w:r w:rsidRPr="00841BE0">
        <w:rPr>
          <w:sz w:val="24"/>
          <w:szCs w:val="24"/>
        </w:rPr>
        <w:t xml:space="preserve"> kontrastmidler kan medføre kontrastinduceret </w:t>
      </w:r>
      <w:proofErr w:type="spellStart"/>
      <w:r w:rsidRPr="00841BE0">
        <w:rPr>
          <w:sz w:val="24"/>
          <w:szCs w:val="24"/>
        </w:rPr>
        <w:t>nefropati</w:t>
      </w:r>
      <w:proofErr w:type="spellEnd"/>
      <w:r w:rsidRPr="00841BE0">
        <w:rPr>
          <w:sz w:val="24"/>
          <w:szCs w:val="24"/>
        </w:rPr>
        <w:t xml:space="preserve">, resulterende i akkumulation af </w:t>
      </w:r>
      <w:proofErr w:type="spellStart"/>
      <w:r w:rsidRPr="00841BE0">
        <w:rPr>
          <w:sz w:val="24"/>
          <w:szCs w:val="24"/>
        </w:rPr>
        <w:t>metformin</w:t>
      </w:r>
      <w:proofErr w:type="spellEnd"/>
      <w:r w:rsidRPr="00841BE0">
        <w:rPr>
          <w:sz w:val="24"/>
          <w:szCs w:val="24"/>
        </w:rPr>
        <w:t xml:space="preserve"> og en øget risiko for laktatacidose. Behandling med </w:t>
      </w:r>
      <w:proofErr w:type="spellStart"/>
      <w:r w:rsidRPr="00841BE0">
        <w:rPr>
          <w:sz w:val="24"/>
          <w:szCs w:val="24"/>
        </w:rPr>
        <w:t>metformin</w:t>
      </w:r>
      <w:proofErr w:type="spellEnd"/>
      <w:r w:rsidRPr="00841BE0">
        <w:rPr>
          <w:sz w:val="24"/>
          <w:szCs w:val="24"/>
        </w:rPr>
        <w:t xml:space="preserve"> skal afbrydes forud for eller på tidspunktet for en billeddiagnostisk procedure og først genoptages efter mindst 48 timer, forudsat at nyrefunktionen er blevet vurderet og fundet stabil (se pkt. 4.2 og 4.5).</w:t>
      </w:r>
    </w:p>
    <w:p w14:paraId="123F4A2D" w14:textId="77777777" w:rsidR="00841BE0" w:rsidRPr="00841BE0" w:rsidRDefault="00841BE0" w:rsidP="00A3510F">
      <w:pPr>
        <w:ind w:left="851"/>
        <w:rPr>
          <w:sz w:val="24"/>
          <w:szCs w:val="24"/>
        </w:rPr>
      </w:pPr>
    </w:p>
    <w:p w14:paraId="210D52B4" w14:textId="77777777" w:rsidR="00841BE0" w:rsidRPr="00841BE0" w:rsidRDefault="00841BE0" w:rsidP="00A3510F">
      <w:pPr>
        <w:ind w:left="851"/>
        <w:rPr>
          <w:sz w:val="24"/>
          <w:szCs w:val="24"/>
          <w:u w:val="single"/>
        </w:rPr>
      </w:pPr>
      <w:r w:rsidRPr="00841BE0">
        <w:rPr>
          <w:sz w:val="24"/>
          <w:szCs w:val="24"/>
          <w:u w:val="single"/>
        </w:rPr>
        <w:t>Nedsat nyrefunktion</w:t>
      </w:r>
    </w:p>
    <w:p w14:paraId="172A7944" w14:textId="77777777" w:rsidR="00841BE0" w:rsidRPr="00841BE0" w:rsidRDefault="00841BE0" w:rsidP="00A3510F">
      <w:pPr>
        <w:ind w:left="851"/>
        <w:rPr>
          <w:sz w:val="24"/>
          <w:szCs w:val="24"/>
          <w:u w:val="single"/>
        </w:rPr>
      </w:pPr>
      <w:r w:rsidRPr="00841BE0">
        <w:rPr>
          <w:sz w:val="24"/>
          <w:szCs w:val="24"/>
        </w:rPr>
        <w:t xml:space="preserve">På grund af virkningsmekanismen er </w:t>
      </w:r>
      <w:proofErr w:type="spellStart"/>
      <w:r w:rsidRPr="00841BE0">
        <w:rPr>
          <w:sz w:val="24"/>
          <w:szCs w:val="24"/>
        </w:rPr>
        <w:t>empagliflozins</w:t>
      </w:r>
      <w:proofErr w:type="spellEnd"/>
      <w:r w:rsidRPr="00841BE0">
        <w:rPr>
          <w:sz w:val="24"/>
          <w:szCs w:val="24"/>
        </w:rPr>
        <w:t xml:space="preserve"> glykæmiske virkning reduceret ved nedsat nyrefunktion.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er kontraindiceret hos patienter med </w:t>
      </w:r>
      <w:proofErr w:type="spellStart"/>
      <w:r w:rsidRPr="00841BE0">
        <w:rPr>
          <w:sz w:val="24"/>
          <w:szCs w:val="24"/>
        </w:rPr>
        <w:t>eGFR</w:t>
      </w:r>
      <w:proofErr w:type="spellEnd"/>
      <w:r w:rsidRPr="00841BE0">
        <w:rPr>
          <w:sz w:val="24"/>
          <w:szCs w:val="24"/>
        </w:rPr>
        <w:t xml:space="preserve"> &lt;</w:t>
      </w:r>
      <w:r w:rsidRPr="00841BE0">
        <w:rPr>
          <w:sz w:val="24"/>
          <w:szCs w:val="24"/>
          <w:u w:val="single"/>
        </w:rPr>
        <w:t> </w:t>
      </w:r>
      <w:r w:rsidRPr="00841BE0">
        <w:rPr>
          <w:sz w:val="24"/>
          <w:szCs w:val="24"/>
        </w:rPr>
        <w:t>30 ml/min/1,73 m</w:t>
      </w:r>
      <w:r w:rsidRPr="00841BE0">
        <w:rPr>
          <w:sz w:val="24"/>
          <w:szCs w:val="24"/>
          <w:vertAlign w:val="superscript"/>
        </w:rPr>
        <w:t>2</w:t>
      </w:r>
      <w:r w:rsidRPr="00841BE0">
        <w:rPr>
          <w:sz w:val="24"/>
          <w:szCs w:val="24"/>
        </w:rPr>
        <w:t>, og behandlingen skal afbrydes midlertidigt ved tilstedeværelse af tilstande, der påvirker nyrefunktionen (se pkt. 4.3).</w:t>
      </w:r>
    </w:p>
    <w:p w14:paraId="537AF02E" w14:textId="77777777" w:rsidR="00841BE0" w:rsidRPr="00841BE0" w:rsidRDefault="00841BE0" w:rsidP="00A3510F">
      <w:pPr>
        <w:ind w:left="851"/>
        <w:rPr>
          <w:sz w:val="24"/>
          <w:szCs w:val="24"/>
        </w:rPr>
      </w:pPr>
    </w:p>
    <w:p w14:paraId="2E5D03AE" w14:textId="77777777" w:rsidR="00841BE0" w:rsidRPr="00841BE0" w:rsidRDefault="00841BE0" w:rsidP="00A3510F">
      <w:pPr>
        <w:ind w:left="851"/>
        <w:rPr>
          <w:sz w:val="24"/>
          <w:szCs w:val="24"/>
          <w:u w:val="single"/>
        </w:rPr>
      </w:pPr>
      <w:r w:rsidRPr="00841BE0">
        <w:rPr>
          <w:sz w:val="24"/>
          <w:szCs w:val="24"/>
          <w:u w:val="single"/>
        </w:rPr>
        <w:t>Monitorering af nyrefunktionen</w:t>
      </w:r>
    </w:p>
    <w:p w14:paraId="4163046D" w14:textId="77777777" w:rsidR="00841BE0" w:rsidRPr="00841BE0" w:rsidRDefault="00841BE0" w:rsidP="00A3510F">
      <w:pPr>
        <w:ind w:left="851"/>
        <w:rPr>
          <w:sz w:val="24"/>
          <w:szCs w:val="24"/>
        </w:rPr>
      </w:pPr>
      <w:r w:rsidRPr="00841BE0">
        <w:rPr>
          <w:sz w:val="24"/>
          <w:szCs w:val="24"/>
        </w:rPr>
        <w:t>Nyrefunktionen bør vurderes som følger:</w:t>
      </w:r>
    </w:p>
    <w:p w14:paraId="0EAD97C0" w14:textId="77777777" w:rsidR="00841BE0" w:rsidRPr="00841BE0" w:rsidRDefault="00841BE0" w:rsidP="00595CFD">
      <w:pPr>
        <w:numPr>
          <w:ilvl w:val="0"/>
          <w:numId w:val="6"/>
        </w:numPr>
        <w:ind w:left="1276" w:hanging="425"/>
        <w:rPr>
          <w:sz w:val="24"/>
          <w:szCs w:val="24"/>
        </w:rPr>
      </w:pPr>
      <w:r w:rsidRPr="00841BE0">
        <w:rPr>
          <w:sz w:val="24"/>
          <w:szCs w:val="24"/>
        </w:rPr>
        <w:t xml:space="preserve">Før initiering af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og periodisk under behandlingen, dvs. mindst én gang om året (se pkt. 4.2).</w:t>
      </w:r>
    </w:p>
    <w:p w14:paraId="34A36589" w14:textId="77777777" w:rsidR="00841BE0" w:rsidRPr="00841BE0" w:rsidRDefault="00841BE0" w:rsidP="00595CFD">
      <w:pPr>
        <w:numPr>
          <w:ilvl w:val="0"/>
          <w:numId w:val="6"/>
        </w:numPr>
        <w:ind w:left="1276" w:hanging="425"/>
        <w:rPr>
          <w:sz w:val="24"/>
          <w:szCs w:val="24"/>
        </w:rPr>
      </w:pPr>
      <w:r w:rsidRPr="00841BE0">
        <w:rPr>
          <w:sz w:val="24"/>
          <w:szCs w:val="24"/>
        </w:rPr>
        <w:t>Før initiering af behandling med et andet lægemiddel, som kan have en negativ virkning på nyrefunktionen.</w:t>
      </w:r>
    </w:p>
    <w:p w14:paraId="7B7B08DD" w14:textId="77777777" w:rsidR="00841BE0" w:rsidRPr="00841BE0" w:rsidRDefault="00841BE0" w:rsidP="00A3510F">
      <w:pPr>
        <w:ind w:left="851"/>
        <w:rPr>
          <w:sz w:val="24"/>
          <w:szCs w:val="24"/>
        </w:rPr>
      </w:pPr>
    </w:p>
    <w:p w14:paraId="3A100D28" w14:textId="77777777" w:rsidR="00841BE0" w:rsidRPr="00841BE0" w:rsidRDefault="00841BE0" w:rsidP="00A3510F">
      <w:pPr>
        <w:ind w:left="851"/>
        <w:rPr>
          <w:sz w:val="24"/>
          <w:szCs w:val="24"/>
          <w:u w:val="single"/>
        </w:rPr>
      </w:pPr>
      <w:r w:rsidRPr="00841BE0">
        <w:rPr>
          <w:sz w:val="24"/>
          <w:szCs w:val="24"/>
          <w:u w:val="single"/>
        </w:rPr>
        <w:t>Hjertefunktion</w:t>
      </w:r>
    </w:p>
    <w:p w14:paraId="14D58F93" w14:textId="4B215C5F" w:rsidR="00841BE0" w:rsidRPr="00841BE0" w:rsidRDefault="00841BE0" w:rsidP="00A3510F">
      <w:pPr>
        <w:ind w:left="851"/>
        <w:rPr>
          <w:sz w:val="24"/>
          <w:szCs w:val="24"/>
        </w:rPr>
      </w:pPr>
      <w:r w:rsidRPr="00841BE0">
        <w:rPr>
          <w:sz w:val="24"/>
          <w:szCs w:val="24"/>
        </w:rPr>
        <w:t xml:space="preserve">Patienter med hjerteinsufficiens har større risiko for </w:t>
      </w:r>
      <w:proofErr w:type="spellStart"/>
      <w:r w:rsidRPr="00841BE0">
        <w:rPr>
          <w:sz w:val="24"/>
          <w:szCs w:val="24"/>
        </w:rPr>
        <w:t>hypoksi</w:t>
      </w:r>
      <w:proofErr w:type="spellEnd"/>
      <w:r w:rsidRPr="00841BE0">
        <w:rPr>
          <w:sz w:val="24"/>
          <w:szCs w:val="24"/>
        </w:rPr>
        <w:t xml:space="preserve"> og nyreinsufficiens.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 xml:space="preserve"> kan gives til patienter med stabil kronisk hjerteinsufficiens, forudsat at hjerte</w:t>
      </w:r>
      <w:r w:rsidRPr="00841BE0">
        <w:rPr>
          <w:sz w:val="24"/>
          <w:szCs w:val="24"/>
        </w:rPr>
        <w:noBreakHyphen/>
        <w:t xml:space="preserve"> og nyrefunktionen monitoreres regelmæssigt.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 xml:space="preserve"> er kontraindiceret hos patienter med akut og ustabilt hjertesvigt (se pkt. 4.3).</w:t>
      </w:r>
    </w:p>
    <w:p w14:paraId="5FF1BE49" w14:textId="77777777" w:rsidR="00841BE0" w:rsidRPr="00841BE0" w:rsidRDefault="00841BE0" w:rsidP="00A3510F">
      <w:pPr>
        <w:ind w:left="851"/>
        <w:rPr>
          <w:sz w:val="24"/>
          <w:szCs w:val="24"/>
        </w:rPr>
      </w:pPr>
    </w:p>
    <w:p w14:paraId="581DE616" w14:textId="77777777" w:rsidR="00841BE0" w:rsidRPr="00841BE0" w:rsidRDefault="00841BE0" w:rsidP="00A3510F">
      <w:pPr>
        <w:ind w:left="851"/>
        <w:rPr>
          <w:sz w:val="24"/>
          <w:szCs w:val="24"/>
          <w:u w:val="single"/>
        </w:rPr>
      </w:pPr>
      <w:r w:rsidRPr="00841BE0">
        <w:rPr>
          <w:sz w:val="24"/>
          <w:szCs w:val="24"/>
          <w:u w:val="single"/>
        </w:rPr>
        <w:t>Kirurgi</w:t>
      </w:r>
    </w:p>
    <w:p w14:paraId="0E10C598" w14:textId="77777777" w:rsidR="00841BE0" w:rsidRPr="00841BE0" w:rsidRDefault="00841BE0" w:rsidP="00A3510F">
      <w:pPr>
        <w:ind w:left="851"/>
        <w:rPr>
          <w:sz w:val="24"/>
          <w:szCs w:val="24"/>
        </w:rPr>
      </w:pPr>
      <w:r w:rsidRPr="00841BE0">
        <w:rPr>
          <w:sz w:val="24"/>
          <w:szCs w:val="24"/>
        </w:rPr>
        <w:t xml:space="preserve">Behandling med </w:t>
      </w:r>
      <w:proofErr w:type="spellStart"/>
      <w:r w:rsidRPr="00841BE0">
        <w:rPr>
          <w:sz w:val="24"/>
          <w:szCs w:val="24"/>
        </w:rPr>
        <w:t>metformin</w:t>
      </w:r>
      <w:proofErr w:type="spellEnd"/>
      <w:r w:rsidRPr="00841BE0">
        <w:rPr>
          <w:sz w:val="24"/>
          <w:szCs w:val="24"/>
        </w:rPr>
        <w:t xml:space="preserve"> skal afbrydes på tidspunktet for kirurgi under generel, spinal eller </w:t>
      </w:r>
      <w:proofErr w:type="spellStart"/>
      <w:r w:rsidRPr="00841BE0">
        <w:rPr>
          <w:sz w:val="24"/>
          <w:szCs w:val="24"/>
        </w:rPr>
        <w:t>epidural</w:t>
      </w:r>
      <w:proofErr w:type="spellEnd"/>
      <w:r w:rsidRPr="00841BE0">
        <w:rPr>
          <w:sz w:val="24"/>
          <w:szCs w:val="24"/>
        </w:rPr>
        <w:t xml:space="preserve"> anæstesi og må tidligst genoptages 48 timer efter kirurgi eller genoptagelse af oral ernæring og under forudsætning af, at nyrefunktionen er blevet vurderet og fundet stabil.</w:t>
      </w:r>
    </w:p>
    <w:p w14:paraId="34790567" w14:textId="77777777" w:rsidR="00841BE0" w:rsidRPr="00841BE0" w:rsidRDefault="00841BE0" w:rsidP="00A3510F">
      <w:pPr>
        <w:ind w:left="851"/>
        <w:rPr>
          <w:sz w:val="24"/>
          <w:szCs w:val="24"/>
        </w:rPr>
      </w:pPr>
    </w:p>
    <w:p w14:paraId="21D10834" w14:textId="77777777" w:rsidR="00841BE0" w:rsidRPr="00841BE0" w:rsidRDefault="00841BE0" w:rsidP="00A3510F">
      <w:pPr>
        <w:ind w:left="851"/>
        <w:rPr>
          <w:sz w:val="24"/>
          <w:szCs w:val="24"/>
          <w:u w:val="single"/>
        </w:rPr>
      </w:pPr>
      <w:r w:rsidRPr="00841BE0">
        <w:rPr>
          <w:sz w:val="24"/>
          <w:szCs w:val="24"/>
          <w:u w:val="single"/>
        </w:rPr>
        <w:t xml:space="preserve">Risiko for </w:t>
      </w:r>
      <w:proofErr w:type="spellStart"/>
      <w:r w:rsidRPr="00841BE0">
        <w:rPr>
          <w:sz w:val="24"/>
          <w:szCs w:val="24"/>
          <w:u w:val="single"/>
        </w:rPr>
        <w:t>volumendepletering</w:t>
      </w:r>
      <w:proofErr w:type="spellEnd"/>
    </w:p>
    <w:p w14:paraId="6B3466D0" w14:textId="77777777" w:rsidR="00841BE0" w:rsidRPr="00841BE0" w:rsidRDefault="00841BE0" w:rsidP="00A3510F">
      <w:pPr>
        <w:ind w:left="851"/>
        <w:rPr>
          <w:sz w:val="24"/>
          <w:szCs w:val="24"/>
        </w:rPr>
      </w:pPr>
      <w:r w:rsidRPr="00841BE0">
        <w:rPr>
          <w:sz w:val="24"/>
          <w:szCs w:val="24"/>
        </w:rPr>
        <w:t xml:space="preserve">Som følge af SGLT2-hæmmeres virkningsmekanisme kan den osmotiske diurese, der ledsager terapeutisk </w:t>
      </w:r>
      <w:proofErr w:type="spellStart"/>
      <w:r w:rsidRPr="00841BE0">
        <w:rPr>
          <w:sz w:val="24"/>
          <w:szCs w:val="24"/>
        </w:rPr>
        <w:t>glukosuri</w:t>
      </w:r>
      <w:proofErr w:type="spellEnd"/>
      <w:r w:rsidRPr="00841BE0">
        <w:rPr>
          <w:sz w:val="24"/>
          <w:szCs w:val="24"/>
        </w:rPr>
        <w:t xml:space="preserve">, medføre et beskedent blodtryksfald (se pkt. 5.1). Der skal derfor udvises forsigtighed hos patienter, hvor </w:t>
      </w:r>
      <w:proofErr w:type="spellStart"/>
      <w:r w:rsidRPr="00841BE0">
        <w:rPr>
          <w:sz w:val="24"/>
          <w:szCs w:val="24"/>
        </w:rPr>
        <w:t>empagliflozin</w:t>
      </w:r>
      <w:proofErr w:type="spellEnd"/>
      <w:r w:rsidRPr="00841BE0">
        <w:rPr>
          <w:sz w:val="24"/>
          <w:szCs w:val="24"/>
        </w:rPr>
        <w:t xml:space="preserve">-induceret blodtryksfald kan udgøre en risiko, f.eks. patienter med kendt hjerte-kar-sygdom, patienter i </w:t>
      </w:r>
      <w:proofErr w:type="spellStart"/>
      <w:r w:rsidRPr="00841BE0">
        <w:rPr>
          <w:sz w:val="24"/>
          <w:szCs w:val="24"/>
        </w:rPr>
        <w:t>antihypertensiv</w:t>
      </w:r>
      <w:proofErr w:type="spellEnd"/>
      <w:r w:rsidRPr="00841BE0">
        <w:rPr>
          <w:sz w:val="24"/>
          <w:szCs w:val="24"/>
        </w:rPr>
        <w:t xml:space="preserve"> behandling og hypotension i anamnesen eller patienter på 75 år og derover.</w:t>
      </w:r>
    </w:p>
    <w:p w14:paraId="5459350B" w14:textId="43416741" w:rsidR="00841BE0" w:rsidRPr="00841BE0" w:rsidRDefault="00841BE0" w:rsidP="00A3510F">
      <w:pPr>
        <w:ind w:left="851"/>
        <w:rPr>
          <w:sz w:val="24"/>
          <w:szCs w:val="24"/>
        </w:rPr>
      </w:pPr>
      <w:r w:rsidRPr="00841BE0">
        <w:rPr>
          <w:sz w:val="24"/>
          <w:szCs w:val="24"/>
        </w:rPr>
        <w:t xml:space="preserve">Hos patienter, der får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 xml:space="preserve">, og med tilstande, hvor der er risiko for væsketab (f.eks. mave-tarm-sygdom), anbefales omhyggelig kontrol af volumenstatus (f.eks. objektiv undersøgelse, blodtryksmålinger, laboratorieundersøgelser inkl. hæmatokrit) og elektrolytter. Det skal overvejes at seponere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 xml:space="preserve"> midlertidigt, indtil væsketabet er korrigeret.</w:t>
      </w:r>
    </w:p>
    <w:p w14:paraId="7D54CE05" w14:textId="77777777" w:rsidR="00841BE0" w:rsidRPr="00841BE0" w:rsidRDefault="00841BE0" w:rsidP="00A3510F">
      <w:pPr>
        <w:ind w:left="851"/>
        <w:rPr>
          <w:sz w:val="24"/>
          <w:szCs w:val="24"/>
        </w:rPr>
      </w:pPr>
    </w:p>
    <w:p w14:paraId="39708CA7" w14:textId="77777777" w:rsidR="00841BE0" w:rsidRPr="00841BE0" w:rsidRDefault="00841BE0" w:rsidP="00A3510F">
      <w:pPr>
        <w:ind w:left="851"/>
        <w:rPr>
          <w:sz w:val="24"/>
          <w:szCs w:val="24"/>
          <w:u w:val="single"/>
        </w:rPr>
      </w:pPr>
      <w:r w:rsidRPr="00841BE0">
        <w:rPr>
          <w:sz w:val="24"/>
          <w:szCs w:val="24"/>
          <w:u w:val="single"/>
        </w:rPr>
        <w:t>Ældre</w:t>
      </w:r>
    </w:p>
    <w:p w14:paraId="2DD0BFCE" w14:textId="77777777" w:rsidR="00841BE0" w:rsidRPr="00841BE0" w:rsidRDefault="00841BE0" w:rsidP="00A3510F">
      <w:pPr>
        <w:ind w:left="851"/>
        <w:rPr>
          <w:sz w:val="24"/>
          <w:szCs w:val="24"/>
        </w:rPr>
      </w:pPr>
      <w:proofErr w:type="spellStart"/>
      <w:r w:rsidRPr="00841BE0">
        <w:rPr>
          <w:sz w:val="24"/>
          <w:szCs w:val="24"/>
        </w:rPr>
        <w:t>Empagliflozins</w:t>
      </w:r>
      <w:proofErr w:type="spellEnd"/>
      <w:r w:rsidRPr="00841BE0">
        <w:rPr>
          <w:sz w:val="24"/>
          <w:szCs w:val="24"/>
        </w:rPr>
        <w:t xml:space="preserve"> virkning på udskillelsen af </w:t>
      </w:r>
      <w:proofErr w:type="spellStart"/>
      <w:r w:rsidRPr="00841BE0">
        <w:rPr>
          <w:sz w:val="24"/>
          <w:szCs w:val="24"/>
        </w:rPr>
        <w:t>glucose</w:t>
      </w:r>
      <w:proofErr w:type="spellEnd"/>
      <w:r w:rsidRPr="00841BE0">
        <w:rPr>
          <w:sz w:val="24"/>
          <w:szCs w:val="24"/>
        </w:rPr>
        <w:t xml:space="preserve"> i urinen er forbundet med osmotisk diurese, hvilket kan påvirke patientens hydreringsstatus. Patienter på 75 år og derover kan have øget risiko for </w:t>
      </w:r>
      <w:proofErr w:type="spellStart"/>
      <w:r w:rsidRPr="00841BE0">
        <w:rPr>
          <w:sz w:val="24"/>
          <w:szCs w:val="24"/>
        </w:rPr>
        <w:t>volumendepletering</w:t>
      </w:r>
      <w:proofErr w:type="spellEnd"/>
      <w:r w:rsidRPr="00841BE0">
        <w:rPr>
          <w:sz w:val="24"/>
          <w:szCs w:val="24"/>
        </w:rPr>
        <w:t xml:space="preserve">. Ved samtidig administration af lægemidler, der kan medføre </w:t>
      </w:r>
      <w:proofErr w:type="spellStart"/>
      <w:r w:rsidRPr="00841BE0">
        <w:rPr>
          <w:sz w:val="24"/>
          <w:szCs w:val="24"/>
        </w:rPr>
        <w:t>volumendepletering</w:t>
      </w:r>
      <w:proofErr w:type="spellEnd"/>
      <w:r w:rsidRPr="00841BE0">
        <w:rPr>
          <w:sz w:val="24"/>
          <w:szCs w:val="24"/>
        </w:rPr>
        <w:t xml:space="preserve"> (f.eks. </w:t>
      </w:r>
      <w:proofErr w:type="spellStart"/>
      <w:r w:rsidRPr="00841BE0">
        <w:rPr>
          <w:sz w:val="24"/>
          <w:szCs w:val="24"/>
        </w:rPr>
        <w:t>diuretika</w:t>
      </w:r>
      <w:proofErr w:type="spellEnd"/>
      <w:r w:rsidRPr="00841BE0">
        <w:rPr>
          <w:sz w:val="24"/>
          <w:szCs w:val="24"/>
        </w:rPr>
        <w:t>, ACE-</w:t>
      </w:r>
      <w:proofErr w:type="spellStart"/>
      <w:r w:rsidRPr="00841BE0">
        <w:rPr>
          <w:sz w:val="24"/>
          <w:szCs w:val="24"/>
        </w:rPr>
        <w:t>hæmmere</w:t>
      </w:r>
      <w:proofErr w:type="spellEnd"/>
      <w:r w:rsidRPr="00841BE0">
        <w:rPr>
          <w:sz w:val="24"/>
          <w:szCs w:val="24"/>
        </w:rPr>
        <w:t>), skal man derfor være særligt opmærksom på patientens væskeindtagelse.</w:t>
      </w:r>
    </w:p>
    <w:p w14:paraId="3C5B1335" w14:textId="77777777" w:rsidR="00841BE0" w:rsidRPr="00841BE0" w:rsidRDefault="00841BE0" w:rsidP="00A3510F">
      <w:pPr>
        <w:ind w:left="851"/>
        <w:rPr>
          <w:sz w:val="24"/>
          <w:szCs w:val="24"/>
        </w:rPr>
      </w:pPr>
    </w:p>
    <w:p w14:paraId="0CFCBC23" w14:textId="77777777" w:rsidR="00841BE0" w:rsidRPr="00841BE0" w:rsidRDefault="00841BE0" w:rsidP="00A3510F">
      <w:pPr>
        <w:ind w:left="851"/>
        <w:rPr>
          <w:sz w:val="24"/>
          <w:szCs w:val="24"/>
          <w:u w:val="single"/>
        </w:rPr>
      </w:pPr>
      <w:r w:rsidRPr="00841BE0">
        <w:rPr>
          <w:sz w:val="24"/>
          <w:szCs w:val="24"/>
          <w:u w:val="single"/>
        </w:rPr>
        <w:t>Urinvejsinfektioner</w:t>
      </w:r>
    </w:p>
    <w:p w14:paraId="56CA430F" w14:textId="77777777" w:rsidR="00841BE0" w:rsidRPr="00841BE0" w:rsidRDefault="00841BE0" w:rsidP="00A3510F">
      <w:pPr>
        <w:ind w:left="851"/>
        <w:rPr>
          <w:sz w:val="24"/>
          <w:szCs w:val="24"/>
        </w:rPr>
      </w:pPr>
      <w:r w:rsidRPr="00841BE0">
        <w:rPr>
          <w:sz w:val="24"/>
          <w:szCs w:val="24"/>
        </w:rPr>
        <w:t xml:space="preserve">Tilfælde af komplicerede urinvejsinfektioner, herunder </w:t>
      </w:r>
      <w:proofErr w:type="spellStart"/>
      <w:r w:rsidRPr="00841BE0">
        <w:rPr>
          <w:sz w:val="24"/>
          <w:szCs w:val="24"/>
        </w:rPr>
        <w:t>pyelonefritis</w:t>
      </w:r>
      <w:proofErr w:type="spellEnd"/>
      <w:r w:rsidRPr="00841BE0">
        <w:rPr>
          <w:sz w:val="24"/>
          <w:szCs w:val="24"/>
        </w:rPr>
        <w:t xml:space="preserve"> og urosepsis, er blevet rapporteret hos patienter behandlet med </w:t>
      </w:r>
      <w:proofErr w:type="spellStart"/>
      <w:r w:rsidRPr="00841BE0">
        <w:rPr>
          <w:sz w:val="24"/>
          <w:szCs w:val="24"/>
        </w:rPr>
        <w:t>empagliflozin</w:t>
      </w:r>
      <w:proofErr w:type="spellEnd"/>
      <w:r w:rsidRPr="00841BE0">
        <w:rPr>
          <w:sz w:val="24"/>
          <w:szCs w:val="24"/>
        </w:rPr>
        <w:t xml:space="preserve"> efter markedsføring (se pkt. 4.8). Midlertidig afbrydelse af behandlingen skal overvejes hos patienter med komplicerede urinvejsinfektioner.</w:t>
      </w:r>
    </w:p>
    <w:p w14:paraId="287B8711" w14:textId="77777777" w:rsidR="00841BE0" w:rsidRPr="00841BE0" w:rsidRDefault="00841BE0" w:rsidP="00A3510F">
      <w:pPr>
        <w:ind w:left="851"/>
        <w:rPr>
          <w:sz w:val="24"/>
          <w:szCs w:val="24"/>
        </w:rPr>
      </w:pPr>
    </w:p>
    <w:p w14:paraId="25F9713E" w14:textId="77777777" w:rsidR="00841BE0" w:rsidRPr="00841BE0" w:rsidRDefault="00841BE0" w:rsidP="00A3510F">
      <w:pPr>
        <w:ind w:left="851"/>
        <w:rPr>
          <w:sz w:val="24"/>
          <w:szCs w:val="24"/>
          <w:u w:val="single"/>
        </w:rPr>
      </w:pPr>
      <w:proofErr w:type="spellStart"/>
      <w:r w:rsidRPr="00841BE0">
        <w:rPr>
          <w:sz w:val="24"/>
          <w:szCs w:val="24"/>
          <w:u w:val="single"/>
        </w:rPr>
        <w:t>Nekrotiserende</w:t>
      </w:r>
      <w:proofErr w:type="spellEnd"/>
      <w:r w:rsidRPr="00841BE0">
        <w:rPr>
          <w:sz w:val="24"/>
          <w:szCs w:val="24"/>
          <w:u w:val="single"/>
        </w:rPr>
        <w:t xml:space="preserve"> </w:t>
      </w:r>
      <w:proofErr w:type="spellStart"/>
      <w:r w:rsidRPr="00841BE0">
        <w:rPr>
          <w:sz w:val="24"/>
          <w:szCs w:val="24"/>
          <w:u w:val="single"/>
        </w:rPr>
        <w:t>fasciitis</w:t>
      </w:r>
      <w:proofErr w:type="spellEnd"/>
      <w:r w:rsidRPr="00841BE0">
        <w:rPr>
          <w:sz w:val="24"/>
          <w:szCs w:val="24"/>
          <w:u w:val="single"/>
        </w:rPr>
        <w:t xml:space="preserve"> i </w:t>
      </w:r>
      <w:proofErr w:type="spellStart"/>
      <w:r w:rsidRPr="00841BE0">
        <w:rPr>
          <w:sz w:val="24"/>
          <w:szCs w:val="24"/>
          <w:u w:val="single"/>
        </w:rPr>
        <w:t>perineum</w:t>
      </w:r>
      <w:proofErr w:type="spellEnd"/>
      <w:r w:rsidRPr="00841BE0">
        <w:rPr>
          <w:sz w:val="24"/>
          <w:szCs w:val="24"/>
          <w:u w:val="single"/>
        </w:rPr>
        <w:t xml:space="preserve"> (</w:t>
      </w:r>
      <w:proofErr w:type="spellStart"/>
      <w:r w:rsidRPr="00841BE0">
        <w:rPr>
          <w:sz w:val="24"/>
          <w:szCs w:val="24"/>
          <w:u w:val="single"/>
        </w:rPr>
        <w:t>Fourniers</w:t>
      </w:r>
      <w:proofErr w:type="spellEnd"/>
      <w:r w:rsidRPr="00841BE0">
        <w:rPr>
          <w:sz w:val="24"/>
          <w:szCs w:val="24"/>
          <w:u w:val="single"/>
        </w:rPr>
        <w:t xml:space="preserve"> gangræn)</w:t>
      </w:r>
    </w:p>
    <w:p w14:paraId="6D7A17BC" w14:textId="77777777" w:rsidR="00841BE0" w:rsidRPr="00841BE0" w:rsidRDefault="00841BE0" w:rsidP="00A3510F">
      <w:pPr>
        <w:ind w:left="851"/>
        <w:rPr>
          <w:sz w:val="24"/>
          <w:szCs w:val="24"/>
        </w:rPr>
      </w:pPr>
      <w:r w:rsidRPr="00841BE0">
        <w:rPr>
          <w:sz w:val="24"/>
          <w:szCs w:val="24"/>
        </w:rPr>
        <w:t xml:space="preserve">Der er rapporteret om tilfælde af </w:t>
      </w:r>
      <w:proofErr w:type="spellStart"/>
      <w:r w:rsidRPr="00841BE0">
        <w:rPr>
          <w:sz w:val="24"/>
          <w:szCs w:val="24"/>
        </w:rPr>
        <w:t>nekrotiserende</w:t>
      </w:r>
      <w:proofErr w:type="spellEnd"/>
      <w:r w:rsidRPr="00841BE0">
        <w:rPr>
          <w:sz w:val="24"/>
          <w:szCs w:val="24"/>
        </w:rPr>
        <w:t xml:space="preserve"> </w:t>
      </w:r>
      <w:proofErr w:type="spellStart"/>
      <w:r w:rsidRPr="00841BE0">
        <w:rPr>
          <w:sz w:val="24"/>
          <w:szCs w:val="24"/>
        </w:rPr>
        <w:t>fasciitis</w:t>
      </w:r>
      <w:proofErr w:type="spellEnd"/>
      <w:r w:rsidRPr="00841BE0">
        <w:rPr>
          <w:sz w:val="24"/>
          <w:szCs w:val="24"/>
        </w:rPr>
        <w:t xml:space="preserve"> i </w:t>
      </w:r>
      <w:proofErr w:type="spellStart"/>
      <w:r w:rsidRPr="00841BE0">
        <w:rPr>
          <w:sz w:val="24"/>
          <w:szCs w:val="24"/>
        </w:rPr>
        <w:t>perineum</w:t>
      </w:r>
      <w:proofErr w:type="spellEnd"/>
      <w:r w:rsidRPr="00841BE0">
        <w:rPr>
          <w:sz w:val="24"/>
          <w:szCs w:val="24"/>
        </w:rPr>
        <w:t xml:space="preserve"> (også kendt som </w:t>
      </w:r>
      <w:proofErr w:type="spellStart"/>
      <w:r w:rsidRPr="00841BE0">
        <w:rPr>
          <w:sz w:val="24"/>
          <w:szCs w:val="24"/>
        </w:rPr>
        <w:t>Fourniers</w:t>
      </w:r>
      <w:proofErr w:type="spellEnd"/>
      <w:r w:rsidRPr="00841BE0">
        <w:rPr>
          <w:sz w:val="24"/>
          <w:szCs w:val="24"/>
        </w:rPr>
        <w:t xml:space="preserve"> gangræn) hos kvindelige og mandlige patienter, der behandles med SGLT2-hæmmere, herunder </w:t>
      </w:r>
      <w:proofErr w:type="spellStart"/>
      <w:r w:rsidRPr="00841BE0">
        <w:rPr>
          <w:sz w:val="24"/>
          <w:szCs w:val="24"/>
        </w:rPr>
        <w:t>empagliflozin</w:t>
      </w:r>
      <w:proofErr w:type="spellEnd"/>
      <w:r w:rsidRPr="00841BE0">
        <w:rPr>
          <w:sz w:val="24"/>
          <w:szCs w:val="24"/>
        </w:rPr>
        <w:t>. Dette er en sjælden, men alvorlig og potentielt livstruende hændelse, der kræver hurtig operation og antibiotisk behandling.</w:t>
      </w:r>
    </w:p>
    <w:p w14:paraId="7FED7AAF" w14:textId="77777777" w:rsidR="00841BE0" w:rsidRPr="00841BE0" w:rsidRDefault="00841BE0" w:rsidP="00A3510F">
      <w:pPr>
        <w:ind w:left="851"/>
        <w:rPr>
          <w:sz w:val="24"/>
          <w:szCs w:val="24"/>
        </w:rPr>
      </w:pPr>
    </w:p>
    <w:p w14:paraId="54888149" w14:textId="1B801BB4" w:rsidR="00841BE0" w:rsidRPr="00841BE0" w:rsidRDefault="00841BE0" w:rsidP="00A3510F">
      <w:pPr>
        <w:ind w:left="851"/>
        <w:rPr>
          <w:sz w:val="24"/>
          <w:szCs w:val="24"/>
        </w:rPr>
      </w:pPr>
      <w:r w:rsidRPr="00841BE0">
        <w:rPr>
          <w:sz w:val="24"/>
          <w:szCs w:val="24"/>
        </w:rPr>
        <w:t xml:space="preserve">Patienter skal have besked på at søge lægehjælp, hvis de oplever en kombination af smerter, ømhed, </w:t>
      </w:r>
      <w:proofErr w:type="spellStart"/>
      <w:r w:rsidRPr="00841BE0">
        <w:rPr>
          <w:sz w:val="24"/>
          <w:szCs w:val="24"/>
        </w:rPr>
        <w:t>erytem</w:t>
      </w:r>
      <w:proofErr w:type="spellEnd"/>
      <w:r w:rsidRPr="00841BE0">
        <w:rPr>
          <w:sz w:val="24"/>
          <w:szCs w:val="24"/>
        </w:rPr>
        <w:t xml:space="preserve"> eller hævelse i området omkring kønsdelene eller mellemkødet med feber eller utilpashed. Vær opmærksom på, at såvel urogenitale infektioner som abscesser i mellemkødet kan optræde før forekomst af </w:t>
      </w:r>
      <w:proofErr w:type="spellStart"/>
      <w:r w:rsidRPr="00841BE0">
        <w:rPr>
          <w:sz w:val="24"/>
          <w:szCs w:val="24"/>
        </w:rPr>
        <w:t>nekrotiserende</w:t>
      </w:r>
      <w:proofErr w:type="spellEnd"/>
      <w:r w:rsidRPr="00841BE0">
        <w:rPr>
          <w:sz w:val="24"/>
          <w:szCs w:val="24"/>
        </w:rPr>
        <w:t xml:space="preserve"> </w:t>
      </w:r>
      <w:proofErr w:type="spellStart"/>
      <w:r w:rsidRPr="00841BE0">
        <w:rPr>
          <w:sz w:val="24"/>
          <w:szCs w:val="24"/>
        </w:rPr>
        <w:t>fasciitis</w:t>
      </w:r>
      <w:proofErr w:type="spellEnd"/>
      <w:r w:rsidRPr="00841BE0">
        <w:rPr>
          <w:sz w:val="24"/>
          <w:szCs w:val="24"/>
        </w:rPr>
        <w:t xml:space="preserve">. Hvis der er mistanke om </w:t>
      </w:r>
      <w:proofErr w:type="spellStart"/>
      <w:r w:rsidRPr="00841BE0">
        <w:rPr>
          <w:sz w:val="24"/>
          <w:szCs w:val="24"/>
        </w:rPr>
        <w:t>Fourniers</w:t>
      </w:r>
      <w:proofErr w:type="spellEnd"/>
      <w:r w:rsidRPr="00841BE0">
        <w:rPr>
          <w:sz w:val="24"/>
          <w:szCs w:val="24"/>
        </w:rPr>
        <w:t xml:space="preserve"> gangræn, bør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 xml:space="preserve"> seponeres, og øjeblikkelig behandling (herunder antibiotika og kirurgisk </w:t>
      </w:r>
      <w:proofErr w:type="spellStart"/>
      <w:r w:rsidRPr="00841BE0">
        <w:rPr>
          <w:sz w:val="24"/>
          <w:szCs w:val="24"/>
        </w:rPr>
        <w:t>debridement</w:t>
      </w:r>
      <w:proofErr w:type="spellEnd"/>
      <w:r w:rsidRPr="00841BE0">
        <w:rPr>
          <w:sz w:val="24"/>
          <w:szCs w:val="24"/>
        </w:rPr>
        <w:t>) bør iværksættes.</w:t>
      </w:r>
    </w:p>
    <w:p w14:paraId="13D4B526" w14:textId="77777777" w:rsidR="00841BE0" w:rsidRPr="00841BE0" w:rsidRDefault="00841BE0" w:rsidP="00A3510F">
      <w:pPr>
        <w:ind w:left="851"/>
        <w:rPr>
          <w:sz w:val="24"/>
          <w:szCs w:val="24"/>
        </w:rPr>
      </w:pPr>
    </w:p>
    <w:p w14:paraId="62362E4C" w14:textId="77777777" w:rsidR="00841BE0" w:rsidRPr="00841BE0" w:rsidRDefault="00841BE0" w:rsidP="00A3510F">
      <w:pPr>
        <w:ind w:left="851"/>
        <w:rPr>
          <w:sz w:val="24"/>
          <w:szCs w:val="24"/>
          <w:u w:val="single"/>
        </w:rPr>
      </w:pPr>
      <w:r w:rsidRPr="00841BE0">
        <w:rPr>
          <w:sz w:val="24"/>
          <w:szCs w:val="24"/>
          <w:u w:val="single"/>
        </w:rPr>
        <w:t>Amputation af underekstremitet</w:t>
      </w:r>
    </w:p>
    <w:p w14:paraId="539AFBFD" w14:textId="77777777" w:rsidR="00841BE0" w:rsidRPr="00841BE0" w:rsidRDefault="00841BE0" w:rsidP="00A3510F">
      <w:pPr>
        <w:ind w:left="851"/>
        <w:rPr>
          <w:sz w:val="24"/>
          <w:szCs w:val="24"/>
        </w:rPr>
      </w:pPr>
      <w:r w:rsidRPr="00841BE0">
        <w:rPr>
          <w:sz w:val="24"/>
          <w:szCs w:val="24"/>
        </w:rPr>
        <w:t>I kliniske langtidsstudier med en anden SGLT2-hæmmer er der observeret et øget antal amputationer af en underekstremitet (især af en tå). Det er uvist, om der er tale om en klasseeffekt. Det gælder for alle diabetespatienter, at det er vigtigt at rådgive patienterne om rutinemæssig forebyggende fodpleje.</w:t>
      </w:r>
    </w:p>
    <w:p w14:paraId="7BC205B4" w14:textId="77777777" w:rsidR="00841BE0" w:rsidRPr="00841BE0" w:rsidRDefault="00841BE0" w:rsidP="00A3510F">
      <w:pPr>
        <w:ind w:left="851"/>
        <w:rPr>
          <w:sz w:val="24"/>
          <w:szCs w:val="24"/>
        </w:rPr>
      </w:pPr>
    </w:p>
    <w:p w14:paraId="5D61C0B3" w14:textId="77777777" w:rsidR="00841BE0" w:rsidRPr="00841BE0" w:rsidRDefault="00841BE0" w:rsidP="00A3510F">
      <w:pPr>
        <w:ind w:left="851"/>
        <w:rPr>
          <w:sz w:val="24"/>
          <w:szCs w:val="24"/>
          <w:u w:val="single"/>
        </w:rPr>
      </w:pPr>
      <w:r w:rsidRPr="00841BE0">
        <w:rPr>
          <w:sz w:val="24"/>
          <w:szCs w:val="24"/>
          <w:u w:val="single"/>
        </w:rPr>
        <w:t>Leverskade</w:t>
      </w:r>
    </w:p>
    <w:p w14:paraId="0A2A8C0A" w14:textId="77777777" w:rsidR="00841BE0" w:rsidRPr="00841BE0" w:rsidRDefault="00841BE0" w:rsidP="00A3510F">
      <w:pPr>
        <w:ind w:left="851"/>
        <w:rPr>
          <w:sz w:val="24"/>
          <w:szCs w:val="24"/>
        </w:rPr>
      </w:pPr>
      <w:r w:rsidRPr="00841BE0">
        <w:rPr>
          <w:sz w:val="24"/>
          <w:szCs w:val="24"/>
        </w:rPr>
        <w:t xml:space="preserve">I kliniske studier med </w:t>
      </w:r>
      <w:proofErr w:type="spellStart"/>
      <w:r w:rsidRPr="00841BE0">
        <w:rPr>
          <w:sz w:val="24"/>
          <w:szCs w:val="24"/>
        </w:rPr>
        <w:t>empagliflozin</w:t>
      </w:r>
      <w:proofErr w:type="spellEnd"/>
      <w:r w:rsidRPr="00841BE0">
        <w:rPr>
          <w:sz w:val="24"/>
          <w:szCs w:val="24"/>
        </w:rPr>
        <w:t xml:space="preserve"> er der rapporteret om tilfælde af leverskade. En årsagssammenhæng mellem </w:t>
      </w:r>
      <w:proofErr w:type="spellStart"/>
      <w:r w:rsidRPr="00841BE0">
        <w:rPr>
          <w:sz w:val="24"/>
          <w:szCs w:val="24"/>
        </w:rPr>
        <w:t>empagliflozin</w:t>
      </w:r>
      <w:proofErr w:type="spellEnd"/>
      <w:r w:rsidRPr="00841BE0">
        <w:rPr>
          <w:sz w:val="24"/>
          <w:szCs w:val="24"/>
        </w:rPr>
        <w:t xml:space="preserve"> og leverskade er ikke klarlagt.</w:t>
      </w:r>
    </w:p>
    <w:p w14:paraId="1D4B1C86" w14:textId="77777777" w:rsidR="00841BE0" w:rsidRPr="00841BE0" w:rsidRDefault="00841BE0" w:rsidP="00A3510F">
      <w:pPr>
        <w:ind w:left="851"/>
        <w:rPr>
          <w:sz w:val="24"/>
          <w:szCs w:val="24"/>
        </w:rPr>
      </w:pPr>
    </w:p>
    <w:p w14:paraId="6591FFB1" w14:textId="77777777" w:rsidR="00841BE0" w:rsidRPr="00841BE0" w:rsidRDefault="00841BE0" w:rsidP="00A3510F">
      <w:pPr>
        <w:ind w:left="851"/>
        <w:rPr>
          <w:sz w:val="24"/>
          <w:szCs w:val="24"/>
          <w:u w:val="single"/>
        </w:rPr>
      </w:pPr>
      <w:r w:rsidRPr="00841BE0">
        <w:rPr>
          <w:sz w:val="24"/>
          <w:szCs w:val="24"/>
          <w:u w:val="single"/>
        </w:rPr>
        <w:t>Forhøjet hæmatokrit</w:t>
      </w:r>
    </w:p>
    <w:p w14:paraId="2D0B204A" w14:textId="77777777" w:rsidR="00841BE0" w:rsidRPr="00841BE0" w:rsidRDefault="00841BE0" w:rsidP="00A3510F">
      <w:pPr>
        <w:ind w:left="851"/>
        <w:rPr>
          <w:sz w:val="24"/>
          <w:szCs w:val="24"/>
        </w:rPr>
      </w:pPr>
      <w:r w:rsidRPr="00841BE0">
        <w:rPr>
          <w:sz w:val="24"/>
          <w:szCs w:val="24"/>
        </w:rPr>
        <w:t xml:space="preserve">Der er set forhøjet hæmatokrit ved behandling med </w:t>
      </w:r>
      <w:proofErr w:type="spellStart"/>
      <w:r w:rsidRPr="00841BE0">
        <w:rPr>
          <w:sz w:val="24"/>
          <w:szCs w:val="24"/>
        </w:rPr>
        <w:t>empagliflozin</w:t>
      </w:r>
      <w:proofErr w:type="spellEnd"/>
      <w:r w:rsidRPr="00841BE0">
        <w:rPr>
          <w:sz w:val="24"/>
          <w:szCs w:val="24"/>
        </w:rPr>
        <w:t xml:space="preserve"> (se pkt. 4.8). Patienter med udtalte hæmatokritstigninger bør monitoreres og undersøges for underliggende hæmatologisk sygdom.</w:t>
      </w:r>
    </w:p>
    <w:p w14:paraId="1EE27B72" w14:textId="77777777" w:rsidR="00841BE0" w:rsidRPr="00841BE0" w:rsidRDefault="00841BE0" w:rsidP="00A3510F">
      <w:pPr>
        <w:ind w:left="851"/>
        <w:rPr>
          <w:sz w:val="24"/>
          <w:szCs w:val="24"/>
        </w:rPr>
      </w:pPr>
    </w:p>
    <w:p w14:paraId="71A67F9B" w14:textId="77777777" w:rsidR="00841BE0" w:rsidRPr="00841BE0" w:rsidRDefault="00841BE0" w:rsidP="00A3510F">
      <w:pPr>
        <w:ind w:left="851"/>
        <w:rPr>
          <w:sz w:val="24"/>
          <w:szCs w:val="24"/>
          <w:u w:val="single"/>
        </w:rPr>
      </w:pPr>
      <w:r w:rsidRPr="00841BE0">
        <w:rPr>
          <w:sz w:val="24"/>
          <w:szCs w:val="24"/>
          <w:u w:val="single"/>
        </w:rPr>
        <w:t>Kronisk nyresygdom</w:t>
      </w:r>
    </w:p>
    <w:p w14:paraId="1B7A4A2F" w14:textId="77777777" w:rsidR="00841BE0" w:rsidRPr="00841BE0" w:rsidRDefault="00841BE0" w:rsidP="00A3510F">
      <w:pPr>
        <w:ind w:left="851"/>
        <w:rPr>
          <w:sz w:val="24"/>
          <w:szCs w:val="24"/>
        </w:rPr>
      </w:pPr>
      <w:r w:rsidRPr="00841BE0">
        <w:rPr>
          <w:sz w:val="24"/>
          <w:szCs w:val="24"/>
        </w:rPr>
        <w:t xml:space="preserve">Der er erfaring med </w:t>
      </w:r>
      <w:proofErr w:type="spellStart"/>
      <w:r w:rsidRPr="00841BE0">
        <w:rPr>
          <w:sz w:val="24"/>
          <w:szCs w:val="24"/>
        </w:rPr>
        <w:t>empagliflozin</w:t>
      </w:r>
      <w:proofErr w:type="spellEnd"/>
      <w:r w:rsidRPr="00841BE0">
        <w:rPr>
          <w:sz w:val="24"/>
          <w:szCs w:val="24"/>
        </w:rPr>
        <w:t xml:space="preserve"> til behandling af diabetes hos patienter med kronisk nyresygdom (</w:t>
      </w:r>
      <w:proofErr w:type="spellStart"/>
      <w:r w:rsidRPr="00841BE0">
        <w:rPr>
          <w:sz w:val="24"/>
          <w:szCs w:val="24"/>
        </w:rPr>
        <w:t>eGFR</w:t>
      </w:r>
      <w:proofErr w:type="spellEnd"/>
      <w:r w:rsidRPr="00841BE0">
        <w:rPr>
          <w:sz w:val="24"/>
          <w:szCs w:val="24"/>
        </w:rPr>
        <w:t xml:space="preserve"> ≥ 30 ml/min/1,73 m</w:t>
      </w:r>
      <w:r w:rsidRPr="00841BE0">
        <w:rPr>
          <w:sz w:val="24"/>
          <w:szCs w:val="24"/>
          <w:vertAlign w:val="superscript"/>
        </w:rPr>
        <w:t>2</w:t>
      </w:r>
      <w:r w:rsidRPr="00841BE0">
        <w:rPr>
          <w:sz w:val="24"/>
          <w:szCs w:val="24"/>
        </w:rPr>
        <w:t xml:space="preserve">), både med og uden </w:t>
      </w:r>
      <w:proofErr w:type="spellStart"/>
      <w:r w:rsidRPr="00841BE0">
        <w:rPr>
          <w:sz w:val="24"/>
          <w:szCs w:val="24"/>
        </w:rPr>
        <w:t>albuminuri</w:t>
      </w:r>
      <w:proofErr w:type="spellEnd"/>
      <w:r w:rsidRPr="00841BE0">
        <w:rPr>
          <w:sz w:val="24"/>
          <w:szCs w:val="24"/>
        </w:rPr>
        <w:t xml:space="preserve">. Patienter med </w:t>
      </w:r>
      <w:proofErr w:type="spellStart"/>
      <w:r w:rsidRPr="00841BE0">
        <w:rPr>
          <w:sz w:val="24"/>
          <w:szCs w:val="24"/>
        </w:rPr>
        <w:t>albuminuri</w:t>
      </w:r>
      <w:proofErr w:type="spellEnd"/>
      <w:r w:rsidRPr="00841BE0">
        <w:rPr>
          <w:sz w:val="24"/>
          <w:szCs w:val="24"/>
        </w:rPr>
        <w:t xml:space="preserve"> kan have større fordel af behandlingen med </w:t>
      </w:r>
      <w:proofErr w:type="spellStart"/>
      <w:r w:rsidRPr="00841BE0">
        <w:rPr>
          <w:sz w:val="24"/>
          <w:szCs w:val="24"/>
        </w:rPr>
        <w:t>empagliflozin</w:t>
      </w:r>
      <w:proofErr w:type="spellEnd"/>
      <w:r w:rsidRPr="00841BE0">
        <w:rPr>
          <w:sz w:val="24"/>
          <w:szCs w:val="24"/>
        </w:rPr>
        <w:t>.</w:t>
      </w:r>
    </w:p>
    <w:p w14:paraId="3D7C9DB4" w14:textId="77777777" w:rsidR="00841BE0" w:rsidRPr="00841BE0" w:rsidRDefault="00841BE0" w:rsidP="00A3510F">
      <w:pPr>
        <w:ind w:left="851"/>
        <w:rPr>
          <w:sz w:val="24"/>
          <w:szCs w:val="24"/>
        </w:rPr>
      </w:pPr>
    </w:p>
    <w:p w14:paraId="70BAD7CE" w14:textId="77777777" w:rsidR="00841BE0" w:rsidRPr="00841BE0" w:rsidRDefault="00841BE0" w:rsidP="00A3510F">
      <w:pPr>
        <w:ind w:left="851"/>
        <w:rPr>
          <w:sz w:val="24"/>
          <w:szCs w:val="24"/>
          <w:u w:val="single"/>
        </w:rPr>
      </w:pPr>
      <w:r w:rsidRPr="00841BE0">
        <w:rPr>
          <w:sz w:val="24"/>
          <w:szCs w:val="24"/>
          <w:u w:val="single"/>
        </w:rPr>
        <w:t>Laboratorieundersøgelser af urin</w:t>
      </w:r>
    </w:p>
    <w:p w14:paraId="4AF5FCBC" w14:textId="2B1D23C1" w:rsidR="00841BE0" w:rsidRPr="00841BE0" w:rsidRDefault="00841BE0" w:rsidP="00A3510F">
      <w:pPr>
        <w:ind w:left="851"/>
        <w:rPr>
          <w:sz w:val="24"/>
          <w:szCs w:val="24"/>
        </w:rPr>
      </w:pPr>
      <w:r w:rsidRPr="00841BE0">
        <w:rPr>
          <w:sz w:val="24"/>
          <w:szCs w:val="24"/>
        </w:rPr>
        <w:t xml:space="preserve">Test for </w:t>
      </w:r>
      <w:proofErr w:type="spellStart"/>
      <w:r w:rsidRPr="00841BE0">
        <w:rPr>
          <w:sz w:val="24"/>
          <w:szCs w:val="24"/>
        </w:rPr>
        <w:t>glucose</w:t>
      </w:r>
      <w:proofErr w:type="spellEnd"/>
      <w:r w:rsidRPr="00841BE0">
        <w:rPr>
          <w:sz w:val="24"/>
          <w:szCs w:val="24"/>
        </w:rPr>
        <w:t xml:space="preserve"> i urinen vil være positiv hos patienter, der tager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 xml:space="preserve">, og dette skyldes </w:t>
      </w:r>
      <w:proofErr w:type="spellStart"/>
      <w:r w:rsidRPr="00841BE0">
        <w:rPr>
          <w:sz w:val="24"/>
          <w:szCs w:val="24"/>
        </w:rPr>
        <w:t>empagliflozins</w:t>
      </w:r>
      <w:proofErr w:type="spellEnd"/>
      <w:r w:rsidRPr="00841BE0">
        <w:rPr>
          <w:sz w:val="24"/>
          <w:szCs w:val="24"/>
        </w:rPr>
        <w:t xml:space="preserve"> virkningsmekanisme.</w:t>
      </w:r>
    </w:p>
    <w:p w14:paraId="59ED9EB9" w14:textId="77777777" w:rsidR="00841BE0" w:rsidRPr="00841BE0" w:rsidRDefault="00841BE0" w:rsidP="00A3510F">
      <w:pPr>
        <w:ind w:left="851"/>
        <w:rPr>
          <w:sz w:val="24"/>
          <w:szCs w:val="24"/>
        </w:rPr>
      </w:pPr>
    </w:p>
    <w:p w14:paraId="0BEF04AA" w14:textId="77777777" w:rsidR="00841BE0" w:rsidRPr="00841BE0" w:rsidRDefault="00841BE0" w:rsidP="00A3510F">
      <w:pPr>
        <w:ind w:left="851"/>
        <w:rPr>
          <w:sz w:val="24"/>
          <w:szCs w:val="24"/>
          <w:u w:val="single"/>
        </w:rPr>
      </w:pPr>
      <w:r w:rsidRPr="00841BE0">
        <w:rPr>
          <w:sz w:val="24"/>
          <w:szCs w:val="24"/>
          <w:u w:val="single"/>
        </w:rPr>
        <w:t>Interferens med 1,5-anhydroglucitol (1,5-</w:t>
      </w:r>
      <w:proofErr w:type="gramStart"/>
      <w:r w:rsidRPr="00841BE0">
        <w:rPr>
          <w:sz w:val="24"/>
          <w:szCs w:val="24"/>
          <w:u w:val="single"/>
        </w:rPr>
        <w:t>AG)-</w:t>
      </w:r>
      <w:proofErr w:type="gramEnd"/>
      <w:r w:rsidRPr="00841BE0">
        <w:rPr>
          <w:sz w:val="24"/>
          <w:szCs w:val="24"/>
          <w:u w:val="single"/>
        </w:rPr>
        <w:t>analysen</w:t>
      </w:r>
    </w:p>
    <w:p w14:paraId="6B929EFC" w14:textId="77777777" w:rsidR="00841BE0" w:rsidRPr="00841BE0" w:rsidRDefault="00841BE0" w:rsidP="00A3510F">
      <w:pPr>
        <w:ind w:left="851"/>
        <w:rPr>
          <w:sz w:val="24"/>
          <w:szCs w:val="24"/>
        </w:rPr>
      </w:pPr>
      <w:r w:rsidRPr="00841BE0">
        <w:rPr>
          <w:sz w:val="24"/>
          <w:szCs w:val="24"/>
        </w:rPr>
        <w:t>Monitorering af glykæmisk kontrol med 1,5-AG-analysen frarådes, da målinger af 1,5-AG er upålidelige til at vurdere glykæmisk kontrol hos patienter, der tager SGLT2-hæmmere. Det tilrådes at bruge alternative metoder til at monitorere glykæmisk kontrol.</w:t>
      </w:r>
    </w:p>
    <w:p w14:paraId="72EA1059" w14:textId="77777777" w:rsidR="00841BE0" w:rsidRPr="00841BE0" w:rsidRDefault="00841BE0" w:rsidP="00A3510F">
      <w:pPr>
        <w:ind w:left="851"/>
        <w:rPr>
          <w:sz w:val="24"/>
          <w:szCs w:val="24"/>
        </w:rPr>
      </w:pPr>
    </w:p>
    <w:p w14:paraId="18820844" w14:textId="77777777" w:rsidR="00841BE0" w:rsidRPr="00841BE0" w:rsidRDefault="00841BE0" w:rsidP="00A3510F">
      <w:pPr>
        <w:ind w:left="851"/>
        <w:rPr>
          <w:sz w:val="24"/>
          <w:szCs w:val="24"/>
          <w:u w:val="single"/>
        </w:rPr>
      </w:pPr>
      <w:r w:rsidRPr="00841BE0">
        <w:rPr>
          <w:sz w:val="24"/>
          <w:szCs w:val="24"/>
          <w:u w:val="single"/>
        </w:rPr>
        <w:t>B12-vitamin</w:t>
      </w:r>
    </w:p>
    <w:p w14:paraId="4F83DBC3" w14:textId="77777777" w:rsidR="00841BE0" w:rsidRPr="00841BE0" w:rsidRDefault="00841BE0" w:rsidP="00A3510F">
      <w:pPr>
        <w:ind w:left="851"/>
        <w:rPr>
          <w:sz w:val="24"/>
          <w:szCs w:val="24"/>
        </w:rPr>
      </w:pPr>
      <w:proofErr w:type="spellStart"/>
      <w:r w:rsidRPr="00841BE0">
        <w:rPr>
          <w:sz w:val="24"/>
          <w:szCs w:val="24"/>
        </w:rPr>
        <w:t>Metformin</w:t>
      </w:r>
      <w:proofErr w:type="spellEnd"/>
      <w:r w:rsidRPr="00841BE0">
        <w:rPr>
          <w:sz w:val="24"/>
          <w:szCs w:val="24"/>
        </w:rPr>
        <w:t xml:space="preserve"> kan reducere B12-vitaminniveauerne. Risikoen for lave B12-vitaminniveauer øges med tiltagende </w:t>
      </w:r>
      <w:proofErr w:type="spellStart"/>
      <w:r w:rsidRPr="00841BE0">
        <w:rPr>
          <w:sz w:val="24"/>
          <w:szCs w:val="24"/>
        </w:rPr>
        <w:t>metformindosis</w:t>
      </w:r>
      <w:proofErr w:type="spellEnd"/>
      <w:r w:rsidRPr="00841BE0">
        <w:rPr>
          <w:sz w:val="24"/>
          <w:szCs w:val="24"/>
        </w:rPr>
        <w:t xml:space="preserve">, behandlingsvarighed og/eller hos patienter med risikofaktorer, der er kendt for at forårsage B12-vitaminmangel. Ved mistanke om B12-vitaminmangel (såsom anæmi eller </w:t>
      </w:r>
      <w:proofErr w:type="spellStart"/>
      <w:r w:rsidRPr="00841BE0">
        <w:rPr>
          <w:sz w:val="24"/>
          <w:szCs w:val="24"/>
        </w:rPr>
        <w:t>neuropati</w:t>
      </w:r>
      <w:proofErr w:type="spellEnd"/>
      <w:r w:rsidRPr="00841BE0">
        <w:rPr>
          <w:sz w:val="24"/>
          <w:szCs w:val="24"/>
        </w:rPr>
        <w:t xml:space="preserve">) skal B12-vitaminniveauer i serum monitoreres. Periodisk monitorering af B12-vitamin kan være nødvendigt hos patienter med risikofaktorer for B12-vitaminmangel. Behandlingen med </w:t>
      </w:r>
      <w:proofErr w:type="spellStart"/>
      <w:r w:rsidRPr="00841BE0">
        <w:rPr>
          <w:sz w:val="24"/>
          <w:szCs w:val="24"/>
        </w:rPr>
        <w:t>metformin</w:t>
      </w:r>
      <w:proofErr w:type="spellEnd"/>
      <w:r w:rsidRPr="00841BE0">
        <w:rPr>
          <w:sz w:val="24"/>
          <w:szCs w:val="24"/>
        </w:rPr>
        <w:t xml:space="preserve"> bør fortsættes, så længe den tolereres og ikke er kontraindiceret, og der bør gives relevant korrigerende behandling for B12-vitaminmangel i overensstemmelse med gældende kliniske retningslinjer.</w:t>
      </w:r>
    </w:p>
    <w:p w14:paraId="1092B77C" w14:textId="77777777" w:rsidR="00841BE0" w:rsidRPr="00841BE0" w:rsidRDefault="00841BE0" w:rsidP="00A3510F">
      <w:pPr>
        <w:ind w:left="851"/>
        <w:rPr>
          <w:sz w:val="24"/>
          <w:szCs w:val="24"/>
        </w:rPr>
      </w:pPr>
    </w:p>
    <w:p w14:paraId="6795DC3F" w14:textId="77777777" w:rsidR="00841BE0" w:rsidRPr="00841BE0" w:rsidRDefault="00841BE0" w:rsidP="00A3510F">
      <w:pPr>
        <w:ind w:left="851"/>
        <w:rPr>
          <w:sz w:val="24"/>
          <w:szCs w:val="24"/>
          <w:u w:val="single"/>
        </w:rPr>
      </w:pPr>
      <w:r w:rsidRPr="00841BE0">
        <w:rPr>
          <w:sz w:val="24"/>
          <w:szCs w:val="24"/>
          <w:u w:val="single"/>
        </w:rPr>
        <w:t>Pædiatrisk population</w:t>
      </w:r>
    </w:p>
    <w:p w14:paraId="7B2F52AC" w14:textId="77777777" w:rsidR="00841BE0" w:rsidRPr="00841BE0" w:rsidRDefault="00841BE0" w:rsidP="00A3510F">
      <w:pPr>
        <w:ind w:left="851"/>
        <w:rPr>
          <w:sz w:val="24"/>
          <w:szCs w:val="24"/>
        </w:rPr>
      </w:pPr>
      <w:r w:rsidRPr="00841BE0">
        <w:rPr>
          <w:sz w:val="24"/>
          <w:szCs w:val="24"/>
        </w:rPr>
        <w:t xml:space="preserve">I DINAMO-studiet (se pkt. 5.1) var den overordnede sikkerhedsprofil hos børn og unge sammenlignelig med den kendte sikkerhedsprofil observeret hos voksne patienter, og der var ingen relevante forskelle mellem placebo og </w:t>
      </w:r>
      <w:proofErr w:type="spellStart"/>
      <w:r w:rsidRPr="00841BE0">
        <w:rPr>
          <w:sz w:val="24"/>
          <w:szCs w:val="24"/>
        </w:rPr>
        <w:t>empagliflozin</w:t>
      </w:r>
      <w:proofErr w:type="spellEnd"/>
      <w:r w:rsidRPr="00841BE0">
        <w:rPr>
          <w:sz w:val="24"/>
          <w:szCs w:val="24"/>
        </w:rPr>
        <w:t xml:space="preserve"> hvad angik vækstvurderinger eller seksuel modning efter 26 ugers behandling.</w:t>
      </w:r>
    </w:p>
    <w:p w14:paraId="61837F00" w14:textId="77777777" w:rsidR="00841BE0" w:rsidRPr="00841BE0" w:rsidRDefault="00841BE0" w:rsidP="00A3510F">
      <w:pPr>
        <w:ind w:left="851"/>
        <w:rPr>
          <w:sz w:val="24"/>
          <w:szCs w:val="24"/>
        </w:rPr>
      </w:pPr>
      <w:r w:rsidRPr="00841BE0">
        <w:rPr>
          <w:sz w:val="24"/>
          <w:szCs w:val="24"/>
        </w:rPr>
        <w:t xml:space="preserve">Der er ikke påvist nogen virkning af </w:t>
      </w:r>
      <w:proofErr w:type="spellStart"/>
      <w:r w:rsidRPr="00841BE0">
        <w:rPr>
          <w:sz w:val="24"/>
          <w:szCs w:val="24"/>
        </w:rPr>
        <w:t>metformin</w:t>
      </w:r>
      <w:proofErr w:type="spellEnd"/>
      <w:r w:rsidRPr="00841BE0">
        <w:rPr>
          <w:sz w:val="24"/>
          <w:szCs w:val="24"/>
        </w:rPr>
        <w:t xml:space="preserve"> på vækst og pubertet i kontrollerede kliniske studier af et års varighed, men der foreligger ingen langtidsdata om disse specifikke punkter. Derfor anbefales en nøje opfølgning af </w:t>
      </w:r>
      <w:proofErr w:type="spellStart"/>
      <w:r w:rsidRPr="00841BE0">
        <w:rPr>
          <w:sz w:val="24"/>
          <w:szCs w:val="24"/>
        </w:rPr>
        <w:t>metformins</w:t>
      </w:r>
      <w:proofErr w:type="spellEnd"/>
      <w:r w:rsidRPr="00841BE0">
        <w:rPr>
          <w:sz w:val="24"/>
          <w:szCs w:val="24"/>
        </w:rPr>
        <w:t xml:space="preserve"> virkning på disse parametre hos </w:t>
      </w:r>
      <w:proofErr w:type="spellStart"/>
      <w:r w:rsidRPr="00841BE0">
        <w:rPr>
          <w:sz w:val="24"/>
          <w:szCs w:val="24"/>
        </w:rPr>
        <w:t>metforminbehandlede</w:t>
      </w:r>
      <w:proofErr w:type="spellEnd"/>
      <w:r w:rsidRPr="00841BE0">
        <w:rPr>
          <w:sz w:val="24"/>
          <w:szCs w:val="24"/>
        </w:rPr>
        <w:t xml:space="preserve"> børn, især børn, der endnu ikke er i puberteten.</w:t>
      </w:r>
    </w:p>
    <w:p w14:paraId="0CAC2035" w14:textId="77777777" w:rsidR="00841BE0" w:rsidRPr="00841BE0" w:rsidRDefault="00841BE0" w:rsidP="00A3510F">
      <w:pPr>
        <w:ind w:left="851"/>
        <w:rPr>
          <w:sz w:val="24"/>
          <w:szCs w:val="24"/>
        </w:rPr>
      </w:pPr>
    </w:p>
    <w:p w14:paraId="425C58BC" w14:textId="77777777" w:rsidR="00841BE0" w:rsidRPr="00841BE0" w:rsidRDefault="00841BE0" w:rsidP="00A3510F">
      <w:pPr>
        <w:ind w:left="851"/>
        <w:rPr>
          <w:i/>
          <w:iCs/>
          <w:sz w:val="24"/>
          <w:szCs w:val="24"/>
        </w:rPr>
      </w:pPr>
      <w:r w:rsidRPr="00841BE0">
        <w:rPr>
          <w:i/>
          <w:iCs/>
          <w:sz w:val="24"/>
          <w:szCs w:val="24"/>
        </w:rPr>
        <w:t>Børn i alderen 10 til 12 år</w:t>
      </w:r>
    </w:p>
    <w:p w14:paraId="6BC50913" w14:textId="77777777" w:rsidR="00841BE0" w:rsidRPr="00841BE0" w:rsidRDefault="00841BE0" w:rsidP="00A3510F">
      <w:pPr>
        <w:ind w:left="851"/>
        <w:rPr>
          <w:sz w:val="24"/>
          <w:szCs w:val="24"/>
        </w:rPr>
      </w:pPr>
      <w:r w:rsidRPr="00841BE0">
        <w:rPr>
          <w:sz w:val="24"/>
          <w:szCs w:val="24"/>
        </w:rPr>
        <w:t xml:space="preserve">I </w:t>
      </w:r>
      <w:proofErr w:type="spellStart"/>
      <w:r w:rsidRPr="00841BE0">
        <w:rPr>
          <w:sz w:val="24"/>
          <w:szCs w:val="24"/>
        </w:rPr>
        <w:t>metforminstudier</w:t>
      </w:r>
      <w:proofErr w:type="spellEnd"/>
      <w:r w:rsidRPr="00841BE0">
        <w:rPr>
          <w:sz w:val="24"/>
          <w:szCs w:val="24"/>
        </w:rPr>
        <w:t xml:space="preserve"> blev kun 15 patienter i alderen 10 til 12 år inkluderet i de kontrollerede kliniske studier udført med børn og unge.</w:t>
      </w:r>
    </w:p>
    <w:p w14:paraId="00FA0382" w14:textId="77777777" w:rsidR="00841BE0" w:rsidRPr="00841BE0" w:rsidRDefault="00841BE0" w:rsidP="00A3510F">
      <w:pPr>
        <w:ind w:left="851"/>
        <w:rPr>
          <w:sz w:val="24"/>
          <w:szCs w:val="24"/>
        </w:rPr>
      </w:pPr>
      <w:r w:rsidRPr="00841BE0">
        <w:rPr>
          <w:sz w:val="24"/>
          <w:szCs w:val="24"/>
        </w:rPr>
        <w:t xml:space="preserve">DINAMO-studiet inkluderede 157 patienter, og 91 % fik </w:t>
      </w:r>
      <w:proofErr w:type="spellStart"/>
      <w:r w:rsidRPr="00841BE0">
        <w:rPr>
          <w:sz w:val="24"/>
          <w:szCs w:val="24"/>
        </w:rPr>
        <w:t>metformin</w:t>
      </w:r>
      <w:proofErr w:type="spellEnd"/>
      <w:r w:rsidRPr="00841BE0">
        <w:rPr>
          <w:sz w:val="24"/>
          <w:szCs w:val="24"/>
        </w:rPr>
        <w:t xml:space="preserve"> som baggrundsbehandling, 25 af disse patienter var fra 10 til 12 år.</w:t>
      </w:r>
    </w:p>
    <w:p w14:paraId="12655165" w14:textId="77777777" w:rsidR="00841BE0" w:rsidRPr="00841BE0" w:rsidRDefault="00841BE0" w:rsidP="00A3510F">
      <w:pPr>
        <w:ind w:left="851"/>
        <w:rPr>
          <w:sz w:val="24"/>
          <w:szCs w:val="24"/>
        </w:rPr>
      </w:pPr>
      <w:r w:rsidRPr="00841BE0">
        <w:rPr>
          <w:sz w:val="24"/>
          <w:szCs w:val="24"/>
        </w:rPr>
        <w:t xml:space="preserve">Selvom </w:t>
      </w:r>
      <w:proofErr w:type="spellStart"/>
      <w:r w:rsidRPr="00841BE0">
        <w:rPr>
          <w:sz w:val="24"/>
          <w:szCs w:val="24"/>
        </w:rPr>
        <w:t>metformins</w:t>
      </w:r>
      <w:proofErr w:type="spellEnd"/>
      <w:r w:rsidRPr="00841BE0">
        <w:rPr>
          <w:sz w:val="24"/>
          <w:szCs w:val="24"/>
        </w:rPr>
        <w:t xml:space="preserve"> virkning og sikkerhed hos disse børn ikke adskilte sig fra virkningen og sikkerheden hos ældre børn og unge, anbefales det at udvise særlig forsigtighed ved ordinering til børn i alderen fra 10 til 12 år.</w:t>
      </w:r>
    </w:p>
    <w:p w14:paraId="0EFAA087" w14:textId="77777777" w:rsidR="009260DE" w:rsidRPr="003D3B2F" w:rsidRDefault="009260DE" w:rsidP="009260DE">
      <w:pPr>
        <w:tabs>
          <w:tab w:val="left" w:pos="851"/>
        </w:tabs>
        <w:ind w:left="851"/>
        <w:rPr>
          <w:sz w:val="24"/>
          <w:szCs w:val="24"/>
        </w:rPr>
      </w:pPr>
    </w:p>
    <w:p w14:paraId="3FED1710" w14:textId="77777777" w:rsidR="009260DE" w:rsidRPr="003D3B2F" w:rsidRDefault="009260DE" w:rsidP="009260DE">
      <w:pPr>
        <w:tabs>
          <w:tab w:val="left" w:pos="851"/>
        </w:tabs>
        <w:ind w:left="851" w:hanging="851"/>
        <w:rPr>
          <w:b/>
          <w:sz w:val="24"/>
          <w:szCs w:val="24"/>
        </w:rPr>
      </w:pPr>
      <w:r w:rsidRPr="003D3B2F">
        <w:rPr>
          <w:b/>
          <w:sz w:val="24"/>
          <w:szCs w:val="24"/>
        </w:rPr>
        <w:t>4.5</w:t>
      </w:r>
      <w:r w:rsidRPr="003D3B2F">
        <w:rPr>
          <w:b/>
          <w:sz w:val="24"/>
          <w:szCs w:val="24"/>
        </w:rPr>
        <w:tab/>
        <w:t>Interaktion med andre lægemidler og andre former for interaktion</w:t>
      </w:r>
    </w:p>
    <w:p w14:paraId="19439300" w14:textId="77777777" w:rsidR="00841BE0" w:rsidRPr="00841BE0" w:rsidRDefault="00841BE0" w:rsidP="00A3510F">
      <w:pPr>
        <w:ind w:left="851"/>
        <w:rPr>
          <w:sz w:val="24"/>
          <w:szCs w:val="24"/>
        </w:rPr>
      </w:pPr>
      <w:r w:rsidRPr="00841BE0">
        <w:rPr>
          <w:sz w:val="24"/>
          <w:szCs w:val="24"/>
        </w:rPr>
        <w:t xml:space="preserve">Samtidig administration af gentagne doser af </w:t>
      </w:r>
      <w:proofErr w:type="spellStart"/>
      <w:r w:rsidRPr="00841BE0">
        <w:rPr>
          <w:sz w:val="24"/>
          <w:szCs w:val="24"/>
        </w:rPr>
        <w:t>empagliflozin</w:t>
      </w:r>
      <w:proofErr w:type="spellEnd"/>
      <w:r w:rsidRPr="00841BE0">
        <w:rPr>
          <w:sz w:val="24"/>
          <w:szCs w:val="24"/>
        </w:rPr>
        <w:t xml:space="preserve"> og </w:t>
      </w:r>
      <w:proofErr w:type="spellStart"/>
      <w:r w:rsidRPr="00841BE0">
        <w:rPr>
          <w:sz w:val="24"/>
          <w:szCs w:val="24"/>
        </w:rPr>
        <w:t>metformin</w:t>
      </w:r>
      <w:proofErr w:type="spellEnd"/>
      <w:r w:rsidRPr="00841BE0">
        <w:rPr>
          <w:sz w:val="24"/>
          <w:szCs w:val="24"/>
        </w:rPr>
        <w:t xml:space="preserve"> medfører ingen ændring i farmakokinetikken af betydning for hverken </w:t>
      </w:r>
      <w:proofErr w:type="spellStart"/>
      <w:r w:rsidRPr="00841BE0">
        <w:rPr>
          <w:sz w:val="24"/>
          <w:szCs w:val="24"/>
        </w:rPr>
        <w:t>empagliflozin</w:t>
      </w:r>
      <w:proofErr w:type="spellEnd"/>
      <w:r w:rsidRPr="00841BE0">
        <w:rPr>
          <w:sz w:val="24"/>
          <w:szCs w:val="24"/>
        </w:rPr>
        <w:t xml:space="preserve"> eller </w:t>
      </w:r>
      <w:proofErr w:type="spellStart"/>
      <w:r w:rsidRPr="00841BE0">
        <w:rPr>
          <w:sz w:val="24"/>
          <w:szCs w:val="24"/>
        </w:rPr>
        <w:t>metformin</w:t>
      </w:r>
      <w:proofErr w:type="spellEnd"/>
      <w:r w:rsidRPr="00841BE0">
        <w:rPr>
          <w:sz w:val="24"/>
          <w:szCs w:val="24"/>
        </w:rPr>
        <w:t xml:space="preserve"> hos raske forsøgspersoner.</w:t>
      </w:r>
    </w:p>
    <w:p w14:paraId="506B1AB3" w14:textId="7E3CB2C9" w:rsidR="00841BE0" w:rsidRPr="00841BE0" w:rsidRDefault="00841BE0" w:rsidP="00A3510F">
      <w:pPr>
        <w:ind w:left="851"/>
        <w:rPr>
          <w:sz w:val="24"/>
          <w:szCs w:val="24"/>
        </w:rPr>
      </w:pPr>
      <w:r w:rsidRPr="00841BE0">
        <w:rPr>
          <w:sz w:val="24"/>
          <w:szCs w:val="24"/>
        </w:rPr>
        <w:t xml:space="preserve">Der er ikke udført interaktionsstudier med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 Teksten herunder afspejler den information, der er tilgængelig for de enkelte aktive stoffer.</w:t>
      </w:r>
    </w:p>
    <w:p w14:paraId="37EC2B9B" w14:textId="77777777" w:rsidR="00841BE0" w:rsidRPr="00841BE0" w:rsidRDefault="00841BE0" w:rsidP="00A3510F">
      <w:pPr>
        <w:ind w:left="851"/>
        <w:rPr>
          <w:sz w:val="24"/>
          <w:szCs w:val="24"/>
        </w:rPr>
      </w:pPr>
    </w:p>
    <w:p w14:paraId="7A51A655" w14:textId="77777777" w:rsidR="00841BE0" w:rsidRPr="00841BE0" w:rsidRDefault="00841BE0" w:rsidP="00A3510F">
      <w:pPr>
        <w:ind w:left="851"/>
        <w:rPr>
          <w:sz w:val="24"/>
          <w:szCs w:val="24"/>
          <w:u w:val="single"/>
        </w:rPr>
      </w:pPr>
      <w:proofErr w:type="spellStart"/>
      <w:r w:rsidRPr="00841BE0">
        <w:rPr>
          <w:sz w:val="24"/>
          <w:szCs w:val="24"/>
          <w:u w:val="single"/>
        </w:rPr>
        <w:t>Empagliflozin</w:t>
      </w:r>
      <w:proofErr w:type="spellEnd"/>
    </w:p>
    <w:p w14:paraId="29670098" w14:textId="77777777" w:rsidR="00841BE0" w:rsidRPr="00841BE0" w:rsidRDefault="00841BE0" w:rsidP="00A3510F">
      <w:pPr>
        <w:ind w:left="851"/>
        <w:rPr>
          <w:sz w:val="24"/>
          <w:szCs w:val="24"/>
        </w:rPr>
      </w:pPr>
    </w:p>
    <w:p w14:paraId="6F8E887B" w14:textId="77777777" w:rsidR="00841BE0" w:rsidRPr="00841BE0" w:rsidRDefault="00841BE0" w:rsidP="00A3510F">
      <w:pPr>
        <w:ind w:left="851"/>
        <w:rPr>
          <w:i/>
          <w:iCs/>
          <w:sz w:val="24"/>
          <w:szCs w:val="24"/>
          <w:u w:val="single"/>
        </w:rPr>
      </w:pPr>
      <w:proofErr w:type="spellStart"/>
      <w:r w:rsidRPr="00841BE0">
        <w:rPr>
          <w:i/>
          <w:iCs/>
          <w:sz w:val="24"/>
          <w:szCs w:val="24"/>
          <w:u w:val="single"/>
        </w:rPr>
        <w:t>Farmakodynamiske</w:t>
      </w:r>
      <w:proofErr w:type="spellEnd"/>
      <w:r w:rsidRPr="00841BE0">
        <w:rPr>
          <w:i/>
          <w:iCs/>
          <w:sz w:val="24"/>
          <w:szCs w:val="24"/>
          <w:u w:val="single"/>
        </w:rPr>
        <w:t xml:space="preserve"> interaktioner</w:t>
      </w:r>
    </w:p>
    <w:p w14:paraId="4A16B88A" w14:textId="77777777" w:rsidR="00841BE0" w:rsidRPr="00841BE0" w:rsidRDefault="00841BE0" w:rsidP="00A3510F">
      <w:pPr>
        <w:ind w:left="851"/>
        <w:rPr>
          <w:sz w:val="24"/>
          <w:szCs w:val="24"/>
        </w:rPr>
      </w:pPr>
    </w:p>
    <w:p w14:paraId="64B268A9" w14:textId="77777777" w:rsidR="00841BE0" w:rsidRPr="00841BE0" w:rsidRDefault="00841BE0" w:rsidP="00A3510F">
      <w:pPr>
        <w:ind w:left="851"/>
        <w:rPr>
          <w:i/>
          <w:iCs/>
          <w:sz w:val="24"/>
          <w:szCs w:val="24"/>
        </w:rPr>
      </w:pPr>
      <w:proofErr w:type="spellStart"/>
      <w:r w:rsidRPr="00841BE0">
        <w:rPr>
          <w:i/>
          <w:iCs/>
          <w:sz w:val="24"/>
          <w:szCs w:val="24"/>
        </w:rPr>
        <w:t>Diuretika</w:t>
      </w:r>
      <w:proofErr w:type="spellEnd"/>
    </w:p>
    <w:p w14:paraId="2B661621" w14:textId="77777777" w:rsidR="00841BE0" w:rsidRPr="00841BE0" w:rsidRDefault="00841BE0" w:rsidP="00A3510F">
      <w:pPr>
        <w:ind w:left="851"/>
        <w:rPr>
          <w:sz w:val="24"/>
          <w:szCs w:val="24"/>
        </w:rPr>
      </w:pPr>
      <w:proofErr w:type="spellStart"/>
      <w:r w:rsidRPr="00841BE0">
        <w:rPr>
          <w:sz w:val="24"/>
          <w:szCs w:val="24"/>
        </w:rPr>
        <w:t>Empagliflozin</w:t>
      </w:r>
      <w:proofErr w:type="spellEnd"/>
      <w:r w:rsidRPr="00841BE0">
        <w:rPr>
          <w:sz w:val="24"/>
          <w:szCs w:val="24"/>
        </w:rPr>
        <w:t xml:space="preserve"> kan potensere den diuretiske virkning af </w:t>
      </w:r>
      <w:proofErr w:type="spellStart"/>
      <w:r w:rsidRPr="00841BE0">
        <w:rPr>
          <w:sz w:val="24"/>
          <w:szCs w:val="24"/>
        </w:rPr>
        <w:t>thiazider</w:t>
      </w:r>
      <w:proofErr w:type="spellEnd"/>
      <w:r w:rsidRPr="00841BE0">
        <w:rPr>
          <w:sz w:val="24"/>
          <w:szCs w:val="24"/>
        </w:rPr>
        <w:t xml:space="preserve"> og loop-</w:t>
      </w:r>
      <w:proofErr w:type="spellStart"/>
      <w:r w:rsidRPr="00841BE0">
        <w:rPr>
          <w:sz w:val="24"/>
          <w:szCs w:val="24"/>
        </w:rPr>
        <w:t>diuretika</w:t>
      </w:r>
      <w:proofErr w:type="spellEnd"/>
      <w:r w:rsidRPr="00841BE0">
        <w:rPr>
          <w:sz w:val="24"/>
          <w:szCs w:val="24"/>
        </w:rPr>
        <w:t xml:space="preserve"> og dermed kan risikoen for dehydrering og hypotension øges (se pkt. 4.4).</w:t>
      </w:r>
    </w:p>
    <w:p w14:paraId="066BB7B3" w14:textId="77777777" w:rsidR="00841BE0" w:rsidRPr="00841BE0" w:rsidRDefault="00841BE0" w:rsidP="00A3510F">
      <w:pPr>
        <w:ind w:left="851"/>
        <w:rPr>
          <w:sz w:val="24"/>
          <w:szCs w:val="24"/>
        </w:rPr>
      </w:pPr>
    </w:p>
    <w:p w14:paraId="6D72FAFB" w14:textId="77777777" w:rsidR="00841BE0" w:rsidRPr="00841BE0" w:rsidRDefault="00841BE0" w:rsidP="00A3510F">
      <w:pPr>
        <w:ind w:left="851"/>
        <w:rPr>
          <w:i/>
          <w:iCs/>
          <w:sz w:val="24"/>
          <w:szCs w:val="24"/>
        </w:rPr>
      </w:pPr>
      <w:r w:rsidRPr="00841BE0">
        <w:rPr>
          <w:i/>
          <w:iCs/>
          <w:sz w:val="24"/>
          <w:szCs w:val="24"/>
        </w:rPr>
        <w:t>Insulin og beta-cellestimulerende midler</w:t>
      </w:r>
    </w:p>
    <w:p w14:paraId="6F136EC9" w14:textId="77777777" w:rsidR="00841BE0" w:rsidRPr="00841BE0" w:rsidRDefault="00841BE0" w:rsidP="00A3510F">
      <w:pPr>
        <w:ind w:left="851"/>
        <w:rPr>
          <w:sz w:val="24"/>
          <w:szCs w:val="24"/>
        </w:rPr>
      </w:pPr>
      <w:r w:rsidRPr="00841BE0">
        <w:rPr>
          <w:sz w:val="24"/>
          <w:szCs w:val="24"/>
        </w:rPr>
        <w:t xml:space="preserve">Risikoen for hypoglykæmi kan øges ved brug af insulin og beta-cellestimulerende midler, som f.eks. </w:t>
      </w:r>
      <w:proofErr w:type="spellStart"/>
      <w:r w:rsidRPr="00841BE0">
        <w:rPr>
          <w:sz w:val="24"/>
          <w:szCs w:val="24"/>
        </w:rPr>
        <w:t>sulfonylurinstoffer</w:t>
      </w:r>
      <w:proofErr w:type="spellEnd"/>
      <w:r w:rsidRPr="00841BE0">
        <w:rPr>
          <w:sz w:val="24"/>
          <w:szCs w:val="24"/>
        </w:rPr>
        <w:t xml:space="preserve">. Derfor skal dosis af insulin eller beta-cellestimulerende midler måske sættes ned ved samtidig brug af </w:t>
      </w:r>
      <w:proofErr w:type="spellStart"/>
      <w:r w:rsidRPr="00841BE0">
        <w:rPr>
          <w:sz w:val="24"/>
          <w:szCs w:val="24"/>
        </w:rPr>
        <w:t>empagliflozin</w:t>
      </w:r>
      <w:proofErr w:type="spellEnd"/>
      <w:r w:rsidRPr="00841BE0">
        <w:rPr>
          <w:sz w:val="24"/>
          <w:szCs w:val="24"/>
        </w:rPr>
        <w:t xml:space="preserve"> (se pkt. 4.2 og 4.8).</w:t>
      </w:r>
    </w:p>
    <w:p w14:paraId="578DFBBF" w14:textId="77777777" w:rsidR="00841BE0" w:rsidRPr="00841BE0" w:rsidRDefault="00841BE0" w:rsidP="00A3510F">
      <w:pPr>
        <w:ind w:left="851"/>
        <w:rPr>
          <w:sz w:val="24"/>
          <w:szCs w:val="24"/>
        </w:rPr>
      </w:pPr>
    </w:p>
    <w:p w14:paraId="7CFFA96C" w14:textId="77777777" w:rsidR="00841BE0" w:rsidRPr="00841BE0" w:rsidRDefault="00841BE0" w:rsidP="00A3510F">
      <w:pPr>
        <w:ind w:left="851"/>
        <w:rPr>
          <w:i/>
          <w:iCs/>
          <w:sz w:val="24"/>
          <w:szCs w:val="24"/>
          <w:u w:val="single"/>
        </w:rPr>
      </w:pPr>
      <w:proofErr w:type="spellStart"/>
      <w:r w:rsidRPr="00841BE0">
        <w:rPr>
          <w:i/>
          <w:iCs/>
          <w:sz w:val="24"/>
          <w:szCs w:val="24"/>
          <w:u w:val="single"/>
        </w:rPr>
        <w:t>Farmakokinetiske</w:t>
      </w:r>
      <w:proofErr w:type="spellEnd"/>
      <w:r w:rsidRPr="00841BE0">
        <w:rPr>
          <w:i/>
          <w:iCs/>
          <w:sz w:val="24"/>
          <w:szCs w:val="24"/>
          <w:u w:val="single"/>
        </w:rPr>
        <w:t xml:space="preserve"> interaktioner</w:t>
      </w:r>
    </w:p>
    <w:p w14:paraId="771388AB" w14:textId="77777777" w:rsidR="00841BE0" w:rsidRPr="00841BE0" w:rsidRDefault="00841BE0" w:rsidP="00A3510F">
      <w:pPr>
        <w:ind w:left="851"/>
        <w:rPr>
          <w:sz w:val="24"/>
          <w:szCs w:val="24"/>
        </w:rPr>
      </w:pPr>
    </w:p>
    <w:p w14:paraId="436F12D0" w14:textId="77777777" w:rsidR="00841BE0" w:rsidRPr="00841BE0" w:rsidRDefault="00841BE0" w:rsidP="00A3510F">
      <w:pPr>
        <w:ind w:left="851"/>
        <w:rPr>
          <w:i/>
          <w:iCs/>
          <w:sz w:val="24"/>
          <w:szCs w:val="24"/>
        </w:rPr>
      </w:pPr>
      <w:r w:rsidRPr="00841BE0">
        <w:rPr>
          <w:i/>
          <w:iCs/>
          <w:sz w:val="24"/>
          <w:szCs w:val="24"/>
        </w:rPr>
        <w:t xml:space="preserve">Virkning af andre lægemidler på </w:t>
      </w:r>
      <w:proofErr w:type="spellStart"/>
      <w:r w:rsidRPr="00841BE0">
        <w:rPr>
          <w:i/>
          <w:iCs/>
          <w:sz w:val="24"/>
          <w:szCs w:val="24"/>
        </w:rPr>
        <w:t>empagliflozin</w:t>
      </w:r>
      <w:proofErr w:type="spellEnd"/>
    </w:p>
    <w:p w14:paraId="173197CC" w14:textId="77777777" w:rsidR="00841BE0" w:rsidRPr="00841BE0" w:rsidRDefault="00841BE0" w:rsidP="00A3510F">
      <w:pPr>
        <w:ind w:left="851"/>
        <w:rPr>
          <w:sz w:val="24"/>
          <w:szCs w:val="24"/>
        </w:rPr>
      </w:pPr>
      <w:r w:rsidRPr="00841BE0">
        <w:rPr>
          <w:i/>
          <w:iCs/>
          <w:sz w:val="24"/>
          <w:szCs w:val="24"/>
        </w:rPr>
        <w:t xml:space="preserve">In </w:t>
      </w:r>
      <w:proofErr w:type="spellStart"/>
      <w:r w:rsidRPr="00841BE0">
        <w:rPr>
          <w:i/>
          <w:iCs/>
          <w:sz w:val="24"/>
          <w:szCs w:val="24"/>
        </w:rPr>
        <w:t>vitro</w:t>
      </w:r>
      <w:proofErr w:type="spellEnd"/>
      <w:r w:rsidRPr="00841BE0">
        <w:rPr>
          <w:sz w:val="24"/>
          <w:szCs w:val="24"/>
        </w:rPr>
        <w:t xml:space="preserve">-data tyder på, at den primære </w:t>
      </w:r>
      <w:proofErr w:type="spellStart"/>
      <w:r w:rsidRPr="00841BE0">
        <w:rPr>
          <w:sz w:val="24"/>
          <w:szCs w:val="24"/>
        </w:rPr>
        <w:t>metaboliseringsvej</w:t>
      </w:r>
      <w:proofErr w:type="spellEnd"/>
      <w:r w:rsidRPr="00841BE0">
        <w:rPr>
          <w:sz w:val="24"/>
          <w:szCs w:val="24"/>
        </w:rPr>
        <w:t xml:space="preserve"> for </w:t>
      </w:r>
      <w:proofErr w:type="spellStart"/>
      <w:r w:rsidRPr="00841BE0">
        <w:rPr>
          <w:sz w:val="24"/>
          <w:szCs w:val="24"/>
        </w:rPr>
        <w:t>empagliflozin</w:t>
      </w:r>
      <w:proofErr w:type="spellEnd"/>
      <w:r w:rsidRPr="00841BE0">
        <w:rPr>
          <w:sz w:val="24"/>
          <w:szCs w:val="24"/>
        </w:rPr>
        <w:t xml:space="preserve"> hos mennesker er </w:t>
      </w:r>
      <w:proofErr w:type="spellStart"/>
      <w:r w:rsidRPr="00841BE0">
        <w:rPr>
          <w:sz w:val="24"/>
          <w:szCs w:val="24"/>
        </w:rPr>
        <w:t>glukuronidering</w:t>
      </w:r>
      <w:proofErr w:type="spellEnd"/>
      <w:r w:rsidRPr="00841BE0">
        <w:rPr>
          <w:sz w:val="24"/>
          <w:szCs w:val="24"/>
        </w:rPr>
        <w:t xml:space="preserve"> via </w:t>
      </w:r>
      <w:proofErr w:type="spellStart"/>
      <w:r w:rsidRPr="00841BE0">
        <w:rPr>
          <w:sz w:val="24"/>
          <w:szCs w:val="24"/>
        </w:rPr>
        <w:t>uridin</w:t>
      </w:r>
      <w:proofErr w:type="spellEnd"/>
      <w:r w:rsidRPr="00841BE0">
        <w:rPr>
          <w:sz w:val="24"/>
          <w:szCs w:val="24"/>
        </w:rPr>
        <w:t xml:space="preserve"> 5'-difosfoglukuronosyltransferase UGT1A3, UGT1A8, UGT1A9 og UGT2B7. </w:t>
      </w:r>
      <w:proofErr w:type="spellStart"/>
      <w:r w:rsidRPr="00841BE0">
        <w:rPr>
          <w:sz w:val="24"/>
          <w:szCs w:val="24"/>
        </w:rPr>
        <w:t>Empagliflozin</w:t>
      </w:r>
      <w:proofErr w:type="spellEnd"/>
      <w:r w:rsidRPr="00841BE0">
        <w:rPr>
          <w:sz w:val="24"/>
          <w:szCs w:val="24"/>
        </w:rPr>
        <w:t xml:space="preserve"> er et substrat for de humane transportører OAT3, OATP1B1 og OATP1B3, men ikke for OAT1 og OCT2. </w:t>
      </w:r>
      <w:proofErr w:type="spellStart"/>
      <w:r w:rsidRPr="00841BE0">
        <w:rPr>
          <w:sz w:val="24"/>
          <w:szCs w:val="24"/>
        </w:rPr>
        <w:t>Empagliflozin</w:t>
      </w:r>
      <w:proofErr w:type="spellEnd"/>
      <w:r w:rsidRPr="00841BE0">
        <w:rPr>
          <w:sz w:val="24"/>
          <w:szCs w:val="24"/>
        </w:rPr>
        <w:t xml:space="preserve"> er et substrat for P-</w:t>
      </w:r>
      <w:proofErr w:type="spellStart"/>
      <w:r w:rsidRPr="00841BE0">
        <w:rPr>
          <w:sz w:val="24"/>
          <w:szCs w:val="24"/>
        </w:rPr>
        <w:t>glykoprotein</w:t>
      </w:r>
      <w:proofErr w:type="spellEnd"/>
      <w:r w:rsidRPr="00841BE0">
        <w:rPr>
          <w:sz w:val="24"/>
          <w:szCs w:val="24"/>
        </w:rPr>
        <w:t xml:space="preserve"> (P-gp) og for </w:t>
      </w:r>
      <w:r w:rsidRPr="00841BE0">
        <w:rPr>
          <w:i/>
          <w:iCs/>
          <w:sz w:val="24"/>
          <w:szCs w:val="24"/>
        </w:rPr>
        <w:t xml:space="preserve">breast cancer </w:t>
      </w:r>
      <w:proofErr w:type="spellStart"/>
      <w:r w:rsidRPr="00841BE0">
        <w:rPr>
          <w:i/>
          <w:iCs/>
          <w:sz w:val="24"/>
          <w:szCs w:val="24"/>
        </w:rPr>
        <w:t>resistance</w:t>
      </w:r>
      <w:proofErr w:type="spellEnd"/>
      <w:r w:rsidRPr="00841BE0">
        <w:rPr>
          <w:i/>
          <w:iCs/>
          <w:sz w:val="24"/>
          <w:szCs w:val="24"/>
        </w:rPr>
        <w:t xml:space="preserve"> protein</w:t>
      </w:r>
      <w:r w:rsidRPr="00841BE0">
        <w:rPr>
          <w:sz w:val="24"/>
          <w:szCs w:val="24"/>
        </w:rPr>
        <w:t xml:space="preserve"> (BCRP).</w:t>
      </w:r>
    </w:p>
    <w:p w14:paraId="6499259A" w14:textId="77777777" w:rsidR="00841BE0" w:rsidRPr="00841BE0" w:rsidRDefault="00841BE0" w:rsidP="00A3510F">
      <w:pPr>
        <w:ind w:left="851"/>
        <w:rPr>
          <w:sz w:val="24"/>
          <w:szCs w:val="24"/>
        </w:rPr>
      </w:pPr>
    </w:p>
    <w:p w14:paraId="6244837F" w14:textId="77777777" w:rsidR="00841BE0" w:rsidRPr="00841BE0" w:rsidRDefault="00841BE0" w:rsidP="00A3510F">
      <w:pPr>
        <w:ind w:left="851"/>
        <w:rPr>
          <w:sz w:val="24"/>
          <w:szCs w:val="24"/>
        </w:rPr>
      </w:pPr>
      <w:r w:rsidRPr="00841BE0">
        <w:rPr>
          <w:sz w:val="24"/>
          <w:szCs w:val="24"/>
        </w:rPr>
        <w:t xml:space="preserve">Samtidig behandling med </w:t>
      </w:r>
      <w:proofErr w:type="spellStart"/>
      <w:r w:rsidRPr="00841BE0">
        <w:rPr>
          <w:sz w:val="24"/>
          <w:szCs w:val="24"/>
        </w:rPr>
        <w:t>empagliflozin</w:t>
      </w:r>
      <w:proofErr w:type="spellEnd"/>
      <w:r w:rsidRPr="00841BE0">
        <w:rPr>
          <w:sz w:val="24"/>
          <w:szCs w:val="24"/>
        </w:rPr>
        <w:t xml:space="preserve"> og </w:t>
      </w:r>
      <w:proofErr w:type="spellStart"/>
      <w:r w:rsidRPr="00841BE0">
        <w:rPr>
          <w:sz w:val="24"/>
          <w:szCs w:val="24"/>
        </w:rPr>
        <w:t>probenecid</w:t>
      </w:r>
      <w:proofErr w:type="spellEnd"/>
      <w:r w:rsidRPr="00841BE0">
        <w:rPr>
          <w:sz w:val="24"/>
          <w:szCs w:val="24"/>
        </w:rPr>
        <w:t xml:space="preserve"> (en hæmmer af UGT-enzymer og OAT3) medførte en 26 % forøgelse af de maksimale plasmakoncentrationer af </w:t>
      </w:r>
      <w:proofErr w:type="spellStart"/>
      <w:r w:rsidRPr="00841BE0">
        <w:rPr>
          <w:sz w:val="24"/>
          <w:szCs w:val="24"/>
        </w:rPr>
        <w:t>empagliflozin</w:t>
      </w:r>
      <w:proofErr w:type="spellEnd"/>
      <w:r w:rsidRPr="00841BE0">
        <w:rPr>
          <w:sz w:val="24"/>
          <w:szCs w:val="24"/>
        </w:rPr>
        <w:t xml:space="preserve"> (</w:t>
      </w:r>
      <w:proofErr w:type="spellStart"/>
      <w:r w:rsidRPr="00841BE0">
        <w:rPr>
          <w:sz w:val="24"/>
          <w:szCs w:val="24"/>
        </w:rPr>
        <w:t>C</w:t>
      </w:r>
      <w:r w:rsidRPr="00841BE0">
        <w:rPr>
          <w:sz w:val="24"/>
          <w:szCs w:val="24"/>
          <w:vertAlign w:val="subscript"/>
        </w:rPr>
        <w:t>max</w:t>
      </w:r>
      <w:proofErr w:type="spellEnd"/>
      <w:r w:rsidRPr="00841BE0">
        <w:rPr>
          <w:sz w:val="24"/>
          <w:szCs w:val="24"/>
        </w:rPr>
        <w:t>) og en 53 % forøgelse af arealet under koncentration-tid kurven (AUC). Disse ændringer blev ikke betragtet som værende af klinisk betydning.</w:t>
      </w:r>
    </w:p>
    <w:p w14:paraId="79759752" w14:textId="77777777" w:rsidR="00841BE0" w:rsidRPr="00841BE0" w:rsidRDefault="00841BE0" w:rsidP="00A3510F">
      <w:pPr>
        <w:ind w:left="851"/>
        <w:rPr>
          <w:sz w:val="24"/>
          <w:szCs w:val="24"/>
        </w:rPr>
      </w:pPr>
    </w:p>
    <w:p w14:paraId="2F3B0C1E" w14:textId="1942906F" w:rsidR="00841BE0" w:rsidRPr="00841BE0" w:rsidRDefault="00841BE0" w:rsidP="00A3510F">
      <w:pPr>
        <w:ind w:left="851"/>
        <w:rPr>
          <w:sz w:val="24"/>
          <w:szCs w:val="24"/>
        </w:rPr>
      </w:pPr>
      <w:r w:rsidRPr="00841BE0">
        <w:rPr>
          <w:sz w:val="24"/>
          <w:szCs w:val="24"/>
        </w:rPr>
        <w:t xml:space="preserve">Virkningen af UGT-induktion (f.eks. induktion med </w:t>
      </w:r>
      <w:proofErr w:type="spellStart"/>
      <w:r w:rsidRPr="00841BE0">
        <w:rPr>
          <w:sz w:val="24"/>
          <w:szCs w:val="24"/>
        </w:rPr>
        <w:t>rifampicin</w:t>
      </w:r>
      <w:proofErr w:type="spellEnd"/>
      <w:r w:rsidRPr="00841BE0">
        <w:rPr>
          <w:sz w:val="24"/>
          <w:szCs w:val="24"/>
        </w:rPr>
        <w:t xml:space="preserve"> eller </w:t>
      </w:r>
      <w:proofErr w:type="spellStart"/>
      <w:r w:rsidRPr="00841BE0">
        <w:rPr>
          <w:sz w:val="24"/>
          <w:szCs w:val="24"/>
        </w:rPr>
        <w:t>phenytoin</w:t>
      </w:r>
      <w:proofErr w:type="spellEnd"/>
      <w:r w:rsidRPr="00841BE0">
        <w:rPr>
          <w:sz w:val="24"/>
          <w:szCs w:val="24"/>
        </w:rPr>
        <w:t xml:space="preserve">) på </w:t>
      </w:r>
      <w:proofErr w:type="spellStart"/>
      <w:r w:rsidRPr="00841BE0">
        <w:rPr>
          <w:sz w:val="24"/>
          <w:szCs w:val="24"/>
        </w:rPr>
        <w:t>empagliflozin</w:t>
      </w:r>
      <w:proofErr w:type="spellEnd"/>
      <w:r w:rsidRPr="00841BE0">
        <w:rPr>
          <w:sz w:val="24"/>
          <w:szCs w:val="24"/>
        </w:rPr>
        <w:t xml:space="preserve"> er ikke undersøgt. Samtidig behandling med kendte induktorer af UGT-enzymer frarådes på grund af en mulig risiko for nedsat virkning. Hvis en induktor af disse UGT-enzymer skal administreres samtidig, er det hensigtsmæssigt at monitorere glykæmisk kontrol for at vurdere respons på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w:t>
      </w:r>
    </w:p>
    <w:p w14:paraId="074CA0F6" w14:textId="77777777" w:rsidR="00841BE0" w:rsidRPr="00841BE0" w:rsidRDefault="00841BE0" w:rsidP="00A3510F">
      <w:pPr>
        <w:ind w:left="851"/>
        <w:rPr>
          <w:sz w:val="24"/>
          <w:szCs w:val="24"/>
        </w:rPr>
      </w:pPr>
    </w:p>
    <w:p w14:paraId="21C7AA7A" w14:textId="77777777" w:rsidR="00841BE0" w:rsidRPr="00841BE0" w:rsidRDefault="00841BE0" w:rsidP="00A3510F">
      <w:pPr>
        <w:ind w:left="851"/>
        <w:rPr>
          <w:sz w:val="24"/>
          <w:szCs w:val="24"/>
        </w:rPr>
      </w:pPr>
      <w:r w:rsidRPr="00841BE0">
        <w:rPr>
          <w:sz w:val="24"/>
          <w:szCs w:val="24"/>
        </w:rPr>
        <w:t xml:space="preserve">Et interaktionsstudie med </w:t>
      </w:r>
      <w:proofErr w:type="spellStart"/>
      <w:r w:rsidRPr="00841BE0">
        <w:rPr>
          <w:sz w:val="24"/>
          <w:szCs w:val="24"/>
        </w:rPr>
        <w:t>gemfibrozil</w:t>
      </w:r>
      <w:proofErr w:type="spellEnd"/>
      <w:r w:rsidRPr="00841BE0">
        <w:rPr>
          <w:sz w:val="24"/>
          <w:szCs w:val="24"/>
        </w:rPr>
        <w:t xml:space="preserve"> (en </w:t>
      </w:r>
      <w:r w:rsidRPr="00841BE0">
        <w:rPr>
          <w:i/>
          <w:iCs/>
          <w:sz w:val="24"/>
          <w:szCs w:val="24"/>
        </w:rPr>
        <w:t xml:space="preserve">in </w:t>
      </w:r>
      <w:proofErr w:type="spellStart"/>
      <w:r w:rsidRPr="00841BE0">
        <w:rPr>
          <w:i/>
          <w:iCs/>
          <w:sz w:val="24"/>
          <w:szCs w:val="24"/>
        </w:rPr>
        <w:t>vitro</w:t>
      </w:r>
      <w:proofErr w:type="spellEnd"/>
      <w:r w:rsidRPr="00841BE0">
        <w:rPr>
          <w:sz w:val="24"/>
          <w:szCs w:val="24"/>
        </w:rPr>
        <w:t xml:space="preserve">-hæmmer af transportørerne OAT3 og OATP1B1/1B3) viste, at </w:t>
      </w:r>
      <w:proofErr w:type="spellStart"/>
      <w:r w:rsidRPr="00841BE0">
        <w:rPr>
          <w:sz w:val="24"/>
          <w:szCs w:val="24"/>
        </w:rPr>
        <w:t>C</w:t>
      </w:r>
      <w:r w:rsidRPr="00841BE0">
        <w:rPr>
          <w:sz w:val="24"/>
          <w:szCs w:val="24"/>
          <w:vertAlign w:val="subscript"/>
        </w:rPr>
        <w:t>max</w:t>
      </w:r>
      <w:proofErr w:type="spellEnd"/>
      <w:r w:rsidRPr="00841BE0">
        <w:rPr>
          <w:sz w:val="24"/>
          <w:szCs w:val="24"/>
        </w:rPr>
        <w:t xml:space="preserve"> for </w:t>
      </w:r>
      <w:proofErr w:type="spellStart"/>
      <w:r w:rsidRPr="00841BE0">
        <w:rPr>
          <w:sz w:val="24"/>
          <w:szCs w:val="24"/>
        </w:rPr>
        <w:t>empagliflozin</w:t>
      </w:r>
      <w:proofErr w:type="spellEnd"/>
      <w:r w:rsidRPr="00841BE0">
        <w:rPr>
          <w:sz w:val="24"/>
          <w:szCs w:val="24"/>
        </w:rPr>
        <w:t xml:space="preserve"> blev forøget med 15 %, og AUC blev forøget med 59 % efter samtidig administration. Disse ændringer blev ikke betragtet som værende af klinisk betydning.</w:t>
      </w:r>
    </w:p>
    <w:p w14:paraId="03E3CB23" w14:textId="77777777" w:rsidR="00841BE0" w:rsidRPr="00841BE0" w:rsidRDefault="00841BE0" w:rsidP="00A3510F">
      <w:pPr>
        <w:ind w:left="851"/>
        <w:rPr>
          <w:sz w:val="24"/>
          <w:szCs w:val="24"/>
        </w:rPr>
      </w:pPr>
    </w:p>
    <w:p w14:paraId="54F4B5C3" w14:textId="77777777" w:rsidR="00841BE0" w:rsidRPr="00841BE0" w:rsidRDefault="00841BE0" w:rsidP="00A3510F">
      <w:pPr>
        <w:ind w:left="851"/>
        <w:rPr>
          <w:sz w:val="24"/>
          <w:szCs w:val="24"/>
        </w:rPr>
      </w:pPr>
      <w:r w:rsidRPr="00841BE0">
        <w:rPr>
          <w:sz w:val="24"/>
          <w:szCs w:val="24"/>
        </w:rPr>
        <w:t xml:space="preserve">Hæmning af transportørerne OATP1B1/1B3 ved samtidig administration af </w:t>
      </w:r>
      <w:proofErr w:type="spellStart"/>
      <w:r w:rsidRPr="00841BE0">
        <w:rPr>
          <w:sz w:val="24"/>
          <w:szCs w:val="24"/>
        </w:rPr>
        <w:t>rifampicin</w:t>
      </w:r>
      <w:proofErr w:type="spellEnd"/>
      <w:r w:rsidRPr="00841BE0">
        <w:rPr>
          <w:sz w:val="24"/>
          <w:szCs w:val="24"/>
        </w:rPr>
        <w:t xml:space="preserve"> medførte en 75 % forøgelse af </w:t>
      </w:r>
      <w:proofErr w:type="spellStart"/>
      <w:r w:rsidRPr="00841BE0">
        <w:rPr>
          <w:sz w:val="24"/>
          <w:szCs w:val="24"/>
        </w:rPr>
        <w:t>C</w:t>
      </w:r>
      <w:r w:rsidRPr="00841BE0">
        <w:rPr>
          <w:sz w:val="24"/>
          <w:szCs w:val="24"/>
          <w:vertAlign w:val="subscript"/>
        </w:rPr>
        <w:t>max</w:t>
      </w:r>
      <w:proofErr w:type="spellEnd"/>
      <w:r w:rsidRPr="00841BE0">
        <w:rPr>
          <w:sz w:val="24"/>
          <w:szCs w:val="24"/>
        </w:rPr>
        <w:t xml:space="preserve"> og en 35 % forøgelse af AUC for </w:t>
      </w:r>
      <w:proofErr w:type="spellStart"/>
      <w:r w:rsidRPr="00841BE0">
        <w:rPr>
          <w:sz w:val="24"/>
          <w:szCs w:val="24"/>
        </w:rPr>
        <w:t>empagliflozin</w:t>
      </w:r>
      <w:proofErr w:type="spellEnd"/>
      <w:r w:rsidRPr="00841BE0">
        <w:rPr>
          <w:sz w:val="24"/>
          <w:szCs w:val="24"/>
        </w:rPr>
        <w:t>. Disse ændringer blev ikke betragtet som værende af klinisk betydning.</w:t>
      </w:r>
    </w:p>
    <w:p w14:paraId="4AEDCE95" w14:textId="77777777" w:rsidR="00841BE0" w:rsidRPr="00841BE0" w:rsidRDefault="00841BE0" w:rsidP="00A3510F">
      <w:pPr>
        <w:ind w:left="851"/>
        <w:rPr>
          <w:sz w:val="24"/>
          <w:szCs w:val="24"/>
        </w:rPr>
      </w:pPr>
    </w:p>
    <w:p w14:paraId="201B14AE" w14:textId="77777777" w:rsidR="00841BE0" w:rsidRPr="00841BE0" w:rsidRDefault="00841BE0" w:rsidP="00A3510F">
      <w:pPr>
        <w:ind w:left="851"/>
        <w:rPr>
          <w:sz w:val="24"/>
          <w:szCs w:val="24"/>
        </w:rPr>
      </w:pPr>
      <w:r w:rsidRPr="00841BE0">
        <w:rPr>
          <w:sz w:val="24"/>
          <w:szCs w:val="24"/>
        </w:rPr>
        <w:t xml:space="preserve">Samtidig administration af </w:t>
      </w:r>
      <w:proofErr w:type="spellStart"/>
      <w:r w:rsidRPr="00841BE0">
        <w:rPr>
          <w:sz w:val="24"/>
          <w:szCs w:val="24"/>
        </w:rPr>
        <w:t>verapamil</w:t>
      </w:r>
      <w:proofErr w:type="spellEnd"/>
      <w:r w:rsidRPr="00841BE0">
        <w:rPr>
          <w:sz w:val="24"/>
          <w:szCs w:val="24"/>
        </w:rPr>
        <w:t xml:space="preserve"> (en P-gp-hæmmer) ændrede ikke eksponeringen for </w:t>
      </w:r>
      <w:proofErr w:type="spellStart"/>
      <w:r w:rsidRPr="00841BE0">
        <w:rPr>
          <w:sz w:val="24"/>
          <w:szCs w:val="24"/>
        </w:rPr>
        <w:t>empagliflozin</w:t>
      </w:r>
      <w:proofErr w:type="spellEnd"/>
      <w:r w:rsidRPr="00841BE0">
        <w:rPr>
          <w:sz w:val="24"/>
          <w:szCs w:val="24"/>
        </w:rPr>
        <w:t>, hvilket tyder på, at hæmning af P-gp ikke er af klinisk betydning.</w:t>
      </w:r>
    </w:p>
    <w:p w14:paraId="49F515ED" w14:textId="77777777" w:rsidR="00841BE0" w:rsidRPr="00841BE0" w:rsidRDefault="00841BE0" w:rsidP="00A3510F">
      <w:pPr>
        <w:ind w:left="851"/>
        <w:rPr>
          <w:sz w:val="24"/>
          <w:szCs w:val="24"/>
        </w:rPr>
      </w:pPr>
    </w:p>
    <w:p w14:paraId="5A570036" w14:textId="77777777" w:rsidR="00841BE0" w:rsidRPr="00841BE0" w:rsidRDefault="00841BE0" w:rsidP="00A3510F">
      <w:pPr>
        <w:ind w:left="851"/>
        <w:rPr>
          <w:sz w:val="24"/>
          <w:szCs w:val="24"/>
        </w:rPr>
      </w:pPr>
      <w:r w:rsidRPr="00841BE0">
        <w:rPr>
          <w:sz w:val="24"/>
          <w:szCs w:val="24"/>
        </w:rPr>
        <w:t xml:space="preserve">Interaktionsstudier tyder på, at </w:t>
      </w:r>
      <w:proofErr w:type="spellStart"/>
      <w:r w:rsidRPr="00841BE0">
        <w:rPr>
          <w:sz w:val="24"/>
          <w:szCs w:val="24"/>
        </w:rPr>
        <w:t>empagliflozins</w:t>
      </w:r>
      <w:proofErr w:type="spellEnd"/>
      <w:r w:rsidRPr="00841BE0">
        <w:rPr>
          <w:sz w:val="24"/>
          <w:szCs w:val="24"/>
        </w:rPr>
        <w:t xml:space="preserve"> farmakokinetik ikke påvirkes ved samtidig administration af </w:t>
      </w:r>
      <w:proofErr w:type="spellStart"/>
      <w:r w:rsidRPr="00841BE0">
        <w:rPr>
          <w:sz w:val="24"/>
          <w:szCs w:val="24"/>
        </w:rPr>
        <w:t>metformin</w:t>
      </w:r>
      <w:proofErr w:type="spellEnd"/>
      <w:r w:rsidRPr="00841BE0">
        <w:rPr>
          <w:sz w:val="24"/>
          <w:szCs w:val="24"/>
        </w:rPr>
        <w:t xml:space="preserve">, </w:t>
      </w:r>
      <w:proofErr w:type="spellStart"/>
      <w:r w:rsidRPr="00841BE0">
        <w:rPr>
          <w:sz w:val="24"/>
          <w:szCs w:val="24"/>
        </w:rPr>
        <w:t>glimepirid</w:t>
      </w:r>
      <w:proofErr w:type="spellEnd"/>
      <w:r w:rsidRPr="00841BE0">
        <w:rPr>
          <w:sz w:val="24"/>
          <w:szCs w:val="24"/>
        </w:rPr>
        <w:t xml:space="preserve">, </w:t>
      </w:r>
      <w:proofErr w:type="spellStart"/>
      <w:r w:rsidRPr="00841BE0">
        <w:rPr>
          <w:sz w:val="24"/>
          <w:szCs w:val="24"/>
        </w:rPr>
        <w:t>pioglitazon</w:t>
      </w:r>
      <w:proofErr w:type="spellEnd"/>
      <w:r w:rsidRPr="00841BE0">
        <w:rPr>
          <w:sz w:val="24"/>
          <w:szCs w:val="24"/>
        </w:rPr>
        <w:t xml:space="preserve">, </w:t>
      </w:r>
      <w:proofErr w:type="spellStart"/>
      <w:r w:rsidRPr="00841BE0">
        <w:rPr>
          <w:sz w:val="24"/>
          <w:szCs w:val="24"/>
        </w:rPr>
        <w:t>sitagliptin</w:t>
      </w:r>
      <w:proofErr w:type="spellEnd"/>
      <w:r w:rsidRPr="00841BE0">
        <w:rPr>
          <w:sz w:val="24"/>
          <w:szCs w:val="24"/>
        </w:rPr>
        <w:t xml:space="preserve">, </w:t>
      </w:r>
      <w:proofErr w:type="spellStart"/>
      <w:r w:rsidRPr="00841BE0">
        <w:rPr>
          <w:sz w:val="24"/>
          <w:szCs w:val="24"/>
        </w:rPr>
        <w:t>linagliptin</w:t>
      </w:r>
      <w:proofErr w:type="spellEnd"/>
      <w:r w:rsidRPr="00841BE0">
        <w:rPr>
          <w:sz w:val="24"/>
          <w:szCs w:val="24"/>
        </w:rPr>
        <w:t xml:space="preserve">, </w:t>
      </w:r>
      <w:proofErr w:type="spellStart"/>
      <w:r w:rsidRPr="00841BE0">
        <w:rPr>
          <w:sz w:val="24"/>
          <w:szCs w:val="24"/>
        </w:rPr>
        <w:t>warfarin</w:t>
      </w:r>
      <w:proofErr w:type="spellEnd"/>
      <w:r w:rsidRPr="00841BE0">
        <w:rPr>
          <w:sz w:val="24"/>
          <w:szCs w:val="24"/>
        </w:rPr>
        <w:t xml:space="preserve">, </w:t>
      </w:r>
      <w:proofErr w:type="spellStart"/>
      <w:r w:rsidRPr="00841BE0">
        <w:rPr>
          <w:sz w:val="24"/>
          <w:szCs w:val="24"/>
        </w:rPr>
        <w:t>verapamil</w:t>
      </w:r>
      <w:proofErr w:type="spellEnd"/>
      <w:r w:rsidRPr="00841BE0">
        <w:rPr>
          <w:sz w:val="24"/>
          <w:szCs w:val="24"/>
        </w:rPr>
        <w:t xml:space="preserve">, </w:t>
      </w:r>
      <w:proofErr w:type="spellStart"/>
      <w:r w:rsidRPr="00841BE0">
        <w:rPr>
          <w:sz w:val="24"/>
          <w:szCs w:val="24"/>
        </w:rPr>
        <w:t>ramipril</w:t>
      </w:r>
      <w:proofErr w:type="spellEnd"/>
      <w:r w:rsidRPr="00841BE0">
        <w:rPr>
          <w:sz w:val="24"/>
          <w:szCs w:val="24"/>
        </w:rPr>
        <w:t xml:space="preserve">, </w:t>
      </w:r>
      <w:proofErr w:type="spellStart"/>
      <w:r w:rsidRPr="00841BE0">
        <w:rPr>
          <w:sz w:val="24"/>
          <w:szCs w:val="24"/>
        </w:rPr>
        <w:t>simvastatin</w:t>
      </w:r>
      <w:proofErr w:type="spellEnd"/>
      <w:r w:rsidRPr="00841BE0">
        <w:rPr>
          <w:sz w:val="24"/>
          <w:szCs w:val="24"/>
        </w:rPr>
        <w:t xml:space="preserve">, </w:t>
      </w:r>
      <w:proofErr w:type="spellStart"/>
      <w:r w:rsidRPr="00841BE0">
        <w:rPr>
          <w:sz w:val="24"/>
          <w:szCs w:val="24"/>
        </w:rPr>
        <w:t>torasemid</w:t>
      </w:r>
      <w:proofErr w:type="spellEnd"/>
      <w:r w:rsidRPr="00841BE0">
        <w:rPr>
          <w:sz w:val="24"/>
          <w:szCs w:val="24"/>
        </w:rPr>
        <w:t xml:space="preserve"> eller </w:t>
      </w:r>
      <w:proofErr w:type="spellStart"/>
      <w:r w:rsidRPr="00841BE0">
        <w:rPr>
          <w:sz w:val="24"/>
          <w:szCs w:val="24"/>
        </w:rPr>
        <w:t>hydrochlorthiazid</w:t>
      </w:r>
      <w:proofErr w:type="spellEnd"/>
      <w:r w:rsidRPr="00841BE0">
        <w:rPr>
          <w:sz w:val="24"/>
          <w:szCs w:val="24"/>
        </w:rPr>
        <w:t>.</w:t>
      </w:r>
    </w:p>
    <w:p w14:paraId="56AFECA9" w14:textId="77777777" w:rsidR="00841BE0" w:rsidRPr="00841BE0" w:rsidRDefault="00841BE0" w:rsidP="00A3510F">
      <w:pPr>
        <w:ind w:left="851"/>
        <w:rPr>
          <w:sz w:val="24"/>
          <w:szCs w:val="24"/>
        </w:rPr>
      </w:pPr>
    </w:p>
    <w:p w14:paraId="3616EF74" w14:textId="77777777" w:rsidR="00841BE0" w:rsidRPr="00841BE0" w:rsidRDefault="00841BE0" w:rsidP="00A3510F">
      <w:pPr>
        <w:ind w:left="851"/>
        <w:rPr>
          <w:i/>
          <w:iCs/>
          <w:sz w:val="24"/>
          <w:szCs w:val="24"/>
        </w:rPr>
      </w:pPr>
      <w:proofErr w:type="spellStart"/>
      <w:r w:rsidRPr="00841BE0">
        <w:rPr>
          <w:i/>
          <w:iCs/>
          <w:sz w:val="24"/>
          <w:szCs w:val="24"/>
        </w:rPr>
        <w:t>Empagliflozins</w:t>
      </w:r>
      <w:proofErr w:type="spellEnd"/>
      <w:r w:rsidRPr="00841BE0">
        <w:rPr>
          <w:i/>
          <w:iCs/>
          <w:sz w:val="24"/>
          <w:szCs w:val="24"/>
        </w:rPr>
        <w:t xml:space="preserve"> virkning på andre lægemidler</w:t>
      </w:r>
    </w:p>
    <w:p w14:paraId="28ED09BD" w14:textId="77777777" w:rsidR="00841BE0" w:rsidRPr="00841BE0" w:rsidRDefault="00841BE0" w:rsidP="00A3510F">
      <w:pPr>
        <w:ind w:left="851"/>
        <w:rPr>
          <w:sz w:val="24"/>
          <w:szCs w:val="24"/>
        </w:rPr>
      </w:pPr>
      <w:proofErr w:type="spellStart"/>
      <w:r w:rsidRPr="00841BE0">
        <w:rPr>
          <w:sz w:val="24"/>
          <w:szCs w:val="24"/>
        </w:rPr>
        <w:t>Empagliflozin</w:t>
      </w:r>
      <w:proofErr w:type="spellEnd"/>
      <w:r w:rsidRPr="00841BE0">
        <w:rPr>
          <w:sz w:val="24"/>
          <w:szCs w:val="24"/>
        </w:rPr>
        <w:t xml:space="preserve"> kan øge udskillelsen af </w:t>
      </w:r>
      <w:proofErr w:type="spellStart"/>
      <w:r w:rsidRPr="00841BE0">
        <w:rPr>
          <w:sz w:val="24"/>
          <w:szCs w:val="24"/>
        </w:rPr>
        <w:t>lithium</w:t>
      </w:r>
      <w:proofErr w:type="spellEnd"/>
      <w:r w:rsidRPr="00841BE0">
        <w:rPr>
          <w:sz w:val="24"/>
          <w:szCs w:val="24"/>
        </w:rPr>
        <w:t xml:space="preserve"> gennem nyrerne, hvilket kan sænke </w:t>
      </w:r>
      <w:proofErr w:type="spellStart"/>
      <w:r w:rsidRPr="00841BE0">
        <w:rPr>
          <w:sz w:val="24"/>
          <w:szCs w:val="24"/>
        </w:rPr>
        <w:t>lithiumniveauet</w:t>
      </w:r>
      <w:proofErr w:type="spellEnd"/>
      <w:r w:rsidRPr="00841BE0">
        <w:rPr>
          <w:sz w:val="24"/>
          <w:szCs w:val="24"/>
        </w:rPr>
        <w:t xml:space="preserve"> i blodet. Serumkoncentrationen af </w:t>
      </w:r>
      <w:proofErr w:type="spellStart"/>
      <w:r w:rsidRPr="00841BE0">
        <w:rPr>
          <w:sz w:val="24"/>
          <w:szCs w:val="24"/>
        </w:rPr>
        <w:t>lithium</w:t>
      </w:r>
      <w:proofErr w:type="spellEnd"/>
      <w:r w:rsidRPr="00841BE0">
        <w:rPr>
          <w:sz w:val="24"/>
          <w:szCs w:val="24"/>
        </w:rPr>
        <w:t xml:space="preserve"> skal monitoreres mere hyppigt efter påbegyndelse af </w:t>
      </w:r>
      <w:proofErr w:type="spellStart"/>
      <w:r w:rsidRPr="00841BE0">
        <w:rPr>
          <w:sz w:val="24"/>
          <w:szCs w:val="24"/>
        </w:rPr>
        <w:t>empagliflozin</w:t>
      </w:r>
      <w:proofErr w:type="spellEnd"/>
      <w:r w:rsidRPr="00841BE0">
        <w:rPr>
          <w:sz w:val="24"/>
          <w:szCs w:val="24"/>
        </w:rPr>
        <w:t xml:space="preserve"> og dosisændringer. Henvis patienten til den læge, der ordinerede </w:t>
      </w:r>
      <w:proofErr w:type="spellStart"/>
      <w:r w:rsidRPr="00841BE0">
        <w:rPr>
          <w:sz w:val="24"/>
          <w:szCs w:val="24"/>
        </w:rPr>
        <w:t>lithium</w:t>
      </w:r>
      <w:proofErr w:type="spellEnd"/>
      <w:r w:rsidRPr="00841BE0">
        <w:rPr>
          <w:sz w:val="24"/>
          <w:szCs w:val="24"/>
        </w:rPr>
        <w:t xml:space="preserve"> med henblik på monitorering af </w:t>
      </w:r>
      <w:proofErr w:type="spellStart"/>
      <w:r w:rsidRPr="00841BE0">
        <w:rPr>
          <w:sz w:val="24"/>
          <w:szCs w:val="24"/>
        </w:rPr>
        <w:t>lithiumkoncentrationen</w:t>
      </w:r>
      <w:proofErr w:type="spellEnd"/>
      <w:r w:rsidRPr="00841BE0">
        <w:rPr>
          <w:sz w:val="24"/>
          <w:szCs w:val="24"/>
        </w:rPr>
        <w:t xml:space="preserve"> i serum.</w:t>
      </w:r>
    </w:p>
    <w:p w14:paraId="289B4DE9" w14:textId="77777777" w:rsidR="00841BE0" w:rsidRPr="00841BE0" w:rsidRDefault="00841BE0" w:rsidP="00A3510F">
      <w:pPr>
        <w:ind w:left="851"/>
        <w:rPr>
          <w:sz w:val="24"/>
          <w:szCs w:val="24"/>
        </w:rPr>
      </w:pPr>
    </w:p>
    <w:p w14:paraId="6908AA99" w14:textId="77777777" w:rsidR="00841BE0" w:rsidRPr="00841BE0" w:rsidRDefault="00841BE0" w:rsidP="00A3510F">
      <w:pPr>
        <w:ind w:left="851"/>
        <w:rPr>
          <w:sz w:val="24"/>
          <w:szCs w:val="24"/>
        </w:rPr>
      </w:pPr>
      <w:r w:rsidRPr="00841BE0">
        <w:rPr>
          <w:i/>
          <w:iCs/>
          <w:sz w:val="24"/>
          <w:szCs w:val="24"/>
        </w:rPr>
        <w:t xml:space="preserve">In </w:t>
      </w:r>
      <w:proofErr w:type="spellStart"/>
      <w:r w:rsidRPr="00841BE0">
        <w:rPr>
          <w:i/>
          <w:iCs/>
          <w:sz w:val="24"/>
          <w:szCs w:val="24"/>
        </w:rPr>
        <w:t>vitro</w:t>
      </w:r>
      <w:proofErr w:type="spellEnd"/>
      <w:r w:rsidRPr="00841BE0">
        <w:rPr>
          <w:sz w:val="24"/>
          <w:szCs w:val="24"/>
        </w:rPr>
        <w:t xml:space="preserve">-studier har påvist, at </w:t>
      </w:r>
      <w:proofErr w:type="spellStart"/>
      <w:r w:rsidRPr="00841BE0">
        <w:rPr>
          <w:sz w:val="24"/>
          <w:szCs w:val="24"/>
        </w:rPr>
        <w:t>empagliflozin</w:t>
      </w:r>
      <w:proofErr w:type="spellEnd"/>
      <w:r w:rsidRPr="00841BE0">
        <w:rPr>
          <w:sz w:val="24"/>
          <w:szCs w:val="24"/>
        </w:rPr>
        <w:t xml:space="preserve"> hverken hæmmer, inaktiverer eller inducerer CYP450-isoformer. </w:t>
      </w:r>
      <w:proofErr w:type="spellStart"/>
      <w:r w:rsidRPr="00841BE0">
        <w:rPr>
          <w:sz w:val="24"/>
          <w:szCs w:val="24"/>
        </w:rPr>
        <w:t>Empagliflozin</w:t>
      </w:r>
      <w:proofErr w:type="spellEnd"/>
      <w:r w:rsidRPr="00841BE0">
        <w:rPr>
          <w:sz w:val="24"/>
          <w:szCs w:val="24"/>
        </w:rPr>
        <w:t xml:space="preserve"> hæmmer ikke UGT1A1, UGT1A3, UGT1A8, UGT1A9 eller UGT2B7. Lægemiddel-lægemiddelinteraktioner mellem på den ene side de vigtigste CYP450</w:t>
      </w:r>
      <w:r w:rsidRPr="00841BE0">
        <w:rPr>
          <w:sz w:val="24"/>
          <w:szCs w:val="24"/>
        </w:rPr>
        <w:noBreakHyphen/>
        <w:t xml:space="preserve"> og UGT-</w:t>
      </w:r>
      <w:proofErr w:type="spellStart"/>
      <w:r w:rsidRPr="00841BE0">
        <w:rPr>
          <w:sz w:val="24"/>
          <w:szCs w:val="24"/>
        </w:rPr>
        <w:t>isoformer</w:t>
      </w:r>
      <w:proofErr w:type="spellEnd"/>
      <w:r w:rsidRPr="00841BE0">
        <w:rPr>
          <w:sz w:val="24"/>
          <w:szCs w:val="24"/>
        </w:rPr>
        <w:t xml:space="preserve"> og på den anden side </w:t>
      </w:r>
      <w:proofErr w:type="spellStart"/>
      <w:r w:rsidRPr="00841BE0">
        <w:rPr>
          <w:sz w:val="24"/>
          <w:szCs w:val="24"/>
        </w:rPr>
        <w:t>empagliflozin</w:t>
      </w:r>
      <w:proofErr w:type="spellEnd"/>
      <w:r w:rsidRPr="00841BE0">
        <w:rPr>
          <w:sz w:val="24"/>
          <w:szCs w:val="24"/>
        </w:rPr>
        <w:t xml:space="preserve"> og samtidigt administrerede substrater for disse enzymer anses derfor for usandsynlige.</w:t>
      </w:r>
    </w:p>
    <w:p w14:paraId="0C85B050" w14:textId="77777777" w:rsidR="00841BE0" w:rsidRPr="00841BE0" w:rsidRDefault="00841BE0" w:rsidP="00A3510F">
      <w:pPr>
        <w:ind w:left="851"/>
        <w:rPr>
          <w:sz w:val="24"/>
          <w:szCs w:val="24"/>
        </w:rPr>
      </w:pPr>
    </w:p>
    <w:p w14:paraId="7FC9A2C8" w14:textId="77777777" w:rsidR="00841BE0" w:rsidRPr="00841BE0" w:rsidRDefault="00841BE0" w:rsidP="00A3510F">
      <w:pPr>
        <w:ind w:left="851"/>
        <w:rPr>
          <w:sz w:val="24"/>
          <w:szCs w:val="24"/>
        </w:rPr>
      </w:pPr>
      <w:proofErr w:type="spellStart"/>
      <w:r w:rsidRPr="00841BE0">
        <w:rPr>
          <w:sz w:val="24"/>
          <w:szCs w:val="24"/>
        </w:rPr>
        <w:t>Empagliflozin</w:t>
      </w:r>
      <w:proofErr w:type="spellEnd"/>
      <w:r w:rsidRPr="00841BE0">
        <w:rPr>
          <w:sz w:val="24"/>
          <w:szCs w:val="24"/>
        </w:rPr>
        <w:t xml:space="preserve"> i terapeutiske doser hæmmer ikke P-gp. Ud fra </w:t>
      </w:r>
      <w:r w:rsidRPr="00841BE0">
        <w:rPr>
          <w:i/>
          <w:iCs/>
          <w:sz w:val="24"/>
          <w:szCs w:val="24"/>
        </w:rPr>
        <w:t xml:space="preserve">in </w:t>
      </w:r>
      <w:proofErr w:type="spellStart"/>
      <w:r w:rsidRPr="00841BE0">
        <w:rPr>
          <w:i/>
          <w:iCs/>
          <w:sz w:val="24"/>
          <w:szCs w:val="24"/>
        </w:rPr>
        <w:t>vitro</w:t>
      </w:r>
      <w:proofErr w:type="spellEnd"/>
      <w:r w:rsidRPr="00841BE0">
        <w:rPr>
          <w:sz w:val="24"/>
          <w:szCs w:val="24"/>
        </w:rPr>
        <w:t xml:space="preserve">-studier betragtes det som usandsynligt, at </w:t>
      </w:r>
      <w:proofErr w:type="spellStart"/>
      <w:r w:rsidRPr="00841BE0">
        <w:rPr>
          <w:sz w:val="24"/>
          <w:szCs w:val="24"/>
        </w:rPr>
        <w:t>empagliflozin</w:t>
      </w:r>
      <w:proofErr w:type="spellEnd"/>
      <w:r w:rsidRPr="00841BE0">
        <w:rPr>
          <w:sz w:val="24"/>
          <w:szCs w:val="24"/>
        </w:rPr>
        <w:t xml:space="preserve"> interagerer med aktive stoffer, der er P-gp-substrater.</w:t>
      </w:r>
    </w:p>
    <w:p w14:paraId="7576DBEC" w14:textId="77777777" w:rsidR="00841BE0" w:rsidRPr="00841BE0" w:rsidRDefault="00841BE0" w:rsidP="00A3510F">
      <w:pPr>
        <w:ind w:left="851"/>
        <w:rPr>
          <w:sz w:val="24"/>
          <w:szCs w:val="24"/>
        </w:rPr>
      </w:pPr>
      <w:r w:rsidRPr="00841BE0">
        <w:rPr>
          <w:sz w:val="24"/>
          <w:szCs w:val="24"/>
        </w:rPr>
        <w:t xml:space="preserve">Samtidig administration af </w:t>
      </w:r>
      <w:proofErr w:type="spellStart"/>
      <w:r w:rsidRPr="00841BE0">
        <w:rPr>
          <w:sz w:val="24"/>
          <w:szCs w:val="24"/>
        </w:rPr>
        <w:t>digoxin</w:t>
      </w:r>
      <w:proofErr w:type="spellEnd"/>
      <w:r w:rsidRPr="00841BE0">
        <w:rPr>
          <w:sz w:val="24"/>
          <w:szCs w:val="24"/>
        </w:rPr>
        <w:t xml:space="preserve"> (et P-gp-substrat) og </w:t>
      </w:r>
      <w:proofErr w:type="spellStart"/>
      <w:r w:rsidRPr="00841BE0">
        <w:rPr>
          <w:sz w:val="24"/>
          <w:szCs w:val="24"/>
        </w:rPr>
        <w:t>empagliflozin</w:t>
      </w:r>
      <w:proofErr w:type="spellEnd"/>
      <w:r w:rsidRPr="00841BE0">
        <w:rPr>
          <w:sz w:val="24"/>
          <w:szCs w:val="24"/>
        </w:rPr>
        <w:t xml:space="preserve"> medførte en 6 % forøgelse af AUC og en 14 % forøgelse af </w:t>
      </w:r>
      <w:proofErr w:type="spellStart"/>
      <w:r w:rsidRPr="00841BE0">
        <w:rPr>
          <w:sz w:val="24"/>
          <w:szCs w:val="24"/>
        </w:rPr>
        <w:t>C</w:t>
      </w:r>
      <w:r w:rsidRPr="00841BE0">
        <w:rPr>
          <w:sz w:val="24"/>
          <w:szCs w:val="24"/>
          <w:vertAlign w:val="subscript"/>
        </w:rPr>
        <w:t>max</w:t>
      </w:r>
      <w:proofErr w:type="spellEnd"/>
      <w:r w:rsidRPr="00841BE0">
        <w:rPr>
          <w:sz w:val="24"/>
          <w:szCs w:val="24"/>
        </w:rPr>
        <w:t xml:space="preserve"> for </w:t>
      </w:r>
      <w:proofErr w:type="spellStart"/>
      <w:r w:rsidRPr="00841BE0">
        <w:rPr>
          <w:sz w:val="24"/>
          <w:szCs w:val="24"/>
        </w:rPr>
        <w:t>digoxin</w:t>
      </w:r>
      <w:proofErr w:type="spellEnd"/>
      <w:r w:rsidRPr="00841BE0">
        <w:rPr>
          <w:sz w:val="24"/>
          <w:szCs w:val="24"/>
        </w:rPr>
        <w:t>. Disse ændringer blev ikke betragtet som værende af klinisk betydning.</w:t>
      </w:r>
    </w:p>
    <w:p w14:paraId="6BDFE3F1" w14:textId="77777777" w:rsidR="00841BE0" w:rsidRPr="00841BE0" w:rsidRDefault="00841BE0" w:rsidP="00A3510F">
      <w:pPr>
        <w:ind w:left="851"/>
        <w:rPr>
          <w:sz w:val="24"/>
          <w:szCs w:val="24"/>
        </w:rPr>
      </w:pPr>
    </w:p>
    <w:p w14:paraId="07389475" w14:textId="77777777" w:rsidR="00841BE0" w:rsidRPr="00841BE0" w:rsidRDefault="00841BE0" w:rsidP="00A3510F">
      <w:pPr>
        <w:ind w:left="851"/>
        <w:rPr>
          <w:sz w:val="24"/>
          <w:szCs w:val="24"/>
        </w:rPr>
      </w:pPr>
      <w:r w:rsidRPr="00841BE0">
        <w:rPr>
          <w:i/>
          <w:iCs/>
          <w:sz w:val="24"/>
          <w:szCs w:val="24"/>
        </w:rPr>
        <w:t xml:space="preserve">In </w:t>
      </w:r>
      <w:proofErr w:type="spellStart"/>
      <w:r w:rsidRPr="00841BE0">
        <w:rPr>
          <w:i/>
          <w:iCs/>
          <w:sz w:val="24"/>
          <w:szCs w:val="24"/>
        </w:rPr>
        <w:t>vitro</w:t>
      </w:r>
      <w:proofErr w:type="spellEnd"/>
      <w:r w:rsidRPr="00841BE0">
        <w:rPr>
          <w:sz w:val="24"/>
          <w:szCs w:val="24"/>
        </w:rPr>
        <w:t xml:space="preserve"> hæmmer </w:t>
      </w:r>
      <w:proofErr w:type="spellStart"/>
      <w:r w:rsidRPr="00841BE0">
        <w:rPr>
          <w:sz w:val="24"/>
          <w:szCs w:val="24"/>
        </w:rPr>
        <w:t>empagliflozin</w:t>
      </w:r>
      <w:proofErr w:type="spellEnd"/>
      <w:r w:rsidRPr="00841BE0">
        <w:rPr>
          <w:sz w:val="24"/>
          <w:szCs w:val="24"/>
        </w:rPr>
        <w:t xml:space="preserve"> i klinisk relevante plasmakoncentrationer ikke humane transportører som f.eks. OAT3, OATP1B1 og OATP1B3, og lægemiddel-lægemiddelinteraktioner med substrater for disse transportører anses for usandsynlige.</w:t>
      </w:r>
    </w:p>
    <w:p w14:paraId="20A40261" w14:textId="77777777" w:rsidR="00841BE0" w:rsidRPr="00841BE0" w:rsidRDefault="00841BE0" w:rsidP="00A3510F">
      <w:pPr>
        <w:ind w:left="851"/>
        <w:rPr>
          <w:sz w:val="24"/>
          <w:szCs w:val="24"/>
        </w:rPr>
      </w:pPr>
    </w:p>
    <w:p w14:paraId="4EFC0DB7" w14:textId="77777777" w:rsidR="00841BE0" w:rsidRPr="00841BE0" w:rsidRDefault="00841BE0" w:rsidP="00A3510F">
      <w:pPr>
        <w:ind w:left="851"/>
        <w:rPr>
          <w:sz w:val="24"/>
          <w:szCs w:val="24"/>
        </w:rPr>
      </w:pPr>
      <w:r w:rsidRPr="00841BE0">
        <w:rPr>
          <w:sz w:val="24"/>
          <w:szCs w:val="24"/>
        </w:rPr>
        <w:t xml:space="preserve">Interaktionsstudier med raske frivillige tyder på, at </w:t>
      </w:r>
      <w:proofErr w:type="spellStart"/>
      <w:r w:rsidRPr="00841BE0">
        <w:rPr>
          <w:sz w:val="24"/>
          <w:szCs w:val="24"/>
        </w:rPr>
        <w:t>empagliflozin</w:t>
      </w:r>
      <w:proofErr w:type="spellEnd"/>
      <w:r w:rsidRPr="00841BE0">
        <w:rPr>
          <w:sz w:val="24"/>
          <w:szCs w:val="24"/>
        </w:rPr>
        <w:t xml:space="preserve"> ikke har nogen klinisk relevant indvirkning på farmakokinetikken for </w:t>
      </w:r>
      <w:proofErr w:type="spellStart"/>
      <w:r w:rsidRPr="00841BE0">
        <w:rPr>
          <w:sz w:val="24"/>
          <w:szCs w:val="24"/>
        </w:rPr>
        <w:t>metformin</w:t>
      </w:r>
      <w:proofErr w:type="spellEnd"/>
      <w:r w:rsidRPr="00841BE0">
        <w:rPr>
          <w:sz w:val="24"/>
          <w:szCs w:val="24"/>
        </w:rPr>
        <w:t xml:space="preserve">, </w:t>
      </w:r>
      <w:proofErr w:type="spellStart"/>
      <w:r w:rsidRPr="00841BE0">
        <w:rPr>
          <w:sz w:val="24"/>
          <w:szCs w:val="24"/>
        </w:rPr>
        <w:t>glimepirid</w:t>
      </w:r>
      <w:proofErr w:type="spellEnd"/>
      <w:r w:rsidRPr="00841BE0">
        <w:rPr>
          <w:sz w:val="24"/>
          <w:szCs w:val="24"/>
        </w:rPr>
        <w:t xml:space="preserve">, </w:t>
      </w:r>
      <w:proofErr w:type="spellStart"/>
      <w:r w:rsidRPr="00841BE0">
        <w:rPr>
          <w:sz w:val="24"/>
          <w:szCs w:val="24"/>
        </w:rPr>
        <w:t>pioglitazon</w:t>
      </w:r>
      <w:proofErr w:type="spellEnd"/>
      <w:r w:rsidRPr="00841BE0">
        <w:rPr>
          <w:sz w:val="24"/>
          <w:szCs w:val="24"/>
        </w:rPr>
        <w:t xml:space="preserve">, </w:t>
      </w:r>
      <w:proofErr w:type="spellStart"/>
      <w:r w:rsidRPr="00841BE0">
        <w:rPr>
          <w:sz w:val="24"/>
          <w:szCs w:val="24"/>
        </w:rPr>
        <w:t>sitagliptin</w:t>
      </w:r>
      <w:proofErr w:type="spellEnd"/>
      <w:r w:rsidRPr="00841BE0">
        <w:rPr>
          <w:sz w:val="24"/>
          <w:szCs w:val="24"/>
        </w:rPr>
        <w:t xml:space="preserve">, </w:t>
      </w:r>
      <w:proofErr w:type="spellStart"/>
      <w:r w:rsidRPr="00841BE0">
        <w:rPr>
          <w:sz w:val="24"/>
          <w:szCs w:val="24"/>
        </w:rPr>
        <w:t>linagliptin</w:t>
      </w:r>
      <w:proofErr w:type="spellEnd"/>
      <w:r w:rsidRPr="00841BE0">
        <w:rPr>
          <w:sz w:val="24"/>
          <w:szCs w:val="24"/>
        </w:rPr>
        <w:t xml:space="preserve">, </w:t>
      </w:r>
      <w:proofErr w:type="spellStart"/>
      <w:r w:rsidRPr="00841BE0">
        <w:rPr>
          <w:sz w:val="24"/>
          <w:szCs w:val="24"/>
        </w:rPr>
        <w:t>simvastatin</w:t>
      </w:r>
      <w:proofErr w:type="spellEnd"/>
      <w:r w:rsidRPr="00841BE0">
        <w:rPr>
          <w:sz w:val="24"/>
          <w:szCs w:val="24"/>
        </w:rPr>
        <w:t xml:space="preserve">, </w:t>
      </w:r>
      <w:proofErr w:type="spellStart"/>
      <w:r w:rsidRPr="00841BE0">
        <w:rPr>
          <w:sz w:val="24"/>
          <w:szCs w:val="24"/>
        </w:rPr>
        <w:t>warfarin</w:t>
      </w:r>
      <w:proofErr w:type="spellEnd"/>
      <w:r w:rsidRPr="00841BE0">
        <w:rPr>
          <w:sz w:val="24"/>
          <w:szCs w:val="24"/>
        </w:rPr>
        <w:t xml:space="preserve">, </w:t>
      </w:r>
      <w:proofErr w:type="spellStart"/>
      <w:r w:rsidRPr="00841BE0">
        <w:rPr>
          <w:sz w:val="24"/>
          <w:szCs w:val="24"/>
        </w:rPr>
        <w:t>ramipril</w:t>
      </w:r>
      <w:proofErr w:type="spellEnd"/>
      <w:r w:rsidRPr="00841BE0">
        <w:rPr>
          <w:sz w:val="24"/>
          <w:szCs w:val="24"/>
        </w:rPr>
        <w:t xml:space="preserve">, </w:t>
      </w:r>
      <w:proofErr w:type="spellStart"/>
      <w:r w:rsidRPr="00841BE0">
        <w:rPr>
          <w:sz w:val="24"/>
          <w:szCs w:val="24"/>
        </w:rPr>
        <w:t>digoxin</w:t>
      </w:r>
      <w:proofErr w:type="spellEnd"/>
      <w:r w:rsidRPr="00841BE0">
        <w:rPr>
          <w:sz w:val="24"/>
          <w:szCs w:val="24"/>
        </w:rPr>
        <w:t xml:space="preserve">, </w:t>
      </w:r>
      <w:proofErr w:type="spellStart"/>
      <w:r w:rsidRPr="00841BE0">
        <w:rPr>
          <w:sz w:val="24"/>
          <w:szCs w:val="24"/>
        </w:rPr>
        <w:t>diuretika</w:t>
      </w:r>
      <w:proofErr w:type="spellEnd"/>
      <w:r w:rsidRPr="00841BE0">
        <w:rPr>
          <w:sz w:val="24"/>
          <w:szCs w:val="24"/>
        </w:rPr>
        <w:t xml:space="preserve"> og orale </w:t>
      </w:r>
      <w:proofErr w:type="spellStart"/>
      <w:r w:rsidRPr="00841BE0">
        <w:rPr>
          <w:sz w:val="24"/>
          <w:szCs w:val="24"/>
        </w:rPr>
        <w:t>kontraceptiva</w:t>
      </w:r>
      <w:proofErr w:type="spellEnd"/>
      <w:r w:rsidRPr="00841BE0">
        <w:rPr>
          <w:sz w:val="24"/>
          <w:szCs w:val="24"/>
        </w:rPr>
        <w:t>.</w:t>
      </w:r>
    </w:p>
    <w:p w14:paraId="36A71473" w14:textId="50435A1D" w:rsidR="001C0D88" w:rsidRDefault="001C0D88">
      <w:pPr>
        <w:rPr>
          <w:sz w:val="24"/>
          <w:szCs w:val="24"/>
        </w:rPr>
      </w:pPr>
      <w:r>
        <w:rPr>
          <w:sz w:val="24"/>
          <w:szCs w:val="24"/>
        </w:rPr>
        <w:br w:type="page"/>
      </w:r>
    </w:p>
    <w:p w14:paraId="42E4DCA8" w14:textId="77777777" w:rsidR="00841BE0" w:rsidRPr="00841BE0" w:rsidRDefault="00841BE0" w:rsidP="00A3510F">
      <w:pPr>
        <w:ind w:left="851"/>
        <w:rPr>
          <w:sz w:val="24"/>
          <w:szCs w:val="24"/>
        </w:rPr>
      </w:pPr>
    </w:p>
    <w:p w14:paraId="42C859FE" w14:textId="77777777" w:rsidR="00841BE0" w:rsidRPr="00841BE0" w:rsidRDefault="00841BE0" w:rsidP="00A3510F">
      <w:pPr>
        <w:ind w:left="851"/>
        <w:rPr>
          <w:sz w:val="24"/>
          <w:szCs w:val="24"/>
          <w:u w:val="single"/>
        </w:rPr>
      </w:pPr>
      <w:proofErr w:type="spellStart"/>
      <w:r w:rsidRPr="00841BE0">
        <w:rPr>
          <w:sz w:val="24"/>
          <w:szCs w:val="24"/>
          <w:u w:val="single"/>
        </w:rPr>
        <w:t>Metformin</w:t>
      </w:r>
      <w:proofErr w:type="spellEnd"/>
    </w:p>
    <w:p w14:paraId="1B31336D" w14:textId="77777777" w:rsidR="00841BE0" w:rsidRPr="00841BE0" w:rsidRDefault="00841BE0" w:rsidP="00A3510F">
      <w:pPr>
        <w:ind w:left="851"/>
        <w:rPr>
          <w:sz w:val="24"/>
          <w:szCs w:val="24"/>
        </w:rPr>
      </w:pPr>
    </w:p>
    <w:p w14:paraId="498EA162" w14:textId="77777777" w:rsidR="00841BE0" w:rsidRPr="00841BE0" w:rsidRDefault="00841BE0" w:rsidP="00A3510F">
      <w:pPr>
        <w:ind w:left="851"/>
        <w:rPr>
          <w:i/>
          <w:iCs/>
          <w:sz w:val="24"/>
          <w:szCs w:val="24"/>
          <w:u w:val="single"/>
        </w:rPr>
      </w:pPr>
      <w:r w:rsidRPr="00841BE0">
        <w:rPr>
          <w:i/>
          <w:iCs/>
          <w:sz w:val="24"/>
          <w:szCs w:val="24"/>
          <w:u w:val="single"/>
        </w:rPr>
        <w:t>Samtidig brug frarådes</w:t>
      </w:r>
    </w:p>
    <w:p w14:paraId="7FD1FCB2" w14:textId="77777777" w:rsidR="00841BE0" w:rsidRPr="00841BE0" w:rsidRDefault="00841BE0" w:rsidP="00A3510F">
      <w:pPr>
        <w:ind w:left="851"/>
        <w:rPr>
          <w:sz w:val="24"/>
          <w:szCs w:val="24"/>
        </w:rPr>
      </w:pPr>
    </w:p>
    <w:p w14:paraId="35D83F89" w14:textId="77777777" w:rsidR="00841BE0" w:rsidRPr="00841BE0" w:rsidRDefault="00841BE0" w:rsidP="00A3510F">
      <w:pPr>
        <w:ind w:left="851"/>
        <w:rPr>
          <w:i/>
          <w:iCs/>
          <w:sz w:val="24"/>
          <w:szCs w:val="24"/>
        </w:rPr>
      </w:pPr>
      <w:r w:rsidRPr="00841BE0">
        <w:rPr>
          <w:i/>
          <w:iCs/>
          <w:sz w:val="24"/>
          <w:szCs w:val="24"/>
        </w:rPr>
        <w:t>Alkohol</w:t>
      </w:r>
    </w:p>
    <w:p w14:paraId="440A42CF" w14:textId="77777777" w:rsidR="00841BE0" w:rsidRPr="00841BE0" w:rsidRDefault="00841BE0" w:rsidP="00A3510F">
      <w:pPr>
        <w:ind w:left="851"/>
        <w:rPr>
          <w:sz w:val="24"/>
          <w:szCs w:val="24"/>
        </w:rPr>
      </w:pPr>
      <w:proofErr w:type="spellStart"/>
      <w:r w:rsidRPr="00841BE0">
        <w:rPr>
          <w:sz w:val="24"/>
          <w:szCs w:val="24"/>
        </w:rPr>
        <w:t>Alkoholintoksikation</w:t>
      </w:r>
      <w:proofErr w:type="spellEnd"/>
      <w:r w:rsidRPr="00841BE0">
        <w:rPr>
          <w:sz w:val="24"/>
          <w:szCs w:val="24"/>
        </w:rPr>
        <w:t xml:space="preserve"> er forbundet med en øget risiko for laktatacidose, især i tilfælde af faste, fejlernæring eller nedsat leverfunktion.</w:t>
      </w:r>
    </w:p>
    <w:p w14:paraId="58B1E972" w14:textId="77777777" w:rsidR="00841BE0" w:rsidRPr="00841BE0" w:rsidRDefault="00841BE0" w:rsidP="00A3510F">
      <w:pPr>
        <w:ind w:left="851"/>
        <w:rPr>
          <w:sz w:val="24"/>
          <w:szCs w:val="24"/>
        </w:rPr>
      </w:pPr>
    </w:p>
    <w:p w14:paraId="3C55A9FC" w14:textId="77777777" w:rsidR="00841BE0" w:rsidRPr="00841BE0" w:rsidRDefault="00841BE0" w:rsidP="00A3510F">
      <w:pPr>
        <w:ind w:left="851"/>
        <w:rPr>
          <w:i/>
          <w:iCs/>
          <w:sz w:val="24"/>
          <w:szCs w:val="24"/>
        </w:rPr>
      </w:pPr>
      <w:r w:rsidRPr="00841BE0">
        <w:rPr>
          <w:i/>
          <w:iCs/>
          <w:sz w:val="24"/>
          <w:szCs w:val="24"/>
        </w:rPr>
        <w:t>Organiske kationtransportere (OCT)</w:t>
      </w:r>
    </w:p>
    <w:p w14:paraId="3D66EDC8" w14:textId="77777777" w:rsidR="00841BE0" w:rsidRPr="00841BE0" w:rsidRDefault="00841BE0" w:rsidP="00A3510F">
      <w:pPr>
        <w:ind w:left="851"/>
        <w:rPr>
          <w:sz w:val="24"/>
          <w:szCs w:val="24"/>
        </w:rPr>
      </w:pPr>
      <w:proofErr w:type="spellStart"/>
      <w:r w:rsidRPr="00841BE0">
        <w:rPr>
          <w:sz w:val="24"/>
          <w:szCs w:val="24"/>
        </w:rPr>
        <w:t>Metformin</w:t>
      </w:r>
      <w:proofErr w:type="spellEnd"/>
      <w:r w:rsidRPr="00841BE0">
        <w:rPr>
          <w:sz w:val="24"/>
          <w:szCs w:val="24"/>
        </w:rPr>
        <w:t xml:space="preserve"> er et substrat af begge transportere, OCT1 og OCT2. Samtidig administration af </w:t>
      </w:r>
      <w:proofErr w:type="spellStart"/>
      <w:r w:rsidRPr="00841BE0">
        <w:rPr>
          <w:sz w:val="24"/>
          <w:szCs w:val="24"/>
        </w:rPr>
        <w:t>metformin</w:t>
      </w:r>
      <w:proofErr w:type="spellEnd"/>
      <w:r w:rsidRPr="00841BE0">
        <w:rPr>
          <w:sz w:val="24"/>
          <w:szCs w:val="24"/>
        </w:rPr>
        <w:t xml:space="preserve"> og</w:t>
      </w:r>
    </w:p>
    <w:p w14:paraId="30BCE534" w14:textId="77777777" w:rsidR="00841BE0" w:rsidRPr="00841BE0" w:rsidRDefault="00841BE0" w:rsidP="00A3510F">
      <w:pPr>
        <w:numPr>
          <w:ilvl w:val="0"/>
          <w:numId w:val="6"/>
        </w:numPr>
        <w:ind w:left="1276" w:hanging="425"/>
        <w:rPr>
          <w:sz w:val="24"/>
          <w:szCs w:val="24"/>
        </w:rPr>
      </w:pPr>
      <w:proofErr w:type="spellStart"/>
      <w:r w:rsidRPr="00841BE0">
        <w:rPr>
          <w:sz w:val="24"/>
          <w:szCs w:val="24"/>
        </w:rPr>
        <w:t>hæmmere</w:t>
      </w:r>
      <w:proofErr w:type="spellEnd"/>
      <w:r w:rsidRPr="00841BE0">
        <w:rPr>
          <w:sz w:val="24"/>
          <w:szCs w:val="24"/>
        </w:rPr>
        <w:t xml:space="preserve"> af OCT1 (f.eks. </w:t>
      </w:r>
      <w:proofErr w:type="spellStart"/>
      <w:r w:rsidRPr="00841BE0">
        <w:rPr>
          <w:sz w:val="24"/>
          <w:szCs w:val="24"/>
        </w:rPr>
        <w:t>verapamil</w:t>
      </w:r>
      <w:proofErr w:type="spellEnd"/>
      <w:r w:rsidRPr="00841BE0">
        <w:rPr>
          <w:sz w:val="24"/>
          <w:szCs w:val="24"/>
        </w:rPr>
        <w:t xml:space="preserve">) kan nedsætte virkningen af </w:t>
      </w:r>
      <w:proofErr w:type="spellStart"/>
      <w:r w:rsidRPr="00841BE0">
        <w:rPr>
          <w:sz w:val="24"/>
          <w:szCs w:val="24"/>
        </w:rPr>
        <w:t>metformin</w:t>
      </w:r>
      <w:proofErr w:type="spellEnd"/>
      <w:r w:rsidRPr="00841BE0">
        <w:rPr>
          <w:sz w:val="24"/>
          <w:szCs w:val="24"/>
        </w:rPr>
        <w:t>.</w:t>
      </w:r>
    </w:p>
    <w:p w14:paraId="59B1C3AC" w14:textId="77777777" w:rsidR="00841BE0" w:rsidRPr="00841BE0" w:rsidRDefault="00841BE0" w:rsidP="00A3510F">
      <w:pPr>
        <w:numPr>
          <w:ilvl w:val="0"/>
          <w:numId w:val="6"/>
        </w:numPr>
        <w:ind w:left="1276" w:hanging="425"/>
        <w:rPr>
          <w:sz w:val="24"/>
          <w:szCs w:val="24"/>
        </w:rPr>
      </w:pPr>
      <w:r w:rsidRPr="00841BE0">
        <w:rPr>
          <w:sz w:val="24"/>
          <w:szCs w:val="24"/>
        </w:rPr>
        <w:t xml:space="preserve">induktorer af OCT1 (f.eks. </w:t>
      </w:r>
      <w:proofErr w:type="spellStart"/>
      <w:r w:rsidRPr="00841BE0">
        <w:rPr>
          <w:sz w:val="24"/>
          <w:szCs w:val="24"/>
        </w:rPr>
        <w:t>rifampicin</w:t>
      </w:r>
      <w:proofErr w:type="spellEnd"/>
      <w:r w:rsidRPr="00841BE0">
        <w:rPr>
          <w:sz w:val="24"/>
          <w:szCs w:val="24"/>
        </w:rPr>
        <w:t xml:space="preserve">) kan øge absorptionen i mave-tarm-kanalen og virkningen af </w:t>
      </w:r>
      <w:proofErr w:type="spellStart"/>
      <w:r w:rsidRPr="00841BE0">
        <w:rPr>
          <w:sz w:val="24"/>
          <w:szCs w:val="24"/>
        </w:rPr>
        <w:t>metformin</w:t>
      </w:r>
      <w:proofErr w:type="spellEnd"/>
      <w:r w:rsidRPr="00841BE0">
        <w:rPr>
          <w:sz w:val="24"/>
          <w:szCs w:val="24"/>
        </w:rPr>
        <w:t>.</w:t>
      </w:r>
    </w:p>
    <w:p w14:paraId="13AC77C7" w14:textId="77777777" w:rsidR="00841BE0" w:rsidRPr="00841BE0" w:rsidRDefault="00841BE0" w:rsidP="00A3510F">
      <w:pPr>
        <w:numPr>
          <w:ilvl w:val="0"/>
          <w:numId w:val="6"/>
        </w:numPr>
        <w:ind w:left="1276" w:hanging="425"/>
        <w:rPr>
          <w:sz w:val="24"/>
          <w:szCs w:val="24"/>
        </w:rPr>
      </w:pPr>
      <w:proofErr w:type="spellStart"/>
      <w:r w:rsidRPr="00841BE0">
        <w:rPr>
          <w:sz w:val="24"/>
          <w:szCs w:val="24"/>
        </w:rPr>
        <w:t>hæmmere</w:t>
      </w:r>
      <w:proofErr w:type="spellEnd"/>
      <w:r w:rsidRPr="00841BE0">
        <w:rPr>
          <w:sz w:val="24"/>
          <w:szCs w:val="24"/>
        </w:rPr>
        <w:t xml:space="preserve"> af OCT2 (f.eks. </w:t>
      </w:r>
      <w:proofErr w:type="spellStart"/>
      <w:r w:rsidRPr="00841BE0">
        <w:rPr>
          <w:sz w:val="24"/>
          <w:szCs w:val="24"/>
        </w:rPr>
        <w:t>cimetidin</w:t>
      </w:r>
      <w:proofErr w:type="spellEnd"/>
      <w:r w:rsidRPr="00841BE0">
        <w:rPr>
          <w:sz w:val="24"/>
          <w:szCs w:val="24"/>
        </w:rPr>
        <w:t xml:space="preserve">, </w:t>
      </w:r>
      <w:proofErr w:type="spellStart"/>
      <w:r w:rsidRPr="00841BE0">
        <w:rPr>
          <w:sz w:val="24"/>
          <w:szCs w:val="24"/>
        </w:rPr>
        <w:t>dolutegravir</w:t>
      </w:r>
      <w:proofErr w:type="spellEnd"/>
      <w:r w:rsidRPr="00841BE0">
        <w:rPr>
          <w:sz w:val="24"/>
          <w:szCs w:val="24"/>
        </w:rPr>
        <w:t xml:space="preserve">, </w:t>
      </w:r>
      <w:proofErr w:type="spellStart"/>
      <w:r w:rsidRPr="00841BE0">
        <w:rPr>
          <w:sz w:val="24"/>
          <w:szCs w:val="24"/>
        </w:rPr>
        <w:t>ranolazin</w:t>
      </w:r>
      <w:proofErr w:type="spellEnd"/>
      <w:r w:rsidRPr="00841BE0">
        <w:rPr>
          <w:sz w:val="24"/>
          <w:szCs w:val="24"/>
        </w:rPr>
        <w:t xml:space="preserve">, </w:t>
      </w:r>
      <w:proofErr w:type="spellStart"/>
      <w:r w:rsidRPr="00841BE0">
        <w:rPr>
          <w:sz w:val="24"/>
          <w:szCs w:val="24"/>
        </w:rPr>
        <w:t>trimethoprim</w:t>
      </w:r>
      <w:proofErr w:type="spellEnd"/>
      <w:r w:rsidRPr="00841BE0">
        <w:rPr>
          <w:sz w:val="24"/>
          <w:szCs w:val="24"/>
        </w:rPr>
        <w:t xml:space="preserve">, </w:t>
      </w:r>
      <w:proofErr w:type="spellStart"/>
      <w:r w:rsidRPr="00841BE0">
        <w:rPr>
          <w:sz w:val="24"/>
          <w:szCs w:val="24"/>
        </w:rPr>
        <w:t>vandetanib</w:t>
      </w:r>
      <w:proofErr w:type="spellEnd"/>
      <w:r w:rsidRPr="00841BE0">
        <w:rPr>
          <w:sz w:val="24"/>
          <w:szCs w:val="24"/>
        </w:rPr>
        <w:t xml:space="preserve">, </w:t>
      </w:r>
      <w:proofErr w:type="spellStart"/>
      <w:r w:rsidRPr="00841BE0">
        <w:rPr>
          <w:sz w:val="24"/>
          <w:szCs w:val="24"/>
        </w:rPr>
        <w:t>isavuconazol</w:t>
      </w:r>
      <w:proofErr w:type="spellEnd"/>
      <w:r w:rsidRPr="00841BE0">
        <w:rPr>
          <w:sz w:val="24"/>
          <w:szCs w:val="24"/>
        </w:rPr>
        <w:t xml:space="preserve">) kan reducere </w:t>
      </w:r>
      <w:proofErr w:type="spellStart"/>
      <w:r w:rsidRPr="00841BE0">
        <w:rPr>
          <w:sz w:val="24"/>
          <w:szCs w:val="24"/>
        </w:rPr>
        <w:t>metformins</w:t>
      </w:r>
      <w:proofErr w:type="spellEnd"/>
      <w:r w:rsidRPr="00841BE0">
        <w:rPr>
          <w:sz w:val="24"/>
          <w:szCs w:val="24"/>
        </w:rPr>
        <w:t xml:space="preserve"> elimination i nyrerne og dermed medføre en stigning i plasmakoncentrationen af </w:t>
      </w:r>
      <w:proofErr w:type="spellStart"/>
      <w:r w:rsidRPr="00841BE0">
        <w:rPr>
          <w:sz w:val="24"/>
          <w:szCs w:val="24"/>
        </w:rPr>
        <w:t>metformin</w:t>
      </w:r>
      <w:proofErr w:type="spellEnd"/>
      <w:r w:rsidRPr="00841BE0">
        <w:rPr>
          <w:sz w:val="24"/>
          <w:szCs w:val="24"/>
        </w:rPr>
        <w:t>.</w:t>
      </w:r>
    </w:p>
    <w:p w14:paraId="5A7BBC0C" w14:textId="77777777" w:rsidR="00841BE0" w:rsidRPr="00841BE0" w:rsidRDefault="00841BE0" w:rsidP="00A3510F">
      <w:pPr>
        <w:numPr>
          <w:ilvl w:val="0"/>
          <w:numId w:val="6"/>
        </w:numPr>
        <w:ind w:left="1276" w:hanging="425"/>
        <w:rPr>
          <w:sz w:val="24"/>
          <w:szCs w:val="24"/>
        </w:rPr>
      </w:pPr>
      <w:proofErr w:type="spellStart"/>
      <w:r w:rsidRPr="00841BE0">
        <w:rPr>
          <w:sz w:val="24"/>
          <w:szCs w:val="24"/>
        </w:rPr>
        <w:t>hæmmere</w:t>
      </w:r>
      <w:proofErr w:type="spellEnd"/>
      <w:r w:rsidRPr="00841BE0">
        <w:rPr>
          <w:sz w:val="24"/>
          <w:szCs w:val="24"/>
        </w:rPr>
        <w:t xml:space="preserve"> af både OCT1 og OCT2 (f.eks. </w:t>
      </w:r>
      <w:proofErr w:type="spellStart"/>
      <w:r w:rsidRPr="00841BE0">
        <w:rPr>
          <w:sz w:val="24"/>
          <w:szCs w:val="24"/>
        </w:rPr>
        <w:t>crizotinib</w:t>
      </w:r>
      <w:proofErr w:type="spellEnd"/>
      <w:r w:rsidRPr="00841BE0">
        <w:rPr>
          <w:sz w:val="24"/>
          <w:szCs w:val="24"/>
        </w:rPr>
        <w:t xml:space="preserve">, </w:t>
      </w:r>
      <w:proofErr w:type="spellStart"/>
      <w:r w:rsidRPr="00841BE0">
        <w:rPr>
          <w:sz w:val="24"/>
          <w:szCs w:val="24"/>
        </w:rPr>
        <w:t>olaparib</w:t>
      </w:r>
      <w:proofErr w:type="spellEnd"/>
      <w:r w:rsidRPr="00841BE0">
        <w:rPr>
          <w:sz w:val="24"/>
          <w:szCs w:val="24"/>
        </w:rPr>
        <w:t xml:space="preserve">) kan ændre virkningen af </w:t>
      </w:r>
      <w:proofErr w:type="spellStart"/>
      <w:r w:rsidRPr="00841BE0">
        <w:rPr>
          <w:sz w:val="24"/>
          <w:szCs w:val="24"/>
        </w:rPr>
        <w:t>metformin</w:t>
      </w:r>
      <w:proofErr w:type="spellEnd"/>
      <w:r w:rsidRPr="00841BE0">
        <w:rPr>
          <w:sz w:val="24"/>
          <w:szCs w:val="24"/>
        </w:rPr>
        <w:t xml:space="preserve"> og dets elimination i nyrerne.</w:t>
      </w:r>
    </w:p>
    <w:p w14:paraId="57E9FF62" w14:textId="77777777" w:rsidR="00841BE0" w:rsidRPr="00841BE0" w:rsidRDefault="00841BE0" w:rsidP="00A3510F">
      <w:pPr>
        <w:ind w:left="851"/>
        <w:rPr>
          <w:sz w:val="24"/>
          <w:szCs w:val="24"/>
        </w:rPr>
      </w:pPr>
      <w:r w:rsidRPr="00841BE0">
        <w:rPr>
          <w:sz w:val="24"/>
          <w:szCs w:val="24"/>
        </w:rPr>
        <w:t xml:space="preserve">Der bør derfor udvises forsigtighed, især hos patienter med nedsat nyrefunktion, når disse lægemidler administreres samtidigt med </w:t>
      </w:r>
      <w:proofErr w:type="spellStart"/>
      <w:r w:rsidRPr="00841BE0">
        <w:rPr>
          <w:sz w:val="24"/>
          <w:szCs w:val="24"/>
        </w:rPr>
        <w:t>metformin</w:t>
      </w:r>
      <w:proofErr w:type="spellEnd"/>
      <w:r w:rsidRPr="00841BE0">
        <w:rPr>
          <w:sz w:val="24"/>
          <w:szCs w:val="24"/>
        </w:rPr>
        <w:t xml:space="preserve">, da plasmakoncentrationen af </w:t>
      </w:r>
      <w:proofErr w:type="spellStart"/>
      <w:r w:rsidRPr="00841BE0">
        <w:rPr>
          <w:sz w:val="24"/>
          <w:szCs w:val="24"/>
        </w:rPr>
        <w:t>metformin</w:t>
      </w:r>
      <w:proofErr w:type="spellEnd"/>
      <w:r w:rsidRPr="00841BE0">
        <w:rPr>
          <w:sz w:val="24"/>
          <w:szCs w:val="24"/>
        </w:rPr>
        <w:t xml:space="preserve"> kan stige. Hvis det er nødvendigt, kan en dosisjustering af </w:t>
      </w:r>
      <w:proofErr w:type="spellStart"/>
      <w:r w:rsidRPr="00841BE0">
        <w:rPr>
          <w:sz w:val="24"/>
          <w:szCs w:val="24"/>
        </w:rPr>
        <w:t>metformin</w:t>
      </w:r>
      <w:proofErr w:type="spellEnd"/>
      <w:r w:rsidRPr="00841BE0">
        <w:rPr>
          <w:sz w:val="24"/>
          <w:szCs w:val="24"/>
        </w:rPr>
        <w:t xml:space="preserve"> overvejes, da </w:t>
      </w:r>
      <w:proofErr w:type="spellStart"/>
      <w:r w:rsidRPr="00841BE0">
        <w:rPr>
          <w:sz w:val="24"/>
          <w:szCs w:val="24"/>
        </w:rPr>
        <w:t>hæmmere</w:t>
      </w:r>
      <w:proofErr w:type="spellEnd"/>
      <w:r w:rsidRPr="00841BE0">
        <w:rPr>
          <w:sz w:val="24"/>
          <w:szCs w:val="24"/>
        </w:rPr>
        <w:t xml:space="preserve">/induktorer af OCT kan ændre virkningen af </w:t>
      </w:r>
      <w:proofErr w:type="spellStart"/>
      <w:r w:rsidRPr="00841BE0">
        <w:rPr>
          <w:sz w:val="24"/>
          <w:szCs w:val="24"/>
        </w:rPr>
        <w:t>metformin</w:t>
      </w:r>
      <w:proofErr w:type="spellEnd"/>
      <w:r w:rsidRPr="00841BE0">
        <w:rPr>
          <w:sz w:val="24"/>
          <w:szCs w:val="24"/>
        </w:rPr>
        <w:t xml:space="preserve"> (se pkt. 4.2 og 4.4).</w:t>
      </w:r>
    </w:p>
    <w:p w14:paraId="46F74970" w14:textId="77777777" w:rsidR="00841BE0" w:rsidRPr="00841BE0" w:rsidRDefault="00841BE0" w:rsidP="00A3510F">
      <w:pPr>
        <w:ind w:left="851"/>
        <w:rPr>
          <w:sz w:val="24"/>
          <w:szCs w:val="24"/>
        </w:rPr>
      </w:pPr>
    </w:p>
    <w:p w14:paraId="17C92AAD" w14:textId="77777777" w:rsidR="00841BE0" w:rsidRPr="00841BE0" w:rsidRDefault="00841BE0" w:rsidP="00A3510F">
      <w:pPr>
        <w:ind w:left="851"/>
        <w:rPr>
          <w:i/>
          <w:iCs/>
          <w:sz w:val="24"/>
          <w:szCs w:val="24"/>
        </w:rPr>
      </w:pPr>
      <w:proofErr w:type="spellStart"/>
      <w:r w:rsidRPr="00841BE0">
        <w:rPr>
          <w:i/>
          <w:iCs/>
          <w:sz w:val="24"/>
          <w:szCs w:val="24"/>
        </w:rPr>
        <w:t>Iodholdige</w:t>
      </w:r>
      <w:proofErr w:type="spellEnd"/>
      <w:r w:rsidRPr="00841BE0">
        <w:rPr>
          <w:i/>
          <w:iCs/>
          <w:sz w:val="24"/>
          <w:szCs w:val="24"/>
        </w:rPr>
        <w:t xml:space="preserve"> kontrastmidler</w:t>
      </w:r>
    </w:p>
    <w:p w14:paraId="1B76F249" w14:textId="77777777" w:rsidR="00841BE0" w:rsidRPr="00841BE0" w:rsidRDefault="00841BE0" w:rsidP="00A3510F">
      <w:pPr>
        <w:ind w:left="851"/>
        <w:rPr>
          <w:sz w:val="24"/>
          <w:szCs w:val="24"/>
        </w:rPr>
      </w:pPr>
      <w:r w:rsidRPr="00841BE0">
        <w:rPr>
          <w:sz w:val="24"/>
          <w:szCs w:val="24"/>
        </w:rPr>
        <w:t xml:space="preserve">Behandling med </w:t>
      </w:r>
      <w:proofErr w:type="spellStart"/>
      <w:r w:rsidRPr="00841BE0">
        <w:rPr>
          <w:sz w:val="24"/>
          <w:szCs w:val="24"/>
        </w:rPr>
        <w:t>metformin</w:t>
      </w:r>
      <w:proofErr w:type="spellEnd"/>
      <w:r w:rsidRPr="00841BE0">
        <w:rPr>
          <w:sz w:val="24"/>
          <w:szCs w:val="24"/>
        </w:rPr>
        <w:t xml:space="preserve"> skal afbrydes forud for eller på tidspunktet for billeddiagnostiske procedurer og først genoptages mindst 48 timer herefter, forudsat at nyrefunktionen er blevet vurderet og fundet stabil (se pkt. 4.2 og 4.4).</w:t>
      </w:r>
    </w:p>
    <w:p w14:paraId="3D39A047" w14:textId="77777777" w:rsidR="00841BE0" w:rsidRPr="00841BE0" w:rsidRDefault="00841BE0" w:rsidP="00A3510F">
      <w:pPr>
        <w:ind w:left="851"/>
        <w:rPr>
          <w:sz w:val="24"/>
          <w:szCs w:val="24"/>
        </w:rPr>
      </w:pPr>
    </w:p>
    <w:p w14:paraId="66C6A1C0" w14:textId="77777777" w:rsidR="00841BE0" w:rsidRPr="00841BE0" w:rsidRDefault="00841BE0" w:rsidP="00A3510F">
      <w:pPr>
        <w:ind w:left="851"/>
        <w:rPr>
          <w:i/>
          <w:iCs/>
          <w:sz w:val="24"/>
          <w:szCs w:val="24"/>
          <w:u w:val="single"/>
        </w:rPr>
      </w:pPr>
      <w:r w:rsidRPr="00841BE0">
        <w:rPr>
          <w:i/>
          <w:iCs/>
          <w:sz w:val="24"/>
          <w:szCs w:val="24"/>
          <w:u w:val="single"/>
        </w:rPr>
        <w:t>Kombinationsbehandlinger, der kræver forsigtighed</w:t>
      </w:r>
    </w:p>
    <w:p w14:paraId="6D383A68" w14:textId="77777777" w:rsidR="00841BE0" w:rsidRPr="00841BE0" w:rsidRDefault="00841BE0" w:rsidP="00A3510F">
      <w:pPr>
        <w:ind w:left="851"/>
        <w:rPr>
          <w:sz w:val="24"/>
          <w:szCs w:val="24"/>
        </w:rPr>
      </w:pPr>
    </w:p>
    <w:p w14:paraId="2125AB0F" w14:textId="77777777" w:rsidR="00841BE0" w:rsidRPr="00841BE0" w:rsidRDefault="00841BE0" w:rsidP="00A3510F">
      <w:pPr>
        <w:ind w:left="851"/>
        <w:rPr>
          <w:sz w:val="24"/>
          <w:szCs w:val="24"/>
        </w:rPr>
      </w:pPr>
      <w:r w:rsidRPr="00841BE0">
        <w:rPr>
          <w:sz w:val="24"/>
          <w:szCs w:val="24"/>
        </w:rPr>
        <w:t xml:space="preserve">Visse lægemidler kan påvirke nyrefunktionen negativt, hvilket kan øge risikoen for laktatacidose, f.eks. </w:t>
      </w:r>
      <w:proofErr w:type="spellStart"/>
      <w:r w:rsidRPr="00841BE0">
        <w:rPr>
          <w:sz w:val="24"/>
          <w:szCs w:val="24"/>
        </w:rPr>
        <w:t>NSAID’er</w:t>
      </w:r>
      <w:proofErr w:type="spellEnd"/>
      <w:r w:rsidRPr="00841BE0">
        <w:rPr>
          <w:sz w:val="24"/>
          <w:szCs w:val="24"/>
        </w:rPr>
        <w:t xml:space="preserve">, herunder selektive </w:t>
      </w:r>
      <w:proofErr w:type="spellStart"/>
      <w:r w:rsidRPr="00841BE0">
        <w:rPr>
          <w:sz w:val="24"/>
          <w:szCs w:val="24"/>
        </w:rPr>
        <w:t>cyclooxygenase</w:t>
      </w:r>
      <w:proofErr w:type="spellEnd"/>
      <w:r w:rsidRPr="00841BE0">
        <w:rPr>
          <w:sz w:val="24"/>
          <w:szCs w:val="24"/>
        </w:rPr>
        <w:t xml:space="preserve"> (COX) II-</w:t>
      </w:r>
      <w:proofErr w:type="spellStart"/>
      <w:r w:rsidRPr="00841BE0">
        <w:rPr>
          <w:sz w:val="24"/>
          <w:szCs w:val="24"/>
        </w:rPr>
        <w:t>hæmmere</w:t>
      </w:r>
      <w:proofErr w:type="spellEnd"/>
      <w:r w:rsidRPr="00841BE0">
        <w:rPr>
          <w:sz w:val="24"/>
          <w:szCs w:val="24"/>
        </w:rPr>
        <w:t>, ACE-</w:t>
      </w:r>
      <w:proofErr w:type="spellStart"/>
      <w:r w:rsidRPr="00841BE0">
        <w:rPr>
          <w:sz w:val="24"/>
          <w:szCs w:val="24"/>
        </w:rPr>
        <w:t>hæmmere</w:t>
      </w:r>
      <w:proofErr w:type="spellEnd"/>
      <w:r w:rsidRPr="00841BE0">
        <w:rPr>
          <w:sz w:val="24"/>
          <w:szCs w:val="24"/>
        </w:rPr>
        <w:t xml:space="preserve">, </w:t>
      </w:r>
      <w:proofErr w:type="spellStart"/>
      <w:r w:rsidRPr="00841BE0">
        <w:rPr>
          <w:sz w:val="24"/>
          <w:szCs w:val="24"/>
        </w:rPr>
        <w:t>angiotensin</w:t>
      </w:r>
      <w:proofErr w:type="spellEnd"/>
      <w:r w:rsidRPr="00841BE0">
        <w:rPr>
          <w:sz w:val="24"/>
          <w:szCs w:val="24"/>
        </w:rPr>
        <w:t xml:space="preserve"> II-receptorantagonister og </w:t>
      </w:r>
      <w:proofErr w:type="spellStart"/>
      <w:r w:rsidRPr="00841BE0">
        <w:rPr>
          <w:sz w:val="24"/>
          <w:szCs w:val="24"/>
        </w:rPr>
        <w:t>diuretika</w:t>
      </w:r>
      <w:proofErr w:type="spellEnd"/>
      <w:r w:rsidRPr="00841BE0">
        <w:rPr>
          <w:sz w:val="24"/>
          <w:szCs w:val="24"/>
        </w:rPr>
        <w:t>, især loop-</w:t>
      </w:r>
      <w:proofErr w:type="spellStart"/>
      <w:r w:rsidRPr="00841BE0">
        <w:rPr>
          <w:sz w:val="24"/>
          <w:szCs w:val="24"/>
        </w:rPr>
        <w:t>diuretika</w:t>
      </w:r>
      <w:proofErr w:type="spellEnd"/>
      <w:r w:rsidRPr="00841BE0">
        <w:rPr>
          <w:sz w:val="24"/>
          <w:szCs w:val="24"/>
        </w:rPr>
        <w:t xml:space="preserve">. Ved initiering eller brug af sådanne præparater i kombination med </w:t>
      </w:r>
      <w:proofErr w:type="spellStart"/>
      <w:r w:rsidRPr="00841BE0">
        <w:rPr>
          <w:sz w:val="24"/>
          <w:szCs w:val="24"/>
        </w:rPr>
        <w:t>metformin</w:t>
      </w:r>
      <w:proofErr w:type="spellEnd"/>
      <w:r w:rsidRPr="00841BE0">
        <w:rPr>
          <w:sz w:val="24"/>
          <w:szCs w:val="24"/>
        </w:rPr>
        <w:t xml:space="preserve"> skal nyrefunktionen monitoreres tæt.</w:t>
      </w:r>
    </w:p>
    <w:p w14:paraId="3D201AEB" w14:textId="77777777" w:rsidR="00841BE0" w:rsidRPr="00841BE0" w:rsidRDefault="00841BE0" w:rsidP="00A3510F">
      <w:pPr>
        <w:ind w:left="851"/>
        <w:rPr>
          <w:sz w:val="24"/>
          <w:szCs w:val="24"/>
        </w:rPr>
      </w:pPr>
      <w:proofErr w:type="spellStart"/>
      <w:r w:rsidRPr="00841BE0">
        <w:rPr>
          <w:sz w:val="24"/>
          <w:szCs w:val="24"/>
        </w:rPr>
        <w:t>Glukokortikoider</w:t>
      </w:r>
      <w:proofErr w:type="spellEnd"/>
      <w:r w:rsidRPr="00841BE0">
        <w:rPr>
          <w:sz w:val="24"/>
          <w:szCs w:val="24"/>
        </w:rPr>
        <w:t xml:space="preserve"> (givet systemisk og lokalt), beta-2-agonister og </w:t>
      </w:r>
      <w:proofErr w:type="spellStart"/>
      <w:r w:rsidRPr="00841BE0">
        <w:rPr>
          <w:sz w:val="24"/>
          <w:szCs w:val="24"/>
        </w:rPr>
        <w:t>diuretika</w:t>
      </w:r>
      <w:proofErr w:type="spellEnd"/>
      <w:r w:rsidRPr="00841BE0">
        <w:rPr>
          <w:sz w:val="24"/>
          <w:szCs w:val="24"/>
        </w:rPr>
        <w:t xml:space="preserve"> har en selvstændig </w:t>
      </w:r>
      <w:proofErr w:type="spellStart"/>
      <w:r w:rsidRPr="00841BE0">
        <w:rPr>
          <w:sz w:val="24"/>
          <w:szCs w:val="24"/>
        </w:rPr>
        <w:t>hyperglykæmisk</w:t>
      </w:r>
      <w:proofErr w:type="spellEnd"/>
      <w:r w:rsidRPr="00841BE0">
        <w:rPr>
          <w:sz w:val="24"/>
          <w:szCs w:val="24"/>
        </w:rPr>
        <w:t xml:space="preserve"> virkning. Patienten bør informeres herom, og </w:t>
      </w:r>
      <w:proofErr w:type="spellStart"/>
      <w:r w:rsidRPr="00841BE0">
        <w:rPr>
          <w:sz w:val="24"/>
          <w:szCs w:val="24"/>
        </w:rPr>
        <w:t>blodglucose</w:t>
      </w:r>
      <w:proofErr w:type="spellEnd"/>
      <w:r w:rsidRPr="00841BE0">
        <w:rPr>
          <w:sz w:val="24"/>
          <w:szCs w:val="24"/>
        </w:rPr>
        <w:t xml:space="preserve"> bør kontrolleres hyppigere, især i starten af behandling med sådanne lægemidler. Om nødvendigt bør dosis af det </w:t>
      </w:r>
      <w:proofErr w:type="spellStart"/>
      <w:r w:rsidRPr="00841BE0">
        <w:rPr>
          <w:sz w:val="24"/>
          <w:szCs w:val="24"/>
        </w:rPr>
        <w:t>antihyperglykæmiske</w:t>
      </w:r>
      <w:proofErr w:type="spellEnd"/>
      <w:r w:rsidRPr="00841BE0">
        <w:rPr>
          <w:sz w:val="24"/>
          <w:szCs w:val="24"/>
        </w:rPr>
        <w:t xml:space="preserve"> lægemiddel justeres under behandling med det andet lægemiddel og ved </w:t>
      </w:r>
      <w:proofErr w:type="spellStart"/>
      <w:r w:rsidRPr="00841BE0">
        <w:rPr>
          <w:sz w:val="24"/>
          <w:szCs w:val="24"/>
        </w:rPr>
        <w:t>seponering</w:t>
      </w:r>
      <w:proofErr w:type="spellEnd"/>
      <w:r w:rsidRPr="00841BE0">
        <w:rPr>
          <w:sz w:val="24"/>
          <w:szCs w:val="24"/>
        </w:rPr>
        <w:t xml:space="preserve"> af dette.</w:t>
      </w:r>
    </w:p>
    <w:p w14:paraId="13B57341" w14:textId="77777777" w:rsidR="00841BE0" w:rsidRPr="00841BE0" w:rsidRDefault="00841BE0" w:rsidP="00A3510F">
      <w:pPr>
        <w:ind w:left="851"/>
        <w:rPr>
          <w:sz w:val="24"/>
          <w:szCs w:val="24"/>
        </w:rPr>
      </w:pPr>
    </w:p>
    <w:p w14:paraId="33133BD6" w14:textId="77777777" w:rsidR="00841BE0" w:rsidRPr="00841BE0" w:rsidRDefault="00841BE0" w:rsidP="00A3510F">
      <w:pPr>
        <w:ind w:left="851"/>
        <w:rPr>
          <w:i/>
          <w:iCs/>
          <w:sz w:val="24"/>
          <w:szCs w:val="24"/>
        </w:rPr>
      </w:pPr>
      <w:r w:rsidRPr="00841BE0">
        <w:rPr>
          <w:i/>
          <w:iCs/>
          <w:sz w:val="24"/>
          <w:szCs w:val="24"/>
        </w:rPr>
        <w:t>Insulin og beta-cellestimulerende midler</w:t>
      </w:r>
    </w:p>
    <w:p w14:paraId="03EB5591" w14:textId="77777777" w:rsidR="00841BE0" w:rsidRPr="00841BE0" w:rsidRDefault="00841BE0" w:rsidP="00A3510F">
      <w:pPr>
        <w:ind w:left="851"/>
        <w:rPr>
          <w:sz w:val="24"/>
          <w:szCs w:val="24"/>
        </w:rPr>
      </w:pPr>
      <w:r w:rsidRPr="00841BE0">
        <w:rPr>
          <w:sz w:val="24"/>
          <w:szCs w:val="24"/>
        </w:rPr>
        <w:t xml:space="preserve">Risikoen for hypoglykæmi kan øges ved brug af insulin og beta-cellestimulerende midler, som f.eks. </w:t>
      </w:r>
      <w:proofErr w:type="spellStart"/>
      <w:r w:rsidRPr="00841BE0">
        <w:rPr>
          <w:sz w:val="24"/>
          <w:szCs w:val="24"/>
        </w:rPr>
        <w:t>sulfonylurinstoffer</w:t>
      </w:r>
      <w:proofErr w:type="spellEnd"/>
      <w:r w:rsidRPr="00841BE0">
        <w:rPr>
          <w:sz w:val="24"/>
          <w:szCs w:val="24"/>
        </w:rPr>
        <w:t xml:space="preserve">. Derfor skal dosis af insulin eller beta-cellestimulerende midler måske sættes ned for at nedsætte risikoen for hypoglykæmi ved samtidig brug af </w:t>
      </w:r>
      <w:proofErr w:type="spellStart"/>
      <w:r w:rsidRPr="00841BE0">
        <w:rPr>
          <w:sz w:val="24"/>
          <w:szCs w:val="24"/>
        </w:rPr>
        <w:t>metformin</w:t>
      </w:r>
      <w:proofErr w:type="spellEnd"/>
      <w:r w:rsidRPr="00841BE0">
        <w:rPr>
          <w:sz w:val="24"/>
          <w:szCs w:val="24"/>
        </w:rPr>
        <w:t xml:space="preserve"> (se pkt. 4.2 og 4.8).</w:t>
      </w:r>
    </w:p>
    <w:p w14:paraId="763E4076" w14:textId="77777777" w:rsidR="00841BE0" w:rsidRPr="00841BE0" w:rsidRDefault="00841BE0" w:rsidP="00A3510F">
      <w:pPr>
        <w:ind w:left="851"/>
        <w:rPr>
          <w:sz w:val="24"/>
          <w:szCs w:val="24"/>
        </w:rPr>
      </w:pPr>
    </w:p>
    <w:p w14:paraId="4D3BF630" w14:textId="77777777" w:rsidR="00841BE0" w:rsidRPr="00841BE0" w:rsidRDefault="00841BE0" w:rsidP="00A3510F">
      <w:pPr>
        <w:ind w:left="851"/>
        <w:rPr>
          <w:sz w:val="24"/>
          <w:szCs w:val="24"/>
          <w:u w:val="single"/>
        </w:rPr>
      </w:pPr>
      <w:r w:rsidRPr="00841BE0">
        <w:rPr>
          <w:sz w:val="24"/>
          <w:szCs w:val="24"/>
          <w:u w:val="single"/>
        </w:rPr>
        <w:t>Pædiatrisk population</w:t>
      </w:r>
    </w:p>
    <w:p w14:paraId="5DF8975C" w14:textId="77777777" w:rsidR="00841BE0" w:rsidRPr="00841BE0" w:rsidRDefault="00841BE0" w:rsidP="00A3510F">
      <w:pPr>
        <w:ind w:left="851"/>
        <w:rPr>
          <w:sz w:val="24"/>
          <w:szCs w:val="24"/>
        </w:rPr>
      </w:pPr>
      <w:r w:rsidRPr="00841BE0">
        <w:rPr>
          <w:sz w:val="24"/>
          <w:szCs w:val="24"/>
        </w:rPr>
        <w:t>Interaktionsstudier er kun udført hos voksne.</w:t>
      </w:r>
    </w:p>
    <w:p w14:paraId="14434BD7" w14:textId="77777777" w:rsidR="009260DE" w:rsidRPr="003D3B2F" w:rsidRDefault="009260DE" w:rsidP="00A3510F">
      <w:pPr>
        <w:ind w:left="851"/>
        <w:rPr>
          <w:sz w:val="24"/>
          <w:szCs w:val="24"/>
        </w:rPr>
      </w:pPr>
    </w:p>
    <w:p w14:paraId="74C1234F" w14:textId="77777777" w:rsidR="009260DE" w:rsidRPr="003D3B2F" w:rsidRDefault="009260DE" w:rsidP="009260DE">
      <w:pPr>
        <w:tabs>
          <w:tab w:val="left" w:pos="851"/>
        </w:tabs>
        <w:ind w:left="851" w:hanging="851"/>
        <w:rPr>
          <w:b/>
          <w:sz w:val="24"/>
          <w:szCs w:val="24"/>
        </w:rPr>
      </w:pPr>
      <w:r w:rsidRPr="003D3B2F">
        <w:rPr>
          <w:b/>
          <w:sz w:val="24"/>
          <w:szCs w:val="24"/>
        </w:rPr>
        <w:t>4.6</w:t>
      </w:r>
      <w:r w:rsidRPr="003D3B2F">
        <w:rPr>
          <w:b/>
          <w:sz w:val="24"/>
          <w:szCs w:val="24"/>
        </w:rPr>
        <w:tab/>
      </w:r>
      <w:r w:rsidR="0071241E" w:rsidRPr="003D3B2F">
        <w:rPr>
          <w:b/>
          <w:sz w:val="24"/>
          <w:szCs w:val="24"/>
        </w:rPr>
        <w:t>Fertilitet, g</w:t>
      </w:r>
      <w:r w:rsidRPr="003D3B2F">
        <w:rPr>
          <w:b/>
          <w:sz w:val="24"/>
          <w:szCs w:val="24"/>
        </w:rPr>
        <w:t>raviditet og amning</w:t>
      </w:r>
    </w:p>
    <w:p w14:paraId="5A8DE549" w14:textId="77777777" w:rsidR="00595CFD" w:rsidRDefault="00595CFD" w:rsidP="00A3510F">
      <w:pPr>
        <w:ind w:left="851"/>
        <w:rPr>
          <w:sz w:val="24"/>
          <w:szCs w:val="24"/>
          <w:u w:val="single"/>
        </w:rPr>
      </w:pPr>
    </w:p>
    <w:p w14:paraId="5DB97110" w14:textId="14BE108E" w:rsidR="00841BE0" w:rsidRPr="00841BE0" w:rsidRDefault="00841BE0" w:rsidP="00A3510F">
      <w:pPr>
        <w:ind w:left="851"/>
        <w:rPr>
          <w:sz w:val="24"/>
          <w:szCs w:val="24"/>
          <w:u w:val="single"/>
        </w:rPr>
      </w:pPr>
      <w:r w:rsidRPr="00841BE0">
        <w:rPr>
          <w:sz w:val="24"/>
          <w:szCs w:val="24"/>
          <w:u w:val="single"/>
        </w:rPr>
        <w:t>Graviditet</w:t>
      </w:r>
    </w:p>
    <w:p w14:paraId="2E335857" w14:textId="77777777" w:rsidR="00841BE0" w:rsidRPr="00841BE0" w:rsidRDefault="00841BE0" w:rsidP="00A3510F">
      <w:pPr>
        <w:ind w:left="851"/>
        <w:rPr>
          <w:sz w:val="24"/>
          <w:szCs w:val="24"/>
        </w:rPr>
      </w:pPr>
    </w:p>
    <w:p w14:paraId="02D0E02B" w14:textId="77777777" w:rsidR="00841BE0" w:rsidRPr="00841BE0" w:rsidRDefault="00841BE0" w:rsidP="00A3510F">
      <w:pPr>
        <w:ind w:left="851"/>
        <w:rPr>
          <w:sz w:val="24"/>
          <w:szCs w:val="24"/>
        </w:rPr>
      </w:pPr>
      <w:r w:rsidRPr="00841BE0">
        <w:rPr>
          <w:sz w:val="24"/>
          <w:szCs w:val="24"/>
        </w:rPr>
        <w:t xml:space="preserve">Der foreligger ingen data om brug af dette lægemiddel eller </w:t>
      </w:r>
      <w:proofErr w:type="spellStart"/>
      <w:r w:rsidRPr="00841BE0">
        <w:rPr>
          <w:sz w:val="24"/>
          <w:szCs w:val="24"/>
        </w:rPr>
        <w:t>empagliflozin</w:t>
      </w:r>
      <w:proofErr w:type="spellEnd"/>
      <w:r w:rsidRPr="00841BE0">
        <w:rPr>
          <w:sz w:val="24"/>
          <w:szCs w:val="24"/>
        </w:rPr>
        <w:t xml:space="preserve"> til gravide kvinder. Dyrestudier viser, at </w:t>
      </w:r>
      <w:proofErr w:type="spellStart"/>
      <w:r w:rsidRPr="00841BE0">
        <w:rPr>
          <w:sz w:val="24"/>
          <w:szCs w:val="24"/>
        </w:rPr>
        <w:t>empagliflozin</w:t>
      </w:r>
      <w:proofErr w:type="spellEnd"/>
      <w:r w:rsidRPr="00841BE0">
        <w:rPr>
          <w:sz w:val="24"/>
          <w:szCs w:val="24"/>
        </w:rPr>
        <w:t xml:space="preserve"> passerer placenta i meget begrænset omfang sent i graviditeten, men de tyder hverken på direkte eller indirekte skadelige virkninger på den tidlige fosterudvikling.</w:t>
      </w:r>
    </w:p>
    <w:p w14:paraId="22348DF1" w14:textId="77777777" w:rsidR="00841BE0" w:rsidRPr="00841BE0" w:rsidRDefault="00841BE0" w:rsidP="00A3510F">
      <w:pPr>
        <w:ind w:left="851"/>
        <w:rPr>
          <w:sz w:val="24"/>
          <w:szCs w:val="24"/>
        </w:rPr>
      </w:pPr>
      <w:r w:rsidRPr="00841BE0">
        <w:rPr>
          <w:sz w:val="24"/>
          <w:szCs w:val="24"/>
        </w:rPr>
        <w:t xml:space="preserve">Dyrestudier har imidlertid påvist negative virkninger på den </w:t>
      </w:r>
      <w:proofErr w:type="spellStart"/>
      <w:r w:rsidRPr="00841BE0">
        <w:rPr>
          <w:sz w:val="24"/>
          <w:szCs w:val="24"/>
        </w:rPr>
        <w:t>postnatale</w:t>
      </w:r>
      <w:proofErr w:type="spellEnd"/>
      <w:r w:rsidRPr="00841BE0">
        <w:rPr>
          <w:sz w:val="24"/>
          <w:szCs w:val="24"/>
        </w:rPr>
        <w:t xml:space="preserve"> udvikling. Begrænsede data tyder på, at brug af </w:t>
      </w:r>
      <w:proofErr w:type="spellStart"/>
      <w:r w:rsidRPr="00841BE0">
        <w:rPr>
          <w:sz w:val="24"/>
          <w:szCs w:val="24"/>
        </w:rPr>
        <w:t>metformin</w:t>
      </w:r>
      <w:proofErr w:type="spellEnd"/>
      <w:r w:rsidRPr="00841BE0">
        <w:rPr>
          <w:sz w:val="24"/>
          <w:szCs w:val="24"/>
        </w:rPr>
        <w:t xml:space="preserve"> til gravide kvinder ikke er forbundet med en øget risiko for medfødte misdannelser. Dyrestudier med kombinationen af </w:t>
      </w:r>
      <w:proofErr w:type="spellStart"/>
      <w:r w:rsidRPr="00841BE0">
        <w:rPr>
          <w:sz w:val="24"/>
          <w:szCs w:val="24"/>
        </w:rPr>
        <w:t>empagliflozin</w:t>
      </w:r>
      <w:proofErr w:type="spellEnd"/>
      <w:r w:rsidRPr="00841BE0">
        <w:rPr>
          <w:sz w:val="24"/>
          <w:szCs w:val="24"/>
        </w:rPr>
        <w:t xml:space="preserve"> og </w:t>
      </w:r>
      <w:proofErr w:type="spellStart"/>
      <w:r w:rsidRPr="00841BE0">
        <w:rPr>
          <w:sz w:val="24"/>
          <w:szCs w:val="24"/>
        </w:rPr>
        <w:t>metformin</w:t>
      </w:r>
      <w:proofErr w:type="spellEnd"/>
      <w:r w:rsidRPr="00841BE0">
        <w:rPr>
          <w:sz w:val="24"/>
          <w:szCs w:val="24"/>
        </w:rPr>
        <w:t xml:space="preserve"> eller med </w:t>
      </w:r>
      <w:proofErr w:type="spellStart"/>
      <w:r w:rsidRPr="00841BE0">
        <w:rPr>
          <w:sz w:val="24"/>
          <w:szCs w:val="24"/>
        </w:rPr>
        <w:t>metformin</w:t>
      </w:r>
      <w:proofErr w:type="spellEnd"/>
      <w:r w:rsidRPr="00841BE0">
        <w:rPr>
          <w:sz w:val="24"/>
          <w:szCs w:val="24"/>
        </w:rPr>
        <w:t xml:space="preserve"> alene har kun påvist reproduktionstoksicitet ved høje doser </w:t>
      </w:r>
      <w:proofErr w:type="spellStart"/>
      <w:r w:rsidRPr="00841BE0">
        <w:rPr>
          <w:sz w:val="24"/>
          <w:szCs w:val="24"/>
        </w:rPr>
        <w:t>metformin</w:t>
      </w:r>
      <w:proofErr w:type="spellEnd"/>
      <w:r w:rsidRPr="00841BE0">
        <w:rPr>
          <w:sz w:val="24"/>
          <w:szCs w:val="24"/>
        </w:rPr>
        <w:t xml:space="preserve"> (se pkt. 5.3).</w:t>
      </w:r>
    </w:p>
    <w:p w14:paraId="5536127F" w14:textId="77777777" w:rsidR="00841BE0" w:rsidRPr="00841BE0" w:rsidRDefault="00841BE0" w:rsidP="00A3510F">
      <w:pPr>
        <w:ind w:left="851"/>
        <w:rPr>
          <w:sz w:val="24"/>
          <w:szCs w:val="24"/>
        </w:rPr>
      </w:pPr>
    </w:p>
    <w:p w14:paraId="1670689B" w14:textId="77777777" w:rsidR="00841BE0" w:rsidRPr="00841BE0" w:rsidRDefault="00841BE0" w:rsidP="00A3510F">
      <w:pPr>
        <w:ind w:left="851"/>
        <w:rPr>
          <w:sz w:val="24"/>
          <w:szCs w:val="24"/>
        </w:rPr>
      </w:pPr>
      <w:r w:rsidRPr="00841BE0">
        <w:rPr>
          <w:sz w:val="24"/>
          <w:szCs w:val="24"/>
        </w:rPr>
        <w:t xml:space="preserve">Hvis patienten planlægger graviditet eller er blevet gravid frarådes det, at diabetes behandles med dette lægemiddel, men at der anvendes insulin for at holde </w:t>
      </w:r>
      <w:proofErr w:type="spellStart"/>
      <w:r w:rsidRPr="00841BE0">
        <w:rPr>
          <w:sz w:val="24"/>
          <w:szCs w:val="24"/>
        </w:rPr>
        <w:t>blodglucoseværdierne</w:t>
      </w:r>
      <w:proofErr w:type="spellEnd"/>
      <w:r w:rsidRPr="00841BE0">
        <w:rPr>
          <w:sz w:val="24"/>
          <w:szCs w:val="24"/>
        </w:rPr>
        <w:t xml:space="preserve"> så tæt på normalen som muligt. Dette er for at mindske risikoen for </w:t>
      </w:r>
      <w:proofErr w:type="spellStart"/>
      <w:r w:rsidRPr="00841BE0">
        <w:rPr>
          <w:sz w:val="24"/>
          <w:szCs w:val="24"/>
        </w:rPr>
        <w:t>føtale</w:t>
      </w:r>
      <w:proofErr w:type="spellEnd"/>
      <w:r w:rsidRPr="00841BE0">
        <w:rPr>
          <w:sz w:val="24"/>
          <w:szCs w:val="24"/>
        </w:rPr>
        <w:t xml:space="preserve"> misdannelser, der er forbundet med unormale </w:t>
      </w:r>
      <w:proofErr w:type="spellStart"/>
      <w:r w:rsidRPr="00841BE0">
        <w:rPr>
          <w:sz w:val="24"/>
          <w:szCs w:val="24"/>
        </w:rPr>
        <w:t>blodglucoseværdier</w:t>
      </w:r>
      <w:proofErr w:type="spellEnd"/>
      <w:r w:rsidRPr="00841BE0">
        <w:rPr>
          <w:sz w:val="24"/>
          <w:szCs w:val="24"/>
        </w:rPr>
        <w:t>.</w:t>
      </w:r>
    </w:p>
    <w:p w14:paraId="7169CD4F" w14:textId="77777777" w:rsidR="00841BE0" w:rsidRPr="00841BE0" w:rsidRDefault="00841BE0" w:rsidP="00A3510F">
      <w:pPr>
        <w:ind w:left="851"/>
        <w:rPr>
          <w:sz w:val="24"/>
          <w:szCs w:val="24"/>
        </w:rPr>
      </w:pPr>
    </w:p>
    <w:p w14:paraId="02F64916" w14:textId="77777777" w:rsidR="00841BE0" w:rsidRPr="00841BE0" w:rsidRDefault="00841BE0" w:rsidP="00A3510F">
      <w:pPr>
        <w:ind w:left="851"/>
        <w:rPr>
          <w:sz w:val="24"/>
          <w:szCs w:val="24"/>
          <w:u w:val="single"/>
        </w:rPr>
      </w:pPr>
      <w:r w:rsidRPr="00841BE0">
        <w:rPr>
          <w:sz w:val="24"/>
          <w:szCs w:val="24"/>
          <w:u w:val="single"/>
        </w:rPr>
        <w:t>Amning</w:t>
      </w:r>
    </w:p>
    <w:p w14:paraId="3D5E8E5C" w14:textId="77777777" w:rsidR="00841BE0" w:rsidRPr="00841BE0" w:rsidRDefault="00841BE0" w:rsidP="00A3510F">
      <w:pPr>
        <w:ind w:left="851"/>
        <w:rPr>
          <w:sz w:val="24"/>
          <w:szCs w:val="24"/>
        </w:rPr>
      </w:pPr>
    </w:p>
    <w:p w14:paraId="6F883032" w14:textId="77777777" w:rsidR="00841BE0" w:rsidRPr="00841BE0" w:rsidRDefault="00841BE0" w:rsidP="00A3510F">
      <w:pPr>
        <w:ind w:left="851"/>
        <w:rPr>
          <w:sz w:val="24"/>
          <w:szCs w:val="24"/>
        </w:rPr>
      </w:pPr>
      <w:proofErr w:type="spellStart"/>
      <w:r w:rsidRPr="00841BE0">
        <w:rPr>
          <w:sz w:val="24"/>
          <w:szCs w:val="24"/>
        </w:rPr>
        <w:t>Metformin</w:t>
      </w:r>
      <w:proofErr w:type="spellEnd"/>
      <w:r w:rsidRPr="00841BE0">
        <w:rPr>
          <w:sz w:val="24"/>
          <w:szCs w:val="24"/>
        </w:rPr>
        <w:t xml:space="preserve"> udskilles i human mælk. Der er ikke set nogen påvirkning af nyfødte/spædbørn ammet af mødre i behandling. Det vides ikke, om </w:t>
      </w:r>
      <w:proofErr w:type="spellStart"/>
      <w:r w:rsidRPr="00841BE0">
        <w:rPr>
          <w:sz w:val="24"/>
          <w:szCs w:val="24"/>
        </w:rPr>
        <w:t>empagliflozin</w:t>
      </w:r>
      <w:proofErr w:type="spellEnd"/>
      <w:r w:rsidRPr="00841BE0">
        <w:rPr>
          <w:sz w:val="24"/>
          <w:szCs w:val="24"/>
        </w:rPr>
        <w:t xml:space="preserve"> udskilles i human mælk. Dyrestudier har påvist udskillelse af både </w:t>
      </w:r>
      <w:proofErr w:type="spellStart"/>
      <w:r w:rsidRPr="00841BE0">
        <w:rPr>
          <w:sz w:val="24"/>
          <w:szCs w:val="24"/>
        </w:rPr>
        <w:t>empagliflozin</w:t>
      </w:r>
      <w:proofErr w:type="spellEnd"/>
      <w:r w:rsidRPr="00841BE0">
        <w:rPr>
          <w:sz w:val="24"/>
          <w:szCs w:val="24"/>
        </w:rPr>
        <w:t xml:space="preserve"> og </w:t>
      </w:r>
      <w:proofErr w:type="spellStart"/>
      <w:r w:rsidRPr="00841BE0">
        <w:rPr>
          <w:sz w:val="24"/>
          <w:szCs w:val="24"/>
        </w:rPr>
        <w:t>metformin</w:t>
      </w:r>
      <w:proofErr w:type="spellEnd"/>
      <w:r w:rsidRPr="00841BE0">
        <w:rPr>
          <w:sz w:val="24"/>
          <w:szCs w:val="24"/>
        </w:rPr>
        <w:t xml:space="preserve"> i mælk. En risiko for nyfødte/spædbørn kan ikke udelukkes.</w:t>
      </w:r>
    </w:p>
    <w:p w14:paraId="56ADD7A9" w14:textId="77777777" w:rsidR="00841BE0" w:rsidRPr="00841BE0" w:rsidRDefault="00841BE0" w:rsidP="00A3510F">
      <w:pPr>
        <w:ind w:left="851"/>
        <w:rPr>
          <w:sz w:val="24"/>
          <w:szCs w:val="24"/>
        </w:rPr>
      </w:pPr>
    </w:p>
    <w:p w14:paraId="66376501" w14:textId="77777777" w:rsidR="00841BE0" w:rsidRPr="00841BE0" w:rsidRDefault="00841BE0" w:rsidP="00A3510F">
      <w:pPr>
        <w:ind w:left="851"/>
        <w:rPr>
          <w:sz w:val="24"/>
          <w:szCs w:val="24"/>
        </w:rPr>
      </w:pPr>
      <w:r w:rsidRPr="00841BE0">
        <w:rPr>
          <w:sz w:val="24"/>
          <w:szCs w:val="24"/>
        </w:rPr>
        <w:t>Dette lægemiddel må ikke anvendes under amning.</w:t>
      </w:r>
    </w:p>
    <w:p w14:paraId="762AC5CE" w14:textId="77777777" w:rsidR="00841BE0" w:rsidRPr="00841BE0" w:rsidRDefault="00841BE0" w:rsidP="00A3510F">
      <w:pPr>
        <w:ind w:left="851"/>
        <w:rPr>
          <w:sz w:val="24"/>
          <w:szCs w:val="24"/>
        </w:rPr>
      </w:pPr>
    </w:p>
    <w:p w14:paraId="61F365FF" w14:textId="77777777" w:rsidR="00841BE0" w:rsidRPr="00841BE0" w:rsidRDefault="00841BE0" w:rsidP="00A3510F">
      <w:pPr>
        <w:ind w:left="851"/>
        <w:rPr>
          <w:sz w:val="24"/>
          <w:szCs w:val="24"/>
          <w:u w:val="single"/>
        </w:rPr>
      </w:pPr>
      <w:r w:rsidRPr="00841BE0">
        <w:rPr>
          <w:sz w:val="24"/>
          <w:szCs w:val="24"/>
          <w:u w:val="single"/>
        </w:rPr>
        <w:t>Fertilitet</w:t>
      </w:r>
    </w:p>
    <w:p w14:paraId="519CD2B5" w14:textId="77777777" w:rsidR="00841BE0" w:rsidRPr="00841BE0" w:rsidRDefault="00841BE0" w:rsidP="00A3510F">
      <w:pPr>
        <w:ind w:left="851"/>
        <w:rPr>
          <w:sz w:val="24"/>
          <w:szCs w:val="24"/>
        </w:rPr>
      </w:pPr>
    </w:p>
    <w:p w14:paraId="084C5940" w14:textId="77777777" w:rsidR="00841BE0" w:rsidRPr="00841BE0" w:rsidRDefault="00841BE0" w:rsidP="00A3510F">
      <w:pPr>
        <w:ind w:left="851"/>
        <w:rPr>
          <w:sz w:val="24"/>
          <w:szCs w:val="24"/>
        </w:rPr>
      </w:pPr>
      <w:r w:rsidRPr="00841BE0">
        <w:rPr>
          <w:sz w:val="24"/>
          <w:szCs w:val="24"/>
        </w:rPr>
        <w:t xml:space="preserve">Der er ikke udført studier af dette lægemiddels eller </w:t>
      </w:r>
      <w:proofErr w:type="spellStart"/>
      <w:r w:rsidRPr="00841BE0">
        <w:rPr>
          <w:sz w:val="24"/>
          <w:szCs w:val="24"/>
        </w:rPr>
        <w:t>empagliflozins</w:t>
      </w:r>
      <w:proofErr w:type="spellEnd"/>
      <w:r w:rsidRPr="00841BE0">
        <w:rPr>
          <w:sz w:val="24"/>
          <w:szCs w:val="24"/>
        </w:rPr>
        <w:t xml:space="preserve"> virkning på human fertilitet. Dyrestudier med </w:t>
      </w:r>
      <w:proofErr w:type="spellStart"/>
      <w:r w:rsidRPr="00841BE0">
        <w:rPr>
          <w:sz w:val="24"/>
          <w:szCs w:val="24"/>
        </w:rPr>
        <w:t>empagliflozin</w:t>
      </w:r>
      <w:proofErr w:type="spellEnd"/>
      <w:r w:rsidRPr="00841BE0">
        <w:rPr>
          <w:sz w:val="24"/>
          <w:szCs w:val="24"/>
        </w:rPr>
        <w:t xml:space="preserve"> og </w:t>
      </w:r>
      <w:proofErr w:type="spellStart"/>
      <w:r w:rsidRPr="00841BE0">
        <w:rPr>
          <w:sz w:val="24"/>
          <w:szCs w:val="24"/>
        </w:rPr>
        <w:t>metformin</w:t>
      </w:r>
      <w:proofErr w:type="spellEnd"/>
      <w:r w:rsidRPr="00841BE0">
        <w:rPr>
          <w:sz w:val="24"/>
          <w:szCs w:val="24"/>
        </w:rPr>
        <w:t xml:space="preserve"> tyder hverken på direkte eller indirekte skadelige virkninger på fertiliteten (se pkt. 5.3).</w:t>
      </w:r>
    </w:p>
    <w:p w14:paraId="036BDD8C" w14:textId="77777777" w:rsidR="009260DE" w:rsidRPr="003D3B2F" w:rsidRDefault="009260DE" w:rsidP="009260DE">
      <w:pPr>
        <w:tabs>
          <w:tab w:val="left" w:pos="851"/>
        </w:tabs>
        <w:ind w:left="851"/>
        <w:rPr>
          <w:sz w:val="24"/>
          <w:szCs w:val="24"/>
        </w:rPr>
      </w:pPr>
    </w:p>
    <w:p w14:paraId="5C1EF4B6" w14:textId="77777777" w:rsidR="009260DE" w:rsidRPr="003D3B2F" w:rsidRDefault="009260DE" w:rsidP="009260DE">
      <w:pPr>
        <w:tabs>
          <w:tab w:val="left" w:pos="851"/>
        </w:tabs>
        <w:ind w:left="851" w:hanging="851"/>
        <w:rPr>
          <w:b/>
          <w:sz w:val="24"/>
          <w:szCs w:val="24"/>
        </w:rPr>
      </w:pPr>
      <w:r w:rsidRPr="003D3B2F">
        <w:rPr>
          <w:b/>
          <w:sz w:val="24"/>
          <w:szCs w:val="24"/>
        </w:rPr>
        <w:t>4.7</w:t>
      </w:r>
      <w:r w:rsidRPr="003D3B2F">
        <w:rPr>
          <w:b/>
          <w:sz w:val="24"/>
          <w:szCs w:val="24"/>
        </w:rPr>
        <w:tab/>
        <w:t xml:space="preserve">Virkning på evnen til at føre motorkøretøj </w:t>
      </w:r>
      <w:r w:rsidR="0071241E" w:rsidRPr="003D3B2F">
        <w:rPr>
          <w:b/>
          <w:sz w:val="24"/>
          <w:szCs w:val="24"/>
        </w:rPr>
        <w:t>og</w:t>
      </w:r>
      <w:r w:rsidRPr="003D3B2F">
        <w:rPr>
          <w:b/>
          <w:sz w:val="24"/>
          <w:szCs w:val="24"/>
        </w:rPr>
        <w:t xml:space="preserve"> betjene maskiner</w:t>
      </w:r>
    </w:p>
    <w:p w14:paraId="5B7F93E0" w14:textId="77777777" w:rsidR="0057441C" w:rsidRDefault="0057441C" w:rsidP="00A3510F">
      <w:pPr>
        <w:ind w:left="851"/>
        <w:rPr>
          <w:sz w:val="24"/>
          <w:szCs w:val="24"/>
        </w:rPr>
      </w:pPr>
      <w:r>
        <w:rPr>
          <w:sz w:val="24"/>
          <w:szCs w:val="24"/>
        </w:rPr>
        <w:t>Ikke mærkning.</w:t>
      </w:r>
    </w:p>
    <w:p w14:paraId="2963DDA5" w14:textId="457CB02D" w:rsidR="00841BE0" w:rsidRPr="00841BE0" w:rsidRDefault="00841BE0" w:rsidP="00A3510F">
      <w:pPr>
        <w:ind w:left="851"/>
        <w:rPr>
          <w:sz w:val="24"/>
          <w:szCs w:val="24"/>
        </w:rPr>
      </w:pP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 xml:space="preserve"> påvirker i mindre grad evnen til at føre motorkøretøj og betjene maskiner. Patienterne skal rådes til at tage forholdsregler for at undgå hypoglykæmi, når de fører motorkøretøj og betjener maskiner. Dette gælder især, når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 xml:space="preserve"> anvendes i kombination med et </w:t>
      </w:r>
      <w:proofErr w:type="spellStart"/>
      <w:r w:rsidRPr="00841BE0">
        <w:rPr>
          <w:sz w:val="24"/>
          <w:szCs w:val="24"/>
        </w:rPr>
        <w:t>sulfonylurinstof</w:t>
      </w:r>
      <w:proofErr w:type="spellEnd"/>
      <w:r w:rsidRPr="00841BE0">
        <w:rPr>
          <w:sz w:val="24"/>
          <w:szCs w:val="24"/>
        </w:rPr>
        <w:t xml:space="preserve"> og/eller insulin.</w:t>
      </w:r>
    </w:p>
    <w:p w14:paraId="2A48C33A" w14:textId="77777777" w:rsidR="009260DE" w:rsidRPr="003D3B2F" w:rsidRDefault="009260DE" w:rsidP="009260DE">
      <w:pPr>
        <w:tabs>
          <w:tab w:val="left" w:pos="851"/>
        </w:tabs>
        <w:ind w:left="851"/>
        <w:rPr>
          <w:sz w:val="24"/>
          <w:szCs w:val="24"/>
        </w:rPr>
      </w:pPr>
    </w:p>
    <w:p w14:paraId="4476492F" w14:textId="77777777" w:rsidR="009260DE" w:rsidRPr="003D3B2F" w:rsidRDefault="009260DE" w:rsidP="009260DE">
      <w:pPr>
        <w:tabs>
          <w:tab w:val="left" w:pos="851"/>
        </w:tabs>
        <w:ind w:left="851" w:hanging="851"/>
        <w:rPr>
          <w:b/>
          <w:sz w:val="24"/>
          <w:szCs w:val="24"/>
        </w:rPr>
      </w:pPr>
      <w:r w:rsidRPr="003D3B2F">
        <w:rPr>
          <w:b/>
          <w:sz w:val="24"/>
          <w:szCs w:val="24"/>
        </w:rPr>
        <w:t>4.8</w:t>
      </w:r>
      <w:r w:rsidRPr="003D3B2F">
        <w:rPr>
          <w:b/>
          <w:sz w:val="24"/>
          <w:szCs w:val="24"/>
        </w:rPr>
        <w:tab/>
        <w:t>Bivirkninger</w:t>
      </w:r>
    </w:p>
    <w:p w14:paraId="133A7182" w14:textId="77777777" w:rsidR="0057441C" w:rsidRDefault="0057441C" w:rsidP="00A3510F">
      <w:pPr>
        <w:ind w:left="851"/>
        <w:rPr>
          <w:sz w:val="24"/>
          <w:szCs w:val="24"/>
          <w:u w:val="single"/>
        </w:rPr>
      </w:pPr>
    </w:p>
    <w:p w14:paraId="58496BCF" w14:textId="4858D6EF" w:rsidR="00841BE0" w:rsidRPr="00841BE0" w:rsidRDefault="00841BE0" w:rsidP="00A3510F">
      <w:pPr>
        <w:ind w:left="851"/>
        <w:rPr>
          <w:sz w:val="24"/>
          <w:szCs w:val="24"/>
          <w:u w:val="single"/>
        </w:rPr>
      </w:pPr>
      <w:r w:rsidRPr="00841BE0">
        <w:rPr>
          <w:sz w:val="24"/>
          <w:szCs w:val="24"/>
          <w:u w:val="single"/>
        </w:rPr>
        <w:t>Resumé af sikkerhedsprofilen</w:t>
      </w:r>
    </w:p>
    <w:p w14:paraId="13B9C4B6" w14:textId="77777777" w:rsidR="00841BE0" w:rsidRPr="00841BE0" w:rsidRDefault="00841BE0" w:rsidP="00A3510F">
      <w:pPr>
        <w:ind w:left="851"/>
        <w:rPr>
          <w:sz w:val="24"/>
          <w:szCs w:val="24"/>
        </w:rPr>
      </w:pPr>
    </w:p>
    <w:p w14:paraId="58BC2BCB" w14:textId="77777777" w:rsidR="00841BE0" w:rsidRPr="00841BE0" w:rsidRDefault="00841BE0" w:rsidP="00A3510F">
      <w:pPr>
        <w:ind w:left="851"/>
        <w:rPr>
          <w:sz w:val="24"/>
          <w:szCs w:val="24"/>
        </w:rPr>
      </w:pPr>
      <w:r w:rsidRPr="00841BE0">
        <w:rPr>
          <w:sz w:val="24"/>
          <w:szCs w:val="24"/>
        </w:rPr>
        <w:t xml:space="preserve">De hyppigst rapporterede bivirkninger i kliniske studier var hypoglykæmi ved en kombination med insulin og/eller </w:t>
      </w:r>
      <w:proofErr w:type="spellStart"/>
      <w:r w:rsidRPr="00841BE0">
        <w:rPr>
          <w:sz w:val="24"/>
          <w:szCs w:val="24"/>
        </w:rPr>
        <w:t>sulfonylurinstof</w:t>
      </w:r>
      <w:proofErr w:type="spellEnd"/>
      <w:r w:rsidRPr="00841BE0">
        <w:rPr>
          <w:sz w:val="24"/>
          <w:szCs w:val="24"/>
        </w:rPr>
        <w:t xml:space="preserve"> og </w:t>
      </w:r>
      <w:proofErr w:type="spellStart"/>
      <w:r w:rsidRPr="00841BE0">
        <w:rPr>
          <w:sz w:val="24"/>
          <w:szCs w:val="24"/>
        </w:rPr>
        <w:t>gastrointestinale</w:t>
      </w:r>
      <w:proofErr w:type="spellEnd"/>
      <w:r w:rsidRPr="00841BE0">
        <w:rPr>
          <w:sz w:val="24"/>
          <w:szCs w:val="24"/>
        </w:rPr>
        <w:t xml:space="preserve"> symptomer (kvalme, opkastning, diarré, mavesmerter og appetitløshed). Der blev ikke påvist yderligere bivirkninger i kliniske studier med </w:t>
      </w:r>
      <w:proofErr w:type="spellStart"/>
      <w:r w:rsidRPr="00841BE0">
        <w:rPr>
          <w:sz w:val="24"/>
          <w:szCs w:val="24"/>
        </w:rPr>
        <w:t>empagliflozin</w:t>
      </w:r>
      <w:proofErr w:type="spellEnd"/>
      <w:r w:rsidRPr="00841BE0">
        <w:rPr>
          <w:sz w:val="24"/>
          <w:szCs w:val="24"/>
        </w:rPr>
        <w:t xml:space="preserve"> som supplement til </w:t>
      </w:r>
      <w:proofErr w:type="spellStart"/>
      <w:r w:rsidRPr="00841BE0">
        <w:rPr>
          <w:sz w:val="24"/>
          <w:szCs w:val="24"/>
        </w:rPr>
        <w:t>metformin</w:t>
      </w:r>
      <w:proofErr w:type="spellEnd"/>
      <w:r w:rsidRPr="00841BE0">
        <w:rPr>
          <w:sz w:val="24"/>
          <w:szCs w:val="24"/>
        </w:rPr>
        <w:t xml:space="preserve"> sammenlignet med bivirkningerne fra de enkelte komponenter.</w:t>
      </w:r>
    </w:p>
    <w:p w14:paraId="45E8F4FF" w14:textId="77777777" w:rsidR="00841BE0" w:rsidRPr="00841BE0" w:rsidRDefault="00841BE0" w:rsidP="00A3510F">
      <w:pPr>
        <w:ind w:left="851"/>
        <w:rPr>
          <w:sz w:val="24"/>
          <w:szCs w:val="24"/>
        </w:rPr>
      </w:pPr>
    </w:p>
    <w:p w14:paraId="150BA3D8" w14:textId="77777777" w:rsidR="00841BE0" w:rsidRPr="00841BE0" w:rsidRDefault="00841BE0" w:rsidP="00A3510F">
      <w:pPr>
        <w:ind w:left="851"/>
        <w:rPr>
          <w:sz w:val="24"/>
          <w:szCs w:val="24"/>
          <w:u w:val="single"/>
        </w:rPr>
      </w:pPr>
      <w:r w:rsidRPr="00841BE0">
        <w:rPr>
          <w:sz w:val="24"/>
          <w:szCs w:val="24"/>
          <w:u w:val="single"/>
        </w:rPr>
        <w:t>Tabel over bivirkninger</w:t>
      </w:r>
    </w:p>
    <w:p w14:paraId="68397EEF" w14:textId="77777777" w:rsidR="00841BE0" w:rsidRPr="00841BE0" w:rsidRDefault="00841BE0" w:rsidP="00A3510F">
      <w:pPr>
        <w:ind w:left="851"/>
        <w:rPr>
          <w:sz w:val="24"/>
          <w:szCs w:val="24"/>
        </w:rPr>
      </w:pPr>
      <w:r w:rsidRPr="00841BE0">
        <w:rPr>
          <w:sz w:val="24"/>
          <w:szCs w:val="24"/>
        </w:rPr>
        <w:t>Bivirkningerne er anført efter absolut hyppighed. Hyppigheden defineres på følgende måde:</w:t>
      </w:r>
    </w:p>
    <w:p w14:paraId="00C7850C" w14:textId="77777777" w:rsidR="00841BE0" w:rsidRPr="00841BE0" w:rsidRDefault="00841BE0" w:rsidP="00A3510F">
      <w:pPr>
        <w:numPr>
          <w:ilvl w:val="0"/>
          <w:numId w:val="6"/>
        </w:numPr>
        <w:ind w:left="1276" w:hanging="425"/>
        <w:rPr>
          <w:sz w:val="24"/>
          <w:szCs w:val="24"/>
        </w:rPr>
      </w:pPr>
      <w:r w:rsidRPr="00841BE0">
        <w:rPr>
          <w:sz w:val="24"/>
          <w:szCs w:val="24"/>
        </w:rPr>
        <w:t>Meget almindelig (≥ 1/10)</w:t>
      </w:r>
    </w:p>
    <w:p w14:paraId="0147D842" w14:textId="77777777" w:rsidR="00841BE0" w:rsidRPr="00841BE0" w:rsidRDefault="00841BE0" w:rsidP="00A3510F">
      <w:pPr>
        <w:numPr>
          <w:ilvl w:val="0"/>
          <w:numId w:val="6"/>
        </w:numPr>
        <w:ind w:left="1276" w:hanging="425"/>
        <w:rPr>
          <w:sz w:val="24"/>
          <w:szCs w:val="24"/>
        </w:rPr>
      </w:pPr>
      <w:r w:rsidRPr="00841BE0">
        <w:rPr>
          <w:sz w:val="24"/>
          <w:szCs w:val="24"/>
        </w:rPr>
        <w:t>Almindelig (≥ 1/100 til &lt; 1/10)</w:t>
      </w:r>
    </w:p>
    <w:p w14:paraId="3C40069D" w14:textId="77777777" w:rsidR="00841BE0" w:rsidRPr="00841BE0" w:rsidRDefault="00841BE0" w:rsidP="00A3510F">
      <w:pPr>
        <w:numPr>
          <w:ilvl w:val="0"/>
          <w:numId w:val="6"/>
        </w:numPr>
        <w:ind w:left="1276" w:hanging="425"/>
        <w:rPr>
          <w:sz w:val="24"/>
          <w:szCs w:val="24"/>
        </w:rPr>
      </w:pPr>
      <w:r w:rsidRPr="00841BE0">
        <w:rPr>
          <w:sz w:val="24"/>
          <w:szCs w:val="24"/>
        </w:rPr>
        <w:t>Ikke almindelig (≥ 1/1 000 til &lt; 1/100)</w:t>
      </w:r>
    </w:p>
    <w:p w14:paraId="7F4A8192" w14:textId="77777777" w:rsidR="00841BE0" w:rsidRPr="00841BE0" w:rsidRDefault="00841BE0" w:rsidP="00A3510F">
      <w:pPr>
        <w:numPr>
          <w:ilvl w:val="0"/>
          <w:numId w:val="6"/>
        </w:numPr>
        <w:ind w:left="1276" w:hanging="425"/>
        <w:rPr>
          <w:sz w:val="24"/>
          <w:szCs w:val="24"/>
        </w:rPr>
      </w:pPr>
      <w:r w:rsidRPr="00841BE0">
        <w:rPr>
          <w:sz w:val="24"/>
          <w:szCs w:val="24"/>
        </w:rPr>
        <w:t>Sjælden (≥ 1/10 000 til &lt; 1/1 000)</w:t>
      </w:r>
    </w:p>
    <w:p w14:paraId="6859A909" w14:textId="77777777" w:rsidR="00841BE0" w:rsidRPr="00841BE0" w:rsidRDefault="00841BE0" w:rsidP="00A3510F">
      <w:pPr>
        <w:numPr>
          <w:ilvl w:val="0"/>
          <w:numId w:val="6"/>
        </w:numPr>
        <w:ind w:left="1276" w:hanging="425"/>
        <w:rPr>
          <w:sz w:val="24"/>
          <w:szCs w:val="24"/>
        </w:rPr>
      </w:pPr>
      <w:r w:rsidRPr="00841BE0">
        <w:rPr>
          <w:sz w:val="24"/>
          <w:szCs w:val="24"/>
        </w:rPr>
        <w:t>Meget sjælden (&lt; 1/10 000)</w:t>
      </w:r>
    </w:p>
    <w:p w14:paraId="52B6A6CB" w14:textId="77777777" w:rsidR="00841BE0" w:rsidRPr="00841BE0" w:rsidRDefault="00841BE0" w:rsidP="00A3510F">
      <w:pPr>
        <w:numPr>
          <w:ilvl w:val="0"/>
          <w:numId w:val="6"/>
        </w:numPr>
        <w:ind w:left="1276" w:hanging="425"/>
        <w:rPr>
          <w:sz w:val="24"/>
          <w:szCs w:val="24"/>
        </w:rPr>
      </w:pPr>
      <w:r w:rsidRPr="00841BE0">
        <w:rPr>
          <w:sz w:val="24"/>
          <w:szCs w:val="24"/>
        </w:rPr>
        <w:t>Ikke kendt (kan ikke estimeres ud fra forhåndenværende data)</w:t>
      </w:r>
    </w:p>
    <w:p w14:paraId="4429A27F" w14:textId="77777777" w:rsidR="00841BE0" w:rsidRPr="00841BE0" w:rsidRDefault="00841BE0" w:rsidP="00A3510F">
      <w:pPr>
        <w:ind w:left="851"/>
        <w:rPr>
          <w:sz w:val="24"/>
          <w:szCs w:val="24"/>
        </w:rPr>
      </w:pPr>
    </w:p>
    <w:p w14:paraId="0C4BB96F" w14:textId="77777777" w:rsidR="00841BE0" w:rsidRPr="00841BE0" w:rsidRDefault="00841BE0" w:rsidP="001C0D88">
      <w:pPr>
        <w:rPr>
          <w:sz w:val="24"/>
          <w:szCs w:val="24"/>
        </w:rPr>
      </w:pPr>
      <w:r w:rsidRPr="00841BE0">
        <w:rPr>
          <w:sz w:val="24"/>
          <w:szCs w:val="24"/>
        </w:rPr>
        <w:t>Tabel 2: Tabel over bivirkninger (</w:t>
      </w:r>
      <w:proofErr w:type="spellStart"/>
      <w:r w:rsidRPr="00841BE0">
        <w:rPr>
          <w:sz w:val="24"/>
          <w:szCs w:val="24"/>
        </w:rPr>
        <w:t>MedDRA</w:t>
      </w:r>
      <w:proofErr w:type="spellEnd"/>
      <w:r w:rsidRPr="00841BE0">
        <w:rPr>
          <w:sz w:val="24"/>
          <w:szCs w:val="24"/>
        </w:rPr>
        <w:t>) indberettet fra placebokontrollerede studier og fra rapporter efter markedsføring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47"/>
        <w:gridCol w:w="1828"/>
        <w:gridCol w:w="1980"/>
        <w:gridCol w:w="1540"/>
        <w:gridCol w:w="1592"/>
        <w:gridCol w:w="1141"/>
      </w:tblGrid>
      <w:tr w:rsidR="00841BE0" w:rsidRPr="00841BE0" w14:paraId="385A316B" w14:textId="77777777" w:rsidTr="00A3510F">
        <w:trPr>
          <w:trHeight w:val="460"/>
        </w:trPr>
        <w:tc>
          <w:tcPr>
            <w:tcW w:w="809" w:type="pct"/>
            <w:tcBorders>
              <w:top w:val="single" w:sz="4" w:space="0" w:color="000000"/>
              <w:left w:val="single" w:sz="4" w:space="0" w:color="000000"/>
              <w:bottom w:val="single" w:sz="4" w:space="0" w:color="000000"/>
              <w:right w:val="single" w:sz="4" w:space="0" w:color="000000"/>
            </w:tcBorders>
            <w:hideMark/>
          </w:tcPr>
          <w:p w14:paraId="50157BE3" w14:textId="77777777" w:rsidR="00841BE0" w:rsidRPr="00841BE0" w:rsidRDefault="00841BE0" w:rsidP="00A3510F">
            <w:pPr>
              <w:ind w:left="32"/>
              <w:rPr>
                <w:b/>
                <w:sz w:val="22"/>
                <w:szCs w:val="22"/>
                <w:lang w:val="en-US"/>
              </w:rPr>
            </w:pPr>
            <w:proofErr w:type="spellStart"/>
            <w:r w:rsidRPr="00841BE0">
              <w:rPr>
                <w:b/>
                <w:sz w:val="22"/>
                <w:szCs w:val="22"/>
                <w:lang w:val="en-US"/>
              </w:rPr>
              <w:t>Systemorgan-klasse</w:t>
            </w:r>
            <w:proofErr w:type="spellEnd"/>
          </w:p>
        </w:tc>
        <w:tc>
          <w:tcPr>
            <w:tcW w:w="955" w:type="pct"/>
            <w:tcBorders>
              <w:top w:val="single" w:sz="4" w:space="0" w:color="000000"/>
              <w:left w:val="single" w:sz="4" w:space="0" w:color="000000"/>
              <w:bottom w:val="single" w:sz="4" w:space="0" w:color="000000"/>
              <w:right w:val="single" w:sz="4" w:space="0" w:color="000000"/>
            </w:tcBorders>
            <w:hideMark/>
          </w:tcPr>
          <w:p w14:paraId="633EA5E1" w14:textId="77777777" w:rsidR="00841BE0" w:rsidRPr="00841BE0" w:rsidRDefault="00841BE0" w:rsidP="00A3510F">
            <w:pPr>
              <w:ind w:left="32"/>
              <w:rPr>
                <w:b/>
                <w:sz w:val="22"/>
                <w:szCs w:val="22"/>
                <w:lang w:val="en-US"/>
              </w:rPr>
            </w:pPr>
            <w:r w:rsidRPr="00841BE0">
              <w:rPr>
                <w:b/>
                <w:sz w:val="22"/>
                <w:szCs w:val="22"/>
                <w:lang w:val="en-US"/>
              </w:rPr>
              <w:t xml:space="preserve">Meget </w:t>
            </w:r>
            <w:proofErr w:type="spellStart"/>
            <w:r w:rsidRPr="00841BE0">
              <w:rPr>
                <w:b/>
                <w:sz w:val="22"/>
                <w:szCs w:val="22"/>
                <w:lang w:val="en-US"/>
              </w:rPr>
              <w:t>almindelig</w:t>
            </w:r>
            <w:proofErr w:type="spellEnd"/>
          </w:p>
        </w:tc>
        <w:tc>
          <w:tcPr>
            <w:tcW w:w="1030" w:type="pct"/>
            <w:tcBorders>
              <w:top w:val="single" w:sz="4" w:space="0" w:color="000000"/>
              <w:left w:val="single" w:sz="4" w:space="0" w:color="000000"/>
              <w:bottom w:val="single" w:sz="4" w:space="0" w:color="000000"/>
              <w:right w:val="single" w:sz="4" w:space="0" w:color="000000"/>
            </w:tcBorders>
            <w:hideMark/>
          </w:tcPr>
          <w:p w14:paraId="756E9096" w14:textId="77777777" w:rsidR="00841BE0" w:rsidRPr="00841BE0" w:rsidRDefault="00841BE0" w:rsidP="00A3510F">
            <w:pPr>
              <w:ind w:left="32"/>
              <w:rPr>
                <w:b/>
                <w:sz w:val="22"/>
                <w:szCs w:val="22"/>
                <w:lang w:val="en-US"/>
              </w:rPr>
            </w:pPr>
            <w:proofErr w:type="spellStart"/>
            <w:r w:rsidRPr="00841BE0">
              <w:rPr>
                <w:b/>
                <w:sz w:val="22"/>
                <w:szCs w:val="22"/>
                <w:lang w:val="en-US"/>
              </w:rPr>
              <w:t>Almindelig</w:t>
            </w:r>
            <w:proofErr w:type="spellEnd"/>
          </w:p>
        </w:tc>
        <w:tc>
          <w:tcPr>
            <w:tcW w:w="809" w:type="pct"/>
            <w:tcBorders>
              <w:top w:val="single" w:sz="4" w:space="0" w:color="000000"/>
              <w:left w:val="single" w:sz="4" w:space="0" w:color="000000"/>
              <w:bottom w:val="single" w:sz="4" w:space="0" w:color="000000"/>
              <w:right w:val="single" w:sz="4" w:space="0" w:color="000000"/>
            </w:tcBorders>
            <w:hideMark/>
          </w:tcPr>
          <w:p w14:paraId="2DADC141" w14:textId="77777777" w:rsidR="00841BE0" w:rsidRPr="00841BE0" w:rsidRDefault="00841BE0" w:rsidP="00A3510F">
            <w:pPr>
              <w:ind w:left="32"/>
              <w:rPr>
                <w:b/>
                <w:sz w:val="22"/>
                <w:szCs w:val="22"/>
                <w:lang w:val="en-US"/>
              </w:rPr>
            </w:pPr>
            <w:r w:rsidRPr="00841BE0">
              <w:rPr>
                <w:b/>
                <w:sz w:val="22"/>
                <w:szCs w:val="22"/>
                <w:lang w:val="en-US"/>
              </w:rPr>
              <w:t xml:space="preserve">Ikke </w:t>
            </w:r>
            <w:proofErr w:type="spellStart"/>
            <w:r w:rsidRPr="00841BE0">
              <w:rPr>
                <w:b/>
                <w:sz w:val="22"/>
                <w:szCs w:val="22"/>
                <w:lang w:val="en-US"/>
              </w:rPr>
              <w:t>almindelig</w:t>
            </w:r>
            <w:proofErr w:type="spellEnd"/>
          </w:p>
        </w:tc>
        <w:tc>
          <w:tcPr>
            <w:tcW w:w="809" w:type="pct"/>
            <w:tcBorders>
              <w:top w:val="single" w:sz="4" w:space="0" w:color="000000"/>
              <w:left w:val="single" w:sz="4" w:space="0" w:color="000000"/>
              <w:bottom w:val="single" w:sz="4" w:space="0" w:color="000000"/>
              <w:right w:val="single" w:sz="4" w:space="0" w:color="000000"/>
            </w:tcBorders>
            <w:hideMark/>
          </w:tcPr>
          <w:p w14:paraId="7DDBB0B4" w14:textId="77777777" w:rsidR="00841BE0" w:rsidRPr="00841BE0" w:rsidRDefault="00841BE0" w:rsidP="00A3510F">
            <w:pPr>
              <w:ind w:left="32"/>
              <w:rPr>
                <w:b/>
                <w:sz w:val="22"/>
                <w:szCs w:val="22"/>
                <w:lang w:val="en-US"/>
              </w:rPr>
            </w:pPr>
            <w:proofErr w:type="spellStart"/>
            <w:r w:rsidRPr="00841BE0">
              <w:rPr>
                <w:b/>
                <w:sz w:val="22"/>
                <w:szCs w:val="22"/>
                <w:lang w:val="en-US"/>
              </w:rPr>
              <w:t>Sjælden</w:t>
            </w:r>
            <w:proofErr w:type="spellEnd"/>
          </w:p>
        </w:tc>
        <w:tc>
          <w:tcPr>
            <w:tcW w:w="588" w:type="pct"/>
            <w:tcBorders>
              <w:top w:val="single" w:sz="4" w:space="0" w:color="000000"/>
              <w:left w:val="single" w:sz="4" w:space="0" w:color="000000"/>
              <w:bottom w:val="single" w:sz="4" w:space="0" w:color="000000"/>
              <w:right w:val="single" w:sz="4" w:space="0" w:color="000000"/>
            </w:tcBorders>
            <w:hideMark/>
          </w:tcPr>
          <w:p w14:paraId="7016DE47" w14:textId="77777777" w:rsidR="00841BE0" w:rsidRPr="00841BE0" w:rsidRDefault="00841BE0" w:rsidP="00A3510F">
            <w:pPr>
              <w:ind w:left="32"/>
              <w:rPr>
                <w:b/>
                <w:sz w:val="22"/>
                <w:szCs w:val="22"/>
                <w:lang w:val="en-US"/>
              </w:rPr>
            </w:pPr>
            <w:r w:rsidRPr="00841BE0">
              <w:rPr>
                <w:b/>
                <w:sz w:val="22"/>
                <w:szCs w:val="22"/>
                <w:lang w:val="en-US"/>
              </w:rPr>
              <w:t xml:space="preserve">Meget </w:t>
            </w:r>
            <w:proofErr w:type="spellStart"/>
            <w:r w:rsidRPr="00841BE0">
              <w:rPr>
                <w:b/>
                <w:sz w:val="22"/>
                <w:szCs w:val="22"/>
                <w:lang w:val="en-US"/>
              </w:rPr>
              <w:t>sjælden</w:t>
            </w:r>
            <w:proofErr w:type="spellEnd"/>
          </w:p>
        </w:tc>
      </w:tr>
      <w:tr w:rsidR="00841BE0" w:rsidRPr="00841BE0" w14:paraId="4CBF51D9" w14:textId="77777777" w:rsidTr="00A3510F">
        <w:trPr>
          <w:trHeight w:val="2298"/>
        </w:trPr>
        <w:tc>
          <w:tcPr>
            <w:tcW w:w="809" w:type="pct"/>
            <w:tcBorders>
              <w:top w:val="single" w:sz="4" w:space="0" w:color="000000"/>
              <w:left w:val="single" w:sz="4" w:space="0" w:color="000000"/>
              <w:bottom w:val="single" w:sz="4" w:space="0" w:color="000000"/>
              <w:right w:val="single" w:sz="4" w:space="0" w:color="000000"/>
            </w:tcBorders>
            <w:hideMark/>
          </w:tcPr>
          <w:p w14:paraId="7726B7CD" w14:textId="77777777" w:rsidR="00841BE0" w:rsidRPr="00841BE0" w:rsidRDefault="00841BE0" w:rsidP="00A3510F">
            <w:pPr>
              <w:ind w:left="32"/>
              <w:rPr>
                <w:i/>
                <w:sz w:val="22"/>
                <w:szCs w:val="22"/>
                <w:lang w:val="en-US"/>
              </w:rPr>
            </w:pPr>
            <w:proofErr w:type="spellStart"/>
            <w:r w:rsidRPr="00841BE0">
              <w:rPr>
                <w:i/>
                <w:sz w:val="22"/>
                <w:szCs w:val="22"/>
                <w:lang w:val="en-US"/>
              </w:rPr>
              <w:t>Infektioner</w:t>
            </w:r>
            <w:proofErr w:type="spellEnd"/>
            <w:r w:rsidRPr="00841BE0">
              <w:rPr>
                <w:i/>
                <w:sz w:val="22"/>
                <w:szCs w:val="22"/>
                <w:lang w:val="en-US"/>
              </w:rPr>
              <w:t xml:space="preserve"> og </w:t>
            </w:r>
            <w:proofErr w:type="spellStart"/>
            <w:r w:rsidRPr="00841BE0">
              <w:rPr>
                <w:i/>
                <w:sz w:val="22"/>
                <w:szCs w:val="22"/>
                <w:lang w:val="en-US"/>
              </w:rPr>
              <w:t>parasitære</w:t>
            </w:r>
            <w:proofErr w:type="spellEnd"/>
            <w:r w:rsidRPr="00841BE0">
              <w:rPr>
                <w:i/>
                <w:sz w:val="22"/>
                <w:szCs w:val="22"/>
                <w:lang w:val="en-US"/>
              </w:rPr>
              <w:t xml:space="preserve"> </w:t>
            </w:r>
            <w:proofErr w:type="spellStart"/>
            <w:r w:rsidRPr="00841BE0">
              <w:rPr>
                <w:i/>
                <w:sz w:val="22"/>
                <w:szCs w:val="22"/>
                <w:lang w:val="en-US"/>
              </w:rPr>
              <w:t>sygdomme</w:t>
            </w:r>
            <w:proofErr w:type="spellEnd"/>
          </w:p>
        </w:tc>
        <w:tc>
          <w:tcPr>
            <w:tcW w:w="955" w:type="pct"/>
            <w:tcBorders>
              <w:top w:val="single" w:sz="4" w:space="0" w:color="000000"/>
              <w:left w:val="single" w:sz="4" w:space="0" w:color="000000"/>
              <w:bottom w:val="single" w:sz="4" w:space="0" w:color="000000"/>
              <w:right w:val="single" w:sz="4" w:space="0" w:color="000000"/>
            </w:tcBorders>
          </w:tcPr>
          <w:p w14:paraId="23661CD3" w14:textId="77777777" w:rsidR="00841BE0" w:rsidRPr="00841BE0" w:rsidRDefault="00841BE0" w:rsidP="00A3510F">
            <w:pPr>
              <w:ind w:left="32"/>
              <w:rPr>
                <w:sz w:val="22"/>
                <w:szCs w:val="22"/>
                <w:lang w:val="en-US"/>
              </w:rPr>
            </w:pPr>
          </w:p>
        </w:tc>
        <w:tc>
          <w:tcPr>
            <w:tcW w:w="1030" w:type="pct"/>
            <w:tcBorders>
              <w:top w:val="single" w:sz="4" w:space="0" w:color="000000"/>
              <w:left w:val="single" w:sz="4" w:space="0" w:color="000000"/>
              <w:bottom w:val="single" w:sz="4" w:space="0" w:color="000000"/>
              <w:right w:val="single" w:sz="4" w:space="0" w:color="000000"/>
            </w:tcBorders>
            <w:hideMark/>
          </w:tcPr>
          <w:p w14:paraId="1F6C8D1E" w14:textId="77777777" w:rsidR="00841BE0" w:rsidRPr="00841BE0" w:rsidRDefault="00841BE0" w:rsidP="00A3510F">
            <w:pPr>
              <w:ind w:left="32"/>
              <w:rPr>
                <w:sz w:val="22"/>
                <w:szCs w:val="22"/>
              </w:rPr>
            </w:pPr>
            <w:r w:rsidRPr="00841BE0">
              <w:rPr>
                <w:sz w:val="22"/>
                <w:szCs w:val="22"/>
              </w:rPr>
              <w:t xml:space="preserve">Vaginal </w:t>
            </w:r>
            <w:proofErr w:type="spellStart"/>
            <w:r w:rsidRPr="00841BE0">
              <w:rPr>
                <w:sz w:val="22"/>
                <w:szCs w:val="22"/>
              </w:rPr>
              <w:t>moniliasis</w:t>
            </w:r>
            <w:proofErr w:type="spellEnd"/>
            <w:r w:rsidRPr="00841BE0">
              <w:rPr>
                <w:sz w:val="22"/>
                <w:szCs w:val="22"/>
              </w:rPr>
              <w:t xml:space="preserve">, </w:t>
            </w:r>
            <w:proofErr w:type="spellStart"/>
            <w:r w:rsidRPr="00841BE0">
              <w:rPr>
                <w:sz w:val="22"/>
                <w:szCs w:val="22"/>
              </w:rPr>
              <w:t>vulvovaginitis</w:t>
            </w:r>
            <w:proofErr w:type="spellEnd"/>
            <w:r w:rsidRPr="00841BE0">
              <w:rPr>
                <w:sz w:val="22"/>
                <w:szCs w:val="22"/>
              </w:rPr>
              <w:t xml:space="preserve">, </w:t>
            </w:r>
            <w:proofErr w:type="spellStart"/>
            <w:r w:rsidRPr="00841BE0">
              <w:rPr>
                <w:sz w:val="22"/>
                <w:szCs w:val="22"/>
              </w:rPr>
              <w:t>balanitis</w:t>
            </w:r>
            <w:proofErr w:type="spellEnd"/>
            <w:r w:rsidRPr="00841BE0">
              <w:rPr>
                <w:sz w:val="22"/>
                <w:szCs w:val="22"/>
              </w:rPr>
              <w:t xml:space="preserve"> og andre genitale infektioner</w:t>
            </w:r>
            <w:r w:rsidRPr="00841BE0">
              <w:rPr>
                <w:sz w:val="22"/>
                <w:szCs w:val="22"/>
                <w:vertAlign w:val="superscript"/>
              </w:rPr>
              <w:t>1,</w:t>
            </w:r>
            <w:r w:rsidRPr="00841BE0">
              <w:rPr>
                <w:sz w:val="22"/>
                <w:szCs w:val="22"/>
              </w:rPr>
              <w:t xml:space="preserve"> </w:t>
            </w:r>
            <w:r w:rsidRPr="00841BE0">
              <w:rPr>
                <w:sz w:val="22"/>
                <w:szCs w:val="22"/>
                <w:vertAlign w:val="superscript"/>
              </w:rPr>
              <w:t>2</w:t>
            </w:r>
          </w:p>
          <w:p w14:paraId="226E6FCC" w14:textId="77777777" w:rsidR="00841BE0" w:rsidRPr="00841BE0" w:rsidRDefault="00841BE0" w:rsidP="00A3510F">
            <w:pPr>
              <w:ind w:left="32"/>
              <w:rPr>
                <w:sz w:val="22"/>
                <w:szCs w:val="22"/>
              </w:rPr>
            </w:pPr>
            <w:r w:rsidRPr="00841BE0">
              <w:rPr>
                <w:sz w:val="22"/>
                <w:szCs w:val="22"/>
              </w:rPr>
              <w:t xml:space="preserve">Urinvejsinfektion (herunder </w:t>
            </w:r>
            <w:proofErr w:type="spellStart"/>
            <w:r w:rsidRPr="00841BE0">
              <w:rPr>
                <w:sz w:val="22"/>
                <w:szCs w:val="22"/>
              </w:rPr>
              <w:t>pyelonefritis</w:t>
            </w:r>
            <w:proofErr w:type="spellEnd"/>
            <w:r w:rsidRPr="00841BE0">
              <w:rPr>
                <w:sz w:val="22"/>
                <w:szCs w:val="22"/>
              </w:rPr>
              <w:t xml:space="preserve"> og urosepsis)</w:t>
            </w:r>
            <w:r w:rsidRPr="00841BE0">
              <w:rPr>
                <w:sz w:val="22"/>
                <w:szCs w:val="22"/>
                <w:vertAlign w:val="superscript"/>
              </w:rPr>
              <w:t>1,2</w:t>
            </w:r>
          </w:p>
        </w:tc>
        <w:tc>
          <w:tcPr>
            <w:tcW w:w="809" w:type="pct"/>
            <w:tcBorders>
              <w:top w:val="single" w:sz="4" w:space="0" w:color="000000"/>
              <w:left w:val="single" w:sz="4" w:space="0" w:color="000000"/>
              <w:bottom w:val="single" w:sz="4" w:space="0" w:color="000000"/>
              <w:right w:val="single" w:sz="4" w:space="0" w:color="000000"/>
            </w:tcBorders>
          </w:tcPr>
          <w:p w14:paraId="01C3ABEC" w14:textId="77777777" w:rsidR="00841BE0" w:rsidRPr="00841BE0" w:rsidRDefault="00841BE0" w:rsidP="00A3510F">
            <w:pPr>
              <w:ind w:left="32"/>
              <w:rPr>
                <w:sz w:val="22"/>
                <w:szCs w:val="22"/>
              </w:rPr>
            </w:pPr>
          </w:p>
        </w:tc>
        <w:tc>
          <w:tcPr>
            <w:tcW w:w="809" w:type="pct"/>
            <w:tcBorders>
              <w:top w:val="single" w:sz="4" w:space="0" w:color="000000"/>
              <w:left w:val="single" w:sz="4" w:space="0" w:color="000000"/>
              <w:bottom w:val="single" w:sz="4" w:space="0" w:color="000000"/>
              <w:right w:val="single" w:sz="4" w:space="0" w:color="000000"/>
            </w:tcBorders>
            <w:hideMark/>
          </w:tcPr>
          <w:p w14:paraId="4AA722CC" w14:textId="77777777" w:rsidR="00841BE0" w:rsidRPr="00841BE0" w:rsidRDefault="00841BE0" w:rsidP="00A3510F">
            <w:pPr>
              <w:ind w:left="32"/>
              <w:rPr>
                <w:sz w:val="22"/>
                <w:szCs w:val="22"/>
              </w:rPr>
            </w:pPr>
            <w:proofErr w:type="spellStart"/>
            <w:r w:rsidRPr="00841BE0">
              <w:rPr>
                <w:sz w:val="22"/>
                <w:szCs w:val="22"/>
              </w:rPr>
              <w:t>Nekrotiserende</w:t>
            </w:r>
            <w:proofErr w:type="spellEnd"/>
            <w:r w:rsidRPr="00841BE0">
              <w:rPr>
                <w:sz w:val="22"/>
                <w:szCs w:val="22"/>
              </w:rPr>
              <w:t xml:space="preserve"> </w:t>
            </w:r>
            <w:proofErr w:type="spellStart"/>
            <w:r w:rsidRPr="00841BE0">
              <w:rPr>
                <w:sz w:val="22"/>
                <w:szCs w:val="22"/>
              </w:rPr>
              <w:t>fasciitis</w:t>
            </w:r>
            <w:proofErr w:type="spellEnd"/>
            <w:r w:rsidRPr="00841BE0">
              <w:rPr>
                <w:sz w:val="22"/>
                <w:szCs w:val="22"/>
              </w:rPr>
              <w:t xml:space="preserve"> i </w:t>
            </w:r>
            <w:proofErr w:type="spellStart"/>
            <w:r w:rsidRPr="00841BE0">
              <w:rPr>
                <w:sz w:val="22"/>
                <w:szCs w:val="22"/>
              </w:rPr>
              <w:t>perineum</w:t>
            </w:r>
            <w:proofErr w:type="spellEnd"/>
            <w:r w:rsidRPr="00841BE0">
              <w:rPr>
                <w:sz w:val="22"/>
                <w:szCs w:val="22"/>
              </w:rPr>
              <w:t xml:space="preserve"> (</w:t>
            </w:r>
            <w:proofErr w:type="spellStart"/>
            <w:r w:rsidRPr="00841BE0">
              <w:rPr>
                <w:sz w:val="22"/>
                <w:szCs w:val="22"/>
              </w:rPr>
              <w:t>Fourniers</w:t>
            </w:r>
            <w:proofErr w:type="spellEnd"/>
            <w:r w:rsidRPr="00841BE0">
              <w:rPr>
                <w:sz w:val="22"/>
                <w:szCs w:val="22"/>
              </w:rPr>
              <w:t xml:space="preserve"> </w:t>
            </w:r>
            <w:proofErr w:type="gramStart"/>
            <w:r w:rsidRPr="00841BE0">
              <w:rPr>
                <w:sz w:val="22"/>
                <w:szCs w:val="22"/>
              </w:rPr>
              <w:t>gangræn)</w:t>
            </w:r>
            <w:r w:rsidRPr="00841BE0">
              <w:rPr>
                <w:sz w:val="22"/>
                <w:szCs w:val="22"/>
                <w:vertAlign w:val="superscript"/>
              </w:rPr>
              <w:t>a</w:t>
            </w:r>
            <w:proofErr w:type="gramEnd"/>
          </w:p>
        </w:tc>
        <w:tc>
          <w:tcPr>
            <w:tcW w:w="588" w:type="pct"/>
            <w:tcBorders>
              <w:top w:val="single" w:sz="4" w:space="0" w:color="000000"/>
              <w:left w:val="single" w:sz="4" w:space="0" w:color="000000"/>
              <w:bottom w:val="single" w:sz="4" w:space="0" w:color="000000"/>
              <w:right w:val="single" w:sz="4" w:space="0" w:color="000000"/>
            </w:tcBorders>
          </w:tcPr>
          <w:p w14:paraId="08EED072" w14:textId="77777777" w:rsidR="00841BE0" w:rsidRPr="00841BE0" w:rsidRDefault="00841BE0" w:rsidP="00A3510F">
            <w:pPr>
              <w:ind w:left="32"/>
              <w:rPr>
                <w:sz w:val="22"/>
                <w:szCs w:val="22"/>
              </w:rPr>
            </w:pPr>
          </w:p>
        </w:tc>
      </w:tr>
      <w:tr w:rsidR="00841BE0" w:rsidRPr="00841BE0" w14:paraId="5A6B0750" w14:textId="77777777" w:rsidTr="00A3510F">
        <w:trPr>
          <w:trHeight w:val="1149"/>
        </w:trPr>
        <w:tc>
          <w:tcPr>
            <w:tcW w:w="809" w:type="pct"/>
            <w:tcBorders>
              <w:top w:val="single" w:sz="4" w:space="0" w:color="000000"/>
              <w:left w:val="single" w:sz="4" w:space="0" w:color="000000"/>
              <w:bottom w:val="single" w:sz="4" w:space="0" w:color="000000"/>
              <w:right w:val="single" w:sz="4" w:space="0" w:color="000000"/>
            </w:tcBorders>
            <w:hideMark/>
          </w:tcPr>
          <w:p w14:paraId="62B3C0A8" w14:textId="77777777" w:rsidR="00841BE0" w:rsidRPr="00841BE0" w:rsidRDefault="00841BE0" w:rsidP="00A3510F">
            <w:pPr>
              <w:ind w:left="32"/>
              <w:rPr>
                <w:i/>
                <w:sz w:val="22"/>
                <w:szCs w:val="22"/>
                <w:lang w:val="en-US"/>
              </w:rPr>
            </w:pPr>
            <w:proofErr w:type="spellStart"/>
            <w:r w:rsidRPr="00841BE0">
              <w:rPr>
                <w:i/>
                <w:sz w:val="22"/>
                <w:szCs w:val="22"/>
                <w:lang w:val="en-US"/>
              </w:rPr>
              <w:t>Metabolisme</w:t>
            </w:r>
            <w:proofErr w:type="spellEnd"/>
            <w:r w:rsidRPr="00841BE0">
              <w:rPr>
                <w:i/>
                <w:sz w:val="22"/>
                <w:szCs w:val="22"/>
                <w:lang w:val="en-US"/>
              </w:rPr>
              <w:t xml:space="preserve"> og </w:t>
            </w:r>
            <w:proofErr w:type="spellStart"/>
            <w:r w:rsidRPr="00841BE0">
              <w:rPr>
                <w:i/>
                <w:sz w:val="22"/>
                <w:szCs w:val="22"/>
                <w:lang w:val="en-US"/>
              </w:rPr>
              <w:t>ernæring</w:t>
            </w:r>
            <w:proofErr w:type="spellEnd"/>
          </w:p>
        </w:tc>
        <w:tc>
          <w:tcPr>
            <w:tcW w:w="955" w:type="pct"/>
            <w:tcBorders>
              <w:top w:val="single" w:sz="4" w:space="0" w:color="000000"/>
              <w:left w:val="single" w:sz="4" w:space="0" w:color="000000"/>
              <w:bottom w:val="single" w:sz="4" w:space="0" w:color="000000"/>
              <w:right w:val="single" w:sz="4" w:space="0" w:color="000000"/>
            </w:tcBorders>
            <w:hideMark/>
          </w:tcPr>
          <w:p w14:paraId="24F2CA2B" w14:textId="77777777" w:rsidR="00841BE0" w:rsidRPr="00841BE0" w:rsidRDefault="00841BE0" w:rsidP="00A3510F">
            <w:pPr>
              <w:ind w:left="32"/>
              <w:rPr>
                <w:sz w:val="22"/>
                <w:szCs w:val="22"/>
              </w:rPr>
            </w:pPr>
            <w:r w:rsidRPr="00841BE0">
              <w:rPr>
                <w:sz w:val="22"/>
                <w:szCs w:val="22"/>
              </w:rPr>
              <w:t xml:space="preserve">Hypoglykæmi (ved brug sammen med </w:t>
            </w:r>
            <w:proofErr w:type="spellStart"/>
            <w:r w:rsidRPr="00841BE0">
              <w:rPr>
                <w:sz w:val="22"/>
                <w:szCs w:val="22"/>
              </w:rPr>
              <w:t>sulfonylurinstof</w:t>
            </w:r>
            <w:proofErr w:type="spellEnd"/>
            <w:r w:rsidRPr="00841BE0">
              <w:rPr>
                <w:sz w:val="22"/>
                <w:szCs w:val="22"/>
              </w:rPr>
              <w:t xml:space="preserve"> eller insulin)</w:t>
            </w:r>
            <w:r w:rsidRPr="00841BE0">
              <w:rPr>
                <w:sz w:val="22"/>
                <w:szCs w:val="22"/>
                <w:vertAlign w:val="superscript"/>
              </w:rPr>
              <w:t>1</w:t>
            </w:r>
          </w:p>
        </w:tc>
        <w:tc>
          <w:tcPr>
            <w:tcW w:w="1030" w:type="pct"/>
            <w:tcBorders>
              <w:top w:val="single" w:sz="4" w:space="0" w:color="000000"/>
              <w:left w:val="single" w:sz="4" w:space="0" w:color="000000"/>
              <w:bottom w:val="single" w:sz="4" w:space="0" w:color="000000"/>
              <w:right w:val="single" w:sz="4" w:space="0" w:color="000000"/>
            </w:tcBorders>
            <w:hideMark/>
          </w:tcPr>
          <w:p w14:paraId="1142A4FF" w14:textId="77777777" w:rsidR="00841BE0" w:rsidRPr="00841BE0" w:rsidRDefault="00841BE0" w:rsidP="00A3510F">
            <w:pPr>
              <w:ind w:left="32"/>
              <w:rPr>
                <w:sz w:val="22"/>
                <w:szCs w:val="22"/>
              </w:rPr>
            </w:pPr>
            <w:r w:rsidRPr="00841BE0">
              <w:rPr>
                <w:sz w:val="22"/>
                <w:szCs w:val="22"/>
              </w:rPr>
              <w:t>Tørst</w:t>
            </w:r>
            <w:r w:rsidRPr="00841BE0">
              <w:rPr>
                <w:sz w:val="22"/>
                <w:szCs w:val="22"/>
                <w:vertAlign w:val="superscript"/>
              </w:rPr>
              <w:t>2</w:t>
            </w:r>
          </w:p>
          <w:p w14:paraId="44C08827" w14:textId="77777777" w:rsidR="00841BE0" w:rsidRPr="00841BE0" w:rsidRDefault="00841BE0" w:rsidP="00A3510F">
            <w:pPr>
              <w:ind w:left="32"/>
              <w:rPr>
                <w:sz w:val="22"/>
                <w:szCs w:val="22"/>
              </w:rPr>
            </w:pPr>
            <w:r w:rsidRPr="00841BE0">
              <w:rPr>
                <w:sz w:val="22"/>
                <w:szCs w:val="22"/>
              </w:rPr>
              <w:t>B12-vitamin-reduktion</w:t>
            </w:r>
            <w:proofErr w:type="gramStart"/>
            <w:r w:rsidRPr="00841BE0">
              <w:rPr>
                <w:sz w:val="22"/>
                <w:szCs w:val="22"/>
                <w:vertAlign w:val="superscript"/>
              </w:rPr>
              <w:t>3,a</w:t>
            </w:r>
            <w:proofErr w:type="gramEnd"/>
          </w:p>
          <w:p w14:paraId="29341EE1" w14:textId="77777777" w:rsidR="00841BE0" w:rsidRPr="00841BE0" w:rsidRDefault="00841BE0" w:rsidP="00A3510F">
            <w:pPr>
              <w:ind w:left="32"/>
              <w:rPr>
                <w:sz w:val="22"/>
                <w:szCs w:val="22"/>
              </w:rPr>
            </w:pPr>
            <w:r w:rsidRPr="00841BE0">
              <w:rPr>
                <w:sz w:val="22"/>
                <w:szCs w:val="22"/>
              </w:rPr>
              <w:t>B12-vitamin-mangel</w:t>
            </w:r>
            <w:proofErr w:type="gramStart"/>
            <w:r w:rsidRPr="00841BE0">
              <w:rPr>
                <w:sz w:val="22"/>
                <w:szCs w:val="22"/>
                <w:vertAlign w:val="superscript"/>
              </w:rPr>
              <w:t>3,a</w:t>
            </w:r>
            <w:proofErr w:type="gramEnd"/>
          </w:p>
        </w:tc>
        <w:tc>
          <w:tcPr>
            <w:tcW w:w="809" w:type="pct"/>
            <w:tcBorders>
              <w:top w:val="single" w:sz="4" w:space="0" w:color="000000"/>
              <w:left w:val="single" w:sz="4" w:space="0" w:color="000000"/>
              <w:bottom w:val="single" w:sz="4" w:space="0" w:color="000000"/>
              <w:right w:val="single" w:sz="4" w:space="0" w:color="000000"/>
            </w:tcBorders>
          </w:tcPr>
          <w:p w14:paraId="4F9167FE" w14:textId="77777777" w:rsidR="00841BE0" w:rsidRPr="00841BE0" w:rsidRDefault="00841BE0" w:rsidP="00A3510F">
            <w:pPr>
              <w:ind w:left="32"/>
              <w:rPr>
                <w:sz w:val="22"/>
                <w:szCs w:val="22"/>
              </w:rPr>
            </w:pPr>
          </w:p>
        </w:tc>
        <w:tc>
          <w:tcPr>
            <w:tcW w:w="809" w:type="pct"/>
            <w:tcBorders>
              <w:top w:val="single" w:sz="4" w:space="0" w:color="000000"/>
              <w:left w:val="single" w:sz="4" w:space="0" w:color="000000"/>
              <w:bottom w:val="single" w:sz="4" w:space="0" w:color="000000"/>
              <w:right w:val="single" w:sz="4" w:space="0" w:color="000000"/>
            </w:tcBorders>
            <w:hideMark/>
          </w:tcPr>
          <w:p w14:paraId="184F5557" w14:textId="77777777" w:rsidR="00841BE0" w:rsidRPr="00841BE0" w:rsidRDefault="00841BE0" w:rsidP="00A3510F">
            <w:pPr>
              <w:ind w:left="32"/>
              <w:rPr>
                <w:sz w:val="22"/>
                <w:szCs w:val="22"/>
                <w:lang w:val="en-US"/>
              </w:rPr>
            </w:pPr>
            <w:proofErr w:type="spellStart"/>
            <w:r w:rsidRPr="00841BE0">
              <w:rPr>
                <w:sz w:val="22"/>
                <w:szCs w:val="22"/>
                <w:lang w:val="en-US"/>
              </w:rPr>
              <w:t>Diabetisk</w:t>
            </w:r>
            <w:proofErr w:type="spellEnd"/>
            <w:r w:rsidRPr="00841BE0">
              <w:rPr>
                <w:sz w:val="22"/>
                <w:szCs w:val="22"/>
                <w:lang w:val="en-US"/>
              </w:rPr>
              <w:t xml:space="preserve"> </w:t>
            </w:r>
            <w:proofErr w:type="spellStart"/>
            <w:r w:rsidRPr="00841BE0">
              <w:rPr>
                <w:sz w:val="22"/>
                <w:szCs w:val="22"/>
                <w:lang w:val="en-US"/>
              </w:rPr>
              <w:t>ketoacidose</w:t>
            </w:r>
            <w:r w:rsidRPr="00841BE0">
              <w:rPr>
                <w:sz w:val="22"/>
                <w:szCs w:val="22"/>
                <w:vertAlign w:val="superscript"/>
                <w:lang w:val="en-US"/>
              </w:rPr>
              <w:t>a</w:t>
            </w:r>
            <w:proofErr w:type="spellEnd"/>
          </w:p>
        </w:tc>
        <w:tc>
          <w:tcPr>
            <w:tcW w:w="588" w:type="pct"/>
            <w:tcBorders>
              <w:top w:val="single" w:sz="4" w:space="0" w:color="000000"/>
              <w:left w:val="single" w:sz="4" w:space="0" w:color="000000"/>
              <w:bottom w:val="single" w:sz="4" w:space="0" w:color="000000"/>
              <w:right w:val="single" w:sz="4" w:space="0" w:color="000000"/>
            </w:tcBorders>
            <w:hideMark/>
          </w:tcPr>
          <w:p w14:paraId="3689AAD2" w14:textId="77777777" w:rsidR="00841BE0" w:rsidRPr="00841BE0" w:rsidRDefault="00841BE0" w:rsidP="00A3510F">
            <w:pPr>
              <w:ind w:left="32"/>
              <w:rPr>
                <w:sz w:val="22"/>
                <w:szCs w:val="22"/>
                <w:lang w:val="en-US"/>
              </w:rPr>
            </w:pPr>
            <w:r w:rsidRPr="00841BE0">
              <w:rPr>
                <w:sz w:val="22"/>
                <w:szCs w:val="22"/>
                <w:lang w:val="en-US"/>
              </w:rPr>
              <w:t>Laktat-acidose</w:t>
            </w:r>
            <w:r w:rsidRPr="00841BE0">
              <w:rPr>
                <w:sz w:val="22"/>
                <w:szCs w:val="22"/>
                <w:vertAlign w:val="superscript"/>
                <w:lang w:val="en-US"/>
              </w:rPr>
              <w:t>3</w:t>
            </w:r>
          </w:p>
        </w:tc>
      </w:tr>
      <w:tr w:rsidR="00841BE0" w:rsidRPr="00841BE0" w14:paraId="05F68144" w14:textId="77777777" w:rsidTr="00A3510F">
        <w:trPr>
          <w:trHeight w:val="181"/>
        </w:trPr>
        <w:tc>
          <w:tcPr>
            <w:tcW w:w="809" w:type="pct"/>
            <w:tcBorders>
              <w:top w:val="single" w:sz="4" w:space="0" w:color="000000"/>
              <w:left w:val="single" w:sz="4" w:space="0" w:color="000000"/>
              <w:bottom w:val="single" w:sz="4" w:space="0" w:color="000000"/>
              <w:right w:val="single" w:sz="4" w:space="0" w:color="000000"/>
            </w:tcBorders>
            <w:hideMark/>
          </w:tcPr>
          <w:p w14:paraId="57047DC6" w14:textId="77777777" w:rsidR="00841BE0" w:rsidRPr="00841BE0" w:rsidRDefault="00841BE0" w:rsidP="00A3510F">
            <w:pPr>
              <w:ind w:left="32"/>
              <w:rPr>
                <w:i/>
                <w:sz w:val="22"/>
                <w:szCs w:val="22"/>
                <w:lang w:val="en-US"/>
              </w:rPr>
            </w:pPr>
            <w:proofErr w:type="spellStart"/>
            <w:r w:rsidRPr="00841BE0">
              <w:rPr>
                <w:i/>
                <w:sz w:val="22"/>
                <w:szCs w:val="22"/>
                <w:lang w:val="en-US"/>
              </w:rPr>
              <w:t>Nervesystemet</w:t>
            </w:r>
            <w:proofErr w:type="spellEnd"/>
          </w:p>
        </w:tc>
        <w:tc>
          <w:tcPr>
            <w:tcW w:w="955" w:type="pct"/>
            <w:tcBorders>
              <w:top w:val="single" w:sz="4" w:space="0" w:color="000000"/>
              <w:left w:val="single" w:sz="4" w:space="0" w:color="000000"/>
              <w:bottom w:val="single" w:sz="4" w:space="0" w:color="000000"/>
              <w:right w:val="single" w:sz="4" w:space="0" w:color="000000"/>
            </w:tcBorders>
          </w:tcPr>
          <w:p w14:paraId="6259FC7B" w14:textId="77777777" w:rsidR="00841BE0" w:rsidRPr="00841BE0" w:rsidRDefault="00841BE0" w:rsidP="00A3510F">
            <w:pPr>
              <w:ind w:left="32"/>
              <w:rPr>
                <w:sz w:val="22"/>
                <w:szCs w:val="22"/>
                <w:lang w:val="en-US"/>
              </w:rPr>
            </w:pPr>
          </w:p>
        </w:tc>
        <w:tc>
          <w:tcPr>
            <w:tcW w:w="1030" w:type="pct"/>
            <w:tcBorders>
              <w:top w:val="single" w:sz="4" w:space="0" w:color="000000"/>
              <w:left w:val="single" w:sz="4" w:space="0" w:color="000000"/>
              <w:bottom w:val="single" w:sz="4" w:space="0" w:color="000000"/>
              <w:right w:val="single" w:sz="4" w:space="0" w:color="000000"/>
            </w:tcBorders>
            <w:hideMark/>
          </w:tcPr>
          <w:p w14:paraId="3137D593" w14:textId="77777777" w:rsidR="00841BE0" w:rsidRPr="00841BE0" w:rsidRDefault="00841BE0" w:rsidP="00A3510F">
            <w:pPr>
              <w:ind w:left="32"/>
              <w:rPr>
                <w:sz w:val="22"/>
                <w:szCs w:val="22"/>
                <w:lang w:val="en-US"/>
              </w:rPr>
            </w:pPr>
            <w:r w:rsidRPr="00841BE0">
              <w:rPr>
                <w:sz w:val="22"/>
                <w:szCs w:val="22"/>
                <w:lang w:val="en-US"/>
              </w:rPr>
              <w:t>Smagsforstyrrelser</w:t>
            </w:r>
            <w:r w:rsidRPr="00841BE0">
              <w:rPr>
                <w:sz w:val="22"/>
                <w:szCs w:val="22"/>
                <w:vertAlign w:val="superscript"/>
                <w:lang w:val="en-US"/>
              </w:rPr>
              <w:t>3</w:t>
            </w:r>
          </w:p>
        </w:tc>
        <w:tc>
          <w:tcPr>
            <w:tcW w:w="809" w:type="pct"/>
            <w:tcBorders>
              <w:top w:val="single" w:sz="4" w:space="0" w:color="000000"/>
              <w:left w:val="single" w:sz="4" w:space="0" w:color="000000"/>
              <w:bottom w:val="single" w:sz="4" w:space="0" w:color="000000"/>
              <w:right w:val="single" w:sz="4" w:space="0" w:color="000000"/>
            </w:tcBorders>
          </w:tcPr>
          <w:p w14:paraId="4609288A" w14:textId="77777777" w:rsidR="00841BE0" w:rsidRPr="00841BE0" w:rsidRDefault="00841BE0" w:rsidP="00A3510F">
            <w:pPr>
              <w:ind w:left="32"/>
              <w:rPr>
                <w:sz w:val="22"/>
                <w:szCs w:val="22"/>
                <w:lang w:val="en-US"/>
              </w:rPr>
            </w:pPr>
          </w:p>
        </w:tc>
        <w:tc>
          <w:tcPr>
            <w:tcW w:w="809" w:type="pct"/>
            <w:tcBorders>
              <w:top w:val="single" w:sz="4" w:space="0" w:color="000000"/>
              <w:left w:val="single" w:sz="4" w:space="0" w:color="000000"/>
              <w:bottom w:val="single" w:sz="4" w:space="0" w:color="000000"/>
              <w:right w:val="single" w:sz="4" w:space="0" w:color="000000"/>
            </w:tcBorders>
          </w:tcPr>
          <w:p w14:paraId="6865228D" w14:textId="77777777" w:rsidR="00841BE0" w:rsidRPr="00841BE0" w:rsidRDefault="00841BE0" w:rsidP="00A3510F">
            <w:pPr>
              <w:ind w:left="32"/>
              <w:rPr>
                <w:sz w:val="22"/>
                <w:szCs w:val="22"/>
                <w:lang w:val="en-US"/>
              </w:rPr>
            </w:pPr>
          </w:p>
        </w:tc>
        <w:tc>
          <w:tcPr>
            <w:tcW w:w="588" w:type="pct"/>
            <w:tcBorders>
              <w:top w:val="single" w:sz="4" w:space="0" w:color="000000"/>
              <w:left w:val="single" w:sz="4" w:space="0" w:color="000000"/>
              <w:bottom w:val="single" w:sz="4" w:space="0" w:color="000000"/>
              <w:right w:val="single" w:sz="4" w:space="0" w:color="000000"/>
            </w:tcBorders>
          </w:tcPr>
          <w:p w14:paraId="0AEB750F" w14:textId="77777777" w:rsidR="00841BE0" w:rsidRPr="00841BE0" w:rsidRDefault="00841BE0" w:rsidP="00A3510F">
            <w:pPr>
              <w:ind w:left="32"/>
              <w:rPr>
                <w:sz w:val="22"/>
                <w:szCs w:val="22"/>
                <w:lang w:val="en-US"/>
              </w:rPr>
            </w:pPr>
          </w:p>
        </w:tc>
      </w:tr>
      <w:tr w:rsidR="00841BE0" w:rsidRPr="00841BE0" w14:paraId="6F9D58EB" w14:textId="77777777" w:rsidTr="00A3510F">
        <w:trPr>
          <w:trHeight w:val="460"/>
        </w:trPr>
        <w:tc>
          <w:tcPr>
            <w:tcW w:w="809" w:type="pct"/>
            <w:tcBorders>
              <w:top w:val="single" w:sz="4" w:space="0" w:color="000000"/>
              <w:left w:val="single" w:sz="4" w:space="0" w:color="000000"/>
              <w:bottom w:val="single" w:sz="4" w:space="0" w:color="000000"/>
              <w:right w:val="single" w:sz="4" w:space="0" w:color="000000"/>
            </w:tcBorders>
            <w:hideMark/>
          </w:tcPr>
          <w:p w14:paraId="5CC9C5C0" w14:textId="77777777" w:rsidR="00841BE0" w:rsidRPr="00841BE0" w:rsidRDefault="00841BE0" w:rsidP="00A3510F">
            <w:pPr>
              <w:ind w:left="32"/>
              <w:rPr>
                <w:i/>
                <w:sz w:val="22"/>
                <w:szCs w:val="22"/>
                <w:lang w:val="en-US"/>
              </w:rPr>
            </w:pPr>
            <w:proofErr w:type="spellStart"/>
            <w:r w:rsidRPr="00841BE0">
              <w:rPr>
                <w:i/>
                <w:sz w:val="22"/>
                <w:szCs w:val="22"/>
                <w:lang w:val="en-US"/>
              </w:rPr>
              <w:t>Vaskulære</w:t>
            </w:r>
            <w:proofErr w:type="spellEnd"/>
            <w:r w:rsidRPr="00841BE0">
              <w:rPr>
                <w:i/>
                <w:sz w:val="22"/>
                <w:szCs w:val="22"/>
                <w:lang w:val="en-US"/>
              </w:rPr>
              <w:t xml:space="preserve"> </w:t>
            </w:r>
            <w:proofErr w:type="spellStart"/>
            <w:r w:rsidRPr="00841BE0">
              <w:rPr>
                <w:i/>
                <w:sz w:val="22"/>
                <w:szCs w:val="22"/>
                <w:lang w:val="en-US"/>
              </w:rPr>
              <w:t>sygdomme</w:t>
            </w:r>
            <w:proofErr w:type="spellEnd"/>
          </w:p>
        </w:tc>
        <w:tc>
          <w:tcPr>
            <w:tcW w:w="955" w:type="pct"/>
            <w:tcBorders>
              <w:top w:val="single" w:sz="4" w:space="0" w:color="000000"/>
              <w:left w:val="single" w:sz="4" w:space="0" w:color="000000"/>
              <w:bottom w:val="single" w:sz="4" w:space="0" w:color="000000"/>
              <w:right w:val="single" w:sz="4" w:space="0" w:color="000000"/>
            </w:tcBorders>
          </w:tcPr>
          <w:p w14:paraId="43B42B7E" w14:textId="77777777" w:rsidR="00841BE0" w:rsidRPr="00841BE0" w:rsidRDefault="00841BE0" w:rsidP="00A3510F">
            <w:pPr>
              <w:ind w:left="32"/>
              <w:rPr>
                <w:sz w:val="22"/>
                <w:szCs w:val="22"/>
                <w:lang w:val="en-US"/>
              </w:rPr>
            </w:pPr>
          </w:p>
        </w:tc>
        <w:tc>
          <w:tcPr>
            <w:tcW w:w="1030" w:type="pct"/>
            <w:tcBorders>
              <w:top w:val="single" w:sz="4" w:space="0" w:color="000000"/>
              <w:left w:val="single" w:sz="4" w:space="0" w:color="000000"/>
              <w:bottom w:val="single" w:sz="4" w:space="0" w:color="000000"/>
              <w:right w:val="single" w:sz="4" w:space="0" w:color="000000"/>
            </w:tcBorders>
          </w:tcPr>
          <w:p w14:paraId="71F56B52" w14:textId="77777777" w:rsidR="00841BE0" w:rsidRPr="00841BE0" w:rsidRDefault="00841BE0" w:rsidP="00A3510F">
            <w:pPr>
              <w:ind w:left="32"/>
              <w:rPr>
                <w:sz w:val="22"/>
                <w:szCs w:val="22"/>
                <w:lang w:val="en-US"/>
              </w:rPr>
            </w:pPr>
          </w:p>
        </w:tc>
        <w:tc>
          <w:tcPr>
            <w:tcW w:w="809" w:type="pct"/>
            <w:tcBorders>
              <w:top w:val="single" w:sz="4" w:space="0" w:color="000000"/>
              <w:left w:val="single" w:sz="4" w:space="0" w:color="000000"/>
              <w:bottom w:val="single" w:sz="4" w:space="0" w:color="000000"/>
              <w:right w:val="single" w:sz="4" w:space="0" w:color="000000"/>
            </w:tcBorders>
            <w:hideMark/>
          </w:tcPr>
          <w:p w14:paraId="6F230DDD" w14:textId="77777777" w:rsidR="00841BE0" w:rsidRPr="00841BE0" w:rsidRDefault="00841BE0" w:rsidP="00A3510F">
            <w:pPr>
              <w:ind w:left="32"/>
              <w:rPr>
                <w:sz w:val="22"/>
                <w:szCs w:val="22"/>
                <w:lang w:val="en-US"/>
              </w:rPr>
            </w:pPr>
            <w:r w:rsidRPr="00841BE0">
              <w:rPr>
                <w:sz w:val="22"/>
                <w:szCs w:val="22"/>
                <w:lang w:val="en-US"/>
              </w:rPr>
              <w:t>Volumen-depletering</w:t>
            </w:r>
            <w:r w:rsidRPr="00841BE0">
              <w:rPr>
                <w:sz w:val="22"/>
                <w:szCs w:val="22"/>
                <w:vertAlign w:val="superscript"/>
                <w:lang w:val="en-US"/>
              </w:rPr>
              <w:t>1,</w:t>
            </w:r>
            <w:r w:rsidRPr="00841BE0">
              <w:rPr>
                <w:sz w:val="22"/>
                <w:szCs w:val="22"/>
                <w:lang w:val="en-US"/>
              </w:rPr>
              <w:t xml:space="preserve"> </w:t>
            </w:r>
            <w:r w:rsidRPr="00841BE0">
              <w:rPr>
                <w:sz w:val="22"/>
                <w:szCs w:val="22"/>
                <w:vertAlign w:val="superscript"/>
                <w:lang w:val="en-US"/>
              </w:rPr>
              <w:t>2,</w:t>
            </w:r>
            <w:r w:rsidRPr="00841BE0">
              <w:rPr>
                <w:sz w:val="22"/>
                <w:szCs w:val="22"/>
                <w:lang w:val="en-US"/>
              </w:rPr>
              <w:t xml:space="preserve"> </w:t>
            </w:r>
            <w:r w:rsidRPr="00841BE0">
              <w:rPr>
                <w:sz w:val="22"/>
                <w:szCs w:val="22"/>
                <w:vertAlign w:val="superscript"/>
                <w:lang w:val="en-US"/>
              </w:rPr>
              <w:t>d</w:t>
            </w:r>
          </w:p>
        </w:tc>
        <w:tc>
          <w:tcPr>
            <w:tcW w:w="809" w:type="pct"/>
            <w:tcBorders>
              <w:top w:val="single" w:sz="4" w:space="0" w:color="000000"/>
              <w:left w:val="single" w:sz="4" w:space="0" w:color="000000"/>
              <w:bottom w:val="single" w:sz="4" w:space="0" w:color="000000"/>
              <w:right w:val="single" w:sz="4" w:space="0" w:color="000000"/>
            </w:tcBorders>
          </w:tcPr>
          <w:p w14:paraId="2ED7D8D6" w14:textId="77777777" w:rsidR="00841BE0" w:rsidRPr="00841BE0" w:rsidRDefault="00841BE0" w:rsidP="00A3510F">
            <w:pPr>
              <w:ind w:left="32"/>
              <w:rPr>
                <w:sz w:val="22"/>
                <w:szCs w:val="22"/>
                <w:lang w:val="en-US"/>
              </w:rPr>
            </w:pPr>
          </w:p>
        </w:tc>
        <w:tc>
          <w:tcPr>
            <w:tcW w:w="588" w:type="pct"/>
            <w:tcBorders>
              <w:top w:val="single" w:sz="4" w:space="0" w:color="000000"/>
              <w:left w:val="single" w:sz="4" w:space="0" w:color="000000"/>
              <w:bottom w:val="single" w:sz="4" w:space="0" w:color="000000"/>
              <w:right w:val="single" w:sz="4" w:space="0" w:color="000000"/>
            </w:tcBorders>
          </w:tcPr>
          <w:p w14:paraId="29A665D5" w14:textId="77777777" w:rsidR="00841BE0" w:rsidRPr="00841BE0" w:rsidRDefault="00841BE0" w:rsidP="00A3510F">
            <w:pPr>
              <w:ind w:left="32"/>
              <w:rPr>
                <w:sz w:val="22"/>
                <w:szCs w:val="22"/>
                <w:lang w:val="en-US"/>
              </w:rPr>
            </w:pPr>
          </w:p>
        </w:tc>
      </w:tr>
      <w:tr w:rsidR="00841BE0" w:rsidRPr="00841BE0" w14:paraId="454F7C39" w14:textId="77777777" w:rsidTr="00A3510F">
        <w:trPr>
          <w:trHeight w:val="460"/>
        </w:trPr>
        <w:tc>
          <w:tcPr>
            <w:tcW w:w="809" w:type="pct"/>
            <w:tcBorders>
              <w:top w:val="single" w:sz="4" w:space="0" w:color="000000"/>
              <w:left w:val="single" w:sz="4" w:space="0" w:color="000000"/>
              <w:bottom w:val="single" w:sz="4" w:space="0" w:color="000000"/>
              <w:right w:val="single" w:sz="4" w:space="0" w:color="000000"/>
            </w:tcBorders>
            <w:hideMark/>
          </w:tcPr>
          <w:p w14:paraId="02692696" w14:textId="77777777" w:rsidR="00841BE0" w:rsidRPr="00841BE0" w:rsidRDefault="00841BE0" w:rsidP="00A3510F">
            <w:pPr>
              <w:ind w:left="32"/>
              <w:rPr>
                <w:i/>
                <w:sz w:val="22"/>
                <w:szCs w:val="22"/>
                <w:lang w:val="en-US"/>
              </w:rPr>
            </w:pPr>
            <w:r w:rsidRPr="00841BE0">
              <w:rPr>
                <w:i/>
                <w:sz w:val="22"/>
                <w:szCs w:val="22"/>
                <w:lang w:val="en-US"/>
              </w:rPr>
              <w:t>Mave-</w:t>
            </w:r>
            <w:proofErr w:type="spellStart"/>
            <w:r w:rsidRPr="00841BE0">
              <w:rPr>
                <w:i/>
                <w:sz w:val="22"/>
                <w:szCs w:val="22"/>
                <w:lang w:val="en-US"/>
              </w:rPr>
              <w:t>tarm</w:t>
            </w:r>
            <w:proofErr w:type="spellEnd"/>
            <w:r w:rsidRPr="00841BE0">
              <w:rPr>
                <w:i/>
                <w:sz w:val="22"/>
                <w:szCs w:val="22"/>
                <w:lang w:val="en-US"/>
              </w:rPr>
              <w:t>-</w:t>
            </w:r>
            <w:proofErr w:type="spellStart"/>
            <w:r w:rsidRPr="00841BE0">
              <w:rPr>
                <w:i/>
                <w:sz w:val="22"/>
                <w:szCs w:val="22"/>
                <w:lang w:val="en-US"/>
              </w:rPr>
              <w:t>kanalen</w:t>
            </w:r>
            <w:proofErr w:type="spellEnd"/>
          </w:p>
        </w:tc>
        <w:tc>
          <w:tcPr>
            <w:tcW w:w="955" w:type="pct"/>
            <w:tcBorders>
              <w:top w:val="single" w:sz="4" w:space="0" w:color="000000"/>
              <w:left w:val="single" w:sz="4" w:space="0" w:color="000000"/>
              <w:bottom w:val="single" w:sz="4" w:space="0" w:color="000000"/>
              <w:right w:val="single" w:sz="4" w:space="0" w:color="000000"/>
            </w:tcBorders>
            <w:hideMark/>
          </w:tcPr>
          <w:p w14:paraId="16F9FBAC" w14:textId="77777777" w:rsidR="00841BE0" w:rsidRPr="00841BE0" w:rsidRDefault="00841BE0" w:rsidP="00A3510F">
            <w:pPr>
              <w:ind w:left="32"/>
              <w:rPr>
                <w:sz w:val="22"/>
                <w:szCs w:val="22"/>
                <w:lang w:val="en-US"/>
              </w:rPr>
            </w:pPr>
            <w:proofErr w:type="spellStart"/>
            <w:r w:rsidRPr="00841BE0">
              <w:rPr>
                <w:sz w:val="22"/>
                <w:szCs w:val="22"/>
                <w:lang w:val="en-US"/>
              </w:rPr>
              <w:t>Gastrointestinale</w:t>
            </w:r>
            <w:proofErr w:type="spellEnd"/>
            <w:r w:rsidRPr="00841BE0">
              <w:rPr>
                <w:sz w:val="22"/>
                <w:szCs w:val="22"/>
                <w:lang w:val="en-US"/>
              </w:rPr>
              <w:t xml:space="preserve"> symptomer</w:t>
            </w:r>
            <w:r w:rsidRPr="00841BE0">
              <w:rPr>
                <w:sz w:val="22"/>
                <w:szCs w:val="22"/>
                <w:vertAlign w:val="superscript"/>
                <w:lang w:val="en-US"/>
              </w:rPr>
              <w:t>3,4</w:t>
            </w:r>
          </w:p>
        </w:tc>
        <w:tc>
          <w:tcPr>
            <w:tcW w:w="1030" w:type="pct"/>
            <w:tcBorders>
              <w:top w:val="single" w:sz="4" w:space="0" w:color="000000"/>
              <w:left w:val="single" w:sz="4" w:space="0" w:color="000000"/>
              <w:bottom w:val="single" w:sz="4" w:space="0" w:color="000000"/>
              <w:right w:val="single" w:sz="4" w:space="0" w:color="000000"/>
            </w:tcBorders>
            <w:hideMark/>
          </w:tcPr>
          <w:p w14:paraId="0F38AB4A" w14:textId="77777777" w:rsidR="00841BE0" w:rsidRPr="00841BE0" w:rsidRDefault="00841BE0" w:rsidP="00A3510F">
            <w:pPr>
              <w:ind w:left="32"/>
              <w:rPr>
                <w:sz w:val="22"/>
                <w:szCs w:val="22"/>
                <w:lang w:val="en-US"/>
              </w:rPr>
            </w:pPr>
            <w:proofErr w:type="spellStart"/>
            <w:r w:rsidRPr="00841BE0">
              <w:rPr>
                <w:sz w:val="22"/>
                <w:szCs w:val="22"/>
                <w:lang w:val="en-US"/>
              </w:rPr>
              <w:t>Forstoppelse</w:t>
            </w:r>
            <w:proofErr w:type="spellEnd"/>
          </w:p>
        </w:tc>
        <w:tc>
          <w:tcPr>
            <w:tcW w:w="809" w:type="pct"/>
            <w:tcBorders>
              <w:top w:val="single" w:sz="4" w:space="0" w:color="000000"/>
              <w:left w:val="single" w:sz="4" w:space="0" w:color="000000"/>
              <w:bottom w:val="single" w:sz="4" w:space="0" w:color="000000"/>
              <w:right w:val="single" w:sz="4" w:space="0" w:color="000000"/>
            </w:tcBorders>
          </w:tcPr>
          <w:p w14:paraId="0C0FEA09" w14:textId="77777777" w:rsidR="00841BE0" w:rsidRPr="00841BE0" w:rsidRDefault="00841BE0" w:rsidP="00A3510F">
            <w:pPr>
              <w:ind w:left="32"/>
              <w:rPr>
                <w:sz w:val="22"/>
                <w:szCs w:val="22"/>
                <w:lang w:val="en-US"/>
              </w:rPr>
            </w:pPr>
          </w:p>
        </w:tc>
        <w:tc>
          <w:tcPr>
            <w:tcW w:w="809" w:type="pct"/>
            <w:tcBorders>
              <w:top w:val="single" w:sz="4" w:space="0" w:color="000000"/>
              <w:left w:val="single" w:sz="4" w:space="0" w:color="000000"/>
              <w:bottom w:val="single" w:sz="4" w:space="0" w:color="000000"/>
              <w:right w:val="single" w:sz="4" w:space="0" w:color="000000"/>
            </w:tcBorders>
          </w:tcPr>
          <w:p w14:paraId="59921EEE" w14:textId="77777777" w:rsidR="00841BE0" w:rsidRPr="00841BE0" w:rsidRDefault="00841BE0" w:rsidP="00A3510F">
            <w:pPr>
              <w:ind w:left="32"/>
              <w:rPr>
                <w:sz w:val="22"/>
                <w:szCs w:val="22"/>
                <w:lang w:val="en-US"/>
              </w:rPr>
            </w:pPr>
          </w:p>
        </w:tc>
        <w:tc>
          <w:tcPr>
            <w:tcW w:w="588" w:type="pct"/>
            <w:tcBorders>
              <w:top w:val="single" w:sz="4" w:space="0" w:color="000000"/>
              <w:left w:val="single" w:sz="4" w:space="0" w:color="000000"/>
              <w:bottom w:val="single" w:sz="4" w:space="0" w:color="000000"/>
              <w:right w:val="single" w:sz="4" w:space="0" w:color="000000"/>
            </w:tcBorders>
          </w:tcPr>
          <w:p w14:paraId="55B96B20" w14:textId="77777777" w:rsidR="00841BE0" w:rsidRPr="00841BE0" w:rsidRDefault="00841BE0" w:rsidP="00A3510F">
            <w:pPr>
              <w:ind w:left="32"/>
              <w:rPr>
                <w:sz w:val="22"/>
                <w:szCs w:val="22"/>
                <w:lang w:val="en-US"/>
              </w:rPr>
            </w:pPr>
          </w:p>
        </w:tc>
      </w:tr>
      <w:tr w:rsidR="00841BE0" w:rsidRPr="00841BE0" w14:paraId="1B45BD81" w14:textId="77777777" w:rsidTr="00A3510F">
        <w:trPr>
          <w:trHeight w:val="688"/>
        </w:trPr>
        <w:tc>
          <w:tcPr>
            <w:tcW w:w="809" w:type="pct"/>
            <w:tcBorders>
              <w:top w:val="single" w:sz="4" w:space="0" w:color="000000"/>
              <w:left w:val="single" w:sz="4" w:space="0" w:color="000000"/>
              <w:bottom w:val="single" w:sz="4" w:space="0" w:color="000000"/>
              <w:right w:val="single" w:sz="4" w:space="0" w:color="000000"/>
            </w:tcBorders>
            <w:hideMark/>
          </w:tcPr>
          <w:p w14:paraId="155D6922" w14:textId="77777777" w:rsidR="00841BE0" w:rsidRPr="00841BE0" w:rsidRDefault="00841BE0" w:rsidP="00A3510F">
            <w:pPr>
              <w:ind w:left="32"/>
              <w:rPr>
                <w:i/>
                <w:sz w:val="22"/>
                <w:szCs w:val="22"/>
                <w:lang w:val="en-US"/>
              </w:rPr>
            </w:pPr>
            <w:r w:rsidRPr="00841BE0">
              <w:rPr>
                <w:i/>
                <w:sz w:val="22"/>
                <w:szCs w:val="22"/>
                <w:lang w:val="en-US"/>
              </w:rPr>
              <w:t xml:space="preserve">Lever og </w:t>
            </w:r>
            <w:proofErr w:type="spellStart"/>
            <w:r w:rsidRPr="00841BE0">
              <w:rPr>
                <w:i/>
                <w:sz w:val="22"/>
                <w:szCs w:val="22"/>
                <w:lang w:val="en-US"/>
              </w:rPr>
              <w:t>galdeveje</w:t>
            </w:r>
            <w:proofErr w:type="spellEnd"/>
          </w:p>
        </w:tc>
        <w:tc>
          <w:tcPr>
            <w:tcW w:w="955" w:type="pct"/>
            <w:tcBorders>
              <w:top w:val="single" w:sz="4" w:space="0" w:color="000000"/>
              <w:left w:val="single" w:sz="4" w:space="0" w:color="000000"/>
              <w:bottom w:val="single" w:sz="4" w:space="0" w:color="000000"/>
              <w:right w:val="single" w:sz="4" w:space="0" w:color="000000"/>
            </w:tcBorders>
          </w:tcPr>
          <w:p w14:paraId="3B96E956" w14:textId="77777777" w:rsidR="00841BE0" w:rsidRPr="00841BE0" w:rsidRDefault="00841BE0" w:rsidP="00A3510F">
            <w:pPr>
              <w:ind w:left="32"/>
              <w:rPr>
                <w:sz w:val="22"/>
                <w:szCs w:val="22"/>
                <w:lang w:val="en-US"/>
              </w:rPr>
            </w:pPr>
          </w:p>
        </w:tc>
        <w:tc>
          <w:tcPr>
            <w:tcW w:w="1030" w:type="pct"/>
            <w:tcBorders>
              <w:top w:val="single" w:sz="4" w:space="0" w:color="000000"/>
              <w:left w:val="single" w:sz="4" w:space="0" w:color="000000"/>
              <w:bottom w:val="single" w:sz="4" w:space="0" w:color="000000"/>
              <w:right w:val="single" w:sz="4" w:space="0" w:color="000000"/>
            </w:tcBorders>
          </w:tcPr>
          <w:p w14:paraId="2782539F" w14:textId="77777777" w:rsidR="00841BE0" w:rsidRPr="00841BE0" w:rsidRDefault="00841BE0" w:rsidP="00A3510F">
            <w:pPr>
              <w:ind w:left="32"/>
              <w:rPr>
                <w:sz w:val="22"/>
                <w:szCs w:val="22"/>
                <w:lang w:val="en-US"/>
              </w:rPr>
            </w:pPr>
          </w:p>
        </w:tc>
        <w:tc>
          <w:tcPr>
            <w:tcW w:w="809" w:type="pct"/>
            <w:tcBorders>
              <w:top w:val="single" w:sz="4" w:space="0" w:color="000000"/>
              <w:left w:val="single" w:sz="4" w:space="0" w:color="000000"/>
              <w:bottom w:val="single" w:sz="4" w:space="0" w:color="000000"/>
              <w:right w:val="single" w:sz="4" w:space="0" w:color="000000"/>
            </w:tcBorders>
          </w:tcPr>
          <w:p w14:paraId="4DCECA43" w14:textId="77777777" w:rsidR="00841BE0" w:rsidRPr="00841BE0" w:rsidRDefault="00841BE0" w:rsidP="00A3510F">
            <w:pPr>
              <w:ind w:left="32"/>
              <w:rPr>
                <w:sz w:val="22"/>
                <w:szCs w:val="22"/>
                <w:lang w:val="en-US"/>
              </w:rPr>
            </w:pPr>
          </w:p>
        </w:tc>
        <w:tc>
          <w:tcPr>
            <w:tcW w:w="809" w:type="pct"/>
            <w:tcBorders>
              <w:top w:val="single" w:sz="4" w:space="0" w:color="000000"/>
              <w:left w:val="single" w:sz="4" w:space="0" w:color="000000"/>
              <w:bottom w:val="single" w:sz="4" w:space="0" w:color="000000"/>
              <w:right w:val="single" w:sz="4" w:space="0" w:color="000000"/>
            </w:tcBorders>
          </w:tcPr>
          <w:p w14:paraId="11323B78" w14:textId="77777777" w:rsidR="00841BE0" w:rsidRPr="00841BE0" w:rsidRDefault="00841BE0" w:rsidP="00A3510F">
            <w:pPr>
              <w:ind w:left="32"/>
              <w:rPr>
                <w:sz w:val="22"/>
                <w:szCs w:val="22"/>
                <w:lang w:val="en-US"/>
              </w:rPr>
            </w:pPr>
          </w:p>
        </w:tc>
        <w:tc>
          <w:tcPr>
            <w:tcW w:w="588" w:type="pct"/>
            <w:tcBorders>
              <w:top w:val="single" w:sz="4" w:space="0" w:color="000000"/>
              <w:left w:val="single" w:sz="4" w:space="0" w:color="000000"/>
              <w:bottom w:val="single" w:sz="4" w:space="0" w:color="000000"/>
              <w:right w:val="single" w:sz="4" w:space="0" w:color="000000"/>
            </w:tcBorders>
            <w:hideMark/>
          </w:tcPr>
          <w:p w14:paraId="4F2016E0" w14:textId="77777777" w:rsidR="00841BE0" w:rsidRPr="00841BE0" w:rsidRDefault="00841BE0" w:rsidP="00A3510F">
            <w:pPr>
              <w:ind w:left="32"/>
              <w:rPr>
                <w:sz w:val="22"/>
                <w:szCs w:val="22"/>
                <w:lang w:val="en-US"/>
              </w:rPr>
            </w:pPr>
            <w:proofErr w:type="spellStart"/>
            <w:r w:rsidRPr="00841BE0">
              <w:rPr>
                <w:sz w:val="22"/>
                <w:szCs w:val="22"/>
                <w:lang w:val="en-US"/>
              </w:rPr>
              <w:t>Unormale</w:t>
            </w:r>
            <w:proofErr w:type="spellEnd"/>
            <w:r w:rsidRPr="00841BE0">
              <w:rPr>
                <w:sz w:val="22"/>
                <w:szCs w:val="22"/>
                <w:lang w:val="en-US"/>
              </w:rPr>
              <w:t xml:space="preserve"> levertal</w:t>
            </w:r>
            <w:r w:rsidRPr="00841BE0">
              <w:rPr>
                <w:sz w:val="22"/>
                <w:szCs w:val="22"/>
                <w:vertAlign w:val="superscript"/>
                <w:lang w:val="en-US"/>
              </w:rPr>
              <w:t>3</w:t>
            </w:r>
          </w:p>
          <w:p w14:paraId="1D1A76A1" w14:textId="77777777" w:rsidR="00841BE0" w:rsidRPr="00841BE0" w:rsidRDefault="00841BE0" w:rsidP="00A3510F">
            <w:pPr>
              <w:ind w:left="32"/>
              <w:rPr>
                <w:sz w:val="22"/>
                <w:szCs w:val="22"/>
                <w:lang w:val="en-US"/>
              </w:rPr>
            </w:pPr>
            <w:r w:rsidRPr="00841BE0">
              <w:rPr>
                <w:sz w:val="22"/>
                <w:szCs w:val="22"/>
                <w:lang w:val="en-US"/>
              </w:rPr>
              <w:t>Hepatitis</w:t>
            </w:r>
            <w:r w:rsidRPr="00841BE0">
              <w:rPr>
                <w:sz w:val="22"/>
                <w:szCs w:val="22"/>
                <w:vertAlign w:val="superscript"/>
                <w:lang w:val="en-US"/>
              </w:rPr>
              <w:t>3</w:t>
            </w:r>
          </w:p>
        </w:tc>
      </w:tr>
      <w:tr w:rsidR="00841BE0" w:rsidRPr="00841BE0" w14:paraId="10E6E37F" w14:textId="77777777" w:rsidTr="00A3510F">
        <w:trPr>
          <w:trHeight w:val="691"/>
        </w:trPr>
        <w:tc>
          <w:tcPr>
            <w:tcW w:w="809" w:type="pct"/>
            <w:tcBorders>
              <w:top w:val="single" w:sz="4" w:space="0" w:color="000000"/>
              <w:left w:val="single" w:sz="4" w:space="0" w:color="000000"/>
              <w:bottom w:val="single" w:sz="4" w:space="0" w:color="000000"/>
              <w:right w:val="single" w:sz="4" w:space="0" w:color="000000"/>
            </w:tcBorders>
            <w:hideMark/>
          </w:tcPr>
          <w:p w14:paraId="5D83CE7C" w14:textId="77777777" w:rsidR="00841BE0" w:rsidRPr="00841BE0" w:rsidRDefault="00841BE0" w:rsidP="00A3510F">
            <w:pPr>
              <w:ind w:left="32"/>
              <w:rPr>
                <w:i/>
                <w:sz w:val="22"/>
                <w:szCs w:val="22"/>
                <w:lang w:val="en-US"/>
              </w:rPr>
            </w:pPr>
            <w:r w:rsidRPr="00841BE0">
              <w:rPr>
                <w:i/>
                <w:sz w:val="22"/>
                <w:szCs w:val="22"/>
                <w:lang w:val="en-US"/>
              </w:rPr>
              <w:t xml:space="preserve">Hud og </w:t>
            </w:r>
            <w:proofErr w:type="spellStart"/>
            <w:r w:rsidRPr="00841BE0">
              <w:rPr>
                <w:i/>
                <w:sz w:val="22"/>
                <w:szCs w:val="22"/>
                <w:lang w:val="en-US"/>
              </w:rPr>
              <w:t>subkutane</w:t>
            </w:r>
            <w:proofErr w:type="spellEnd"/>
            <w:r w:rsidRPr="00841BE0">
              <w:rPr>
                <w:i/>
                <w:sz w:val="22"/>
                <w:szCs w:val="22"/>
                <w:lang w:val="en-US"/>
              </w:rPr>
              <w:t xml:space="preserve"> </w:t>
            </w:r>
            <w:proofErr w:type="spellStart"/>
            <w:r w:rsidRPr="00841BE0">
              <w:rPr>
                <w:i/>
                <w:sz w:val="22"/>
                <w:szCs w:val="22"/>
                <w:lang w:val="en-US"/>
              </w:rPr>
              <w:t>væv</w:t>
            </w:r>
            <w:proofErr w:type="spellEnd"/>
          </w:p>
        </w:tc>
        <w:tc>
          <w:tcPr>
            <w:tcW w:w="955" w:type="pct"/>
            <w:tcBorders>
              <w:top w:val="single" w:sz="4" w:space="0" w:color="000000"/>
              <w:left w:val="single" w:sz="4" w:space="0" w:color="000000"/>
              <w:bottom w:val="single" w:sz="4" w:space="0" w:color="000000"/>
              <w:right w:val="single" w:sz="4" w:space="0" w:color="000000"/>
            </w:tcBorders>
          </w:tcPr>
          <w:p w14:paraId="249555F9" w14:textId="77777777" w:rsidR="00841BE0" w:rsidRPr="00841BE0" w:rsidRDefault="00841BE0" w:rsidP="00A3510F">
            <w:pPr>
              <w:ind w:left="32"/>
              <w:rPr>
                <w:sz w:val="22"/>
                <w:szCs w:val="22"/>
                <w:lang w:val="en-US"/>
              </w:rPr>
            </w:pPr>
          </w:p>
        </w:tc>
        <w:tc>
          <w:tcPr>
            <w:tcW w:w="1030" w:type="pct"/>
            <w:tcBorders>
              <w:top w:val="single" w:sz="4" w:space="0" w:color="000000"/>
              <w:left w:val="single" w:sz="4" w:space="0" w:color="000000"/>
              <w:bottom w:val="single" w:sz="4" w:space="0" w:color="000000"/>
              <w:right w:val="single" w:sz="4" w:space="0" w:color="000000"/>
            </w:tcBorders>
            <w:hideMark/>
          </w:tcPr>
          <w:p w14:paraId="100FECA7" w14:textId="77777777" w:rsidR="00841BE0" w:rsidRPr="00841BE0" w:rsidRDefault="00841BE0" w:rsidP="00A3510F">
            <w:pPr>
              <w:ind w:left="32"/>
              <w:rPr>
                <w:sz w:val="22"/>
                <w:szCs w:val="22"/>
                <w:lang w:val="en-US"/>
              </w:rPr>
            </w:pPr>
            <w:proofErr w:type="spellStart"/>
            <w:r w:rsidRPr="00841BE0">
              <w:rPr>
                <w:sz w:val="22"/>
                <w:szCs w:val="22"/>
                <w:lang w:val="en-US"/>
              </w:rPr>
              <w:t>Kløe</w:t>
            </w:r>
            <w:proofErr w:type="spellEnd"/>
            <w:r w:rsidRPr="00841BE0">
              <w:rPr>
                <w:sz w:val="22"/>
                <w:szCs w:val="22"/>
                <w:lang w:val="en-US"/>
              </w:rPr>
              <w:t xml:space="preserve"> (</w:t>
            </w:r>
            <w:proofErr w:type="spellStart"/>
            <w:r w:rsidRPr="00841BE0">
              <w:rPr>
                <w:sz w:val="22"/>
                <w:szCs w:val="22"/>
                <w:lang w:val="en-US"/>
              </w:rPr>
              <w:t>generaliseret</w:t>
            </w:r>
            <w:proofErr w:type="spellEnd"/>
            <w:r w:rsidRPr="00841BE0">
              <w:rPr>
                <w:sz w:val="22"/>
                <w:szCs w:val="22"/>
                <w:lang w:val="en-US"/>
              </w:rPr>
              <w:t>)</w:t>
            </w:r>
            <w:r w:rsidRPr="00841BE0">
              <w:rPr>
                <w:sz w:val="22"/>
                <w:szCs w:val="22"/>
                <w:vertAlign w:val="superscript"/>
                <w:lang w:val="en-US"/>
              </w:rPr>
              <w:t>2,3</w:t>
            </w:r>
          </w:p>
          <w:p w14:paraId="4DF6892D" w14:textId="77777777" w:rsidR="00841BE0" w:rsidRPr="00841BE0" w:rsidRDefault="00841BE0" w:rsidP="00A3510F">
            <w:pPr>
              <w:ind w:left="32"/>
              <w:rPr>
                <w:sz w:val="22"/>
                <w:szCs w:val="22"/>
                <w:lang w:val="en-US"/>
              </w:rPr>
            </w:pPr>
            <w:proofErr w:type="spellStart"/>
            <w:r w:rsidRPr="00841BE0">
              <w:rPr>
                <w:sz w:val="22"/>
                <w:szCs w:val="22"/>
                <w:lang w:val="en-US"/>
              </w:rPr>
              <w:t>Udslæt</w:t>
            </w:r>
            <w:proofErr w:type="spellEnd"/>
          </w:p>
        </w:tc>
        <w:tc>
          <w:tcPr>
            <w:tcW w:w="809" w:type="pct"/>
            <w:tcBorders>
              <w:top w:val="single" w:sz="4" w:space="0" w:color="000000"/>
              <w:left w:val="single" w:sz="4" w:space="0" w:color="000000"/>
              <w:bottom w:val="single" w:sz="4" w:space="0" w:color="000000"/>
              <w:right w:val="single" w:sz="4" w:space="0" w:color="000000"/>
            </w:tcBorders>
            <w:hideMark/>
          </w:tcPr>
          <w:p w14:paraId="05F95A45" w14:textId="77777777" w:rsidR="00841BE0" w:rsidRPr="00841BE0" w:rsidRDefault="00841BE0" w:rsidP="00A3510F">
            <w:pPr>
              <w:ind w:left="32"/>
              <w:rPr>
                <w:sz w:val="22"/>
                <w:szCs w:val="22"/>
                <w:lang w:val="en-US"/>
              </w:rPr>
            </w:pPr>
            <w:r w:rsidRPr="00841BE0">
              <w:rPr>
                <w:sz w:val="22"/>
                <w:szCs w:val="22"/>
                <w:lang w:val="en-US"/>
              </w:rPr>
              <w:t>Urticaria</w:t>
            </w:r>
          </w:p>
          <w:p w14:paraId="4A08B127" w14:textId="77777777" w:rsidR="00841BE0" w:rsidRPr="00841BE0" w:rsidRDefault="00841BE0" w:rsidP="00A3510F">
            <w:pPr>
              <w:ind w:left="32"/>
              <w:rPr>
                <w:sz w:val="22"/>
                <w:szCs w:val="22"/>
                <w:lang w:val="en-US"/>
              </w:rPr>
            </w:pPr>
            <w:proofErr w:type="spellStart"/>
            <w:r w:rsidRPr="00841BE0">
              <w:rPr>
                <w:sz w:val="22"/>
                <w:szCs w:val="22"/>
                <w:lang w:val="en-US"/>
              </w:rPr>
              <w:t>Angioødem</w:t>
            </w:r>
            <w:proofErr w:type="spellEnd"/>
          </w:p>
        </w:tc>
        <w:tc>
          <w:tcPr>
            <w:tcW w:w="809" w:type="pct"/>
            <w:tcBorders>
              <w:top w:val="single" w:sz="4" w:space="0" w:color="000000"/>
              <w:left w:val="single" w:sz="4" w:space="0" w:color="000000"/>
              <w:bottom w:val="single" w:sz="4" w:space="0" w:color="000000"/>
              <w:right w:val="single" w:sz="4" w:space="0" w:color="000000"/>
            </w:tcBorders>
          </w:tcPr>
          <w:p w14:paraId="4A8105D3" w14:textId="77777777" w:rsidR="00841BE0" w:rsidRPr="00841BE0" w:rsidRDefault="00841BE0" w:rsidP="00A3510F">
            <w:pPr>
              <w:ind w:left="32"/>
              <w:rPr>
                <w:sz w:val="22"/>
                <w:szCs w:val="22"/>
                <w:lang w:val="en-US"/>
              </w:rPr>
            </w:pPr>
          </w:p>
        </w:tc>
        <w:tc>
          <w:tcPr>
            <w:tcW w:w="588" w:type="pct"/>
            <w:tcBorders>
              <w:top w:val="single" w:sz="4" w:space="0" w:color="000000"/>
              <w:left w:val="single" w:sz="4" w:space="0" w:color="000000"/>
              <w:bottom w:val="single" w:sz="4" w:space="0" w:color="000000"/>
              <w:right w:val="single" w:sz="4" w:space="0" w:color="000000"/>
            </w:tcBorders>
            <w:hideMark/>
          </w:tcPr>
          <w:p w14:paraId="52C955A1" w14:textId="77777777" w:rsidR="00841BE0" w:rsidRPr="00841BE0" w:rsidRDefault="00841BE0" w:rsidP="00A3510F">
            <w:pPr>
              <w:ind w:left="32"/>
              <w:rPr>
                <w:sz w:val="22"/>
                <w:szCs w:val="22"/>
                <w:lang w:val="en-US"/>
              </w:rPr>
            </w:pPr>
            <w:r w:rsidRPr="00841BE0">
              <w:rPr>
                <w:sz w:val="22"/>
                <w:szCs w:val="22"/>
                <w:lang w:val="en-US"/>
              </w:rPr>
              <w:t>Erytem</w:t>
            </w:r>
            <w:r w:rsidRPr="00841BE0">
              <w:rPr>
                <w:sz w:val="22"/>
                <w:szCs w:val="22"/>
                <w:vertAlign w:val="superscript"/>
                <w:lang w:val="en-US"/>
              </w:rPr>
              <w:t>3</w:t>
            </w:r>
          </w:p>
        </w:tc>
      </w:tr>
      <w:tr w:rsidR="00841BE0" w:rsidRPr="00841BE0" w14:paraId="0E3BB7EB" w14:textId="77777777" w:rsidTr="00A3510F">
        <w:trPr>
          <w:trHeight w:val="661"/>
        </w:trPr>
        <w:tc>
          <w:tcPr>
            <w:tcW w:w="809" w:type="pct"/>
            <w:tcBorders>
              <w:top w:val="single" w:sz="4" w:space="0" w:color="000000"/>
              <w:left w:val="single" w:sz="4" w:space="0" w:color="000000"/>
              <w:bottom w:val="single" w:sz="4" w:space="0" w:color="000000"/>
              <w:right w:val="single" w:sz="4" w:space="0" w:color="000000"/>
            </w:tcBorders>
            <w:hideMark/>
          </w:tcPr>
          <w:p w14:paraId="04B24918" w14:textId="77777777" w:rsidR="00841BE0" w:rsidRPr="00841BE0" w:rsidRDefault="00841BE0" w:rsidP="00A3510F">
            <w:pPr>
              <w:ind w:left="32"/>
              <w:rPr>
                <w:i/>
                <w:sz w:val="22"/>
                <w:szCs w:val="22"/>
                <w:lang w:val="en-US"/>
              </w:rPr>
            </w:pPr>
            <w:proofErr w:type="spellStart"/>
            <w:r w:rsidRPr="00841BE0">
              <w:rPr>
                <w:i/>
                <w:sz w:val="22"/>
                <w:szCs w:val="22"/>
                <w:lang w:val="en-US"/>
              </w:rPr>
              <w:t>Nyrer</w:t>
            </w:r>
            <w:proofErr w:type="spellEnd"/>
            <w:r w:rsidRPr="00841BE0">
              <w:rPr>
                <w:i/>
                <w:sz w:val="22"/>
                <w:szCs w:val="22"/>
                <w:lang w:val="en-US"/>
              </w:rPr>
              <w:t xml:space="preserve"> og </w:t>
            </w:r>
            <w:proofErr w:type="spellStart"/>
            <w:r w:rsidRPr="00841BE0">
              <w:rPr>
                <w:i/>
                <w:sz w:val="22"/>
                <w:szCs w:val="22"/>
                <w:lang w:val="en-US"/>
              </w:rPr>
              <w:t>urinveje</w:t>
            </w:r>
            <w:proofErr w:type="spellEnd"/>
          </w:p>
        </w:tc>
        <w:tc>
          <w:tcPr>
            <w:tcW w:w="955" w:type="pct"/>
            <w:tcBorders>
              <w:top w:val="single" w:sz="4" w:space="0" w:color="000000"/>
              <w:left w:val="single" w:sz="4" w:space="0" w:color="000000"/>
              <w:bottom w:val="single" w:sz="4" w:space="0" w:color="000000"/>
              <w:right w:val="single" w:sz="4" w:space="0" w:color="000000"/>
            </w:tcBorders>
          </w:tcPr>
          <w:p w14:paraId="46AADBE9" w14:textId="77777777" w:rsidR="00841BE0" w:rsidRPr="00841BE0" w:rsidRDefault="00841BE0" w:rsidP="00A3510F">
            <w:pPr>
              <w:ind w:left="32"/>
              <w:rPr>
                <w:sz w:val="22"/>
                <w:szCs w:val="22"/>
                <w:lang w:val="en-US"/>
              </w:rPr>
            </w:pPr>
          </w:p>
        </w:tc>
        <w:tc>
          <w:tcPr>
            <w:tcW w:w="1030" w:type="pct"/>
            <w:tcBorders>
              <w:top w:val="single" w:sz="4" w:space="0" w:color="000000"/>
              <w:left w:val="single" w:sz="4" w:space="0" w:color="000000"/>
              <w:bottom w:val="single" w:sz="4" w:space="0" w:color="000000"/>
              <w:right w:val="single" w:sz="4" w:space="0" w:color="000000"/>
            </w:tcBorders>
            <w:hideMark/>
          </w:tcPr>
          <w:p w14:paraId="23C34A58" w14:textId="77777777" w:rsidR="00841BE0" w:rsidRPr="00841BE0" w:rsidRDefault="00841BE0" w:rsidP="00A3510F">
            <w:pPr>
              <w:ind w:left="32"/>
              <w:rPr>
                <w:sz w:val="22"/>
                <w:szCs w:val="22"/>
                <w:lang w:val="en-US"/>
              </w:rPr>
            </w:pPr>
            <w:proofErr w:type="spellStart"/>
            <w:r w:rsidRPr="00841BE0">
              <w:rPr>
                <w:sz w:val="22"/>
                <w:szCs w:val="22"/>
                <w:lang w:val="en-US"/>
              </w:rPr>
              <w:t>Øget</w:t>
            </w:r>
            <w:proofErr w:type="spellEnd"/>
            <w:r w:rsidRPr="00841BE0">
              <w:rPr>
                <w:sz w:val="22"/>
                <w:szCs w:val="22"/>
                <w:lang w:val="en-US"/>
              </w:rPr>
              <w:t xml:space="preserve"> vandladning</w:t>
            </w:r>
            <w:r w:rsidRPr="00841BE0">
              <w:rPr>
                <w:sz w:val="22"/>
                <w:szCs w:val="22"/>
                <w:vertAlign w:val="superscript"/>
                <w:lang w:val="en-US"/>
              </w:rPr>
              <w:t>1,2</w:t>
            </w:r>
          </w:p>
        </w:tc>
        <w:tc>
          <w:tcPr>
            <w:tcW w:w="809" w:type="pct"/>
            <w:tcBorders>
              <w:top w:val="single" w:sz="4" w:space="0" w:color="000000"/>
              <w:left w:val="single" w:sz="4" w:space="0" w:color="000000"/>
              <w:bottom w:val="single" w:sz="4" w:space="0" w:color="000000"/>
              <w:right w:val="single" w:sz="4" w:space="0" w:color="000000"/>
            </w:tcBorders>
            <w:hideMark/>
          </w:tcPr>
          <w:p w14:paraId="1607DD80" w14:textId="77777777" w:rsidR="00841BE0" w:rsidRPr="00841BE0" w:rsidRDefault="00841BE0" w:rsidP="00A3510F">
            <w:pPr>
              <w:ind w:left="32"/>
              <w:rPr>
                <w:sz w:val="22"/>
                <w:szCs w:val="22"/>
                <w:lang w:val="en-US"/>
              </w:rPr>
            </w:pPr>
            <w:r w:rsidRPr="00841BE0">
              <w:rPr>
                <w:sz w:val="22"/>
                <w:szCs w:val="22"/>
                <w:lang w:val="en-US"/>
              </w:rPr>
              <w:t>Dysuri</w:t>
            </w:r>
            <w:r w:rsidRPr="00841BE0">
              <w:rPr>
                <w:sz w:val="22"/>
                <w:szCs w:val="22"/>
                <w:vertAlign w:val="superscript"/>
                <w:lang w:val="en-US"/>
              </w:rPr>
              <w:t>2</w:t>
            </w:r>
          </w:p>
        </w:tc>
        <w:tc>
          <w:tcPr>
            <w:tcW w:w="809" w:type="pct"/>
            <w:tcBorders>
              <w:top w:val="single" w:sz="4" w:space="0" w:color="000000"/>
              <w:left w:val="single" w:sz="4" w:space="0" w:color="000000"/>
              <w:bottom w:val="single" w:sz="4" w:space="0" w:color="000000"/>
              <w:right w:val="single" w:sz="4" w:space="0" w:color="000000"/>
            </w:tcBorders>
          </w:tcPr>
          <w:p w14:paraId="46C92E92" w14:textId="77777777" w:rsidR="00841BE0" w:rsidRPr="00841BE0" w:rsidRDefault="00841BE0" w:rsidP="00A3510F">
            <w:pPr>
              <w:ind w:left="32"/>
              <w:rPr>
                <w:sz w:val="22"/>
                <w:szCs w:val="22"/>
                <w:lang w:val="en-US"/>
              </w:rPr>
            </w:pPr>
          </w:p>
        </w:tc>
        <w:tc>
          <w:tcPr>
            <w:tcW w:w="588" w:type="pct"/>
            <w:tcBorders>
              <w:top w:val="single" w:sz="4" w:space="0" w:color="000000"/>
              <w:left w:val="single" w:sz="4" w:space="0" w:color="000000"/>
              <w:bottom w:val="single" w:sz="4" w:space="0" w:color="000000"/>
              <w:right w:val="single" w:sz="4" w:space="0" w:color="000000"/>
            </w:tcBorders>
            <w:hideMark/>
          </w:tcPr>
          <w:p w14:paraId="2F0C8449" w14:textId="77777777" w:rsidR="00841BE0" w:rsidRPr="00841BE0" w:rsidRDefault="00841BE0" w:rsidP="00A3510F">
            <w:pPr>
              <w:ind w:left="32"/>
              <w:rPr>
                <w:sz w:val="22"/>
                <w:szCs w:val="22"/>
                <w:lang w:val="en-US"/>
              </w:rPr>
            </w:pPr>
            <w:r w:rsidRPr="00841BE0">
              <w:rPr>
                <w:sz w:val="22"/>
                <w:szCs w:val="22"/>
                <w:lang w:val="en-US"/>
              </w:rPr>
              <w:t>Tubulo-</w:t>
            </w:r>
            <w:proofErr w:type="spellStart"/>
            <w:r w:rsidRPr="00841BE0">
              <w:rPr>
                <w:sz w:val="22"/>
                <w:szCs w:val="22"/>
                <w:lang w:val="en-US"/>
              </w:rPr>
              <w:t>interstitiel</w:t>
            </w:r>
            <w:proofErr w:type="spellEnd"/>
            <w:r w:rsidRPr="00841BE0">
              <w:rPr>
                <w:sz w:val="22"/>
                <w:szCs w:val="22"/>
                <w:lang w:val="en-US"/>
              </w:rPr>
              <w:t xml:space="preserve"> </w:t>
            </w:r>
            <w:proofErr w:type="spellStart"/>
            <w:r w:rsidRPr="00841BE0">
              <w:rPr>
                <w:sz w:val="22"/>
                <w:szCs w:val="22"/>
                <w:lang w:val="en-US"/>
              </w:rPr>
              <w:t>nefritis</w:t>
            </w:r>
            <w:proofErr w:type="spellEnd"/>
          </w:p>
        </w:tc>
      </w:tr>
      <w:tr w:rsidR="00841BE0" w:rsidRPr="00841BE0" w14:paraId="6D01E9D1" w14:textId="77777777" w:rsidTr="00A3510F">
        <w:trPr>
          <w:trHeight w:val="1840"/>
        </w:trPr>
        <w:tc>
          <w:tcPr>
            <w:tcW w:w="809" w:type="pct"/>
            <w:tcBorders>
              <w:top w:val="single" w:sz="4" w:space="0" w:color="000000"/>
              <w:left w:val="single" w:sz="4" w:space="0" w:color="000000"/>
              <w:bottom w:val="single" w:sz="4" w:space="0" w:color="000000"/>
              <w:right w:val="single" w:sz="4" w:space="0" w:color="000000"/>
            </w:tcBorders>
            <w:hideMark/>
          </w:tcPr>
          <w:p w14:paraId="240B6C38" w14:textId="77777777" w:rsidR="00841BE0" w:rsidRPr="00841BE0" w:rsidRDefault="00841BE0" w:rsidP="00A3510F">
            <w:pPr>
              <w:ind w:left="32"/>
              <w:rPr>
                <w:i/>
                <w:sz w:val="22"/>
                <w:szCs w:val="22"/>
                <w:lang w:val="en-US"/>
              </w:rPr>
            </w:pPr>
            <w:proofErr w:type="spellStart"/>
            <w:r w:rsidRPr="00841BE0">
              <w:rPr>
                <w:i/>
                <w:sz w:val="22"/>
                <w:szCs w:val="22"/>
                <w:lang w:val="en-US"/>
              </w:rPr>
              <w:t>Undersøgelser</w:t>
            </w:r>
            <w:proofErr w:type="spellEnd"/>
          </w:p>
        </w:tc>
        <w:tc>
          <w:tcPr>
            <w:tcW w:w="955" w:type="pct"/>
            <w:tcBorders>
              <w:top w:val="single" w:sz="4" w:space="0" w:color="000000"/>
              <w:left w:val="single" w:sz="4" w:space="0" w:color="000000"/>
              <w:bottom w:val="single" w:sz="4" w:space="0" w:color="000000"/>
              <w:right w:val="single" w:sz="4" w:space="0" w:color="000000"/>
            </w:tcBorders>
          </w:tcPr>
          <w:p w14:paraId="65435C82" w14:textId="77777777" w:rsidR="00841BE0" w:rsidRPr="00841BE0" w:rsidRDefault="00841BE0" w:rsidP="00A3510F">
            <w:pPr>
              <w:ind w:left="32"/>
              <w:rPr>
                <w:sz w:val="22"/>
                <w:szCs w:val="22"/>
                <w:lang w:val="en-US"/>
              </w:rPr>
            </w:pPr>
          </w:p>
        </w:tc>
        <w:tc>
          <w:tcPr>
            <w:tcW w:w="1030" w:type="pct"/>
            <w:tcBorders>
              <w:top w:val="single" w:sz="4" w:space="0" w:color="000000"/>
              <w:left w:val="single" w:sz="4" w:space="0" w:color="000000"/>
              <w:bottom w:val="single" w:sz="4" w:space="0" w:color="000000"/>
              <w:right w:val="single" w:sz="4" w:space="0" w:color="000000"/>
            </w:tcBorders>
            <w:hideMark/>
          </w:tcPr>
          <w:p w14:paraId="6440E1F5" w14:textId="77777777" w:rsidR="00841BE0" w:rsidRPr="00841BE0" w:rsidRDefault="00841BE0" w:rsidP="00A3510F">
            <w:pPr>
              <w:ind w:left="32"/>
              <w:rPr>
                <w:sz w:val="22"/>
                <w:szCs w:val="22"/>
                <w:lang w:val="en-US"/>
              </w:rPr>
            </w:pPr>
            <w:proofErr w:type="spellStart"/>
            <w:r w:rsidRPr="00841BE0">
              <w:rPr>
                <w:sz w:val="22"/>
                <w:szCs w:val="22"/>
                <w:lang w:val="en-US"/>
              </w:rPr>
              <w:t>Forhøjede</w:t>
            </w:r>
            <w:proofErr w:type="spellEnd"/>
            <w:r w:rsidRPr="00841BE0">
              <w:rPr>
                <w:sz w:val="22"/>
                <w:szCs w:val="22"/>
                <w:lang w:val="en-US"/>
              </w:rPr>
              <w:t xml:space="preserve"> serumlipider</w:t>
            </w:r>
            <w:proofErr w:type="gramStart"/>
            <w:r w:rsidRPr="00841BE0">
              <w:rPr>
                <w:sz w:val="22"/>
                <w:szCs w:val="22"/>
                <w:vertAlign w:val="superscript"/>
                <w:lang w:val="en-US"/>
              </w:rPr>
              <w:t>2,b</w:t>
            </w:r>
            <w:proofErr w:type="gramEnd"/>
          </w:p>
        </w:tc>
        <w:tc>
          <w:tcPr>
            <w:tcW w:w="809" w:type="pct"/>
            <w:tcBorders>
              <w:top w:val="single" w:sz="4" w:space="0" w:color="000000"/>
              <w:left w:val="single" w:sz="4" w:space="0" w:color="000000"/>
              <w:bottom w:val="single" w:sz="4" w:space="0" w:color="000000"/>
              <w:right w:val="single" w:sz="4" w:space="0" w:color="000000"/>
            </w:tcBorders>
            <w:hideMark/>
          </w:tcPr>
          <w:p w14:paraId="28296213" w14:textId="77777777" w:rsidR="00841BE0" w:rsidRPr="00841BE0" w:rsidRDefault="00841BE0" w:rsidP="00A3510F">
            <w:pPr>
              <w:ind w:left="32"/>
              <w:rPr>
                <w:sz w:val="22"/>
                <w:szCs w:val="22"/>
              </w:rPr>
            </w:pPr>
            <w:r w:rsidRPr="00841BE0">
              <w:rPr>
                <w:sz w:val="22"/>
                <w:szCs w:val="22"/>
              </w:rPr>
              <w:t>Øget serum-</w:t>
            </w:r>
            <w:proofErr w:type="spellStart"/>
            <w:r w:rsidRPr="00841BE0">
              <w:rPr>
                <w:sz w:val="22"/>
                <w:szCs w:val="22"/>
              </w:rPr>
              <w:t>kreatinin</w:t>
            </w:r>
            <w:proofErr w:type="spellEnd"/>
            <w:r w:rsidRPr="00841BE0">
              <w:rPr>
                <w:sz w:val="22"/>
                <w:szCs w:val="22"/>
              </w:rPr>
              <w:t xml:space="preserve">/ Nedsat </w:t>
            </w:r>
            <w:proofErr w:type="spellStart"/>
            <w:r w:rsidRPr="00841BE0">
              <w:rPr>
                <w:sz w:val="22"/>
                <w:szCs w:val="22"/>
              </w:rPr>
              <w:t>glomerulær</w:t>
            </w:r>
            <w:proofErr w:type="spellEnd"/>
            <w:r w:rsidRPr="00841BE0">
              <w:rPr>
                <w:sz w:val="22"/>
                <w:szCs w:val="22"/>
              </w:rPr>
              <w:t xml:space="preserve"> filtrations-hastighed</w:t>
            </w:r>
            <w:r w:rsidRPr="00841BE0">
              <w:rPr>
                <w:sz w:val="22"/>
                <w:szCs w:val="22"/>
                <w:vertAlign w:val="superscript"/>
              </w:rPr>
              <w:t>1</w:t>
            </w:r>
            <w:r w:rsidRPr="00841BE0">
              <w:rPr>
                <w:sz w:val="22"/>
                <w:szCs w:val="22"/>
              </w:rPr>
              <w:t xml:space="preserve"> Forhøjet</w:t>
            </w:r>
          </w:p>
          <w:p w14:paraId="56A44639" w14:textId="77777777" w:rsidR="00841BE0" w:rsidRPr="00841BE0" w:rsidRDefault="00841BE0" w:rsidP="00A3510F">
            <w:pPr>
              <w:ind w:left="32"/>
              <w:rPr>
                <w:sz w:val="22"/>
                <w:szCs w:val="22"/>
                <w:lang w:val="en-US"/>
              </w:rPr>
            </w:pPr>
            <w:r w:rsidRPr="00841BE0">
              <w:rPr>
                <w:sz w:val="22"/>
                <w:szCs w:val="22"/>
                <w:lang w:val="en-US"/>
              </w:rPr>
              <w:t>hæmatokrit</w:t>
            </w:r>
            <w:proofErr w:type="gramStart"/>
            <w:r w:rsidRPr="00841BE0">
              <w:rPr>
                <w:sz w:val="22"/>
                <w:szCs w:val="22"/>
                <w:vertAlign w:val="superscript"/>
                <w:lang w:val="en-US"/>
              </w:rPr>
              <w:t>2,c</w:t>
            </w:r>
            <w:proofErr w:type="gramEnd"/>
          </w:p>
        </w:tc>
        <w:tc>
          <w:tcPr>
            <w:tcW w:w="809" w:type="pct"/>
            <w:tcBorders>
              <w:top w:val="single" w:sz="4" w:space="0" w:color="000000"/>
              <w:left w:val="single" w:sz="4" w:space="0" w:color="000000"/>
              <w:bottom w:val="single" w:sz="4" w:space="0" w:color="000000"/>
              <w:right w:val="single" w:sz="4" w:space="0" w:color="000000"/>
            </w:tcBorders>
          </w:tcPr>
          <w:p w14:paraId="7726D1F2" w14:textId="77777777" w:rsidR="00841BE0" w:rsidRPr="00841BE0" w:rsidRDefault="00841BE0" w:rsidP="00A3510F">
            <w:pPr>
              <w:ind w:left="32"/>
              <w:rPr>
                <w:sz w:val="22"/>
                <w:szCs w:val="22"/>
                <w:lang w:val="en-US"/>
              </w:rPr>
            </w:pPr>
          </w:p>
        </w:tc>
        <w:tc>
          <w:tcPr>
            <w:tcW w:w="588" w:type="pct"/>
            <w:tcBorders>
              <w:top w:val="single" w:sz="4" w:space="0" w:color="000000"/>
              <w:left w:val="single" w:sz="4" w:space="0" w:color="000000"/>
              <w:bottom w:val="single" w:sz="4" w:space="0" w:color="000000"/>
              <w:right w:val="single" w:sz="4" w:space="0" w:color="000000"/>
            </w:tcBorders>
          </w:tcPr>
          <w:p w14:paraId="27511791" w14:textId="77777777" w:rsidR="00841BE0" w:rsidRPr="00841BE0" w:rsidRDefault="00841BE0" w:rsidP="00A3510F">
            <w:pPr>
              <w:ind w:left="32"/>
              <w:rPr>
                <w:sz w:val="22"/>
                <w:szCs w:val="22"/>
                <w:lang w:val="en-US"/>
              </w:rPr>
            </w:pPr>
          </w:p>
        </w:tc>
      </w:tr>
    </w:tbl>
    <w:p w14:paraId="7D73F673" w14:textId="2A083B2F" w:rsidR="00841BE0" w:rsidRPr="00841BE0" w:rsidRDefault="00841BE0" w:rsidP="00A3510F">
      <w:pPr>
        <w:ind w:left="284" w:hanging="284"/>
        <w:rPr>
          <w:sz w:val="24"/>
          <w:szCs w:val="24"/>
        </w:rPr>
      </w:pPr>
      <w:r w:rsidRPr="00841BE0">
        <w:rPr>
          <w:sz w:val="24"/>
          <w:szCs w:val="24"/>
          <w:vertAlign w:val="superscript"/>
        </w:rPr>
        <w:t>1</w:t>
      </w:r>
      <w:r w:rsidRPr="00841BE0">
        <w:rPr>
          <w:sz w:val="24"/>
          <w:szCs w:val="24"/>
        </w:rPr>
        <w:t xml:space="preserve"> </w:t>
      </w:r>
      <w:r w:rsidR="00A3510F" w:rsidRPr="003D3B2F">
        <w:rPr>
          <w:sz w:val="24"/>
          <w:szCs w:val="24"/>
        </w:rPr>
        <w:tab/>
      </w:r>
      <w:r w:rsidRPr="00841BE0">
        <w:rPr>
          <w:sz w:val="24"/>
          <w:szCs w:val="24"/>
        </w:rPr>
        <w:t>Se nedenstående underpunkter for nærmere information.</w:t>
      </w:r>
    </w:p>
    <w:p w14:paraId="64C29FF9" w14:textId="18D3429C" w:rsidR="00841BE0" w:rsidRPr="00841BE0" w:rsidRDefault="00841BE0" w:rsidP="00A3510F">
      <w:pPr>
        <w:ind w:left="284" w:hanging="284"/>
        <w:rPr>
          <w:sz w:val="24"/>
          <w:szCs w:val="24"/>
        </w:rPr>
      </w:pPr>
      <w:r w:rsidRPr="00841BE0">
        <w:rPr>
          <w:sz w:val="24"/>
          <w:szCs w:val="24"/>
          <w:vertAlign w:val="superscript"/>
        </w:rPr>
        <w:t>2</w:t>
      </w:r>
      <w:r w:rsidRPr="00841BE0">
        <w:rPr>
          <w:sz w:val="24"/>
          <w:szCs w:val="24"/>
        </w:rPr>
        <w:t xml:space="preserve"> </w:t>
      </w:r>
      <w:r w:rsidR="00A3510F" w:rsidRPr="003D3B2F">
        <w:rPr>
          <w:sz w:val="24"/>
          <w:szCs w:val="24"/>
        </w:rPr>
        <w:tab/>
      </w:r>
      <w:r w:rsidRPr="00841BE0">
        <w:rPr>
          <w:sz w:val="24"/>
          <w:szCs w:val="24"/>
        </w:rPr>
        <w:t xml:space="preserve">Bivirkninger af </w:t>
      </w:r>
      <w:proofErr w:type="spellStart"/>
      <w:r w:rsidRPr="00841BE0">
        <w:rPr>
          <w:sz w:val="24"/>
          <w:szCs w:val="24"/>
        </w:rPr>
        <w:t>empagliflozin</w:t>
      </w:r>
      <w:proofErr w:type="spellEnd"/>
      <w:r w:rsidRPr="00841BE0">
        <w:rPr>
          <w:sz w:val="24"/>
          <w:szCs w:val="24"/>
        </w:rPr>
        <w:t xml:space="preserve"> monoterapi.</w:t>
      </w:r>
    </w:p>
    <w:p w14:paraId="197FF996" w14:textId="7BAF078D" w:rsidR="00841BE0" w:rsidRPr="00841BE0" w:rsidRDefault="00841BE0" w:rsidP="00A3510F">
      <w:pPr>
        <w:ind w:left="284" w:hanging="284"/>
        <w:rPr>
          <w:sz w:val="24"/>
          <w:szCs w:val="24"/>
        </w:rPr>
      </w:pPr>
      <w:r w:rsidRPr="00841BE0">
        <w:rPr>
          <w:sz w:val="24"/>
          <w:szCs w:val="24"/>
          <w:vertAlign w:val="superscript"/>
        </w:rPr>
        <w:t>3</w:t>
      </w:r>
      <w:r w:rsidRPr="00841BE0">
        <w:rPr>
          <w:sz w:val="24"/>
          <w:szCs w:val="24"/>
        </w:rPr>
        <w:t xml:space="preserve"> </w:t>
      </w:r>
      <w:r w:rsidR="00A3510F" w:rsidRPr="003D3B2F">
        <w:rPr>
          <w:sz w:val="24"/>
          <w:szCs w:val="24"/>
        </w:rPr>
        <w:tab/>
      </w:r>
      <w:r w:rsidRPr="00841BE0">
        <w:rPr>
          <w:sz w:val="24"/>
          <w:szCs w:val="24"/>
        </w:rPr>
        <w:t xml:space="preserve">Bivirkninger af </w:t>
      </w:r>
      <w:proofErr w:type="spellStart"/>
      <w:r w:rsidRPr="00841BE0">
        <w:rPr>
          <w:sz w:val="24"/>
          <w:szCs w:val="24"/>
        </w:rPr>
        <w:t>metformin</w:t>
      </w:r>
      <w:proofErr w:type="spellEnd"/>
      <w:r w:rsidRPr="00841BE0">
        <w:rPr>
          <w:sz w:val="24"/>
          <w:szCs w:val="24"/>
        </w:rPr>
        <w:t xml:space="preserve"> monoterapi.</w:t>
      </w:r>
    </w:p>
    <w:p w14:paraId="5D96B912" w14:textId="04C1A4DC" w:rsidR="00841BE0" w:rsidRPr="00841BE0" w:rsidRDefault="00841BE0" w:rsidP="00A3510F">
      <w:pPr>
        <w:ind w:left="284" w:hanging="284"/>
        <w:rPr>
          <w:sz w:val="24"/>
          <w:szCs w:val="24"/>
        </w:rPr>
      </w:pPr>
      <w:r w:rsidRPr="00841BE0">
        <w:rPr>
          <w:sz w:val="24"/>
          <w:szCs w:val="24"/>
          <w:vertAlign w:val="superscript"/>
        </w:rPr>
        <w:t>4</w:t>
      </w:r>
      <w:r w:rsidRPr="00841BE0">
        <w:rPr>
          <w:sz w:val="24"/>
          <w:szCs w:val="24"/>
        </w:rPr>
        <w:t xml:space="preserve"> </w:t>
      </w:r>
      <w:r w:rsidR="00A3510F" w:rsidRPr="003D3B2F">
        <w:rPr>
          <w:sz w:val="24"/>
          <w:szCs w:val="24"/>
        </w:rPr>
        <w:tab/>
      </w:r>
      <w:r w:rsidRPr="00841BE0">
        <w:rPr>
          <w:sz w:val="24"/>
          <w:szCs w:val="24"/>
        </w:rPr>
        <w:t xml:space="preserve">Ved initiering af behandlingen kan der optræde </w:t>
      </w:r>
      <w:proofErr w:type="spellStart"/>
      <w:r w:rsidRPr="00841BE0">
        <w:rPr>
          <w:sz w:val="24"/>
          <w:szCs w:val="24"/>
        </w:rPr>
        <w:t>gastrointestinale</w:t>
      </w:r>
      <w:proofErr w:type="spellEnd"/>
      <w:r w:rsidRPr="00841BE0">
        <w:rPr>
          <w:sz w:val="24"/>
          <w:szCs w:val="24"/>
        </w:rPr>
        <w:t xml:space="preserve"> symptomer, som f.eks. kvalme, opkastning, diarré, mavesmerter og appetitløshed, som i de fleste tilfælde forsvinder spontant.</w:t>
      </w:r>
    </w:p>
    <w:p w14:paraId="7A46CF9C" w14:textId="13DE507C" w:rsidR="00841BE0" w:rsidRPr="00841BE0" w:rsidRDefault="00841BE0" w:rsidP="00A3510F">
      <w:pPr>
        <w:ind w:left="284" w:hanging="284"/>
        <w:rPr>
          <w:sz w:val="24"/>
          <w:szCs w:val="24"/>
        </w:rPr>
      </w:pPr>
      <w:r w:rsidRPr="00841BE0">
        <w:rPr>
          <w:sz w:val="24"/>
          <w:szCs w:val="24"/>
          <w:vertAlign w:val="superscript"/>
        </w:rPr>
        <w:t>a</w:t>
      </w:r>
      <w:r w:rsidRPr="00841BE0">
        <w:rPr>
          <w:sz w:val="24"/>
          <w:szCs w:val="24"/>
        </w:rPr>
        <w:t xml:space="preserve"> </w:t>
      </w:r>
      <w:r w:rsidR="00A3510F" w:rsidRPr="003D3B2F">
        <w:rPr>
          <w:sz w:val="24"/>
          <w:szCs w:val="24"/>
        </w:rPr>
        <w:tab/>
      </w:r>
      <w:r w:rsidRPr="00841BE0">
        <w:rPr>
          <w:sz w:val="24"/>
          <w:szCs w:val="24"/>
        </w:rPr>
        <w:t>Se pkt. 4.4.</w:t>
      </w:r>
    </w:p>
    <w:p w14:paraId="09979F58" w14:textId="52C2603D" w:rsidR="00841BE0" w:rsidRPr="00841BE0" w:rsidRDefault="00841BE0" w:rsidP="00A3510F">
      <w:pPr>
        <w:ind w:left="284" w:hanging="284"/>
        <w:rPr>
          <w:sz w:val="24"/>
          <w:szCs w:val="24"/>
        </w:rPr>
      </w:pPr>
      <w:r w:rsidRPr="00841BE0">
        <w:rPr>
          <w:sz w:val="24"/>
          <w:szCs w:val="24"/>
          <w:vertAlign w:val="superscript"/>
        </w:rPr>
        <w:t>b</w:t>
      </w:r>
      <w:r w:rsidRPr="00841BE0">
        <w:rPr>
          <w:sz w:val="24"/>
          <w:szCs w:val="24"/>
        </w:rPr>
        <w:t xml:space="preserve"> </w:t>
      </w:r>
      <w:r w:rsidR="00A3510F" w:rsidRPr="003D3B2F">
        <w:rPr>
          <w:sz w:val="24"/>
          <w:szCs w:val="24"/>
        </w:rPr>
        <w:tab/>
      </w:r>
      <w:r w:rsidRPr="00841BE0">
        <w:rPr>
          <w:sz w:val="24"/>
          <w:szCs w:val="24"/>
        </w:rPr>
        <w:t xml:space="preserve">De gennemsnitlige procentvise stigninger i forhold til </w:t>
      </w:r>
      <w:r w:rsidRPr="00841BE0">
        <w:rPr>
          <w:i/>
          <w:sz w:val="24"/>
          <w:szCs w:val="24"/>
        </w:rPr>
        <w:t xml:space="preserve">baseline </w:t>
      </w:r>
      <w:r w:rsidRPr="00841BE0">
        <w:rPr>
          <w:sz w:val="24"/>
          <w:szCs w:val="24"/>
        </w:rPr>
        <w:t xml:space="preserve">for henholdsvis </w:t>
      </w:r>
      <w:proofErr w:type="spellStart"/>
      <w:r w:rsidRPr="00841BE0">
        <w:rPr>
          <w:sz w:val="24"/>
          <w:szCs w:val="24"/>
        </w:rPr>
        <w:t>empagliflozin</w:t>
      </w:r>
      <w:proofErr w:type="spellEnd"/>
      <w:r w:rsidRPr="00841BE0">
        <w:rPr>
          <w:sz w:val="24"/>
          <w:szCs w:val="24"/>
        </w:rPr>
        <w:t xml:space="preserve"> 10 mg og 25 mg </w:t>
      </w:r>
      <w:r w:rsidRPr="00841BE0">
        <w:rPr>
          <w:i/>
          <w:sz w:val="24"/>
          <w:szCs w:val="24"/>
        </w:rPr>
        <w:t xml:space="preserve">versus </w:t>
      </w:r>
      <w:r w:rsidRPr="00841BE0">
        <w:rPr>
          <w:sz w:val="24"/>
          <w:szCs w:val="24"/>
        </w:rPr>
        <w:t xml:space="preserve">placebo var for total-kolesterol 5,0 % og 5,2 % </w:t>
      </w:r>
      <w:r w:rsidRPr="00841BE0">
        <w:rPr>
          <w:i/>
          <w:sz w:val="24"/>
          <w:szCs w:val="24"/>
        </w:rPr>
        <w:t xml:space="preserve">versus </w:t>
      </w:r>
      <w:r w:rsidRPr="00841BE0">
        <w:rPr>
          <w:sz w:val="24"/>
          <w:szCs w:val="24"/>
        </w:rPr>
        <w:t xml:space="preserve">3,7 %; for HDL-kolesterol 4,6 % og 2,7 % </w:t>
      </w:r>
      <w:r w:rsidRPr="00841BE0">
        <w:rPr>
          <w:i/>
          <w:sz w:val="24"/>
          <w:szCs w:val="24"/>
        </w:rPr>
        <w:t xml:space="preserve">versus </w:t>
      </w:r>
      <w:r w:rsidRPr="00841BE0">
        <w:rPr>
          <w:sz w:val="24"/>
          <w:szCs w:val="24"/>
        </w:rPr>
        <w:noBreakHyphen/>
        <w:t xml:space="preserve">0,5 %; for LDL-kolesterol 9,1 % og 8,7 % </w:t>
      </w:r>
      <w:r w:rsidRPr="00841BE0">
        <w:rPr>
          <w:i/>
          <w:sz w:val="24"/>
          <w:szCs w:val="24"/>
        </w:rPr>
        <w:t xml:space="preserve">versus </w:t>
      </w:r>
      <w:r w:rsidRPr="00841BE0">
        <w:rPr>
          <w:sz w:val="24"/>
          <w:szCs w:val="24"/>
        </w:rPr>
        <w:t xml:space="preserve">7,8 %; for triglycerider 5,4 % og 10,8 % </w:t>
      </w:r>
      <w:r w:rsidRPr="00841BE0">
        <w:rPr>
          <w:i/>
          <w:sz w:val="24"/>
          <w:szCs w:val="24"/>
        </w:rPr>
        <w:t xml:space="preserve">versus </w:t>
      </w:r>
      <w:r w:rsidRPr="00841BE0">
        <w:rPr>
          <w:sz w:val="24"/>
          <w:szCs w:val="24"/>
        </w:rPr>
        <w:t>12,1 %.</w:t>
      </w:r>
    </w:p>
    <w:p w14:paraId="18C89643" w14:textId="05F2F109" w:rsidR="00841BE0" w:rsidRPr="00841BE0" w:rsidRDefault="00841BE0" w:rsidP="00A3510F">
      <w:pPr>
        <w:ind w:left="284" w:hanging="284"/>
        <w:rPr>
          <w:sz w:val="24"/>
          <w:szCs w:val="24"/>
        </w:rPr>
      </w:pPr>
      <w:r w:rsidRPr="00841BE0">
        <w:rPr>
          <w:sz w:val="24"/>
          <w:szCs w:val="24"/>
          <w:vertAlign w:val="superscript"/>
        </w:rPr>
        <w:t>c</w:t>
      </w:r>
      <w:r w:rsidRPr="00841BE0">
        <w:rPr>
          <w:sz w:val="24"/>
          <w:szCs w:val="24"/>
        </w:rPr>
        <w:t xml:space="preserve"> </w:t>
      </w:r>
      <w:r w:rsidR="00A3510F" w:rsidRPr="003D3B2F">
        <w:rPr>
          <w:sz w:val="24"/>
          <w:szCs w:val="24"/>
        </w:rPr>
        <w:tab/>
      </w:r>
      <w:r w:rsidRPr="00841BE0">
        <w:rPr>
          <w:sz w:val="24"/>
          <w:szCs w:val="24"/>
        </w:rPr>
        <w:t xml:space="preserve">Den gennemsnitlige hæmatokrit-ændring i forhold til </w:t>
      </w:r>
      <w:r w:rsidRPr="00841BE0">
        <w:rPr>
          <w:i/>
          <w:sz w:val="24"/>
          <w:szCs w:val="24"/>
        </w:rPr>
        <w:t xml:space="preserve">baseline </w:t>
      </w:r>
      <w:r w:rsidRPr="00841BE0">
        <w:rPr>
          <w:sz w:val="24"/>
          <w:szCs w:val="24"/>
        </w:rPr>
        <w:t xml:space="preserve">var henholdsvis 3,6 % og 4,0 % for </w:t>
      </w:r>
      <w:proofErr w:type="spellStart"/>
      <w:r w:rsidRPr="00841BE0">
        <w:rPr>
          <w:sz w:val="24"/>
          <w:szCs w:val="24"/>
        </w:rPr>
        <w:t>empagliflozin</w:t>
      </w:r>
      <w:proofErr w:type="spellEnd"/>
      <w:r w:rsidRPr="00841BE0">
        <w:rPr>
          <w:sz w:val="24"/>
          <w:szCs w:val="24"/>
        </w:rPr>
        <w:t xml:space="preserve"> 10 mg og 25 mg sammenlignet med 0 % for placebo. I EMPA-REG </w:t>
      </w:r>
      <w:proofErr w:type="spellStart"/>
      <w:r w:rsidRPr="00841BE0">
        <w:rPr>
          <w:sz w:val="24"/>
          <w:szCs w:val="24"/>
        </w:rPr>
        <w:t>Outcome</w:t>
      </w:r>
      <w:proofErr w:type="spellEnd"/>
      <w:r w:rsidRPr="00841BE0">
        <w:rPr>
          <w:sz w:val="24"/>
          <w:szCs w:val="24"/>
        </w:rPr>
        <w:t xml:space="preserve">-studiet returnerede hæmatokritværdierne til </w:t>
      </w:r>
      <w:r w:rsidRPr="00841BE0">
        <w:rPr>
          <w:i/>
          <w:sz w:val="24"/>
          <w:szCs w:val="24"/>
        </w:rPr>
        <w:t>baseline</w:t>
      </w:r>
      <w:r w:rsidRPr="00841BE0">
        <w:rPr>
          <w:sz w:val="24"/>
          <w:szCs w:val="24"/>
        </w:rPr>
        <w:t>-niveau efter en opfølgningsperiode på 30 dage efter behandlingsophør.</w:t>
      </w:r>
    </w:p>
    <w:p w14:paraId="62395105" w14:textId="665EBA10" w:rsidR="00841BE0" w:rsidRPr="00841BE0" w:rsidRDefault="00841BE0" w:rsidP="00A3510F">
      <w:pPr>
        <w:ind w:left="284" w:hanging="284"/>
        <w:rPr>
          <w:sz w:val="24"/>
          <w:szCs w:val="24"/>
        </w:rPr>
      </w:pPr>
      <w:r w:rsidRPr="00841BE0">
        <w:rPr>
          <w:sz w:val="24"/>
          <w:szCs w:val="24"/>
          <w:vertAlign w:val="superscript"/>
        </w:rPr>
        <w:t>d</w:t>
      </w:r>
      <w:r w:rsidRPr="00841BE0">
        <w:rPr>
          <w:sz w:val="24"/>
          <w:szCs w:val="24"/>
        </w:rPr>
        <w:t xml:space="preserve"> </w:t>
      </w:r>
      <w:r w:rsidR="00A3510F" w:rsidRPr="003D3B2F">
        <w:rPr>
          <w:sz w:val="24"/>
          <w:szCs w:val="24"/>
        </w:rPr>
        <w:tab/>
      </w:r>
      <w:r w:rsidRPr="00841BE0">
        <w:rPr>
          <w:sz w:val="24"/>
          <w:szCs w:val="24"/>
        </w:rPr>
        <w:t xml:space="preserve">Samlede data fra studier med </w:t>
      </w:r>
      <w:proofErr w:type="spellStart"/>
      <w:r w:rsidRPr="00841BE0">
        <w:rPr>
          <w:sz w:val="24"/>
          <w:szCs w:val="24"/>
        </w:rPr>
        <w:t>empagliflozin</w:t>
      </w:r>
      <w:proofErr w:type="spellEnd"/>
      <w:r w:rsidRPr="00841BE0">
        <w:rPr>
          <w:sz w:val="24"/>
          <w:szCs w:val="24"/>
        </w:rPr>
        <w:t xml:space="preserve"> hos patienter med hjertesvigt (hvor halvdelen af patienterne havde type 2-diabetes mellitus) viste en højere forekomst af </w:t>
      </w:r>
      <w:proofErr w:type="spellStart"/>
      <w:r w:rsidRPr="00841BE0">
        <w:rPr>
          <w:sz w:val="24"/>
          <w:szCs w:val="24"/>
        </w:rPr>
        <w:t>volumendepletering</w:t>
      </w:r>
      <w:proofErr w:type="spellEnd"/>
      <w:r w:rsidRPr="00841BE0">
        <w:rPr>
          <w:sz w:val="24"/>
          <w:szCs w:val="24"/>
        </w:rPr>
        <w:t xml:space="preserve"> (</w:t>
      </w:r>
      <w:r w:rsidR="001C0D88">
        <w:rPr>
          <w:sz w:val="24"/>
          <w:szCs w:val="24"/>
        </w:rPr>
        <w:t>"</w:t>
      </w:r>
      <w:r w:rsidRPr="00841BE0">
        <w:rPr>
          <w:sz w:val="24"/>
          <w:szCs w:val="24"/>
        </w:rPr>
        <w:t>meget almindelig</w:t>
      </w:r>
      <w:r w:rsidR="00595CFD">
        <w:rPr>
          <w:sz w:val="24"/>
          <w:szCs w:val="24"/>
        </w:rPr>
        <w:t>"</w:t>
      </w:r>
      <w:r w:rsidRPr="00841BE0">
        <w:rPr>
          <w:sz w:val="24"/>
          <w:szCs w:val="24"/>
        </w:rPr>
        <w:t xml:space="preserve">: 11,4 % for </w:t>
      </w:r>
      <w:proofErr w:type="spellStart"/>
      <w:r w:rsidRPr="00841BE0">
        <w:rPr>
          <w:sz w:val="24"/>
          <w:szCs w:val="24"/>
        </w:rPr>
        <w:t>empagliflozin</w:t>
      </w:r>
      <w:proofErr w:type="spellEnd"/>
      <w:r w:rsidRPr="00841BE0">
        <w:rPr>
          <w:sz w:val="24"/>
          <w:szCs w:val="24"/>
        </w:rPr>
        <w:t xml:space="preserve"> sammenlignet med 9,7 % for placebo).</w:t>
      </w:r>
    </w:p>
    <w:p w14:paraId="4BE60DFF" w14:textId="77777777" w:rsidR="00841BE0" w:rsidRPr="00841BE0" w:rsidRDefault="00841BE0" w:rsidP="00841BE0">
      <w:pPr>
        <w:tabs>
          <w:tab w:val="left" w:pos="851"/>
        </w:tabs>
        <w:ind w:left="851"/>
        <w:rPr>
          <w:sz w:val="24"/>
          <w:szCs w:val="24"/>
        </w:rPr>
      </w:pPr>
    </w:p>
    <w:p w14:paraId="53B3E007" w14:textId="77777777" w:rsidR="00841BE0" w:rsidRPr="00841BE0" w:rsidRDefault="00841BE0" w:rsidP="00A3510F">
      <w:pPr>
        <w:ind w:left="851"/>
        <w:rPr>
          <w:sz w:val="24"/>
          <w:szCs w:val="24"/>
          <w:u w:val="single"/>
        </w:rPr>
      </w:pPr>
      <w:r w:rsidRPr="00841BE0">
        <w:rPr>
          <w:sz w:val="24"/>
          <w:szCs w:val="24"/>
          <w:u w:val="single"/>
        </w:rPr>
        <w:t>Beskrivelse af udvalgte bivirkninger</w:t>
      </w:r>
    </w:p>
    <w:p w14:paraId="36A65811" w14:textId="77777777" w:rsidR="00841BE0" w:rsidRPr="00841BE0" w:rsidRDefault="00841BE0" w:rsidP="00A3510F">
      <w:pPr>
        <w:ind w:left="851"/>
        <w:rPr>
          <w:sz w:val="24"/>
          <w:szCs w:val="24"/>
        </w:rPr>
      </w:pPr>
    </w:p>
    <w:p w14:paraId="268D50C1" w14:textId="77777777" w:rsidR="00841BE0" w:rsidRPr="00841BE0" w:rsidRDefault="00841BE0" w:rsidP="00A3510F">
      <w:pPr>
        <w:ind w:left="851"/>
        <w:rPr>
          <w:i/>
          <w:iCs/>
          <w:sz w:val="24"/>
          <w:szCs w:val="24"/>
          <w:u w:val="single"/>
        </w:rPr>
      </w:pPr>
      <w:r w:rsidRPr="00841BE0">
        <w:rPr>
          <w:i/>
          <w:iCs/>
          <w:sz w:val="24"/>
          <w:szCs w:val="24"/>
          <w:u w:val="single"/>
        </w:rPr>
        <w:t>Hypoglykæmi</w:t>
      </w:r>
    </w:p>
    <w:p w14:paraId="165FC805" w14:textId="77777777" w:rsidR="00841BE0" w:rsidRPr="00841BE0" w:rsidRDefault="00841BE0" w:rsidP="00A3510F">
      <w:pPr>
        <w:ind w:left="851"/>
        <w:rPr>
          <w:sz w:val="24"/>
          <w:szCs w:val="24"/>
        </w:rPr>
      </w:pPr>
      <w:r w:rsidRPr="00841BE0">
        <w:rPr>
          <w:sz w:val="24"/>
          <w:szCs w:val="24"/>
        </w:rPr>
        <w:t xml:space="preserve">Hyppigheden af hypoglykæmi afhang af baggrundsbehandlingen i de respektive studier og var den samme for </w:t>
      </w:r>
      <w:proofErr w:type="spellStart"/>
      <w:r w:rsidRPr="00841BE0">
        <w:rPr>
          <w:sz w:val="24"/>
          <w:szCs w:val="24"/>
        </w:rPr>
        <w:t>empagliflozin</w:t>
      </w:r>
      <w:proofErr w:type="spellEnd"/>
      <w:r w:rsidRPr="00841BE0">
        <w:rPr>
          <w:sz w:val="24"/>
          <w:szCs w:val="24"/>
        </w:rPr>
        <w:t xml:space="preserve"> og placebo som supplement til </w:t>
      </w:r>
      <w:proofErr w:type="spellStart"/>
      <w:r w:rsidRPr="00841BE0">
        <w:rPr>
          <w:sz w:val="24"/>
          <w:szCs w:val="24"/>
        </w:rPr>
        <w:t>metformin</w:t>
      </w:r>
      <w:proofErr w:type="spellEnd"/>
      <w:r w:rsidRPr="00841BE0">
        <w:rPr>
          <w:sz w:val="24"/>
          <w:szCs w:val="24"/>
        </w:rPr>
        <w:t xml:space="preserve">, som supplement til </w:t>
      </w:r>
      <w:proofErr w:type="spellStart"/>
      <w:r w:rsidRPr="00841BE0">
        <w:rPr>
          <w:sz w:val="24"/>
          <w:szCs w:val="24"/>
        </w:rPr>
        <w:t>linagliptin</w:t>
      </w:r>
      <w:proofErr w:type="spellEnd"/>
      <w:r w:rsidRPr="00841BE0">
        <w:rPr>
          <w:sz w:val="24"/>
          <w:szCs w:val="24"/>
        </w:rPr>
        <w:t xml:space="preserve"> og </w:t>
      </w:r>
      <w:proofErr w:type="spellStart"/>
      <w:r w:rsidRPr="00841BE0">
        <w:rPr>
          <w:sz w:val="24"/>
          <w:szCs w:val="24"/>
        </w:rPr>
        <w:t>metformin</w:t>
      </w:r>
      <w:proofErr w:type="spellEnd"/>
      <w:r w:rsidRPr="00841BE0">
        <w:rPr>
          <w:sz w:val="24"/>
          <w:szCs w:val="24"/>
        </w:rPr>
        <w:t xml:space="preserve">, for kombinationen </w:t>
      </w:r>
      <w:proofErr w:type="spellStart"/>
      <w:r w:rsidRPr="00841BE0">
        <w:rPr>
          <w:sz w:val="24"/>
          <w:szCs w:val="24"/>
        </w:rPr>
        <w:t>empagliflozin</w:t>
      </w:r>
      <w:proofErr w:type="spellEnd"/>
      <w:r w:rsidRPr="00841BE0">
        <w:rPr>
          <w:sz w:val="24"/>
          <w:szCs w:val="24"/>
        </w:rPr>
        <w:t xml:space="preserve"> plus </w:t>
      </w:r>
      <w:proofErr w:type="spellStart"/>
      <w:r w:rsidRPr="00841BE0">
        <w:rPr>
          <w:sz w:val="24"/>
          <w:szCs w:val="24"/>
        </w:rPr>
        <w:t>metformin</w:t>
      </w:r>
      <w:proofErr w:type="spellEnd"/>
      <w:r w:rsidRPr="00841BE0">
        <w:rPr>
          <w:sz w:val="24"/>
          <w:szCs w:val="24"/>
        </w:rPr>
        <w:t xml:space="preserve"> hos behandlingsnaive patienter sammenlignet med patienter, der blev behandlet med </w:t>
      </w:r>
      <w:proofErr w:type="spellStart"/>
      <w:r w:rsidRPr="00841BE0">
        <w:rPr>
          <w:sz w:val="24"/>
          <w:szCs w:val="24"/>
        </w:rPr>
        <w:t>empagliflozin</w:t>
      </w:r>
      <w:proofErr w:type="spellEnd"/>
      <w:r w:rsidRPr="00841BE0">
        <w:rPr>
          <w:sz w:val="24"/>
          <w:szCs w:val="24"/>
        </w:rPr>
        <w:t xml:space="preserve"> og </w:t>
      </w:r>
      <w:proofErr w:type="spellStart"/>
      <w:r w:rsidRPr="00841BE0">
        <w:rPr>
          <w:sz w:val="24"/>
          <w:szCs w:val="24"/>
        </w:rPr>
        <w:t>metformin</w:t>
      </w:r>
      <w:proofErr w:type="spellEnd"/>
      <w:r w:rsidRPr="00841BE0">
        <w:rPr>
          <w:sz w:val="24"/>
          <w:szCs w:val="24"/>
        </w:rPr>
        <w:t xml:space="preserve"> som særskilte lægemidler, samt som supplement til standardbehandling. Der blev set en øget hyppighed, når </w:t>
      </w:r>
      <w:proofErr w:type="spellStart"/>
      <w:r w:rsidRPr="00841BE0">
        <w:rPr>
          <w:sz w:val="24"/>
          <w:szCs w:val="24"/>
        </w:rPr>
        <w:t>empagliflozin</w:t>
      </w:r>
      <w:proofErr w:type="spellEnd"/>
      <w:r w:rsidRPr="00841BE0">
        <w:rPr>
          <w:sz w:val="24"/>
          <w:szCs w:val="24"/>
        </w:rPr>
        <w:t xml:space="preserve"> blev givet som supplement til </w:t>
      </w:r>
      <w:proofErr w:type="spellStart"/>
      <w:r w:rsidRPr="00841BE0">
        <w:rPr>
          <w:sz w:val="24"/>
          <w:szCs w:val="24"/>
        </w:rPr>
        <w:t>metformin</w:t>
      </w:r>
      <w:proofErr w:type="spellEnd"/>
      <w:r w:rsidRPr="00841BE0">
        <w:rPr>
          <w:sz w:val="24"/>
          <w:szCs w:val="24"/>
        </w:rPr>
        <w:t xml:space="preserve"> plus et </w:t>
      </w:r>
      <w:proofErr w:type="spellStart"/>
      <w:r w:rsidRPr="00841BE0">
        <w:rPr>
          <w:sz w:val="24"/>
          <w:szCs w:val="24"/>
        </w:rPr>
        <w:t>sulfonylurinstof</w:t>
      </w:r>
      <w:proofErr w:type="spellEnd"/>
      <w:r w:rsidRPr="00841BE0">
        <w:rPr>
          <w:sz w:val="24"/>
          <w:szCs w:val="24"/>
        </w:rPr>
        <w:t xml:space="preserve"> (</w:t>
      </w:r>
      <w:proofErr w:type="spellStart"/>
      <w:r w:rsidRPr="00841BE0">
        <w:rPr>
          <w:sz w:val="24"/>
          <w:szCs w:val="24"/>
        </w:rPr>
        <w:t>empagliflozin</w:t>
      </w:r>
      <w:proofErr w:type="spellEnd"/>
      <w:r w:rsidRPr="00841BE0">
        <w:rPr>
          <w:sz w:val="24"/>
          <w:szCs w:val="24"/>
        </w:rPr>
        <w:t xml:space="preserve"> 10 mg: 16,1 %; </w:t>
      </w:r>
      <w:proofErr w:type="spellStart"/>
      <w:r w:rsidRPr="00841BE0">
        <w:rPr>
          <w:sz w:val="24"/>
          <w:szCs w:val="24"/>
        </w:rPr>
        <w:t>empagliflozin</w:t>
      </w:r>
      <w:proofErr w:type="spellEnd"/>
      <w:r w:rsidRPr="00841BE0">
        <w:rPr>
          <w:sz w:val="24"/>
          <w:szCs w:val="24"/>
        </w:rPr>
        <w:t xml:space="preserve"> 25 mg: 11,5 %; placebo: 8,4 %) eller som supplement til </w:t>
      </w:r>
      <w:proofErr w:type="spellStart"/>
      <w:r w:rsidRPr="00841BE0">
        <w:rPr>
          <w:sz w:val="24"/>
          <w:szCs w:val="24"/>
        </w:rPr>
        <w:t>metformin</w:t>
      </w:r>
      <w:proofErr w:type="spellEnd"/>
      <w:r w:rsidRPr="00841BE0">
        <w:rPr>
          <w:sz w:val="24"/>
          <w:szCs w:val="24"/>
        </w:rPr>
        <w:t xml:space="preserve"> plus insulin (</w:t>
      </w:r>
      <w:proofErr w:type="spellStart"/>
      <w:r w:rsidRPr="00841BE0">
        <w:rPr>
          <w:sz w:val="24"/>
          <w:szCs w:val="24"/>
        </w:rPr>
        <w:t>empagliflozin</w:t>
      </w:r>
      <w:proofErr w:type="spellEnd"/>
      <w:r w:rsidRPr="00841BE0">
        <w:rPr>
          <w:sz w:val="24"/>
          <w:szCs w:val="24"/>
        </w:rPr>
        <w:t xml:space="preserve"> 10 mg: 31,3 %; </w:t>
      </w:r>
      <w:proofErr w:type="spellStart"/>
      <w:r w:rsidRPr="00841BE0">
        <w:rPr>
          <w:sz w:val="24"/>
          <w:szCs w:val="24"/>
        </w:rPr>
        <w:t>empagliflozin</w:t>
      </w:r>
      <w:proofErr w:type="spellEnd"/>
      <w:r w:rsidRPr="00841BE0">
        <w:rPr>
          <w:sz w:val="24"/>
          <w:szCs w:val="24"/>
        </w:rPr>
        <w:t xml:space="preserve"> 25 mg: 36,2 %; placebo: 34,7 %).</w:t>
      </w:r>
    </w:p>
    <w:p w14:paraId="73891B5D" w14:textId="77777777" w:rsidR="00841BE0" w:rsidRPr="00841BE0" w:rsidRDefault="00841BE0" w:rsidP="00A3510F">
      <w:pPr>
        <w:ind w:left="851"/>
        <w:rPr>
          <w:sz w:val="24"/>
          <w:szCs w:val="24"/>
        </w:rPr>
      </w:pPr>
    </w:p>
    <w:p w14:paraId="6DEBBDC9" w14:textId="77777777" w:rsidR="00841BE0" w:rsidRPr="00841BE0" w:rsidRDefault="00841BE0" w:rsidP="00A3510F">
      <w:pPr>
        <w:ind w:left="851"/>
        <w:rPr>
          <w:i/>
          <w:iCs/>
          <w:sz w:val="24"/>
          <w:szCs w:val="24"/>
        </w:rPr>
      </w:pPr>
      <w:r w:rsidRPr="00841BE0">
        <w:rPr>
          <w:i/>
          <w:iCs/>
          <w:sz w:val="24"/>
          <w:szCs w:val="24"/>
        </w:rPr>
        <w:t>Svær hypoglykæmi (hændelser, hvor der er behov for assistance)</w:t>
      </w:r>
    </w:p>
    <w:p w14:paraId="07DCC3BB" w14:textId="77777777" w:rsidR="00841BE0" w:rsidRPr="00841BE0" w:rsidRDefault="00841BE0" w:rsidP="00A3510F">
      <w:pPr>
        <w:ind w:left="851"/>
        <w:rPr>
          <w:sz w:val="24"/>
          <w:szCs w:val="24"/>
        </w:rPr>
      </w:pPr>
      <w:r w:rsidRPr="00841BE0">
        <w:rPr>
          <w:sz w:val="24"/>
          <w:szCs w:val="24"/>
        </w:rPr>
        <w:t xml:space="preserve">Den samlede hyppighed af svære hypoglykæmiske tilfælde var lav (&lt; 1 %) og den samme for </w:t>
      </w:r>
      <w:proofErr w:type="spellStart"/>
      <w:r w:rsidRPr="00841BE0">
        <w:rPr>
          <w:sz w:val="24"/>
          <w:szCs w:val="24"/>
        </w:rPr>
        <w:t>empagliflozin</w:t>
      </w:r>
      <w:proofErr w:type="spellEnd"/>
      <w:r w:rsidRPr="00841BE0">
        <w:rPr>
          <w:sz w:val="24"/>
          <w:szCs w:val="24"/>
        </w:rPr>
        <w:t xml:space="preserve"> og placebo som supplement til </w:t>
      </w:r>
      <w:proofErr w:type="spellStart"/>
      <w:r w:rsidRPr="00841BE0">
        <w:rPr>
          <w:sz w:val="24"/>
          <w:szCs w:val="24"/>
        </w:rPr>
        <w:t>metformin</w:t>
      </w:r>
      <w:proofErr w:type="spellEnd"/>
      <w:r w:rsidRPr="00841BE0">
        <w:rPr>
          <w:sz w:val="24"/>
          <w:szCs w:val="24"/>
        </w:rPr>
        <w:t xml:space="preserve"> samt for kombinationen </w:t>
      </w:r>
      <w:proofErr w:type="spellStart"/>
      <w:r w:rsidRPr="00841BE0">
        <w:rPr>
          <w:sz w:val="24"/>
          <w:szCs w:val="24"/>
        </w:rPr>
        <w:t>empagliflozin</w:t>
      </w:r>
      <w:proofErr w:type="spellEnd"/>
      <w:r w:rsidRPr="00841BE0">
        <w:rPr>
          <w:sz w:val="24"/>
          <w:szCs w:val="24"/>
        </w:rPr>
        <w:t xml:space="preserve"> plus </w:t>
      </w:r>
      <w:proofErr w:type="spellStart"/>
      <w:r w:rsidRPr="00841BE0">
        <w:rPr>
          <w:sz w:val="24"/>
          <w:szCs w:val="24"/>
        </w:rPr>
        <w:t>metformin</w:t>
      </w:r>
      <w:proofErr w:type="spellEnd"/>
      <w:r w:rsidRPr="00841BE0">
        <w:rPr>
          <w:sz w:val="24"/>
          <w:szCs w:val="24"/>
        </w:rPr>
        <w:t xml:space="preserve"> hos behandlingsnaive patienter sammenlignet med patienter, der blev behandlet med </w:t>
      </w:r>
      <w:proofErr w:type="spellStart"/>
      <w:r w:rsidRPr="00841BE0">
        <w:rPr>
          <w:sz w:val="24"/>
          <w:szCs w:val="24"/>
        </w:rPr>
        <w:t>empagliflozin</w:t>
      </w:r>
      <w:proofErr w:type="spellEnd"/>
      <w:r w:rsidRPr="00841BE0">
        <w:rPr>
          <w:sz w:val="24"/>
          <w:szCs w:val="24"/>
        </w:rPr>
        <w:t xml:space="preserve"> og </w:t>
      </w:r>
      <w:proofErr w:type="spellStart"/>
      <w:r w:rsidRPr="00841BE0">
        <w:rPr>
          <w:sz w:val="24"/>
          <w:szCs w:val="24"/>
        </w:rPr>
        <w:t>metformin</w:t>
      </w:r>
      <w:proofErr w:type="spellEnd"/>
      <w:r w:rsidRPr="00841BE0">
        <w:rPr>
          <w:sz w:val="24"/>
          <w:szCs w:val="24"/>
        </w:rPr>
        <w:t xml:space="preserve"> som særskilte lægemidler, samt som supplement til standardbehandling. Svær hypoglykæmi forekom hos 0,5 %, 0 % og 0,5 % af patienterne behandlet med henholdsvis </w:t>
      </w:r>
      <w:proofErr w:type="spellStart"/>
      <w:r w:rsidRPr="00841BE0">
        <w:rPr>
          <w:sz w:val="24"/>
          <w:szCs w:val="24"/>
        </w:rPr>
        <w:t>empagliflozin</w:t>
      </w:r>
      <w:proofErr w:type="spellEnd"/>
      <w:r w:rsidRPr="00841BE0">
        <w:rPr>
          <w:sz w:val="24"/>
          <w:szCs w:val="24"/>
        </w:rPr>
        <w:t xml:space="preserve"> 10 mg, </w:t>
      </w:r>
      <w:proofErr w:type="spellStart"/>
      <w:r w:rsidRPr="00841BE0">
        <w:rPr>
          <w:sz w:val="24"/>
          <w:szCs w:val="24"/>
        </w:rPr>
        <w:t>empagliflozin</w:t>
      </w:r>
      <w:proofErr w:type="spellEnd"/>
      <w:r w:rsidRPr="00841BE0">
        <w:rPr>
          <w:sz w:val="24"/>
          <w:szCs w:val="24"/>
        </w:rPr>
        <w:t xml:space="preserve"> 25 mg og placebo som supplement til </w:t>
      </w:r>
      <w:proofErr w:type="spellStart"/>
      <w:r w:rsidRPr="00841BE0">
        <w:rPr>
          <w:sz w:val="24"/>
          <w:szCs w:val="24"/>
        </w:rPr>
        <w:t>metformin</w:t>
      </w:r>
      <w:proofErr w:type="spellEnd"/>
      <w:r w:rsidRPr="00841BE0">
        <w:rPr>
          <w:sz w:val="24"/>
          <w:szCs w:val="24"/>
        </w:rPr>
        <w:t xml:space="preserve"> plus insulin. I kombination med </w:t>
      </w:r>
      <w:proofErr w:type="spellStart"/>
      <w:r w:rsidRPr="00841BE0">
        <w:rPr>
          <w:sz w:val="24"/>
          <w:szCs w:val="24"/>
        </w:rPr>
        <w:t>metformin</w:t>
      </w:r>
      <w:proofErr w:type="spellEnd"/>
      <w:r w:rsidRPr="00841BE0">
        <w:rPr>
          <w:sz w:val="24"/>
          <w:szCs w:val="24"/>
        </w:rPr>
        <w:t xml:space="preserve"> og et </w:t>
      </w:r>
      <w:proofErr w:type="spellStart"/>
      <w:r w:rsidRPr="00841BE0">
        <w:rPr>
          <w:sz w:val="24"/>
          <w:szCs w:val="24"/>
        </w:rPr>
        <w:t>sulfonylurinstof</w:t>
      </w:r>
      <w:proofErr w:type="spellEnd"/>
      <w:r w:rsidRPr="00841BE0">
        <w:rPr>
          <w:sz w:val="24"/>
          <w:szCs w:val="24"/>
        </w:rPr>
        <w:t xml:space="preserve"> og som supplement til </w:t>
      </w:r>
      <w:proofErr w:type="spellStart"/>
      <w:r w:rsidRPr="00841BE0">
        <w:rPr>
          <w:sz w:val="24"/>
          <w:szCs w:val="24"/>
        </w:rPr>
        <w:t>linagliptin</w:t>
      </w:r>
      <w:proofErr w:type="spellEnd"/>
      <w:r w:rsidRPr="00841BE0">
        <w:rPr>
          <w:sz w:val="24"/>
          <w:szCs w:val="24"/>
        </w:rPr>
        <w:t xml:space="preserve"> og </w:t>
      </w:r>
      <w:proofErr w:type="spellStart"/>
      <w:r w:rsidRPr="00841BE0">
        <w:rPr>
          <w:sz w:val="24"/>
          <w:szCs w:val="24"/>
        </w:rPr>
        <w:t>metformin</w:t>
      </w:r>
      <w:proofErr w:type="spellEnd"/>
      <w:r w:rsidRPr="00841BE0">
        <w:rPr>
          <w:sz w:val="24"/>
          <w:szCs w:val="24"/>
        </w:rPr>
        <w:t xml:space="preserve"> sås ingen tilfælde af svær hypoglykæmi.</w:t>
      </w:r>
    </w:p>
    <w:p w14:paraId="3B4D8C37" w14:textId="77777777" w:rsidR="00841BE0" w:rsidRPr="00841BE0" w:rsidRDefault="00841BE0" w:rsidP="00A3510F">
      <w:pPr>
        <w:ind w:left="851"/>
        <w:rPr>
          <w:sz w:val="24"/>
          <w:szCs w:val="24"/>
        </w:rPr>
      </w:pPr>
    </w:p>
    <w:p w14:paraId="2908E50F" w14:textId="77777777" w:rsidR="00841BE0" w:rsidRPr="00841BE0" w:rsidRDefault="00841BE0" w:rsidP="00A3510F">
      <w:pPr>
        <w:ind w:left="851"/>
        <w:rPr>
          <w:i/>
          <w:iCs/>
          <w:sz w:val="24"/>
          <w:szCs w:val="24"/>
          <w:u w:val="single"/>
        </w:rPr>
      </w:pPr>
      <w:r w:rsidRPr="00841BE0">
        <w:rPr>
          <w:i/>
          <w:iCs/>
          <w:sz w:val="24"/>
          <w:szCs w:val="24"/>
          <w:u w:val="single"/>
        </w:rPr>
        <w:t>Urinvejsinfektion</w:t>
      </w:r>
    </w:p>
    <w:p w14:paraId="55484A70" w14:textId="77777777" w:rsidR="00841BE0" w:rsidRPr="00841BE0" w:rsidRDefault="00841BE0" w:rsidP="00A3510F">
      <w:pPr>
        <w:ind w:left="851"/>
        <w:rPr>
          <w:sz w:val="24"/>
          <w:szCs w:val="24"/>
        </w:rPr>
      </w:pPr>
      <w:r w:rsidRPr="00841BE0">
        <w:rPr>
          <w:sz w:val="24"/>
          <w:szCs w:val="24"/>
        </w:rPr>
        <w:t xml:space="preserve">Den overordnede hyppighed af urinvejsinfektion var højere ved behandling med </w:t>
      </w:r>
      <w:proofErr w:type="spellStart"/>
      <w:r w:rsidRPr="00841BE0">
        <w:rPr>
          <w:sz w:val="24"/>
          <w:szCs w:val="24"/>
        </w:rPr>
        <w:t>metformin</w:t>
      </w:r>
      <w:proofErr w:type="spellEnd"/>
      <w:r w:rsidRPr="00841BE0">
        <w:rPr>
          <w:sz w:val="24"/>
          <w:szCs w:val="24"/>
        </w:rPr>
        <w:t xml:space="preserve"> plus </w:t>
      </w:r>
      <w:proofErr w:type="spellStart"/>
      <w:r w:rsidRPr="00841BE0">
        <w:rPr>
          <w:sz w:val="24"/>
          <w:szCs w:val="24"/>
        </w:rPr>
        <w:t>empagliflozin</w:t>
      </w:r>
      <w:proofErr w:type="spellEnd"/>
      <w:r w:rsidRPr="00841BE0">
        <w:rPr>
          <w:sz w:val="24"/>
          <w:szCs w:val="24"/>
        </w:rPr>
        <w:t xml:space="preserve"> 10 mg (8,8 %) end med </w:t>
      </w:r>
      <w:proofErr w:type="spellStart"/>
      <w:r w:rsidRPr="00841BE0">
        <w:rPr>
          <w:sz w:val="24"/>
          <w:szCs w:val="24"/>
        </w:rPr>
        <w:t>empagliflozin</w:t>
      </w:r>
      <w:proofErr w:type="spellEnd"/>
      <w:r w:rsidRPr="00841BE0">
        <w:rPr>
          <w:sz w:val="24"/>
          <w:szCs w:val="24"/>
        </w:rPr>
        <w:t xml:space="preserve"> 25 mg (6,6 %) eller placebo (7,8 %). Ligesom for placebo blev urinvejsinfektion rapporteret hyppigere for </w:t>
      </w:r>
      <w:proofErr w:type="spellStart"/>
      <w:r w:rsidRPr="00841BE0">
        <w:rPr>
          <w:sz w:val="24"/>
          <w:szCs w:val="24"/>
        </w:rPr>
        <w:t>empagliflozin</w:t>
      </w:r>
      <w:proofErr w:type="spellEnd"/>
      <w:r w:rsidRPr="00841BE0">
        <w:rPr>
          <w:sz w:val="24"/>
          <w:szCs w:val="24"/>
        </w:rPr>
        <w:t xml:space="preserve"> hos patienter med kronisk eller recidiverende urinvejsinfektion i anamnesen. Intensiteten af urinvejsinfektioner (dvs. let/moderat/svær) var den samme som for placebo. Urinvejsinfektion blev rapporteret hyppigere hos kvinder behandlet med </w:t>
      </w:r>
      <w:proofErr w:type="spellStart"/>
      <w:r w:rsidRPr="00841BE0">
        <w:rPr>
          <w:sz w:val="24"/>
          <w:szCs w:val="24"/>
        </w:rPr>
        <w:t>empagliflozin</w:t>
      </w:r>
      <w:proofErr w:type="spellEnd"/>
      <w:r w:rsidRPr="00841BE0">
        <w:rPr>
          <w:sz w:val="24"/>
          <w:szCs w:val="24"/>
        </w:rPr>
        <w:t xml:space="preserve"> 10 mg sammenlignet med placebo, men ikke ved behandling med </w:t>
      </w:r>
      <w:proofErr w:type="spellStart"/>
      <w:r w:rsidRPr="00841BE0">
        <w:rPr>
          <w:sz w:val="24"/>
          <w:szCs w:val="24"/>
        </w:rPr>
        <w:t>empagliflozin</w:t>
      </w:r>
      <w:proofErr w:type="spellEnd"/>
      <w:r w:rsidRPr="00841BE0">
        <w:rPr>
          <w:sz w:val="24"/>
          <w:szCs w:val="24"/>
        </w:rPr>
        <w:t xml:space="preserve"> 25 mg. Hyppigheden af urinvejsinfektion var lav hos mænd og sammenlignelig mellem behandlingsgrupperne.</w:t>
      </w:r>
    </w:p>
    <w:p w14:paraId="515C8A4C" w14:textId="77777777" w:rsidR="00841BE0" w:rsidRPr="00841BE0" w:rsidRDefault="00841BE0" w:rsidP="00A3510F">
      <w:pPr>
        <w:ind w:left="851"/>
        <w:rPr>
          <w:sz w:val="24"/>
          <w:szCs w:val="24"/>
        </w:rPr>
      </w:pPr>
    </w:p>
    <w:p w14:paraId="663256C1" w14:textId="77777777" w:rsidR="00841BE0" w:rsidRPr="00841BE0" w:rsidRDefault="00841BE0" w:rsidP="00A3510F">
      <w:pPr>
        <w:ind w:left="851"/>
        <w:rPr>
          <w:i/>
          <w:iCs/>
          <w:sz w:val="24"/>
          <w:szCs w:val="24"/>
          <w:u w:val="single"/>
        </w:rPr>
      </w:pPr>
      <w:r w:rsidRPr="00841BE0">
        <w:rPr>
          <w:i/>
          <w:iCs/>
          <w:sz w:val="24"/>
          <w:szCs w:val="24"/>
          <w:u w:val="single"/>
        </w:rPr>
        <w:t xml:space="preserve">Vaginal </w:t>
      </w:r>
      <w:proofErr w:type="spellStart"/>
      <w:r w:rsidRPr="00841BE0">
        <w:rPr>
          <w:i/>
          <w:iCs/>
          <w:sz w:val="24"/>
          <w:szCs w:val="24"/>
          <w:u w:val="single"/>
        </w:rPr>
        <w:t>moniliasis</w:t>
      </w:r>
      <w:proofErr w:type="spellEnd"/>
      <w:r w:rsidRPr="00841BE0">
        <w:rPr>
          <w:i/>
          <w:iCs/>
          <w:sz w:val="24"/>
          <w:szCs w:val="24"/>
          <w:u w:val="single"/>
        </w:rPr>
        <w:t xml:space="preserve">, </w:t>
      </w:r>
      <w:proofErr w:type="spellStart"/>
      <w:r w:rsidRPr="00841BE0">
        <w:rPr>
          <w:i/>
          <w:iCs/>
          <w:sz w:val="24"/>
          <w:szCs w:val="24"/>
          <w:u w:val="single"/>
        </w:rPr>
        <w:t>vulvovaginitis</w:t>
      </w:r>
      <w:proofErr w:type="spellEnd"/>
      <w:r w:rsidRPr="00841BE0">
        <w:rPr>
          <w:i/>
          <w:iCs/>
          <w:sz w:val="24"/>
          <w:szCs w:val="24"/>
          <w:u w:val="single"/>
        </w:rPr>
        <w:t xml:space="preserve">, </w:t>
      </w:r>
      <w:proofErr w:type="spellStart"/>
      <w:r w:rsidRPr="00841BE0">
        <w:rPr>
          <w:i/>
          <w:iCs/>
          <w:sz w:val="24"/>
          <w:szCs w:val="24"/>
          <w:u w:val="single"/>
        </w:rPr>
        <w:t>balanitis</w:t>
      </w:r>
      <w:proofErr w:type="spellEnd"/>
      <w:r w:rsidRPr="00841BE0">
        <w:rPr>
          <w:i/>
          <w:iCs/>
          <w:sz w:val="24"/>
          <w:szCs w:val="24"/>
          <w:u w:val="single"/>
        </w:rPr>
        <w:t xml:space="preserve"> og andre genitale infektioner</w:t>
      </w:r>
    </w:p>
    <w:p w14:paraId="34371F74" w14:textId="77777777" w:rsidR="00841BE0" w:rsidRPr="00841BE0" w:rsidRDefault="00841BE0" w:rsidP="00A3510F">
      <w:pPr>
        <w:ind w:left="851"/>
        <w:rPr>
          <w:sz w:val="24"/>
          <w:szCs w:val="24"/>
        </w:rPr>
      </w:pPr>
      <w:r w:rsidRPr="00841BE0">
        <w:rPr>
          <w:sz w:val="24"/>
          <w:szCs w:val="24"/>
        </w:rPr>
        <w:t xml:space="preserve">Vaginal </w:t>
      </w:r>
      <w:proofErr w:type="spellStart"/>
      <w:r w:rsidRPr="00841BE0">
        <w:rPr>
          <w:sz w:val="24"/>
          <w:szCs w:val="24"/>
        </w:rPr>
        <w:t>moniliasis</w:t>
      </w:r>
      <w:proofErr w:type="spellEnd"/>
      <w:r w:rsidRPr="00841BE0">
        <w:rPr>
          <w:sz w:val="24"/>
          <w:szCs w:val="24"/>
        </w:rPr>
        <w:t xml:space="preserve">, </w:t>
      </w:r>
      <w:proofErr w:type="spellStart"/>
      <w:r w:rsidRPr="00841BE0">
        <w:rPr>
          <w:sz w:val="24"/>
          <w:szCs w:val="24"/>
        </w:rPr>
        <w:t>vulvovaginitis</w:t>
      </w:r>
      <w:proofErr w:type="spellEnd"/>
      <w:r w:rsidRPr="00841BE0">
        <w:rPr>
          <w:sz w:val="24"/>
          <w:szCs w:val="24"/>
        </w:rPr>
        <w:t xml:space="preserve">, </w:t>
      </w:r>
      <w:proofErr w:type="spellStart"/>
      <w:r w:rsidRPr="00841BE0">
        <w:rPr>
          <w:sz w:val="24"/>
          <w:szCs w:val="24"/>
        </w:rPr>
        <w:t>balanitis</w:t>
      </w:r>
      <w:proofErr w:type="spellEnd"/>
      <w:r w:rsidRPr="00841BE0">
        <w:rPr>
          <w:sz w:val="24"/>
          <w:szCs w:val="24"/>
        </w:rPr>
        <w:t xml:space="preserve"> og andre genitale infektioner blev rapporteret hyppigere ved behandling med </w:t>
      </w:r>
      <w:proofErr w:type="spellStart"/>
      <w:r w:rsidRPr="00841BE0">
        <w:rPr>
          <w:sz w:val="24"/>
          <w:szCs w:val="24"/>
        </w:rPr>
        <w:t>metformin</w:t>
      </w:r>
      <w:proofErr w:type="spellEnd"/>
      <w:r w:rsidRPr="00841BE0">
        <w:rPr>
          <w:sz w:val="24"/>
          <w:szCs w:val="24"/>
        </w:rPr>
        <w:t xml:space="preserve"> plus henholdsvis </w:t>
      </w:r>
      <w:proofErr w:type="spellStart"/>
      <w:r w:rsidRPr="00841BE0">
        <w:rPr>
          <w:sz w:val="24"/>
          <w:szCs w:val="24"/>
        </w:rPr>
        <w:t>empagliflozin</w:t>
      </w:r>
      <w:proofErr w:type="spellEnd"/>
      <w:r w:rsidRPr="00841BE0">
        <w:rPr>
          <w:sz w:val="24"/>
          <w:szCs w:val="24"/>
        </w:rPr>
        <w:t xml:space="preserve"> 10 mg (4,0 %) og </w:t>
      </w:r>
      <w:proofErr w:type="spellStart"/>
      <w:r w:rsidRPr="00841BE0">
        <w:rPr>
          <w:sz w:val="24"/>
          <w:szCs w:val="24"/>
        </w:rPr>
        <w:t>empagliflozin</w:t>
      </w:r>
      <w:proofErr w:type="spellEnd"/>
      <w:r w:rsidRPr="00841BE0">
        <w:rPr>
          <w:sz w:val="24"/>
          <w:szCs w:val="24"/>
        </w:rPr>
        <w:t xml:space="preserve"> 25 mg (3,9 %) sammenlignet med placebo (1,3 %), og hyppigere for </w:t>
      </w:r>
      <w:proofErr w:type="spellStart"/>
      <w:r w:rsidRPr="00841BE0">
        <w:rPr>
          <w:sz w:val="24"/>
          <w:szCs w:val="24"/>
        </w:rPr>
        <w:t>empagliflozin</w:t>
      </w:r>
      <w:proofErr w:type="spellEnd"/>
      <w:r w:rsidRPr="00841BE0">
        <w:rPr>
          <w:sz w:val="24"/>
          <w:szCs w:val="24"/>
        </w:rPr>
        <w:t xml:space="preserve"> sammenlignet med placebo hos kvinder. Forskellen i hyppighed var mindre udtalt hos mænd. Genitale infektioner var af let eller moderat intensitet, og ingen var af svær intensitet.</w:t>
      </w:r>
    </w:p>
    <w:p w14:paraId="41BE69DA" w14:textId="77777777" w:rsidR="00841BE0" w:rsidRPr="00841BE0" w:rsidRDefault="00841BE0" w:rsidP="00A3510F">
      <w:pPr>
        <w:ind w:left="851"/>
        <w:rPr>
          <w:sz w:val="24"/>
          <w:szCs w:val="24"/>
        </w:rPr>
      </w:pPr>
    </w:p>
    <w:p w14:paraId="40EF9953" w14:textId="77777777" w:rsidR="00841BE0" w:rsidRPr="00841BE0" w:rsidRDefault="00841BE0" w:rsidP="00A3510F">
      <w:pPr>
        <w:ind w:left="851"/>
        <w:rPr>
          <w:sz w:val="24"/>
          <w:szCs w:val="24"/>
        </w:rPr>
      </w:pPr>
      <w:r w:rsidRPr="00841BE0">
        <w:rPr>
          <w:sz w:val="24"/>
          <w:szCs w:val="24"/>
        </w:rPr>
        <w:t xml:space="preserve">Der er rapporteret tilfælde af </w:t>
      </w:r>
      <w:proofErr w:type="spellStart"/>
      <w:r w:rsidRPr="00841BE0">
        <w:rPr>
          <w:sz w:val="24"/>
          <w:szCs w:val="24"/>
        </w:rPr>
        <w:t>phimosis</w:t>
      </w:r>
      <w:proofErr w:type="spellEnd"/>
      <w:r w:rsidRPr="00841BE0">
        <w:rPr>
          <w:sz w:val="24"/>
          <w:szCs w:val="24"/>
        </w:rPr>
        <w:t xml:space="preserve">/erhvervet </w:t>
      </w:r>
      <w:proofErr w:type="spellStart"/>
      <w:r w:rsidRPr="00841BE0">
        <w:rPr>
          <w:sz w:val="24"/>
          <w:szCs w:val="24"/>
        </w:rPr>
        <w:t>phimosis</w:t>
      </w:r>
      <w:proofErr w:type="spellEnd"/>
      <w:r w:rsidRPr="00841BE0">
        <w:rPr>
          <w:sz w:val="24"/>
          <w:szCs w:val="24"/>
        </w:rPr>
        <w:t xml:space="preserve"> samtidig med genitale infektioner, og i nogle tilfælde var omskæring nødvendig.</w:t>
      </w:r>
    </w:p>
    <w:p w14:paraId="42D9E9C8" w14:textId="77777777" w:rsidR="00841BE0" w:rsidRPr="00841BE0" w:rsidRDefault="00841BE0" w:rsidP="00A3510F">
      <w:pPr>
        <w:ind w:left="851"/>
        <w:rPr>
          <w:sz w:val="24"/>
          <w:szCs w:val="24"/>
        </w:rPr>
      </w:pPr>
    </w:p>
    <w:p w14:paraId="3CEA7553" w14:textId="77777777" w:rsidR="00841BE0" w:rsidRPr="00841BE0" w:rsidRDefault="00841BE0" w:rsidP="00A3510F">
      <w:pPr>
        <w:ind w:left="851"/>
        <w:rPr>
          <w:i/>
          <w:iCs/>
          <w:sz w:val="24"/>
          <w:szCs w:val="24"/>
          <w:u w:val="single"/>
        </w:rPr>
      </w:pPr>
      <w:r w:rsidRPr="00841BE0">
        <w:rPr>
          <w:i/>
          <w:iCs/>
          <w:sz w:val="24"/>
          <w:szCs w:val="24"/>
          <w:u w:val="single"/>
        </w:rPr>
        <w:t>Øget vandladning</w:t>
      </w:r>
    </w:p>
    <w:p w14:paraId="09A3B890" w14:textId="77777777" w:rsidR="00841BE0" w:rsidRPr="00841BE0" w:rsidRDefault="00841BE0" w:rsidP="00A3510F">
      <w:pPr>
        <w:ind w:left="851"/>
        <w:rPr>
          <w:sz w:val="24"/>
          <w:szCs w:val="24"/>
        </w:rPr>
      </w:pPr>
      <w:r w:rsidRPr="00841BE0">
        <w:rPr>
          <w:sz w:val="24"/>
          <w:szCs w:val="24"/>
        </w:rPr>
        <w:t xml:space="preserve">Som forventet ud fra virkningsmekanismen var hyppigheden af øget vandladning (vurderet ved søgning på foretrukken </w:t>
      </w:r>
      <w:proofErr w:type="spellStart"/>
      <w:r w:rsidRPr="00841BE0">
        <w:rPr>
          <w:sz w:val="24"/>
          <w:szCs w:val="24"/>
        </w:rPr>
        <w:t>MedDRA</w:t>
      </w:r>
      <w:proofErr w:type="spellEnd"/>
      <w:r w:rsidRPr="00841BE0">
        <w:rPr>
          <w:sz w:val="24"/>
          <w:szCs w:val="24"/>
        </w:rPr>
        <w:t xml:space="preserve">-betegnelse, herunder </w:t>
      </w:r>
      <w:proofErr w:type="spellStart"/>
      <w:r w:rsidRPr="00841BE0">
        <w:rPr>
          <w:sz w:val="24"/>
          <w:szCs w:val="24"/>
        </w:rPr>
        <w:t>pollakisuri</w:t>
      </w:r>
      <w:proofErr w:type="spellEnd"/>
      <w:r w:rsidRPr="00841BE0">
        <w:rPr>
          <w:sz w:val="24"/>
          <w:szCs w:val="24"/>
        </w:rPr>
        <w:t xml:space="preserve">, </w:t>
      </w:r>
      <w:proofErr w:type="spellStart"/>
      <w:r w:rsidRPr="00841BE0">
        <w:rPr>
          <w:sz w:val="24"/>
          <w:szCs w:val="24"/>
        </w:rPr>
        <w:t>polyuri</w:t>
      </w:r>
      <w:proofErr w:type="spellEnd"/>
      <w:r w:rsidRPr="00841BE0">
        <w:rPr>
          <w:sz w:val="24"/>
          <w:szCs w:val="24"/>
        </w:rPr>
        <w:t xml:space="preserve"> og </w:t>
      </w:r>
      <w:proofErr w:type="spellStart"/>
      <w:r w:rsidRPr="00841BE0">
        <w:rPr>
          <w:sz w:val="24"/>
          <w:szCs w:val="24"/>
        </w:rPr>
        <w:t>nocturi</w:t>
      </w:r>
      <w:proofErr w:type="spellEnd"/>
      <w:r w:rsidRPr="00841BE0">
        <w:rPr>
          <w:sz w:val="24"/>
          <w:szCs w:val="24"/>
        </w:rPr>
        <w:t xml:space="preserve">) øget hos patienter behandlet med </w:t>
      </w:r>
      <w:proofErr w:type="spellStart"/>
      <w:r w:rsidRPr="00841BE0">
        <w:rPr>
          <w:sz w:val="24"/>
          <w:szCs w:val="24"/>
        </w:rPr>
        <w:t>metformin</w:t>
      </w:r>
      <w:proofErr w:type="spellEnd"/>
      <w:r w:rsidRPr="00841BE0">
        <w:rPr>
          <w:sz w:val="24"/>
          <w:szCs w:val="24"/>
        </w:rPr>
        <w:t xml:space="preserve"> plus </w:t>
      </w:r>
      <w:proofErr w:type="spellStart"/>
      <w:r w:rsidRPr="00841BE0">
        <w:rPr>
          <w:sz w:val="24"/>
          <w:szCs w:val="24"/>
        </w:rPr>
        <w:t>empagliflozin</w:t>
      </w:r>
      <w:proofErr w:type="spellEnd"/>
      <w:r w:rsidRPr="00841BE0">
        <w:rPr>
          <w:sz w:val="24"/>
          <w:szCs w:val="24"/>
        </w:rPr>
        <w:t xml:space="preserve"> 10 mg (3,0 %) og </w:t>
      </w:r>
      <w:proofErr w:type="spellStart"/>
      <w:r w:rsidRPr="00841BE0">
        <w:rPr>
          <w:sz w:val="24"/>
          <w:szCs w:val="24"/>
        </w:rPr>
        <w:t>empagliflozin</w:t>
      </w:r>
      <w:proofErr w:type="spellEnd"/>
      <w:r w:rsidRPr="00841BE0">
        <w:rPr>
          <w:sz w:val="24"/>
          <w:szCs w:val="24"/>
        </w:rPr>
        <w:t xml:space="preserve"> 25 mg (2,9 %) sammenlignet med placebo (1,4 %). Intensiteten af de øgede vandladninger var for det meste af let til moderat grad. Hyppigheden af </w:t>
      </w:r>
      <w:proofErr w:type="spellStart"/>
      <w:r w:rsidRPr="00841BE0">
        <w:rPr>
          <w:sz w:val="24"/>
          <w:szCs w:val="24"/>
        </w:rPr>
        <w:t>nocturi</w:t>
      </w:r>
      <w:proofErr w:type="spellEnd"/>
      <w:r w:rsidRPr="00841BE0">
        <w:rPr>
          <w:sz w:val="24"/>
          <w:szCs w:val="24"/>
        </w:rPr>
        <w:t xml:space="preserve"> var sammenlignelig for placebo og </w:t>
      </w:r>
      <w:proofErr w:type="spellStart"/>
      <w:r w:rsidRPr="00841BE0">
        <w:rPr>
          <w:sz w:val="24"/>
          <w:szCs w:val="24"/>
        </w:rPr>
        <w:t>empagliflozin</w:t>
      </w:r>
      <w:proofErr w:type="spellEnd"/>
      <w:r w:rsidRPr="00841BE0">
        <w:rPr>
          <w:sz w:val="24"/>
          <w:szCs w:val="24"/>
        </w:rPr>
        <w:t xml:space="preserve"> (&lt; 1 %).</w:t>
      </w:r>
    </w:p>
    <w:p w14:paraId="68EC23C2" w14:textId="77777777" w:rsidR="00841BE0" w:rsidRPr="00841BE0" w:rsidRDefault="00841BE0" w:rsidP="00A3510F">
      <w:pPr>
        <w:ind w:left="851"/>
        <w:rPr>
          <w:sz w:val="24"/>
          <w:szCs w:val="24"/>
        </w:rPr>
      </w:pPr>
    </w:p>
    <w:p w14:paraId="4624B333" w14:textId="77777777" w:rsidR="00841BE0" w:rsidRPr="00841BE0" w:rsidRDefault="00841BE0" w:rsidP="00A3510F">
      <w:pPr>
        <w:ind w:left="851"/>
        <w:rPr>
          <w:i/>
          <w:iCs/>
          <w:sz w:val="24"/>
          <w:szCs w:val="24"/>
          <w:u w:val="single"/>
        </w:rPr>
      </w:pPr>
      <w:proofErr w:type="spellStart"/>
      <w:r w:rsidRPr="00841BE0">
        <w:rPr>
          <w:i/>
          <w:iCs/>
          <w:sz w:val="24"/>
          <w:szCs w:val="24"/>
          <w:u w:val="single"/>
        </w:rPr>
        <w:t>Volumendepletering</w:t>
      </w:r>
      <w:proofErr w:type="spellEnd"/>
    </w:p>
    <w:p w14:paraId="08FB90AF" w14:textId="77777777" w:rsidR="00841BE0" w:rsidRPr="00841BE0" w:rsidRDefault="00841BE0" w:rsidP="00A3510F">
      <w:pPr>
        <w:ind w:left="851"/>
        <w:rPr>
          <w:sz w:val="24"/>
          <w:szCs w:val="24"/>
        </w:rPr>
      </w:pPr>
      <w:r w:rsidRPr="00841BE0">
        <w:rPr>
          <w:sz w:val="24"/>
          <w:szCs w:val="24"/>
        </w:rPr>
        <w:t xml:space="preserve">Den samlede hyppighed af </w:t>
      </w:r>
      <w:proofErr w:type="spellStart"/>
      <w:r w:rsidRPr="00841BE0">
        <w:rPr>
          <w:sz w:val="24"/>
          <w:szCs w:val="24"/>
        </w:rPr>
        <w:t>volumendepletering</w:t>
      </w:r>
      <w:proofErr w:type="spellEnd"/>
      <w:r w:rsidRPr="00841BE0">
        <w:rPr>
          <w:sz w:val="24"/>
          <w:szCs w:val="24"/>
        </w:rPr>
        <w:t xml:space="preserve"> (herunder de foruddefinerede betegnelser nedsat blodtryk (ambulant), nedsat systolisk blodtryk, dehydrering, hypotension, </w:t>
      </w:r>
      <w:proofErr w:type="spellStart"/>
      <w:r w:rsidRPr="00841BE0">
        <w:rPr>
          <w:sz w:val="24"/>
          <w:szCs w:val="24"/>
        </w:rPr>
        <w:t>hypovolæmi</w:t>
      </w:r>
      <w:proofErr w:type="spellEnd"/>
      <w:r w:rsidRPr="00841BE0">
        <w:rPr>
          <w:sz w:val="24"/>
          <w:szCs w:val="24"/>
        </w:rPr>
        <w:t xml:space="preserve">, </w:t>
      </w:r>
      <w:proofErr w:type="spellStart"/>
      <w:r w:rsidRPr="00841BE0">
        <w:rPr>
          <w:sz w:val="24"/>
          <w:szCs w:val="24"/>
        </w:rPr>
        <w:t>ortostatisk</w:t>
      </w:r>
      <w:proofErr w:type="spellEnd"/>
      <w:r w:rsidRPr="00841BE0">
        <w:rPr>
          <w:sz w:val="24"/>
          <w:szCs w:val="24"/>
        </w:rPr>
        <w:t xml:space="preserve"> hypotension og synkope) var lav hos patienter, der fik </w:t>
      </w:r>
      <w:proofErr w:type="spellStart"/>
      <w:r w:rsidRPr="00841BE0">
        <w:rPr>
          <w:sz w:val="24"/>
          <w:szCs w:val="24"/>
        </w:rPr>
        <w:t>metformin</w:t>
      </w:r>
      <w:proofErr w:type="spellEnd"/>
      <w:r w:rsidRPr="00841BE0">
        <w:rPr>
          <w:sz w:val="24"/>
          <w:szCs w:val="24"/>
        </w:rPr>
        <w:t xml:space="preserve"> plus </w:t>
      </w:r>
      <w:proofErr w:type="spellStart"/>
      <w:r w:rsidRPr="00841BE0">
        <w:rPr>
          <w:sz w:val="24"/>
          <w:szCs w:val="24"/>
        </w:rPr>
        <w:t>empagliflozin</w:t>
      </w:r>
      <w:proofErr w:type="spellEnd"/>
      <w:r w:rsidRPr="00841BE0">
        <w:rPr>
          <w:sz w:val="24"/>
          <w:szCs w:val="24"/>
        </w:rPr>
        <w:t xml:space="preserve"> (</w:t>
      </w:r>
      <w:proofErr w:type="spellStart"/>
      <w:r w:rsidRPr="00841BE0">
        <w:rPr>
          <w:sz w:val="24"/>
          <w:szCs w:val="24"/>
        </w:rPr>
        <w:t>empagliflozin</w:t>
      </w:r>
      <w:proofErr w:type="spellEnd"/>
      <w:r w:rsidRPr="00841BE0">
        <w:rPr>
          <w:sz w:val="24"/>
          <w:szCs w:val="24"/>
        </w:rPr>
        <w:t xml:space="preserve"> 10 mg: 0,6 %; </w:t>
      </w:r>
      <w:proofErr w:type="spellStart"/>
      <w:r w:rsidRPr="00841BE0">
        <w:rPr>
          <w:sz w:val="24"/>
          <w:szCs w:val="24"/>
        </w:rPr>
        <w:t>empagliflozin</w:t>
      </w:r>
      <w:proofErr w:type="spellEnd"/>
      <w:r w:rsidRPr="00841BE0">
        <w:rPr>
          <w:sz w:val="24"/>
          <w:szCs w:val="24"/>
        </w:rPr>
        <w:t xml:space="preserve"> 25 mg: 0,3 % og placebo 0,1 %). </w:t>
      </w:r>
      <w:proofErr w:type="spellStart"/>
      <w:r w:rsidRPr="00841BE0">
        <w:rPr>
          <w:sz w:val="24"/>
          <w:szCs w:val="24"/>
        </w:rPr>
        <w:t>Empagliflozins</w:t>
      </w:r>
      <w:proofErr w:type="spellEnd"/>
      <w:r w:rsidRPr="00841BE0">
        <w:rPr>
          <w:sz w:val="24"/>
          <w:szCs w:val="24"/>
        </w:rPr>
        <w:t xml:space="preserve"> virkning på udskillelsen af </w:t>
      </w:r>
      <w:proofErr w:type="spellStart"/>
      <w:r w:rsidRPr="00841BE0">
        <w:rPr>
          <w:sz w:val="24"/>
          <w:szCs w:val="24"/>
        </w:rPr>
        <w:t>glucose</w:t>
      </w:r>
      <w:proofErr w:type="spellEnd"/>
      <w:r w:rsidRPr="00841BE0">
        <w:rPr>
          <w:sz w:val="24"/>
          <w:szCs w:val="24"/>
        </w:rPr>
        <w:t xml:space="preserve"> i urinen er forbundet med osmotisk diurese, hvilket kan påvirke hydreringsstatus for patienter på 75 år og derover. </w:t>
      </w:r>
      <w:proofErr w:type="spellStart"/>
      <w:r w:rsidRPr="00841BE0">
        <w:rPr>
          <w:sz w:val="24"/>
          <w:szCs w:val="24"/>
        </w:rPr>
        <w:t>Volumendepletering</w:t>
      </w:r>
      <w:proofErr w:type="spellEnd"/>
      <w:r w:rsidRPr="00841BE0">
        <w:rPr>
          <w:sz w:val="24"/>
          <w:szCs w:val="24"/>
        </w:rPr>
        <w:t xml:space="preserve"> er rapporteret hos en enkelt patient i gruppen på 75 år og derover ved behandling med </w:t>
      </w:r>
      <w:proofErr w:type="spellStart"/>
      <w:r w:rsidRPr="00841BE0">
        <w:rPr>
          <w:sz w:val="24"/>
          <w:szCs w:val="24"/>
        </w:rPr>
        <w:t>empagliflozin</w:t>
      </w:r>
      <w:proofErr w:type="spellEnd"/>
      <w:r w:rsidRPr="00841BE0">
        <w:rPr>
          <w:sz w:val="24"/>
          <w:szCs w:val="24"/>
        </w:rPr>
        <w:t xml:space="preserve"> 25 mg som supplement til </w:t>
      </w:r>
      <w:proofErr w:type="spellStart"/>
      <w:r w:rsidRPr="00841BE0">
        <w:rPr>
          <w:sz w:val="24"/>
          <w:szCs w:val="24"/>
        </w:rPr>
        <w:t>metformin</w:t>
      </w:r>
      <w:proofErr w:type="spellEnd"/>
      <w:r w:rsidRPr="00841BE0">
        <w:rPr>
          <w:sz w:val="24"/>
          <w:szCs w:val="24"/>
        </w:rPr>
        <w:t>.</w:t>
      </w:r>
    </w:p>
    <w:p w14:paraId="35EA454B" w14:textId="77777777" w:rsidR="00841BE0" w:rsidRPr="00841BE0" w:rsidRDefault="00841BE0" w:rsidP="00A3510F">
      <w:pPr>
        <w:ind w:left="851"/>
        <w:rPr>
          <w:sz w:val="24"/>
          <w:szCs w:val="24"/>
        </w:rPr>
      </w:pPr>
    </w:p>
    <w:p w14:paraId="77711F2A" w14:textId="77777777" w:rsidR="00841BE0" w:rsidRPr="00841BE0" w:rsidRDefault="00841BE0" w:rsidP="00A3510F">
      <w:pPr>
        <w:ind w:left="851"/>
        <w:rPr>
          <w:i/>
          <w:iCs/>
          <w:sz w:val="24"/>
          <w:szCs w:val="24"/>
          <w:u w:val="single"/>
        </w:rPr>
      </w:pPr>
      <w:r w:rsidRPr="00841BE0">
        <w:rPr>
          <w:i/>
          <w:iCs/>
          <w:sz w:val="24"/>
          <w:szCs w:val="24"/>
          <w:u w:val="single"/>
        </w:rPr>
        <w:t xml:space="preserve">Øget </w:t>
      </w:r>
      <w:proofErr w:type="spellStart"/>
      <w:r w:rsidRPr="00841BE0">
        <w:rPr>
          <w:i/>
          <w:iCs/>
          <w:sz w:val="24"/>
          <w:szCs w:val="24"/>
          <w:u w:val="single"/>
        </w:rPr>
        <w:t>serumkreatinin</w:t>
      </w:r>
      <w:proofErr w:type="spellEnd"/>
      <w:r w:rsidRPr="00841BE0">
        <w:rPr>
          <w:i/>
          <w:iCs/>
          <w:sz w:val="24"/>
          <w:szCs w:val="24"/>
          <w:u w:val="single"/>
        </w:rPr>
        <w:t xml:space="preserve">/nedsat </w:t>
      </w:r>
      <w:proofErr w:type="spellStart"/>
      <w:r w:rsidRPr="00841BE0">
        <w:rPr>
          <w:i/>
          <w:iCs/>
          <w:sz w:val="24"/>
          <w:szCs w:val="24"/>
          <w:u w:val="single"/>
        </w:rPr>
        <w:t>glomerulær</w:t>
      </w:r>
      <w:proofErr w:type="spellEnd"/>
      <w:r w:rsidRPr="00841BE0">
        <w:rPr>
          <w:i/>
          <w:iCs/>
          <w:sz w:val="24"/>
          <w:szCs w:val="24"/>
          <w:u w:val="single"/>
        </w:rPr>
        <w:t xml:space="preserve"> filtrationshastighed</w:t>
      </w:r>
    </w:p>
    <w:p w14:paraId="49C5950E" w14:textId="77777777" w:rsidR="00841BE0" w:rsidRPr="00841BE0" w:rsidRDefault="00841BE0" w:rsidP="00A3510F">
      <w:pPr>
        <w:ind w:left="851"/>
        <w:rPr>
          <w:sz w:val="24"/>
          <w:szCs w:val="24"/>
        </w:rPr>
      </w:pPr>
      <w:r w:rsidRPr="00841BE0">
        <w:rPr>
          <w:sz w:val="24"/>
          <w:szCs w:val="24"/>
        </w:rPr>
        <w:t xml:space="preserve">Den samlede hyppighed af patienter med øget </w:t>
      </w:r>
      <w:proofErr w:type="spellStart"/>
      <w:r w:rsidRPr="00841BE0">
        <w:rPr>
          <w:sz w:val="24"/>
          <w:szCs w:val="24"/>
        </w:rPr>
        <w:t>serumkreatinin</w:t>
      </w:r>
      <w:proofErr w:type="spellEnd"/>
      <w:r w:rsidRPr="00841BE0">
        <w:rPr>
          <w:sz w:val="24"/>
          <w:szCs w:val="24"/>
        </w:rPr>
        <w:t xml:space="preserve"> og nedsat </w:t>
      </w:r>
      <w:proofErr w:type="spellStart"/>
      <w:r w:rsidRPr="00841BE0">
        <w:rPr>
          <w:sz w:val="24"/>
          <w:szCs w:val="24"/>
        </w:rPr>
        <w:t>glomerulær</w:t>
      </w:r>
      <w:proofErr w:type="spellEnd"/>
      <w:r w:rsidRPr="00841BE0">
        <w:rPr>
          <w:sz w:val="24"/>
          <w:szCs w:val="24"/>
        </w:rPr>
        <w:t xml:space="preserve"> filtrationshastighed var næsten den samme i </w:t>
      </w:r>
      <w:proofErr w:type="spellStart"/>
      <w:r w:rsidRPr="00841BE0">
        <w:rPr>
          <w:sz w:val="24"/>
          <w:szCs w:val="24"/>
        </w:rPr>
        <w:t>empagliflozin</w:t>
      </w:r>
      <w:proofErr w:type="spellEnd"/>
      <w:r w:rsidRPr="00841BE0">
        <w:rPr>
          <w:sz w:val="24"/>
          <w:szCs w:val="24"/>
        </w:rPr>
        <w:t xml:space="preserve">-gruppen og placebogruppen som supplement til </w:t>
      </w:r>
      <w:proofErr w:type="spellStart"/>
      <w:r w:rsidRPr="00841BE0">
        <w:rPr>
          <w:sz w:val="24"/>
          <w:szCs w:val="24"/>
        </w:rPr>
        <w:t>metformin</w:t>
      </w:r>
      <w:proofErr w:type="spellEnd"/>
      <w:r w:rsidRPr="00841BE0">
        <w:rPr>
          <w:sz w:val="24"/>
          <w:szCs w:val="24"/>
        </w:rPr>
        <w:t xml:space="preserve"> (øget </w:t>
      </w:r>
      <w:proofErr w:type="spellStart"/>
      <w:r w:rsidRPr="00841BE0">
        <w:rPr>
          <w:sz w:val="24"/>
          <w:szCs w:val="24"/>
        </w:rPr>
        <w:t>serumkreatinin</w:t>
      </w:r>
      <w:proofErr w:type="spellEnd"/>
      <w:r w:rsidRPr="00841BE0">
        <w:rPr>
          <w:sz w:val="24"/>
          <w:szCs w:val="24"/>
        </w:rPr>
        <w:t xml:space="preserve">: </w:t>
      </w:r>
      <w:proofErr w:type="spellStart"/>
      <w:r w:rsidRPr="00841BE0">
        <w:rPr>
          <w:sz w:val="24"/>
          <w:szCs w:val="24"/>
        </w:rPr>
        <w:t>empagliflozin</w:t>
      </w:r>
      <w:proofErr w:type="spellEnd"/>
      <w:r w:rsidRPr="00841BE0">
        <w:rPr>
          <w:sz w:val="24"/>
          <w:szCs w:val="24"/>
        </w:rPr>
        <w:t xml:space="preserve"> 10 mg 0,5 %, </w:t>
      </w:r>
      <w:proofErr w:type="spellStart"/>
      <w:r w:rsidRPr="00841BE0">
        <w:rPr>
          <w:sz w:val="24"/>
          <w:szCs w:val="24"/>
        </w:rPr>
        <w:t>empagliflozin</w:t>
      </w:r>
      <w:proofErr w:type="spellEnd"/>
      <w:r w:rsidRPr="00841BE0">
        <w:rPr>
          <w:sz w:val="24"/>
          <w:szCs w:val="24"/>
        </w:rPr>
        <w:t xml:space="preserve"> 25 mg 0,1 %, placebo 0,4 %; nedsat </w:t>
      </w:r>
      <w:proofErr w:type="spellStart"/>
      <w:r w:rsidRPr="00841BE0">
        <w:rPr>
          <w:sz w:val="24"/>
          <w:szCs w:val="24"/>
        </w:rPr>
        <w:t>glomerulær</w:t>
      </w:r>
      <w:proofErr w:type="spellEnd"/>
      <w:r w:rsidRPr="00841BE0">
        <w:rPr>
          <w:sz w:val="24"/>
          <w:szCs w:val="24"/>
        </w:rPr>
        <w:t xml:space="preserve"> filtrationshastighed: </w:t>
      </w:r>
      <w:proofErr w:type="spellStart"/>
      <w:r w:rsidRPr="00841BE0">
        <w:rPr>
          <w:sz w:val="24"/>
          <w:szCs w:val="24"/>
        </w:rPr>
        <w:t>empagliflozin</w:t>
      </w:r>
      <w:proofErr w:type="spellEnd"/>
      <w:r w:rsidRPr="00841BE0">
        <w:rPr>
          <w:sz w:val="24"/>
          <w:szCs w:val="24"/>
        </w:rPr>
        <w:t xml:space="preserve"> 10 mg 0,1 %, </w:t>
      </w:r>
      <w:proofErr w:type="spellStart"/>
      <w:r w:rsidRPr="00841BE0">
        <w:rPr>
          <w:sz w:val="24"/>
          <w:szCs w:val="24"/>
        </w:rPr>
        <w:t>empagliflozin</w:t>
      </w:r>
      <w:proofErr w:type="spellEnd"/>
      <w:r w:rsidRPr="00841BE0">
        <w:rPr>
          <w:sz w:val="24"/>
          <w:szCs w:val="24"/>
        </w:rPr>
        <w:t xml:space="preserve"> 25 mg 0 %, placebo 0,2 %).</w:t>
      </w:r>
    </w:p>
    <w:p w14:paraId="3BF40B3C" w14:textId="77777777" w:rsidR="00841BE0" w:rsidRPr="00841BE0" w:rsidRDefault="00841BE0" w:rsidP="00A3510F">
      <w:pPr>
        <w:ind w:left="851"/>
        <w:rPr>
          <w:sz w:val="24"/>
          <w:szCs w:val="24"/>
        </w:rPr>
      </w:pPr>
      <w:r w:rsidRPr="00841BE0">
        <w:rPr>
          <w:sz w:val="24"/>
          <w:szCs w:val="24"/>
        </w:rPr>
        <w:t xml:space="preserve">De initiale stigninger i </w:t>
      </w:r>
      <w:proofErr w:type="spellStart"/>
      <w:r w:rsidRPr="00841BE0">
        <w:rPr>
          <w:sz w:val="24"/>
          <w:szCs w:val="24"/>
        </w:rPr>
        <w:t>kreatinin</w:t>
      </w:r>
      <w:proofErr w:type="spellEnd"/>
      <w:r w:rsidRPr="00841BE0">
        <w:rPr>
          <w:sz w:val="24"/>
          <w:szCs w:val="24"/>
        </w:rPr>
        <w:t xml:space="preserve">-indholdet og de initiale fald i den </w:t>
      </w:r>
      <w:proofErr w:type="spellStart"/>
      <w:r w:rsidRPr="00841BE0">
        <w:rPr>
          <w:sz w:val="24"/>
          <w:szCs w:val="24"/>
        </w:rPr>
        <w:t>glomerulære</w:t>
      </w:r>
      <w:proofErr w:type="spellEnd"/>
      <w:r w:rsidRPr="00841BE0">
        <w:rPr>
          <w:sz w:val="24"/>
          <w:szCs w:val="24"/>
        </w:rPr>
        <w:t xml:space="preserve"> filtrationshastighed hos patienter behandlet med </w:t>
      </w:r>
      <w:proofErr w:type="spellStart"/>
      <w:r w:rsidRPr="00841BE0">
        <w:rPr>
          <w:sz w:val="24"/>
          <w:szCs w:val="24"/>
        </w:rPr>
        <w:t>empagliflozin</w:t>
      </w:r>
      <w:proofErr w:type="spellEnd"/>
      <w:r w:rsidRPr="00841BE0">
        <w:rPr>
          <w:sz w:val="24"/>
          <w:szCs w:val="24"/>
        </w:rPr>
        <w:t xml:space="preserve"> i supplement til </w:t>
      </w:r>
      <w:proofErr w:type="spellStart"/>
      <w:r w:rsidRPr="00841BE0">
        <w:rPr>
          <w:sz w:val="24"/>
          <w:szCs w:val="24"/>
        </w:rPr>
        <w:t>metformin</w:t>
      </w:r>
      <w:proofErr w:type="spellEnd"/>
      <w:r w:rsidRPr="00841BE0">
        <w:rPr>
          <w:sz w:val="24"/>
          <w:szCs w:val="24"/>
        </w:rPr>
        <w:t xml:space="preserve"> var generelt forbigående under kontinuerlig behandling eller reversible efter </w:t>
      </w:r>
      <w:proofErr w:type="spellStart"/>
      <w:r w:rsidRPr="00841BE0">
        <w:rPr>
          <w:sz w:val="24"/>
          <w:szCs w:val="24"/>
        </w:rPr>
        <w:t>seponering</w:t>
      </w:r>
      <w:proofErr w:type="spellEnd"/>
      <w:r w:rsidRPr="00841BE0">
        <w:rPr>
          <w:sz w:val="24"/>
          <w:szCs w:val="24"/>
        </w:rPr>
        <w:t xml:space="preserve"> af behandlingen.</w:t>
      </w:r>
    </w:p>
    <w:p w14:paraId="1C5FCBC6" w14:textId="77777777" w:rsidR="00841BE0" w:rsidRPr="00841BE0" w:rsidRDefault="00841BE0" w:rsidP="00A3510F">
      <w:pPr>
        <w:ind w:left="851"/>
        <w:rPr>
          <w:sz w:val="24"/>
          <w:szCs w:val="24"/>
        </w:rPr>
      </w:pPr>
      <w:r w:rsidRPr="00841BE0">
        <w:rPr>
          <w:sz w:val="24"/>
          <w:szCs w:val="24"/>
        </w:rPr>
        <w:t xml:space="preserve">I EMPA-REG OUTCOME-studiet oplevede patienterne, der blev behandlet med </w:t>
      </w:r>
      <w:proofErr w:type="spellStart"/>
      <w:r w:rsidRPr="00841BE0">
        <w:rPr>
          <w:sz w:val="24"/>
          <w:szCs w:val="24"/>
        </w:rPr>
        <w:t>empagliflozin</w:t>
      </w:r>
      <w:proofErr w:type="spellEnd"/>
      <w:r w:rsidRPr="00841BE0">
        <w:rPr>
          <w:sz w:val="24"/>
          <w:szCs w:val="24"/>
        </w:rPr>
        <w:t xml:space="preserve">, konsistent et indledende fald i </w:t>
      </w:r>
      <w:proofErr w:type="spellStart"/>
      <w:r w:rsidRPr="00841BE0">
        <w:rPr>
          <w:sz w:val="24"/>
          <w:szCs w:val="24"/>
        </w:rPr>
        <w:t>eGFR</w:t>
      </w:r>
      <w:proofErr w:type="spellEnd"/>
      <w:r w:rsidRPr="00841BE0">
        <w:rPr>
          <w:sz w:val="24"/>
          <w:szCs w:val="24"/>
        </w:rPr>
        <w:t xml:space="preserve"> (gennemsnit: 3 ml/min/1,73 m</w:t>
      </w:r>
      <w:r w:rsidRPr="00841BE0">
        <w:rPr>
          <w:sz w:val="24"/>
          <w:szCs w:val="24"/>
          <w:vertAlign w:val="superscript"/>
        </w:rPr>
        <w:t>2</w:t>
      </w:r>
      <w:r w:rsidRPr="00841BE0">
        <w:rPr>
          <w:sz w:val="24"/>
          <w:szCs w:val="24"/>
        </w:rPr>
        <w:t xml:space="preserve">). Derefter blev </w:t>
      </w:r>
      <w:proofErr w:type="spellStart"/>
      <w:r w:rsidRPr="00841BE0">
        <w:rPr>
          <w:sz w:val="24"/>
          <w:szCs w:val="24"/>
        </w:rPr>
        <w:t>eGFR</w:t>
      </w:r>
      <w:proofErr w:type="spellEnd"/>
      <w:r w:rsidRPr="00841BE0">
        <w:rPr>
          <w:sz w:val="24"/>
          <w:szCs w:val="24"/>
        </w:rPr>
        <w:t xml:space="preserve"> opretholdt under vedvarende behandling. Den gennemsnitlige </w:t>
      </w:r>
      <w:proofErr w:type="spellStart"/>
      <w:r w:rsidRPr="00841BE0">
        <w:rPr>
          <w:sz w:val="24"/>
          <w:szCs w:val="24"/>
        </w:rPr>
        <w:t>eGFR</w:t>
      </w:r>
      <w:proofErr w:type="spellEnd"/>
      <w:r w:rsidRPr="00841BE0">
        <w:rPr>
          <w:sz w:val="24"/>
          <w:szCs w:val="24"/>
        </w:rPr>
        <w:t xml:space="preserve"> vendte tilbage til </w:t>
      </w:r>
      <w:r w:rsidRPr="00841BE0">
        <w:rPr>
          <w:i/>
          <w:iCs/>
          <w:sz w:val="24"/>
          <w:szCs w:val="24"/>
        </w:rPr>
        <w:t>baseline</w:t>
      </w:r>
      <w:r w:rsidRPr="00841BE0">
        <w:rPr>
          <w:sz w:val="24"/>
          <w:szCs w:val="24"/>
        </w:rPr>
        <w:t xml:space="preserve"> efter behandlingen blev seponeret, hvilket tyder på, at akutte </w:t>
      </w:r>
      <w:proofErr w:type="spellStart"/>
      <w:r w:rsidRPr="00841BE0">
        <w:rPr>
          <w:sz w:val="24"/>
          <w:szCs w:val="24"/>
        </w:rPr>
        <w:t>hæmodynamiske</w:t>
      </w:r>
      <w:proofErr w:type="spellEnd"/>
      <w:r w:rsidRPr="00841BE0">
        <w:rPr>
          <w:sz w:val="24"/>
          <w:szCs w:val="24"/>
        </w:rPr>
        <w:t xml:space="preserve"> ændringer kan spille en rolle for disse ændringer af nyrefunktionen.</w:t>
      </w:r>
    </w:p>
    <w:p w14:paraId="22192FA4" w14:textId="77777777" w:rsidR="00841BE0" w:rsidRPr="00841BE0" w:rsidRDefault="00841BE0" w:rsidP="00A3510F">
      <w:pPr>
        <w:ind w:left="851"/>
        <w:rPr>
          <w:sz w:val="24"/>
          <w:szCs w:val="24"/>
        </w:rPr>
      </w:pPr>
    </w:p>
    <w:p w14:paraId="3B456FB5" w14:textId="77777777" w:rsidR="00841BE0" w:rsidRPr="00841BE0" w:rsidRDefault="00841BE0" w:rsidP="00A3510F">
      <w:pPr>
        <w:ind w:left="851"/>
        <w:rPr>
          <w:sz w:val="24"/>
          <w:szCs w:val="24"/>
          <w:u w:val="single"/>
        </w:rPr>
      </w:pPr>
      <w:r w:rsidRPr="00841BE0">
        <w:rPr>
          <w:sz w:val="24"/>
          <w:szCs w:val="24"/>
          <w:u w:val="single"/>
        </w:rPr>
        <w:t>Pædiatrisk population</w:t>
      </w:r>
    </w:p>
    <w:p w14:paraId="71DB5761" w14:textId="77777777" w:rsidR="00841BE0" w:rsidRPr="00841BE0" w:rsidRDefault="00841BE0" w:rsidP="00A3510F">
      <w:pPr>
        <w:ind w:left="851"/>
        <w:rPr>
          <w:sz w:val="24"/>
          <w:szCs w:val="24"/>
        </w:rPr>
      </w:pPr>
      <w:r w:rsidRPr="00841BE0">
        <w:rPr>
          <w:sz w:val="24"/>
          <w:szCs w:val="24"/>
        </w:rPr>
        <w:t xml:space="preserve">I DINAMO-studiet blev 157 børn i alderen 10 år og derover med type 2-diabetes behandlet, hvoraf 52 patienter fik </w:t>
      </w:r>
      <w:proofErr w:type="spellStart"/>
      <w:r w:rsidRPr="00841BE0">
        <w:rPr>
          <w:sz w:val="24"/>
          <w:szCs w:val="24"/>
        </w:rPr>
        <w:t>empagliflozin</w:t>
      </w:r>
      <w:proofErr w:type="spellEnd"/>
      <w:r w:rsidRPr="00841BE0">
        <w:rPr>
          <w:sz w:val="24"/>
          <w:szCs w:val="24"/>
        </w:rPr>
        <w:t xml:space="preserve">, 52 fik </w:t>
      </w:r>
      <w:proofErr w:type="spellStart"/>
      <w:r w:rsidRPr="00841BE0">
        <w:rPr>
          <w:sz w:val="24"/>
          <w:szCs w:val="24"/>
        </w:rPr>
        <w:t>linagliptin</w:t>
      </w:r>
      <w:proofErr w:type="spellEnd"/>
      <w:r w:rsidRPr="00841BE0">
        <w:rPr>
          <w:sz w:val="24"/>
          <w:szCs w:val="24"/>
        </w:rPr>
        <w:t xml:space="preserve"> og 53 fik placebo (se pkt. 5.1). I løbet af den placebokontrollerede fase var den hyppigste bivirkning hypoglykæmi (</w:t>
      </w:r>
      <w:proofErr w:type="spellStart"/>
      <w:r w:rsidRPr="00841BE0">
        <w:rPr>
          <w:sz w:val="24"/>
          <w:szCs w:val="24"/>
        </w:rPr>
        <w:t>empagliflozin</w:t>
      </w:r>
      <w:proofErr w:type="spellEnd"/>
      <w:r w:rsidRPr="00841BE0">
        <w:rPr>
          <w:sz w:val="24"/>
          <w:szCs w:val="24"/>
        </w:rPr>
        <w:t xml:space="preserve"> 10 mg og 25 mg, </w:t>
      </w:r>
      <w:proofErr w:type="spellStart"/>
      <w:r w:rsidRPr="00841BE0">
        <w:rPr>
          <w:sz w:val="24"/>
          <w:szCs w:val="24"/>
        </w:rPr>
        <w:t>puljet</w:t>
      </w:r>
      <w:proofErr w:type="spellEnd"/>
      <w:r w:rsidRPr="00841BE0">
        <w:rPr>
          <w:sz w:val="24"/>
          <w:szCs w:val="24"/>
        </w:rPr>
        <w:t>: 23,1 %, placebo: 9,4 %). Ingen af disse hændelser var alvorlige eller krævede hjælp.</w:t>
      </w:r>
    </w:p>
    <w:p w14:paraId="06B42246" w14:textId="77777777" w:rsidR="00841BE0" w:rsidRPr="00841BE0" w:rsidRDefault="00841BE0" w:rsidP="00A3510F">
      <w:pPr>
        <w:ind w:left="851"/>
        <w:rPr>
          <w:sz w:val="24"/>
          <w:szCs w:val="24"/>
        </w:rPr>
      </w:pPr>
    </w:p>
    <w:p w14:paraId="4793789F" w14:textId="77777777" w:rsidR="00841BE0" w:rsidRPr="00841BE0" w:rsidRDefault="00841BE0" w:rsidP="00A3510F">
      <w:pPr>
        <w:ind w:left="851"/>
        <w:rPr>
          <w:sz w:val="24"/>
          <w:szCs w:val="24"/>
        </w:rPr>
      </w:pPr>
      <w:r w:rsidRPr="00841BE0">
        <w:rPr>
          <w:sz w:val="24"/>
          <w:szCs w:val="24"/>
        </w:rPr>
        <w:t>Samlet set var sikkerhedsprofilen hos børn sammenlignelig med sikkerhedsprofilen hos voksne med type 2-diabetes mellitus.</w:t>
      </w:r>
    </w:p>
    <w:p w14:paraId="7F875781" w14:textId="77777777" w:rsidR="00841BE0" w:rsidRPr="00841BE0" w:rsidRDefault="00841BE0" w:rsidP="00A3510F">
      <w:pPr>
        <w:ind w:left="851"/>
        <w:rPr>
          <w:iCs/>
          <w:sz w:val="24"/>
          <w:szCs w:val="24"/>
        </w:rPr>
      </w:pPr>
    </w:p>
    <w:p w14:paraId="0634F7B6" w14:textId="77777777" w:rsidR="00841BE0" w:rsidRPr="00841BE0" w:rsidRDefault="00841BE0" w:rsidP="00A3510F">
      <w:pPr>
        <w:ind w:left="851"/>
        <w:rPr>
          <w:sz w:val="24"/>
          <w:szCs w:val="24"/>
          <w:u w:val="single"/>
        </w:rPr>
      </w:pPr>
      <w:r w:rsidRPr="00841BE0">
        <w:rPr>
          <w:sz w:val="24"/>
          <w:szCs w:val="24"/>
          <w:u w:val="single"/>
        </w:rPr>
        <w:t>Indberetning af formodede bivirkninger</w:t>
      </w:r>
    </w:p>
    <w:p w14:paraId="390FC0BB" w14:textId="77777777" w:rsidR="00841BE0" w:rsidRPr="00841BE0" w:rsidRDefault="00841BE0" w:rsidP="00A3510F">
      <w:pPr>
        <w:ind w:left="851"/>
        <w:rPr>
          <w:sz w:val="24"/>
          <w:szCs w:val="24"/>
        </w:rPr>
      </w:pPr>
      <w:r w:rsidRPr="00841BE0">
        <w:rPr>
          <w:sz w:val="24"/>
          <w:szCs w:val="24"/>
        </w:rPr>
        <w:t>Når lægemidlet er godkendt, er indberetning af formodede bivirkninger vigtig. Det muliggør løbende overvågning af benefit/</w:t>
      </w:r>
      <w:proofErr w:type="spellStart"/>
      <w:r w:rsidRPr="00841BE0">
        <w:rPr>
          <w:sz w:val="24"/>
          <w:szCs w:val="24"/>
        </w:rPr>
        <w:t>risk</w:t>
      </w:r>
      <w:proofErr w:type="spellEnd"/>
      <w:r w:rsidRPr="00841BE0">
        <w:rPr>
          <w:sz w:val="24"/>
          <w:szCs w:val="24"/>
        </w:rPr>
        <w:t>-forholdet for lægemidlet. Sundhedspersoner anmodes om at indberette alle formodede bivirkninger via:</w:t>
      </w:r>
    </w:p>
    <w:p w14:paraId="2C61A7F1" w14:textId="77777777" w:rsidR="00841BE0" w:rsidRPr="00841BE0" w:rsidRDefault="00841BE0" w:rsidP="00A3510F">
      <w:pPr>
        <w:ind w:left="851"/>
        <w:rPr>
          <w:sz w:val="24"/>
          <w:szCs w:val="24"/>
        </w:rPr>
      </w:pPr>
    </w:p>
    <w:p w14:paraId="39749281" w14:textId="77777777" w:rsidR="00841BE0" w:rsidRPr="00841BE0" w:rsidRDefault="00841BE0" w:rsidP="00A3510F">
      <w:pPr>
        <w:ind w:left="851"/>
        <w:rPr>
          <w:sz w:val="24"/>
          <w:szCs w:val="24"/>
        </w:rPr>
      </w:pPr>
      <w:r w:rsidRPr="00841BE0">
        <w:rPr>
          <w:sz w:val="24"/>
          <w:szCs w:val="24"/>
        </w:rPr>
        <w:t>Lægemiddelstyrelsen</w:t>
      </w:r>
    </w:p>
    <w:p w14:paraId="4825436B" w14:textId="77777777" w:rsidR="00841BE0" w:rsidRPr="00841BE0" w:rsidRDefault="00841BE0" w:rsidP="00A3510F">
      <w:pPr>
        <w:ind w:left="851"/>
        <w:rPr>
          <w:sz w:val="24"/>
          <w:szCs w:val="24"/>
        </w:rPr>
      </w:pPr>
      <w:r w:rsidRPr="00841BE0">
        <w:rPr>
          <w:sz w:val="24"/>
          <w:szCs w:val="24"/>
        </w:rPr>
        <w:t>Axel Heides Gade 1</w:t>
      </w:r>
    </w:p>
    <w:p w14:paraId="58983091" w14:textId="77777777" w:rsidR="00841BE0" w:rsidRPr="00841BE0" w:rsidRDefault="00841BE0" w:rsidP="00A3510F">
      <w:pPr>
        <w:ind w:left="851"/>
        <w:rPr>
          <w:sz w:val="24"/>
          <w:szCs w:val="24"/>
        </w:rPr>
      </w:pPr>
      <w:r w:rsidRPr="00841BE0">
        <w:rPr>
          <w:sz w:val="24"/>
          <w:szCs w:val="24"/>
        </w:rPr>
        <w:t>DK-2300 København S</w:t>
      </w:r>
    </w:p>
    <w:p w14:paraId="618C1C91" w14:textId="77777777" w:rsidR="00841BE0" w:rsidRPr="00841BE0" w:rsidRDefault="00841BE0" w:rsidP="00A3510F">
      <w:pPr>
        <w:ind w:left="851"/>
        <w:rPr>
          <w:sz w:val="24"/>
          <w:szCs w:val="24"/>
        </w:rPr>
      </w:pPr>
      <w:r w:rsidRPr="00841BE0">
        <w:rPr>
          <w:sz w:val="24"/>
          <w:szCs w:val="24"/>
        </w:rPr>
        <w:t xml:space="preserve">Websted: </w:t>
      </w:r>
      <w:hyperlink r:id="rId8" w:history="1">
        <w:r w:rsidRPr="00841BE0">
          <w:rPr>
            <w:rStyle w:val="Hyperlink"/>
            <w:sz w:val="24"/>
            <w:szCs w:val="24"/>
          </w:rPr>
          <w:t>www.meldenbivirkning.dk</w:t>
        </w:r>
      </w:hyperlink>
    </w:p>
    <w:p w14:paraId="7022F1E5" w14:textId="77777777" w:rsidR="009260DE" w:rsidRPr="003D3B2F" w:rsidRDefault="009260DE" w:rsidP="00A10294">
      <w:pPr>
        <w:tabs>
          <w:tab w:val="left" w:pos="851"/>
        </w:tabs>
        <w:ind w:left="851"/>
        <w:rPr>
          <w:sz w:val="24"/>
          <w:szCs w:val="24"/>
        </w:rPr>
      </w:pPr>
    </w:p>
    <w:p w14:paraId="07A6CA3E" w14:textId="77777777" w:rsidR="009260DE" w:rsidRPr="003D3B2F" w:rsidRDefault="009260DE" w:rsidP="009260DE">
      <w:pPr>
        <w:tabs>
          <w:tab w:val="left" w:pos="851"/>
        </w:tabs>
        <w:ind w:left="851" w:hanging="851"/>
        <w:rPr>
          <w:b/>
          <w:sz w:val="24"/>
          <w:szCs w:val="24"/>
        </w:rPr>
      </w:pPr>
      <w:r w:rsidRPr="003D3B2F">
        <w:rPr>
          <w:b/>
          <w:sz w:val="24"/>
          <w:szCs w:val="24"/>
        </w:rPr>
        <w:t>4.9</w:t>
      </w:r>
      <w:r w:rsidRPr="003D3B2F">
        <w:rPr>
          <w:b/>
          <w:sz w:val="24"/>
          <w:szCs w:val="24"/>
        </w:rPr>
        <w:tab/>
        <w:t>Overdosering</w:t>
      </w:r>
    </w:p>
    <w:p w14:paraId="29882317" w14:textId="77777777" w:rsidR="00841BE0" w:rsidRPr="00841BE0" w:rsidRDefault="00841BE0" w:rsidP="00841BE0">
      <w:pPr>
        <w:tabs>
          <w:tab w:val="left" w:pos="851"/>
        </w:tabs>
        <w:ind w:left="851"/>
        <w:rPr>
          <w:sz w:val="24"/>
          <w:szCs w:val="24"/>
        </w:rPr>
      </w:pPr>
    </w:p>
    <w:p w14:paraId="66B70092" w14:textId="77777777" w:rsidR="00841BE0" w:rsidRPr="00841BE0" w:rsidRDefault="00841BE0" w:rsidP="00A3510F">
      <w:pPr>
        <w:ind w:left="851"/>
        <w:rPr>
          <w:sz w:val="24"/>
          <w:szCs w:val="24"/>
          <w:u w:val="single"/>
        </w:rPr>
      </w:pPr>
      <w:r w:rsidRPr="00841BE0">
        <w:rPr>
          <w:sz w:val="24"/>
          <w:szCs w:val="24"/>
          <w:u w:val="single"/>
        </w:rPr>
        <w:t>Symptomer</w:t>
      </w:r>
    </w:p>
    <w:p w14:paraId="159DCB5D" w14:textId="77777777" w:rsidR="00841BE0" w:rsidRPr="00841BE0" w:rsidRDefault="00841BE0" w:rsidP="00A3510F">
      <w:pPr>
        <w:ind w:left="851"/>
        <w:rPr>
          <w:sz w:val="24"/>
          <w:szCs w:val="24"/>
        </w:rPr>
      </w:pPr>
    </w:p>
    <w:p w14:paraId="618F7EF5" w14:textId="77777777" w:rsidR="00841BE0" w:rsidRPr="00841BE0" w:rsidRDefault="00841BE0" w:rsidP="00A3510F">
      <w:pPr>
        <w:ind w:left="851"/>
        <w:rPr>
          <w:i/>
          <w:iCs/>
          <w:sz w:val="24"/>
          <w:szCs w:val="24"/>
          <w:u w:val="single"/>
        </w:rPr>
      </w:pPr>
      <w:proofErr w:type="spellStart"/>
      <w:r w:rsidRPr="00841BE0">
        <w:rPr>
          <w:i/>
          <w:iCs/>
          <w:sz w:val="24"/>
          <w:szCs w:val="24"/>
          <w:u w:val="single"/>
        </w:rPr>
        <w:t>Empagliflozin</w:t>
      </w:r>
      <w:proofErr w:type="spellEnd"/>
    </w:p>
    <w:p w14:paraId="5906647B" w14:textId="77777777" w:rsidR="00841BE0" w:rsidRPr="00841BE0" w:rsidRDefault="00841BE0" w:rsidP="00A3510F">
      <w:pPr>
        <w:ind w:left="851"/>
        <w:rPr>
          <w:sz w:val="24"/>
          <w:szCs w:val="24"/>
        </w:rPr>
      </w:pPr>
      <w:r w:rsidRPr="00841BE0">
        <w:rPr>
          <w:sz w:val="24"/>
          <w:szCs w:val="24"/>
        </w:rPr>
        <w:t xml:space="preserve">I kontrollerede kliniske studier med enkeltdoser på op til 800 mg </w:t>
      </w:r>
      <w:proofErr w:type="spellStart"/>
      <w:r w:rsidRPr="00841BE0">
        <w:rPr>
          <w:sz w:val="24"/>
          <w:szCs w:val="24"/>
        </w:rPr>
        <w:t>empagliflozin</w:t>
      </w:r>
      <w:proofErr w:type="spellEnd"/>
      <w:r w:rsidRPr="00841BE0">
        <w:rPr>
          <w:sz w:val="24"/>
          <w:szCs w:val="24"/>
        </w:rPr>
        <w:t xml:space="preserve"> (svarende til 32 gange den højeste anbefalede daglige dosis) til raske frivillige og gentagne daglige doser på op til 100 mg </w:t>
      </w:r>
      <w:proofErr w:type="spellStart"/>
      <w:r w:rsidRPr="00841BE0">
        <w:rPr>
          <w:sz w:val="24"/>
          <w:szCs w:val="24"/>
        </w:rPr>
        <w:t>empagliflozin</w:t>
      </w:r>
      <w:proofErr w:type="spellEnd"/>
      <w:r w:rsidRPr="00841BE0">
        <w:rPr>
          <w:sz w:val="24"/>
          <w:szCs w:val="24"/>
        </w:rPr>
        <w:t xml:space="preserve"> (svarende til 4 gange den højeste anbefalede daglige dosis) til patienter med type 2-diabetes blev der ikke påvist nogen toksicitet. </w:t>
      </w:r>
      <w:proofErr w:type="spellStart"/>
      <w:r w:rsidRPr="00841BE0">
        <w:rPr>
          <w:sz w:val="24"/>
          <w:szCs w:val="24"/>
        </w:rPr>
        <w:t>Empagliflozin</w:t>
      </w:r>
      <w:proofErr w:type="spellEnd"/>
      <w:r w:rsidRPr="00841BE0">
        <w:rPr>
          <w:sz w:val="24"/>
          <w:szCs w:val="24"/>
        </w:rPr>
        <w:t xml:space="preserve"> øgede udskillelsen af </w:t>
      </w:r>
      <w:proofErr w:type="spellStart"/>
      <w:r w:rsidRPr="00841BE0">
        <w:rPr>
          <w:sz w:val="24"/>
          <w:szCs w:val="24"/>
        </w:rPr>
        <w:t>glucose</w:t>
      </w:r>
      <w:proofErr w:type="spellEnd"/>
      <w:r w:rsidRPr="00841BE0">
        <w:rPr>
          <w:sz w:val="24"/>
          <w:szCs w:val="24"/>
        </w:rPr>
        <w:t xml:space="preserve"> i urinen og førte dermed til øget urinvolumen. Den observerede forøgelse af urinvolumenet var ikke dosisafhængig og har ingen klinisk betydning. Der er ingen erfaring med doser på over 800 mg til mennesker.</w:t>
      </w:r>
    </w:p>
    <w:p w14:paraId="6549969A" w14:textId="77777777" w:rsidR="00841BE0" w:rsidRPr="00841BE0" w:rsidRDefault="00841BE0" w:rsidP="00A3510F">
      <w:pPr>
        <w:ind w:left="851"/>
        <w:rPr>
          <w:sz w:val="24"/>
          <w:szCs w:val="24"/>
        </w:rPr>
      </w:pPr>
    </w:p>
    <w:p w14:paraId="53237C91" w14:textId="77777777" w:rsidR="00841BE0" w:rsidRPr="00841BE0" w:rsidRDefault="00841BE0" w:rsidP="00A3510F">
      <w:pPr>
        <w:ind w:left="851"/>
        <w:rPr>
          <w:i/>
          <w:iCs/>
          <w:sz w:val="24"/>
          <w:szCs w:val="24"/>
          <w:u w:val="single"/>
        </w:rPr>
      </w:pPr>
      <w:proofErr w:type="spellStart"/>
      <w:r w:rsidRPr="00841BE0">
        <w:rPr>
          <w:i/>
          <w:iCs/>
          <w:sz w:val="24"/>
          <w:szCs w:val="24"/>
          <w:u w:val="single"/>
        </w:rPr>
        <w:t>Metformin</w:t>
      </w:r>
      <w:proofErr w:type="spellEnd"/>
    </w:p>
    <w:p w14:paraId="136EB2BA" w14:textId="77777777" w:rsidR="00841BE0" w:rsidRPr="00841BE0" w:rsidRDefault="00841BE0" w:rsidP="00A3510F">
      <w:pPr>
        <w:ind w:left="851"/>
        <w:rPr>
          <w:sz w:val="24"/>
          <w:szCs w:val="24"/>
        </w:rPr>
      </w:pPr>
      <w:r w:rsidRPr="00841BE0">
        <w:rPr>
          <w:sz w:val="24"/>
          <w:szCs w:val="24"/>
        </w:rPr>
        <w:t xml:space="preserve">Der er ikke set hypoglykæmi ved </w:t>
      </w:r>
      <w:proofErr w:type="spellStart"/>
      <w:r w:rsidRPr="00841BE0">
        <w:rPr>
          <w:sz w:val="24"/>
          <w:szCs w:val="24"/>
        </w:rPr>
        <w:t>metformin</w:t>
      </w:r>
      <w:proofErr w:type="spellEnd"/>
      <w:r w:rsidRPr="00841BE0">
        <w:rPr>
          <w:sz w:val="24"/>
          <w:szCs w:val="24"/>
        </w:rPr>
        <w:t xml:space="preserve"> i doser på op til 85 g, selvom der er forekommet laktatacidose i sådanne tilfælde. En stor overdosis af </w:t>
      </w:r>
      <w:proofErr w:type="spellStart"/>
      <w:r w:rsidRPr="00841BE0">
        <w:rPr>
          <w:sz w:val="24"/>
          <w:szCs w:val="24"/>
        </w:rPr>
        <w:t>metformin</w:t>
      </w:r>
      <w:proofErr w:type="spellEnd"/>
      <w:r w:rsidRPr="00841BE0">
        <w:rPr>
          <w:sz w:val="24"/>
          <w:szCs w:val="24"/>
        </w:rPr>
        <w:t xml:space="preserve"> eller samtidige risici kan medføre laktatacidose. Laktatacidose er en akut medicinsk tilstand, der kræver behandling på hospital (se pkt. 4.4 og 4.5).</w:t>
      </w:r>
    </w:p>
    <w:p w14:paraId="18CB3A34" w14:textId="77777777" w:rsidR="00841BE0" w:rsidRPr="00841BE0" w:rsidRDefault="00841BE0" w:rsidP="00A3510F">
      <w:pPr>
        <w:ind w:left="851"/>
        <w:rPr>
          <w:sz w:val="24"/>
          <w:szCs w:val="24"/>
        </w:rPr>
      </w:pPr>
    </w:p>
    <w:p w14:paraId="47848BF2" w14:textId="77777777" w:rsidR="00841BE0" w:rsidRPr="00841BE0" w:rsidRDefault="00841BE0" w:rsidP="00A3510F">
      <w:pPr>
        <w:ind w:left="851"/>
        <w:rPr>
          <w:sz w:val="24"/>
          <w:szCs w:val="24"/>
          <w:u w:val="single"/>
        </w:rPr>
      </w:pPr>
      <w:r w:rsidRPr="00841BE0">
        <w:rPr>
          <w:sz w:val="24"/>
          <w:szCs w:val="24"/>
          <w:u w:val="single"/>
        </w:rPr>
        <w:t>Behandling</w:t>
      </w:r>
    </w:p>
    <w:p w14:paraId="42F99F73" w14:textId="77777777" w:rsidR="00841BE0" w:rsidRPr="00841BE0" w:rsidRDefault="00841BE0" w:rsidP="00A3510F">
      <w:pPr>
        <w:ind w:left="851"/>
        <w:rPr>
          <w:sz w:val="24"/>
          <w:szCs w:val="24"/>
        </w:rPr>
      </w:pPr>
    </w:p>
    <w:p w14:paraId="7D66E520" w14:textId="77777777" w:rsidR="00841BE0" w:rsidRPr="00841BE0" w:rsidRDefault="00841BE0" w:rsidP="00A3510F">
      <w:pPr>
        <w:ind w:left="851"/>
        <w:rPr>
          <w:sz w:val="24"/>
          <w:szCs w:val="24"/>
        </w:rPr>
      </w:pPr>
      <w:r w:rsidRPr="00841BE0">
        <w:rPr>
          <w:sz w:val="24"/>
          <w:szCs w:val="24"/>
        </w:rPr>
        <w:t xml:space="preserve">I tilfælde af overdosering skal der initieres en relevant behandling under hensyntagen til patientens kliniske tilstand. Den mest effektive metode til fjernelse af laktat og </w:t>
      </w:r>
      <w:proofErr w:type="spellStart"/>
      <w:r w:rsidRPr="00841BE0">
        <w:rPr>
          <w:sz w:val="24"/>
          <w:szCs w:val="24"/>
        </w:rPr>
        <w:t>metformin</w:t>
      </w:r>
      <w:proofErr w:type="spellEnd"/>
      <w:r w:rsidRPr="00841BE0">
        <w:rPr>
          <w:sz w:val="24"/>
          <w:szCs w:val="24"/>
        </w:rPr>
        <w:t xml:space="preserve"> er hæmodialyse. Fjernelse af </w:t>
      </w:r>
      <w:proofErr w:type="spellStart"/>
      <w:r w:rsidRPr="00841BE0">
        <w:rPr>
          <w:sz w:val="24"/>
          <w:szCs w:val="24"/>
        </w:rPr>
        <w:t>empagliflozin</w:t>
      </w:r>
      <w:proofErr w:type="spellEnd"/>
      <w:r w:rsidRPr="00841BE0">
        <w:rPr>
          <w:sz w:val="24"/>
          <w:szCs w:val="24"/>
        </w:rPr>
        <w:t xml:space="preserve"> ved hæmodialyse er ikke undersøgt.</w:t>
      </w:r>
    </w:p>
    <w:p w14:paraId="106D3655" w14:textId="77777777" w:rsidR="009260DE" w:rsidRPr="003D3B2F" w:rsidRDefault="009260DE" w:rsidP="009260DE">
      <w:pPr>
        <w:tabs>
          <w:tab w:val="left" w:pos="851"/>
        </w:tabs>
        <w:ind w:left="851"/>
        <w:rPr>
          <w:sz w:val="24"/>
          <w:szCs w:val="24"/>
        </w:rPr>
      </w:pPr>
    </w:p>
    <w:p w14:paraId="48CA08CF" w14:textId="77777777" w:rsidR="009260DE" w:rsidRPr="003D3B2F" w:rsidRDefault="009260DE" w:rsidP="009260DE">
      <w:pPr>
        <w:tabs>
          <w:tab w:val="left" w:pos="851"/>
        </w:tabs>
        <w:ind w:left="851" w:hanging="851"/>
        <w:rPr>
          <w:b/>
          <w:sz w:val="24"/>
          <w:szCs w:val="24"/>
        </w:rPr>
      </w:pPr>
      <w:r w:rsidRPr="003D3B2F">
        <w:rPr>
          <w:b/>
          <w:sz w:val="24"/>
          <w:szCs w:val="24"/>
        </w:rPr>
        <w:t>4.10</w:t>
      </w:r>
      <w:r w:rsidRPr="003D3B2F">
        <w:rPr>
          <w:b/>
          <w:sz w:val="24"/>
          <w:szCs w:val="24"/>
        </w:rPr>
        <w:tab/>
        <w:t>Udlevering</w:t>
      </w:r>
    </w:p>
    <w:p w14:paraId="09C0D44E" w14:textId="010C04D2" w:rsidR="009260DE" w:rsidRPr="003D3B2F" w:rsidRDefault="00B42A17" w:rsidP="009260DE">
      <w:pPr>
        <w:tabs>
          <w:tab w:val="left" w:pos="851"/>
        </w:tabs>
        <w:ind w:left="851"/>
        <w:rPr>
          <w:sz w:val="24"/>
          <w:szCs w:val="24"/>
        </w:rPr>
      </w:pPr>
      <w:r w:rsidRPr="003D3B2F">
        <w:rPr>
          <w:sz w:val="24"/>
          <w:szCs w:val="24"/>
        </w:rPr>
        <w:t>B</w:t>
      </w:r>
    </w:p>
    <w:p w14:paraId="459D656A" w14:textId="77777777" w:rsidR="009260DE" w:rsidRPr="003D3B2F" w:rsidRDefault="009260DE" w:rsidP="009260DE">
      <w:pPr>
        <w:tabs>
          <w:tab w:val="left" w:pos="851"/>
        </w:tabs>
        <w:ind w:left="851"/>
        <w:rPr>
          <w:sz w:val="24"/>
          <w:szCs w:val="24"/>
        </w:rPr>
      </w:pPr>
    </w:p>
    <w:p w14:paraId="42486C5F" w14:textId="77777777" w:rsidR="009260DE" w:rsidRPr="003D3B2F" w:rsidRDefault="009260DE" w:rsidP="009260DE">
      <w:pPr>
        <w:tabs>
          <w:tab w:val="left" w:pos="851"/>
        </w:tabs>
        <w:ind w:left="851"/>
        <w:rPr>
          <w:sz w:val="24"/>
          <w:szCs w:val="24"/>
        </w:rPr>
      </w:pPr>
    </w:p>
    <w:p w14:paraId="6F7262AF" w14:textId="77777777" w:rsidR="009260DE" w:rsidRPr="003D3B2F" w:rsidRDefault="009260DE" w:rsidP="009260DE">
      <w:pPr>
        <w:tabs>
          <w:tab w:val="left" w:pos="851"/>
        </w:tabs>
        <w:ind w:left="851" w:hanging="851"/>
        <w:rPr>
          <w:b/>
          <w:sz w:val="24"/>
          <w:szCs w:val="24"/>
        </w:rPr>
      </w:pPr>
      <w:r w:rsidRPr="003D3B2F">
        <w:rPr>
          <w:b/>
          <w:sz w:val="24"/>
          <w:szCs w:val="24"/>
        </w:rPr>
        <w:t>5.</w:t>
      </w:r>
      <w:r w:rsidRPr="003D3B2F">
        <w:rPr>
          <w:b/>
          <w:sz w:val="24"/>
          <w:szCs w:val="24"/>
        </w:rPr>
        <w:tab/>
        <w:t>FARMAKOLOGISKE EGENSKABER</w:t>
      </w:r>
    </w:p>
    <w:p w14:paraId="1240BC2D" w14:textId="77777777" w:rsidR="009260DE" w:rsidRPr="003D3B2F" w:rsidRDefault="009260DE" w:rsidP="009260DE">
      <w:pPr>
        <w:tabs>
          <w:tab w:val="left" w:pos="851"/>
        </w:tabs>
        <w:ind w:left="851"/>
        <w:rPr>
          <w:sz w:val="24"/>
          <w:szCs w:val="24"/>
        </w:rPr>
      </w:pPr>
    </w:p>
    <w:p w14:paraId="587FD3B4" w14:textId="77777777" w:rsidR="009260DE" w:rsidRPr="003D3B2F" w:rsidRDefault="009260DE" w:rsidP="009260DE">
      <w:pPr>
        <w:tabs>
          <w:tab w:val="num" w:pos="851"/>
        </w:tabs>
        <w:ind w:left="851" w:hanging="851"/>
        <w:rPr>
          <w:b/>
          <w:sz w:val="24"/>
          <w:szCs w:val="24"/>
        </w:rPr>
      </w:pPr>
      <w:r w:rsidRPr="003D3B2F">
        <w:rPr>
          <w:b/>
          <w:sz w:val="24"/>
          <w:szCs w:val="24"/>
        </w:rPr>
        <w:t>5.1</w:t>
      </w:r>
      <w:r w:rsidRPr="003D3B2F">
        <w:rPr>
          <w:b/>
          <w:sz w:val="24"/>
          <w:szCs w:val="24"/>
        </w:rPr>
        <w:tab/>
      </w:r>
      <w:proofErr w:type="spellStart"/>
      <w:r w:rsidRPr="003D3B2F">
        <w:rPr>
          <w:b/>
          <w:sz w:val="24"/>
          <w:szCs w:val="24"/>
        </w:rPr>
        <w:t>Farmakodynamiske</w:t>
      </w:r>
      <w:proofErr w:type="spellEnd"/>
      <w:r w:rsidRPr="003D3B2F">
        <w:rPr>
          <w:b/>
          <w:sz w:val="24"/>
          <w:szCs w:val="24"/>
        </w:rPr>
        <w:t xml:space="preserve"> egenskaber</w:t>
      </w:r>
    </w:p>
    <w:p w14:paraId="77FBFFD3" w14:textId="77777777" w:rsidR="00841BE0" w:rsidRPr="00841BE0" w:rsidRDefault="00841BE0" w:rsidP="0031748F">
      <w:pPr>
        <w:ind w:left="851"/>
        <w:rPr>
          <w:sz w:val="24"/>
          <w:szCs w:val="24"/>
        </w:rPr>
      </w:pPr>
      <w:proofErr w:type="spellStart"/>
      <w:r w:rsidRPr="00841BE0">
        <w:rPr>
          <w:sz w:val="24"/>
          <w:szCs w:val="24"/>
        </w:rPr>
        <w:t>Farmakoterapeutisk</w:t>
      </w:r>
      <w:proofErr w:type="spellEnd"/>
      <w:r w:rsidRPr="00841BE0">
        <w:rPr>
          <w:sz w:val="24"/>
          <w:szCs w:val="24"/>
        </w:rPr>
        <w:t xml:space="preserve"> klassifikation: </w:t>
      </w:r>
      <w:proofErr w:type="spellStart"/>
      <w:r w:rsidRPr="00841BE0">
        <w:rPr>
          <w:sz w:val="24"/>
          <w:szCs w:val="24"/>
        </w:rPr>
        <w:t>Antidiabetika</w:t>
      </w:r>
      <w:proofErr w:type="spellEnd"/>
      <w:r w:rsidRPr="00841BE0">
        <w:rPr>
          <w:sz w:val="24"/>
          <w:szCs w:val="24"/>
        </w:rPr>
        <w:t xml:space="preserve">, </w:t>
      </w:r>
      <w:proofErr w:type="spellStart"/>
      <w:r w:rsidRPr="00841BE0">
        <w:rPr>
          <w:sz w:val="24"/>
          <w:szCs w:val="24"/>
        </w:rPr>
        <w:t>komb</w:t>
      </w:r>
      <w:proofErr w:type="spellEnd"/>
      <w:r w:rsidRPr="00841BE0">
        <w:rPr>
          <w:sz w:val="24"/>
          <w:szCs w:val="24"/>
        </w:rPr>
        <w:t>. af orale blod-</w:t>
      </w:r>
      <w:proofErr w:type="spellStart"/>
      <w:r w:rsidRPr="00841BE0">
        <w:rPr>
          <w:sz w:val="24"/>
          <w:szCs w:val="24"/>
        </w:rPr>
        <w:t>glucose</w:t>
      </w:r>
      <w:proofErr w:type="spellEnd"/>
      <w:r w:rsidRPr="00841BE0">
        <w:rPr>
          <w:sz w:val="24"/>
          <w:szCs w:val="24"/>
        </w:rPr>
        <w:t xml:space="preserve"> sænkende midler, ATC-kode: A10BD20.</w:t>
      </w:r>
    </w:p>
    <w:p w14:paraId="199227A2" w14:textId="77777777" w:rsidR="00841BE0" w:rsidRPr="00841BE0" w:rsidRDefault="00841BE0" w:rsidP="0031748F">
      <w:pPr>
        <w:ind w:left="851"/>
        <w:rPr>
          <w:sz w:val="24"/>
          <w:szCs w:val="24"/>
        </w:rPr>
      </w:pPr>
    </w:p>
    <w:p w14:paraId="17072D92" w14:textId="77777777" w:rsidR="00841BE0" w:rsidRPr="00841BE0" w:rsidRDefault="00841BE0" w:rsidP="0031748F">
      <w:pPr>
        <w:ind w:left="851"/>
        <w:rPr>
          <w:sz w:val="24"/>
          <w:szCs w:val="24"/>
          <w:u w:val="single"/>
        </w:rPr>
      </w:pPr>
      <w:r w:rsidRPr="00841BE0">
        <w:rPr>
          <w:sz w:val="24"/>
          <w:szCs w:val="24"/>
          <w:u w:val="single"/>
        </w:rPr>
        <w:t>Virkningsmekanisme</w:t>
      </w:r>
    </w:p>
    <w:p w14:paraId="096C0AF7" w14:textId="77777777" w:rsidR="00841BE0" w:rsidRPr="00841BE0" w:rsidRDefault="00841BE0" w:rsidP="0031748F">
      <w:pPr>
        <w:ind w:left="851"/>
        <w:rPr>
          <w:sz w:val="24"/>
          <w:szCs w:val="24"/>
        </w:rPr>
      </w:pPr>
    </w:p>
    <w:p w14:paraId="10ED5FCE" w14:textId="56449F13" w:rsidR="00841BE0" w:rsidRPr="00841BE0" w:rsidRDefault="00841BE0" w:rsidP="0031748F">
      <w:pPr>
        <w:ind w:left="851"/>
        <w:rPr>
          <w:sz w:val="24"/>
          <w:szCs w:val="24"/>
        </w:rPr>
      </w:pP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 xml:space="preserve"> kombinerer to </w:t>
      </w:r>
      <w:proofErr w:type="spellStart"/>
      <w:r w:rsidRPr="00841BE0">
        <w:rPr>
          <w:sz w:val="24"/>
          <w:szCs w:val="24"/>
        </w:rPr>
        <w:t>antihyperglykæmiske</w:t>
      </w:r>
      <w:proofErr w:type="spellEnd"/>
      <w:r w:rsidRPr="00841BE0">
        <w:rPr>
          <w:sz w:val="24"/>
          <w:szCs w:val="24"/>
        </w:rPr>
        <w:t xml:space="preserve"> lægemidler med komplementære virkningsmekanismer for at forbedre den glykæmiske kontrol hos patienter med type 2-diabetes: </w:t>
      </w:r>
      <w:proofErr w:type="spellStart"/>
      <w:r w:rsidRPr="00841BE0">
        <w:rPr>
          <w:sz w:val="24"/>
          <w:szCs w:val="24"/>
        </w:rPr>
        <w:t>empagliflozin</w:t>
      </w:r>
      <w:proofErr w:type="spellEnd"/>
      <w:r w:rsidRPr="00841BE0">
        <w:rPr>
          <w:sz w:val="24"/>
          <w:szCs w:val="24"/>
        </w:rPr>
        <w:t>, der er en hæmmer af natrium-</w:t>
      </w:r>
      <w:proofErr w:type="spellStart"/>
      <w:r w:rsidRPr="00841BE0">
        <w:rPr>
          <w:sz w:val="24"/>
          <w:szCs w:val="24"/>
        </w:rPr>
        <w:t>glucose</w:t>
      </w:r>
      <w:proofErr w:type="spellEnd"/>
      <w:r w:rsidRPr="00841BE0">
        <w:rPr>
          <w:sz w:val="24"/>
          <w:szCs w:val="24"/>
        </w:rPr>
        <w:t xml:space="preserve"> co-transportør 2 (SGLT2-hæmmer), og </w:t>
      </w:r>
      <w:proofErr w:type="spellStart"/>
      <w:r w:rsidRPr="00841BE0">
        <w:rPr>
          <w:sz w:val="24"/>
          <w:szCs w:val="24"/>
        </w:rPr>
        <w:t>metforminhydrochlorid</w:t>
      </w:r>
      <w:proofErr w:type="spellEnd"/>
      <w:r w:rsidRPr="00841BE0">
        <w:rPr>
          <w:sz w:val="24"/>
          <w:szCs w:val="24"/>
        </w:rPr>
        <w:t xml:space="preserve">, der er et medlem af </w:t>
      </w:r>
      <w:proofErr w:type="spellStart"/>
      <w:r w:rsidRPr="00841BE0">
        <w:rPr>
          <w:sz w:val="24"/>
          <w:szCs w:val="24"/>
        </w:rPr>
        <w:t>biguanidklassen</w:t>
      </w:r>
      <w:proofErr w:type="spellEnd"/>
      <w:r w:rsidRPr="00841BE0">
        <w:rPr>
          <w:sz w:val="24"/>
          <w:szCs w:val="24"/>
        </w:rPr>
        <w:t>.</w:t>
      </w:r>
    </w:p>
    <w:p w14:paraId="7D810C8B" w14:textId="77777777" w:rsidR="00841BE0" w:rsidRPr="00841BE0" w:rsidRDefault="00841BE0" w:rsidP="0031748F">
      <w:pPr>
        <w:ind w:left="851"/>
        <w:rPr>
          <w:sz w:val="24"/>
          <w:szCs w:val="24"/>
        </w:rPr>
      </w:pPr>
    </w:p>
    <w:p w14:paraId="5ACB1EDD" w14:textId="77777777" w:rsidR="00841BE0" w:rsidRPr="00841BE0" w:rsidRDefault="00841BE0" w:rsidP="0031748F">
      <w:pPr>
        <w:ind w:left="851"/>
        <w:rPr>
          <w:i/>
          <w:iCs/>
          <w:sz w:val="24"/>
          <w:szCs w:val="24"/>
          <w:u w:val="single"/>
        </w:rPr>
      </w:pPr>
      <w:proofErr w:type="spellStart"/>
      <w:r w:rsidRPr="00841BE0">
        <w:rPr>
          <w:i/>
          <w:iCs/>
          <w:sz w:val="24"/>
          <w:szCs w:val="24"/>
          <w:u w:val="single"/>
        </w:rPr>
        <w:t>Empagliflozin</w:t>
      </w:r>
      <w:proofErr w:type="spellEnd"/>
    </w:p>
    <w:p w14:paraId="3D6BF38E" w14:textId="77777777" w:rsidR="00841BE0" w:rsidRPr="00841BE0" w:rsidRDefault="00841BE0" w:rsidP="0031748F">
      <w:pPr>
        <w:ind w:left="851"/>
        <w:rPr>
          <w:sz w:val="24"/>
          <w:szCs w:val="24"/>
        </w:rPr>
      </w:pPr>
    </w:p>
    <w:p w14:paraId="716B5E4F" w14:textId="77777777" w:rsidR="00841BE0" w:rsidRPr="00841BE0" w:rsidRDefault="00841BE0" w:rsidP="0031748F">
      <w:pPr>
        <w:ind w:left="851"/>
        <w:rPr>
          <w:sz w:val="24"/>
          <w:szCs w:val="24"/>
        </w:rPr>
      </w:pPr>
      <w:proofErr w:type="spellStart"/>
      <w:r w:rsidRPr="00841BE0">
        <w:rPr>
          <w:sz w:val="24"/>
          <w:szCs w:val="24"/>
        </w:rPr>
        <w:t>Empagliflozin</w:t>
      </w:r>
      <w:proofErr w:type="spellEnd"/>
      <w:r w:rsidRPr="00841BE0">
        <w:rPr>
          <w:sz w:val="24"/>
          <w:szCs w:val="24"/>
        </w:rPr>
        <w:t xml:space="preserve"> er en reversibel, yderst potent (IC50 på 1,3 nmol) og selektiv </w:t>
      </w:r>
      <w:proofErr w:type="spellStart"/>
      <w:r w:rsidRPr="00841BE0">
        <w:rPr>
          <w:sz w:val="24"/>
          <w:szCs w:val="24"/>
        </w:rPr>
        <w:t>kompetitiv</w:t>
      </w:r>
      <w:proofErr w:type="spellEnd"/>
      <w:r w:rsidRPr="00841BE0">
        <w:rPr>
          <w:sz w:val="24"/>
          <w:szCs w:val="24"/>
        </w:rPr>
        <w:t xml:space="preserve"> hæmmer af SGLT2. </w:t>
      </w:r>
      <w:proofErr w:type="spellStart"/>
      <w:r w:rsidRPr="00841BE0">
        <w:rPr>
          <w:sz w:val="24"/>
          <w:szCs w:val="24"/>
        </w:rPr>
        <w:t>Empagliflozin</w:t>
      </w:r>
      <w:proofErr w:type="spellEnd"/>
      <w:r w:rsidRPr="00841BE0">
        <w:rPr>
          <w:sz w:val="24"/>
          <w:szCs w:val="24"/>
        </w:rPr>
        <w:t xml:space="preserve"> hæmmer ikke andre </w:t>
      </w:r>
      <w:proofErr w:type="spellStart"/>
      <w:r w:rsidRPr="00841BE0">
        <w:rPr>
          <w:sz w:val="24"/>
          <w:szCs w:val="24"/>
        </w:rPr>
        <w:t>glucosetransportører</w:t>
      </w:r>
      <w:proofErr w:type="spellEnd"/>
      <w:r w:rsidRPr="00841BE0">
        <w:rPr>
          <w:sz w:val="24"/>
          <w:szCs w:val="24"/>
        </w:rPr>
        <w:t xml:space="preserve"> med betydning for transport af </w:t>
      </w:r>
      <w:proofErr w:type="spellStart"/>
      <w:r w:rsidRPr="00841BE0">
        <w:rPr>
          <w:sz w:val="24"/>
          <w:szCs w:val="24"/>
        </w:rPr>
        <w:t>glucose</w:t>
      </w:r>
      <w:proofErr w:type="spellEnd"/>
      <w:r w:rsidRPr="00841BE0">
        <w:rPr>
          <w:sz w:val="24"/>
          <w:szCs w:val="24"/>
        </w:rPr>
        <w:t xml:space="preserve"> ind i perifere væv, og det er 5.000 gange mere selektivt for SGLT2 end for SGLT1, der er den vigtigste transportør med betydning for absorption af </w:t>
      </w:r>
      <w:proofErr w:type="spellStart"/>
      <w:r w:rsidRPr="00841BE0">
        <w:rPr>
          <w:sz w:val="24"/>
          <w:szCs w:val="24"/>
        </w:rPr>
        <w:t>glucose</w:t>
      </w:r>
      <w:proofErr w:type="spellEnd"/>
      <w:r w:rsidRPr="00841BE0">
        <w:rPr>
          <w:sz w:val="24"/>
          <w:szCs w:val="24"/>
        </w:rPr>
        <w:t xml:space="preserve"> i tarmen. SGLT2 udtrykkes i udtalt grad i nyrerne, hvorimod det udtrykkes i meget lille grad, eller slet ikke, i andre væv. SGLT2 er den vigtigste transportør med betydning for </w:t>
      </w:r>
      <w:proofErr w:type="spellStart"/>
      <w:r w:rsidRPr="00841BE0">
        <w:rPr>
          <w:sz w:val="24"/>
          <w:szCs w:val="24"/>
        </w:rPr>
        <w:t>reabsorption</w:t>
      </w:r>
      <w:proofErr w:type="spellEnd"/>
      <w:r w:rsidRPr="00841BE0">
        <w:rPr>
          <w:sz w:val="24"/>
          <w:szCs w:val="24"/>
        </w:rPr>
        <w:t xml:space="preserve"> af </w:t>
      </w:r>
      <w:proofErr w:type="spellStart"/>
      <w:r w:rsidRPr="00841BE0">
        <w:rPr>
          <w:sz w:val="24"/>
          <w:szCs w:val="24"/>
        </w:rPr>
        <w:t>glucose</w:t>
      </w:r>
      <w:proofErr w:type="spellEnd"/>
      <w:r w:rsidRPr="00841BE0">
        <w:rPr>
          <w:sz w:val="24"/>
          <w:szCs w:val="24"/>
        </w:rPr>
        <w:t xml:space="preserve"> fra </w:t>
      </w:r>
      <w:proofErr w:type="spellStart"/>
      <w:r w:rsidRPr="00841BE0">
        <w:rPr>
          <w:sz w:val="24"/>
          <w:szCs w:val="24"/>
        </w:rPr>
        <w:t>glomerulusfiltratet</w:t>
      </w:r>
      <w:proofErr w:type="spellEnd"/>
      <w:r w:rsidRPr="00841BE0">
        <w:rPr>
          <w:sz w:val="24"/>
          <w:szCs w:val="24"/>
        </w:rPr>
        <w:t xml:space="preserve"> tilbage til kredsløbet. Hos patienter med type 2-diabetes og </w:t>
      </w:r>
      <w:proofErr w:type="spellStart"/>
      <w:r w:rsidRPr="00841BE0">
        <w:rPr>
          <w:sz w:val="24"/>
          <w:szCs w:val="24"/>
        </w:rPr>
        <w:t>hyperglykæmi</w:t>
      </w:r>
      <w:proofErr w:type="spellEnd"/>
      <w:r w:rsidRPr="00841BE0">
        <w:rPr>
          <w:sz w:val="24"/>
          <w:szCs w:val="24"/>
        </w:rPr>
        <w:t xml:space="preserve"> er mængden af filtreret og </w:t>
      </w:r>
      <w:proofErr w:type="spellStart"/>
      <w:r w:rsidRPr="00841BE0">
        <w:rPr>
          <w:sz w:val="24"/>
          <w:szCs w:val="24"/>
        </w:rPr>
        <w:t>reabsorberet</w:t>
      </w:r>
      <w:proofErr w:type="spellEnd"/>
      <w:r w:rsidRPr="00841BE0">
        <w:rPr>
          <w:sz w:val="24"/>
          <w:szCs w:val="24"/>
        </w:rPr>
        <w:t xml:space="preserve"> </w:t>
      </w:r>
      <w:proofErr w:type="spellStart"/>
      <w:r w:rsidRPr="00841BE0">
        <w:rPr>
          <w:sz w:val="24"/>
          <w:szCs w:val="24"/>
        </w:rPr>
        <w:t>glucose</w:t>
      </w:r>
      <w:proofErr w:type="spellEnd"/>
      <w:r w:rsidRPr="00841BE0">
        <w:rPr>
          <w:sz w:val="24"/>
          <w:szCs w:val="24"/>
        </w:rPr>
        <w:t xml:space="preserve"> højere.</w:t>
      </w:r>
    </w:p>
    <w:p w14:paraId="3F0DE0BB" w14:textId="77777777" w:rsidR="00841BE0" w:rsidRPr="00841BE0" w:rsidRDefault="00841BE0" w:rsidP="0031748F">
      <w:pPr>
        <w:ind w:left="851"/>
        <w:rPr>
          <w:sz w:val="24"/>
          <w:szCs w:val="24"/>
        </w:rPr>
      </w:pPr>
      <w:r w:rsidRPr="00841BE0">
        <w:rPr>
          <w:sz w:val="24"/>
          <w:szCs w:val="24"/>
        </w:rPr>
        <w:t xml:space="preserve">Hos patienter med type 2-diabetes forbedrer </w:t>
      </w:r>
      <w:proofErr w:type="spellStart"/>
      <w:r w:rsidRPr="00841BE0">
        <w:rPr>
          <w:sz w:val="24"/>
          <w:szCs w:val="24"/>
        </w:rPr>
        <w:t>empagliflozin</w:t>
      </w:r>
      <w:proofErr w:type="spellEnd"/>
      <w:r w:rsidRPr="00841BE0">
        <w:rPr>
          <w:sz w:val="24"/>
          <w:szCs w:val="24"/>
        </w:rPr>
        <w:t xml:space="preserve"> den glykæmiske kontrol ved at nedsætte </w:t>
      </w:r>
      <w:proofErr w:type="spellStart"/>
      <w:r w:rsidRPr="00841BE0">
        <w:rPr>
          <w:sz w:val="24"/>
          <w:szCs w:val="24"/>
        </w:rPr>
        <w:t>reabsorptionen</w:t>
      </w:r>
      <w:proofErr w:type="spellEnd"/>
      <w:r w:rsidRPr="00841BE0">
        <w:rPr>
          <w:sz w:val="24"/>
          <w:szCs w:val="24"/>
        </w:rPr>
        <w:t xml:space="preserve"> af </w:t>
      </w:r>
      <w:proofErr w:type="spellStart"/>
      <w:r w:rsidRPr="00841BE0">
        <w:rPr>
          <w:sz w:val="24"/>
          <w:szCs w:val="24"/>
        </w:rPr>
        <w:t>glucose</w:t>
      </w:r>
      <w:proofErr w:type="spellEnd"/>
      <w:r w:rsidRPr="00841BE0">
        <w:rPr>
          <w:sz w:val="24"/>
          <w:szCs w:val="24"/>
        </w:rPr>
        <w:t xml:space="preserve"> i nyrerne. Mængden af </w:t>
      </w:r>
      <w:proofErr w:type="spellStart"/>
      <w:r w:rsidRPr="00841BE0">
        <w:rPr>
          <w:sz w:val="24"/>
          <w:szCs w:val="24"/>
        </w:rPr>
        <w:t>glucose</w:t>
      </w:r>
      <w:proofErr w:type="spellEnd"/>
      <w:r w:rsidRPr="00841BE0">
        <w:rPr>
          <w:sz w:val="24"/>
          <w:szCs w:val="24"/>
        </w:rPr>
        <w:t xml:space="preserve">, der fjernes af nyrerne via denne </w:t>
      </w:r>
      <w:proofErr w:type="spellStart"/>
      <w:r w:rsidRPr="00841BE0">
        <w:rPr>
          <w:sz w:val="24"/>
          <w:szCs w:val="24"/>
        </w:rPr>
        <w:t>glukuretiske</w:t>
      </w:r>
      <w:proofErr w:type="spellEnd"/>
      <w:r w:rsidRPr="00841BE0">
        <w:rPr>
          <w:sz w:val="24"/>
          <w:szCs w:val="24"/>
        </w:rPr>
        <w:t xml:space="preserve"> mekanisme, afhænger af koncentrationen af </w:t>
      </w:r>
      <w:proofErr w:type="spellStart"/>
      <w:r w:rsidRPr="00841BE0">
        <w:rPr>
          <w:sz w:val="24"/>
          <w:szCs w:val="24"/>
        </w:rPr>
        <w:t>glucose</w:t>
      </w:r>
      <w:proofErr w:type="spellEnd"/>
      <w:r w:rsidRPr="00841BE0">
        <w:rPr>
          <w:sz w:val="24"/>
          <w:szCs w:val="24"/>
        </w:rPr>
        <w:t xml:space="preserve"> i blodet og af GFR. Hos patienter med type 2-diabetes og </w:t>
      </w:r>
      <w:proofErr w:type="spellStart"/>
      <w:r w:rsidRPr="00841BE0">
        <w:rPr>
          <w:sz w:val="24"/>
          <w:szCs w:val="24"/>
        </w:rPr>
        <w:t>hyperglykæmi</w:t>
      </w:r>
      <w:proofErr w:type="spellEnd"/>
      <w:r w:rsidRPr="00841BE0">
        <w:rPr>
          <w:sz w:val="24"/>
          <w:szCs w:val="24"/>
        </w:rPr>
        <w:t xml:space="preserve"> medfører hæmning af SGLT2 en øget udskillelse af </w:t>
      </w:r>
      <w:proofErr w:type="spellStart"/>
      <w:r w:rsidRPr="00841BE0">
        <w:rPr>
          <w:sz w:val="24"/>
          <w:szCs w:val="24"/>
        </w:rPr>
        <w:t>glucose</w:t>
      </w:r>
      <w:proofErr w:type="spellEnd"/>
      <w:r w:rsidRPr="00841BE0">
        <w:rPr>
          <w:sz w:val="24"/>
          <w:szCs w:val="24"/>
        </w:rPr>
        <w:t xml:space="preserve"> i urinen. Påbegyndelse af </w:t>
      </w:r>
      <w:proofErr w:type="spellStart"/>
      <w:r w:rsidRPr="00841BE0">
        <w:rPr>
          <w:sz w:val="24"/>
          <w:szCs w:val="24"/>
        </w:rPr>
        <w:t>empagliflozin</w:t>
      </w:r>
      <w:proofErr w:type="spellEnd"/>
      <w:r w:rsidRPr="00841BE0">
        <w:rPr>
          <w:sz w:val="24"/>
          <w:szCs w:val="24"/>
        </w:rPr>
        <w:t xml:space="preserve"> øger desuden udskillelsen af natrium med deraf følgende osmotisk diurese og reduceret intravaskulært volumen.</w:t>
      </w:r>
    </w:p>
    <w:p w14:paraId="12732C4B" w14:textId="77777777" w:rsidR="00841BE0" w:rsidRPr="00841BE0" w:rsidRDefault="00841BE0" w:rsidP="0031748F">
      <w:pPr>
        <w:ind w:left="851"/>
        <w:rPr>
          <w:sz w:val="24"/>
          <w:szCs w:val="24"/>
        </w:rPr>
      </w:pPr>
    </w:p>
    <w:p w14:paraId="67770239" w14:textId="77777777" w:rsidR="00841BE0" w:rsidRPr="00841BE0" w:rsidRDefault="00841BE0" w:rsidP="0031748F">
      <w:pPr>
        <w:ind w:left="851"/>
        <w:rPr>
          <w:sz w:val="24"/>
          <w:szCs w:val="24"/>
        </w:rPr>
      </w:pPr>
      <w:r w:rsidRPr="00841BE0">
        <w:rPr>
          <w:sz w:val="24"/>
          <w:szCs w:val="24"/>
        </w:rPr>
        <w:t xml:space="preserve">Hos patienter med type 2-diabetes blev udskillelsen af </w:t>
      </w:r>
      <w:proofErr w:type="spellStart"/>
      <w:r w:rsidRPr="00841BE0">
        <w:rPr>
          <w:sz w:val="24"/>
          <w:szCs w:val="24"/>
        </w:rPr>
        <w:t>glucose</w:t>
      </w:r>
      <w:proofErr w:type="spellEnd"/>
      <w:r w:rsidRPr="00841BE0">
        <w:rPr>
          <w:sz w:val="24"/>
          <w:szCs w:val="24"/>
        </w:rPr>
        <w:t xml:space="preserve"> i urinen øget umiddelbart efter den første dosis </w:t>
      </w:r>
      <w:proofErr w:type="spellStart"/>
      <w:r w:rsidRPr="00841BE0">
        <w:rPr>
          <w:sz w:val="24"/>
          <w:szCs w:val="24"/>
        </w:rPr>
        <w:t>empagliflozin</w:t>
      </w:r>
      <w:proofErr w:type="spellEnd"/>
      <w:r w:rsidRPr="00841BE0">
        <w:rPr>
          <w:sz w:val="24"/>
          <w:szCs w:val="24"/>
        </w:rPr>
        <w:t xml:space="preserve">, og dette varede ved i doseringsintervallet på 24 timer. Der var stadig en øget udskillelse af </w:t>
      </w:r>
      <w:proofErr w:type="spellStart"/>
      <w:r w:rsidRPr="00841BE0">
        <w:rPr>
          <w:sz w:val="24"/>
          <w:szCs w:val="24"/>
        </w:rPr>
        <w:t>glucose</w:t>
      </w:r>
      <w:proofErr w:type="spellEnd"/>
      <w:r w:rsidRPr="00841BE0">
        <w:rPr>
          <w:sz w:val="24"/>
          <w:szCs w:val="24"/>
        </w:rPr>
        <w:t xml:space="preserve"> ved ophør af den 4 ugers behandlingsperiode (i gennemsnit 78 g/dag med </w:t>
      </w:r>
      <w:proofErr w:type="spellStart"/>
      <w:r w:rsidRPr="00841BE0">
        <w:rPr>
          <w:sz w:val="24"/>
          <w:szCs w:val="24"/>
        </w:rPr>
        <w:t>empagliflozin</w:t>
      </w:r>
      <w:proofErr w:type="spellEnd"/>
      <w:r w:rsidRPr="00841BE0">
        <w:rPr>
          <w:sz w:val="24"/>
          <w:szCs w:val="24"/>
        </w:rPr>
        <w:t xml:space="preserve"> 25 mg). Øget udskillelse af </w:t>
      </w:r>
      <w:proofErr w:type="spellStart"/>
      <w:r w:rsidRPr="00841BE0">
        <w:rPr>
          <w:sz w:val="24"/>
          <w:szCs w:val="24"/>
        </w:rPr>
        <w:t>glucose</w:t>
      </w:r>
      <w:proofErr w:type="spellEnd"/>
      <w:r w:rsidRPr="00841BE0">
        <w:rPr>
          <w:sz w:val="24"/>
          <w:szCs w:val="24"/>
        </w:rPr>
        <w:t xml:space="preserve"> i urinen medførte et omgående fald i </w:t>
      </w:r>
      <w:proofErr w:type="spellStart"/>
      <w:r w:rsidRPr="00841BE0">
        <w:rPr>
          <w:sz w:val="24"/>
          <w:szCs w:val="24"/>
        </w:rPr>
        <w:t>plasmaglucose</w:t>
      </w:r>
      <w:proofErr w:type="spellEnd"/>
      <w:r w:rsidRPr="00841BE0">
        <w:rPr>
          <w:sz w:val="24"/>
          <w:szCs w:val="24"/>
        </w:rPr>
        <w:t xml:space="preserve"> hos patienter med type 2-diabetes.</w:t>
      </w:r>
    </w:p>
    <w:p w14:paraId="5B9D41C3" w14:textId="77777777" w:rsidR="00841BE0" w:rsidRPr="00841BE0" w:rsidRDefault="00841BE0" w:rsidP="0031748F">
      <w:pPr>
        <w:ind w:left="851"/>
        <w:rPr>
          <w:sz w:val="24"/>
          <w:szCs w:val="24"/>
        </w:rPr>
      </w:pPr>
      <w:proofErr w:type="spellStart"/>
      <w:r w:rsidRPr="00841BE0">
        <w:rPr>
          <w:sz w:val="24"/>
          <w:szCs w:val="24"/>
        </w:rPr>
        <w:t>Empagliflozin</w:t>
      </w:r>
      <w:proofErr w:type="spellEnd"/>
      <w:r w:rsidRPr="00841BE0">
        <w:rPr>
          <w:sz w:val="24"/>
          <w:szCs w:val="24"/>
        </w:rPr>
        <w:t xml:space="preserve"> nedsætter både </w:t>
      </w:r>
      <w:proofErr w:type="spellStart"/>
      <w:r w:rsidRPr="00841BE0">
        <w:rPr>
          <w:sz w:val="24"/>
          <w:szCs w:val="24"/>
        </w:rPr>
        <w:t>fasteplasmaglucose</w:t>
      </w:r>
      <w:proofErr w:type="spellEnd"/>
      <w:r w:rsidRPr="00841BE0">
        <w:rPr>
          <w:sz w:val="24"/>
          <w:szCs w:val="24"/>
        </w:rPr>
        <w:t xml:space="preserve"> og den </w:t>
      </w:r>
      <w:proofErr w:type="spellStart"/>
      <w:r w:rsidRPr="00841BE0">
        <w:rPr>
          <w:sz w:val="24"/>
          <w:szCs w:val="24"/>
        </w:rPr>
        <w:t>postprandiale</w:t>
      </w:r>
      <w:proofErr w:type="spellEnd"/>
      <w:r w:rsidRPr="00841BE0">
        <w:rPr>
          <w:sz w:val="24"/>
          <w:szCs w:val="24"/>
        </w:rPr>
        <w:t xml:space="preserve"> </w:t>
      </w:r>
      <w:proofErr w:type="spellStart"/>
      <w:r w:rsidRPr="00841BE0">
        <w:rPr>
          <w:sz w:val="24"/>
          <w:szCs w:val="24"/>
        </w:rPr>
        <w:t>plasmaglucose</w:t>
      </w:r>
      <w:proofErr w:type="spellEnd"/>
      <w:r w:rsidRPr="00841BE0">
        <w:rPr>
          <w:sz w:val="24"/>
          <w:szCs w:val="24"/>
        </w:rPr>
        <w:t xml:space="preserve">. </w:t>
      </w:r>
      <w:proofErr w:type="spellStart"/>
      <w:r w:rsidRPr="00841BE0">
        <w:rPr>
          <w:sz w:val="24"/>
          <w:szCs w:val="24"/>
        </w:rPr>
        <w:t>Empagliflozins</w:t>
      </w:r>
      <w:proofErr w:type="spellEnd"/>
      <w:r w:rsidRPr="00841BE0">
        <w:rPr>
          <w:sz w:val="24"/>
          <w:szCs w:val="24"/>
        </w:rPr>
        <w:t xml:space="preserve"> virkningsmekanisme er uafhængig af beta-cellefunktionen og insulinsystemet, og det er medvirkende til, at risikoen for hypoglykæmi er lav. Der blev set en forbedring i surrogatmarkører for beta-cellefunktionen, herunder </w:t>
      </w:r>
      <w:proofErr w:type="spellStart"/>
      <w:r w:rsidRPr="00841BE0">
        <w:rPr>
          <w:sz w:val="24"/>
          <w:szCs w:val="24"/>
        </w:rPr>
        <w:t>Homeostasis</w:t>
      </w:r>
      <w:proofErr w:type="spellEnd"/>
      <w:r w:rsidRPr="00841BE0">
        <w:rPr>
          <w:sz w:val="24"/>
          <w:szCs w:val="24"/>
        </w:rPr>
        <w:t xml:space="preserve"> Model </w:t>
      </w:r>
      <w:proofErr w:type="spellStart"/>
      <w:r w:rsidRPr="00841BE0">
        <w:rPr>
          <w:sz w:val="24"/>
          <w:szCs w:val="24"/>
        </w:rPr>
        <w:t>Assessment</w:t>
      </w:r>
      <w:proofErr w:type="spellEnd"/>
      <w:r w:rsidRPr="00841BE0">
        <w:rPr>
          <w:sz w:val="24"/>
          <w:szCs w:val="24"/>
        </w:rPr>
        <w:t xml:space="preserve">-β (HOMA-β). Udskillelse af </w:t>
      </w:r>
      <w:proofErr w:type="spellStart"/>
      <w:r w:rsidRPr="00841BE0">
        <w:rPr>
          <w:sz w:val="24"/>
          <w:szCs w:val="24"/>
        </w:rPr>
        <w:t>glucose</w:t>
      </w:r>
      <w:proofErr w:type="spellEnd"/>
      <w:r w:rsidRPr="00841BE0">
        <w:rPr>
          <w:sz w:val="24"/>
          <w:szCs w:val="24"/>
        </w:rPr>
        <w:t xml:space="preserve"> i urinen medfører </w:t>
      </w:r>
      <w:proofErr w:type="gramStart"/>
      <w:r w:rsidRPr="00841BE0">
        <w:rPr>
          <w:sz w:val="24"/>
          <w:szCs w:val="24"/>
        </w:rPr>
        <w:t>endvidere</w:t>
      </w:r>
      <w:proofErr w:type="gramEnd"/>
      <w:r w:rsidRPr="00841BE0">
        <w:rPr>
          <w:sz w:val="24"/>
          <w:szCs w:val="24"/>
        </w:rPr>
        <w:t xml:space="preserve"> et kalorietab, der er ledsaget af tab af kropsfedt og vægttab. Den </w:t>
      </w:r>
      <w:proofErr w:type="spellStart"/>
      <w:r w:rsidRPr="00841BE0">
        <w:rPr>
          <w:sz w:val="24"/>
          <w:szCs w:val="24"/>
        </w:rPr>
        <w:t>glukosuri</w:t>
      </w:r>
      <w:proofErr w:type="spellEnd"/>
      <w:r w:rsidRPr="00841BE0">
        <w:rPr>
          <w:sz w:val="24"/>
          <w:szCs w:val="24"/>
        </w:rPr>
        <w:t xml:space="preserve">, der er observeret med </w:t>
      </w:r>
      <w:proofErr w:type="spellStart"/>
      <w:r w:rsidRPr="00841BE0">
        <w:rPr>
          <w:sz w:val="24"/>
          <w:szCs w:val="24"/>
        </w:rPr>
        <w:t>empagliflozin</w:t>
      </w:r>
      <w:proofErr w:type="spellEnd"/>
      <w:r w:rsidRPr="00841BE0">
        <w:rPr>
          <w:sz w:val="24"/>
          <w:szCs w:val="24"/>
        </w:rPr>
        <w:t xml:space="preserve">, er ledsaget af en let diurese, der kan bidrage til et vedvarende og moderat blodtryksfald. Den </w:t>
      </w:r>
      <w:proofErr w:type="spellStart"/>
      <w:r w:rsidRPr="00841BE0">
        <w:rPr>
          <w:sz w:val="24"/>
          <w:szCs w:val="24"/>
        </w:rPr>
        <w:t>glukosuri</w:t>
      </w:r>
      <w:proofErr w:type="spellEnd"/>
      <w:r w:rsidRPr="00841BE0">
        <w:rPr>
          <w:sz w:val="24"/>
          <w:szCs w:val="24"/>
        </w:rPr>
        <w:t xml:space="preserve">, </w:t>
      </w:r>
      <w:proofErr w:type="spellStart"/>
      <w:r w:rsidRPr="00841BE0">
        <w:rPr>
          <w:sz w:val="24"/>
          <w:szCs w:val="24"/>
        </w:rPr>
        <w:t>natriurese</w:t>
      </w:r>
      <w:proofErr w:type="spellEnd"/>
      <w:r w:rsidRPr="00841BE0">
        <w:rPr>
          <w:sz w:val="24"/>
          <w:szCs w:val="24"/>
        </w:rPr>
        <w:t xml:space="preserve"> og osmotiske diurese, der er observeret med </w:t>
      </w:r>
      <w:proofErr w:type="spellStart"/>
      <w:r w:rsidRPr="00841BE0">
        <w:rPr>
          <w:sz w:val="24"/>
          <w:szCs w:val="24"/>
        </w:rPr>
        <w:t>empagliflozin</w:t>
      </w:r>
      <w:proofErr w:type="spellEnd"/>
      <w:r w:rsidRPr="00841BE0">
        <w:rPr>
          <w:sz w:val="24"/>
          <w:szCs w:val="24"/>
        </w:rPr>
        <w:t>, bidrager muligvis til de forbedrede kardiovaskulære resultater.</w:t>
      </w:r>
    </w:p>
    <w:p w14:paraId="3AF0B5C0" w14:textId="77777777" w:rsidR="00841BE0" w:rsidRPr="00841BE0" w:rsidRDefault="00841BE0" w:rsidP="0031748F">
      <w:pPr>
        <w:ind w:left="851"/>
        <w:rPr>
          <w:sz w:val="24"/>
          <w:szCs w:val="24"/>
        </w:rPr>
      </w:pPr>
    </w:p>
    <w:p w14:paraId="3F794D68" w14:textId="77777777" w:rsidR="00841BE0" w:rsidRPr="00841BE0" w:rsidRDefault="00841BE0" w:rsidP="0031748F">
      <w:pPr>
        <w:ind w:left="851"/>
        <w:rPr>
          <w:i/>
          <w:iCs/>
          <w:sz w:val="24"/>
          <w:szCs w:val="24"/>
          <w:u w:val="single"/>
        </w:rPr>
      </w:pPr>
      <w:proofErr w:type="spellStart"/>
      <w:r w:rsidRPr="00841BE0">
        <w:rPr>
          <w:i/>
          <w:iCs/>
          <w:sz w:val="24"/>
          <w:szCs w:val="24"/>
          <w:u w:val="single"/>
        </w:rPr>
        <w:t>Metformin</w:t>
      </w:r>
      <w:proofErr w:type="spellEnd"/>
    </w:p>
    <w:p w14:paraId="2B9B73A3" w14:textId="77777777" w:rsidR="00841BE0" w:rsidRPr="00841BE0" w:rsidRDefault="00841BE0" w:rsidP="0031748F">
      <w:pPr>
        <w:ind w:left="851"/>
        <w:rPr>
          <w:sz w:val="24"/>
          <w:szCs w:val="24"/>
        </w:rPr>
      </w:pPr>
    </w:p>
    <w:p w14:paraId="05AFFA6D" w14:textId="77777777" w:rsidR="00841BE0" w:rsidRPr="00841BE0" w:rsidRDefault="00841BE0" w:rsidP="0031748F">
      <w:pPr>
        <w:ind w:left="851"/>
        <w:rPr>
          <w:sz w:val="24"/>
          <w:szCs w:val="24"/>
        </w:rPr>
      </w:pPr>
      <w:proofErr w:type="spellStart"/>
      <w:r w:rsidRPr="00841BE0">
        <w:rPr>
          <w:sz w:val="24"/>
          <w:szCs w:val="24"/>
        </w:rPr>
        <w:t>Metformin</w:t>
      </w:r>
      <w:proofErr w:type="spellEnd"/>
      <w:r w:rsidRPr="00841BE0">
        <w:rPr>
          <w:sz w:val="24"/>
          <w:szCs w:val="24"/>
        </w:rPr>
        <w:t xml:space="preserve"> er et </w:t>
      </w:r>
      <w:proofErr w:type="spellStart"/>
      <w:r w:rsidRPr="00841BE0">
        <w:rPr>
          <w:sz w:val="24"/>
          <w:szCs w:val="24"/>
        </w:rPr>
        <w:t>biguanid</w:t>
      </w:r>
      <w:proofErr w:type="spellEnd"/>
      <w:r w:rsidRPr="00841BE0">
        <w:rPr>
          <w:sz w:val="24"/>
          <w:szCs w:val="24"/>
        </w:rPr>
        <w:t xml:space="preserve"> med </w:t>
      </w:r>
      <w:proofErr w:type="spellStart"/>
      <w:r w:rsidRPr="00841BE0">
        <w:rPr>
          <w:sz w:val="24"/>
          <w:szCs w:val="24"/>
        </w:rPr>
        <w:t>antihyperglykæmiske</w:t>
      </w:r>
      <w:proofErr w:type="spellEnd"/>
      <w:r w:rsidRPr="00841BE0">
        <w:rPr>
          <w:sz w:val="24"/>
          <w:szCs w:val="24"/>
        </w:rPr>
        <w:t xml:space="preserve"> virkninger, som nedsætter både basal og </w:t>
      </w:r>
      <w:proofErr w:type="spellStart"/>
      <w:r w:rsidRPr="00841BE0">
        <w:rPr>
          <w:sz w:val="24"/>
          <w:szCs w:val="24"/>
        </w:rPr>
        <w:t>postprandial</w:t>
      </w:r>
      <w:proofErr w:type="spellEnd"/>
      <w:r w:rsidRPr="00841BE0">
        <w:rPr>
          <w:sz w:val="24"/>
          <w:szCs w:val="24"/>
        </w:rPr>
        <w:t xml:space="preserve"> </w:t>
      </w:r>
      <w:proofErr w:type="spellStart"/>
      <w:r w:rsidRPr="00841BE0">
        <w:rPr>
          <w:sz w:val="24"/>
          <w:szCs w:val="24"/>
        </w:rPr>
        <w:t>plasmaglucose</w:t>
      </w:r>
      <w:proofErr w:type="spellEnd"/>
      <w:r w:rsidRPr="00841BE0">
        <w:rPr>
          <w:sz w:val="24"/>
          <w:szCs w:val="24"/>
        </w:rPr>
        <w:t>. Det stimulerer ikke insulinsekretionen og medfører derfor ikke hypoglykæmi.</w:t>
      </w:r>
    </w:p>
    <w:p w14:paraId="4B26E2A4" w14:textId="77777777" w:rsidR="00841BE0" w:rsidRPr="00841BE0" w:rsidRDefault="00841BE0" w:rsidP="0031748F">
      <w:pPr>
        <w:ind w:left="851"/>
        <w:rPr>
          <w:sz w:val="24"/>
          <w:szCs w:val="24"/>
        </w:rPr>
      </w:pPr>
      <w:proofErr w:type="spellStart"/>
      <w:r w:rsidRPr="00841BE0">
        <w:rPr>
          <w:sz w:val="24"/>
          <w:szCs w:val="24"/>
        </w:rPr>
        <w:t>Metformin</w:t>
      </w:r>
      <w:proofErr w:type="spellEnd"/>
      <w:r w:rsidRPr="00841BE0">
        <w:rPr>
          <w:sz w:val="24"/>
          <w:szCs w:val="24"/>
        </w:rPr>
        <w:t xml:space="preserve"> kan virke via 3 mekanismer:</w:t>
      </w:r>
    </w:p>
    <w:p w14:paraId="2DD18C84" w14:textId="77777777" w:rsidR="00841BE0" w:rsidRPr="00841BE0" w:rsidRDefault="00841BE0" w:rsidP="0057441C">
      <w:pPr>
        <w:numPr>
          <w:ilvl w:val="0"/>
          <w:numId w:val="6"/>
        </w:numPr>
        <w:ind w:left="1276" w:hanging="425"/>
        <w:rPr>
          <w:sz w:val="24"/>
          <w:szCs w:val="24"/>
        </w:rPr>
      </w:pPr>
      <w:r w:rsidRPr="00841BE0">
        <w:rPr>
          <w:sz w:val="24"/>
          <w:szCs w:val="24"/>
        </w:rPr>
        <w:t xml:space="preserve">nedsat </w:t>
      </w:r>
      <w:proofErr w:type="spellStart"/>
      <w:r w:rsidRPr="00841BE0">
        <w:rPr>
          <w:sz w:val="24"/>
          <w:szCs w:val="24"/>
        </w:rPr>
        <w:t>glucoseproduktion</w:t>
      </w:r>
      <w:proofErr w:type="spellEnd"/>
      <w:r w:rsidRPr="00841BE0">
        <w:rPr>
          <w:sz w:val="24"/>
          <w:szCs w:val="24"/>
        </w:rPr>
        <w:t xml:space="preserve"> i leveren ved at hæmme </w:t>
      </w:r>
      <w:proofErr w:type="spellStart"/>
      <w:r w:rsidRPr="00841BE0">
        <w:rPr>
          <w:sz w:val="24"/>
          <w:szCs w:val="24"/>
        </w:rPr>
        <w:t>glukoneogenese</w:t>
      </w:r>
      <w:proofErr w:type="spellEnd"/>
      <w:r w:rsidRPr="00841BE0">
        <w:rPr>
          <w:sz w:val="24"/>
          <w:szCs w:val="24"/>
        </w:rPr>
        <w:t xml:space="preserve"> og </w:t>
      </w:r>
      <w:proofErr w:type="spellStart"/>
      <w:r w:rsidRPr="00841BE0">
        <w:rPr>
          <w:sz w:val="24"/>
          <w:szCs w:val="24"/>
        </w:rPr>
        <w:t>glykogenolyse</w:t>
      </w:r>
      <w:proofErr w:type="spellEnd"/>
    </w:p>
    <w:p w14:paraId="5B085CBF" w14:textId="77777777" w:rsidR="00841BE0" w:rsidRPr="00841BE0" w:rsidRDefault="00841BE0" w:rsidP="0057441C">
      <w:pPr>
        <w:numPr>
          <w:ilvl w:val="0"/>
          <w:numId w:val="6"/>
        </w:numPr>
        <w:ind w:left="1276" w:hanging="425"/>
        <w:rPr>
          <w:sz w:val="24"/>
          <w:szCs w:val="24"/>
        </w:rPr>
      </w:pPr>
      <w:r w:rsidRPr="00841BE0">
        <w:rPr>
          <w:sz w:val="24"/>
          <w:szCs w:val="24"/>
        </w:rPr>
        <w:t xml:space="preserve">forøgelse af insulinfølsomheden i musklerne og derved forbedring af den perifere optagelse og udnyttelse af </w:t>
      </w:r>
      <w:proofErr w:type="spellStart"/>
      <w:r w:rsidRPr="00841BE0">
        <w:rPr>
          <w:sz w:val="24"/>
          <w:szCs w:val="24"/>
        </w:rPr>
        <w:t>glucose</w:t>
      </w:r>
      <w:proofErr w:type="spellEnd"/>
    </w:p>
    <w:p w14:paraId="6ADAFF73" w14:textId="77777777" w:rsidR="00841BE0" w:rsidRPr="00841BE0" w:rsidRDefault="00841BE0" w:rsidP="0057441C">
      <w:pPr>
        <w:numPr>
          <w:ilvl w:val="0"/>
          <w:numId w:val="6"/>
        </w:numPr>
        <w:ind w:left="1276" w:hanging="425"/>
        <w:rPr>
          <w:sz w:val="24"/>
          <w:szCs w:val="24"/>
        </w:rPr>
      </w:pPr>
      <w:r w:rsidRPr="00841BE0">
        <w:rPr>
          <w:sz w:val="24"/>
          <w:szCs w:val="24"/>
        </w:rPr>
        <w:t xml:space="preserve">forsinkelse af den </w:t>
      </w:r>
      <w:proofErr w:type="spellStart"/>
      <w:r w:rsidRPr="00841BE0">
        <w:rPr>
          <w:sz w:val="24"/>
          <w:szCs w:val="24"/>
        </w:rPr>
        <w:t>intestinale</w:t>
      </w:r>
      <w:proofErr w:type="spellEnd"/>
      <w:r w:rsidRPr="00841BE0">
        <w:rPr>
          <w:sz w:val="24"/>
          <w:szCs w:val="24"/>
        </w:rPr>
        <w:t xml:space="preserve"> absorption af </w:t>
      </w:r>
      <w:proofErr w:type="spellStart"/>
      <w:r w:rsidRPr="00841BE0">
        <w:rPr>
          <w:sz w:val="24"/>
          <w:szCs w:val="24"/>
        </w:rPr>
        <w:t>glucose</w:t>
      </w:r>
      <w:proofErr w:type="spellEnd"/>
      <w:r w:rsidRPr="00841BE0">
        <w:rPr>
          <w:sz w:val="24"/>
          <w:szCs w:val="24"/>
        </w:rPr>
        <w:t>.</w:t>
      </w:r>
    </w:p>
    <w:p w14:paraId="6E86C67A" w14:textId="77777777" w:rsidR="00841BE0" w:rsidRPr="00841BE0" w:rsidRDefault="00841BE0" w:rsidP="0031748F">
      <w:pPr>
        <w:ind w:left="851"/>
        <w:rPr>
          <w:sz w:val="24"/>
          <w:szCs w:val="24"/>
        </w:rPr>
      </w:pPr>
      <w:r w:rsidRPr="00841BE0">
        <w:rPr>
          <w:sz w:val="24"/>
          <w:szCs w:val="24"/>
          <w:lang w:val="nb-NO"/>
        </w:rPr>
        <w:t xml:space="preserve">Metformin stimulerer intracellulær glykogensyntese ved at påvirke glykogensyntase. </w:t>
      </w:r>
      <w:proofErr w:type="spellStart"/>
      <w:r w:rsidRPr="00841BE0">
        <w:rPr>
          <w:sz w:val="24"/>
          <w:szCs w:val="24"/>
        </w:rPr>
        <w:t>Metformin</w:t>
      </w:r>
      <w:proofErr w:type="spellEnd"/>
      <w:r w:rsidRPr="00841BE0">
        <w:rPr>
          <w:sz w:val="24"/>
          <w:szCs w:val="24"/>
        </w:rPr>
        <w:t xml:space="preserve"> øger transportkapaciteten af alle hidtil kendte typer </w:t>
      </w:r>
      <w:proofErr w:type="spellStart"/>
      <w:r w:rsidRPr="00841BE0">
        <w:rPr>
          <w:sz w:val="24"/>
          <w:szCs w:val="24"/>
        </w:rPr>
        <w:t>membranglucosetransportører</w:t>
      </w:r>
      <w:proofErr w:type="spellEnd"/>
      <w:r w:rsidRPr="00841BE0">
        <w:rPr>
          <w:sz w:val="24"/>
          <w:szCs w:val="24"/>
        </w:rPr>
        <w:t xml:space="preserve"> (GLUT).</w:t>
      </w:r>
    </w:p>
    <w:p w14:paraId="43791F25" w14:textId="77777777" w:rsidR="00841BE0" w:rsidRPr="00841BE0" w:rsidRDefault="00841BE0" w:rsidP="0031748F">
      <w:pPr>
        <w:ind w:left="851"/>
        <w:rPr>
          <w:sz w:val="24"/>
          <w:szCs w:val="24"/>
        </w:rPr>
      </w:pPr>
    </w:p>
    <w:p w14:paraId="18ACACC7" w14:textId="77777777" w:rsidR="00841BE0" w:rsidRPr="00841BE0" w:rsidRDefault="00841BE0" w:rsidP="0031748F">
      <w:pPr>
        <w:ind w:left="851"/>
        <w:rPr>
          <w:sz w:val="24"/>
          <w:szCs w:val="24"/>
        </w:rPr>
      </w:pPr>
      <w:r w:rsidRPr="00841BE0">
        <w:rPr>
          <w:sz w:val="24"/>
          <w:szCs w:val="24"/>
        </w:rPr>
        <w:t xml:space="preserve">Hos mennesker har </w:t>
      </w:r>
      <w:proofErr w:type="spellStart"/>
      <w:r w:rsidRPr="00841BE0">
        <w:rPr>
          <w:sz w:val="24"/>
          <w:szCs w:val="24"/>
        </w:rPr>
        <w:t>metformin</w:t>
      </w:r>
      <w:proofErr w:type="spellEnd"/>
      <w:r w:rsidRPr="00841BE0">
        <w:rPr>
          <w:sz w:val="24"/>
          <w:szCs w:val="24"/>
        </w:rPr>
        <w:t xml:space="preserve"> en gunstig virkning på lipidmetabolismen, uafhængigt af dets virkning på </w:t>
      </w:r>
      <w:proofErr w:type="spellStart"/>
      <w:r w:rsidRPr="00841BE0">
        <w:rPr>
          <w:sz w:val="24"/>
          <w:szCs w:val="24"/>
        </w:rPr>
        <w:t>glykæmi</w:t>
      </w:r>
      <w:proofErr w:type="spellEnd"/>
      <w:r w:rsidRPr="00841BE0">
        <w:rPr>
          <w:sz w:val="24"/>
          <w:szCs w:val="24"/>
        </w:rPr>
        <w:t xml:space="preserve">. Dette er påvist ved terapeutiske doser i kontrollerede mellemlange eller langvarige kliniske studier: </w:t>
      </w:r>
      <w:proofErr w:type="spellStart"/>
      <w:r w:rsidRPr="00841BE0">
        <w:rPr>
          <w:sz w:val="24"/>
          <w:szCs w:val="24"/>
        </w:rPr>
        <w:t>metformin</w:t>
      </w:r>
      <w:proofErr w:type="spellEnd"/>
      <w:r w:rsidRPr="00841BE0">
        <w:rPr>
          <w:sz w:val="24"/>
          <w:szCs w:val="24"/>
        </w:rPr>
        <w:t xml:space="preserve"> nedsætter niveauerne for totalkolesterol, LDL-kolesterol og triglycerider.</w:t>
      </w:r>
    </w:p>
    <w:p w14:paraId="336D1C12" w14:textId="77777777" w:rsidR="00841BE0" w:rsidRPr="00841BE0" w:rsidRDefault="00841BE0" w:rsidP="0031748F">
      <w:pPr>
        <w:ind w:left="851"/>
        <w:rPr>
          <w:sz w:val="24"/>
          <w:szCs w:val="24"/>
        </w:rPr>
      </w:pPr>
    </w:p>
    <w:p w14:paraId="7BDAA6D7" w14:textId="77777777" w:rsidR="00841BE0" w:rsidRPr="00841BE0" w:rsidRDefault="00841BE0" w:rsidP="0031748F">
      <w:pPr>
        <w:ind w:left="851"/>
        <w:rPr>
          <w:sz w:val="24"/>
          <w:szCs w:val="24"/>
          <w:u w:val="single"/>
        </w:rPr>
      </w:pPr>
      <w:r w:rsidRPr="00841BE0">
        <w:rPr>
          <w:sz w:val="24"/>
          <w:szCs w:val="24"/>
          <w:u w:val="single"/>
        </w:rPr>
        <w:t>Klinisk virkning og sikkerhed</w:t>
      </w:r>
    </w:p>
    <w:p w14:paraId="0E3F912D" w14:textId="77777777" w:rsidR="00841BE0" w:rsidRPr="00841BE0" w:rsidRDefault="00841BE0" w:rsidP="0031748F">
      <w:pPr>
        <w:ind w:left="851"/>
        <w:rPr>
          <w:sz w:val="24"/>
          <w:szCs w:val="24"/>
        </w:rPr>
      </w:pPr>
    </w:p>
    <w:p w14:paraId="37B1239F" w14:textId="77777777" w:rsidR="00841BE0" w:rsidRPr="00841BE0" w:rsidRDefault="00841BE0" w:rsidP="0031748F">
      <w:pPr>
        <w:ind w:left="851"/>
        <w:rPr>
          <w:sz w:val="24"/>
          <w:szCs w:val="24"/>
        </w:rPr>
      </w:pPr>
      <w:r w:rsidRPr="00841BE0">
        <w:rPr>
          <w:sz w:val="24"/>
          <w:szCs w:val="24"/>
        </w:rPr>
        <w:t>Både forbedring af glykæmisk kontrol og reduktion af kardiovaskulær morbiditet og mortalitet er integrerede dele af behandlingen for type 2-diabetes.</w:t>
      </w:r>
    </w:p>
    <w:p w14:paraId="21B04E0D" w14:textId="77777777" w:rsidR="00841BE0" w:rsidRPr="00841BE0" w:rsidRDefault="00841BE0" w:rsidP="0031748F">
      <w:pPr>
        <w:ind w:left="851"/>
        <w:rPr>
          <w:sz w:val="24"/>
          <w:szCs w:val="24"/>
        </w:rPr>
      </w:pPr>
    </w:p>
    <w:p w14:paraId="03AF008C" w14:textId="77777777" w:rsidR="00841BE0" w:rsidRPr="00841BE0" w:rsidRDefault="00841BE0" w:rsidP="0031748F">
      <w:pPr>
        <w:ind w:left="851"/>
        <w:rPr>
          <w:sz w:val="24"/>
          <w:szCs w:val="24"/>
        </w:rPr>
      </w:pPr>
      <w:r w:rsidRPr="00841BE0">
        <w:rPr>
          <w:sz w:val="24"/>
          <w:szCs w:val="24"/>
        </w:rPr>
        <w:t xml:space="preserve">Glykæmisk virkning og kardiovaskulære resultater er blevet vurderet hos i alt 10.366 patienter med type 2-diabetes, som blev behandlet i 9 dobbeltblinde, placebokontrollerede eller aktivt kontrollerede kliniske studier af mindst 24 ugers varighed. Heraf fik 2.950 patienter </w:t>
      </w:r>
      <w:proofErr w:type="spellStart"/>
      <w:r w:rsidRPr="00841BE0">
        <w:rPr>
          <w:sz w:val="24"/>
          <w:szCs w:val="24"/>
        </w:rPr>
        <w:t>empagliflozin</w:t>
      </w:r>
      <w:proofErr w:type="spellEnd"/>
      <w:r w:rsidRPr="00841BE0">
        <w:rPr>
          <w:sz w:val="24"/>
          <w:szCs w:val="24"/>
        </w:rPr>
        <w:t xml:space="preserve"> 10 mg, og 3.701 fik </w:t>
      </w:r>
      <w:proofErr w:type="spellStart"/>
      <w:r w:rsidRPr="00841BE0">
        <w:rPr>
          <w:sz w:val="24"/>
          <w:szCs w:val="24"/>
        </w:rPr>
        <w:t>empagliflozin</w:t>
      </w:r>
      <w:proofErr w:type="spellEnd"/>
      <w:r w:rsidRPr="00841BE0">
        <w:rPr>
          <w:sz w:val="24"/>
          <w:szCs w:val="24"/>
        </w:rPr>
        <w:t xml:space="preserve"> 25 mg som supplement til </w:t>
      </w:r>
      <w:proofErr w:type="spellStart"/>
      <w:r w:rsidRPr="00841BE0">
        <w:rPr>
          <w:sz w:val="24"/>
          <w:szCs w:val="24"/>
        </w:rPr>
        <w:t>metformin</w:t>
      </w:r>
      <w:proofErr w:type="spellEnd"/>
      <w:r w:rsidRPr="00841BE0">
        <w:rPr>
          <w:sz w:val="24"/>
          <w:szCs w:val="24"/>
        </w:rPr>
        <w:t xml:space="preserve">. Af disse blev henholdsvis 266 og 264 patienter behandlet med </w:t>
      </w:r>
      <w:proofErr w:type="spellStart"/>
      <w:r w:rsidRPr="00841BE0">
        <w:rPr>
          <w:sz w:val="24"/>
          <w:szCs w:val="24"/>
        </w:rPr>
        <w:t>empagliflozin</w:t>
      </w:r>
      <w:proofErr w:type="spellEnd"/>
      <w:r w:rsidRPr="00841BE0">
        <w:rPr>
          <w:sz w:val="24"/>
          <w:szCs w:val="24"/>
        </w:rPr>
        <w:t xml:space="preserve"> 10 mg eller 25 mg som supplement til henholdsvis </w:t>
      </w:r>
      <w:proofErr w:type="spellStart"/>
      <w:r w:rsidRPr="00841BE0">
        <w:rPr>
          <w:sz w:val="24"/>
          <w:szCs w:val="24"/>
        </w:rPr>
        <w:t>metformin</w:t>
      </w:r>
      <w:proofErr w:type="spellEnd"/>
      <w:r w:rsidRPr="00841BE0">
        <w:rPr>
          <w:sz w:val="24"/>
          <w:szCs w:val="24"/>
        </w:rPr>
        <w:t xml:space="preserve"> plus insulin.</w:t>
      </w:r>
    </w:p>
    <w:p w14:paraId="6BB4BAB2" w14:textId="77777777" w:rsidR="00841BE0" w:rsidRPr="00841BE0" w:rsidRDefault="00841BE0" w:rsidP="0031748F">
      <w:pPr>
        <w:ind w:left="851"/>
        <w:rPr>
          <w:sz w:val="24"/>
          <w:szCs w:val="24"/>
        </w:rPr>
      </w:pPr>
      <w:r w:rsidRPr="00841BE0">
        <w:rPr>
          <w:sz w:val="24"/>
          <w:szCs w:val="24"/>
        </w:rPr>
        <w:t xml:space="preserve">Behandling med </w:t>
      </w:r>
      <w:proofErr w:type="spellStart"/>
      <w:r w:rsidRPr="00841BE0">
        <w:rPr>
          <w:sz w:val="24"/>
          <w:szCs w:val="24"/>
        </w:rPr>
        <w:t>empagliflozin</w:t>
      </w:r>
      <w:proofErr w:type="spellEnd"/>
      <w:r w:rsidRPr="00841BE0">
        <w:rPr>
          <w:sz w:val="24"/>
          <w:szCs w:val="24"/>
        </w:rPr>
        <w:t xml:space="preserve"> i kombination med </w:t>
      </w:r>
      <w:proofErr w:type="spellStart"/>
      <w:r w:rsidRPr="00841BE0">
        <w:rPr>
          <w:sz w:val="24"/>
          <w:szCs w:val="24"/>
        </w:rPr>
        <w:t>metformin</w:t>
      </w:r>
      <w:proofErr w:type="spellEnd"/>
      <w:r w:rsidRPr="00841BE0">
        <w:rPr>
          <w:sz w:val="24"/>
          <w:szCs w:val="24"/>
        </w:rPr>
        <w:t xml:space="preserve"> med eller uden andre </w:t>
      </w:r>
      <w:proofErr w:type="spellStart"/>
      <w:r w:rsidRPr="00841BE0">
        <w:rPr>
          <w:sz w:val="24"/>
          <w:szCs w:val="24"/>
        </w:rPr>
        <w:t>antidiabetika</w:t>
      </w:r>
      <w:proofErr w:type="spellEnd"/>
      <w:r w:rsidRPr="00841BE0">
        <w:rPr>
          <w:sz w:val="24"/>
          <w:szCs w:val="24"/>
        </w:rPr>
        <w:t xml:space="preserve"> (</w:t>
      </w:r>
      <w:proofErr w:type="spellStart"/>
      <w:r w:rsidRPr="00841BE0">
        <w:rPr>
          <w:sz w:val="24"/>
          <w:szCs w:val="24"/>
        </w:rPr>
        <w:t>pioglitazon</w:t>
      </w:r>
      <w:proofErr w:type="spellEnd"/>
      <w:r w:rsidRPr="00841BE0">
        <w:rPr>
          <w:sz w:val="24"/>
          <w:szCs w:val="24"/>
        </w:rPr>
        <w:t xml:space="preserve">, </w:t>
      </w:r>
      <w:proofErr w:type="spellStart"/>
      <w:r w:rsidRPr="00841BE0">
        <w:rPr>
          <w:sz w:val="24"/>
          <w:szCs w:val="24"/>
        </w:rPr>
        <w:t>sulfonylurinstof</w:t>
      </w:r>
      <w:proofErr w:type="spellEnd"/>
      <w:r w:rsidRPr="00841BE0">
        <w:rPr>
          <w:sz w:val="24"/>
          <w:szCs w:val="24"/>
        </w:rPr>
        <w:t xml:space="preserve">, DPP-4-hæmmere og insulin) medførte klinisk betydende fald i HbA1c, </w:t>
      </w:r>
      <w:proofErr w:type="spellStart"/>
      <w:r w:rsidRPr="00841BE0">
        <w:rPr>
          <w:sz w:val="24"/>
          <w:szCs w:val="24"/>
        </w:rPr>
        <w:t>fasteplasmaglucose</w:t>
      </w:r>
      <w:proofErr w:type="spellEnd"/>
      <w:r w:rsidRPr="00841BE0">
        <w:rPr>
          <w:sz w:val="24"/>
          <w:szCs w:val="24"/>
        </w:rPr>
        <w:t xml:space="preserve"> (FPG), legemsvægt og systolisk og diastolisk blodtryk. Administration af </w:t>
      </w:r>
      <w:proofErr w:type="spellStart"/>
      <w:r w:rsidRPr="00841BE0">
        <w:rPr>
          <w:sz w:val="24"/>
          <w:szCs w:val="24"/>
        </w:rPr>
        <w:t>empagliflozin</w:t>
      </w:r>
      <w:proofErr w:type="spellEnd"/>
      <w:r w:rsidRPr="00841BE0">
        <w:rPr>
          <w:sz w:val="24"/>
          <w:szCs w:val="24"/>
        </w:rPr>
        <w:t xml:space="preserve"> 25 mg medførte, at en højere andel af patienterne opnåede en HbA1c-målværdi på under 7 %, og at færre patienter havde brug for </w:t>
      </w:r>
      <w:proofErr w:type="spellStart"/>
      <w:r w:rsidRPr="00841BE0">
        <w:rPr>
          <w:sz w:val="24"/>
          <w:szCs w:val="24"/>
        </w:rPr>
        <w:t>blodglucoseregulerende</w:t>
      </w:r>
      <w:proofErr w:type="spellEnd"/>
      <w:r w:rsidRPr="00841BE0">
        <w:rPr>
          <w:sz w:val="24"/>
          <w:szCs w:val="24"/>
        </w:rPr>
        <w:t xml:space="preserve"> behovsbehandling sammenlignet med </w:t>
      </w:r>
      <w:proofErr w:type="spellStart"/>
      <w:r w:rsidRPr="00841BE0">
        <w:rPr>
          <w:sz w:val="24"/>
          <w:szCs w:val="24"/>
        </w:rPr>
        <w:t>empagliflozin</w:t>
      </w:r>
      <w:proofErr w:type="spellEnd"/>
      <w:r w:rsidRPr="00841BE0">
        <w:rPr>
          <w:sz w:val="24"/>
          <w:szCs w:val="24"/>
        </w:rPr>
        <w:t xml:space="preserve"> 10 mg og placebo. Hos patienter på 75 år og derover blev der set numerisk mindre fald i HbA1c ved behandling med </w:t>
      </w:r>
      <w:proofErr w:type="spellStart"/>
      <w:r w:rsidRPr="00841BE0">
        <w:rPr>
          <w:sz w:val="24"/>
          <w:szCs w:val="24"/>
        </w:rPr>
        <w:t>empagliflozin</w:t>
      </w:r>
      <w:proofErr w:type="spellEnd"/>
      <w:r w:rsidRPr="00841BE0">
        <w:rPr>
          <w:sz w:val="24"/>
          <w:szCs w:val="24"/>
        </w:rPr>
        <w:t xml:space="preserve">. Højere </w:t>
      </w:r>
      <w:r w:rsidRPr="00841BE0">
        <w:rPr>
          <w:i/>
          <w:iCs/>
          <w:sz w:val="24"/>
          <w:szCs w:val="24"/>
        </w:rPr>
        <w:t>baseline</w:t>
      </w:r>
      <w:r w:rsidRPr="00841BE0">
        <w:rPr>
          <w:sz w:val="24"/>
          <w:szCs w:val="24"/>
        </w:rPr>
        <w:t xml:space="preserve">-HbA1c var forbundet med et større fald i HbA1c. </w:t>
      </w:r>
      <w:proofErr w:type="spellStart"/>
      <w:r w:rsidRPr="00841BE0">
        <w:rPr>
          <w:sz w:val="24"/>
          <w:szCs w:val="24"/>
        </w:rPr>
        <w:t>Empagliflozin</w:t>
      </w:r>
      <w:proofErr w:type="spellEnd"/>
      <w:r w:rsidRPr="00841BE0">
        <w:rPr>
          <w:sz w:val="24"/>
          <w:szCs w:val="24"/>
        </w:rPr>
        <w:t xml:space="preserve"> som supplement til standardterapi reducerer desuden kardiovaskulær mortalitet hos patienter med type 2-diabetes og kendt kardiovaskulær sygdom.</w:t>
      </w:r>
    </w:p>
    <w:p w14:paraId="0F6B3594" w14:textId="77777777" w:rsidR="00841BE0" w:rsidRPr="00841BE0" w:rsidRDefault="00841BE0" w:rsidP="0031748F">
      <w:pPr>
        <w:ind w:left="851"/>
        <w:rPr>
          <w:sz w:val="24"/>
          <w:szCs w:val="24"/>
        </w:rPr>
      </w:pPr>
    </w:p>
    <w:p w14:paraId="1EF32C6F" w14:textId="77777777" w:rsidR="00841BE0" w:rsidRPr="00841BE0" w:rsidRDefault="00841BE0" w:rsidP="0031748F">
      <w:pPr>
        <w:ind w:left="851"/>
        <w:rPr>
          <w:i/>
          <w:iCs/>
          <w:sz w:val="24"/>
          <w:szCs w:val="24"/>
          <w:u w:val="single"/>
        </w:rPr>
      </w:pPr>
      <w:proofErr w:type="spellStart"/>
      <w:r w:rsidRPr="00841BE0">
        <w:rPr>
          <w:i/>
          <w:iCs/>
          <w:sz w:val="24"/>
          <w:szCs w:val="24"/>
          <w:u w:val="single"/>
        </w:rPr>
        <w:t>Empagliflozin</w:t>
      </w:r>
      <w:proofErr w:type="spellEnd"/>
      <w:r w:rsidRPr="00841BE0">
        <w:rPr>
          <w:i/>
          <w:iCs/>
          <w:sz w:val="24"/>
          <w:szCs w:val="24"/>
          <w:u w:val="single"/>
        </w:rPr>
        <w:t xml:space="preserve"> som supplement til </w:t>
      </w:r>
      <w:proofErr w:type="spellStart"/>
      <w:r w:rsidRPr="00841BE0">
        <w:rPr>
          <w:i/>
          <w:iCs/>
          <w:sz w:val="24"/>
          <w:szCs w:val="24"/>
          <w:u w:val="single"/>
        </w:rPr>
        <w:t>metformin</w:t>
      </w:r>
      <w:proofErr w:type="spellEnd"/>
      <w:r w:rsidRPr="00841BE0">
        <w:rPr>
          <w:i/>
          <w:iCs/>
          <w:sz w:val="24"/>
          <w:szCs w:val="24"/>
          <w:u w:val="single"/>
        </w:rPr>
        <w:t xml:space="preserve">, </w:t>
      </w:r>
      <w:proofErr w:type="spellStart"/>
      <w:r w:rsidRPr="00841BE0">
        <w:rPr>
          <w:i/>
          <w:iCs/>
          <w:sz w:val="24"/>
          <w:szCs w:val="24"/>
          <w:u w:val="single"/>
        </w:rPr>
        <w:t>sulfonylurinstof</w:t>
      </w:r>
      <w:proofErr w:type="spellEnd"/>
      <w:r w:rsidRPr="00841BE0">
        <w:rPr>
          <w:i/>
          <w:iCs/>
          <w:sz w:val="24"/>
          <w:szCs w:val="24"/>
          <w:u w:val="single"/>
        </w:rPr>
        <w:t xml:space="preserve">, </w:t>
      </w:r>
      <w:proofErr w:type="spellStart"/>
      <w:r w:rsidRPr="00841BE0">
        <w:rPr>
          <w:i/>
          <w:iCs/>
          <w:sz w:val="24"/>
          <w:szCs w:val="24"/>
          <w:u w:val="single"/>
        </w:rPr>
        <w:t>pioglitazon</w:t>
      </w:r>
      <w:proofErr w:type="spellEnd"/>
    </w:p>
    <w:p w14:paraId="71FC649B" w14:textId="77777777" w:rsidR="00841BE0" w:rsidRPr="00841BE0" w:rsidRDefault="00841BE0" w:rsidP="0031748F">
      <w:pPr>
        <w:ind w:left="851"/>
        <w:rPr>
          <w:sz w:val="24"/>
          <w:szCs w:val="24"/>
        </w:rPr>
      </w:pPr>
    </w:p>
    <w:p w14:paraId="7AAC76AE" w14:textId="77777777" w:rsidR="00841BE0" w:rsidRPr="00841BE0" w:rsidRDefault="00841BE0" w:rsidP="0031748F">
      <w:pPr>
        <w:ind w:left="851"/>
        <w:rPr>
          <w:sz w:val="24"/>
          <w:szCs w:val="24"/>
        </w:rPr>
      </w:pPr>
      <w:r w:rsidRPr="00841BE0">
        <w:rPr>
          <w:sz w:val="24"/>
          <w:szCs w:val="24"/>
        </w:rPr>
        <w:t xml:space="preserve">Der blev set statistisk signifikante (p &lt; 0,0001) fald i HbA1c og legemsvægt sammenlignet med placebo (tabel 3), når </w:t>
      </w:r>
      <w:proofErr w:type="spellStart"/>
      <w:r w:rsidRPr="00841BE0">
        <w:rPr>
          <w:sz w:val="24"/>
          <w:szCs w:val="24"/>
        </w:rPr>
        <w:t>empagliflozin</w:t>
      </w:r>
      <w:proofErr w:type="spellEnd"/>
      <w:r w:rsidRPr="00841BE0">
        <w:rPr>
          <w:sz w:val="24"/>
          <w:szCs w:val="24"/>
        </w:rPr>
        <w:t xml:space="preserve"> blev givet som supplement til </w:t>
      </w:r>
      <w:proofErr w:type="spellStart"/>
      <w:r w:rsidRPr="00841BE0">
        <w:rPr>
          <w:sz w:val="24"/>
          <w:szCs w:val="24"/>
        </w:rPr>
        <w:t>metformin</w:t>
      </w:r>
      <w:proofErr w:type="spellEnd"/>
      <w:r w:rsidRPr="00841BE0">
        <w:rPr>
          <w:sz w:val="24"/>
          <w:szCs w:val="24"/>
        </w:rPr>
        <w:t xml:space="preserve">, </w:t>
      </w:r>
      <w:proofErr w:type="spellStart"/>
      <w:r w:rsidRPr="00841BE0">
        <w:rPr>
          <w:sz w:val="24"/>
          <w:szCs w:val="24"/>
        </w:rPr>
        <w:t>metformin</w:t>
      </w:r>
      <w:proofErr w:type="spellEnd"/>
      <w:r w:rsidRPr="00841BE0">
        <w:rPr>
          <w:sz w:val="24"/>
          <w:szCs w:val="24"/>
        </w:rPr>
        <w:t xml:space="preserve"> plus et </w:t>
      </w:r>
      <w:proofErr w:type="spellStart"/>
      <w:r w:rsidRPr="00841BE0">
        <w:rPr>
          <w:sz w:val="24"/>
          <w:szCs w:val="24"/>
        </w:rPr>
        <w:t>sulfonylurinstof</w:t>
      </w:r>
      <w:proofErr w:type="spellEnd"/>
      <w:r w:rsidRPr="00841BE0">
        <w:rPr>
          <w:sz w:val="24"/>
          <w:szCs w:val="24"/>
        </w:rPr>
        <w:t xml:space="preserve">, eller </w:t>
      </w:r>
      <w:proofErr w:type="spellStart"/>
      <w:r w:rsidRPr="00841BE0">
        <w:rPr>
          <w:sz w:val="24"/>
          <w:szCs w:val="24"/>
        </w:rPr>
        <w:t>pioglitazon</w:t>
      </w:r>
      <w:proofErr w:type="spellEnd"/>
      <w:r w:rsidRPr="00841BE0">
        <w:rPr>
          <w:sz w:val="24"/>
          <w:szCs w:val="24"/>
        </w:rPr>
        <w:t xml:space="preserve"> plus </w:t>
      </w:r>
      <w:proofErr w:type="spellStart"/>
      <w:r w:rsidRPr="00841BE0">
        <w:rPr>
          <w:sz w:val="24"/>
          <w:szCs w:val="24"/>
        </w:rPr>
        <w:t>metformin</w:t>
      </w:r>
      <w:proofErr w:type="spellEnd"/>
      <w:r w:rsidRPr="00841BE0">
        <w:rPr>
          <w:sz w:val="24"/>
          <w:szCs w:val="24"/>
        </w:rPr>
        <w:t xml:space="preserve">. </w:t>
      </w:r>
      <w:proofErr w:type="gramStart"/>
      <w:r w:rsidRPr="00841BE0">
        <w:rPr>
          <w:sz w:val="24"/>
          <w:szCs w:val="24"/>
        </w:rPr>
        <w:t>Endvidere</w:t>
      </w:r>
      <w:proofErr w:type="gramEnd"/>
      <w:r w:rsidRPr="00841BE0">
        <w:rPr>
          <w:sz w:val="24"/>
          <w:szCs w:val="24"/>
        </w:rPr>
        <w:t xml:space="preserve"> blev der set klinisk betydende fald i FPG og systolisk og diastolisk blodtryk sammenlignet med placebo.</w:t>
      </w:r>
    </w:p>
    <w:p w14:paraId="4551F276" w14:textId="77777777" w:rsidR="00841BE0" w:rsidRPr="00841BE0" w:rsidRDefault="00841BE0" w:rsidP="0031748F">
      <w:pPr>
        <w:ind w:left="851"/>
        <w:rPr>
          <w:sz w:val="24"/>
          <w:szCs w:val="24"/>
        </w:rPr>
      </w:pPr>
      <w:r w:rsidRPr="00841BE0">
        <w:rPr>
          <w:sz w:val="24"/>
          <w:szCs w:val="24"/>
        </w:rPr>
        <w:t>I den dobbeltblindede, placebokontrollerede forlængelse af disse studier varede faldet i HbA1c, legemsvægt og blodtryk ved til uge 76.</w:t>
      </w:r>
    </w:p>
    <w:p w14:paraId="73CF7F71" w14:textId="4E6200F8" w:rsidR="001C0D88" w:rsidRDefault="001C0D88">
      <w:pPr>
        <w:rPr>
          <w:sz w:val="24"/>
          <w:szCs w:val="24"/>
        </w:rPr>
      </w:pPr>
      <w:r>
        <w:rPr>
          <w:sz w:val="24"/>
          <w:szCs w:val="24"/>
        </w:rPr>
        <w:br w:type="page"/>
      </w:r>
    </w:p>
    <w:p w14:paraId="20CC031C" w14:textId="77777777" w:rsidR="00841BE0" w:rsidRPr="00841BE0" w:rsidRDefault="00841BE0" w:rsidP="00841BE0">
      <w:pPr>
        <w:tabs>
          <w:tab w:val="left" w:pos="851"/>
        </w:tabs>
        <w:ind w:left="851"/>
        <w:rPr>
          <w:sz w:val="24"/>
          <w:szCs w:val="24"/>
        </w:rPr>
      </w:pPr>
    </w:p>
    <w:p w14:paraId="7A590570" w14:textId="77777777" w:rsidR="00841BE0" w:rsidRPr="00841BE0" w:rsidRDefault="00841BE0" w:rsidP="001C0D88">
      <w:pPr>
        <w:rPr>
          <w:sz w:val="24"/>
          <w:szCs w:val="24"/>
        </w:rPr>
      </w:pPr>
      <w:r w:rsidRPr="00841BE0">
        <w:rPr>
          <w:sz w:val="24"/>
          <w:szCs w:val="24"/>
        </w:rPr>
        <w:t>Tabel 3: Virkningsresultater fra 24 ugers placebokontrollerede studier</w:t>
      </w: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96"/>
        <w:gridCol w:w="1810"/>
        <w:gridCol w:w="2261"/>
        <w:gridCol w:w="2261"/>
      </w:tblGrid>
      <w:tr w:rsidR="00841BE0" w:rsidRPr="00841BE0" w14:paraId="62B423AE" w14:textId="77777777" w:rsidTr="0031748F">
        <w:trPr>
          <w:trHeight w:val="252"/>
        </w:trPr>
        <w:tc>
          <w:tcPr>
            <w:tcW w:w="5000" w:type="pct"/>
            <w:gridSpan w:val="4"/>
            <w:tcBorders>
              <w:top w:val="single" w:sz="4" w:space="0" w:color="000000"/>
              <w:left w:val="single" w:sz="4" w:space="0" w:color="000000"/>
              <w:bottom w:val="single" w:sz="4" w:space="0" w:color="000000"/>
              <w:right w:val="single" w:sz="4" w:space="0" w:color="000000"/>
            </w:tcBorders>
            <w:hideMark/>
          </w:tcPr>
          <w:p w14:paraId="44328F66"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b/>
                <w:sz w:val="22"/>
              </w:rPr>
              <w:t xml:space="preserve">Supplement </w:t>
            </w:r>
            <w:proofErr w:type="spellStart"/>
            <w:r w:rsidRPr="00841BE0">
              <w:rPr>
                <w:rFonts w:ascii="Times New Roman" w:hAnsi="Times New Roman"/>
                <w:b/>
                <w:sz w:val="22"/>
              </w:rPr>
              <w:t>til</w:t>
            </w:r>
            <w:proofErr w:type="spellEnd"/>
            <w:r w:rsidRPr="00841BE0">
              <w:rPr>
                <w:rFonts w:ascii="Times New Roman" w:hAnsi="Times New Roman"/>
                <w:b/>
                <w:sz w:val="22"/>
              </w:rPr>
              <w:t xml:space="preserve"> </w:t>
            </w:r>
            <w:proofErr w:type="spellStart"/>
            <w:r w:rsidRPr="00841BE0">
              <w:rPr>
                <w:rFonts w:ascii="Times New Roman" w:hAnsi="Times New Roman"/>
                <w:b/>
                <w:sz w:val="22"/>
              </w:rPr>
              <w:t>metforminbehandling</w:t>
            </w:r>
            <w:r w:rsidRPr="00841BE0">
              <w:rPr>
                <w:rFonts w:ascii="Times New Roman" w:hAnsi="Times New Roman"/>
                <w:sz w:val="22"/>
                <w:vertAlign w:val="superscript"/>
              </w:rPr>
              <w:t>a</w:t>
            </w:r>
            <w:proofErr w:type="spellEnd"/>
          </w:p>
        </w:tc>
      </w:tr>
      <w:tr w:rsidR="00841BE0" w:rsidRPr="00841BE0" w14:paraId="14E41D8E" w14:textId="77777777" w:rsidTr="0031748F">
        <w:trPr>
          <w:trHeight w:val="254"/>
        </w:trPr>
        <w:tc>
          <w:tcPr>
            <w:tcW w:w="1712" w:type="pct"/>
            <w:vMerge w:val="restart"/>
            <w:tcBorders>
              <w:top w:val="single" w:sz="4" w:space="0" w:color="000000"/>
              <w:left w:val="single" w:sz="4" w:space="0" w:color="000000"/>
              <w:bottom w:val="single" w:sz="4" w:space="0" w:color="000000"/>
              <w:right w:val="single" w:sz="4" w:space="0" w:color="000000"/>
            </w:tcBorders>
          </w:tcPr>
          <w:p w14:paraId="33C9AC11" w14:textId="77777777" w:rsidR="00841BE0" w:rsidRPr="00841BE0" w:rsidRDefault="00841BE0" w:rsidP="0031748F">
            <w:pPr>
              <w:widowControl/>
              <w:autoSpaceDE/>
              <w:autoSpaceDN/>
              <w:ind w:left="142"/>
              <w:rPr>
                <w:rFonts w:ascii="Times New Roman" w:hAnsi="Times New Roman"/>
                <w:sz w:val="22"/>
              </w:rPr>
            </w:pPr>
          </w:p>
        </w:tc>
        <w:tc>
          <w:tcPr>
            <w:tcW w:w="940" w:type="pct"/>
            <w:vMerge w:val="restart"/>
            <w:tcBorders>
              <w:top w:val="single" w:sz="4" w:space="0" w:color="000000"/>
              <w:left w:val="single" w:sz="4" w:space="0" w:color="000000"/>
              <w:bottom w:val="single" w:sz="4" w:space="0" w:color="000000"/>
              <w:right w:val="single" w:sz="4" w:space="0" w:color="000000"/>
            </w:tcBorders>
            <w:hideMark/>
          </w:tcPr>
          <w:p w14:paraId="5ADAEA8E" w14:textId="77777777" w:rsidR="00841BE0" w:rsidRPr="00841BE0" w:rsidRDefault="00841BE0" w:rsidP="0031748F">
            <w:pPr>
              <w:widowControl/>
              <w:autoSpaceDE/>
              <w:autoSpaceDN/>
              <w:ind w:left="142"/>
              <w:rPr>
                <w:rFonts w:ascii="Times New Roman" w:hAnsi="Times New Roman"/>
                <w:b/>
                <w:sz w:val="22"/>
              </w:rPr>
            </w:pPr>
            <w:r w:rsidRPr="00841BE0">
              <w:rPr>
                <w:rFonts w:ascii="Times New Roman" w:hAnsi="Times New Roman"/>
                <w:b/>
                <w:sz w:val="22"/>
              </w:rPr>
              <w:t>Placebo</w:t>
            </w:r>
          </w:p>
        </w:tc>
        <w:tc>
          <w:tcPr>
            <w:tcW w:w="2348" w:type="pct"/>
            <w:gridSpan w:val="2"/>
            <w:tcBorders>
              <w:top w:val="single" w:sz="4" w:space="0" w:color="000000"/>
              <w:left w:val="single" w:sz="4" w:space="0" w:color="000000"/>
              <w:bottom w:val="single" w:sz="4" w:space="0" w:color="000000"/>
              <w:right w:val="single" w:sz="4" w:space="0" w:color="000000"/>
            </w:tcBorders>
            <w:hideMark/>
          </w:tcPr>
          <w:p w14:paraId="1B653662" w14:textId="77777777" w:rsidR="00841BE0" w:rsidRPr="00841BE0" w:rsidRDefault="00841BE0" w:rsidP="0031748F">
            <w:pPr>
              <w:widowControl/>
              <w:autoSpaceDE/>
              <w:autoSpaceDN/>
              <w:ind w:left="142"/>
              <w:rPr>
                <w:rFonts w:ascii="Times New Roman" w:hAnsi="Times New Roman"/>
                <w:b/>
                <w:sz w:val="22"/>
              </w:rPr>
            </w:pPr>
            <w:r w:rsidRPr="00841BE0">
              <w:rPr>
                <w:rFonts w:ascii="Times New Roman" w:hAnsi="Times New Roman"/>
                <w:b/>
                <w:sz w:val="22"/>
              </w:rPr>
              <w:t>Empagliflozin</w:t>
            </w:r>
          </w:p>
        </w:tc>
      </w:tr>
      <w:tr w:rsidR="00841BE0" w:rsidRPr="00841BE0" w14:paraId="6C9EF4F7" w14:textId="77777777" w:rsidTr="0031748F">
        <w:trPr>
          <w:trHeight w:val="253"/>
        </w:trPr>
        <w:tc>
          <w:tcPr>
            <w:tcW w:w="1712" w:type="pct"/>
            <w:vMerge/>
            <w:tcBorders>
              <w:top w:val="single" w:sz="4" w:space="0" w:color="000000"/>
              <w:left w:val="single" w:sz="4" w:space="0" w:color="000000"/>
              <w:bottom w:val="single" w:sz="4" w:space="0" w:color="000000"/>
              <w:right w:val="single" w:sz="4" w:space="0" w:color="000000"/>
            </w:tcBorders>
            <w:vAlign w:val="center"/>
            <w:hideMark/>
          </w:tcPr>
          <w:p w14:paraId="0E4E7CCC" w14:textId="77777777" w:rsidR="00841BE0" w:rsidRPr="00841BE0" w:rsidRDefault="00841BE0" w:rsidP="0031748F">
            <w:pPr>
              <w:widowControl/>
              <w:autoSpaceDE/>
              <w:autoSpaceDN/>
              <w:ind w:left="142"/>
              <w:rPr>
                <w:rFonts w:ascii="Times New Roman" w:hAnsi="Times New Roman"/>
                <w:sz w:val="22"/>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74165807" w14:textId="77777777" w:rsidR="00841BE0" w:rsidRPr="00841BE0" w:rsidRDefault="00841BE0" w:rsidP="0031748F">
            <w:pPr>
              <w:widowControl/>
              <w:autoSpaceDE/>
              <w:autoSpaceDN/>
              <w:ind w:left="142"/>
              <w:rPr>
                <w:rFonts w:ascii="Times New Roman" w:hAnsi="Times New Roman"/>
                <w:b/>
                <w:sz w:val="22"/>
              </w:rPr>
            </w:pPr>
          </w:p>
        </w:tc>
        <w:tc>
          <w:tcPr>
            <w:tcW w:w="1174" w:type="pct"/>
            <w:tcBorders>
              <w:top w:val="single" w:sz="4" w:space="0" w:color="000000"/>
              <w:left w:val="single" w:sz="4" w:space="0" w:color="000000"/>
              <w:bottom w:val="single" w:sz="4" w:space="0" w:color="000000"/>
              <w:right w:val="single" w:sz="4" w:space="0" w:color="000000"/>
            </w:tcBorders>
            <w:hideMark/>
          </w:tcPr>
          <w:p w14:paraId="183BEE0B" w14:textId="77777777" w:rsidR="00841BE0" w:rsidRPr="00841BE0" w:rsidRDefault="00841BE0" w:rsidP="0031748F">
            <w:pPr>
              <w:widowControl/>
              <w:autoSpaceDE/>
              <w:autoSpaceDN/>
              <w:ind w:left="142"/>
              <w:rPr>
                <w:rFonts w:ascii="Times New Roman" w:hAnsi="Times New Roman"/>
                <w:b/>
                <w:sz w:val="22"/>
              </w:rPr>
            </w:pPr>
            <w:r w:rsidRPr="00841BE0">
              <w:rPr>
                <w:rFonts w:ascii="Times New Roman" w:hAnsi="Times New Roman"/>
                <w:b/>
                <w:sz w:val="22"/>
              </w:rPr>
              <w:t>10 mg</w:t>
            </w:r>
          </w:p>
        </w:tc>
        <w:tc>
          <w:tcPr>
            <w:tcW w:w="1174" w:type="pct"/>
            <w:tcBorders>
              <w:top w:val="single" w:sz="4" w:space="0" w:color="000000"/>
              <w:left w:val="single" w:sz="4" w:space="0" w:color="000000"/>
              <w:bottom w:val="single" w:sz="4" w:space="0" w:color="000000"/>
              <w:right w:val="single" w:sz="4" w:space="0" w:color="000000"/>
            </w:tcBorders>
            <w:hideMark/>
          </w:tcPr>
          <w:p w14:paraId="4E27EC3E" w14:textId="77777777" w:rsidR="00841BE0" w:rsidRPr="00841BE0" w:rsidRDefault="00841BE0" w:rsidP="0031748F">
            <w:pPr>
              <w:widowControl/>
              <w:autoSpaceDE/>
              <w:autoSpaceDN/>
              <w:ind w:left="142"/>
              <w:rPr>
                <w:rFonts w:ascii="Times New Roman" w:hAnsi="Times New Roman"/>
                <w:b/>
                <w:sz w:val="22"/>
              </w:rPr>
            </w:pPr>
            <w:r w:rsidRPr="00841BE0">
              <w:rPr>
                <w:rFonts w:ascii="Times New Roman" w:hAnsi="Times New Roman"/>
                <w:b/>
                <w:sz w:val="22"/>
              </w:rPr>
              <w:t>25 mg</w:t>
            </w:r>
          </w:p>
        </w:tc>
      </w:tr>
      <w:tr w:rsidR="00841BE0" w:rsidRPr="00841BE0" w14:paraId="7E922693" w14:textId="77777777" w:rsidTr="0031748F">
        <w:trPr>
          <w:trHeight w:val="251"/>
        </w:trPr>
        <w:tc>
          <w:tcPr>
            <w:tcW w:w="1712" w:type="pct"/>
            <w:tcBorders>
              <w:top w:val="single" w:sz="4" w:space="0" w:color="000000"/>
              <w:left w:val="single" w:sz="4" w:space="0" w:color="000000"/>
              <w:bottom w:val="single" w:sz="4" w:space="0" w:color="000000"/>
              <w:right w:val="single" w:sz="4" w:space="0" w:color="000000"/>
            </w:tcBorders>
            <w:hideMark/>
          </w:tcPr>
          <w:p w14:paraId="29289DE5"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N</w:t>
            </w:r>
          </w:p>
        </w:tc>
        <w:tc>
          <w:tcPr>
            <w:tcW w:w="940" w:type="pct"/>
            <w:tcBorders>
              <w:top w:val="single" w:sz="4" w:space="0" w:color="000000"/>
              <w:left w:val="single" w:sz="4" w:space="0" w:color="000000"/>
              <w:bottom w:val="single" w:sz="4" w:space="0" w:color="000000"/>
              <w:right w:val="single" w:sz="4" w:space="0" w:color="000000"/>
            </w:tcBorders>
            <w:hideMark/>
          </w:tcPr>
          <w:p w14:paraId="163E1EE7"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207</w:t>
            </w:r>
          </w:p>
        </w:tc>
        <w:tc>
          <w:tcPr>
            <w:tcW w:w="1174" w:type="pct"/>
            <w:tcBorders>
              <w:top w:val="single" w:sz="4" w:space="0" w:color="000000"/>
              <w:left w:val="single" w:sz="4" w:space="0" w:color="000000"/>
              <w:bottom w:val="single" w:sz="4" w:space="0" w:color="000000"/>
              <w:right w:val="single" w:sz="4" w:space="0" w:color="000000"/>
            </w:tcBorders>
            <w:hideMark/>
          </w:tcPr>
          <w:p w14:paraId="68344D0C"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217</w:t>
            </w:r>
          </w:p>
        </w:tc>
        <w:tc>
          <w:tcPr>
            <w:tcW w:w="1174" w:type="pct"/>
            <w:tcBorders>
              <w:top w:val="single" w:sz="4" w:space="0" w:color="000000"/>
              <w:left w:val="single" w:sz="4" w:space="0" w:color="000000"/>
              <w:bottom w:val="single" w:sz="4" w:space="0" w:color="000000"/>
              <w:right w:val="single" w:sz="4" w:space="0" w:color="000000"/>
            </w:tcBorders>
            <w:hideMark/>
          </w:tcPr>
          <w:p w14:paraId="397CA9FD"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213</w:t>
            </w:r>
          </w:p>
        </w:tc>
      </w:tr>
      <w:tr w:rsidR="00841BE0" w:rsidRPr="00841BE0" w14:paraId="47F24CDF" w14:textId="77777777" w:rsidTr="0031748F">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47DEC32C" w14:textId="77777777" w:rsidR="00841BE0" w:rsidRPr="00841BE0" w:rsidRDefault="00841BE0" w:rsidP="0031748F">
            <w:pPr>
              <w:widowControl/>
              <w:autoSpaceDE/>
              <w:autoSpaceDN/>
              <w:ind w:left="142"/>
              <w:rPr>
                <w:rFonts w:ascii="Times New Roman" w:hAnsi="Times New Roman"/>
                <w:b/>
                <w:sz w:val="22"/>
              </w:rPr>
            </w:pPr>
            <w:r w:rsidRPr="00841BE0">
              <w:rPr>
                <w:rFonts w:ascii="Times New Roman" w:hAnsi="Times New Roman"/>
                <w:b/>
                <w:sz w:val="22"/>
              </w:rPr>
              <w:t>HbA1c (%)</w:t>
            </w:r>
          </w:p>
        </w:tc>
      </w:tr>
      <w:tr w:rsidR="00841BE0" w:rsidRPr="00841BE0" w14:paraId="3E20714B" w14:textId="77777777" w:rsidTr="0031748F">
        <w:trPr>
          <w:trHeight w:val="251"/>
        </w:trPr>
        <w:tc>
          <w:tcPr>
            <w:tcW w:w="1712" w:type="pct"/>
            <w:tcBorders>
              <w:top w:val="single" w:sz="4" w:space="0" w:color="000000"/>
              <w:left w:val="single" w:sz="4" w:space="0" w:color="000000"/>
              <w:bottom w:val="single" w:sz="4" w:space="0" w:color="000000"/>
              <w:right w:val="single" w:sz="4" w:space="0" w:color="000000"/>
            </w:tcBorders>
            <w:hideMark/>
          </w:tcPr>
          <w:p w14:paraId="357BD157"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i/>
                <w:sz w:val="22"/>
              </w:rPr>
              <w:t xml:space="preserve">Baseline </w:t>
            </w:r>
            <w:r w:rsidRPr="00841BE0">
              <w:rPr>
                <w:rFonts w:ascii="Times New Roman" w:hAnsi="Times New Roman"/>
                <w:sz w:val="22"/>
              </w:rPr>
              <w:t>(</w:t>
            </w:r>
            <w:proofErr w:type="spellStart"/>
            <w:r w:rsidRPr="00841BE0">
              <w:rPr>
                <w:rFonts w:ascii="Times New Roman" w:hAnsi="Times New Roman"/>
                <w:sz w:val="22"/>
              </w:rPr>
              <w:t>middelværdi</w:t>
            </w:r>
            <w:proofErr w:type="spellEnd"/>
            <w:r w:rsidRPr="00841BE0">
              <w:rPr>
                <w:rFonts w:ascii="Times New Roman" w:hAnsi="Times New Roman"/>
                <w:sz w:val="22"/>
              </w:rPr>
              <w:t>)</w:t>
            </w:r>
          </w:p>
        </w:tc>
        <w:tc>
          <w:tcPr>
            <w:tcW w:w="940" w:type="pct"/>
            <w:tcBorders>
              <w:top w:val="single" w:sz="4" w:space="0" w:color="000000"/>
              <w:left w:val="single" w:sz="4" w:space="0" w:color="000000"/>
              <w:bottom w:val="single" w:sz="4" w:space="0" w:color="000000"/>
              <w:right w:val="single" w:sz="4" w:space="0" w:color="000000"/>
            </w:tcBorders>
            <w:hideMark/>
          </w:tcPr>
          <w:p w14:paraId="6A1AD7A3"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7,90</w:t>
            </w:r>
          </w:p>
        </w:tc>
        <w:tc>
          <w:tcPr>
            <w:tcW w:w="1174" w:type="pct"/>
            <w:tcBorders>
              <w:top w:val="single" w:sz="4" w:space="0" w:color="000000"/>
              <w:left w:val="single" w:sz="4" w:space="0" w:color="000000"/>
              <w:bottom w:val="single" w:sz="4" w:space="0" w:color="000000"/>
              <w:right w:val="single" w:sz="4" w:space="0" w:color="000000"/>
            </w:tcBorders>
            <w:hideMark/>
          </w:tcPr>
          <w:p w14:paraId="22CF6AAC"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7,94</w:t>
            </w:r>
          </w:p>
        </w:tc>
        <w:tc>
          <w:tcPr>
            <w:tcW w:w="1174" w:type="pct"/>
            <w:tcBorders>
              <w:top w:val="single" w:sz="4" w:space="0" w:color="000000"/>
              <w:left w:val="single" w:sz="4" w:space="0" w:color="000000"/>
              <w:bottom w:val="single" w:sz="4" w:space="0" w:color="000000"/>
              <w:right w:val="single" w:sz="4" w:space="0" w:color="000000"/>
            </w:tcBorders>
            <w:hideMark/>
          </w:tcPr>
          <w:p w14:paraId="0A3C15E4"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7,86</w:t>
            </w:r>
          </w:p>
        </w:tc>
      </w:tr>
      <w:tr w:rsidR="00841BE0" w:rsidRPr="00841BE0" w14:paraId="0DCD0C7F" w14:textId="77777777" w:rsidTr="0031748F">
        <w:trPr>
          <w:trHeight w:val="253"/>
        </w:trPr>
        <w:tc>
          <w:tcPr>
            <w:tcW w:w="1712" w:type="pct"/>
            <w:tcBorders>
              <w:top w:val="single" w:sz="4" w:space="0" w:color="000000"/>
              <w:left w:val="single" w:sz="4" w:space="0" w:color="000000"/>
              <w:bottom w:val="single" w:sz="4" w:space="0" w:color="000000"/>
              <w:right w:val="single" w:sz="4" w:space="0" w:color="000000"/>
            </w:tcBorders>
            <w:hideMark/>
          </w:tcPr>
          <w:p w14:paraId="7DA71D30" w14:textId="77777777" w:rsidR="00841BE0" w:rsidRPr="00841BE0" w:rsidRDefault="00841BE0" w:rsidP="0031748F">
            <w:pPr>
              <w:widowControl/>
              <w:autoSpaceDE/>
              <w:autoSpaceDN/>
              <w:ind w:left="142"/>
              <w:rPr>
                <w:rFonts w:ascii="Times New Roman" w:hAnsi="Times New Roman"/>
                <w:sz w:val="22"/>
              </w:rPr>
            </w:pPr>
            <w:proofErr w:type="spellStart"/>
            <w:r w:rsidRPr="00841BE0">
              <w:rPr>
                <w:rFonts w:ascii="Times New Roman" w:hAnsi="Times New Roman"/>
                <w:sz w:val="22"/>
              </w:rPr>
              <w:t>Ændring</w:t>
            </w:r>
            <w:proofErr w:type="spellEnd"/>
            <w:r w:rsidRPr="00841BE0">
              <w:rPr>
                <w:rFonts w:ascii="Times New Roman" w:hAnsi="Times New Roman"/>
                <w:sz w:val="22"/>
              </w:rPr>
              <w:t xml:space="preserve"> fra </w:t>
            </w:r>
            <w:r w:rsidRPr="00841BE0">
              <w:rPr>
                <w:rFonts w:ascii="Times New Roman" w:hAnsi="Times New Roman"/>
                <w:i/>
                <w:sz w:val="22"/>
              </w:rPr>
              <w:t>baseline</w:t>
            </w:r>
            <w:r w:rsidRPr="00841BE0">
              <w:rPr>
                <w:rFonts w:ascii="Times New Roman" w:hAnsi="Times New Roman"/>
                <w:sz w:val="22"/>
                <w:vertAlign w:val="superscript"/>
              </w:rPr>
              <w:t>1</w:t>
            </w:r>
          </w:p>
        </w:tc>
        <w:tc>
          <w:tcPr>
            <w:tcW w:w="940" w:type="pct"/>
            <w:tcBorders>
              <w:top w:val="single" w:sz="4" w:space="0" w:color="000000"/>
              <w:left w:val="single" w:sz="4" w:space="0" w:color="000000"/>
              <w:bottom w:val="single" w:sz="4" w:space="0" w:color="000000"/>
              <w:right w:val="single" w:sz="4" w:space="0" w:color="000000"/>
            </w:tcBorders>
            <w:hideMark/>
          </w:tcPr>
          <w:p w14:paraId="0F17BD91"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0,13</w:t>
            </w:r>
          </w:p>
        </w:tc>
        <w:tc>
          <w:tcPr>
            <w:tcW w:w="1174" w:type="pct"/>
            <w:tcBorders>
              <w:top w:val="single" w:sz="4" w:space="0" w:color="000000"/>
              <w:left w:val="single" w:sz="4" w:space="0" w:color="000000"/>
              <w:bottom w:val="single" w:sz="4" w:space="0" w:color="000000"/>
              <w:right w:val="single" w:sz="4" w:space="0" w:color="000000"/>
            </w:tcBorders>
            <w:hideMark/>
          </w:tcPr>
          <w:p w14:paraId="1CD0125C"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0,70</w:t>
            </w:r>
          </w:p>
        </w:tc>
        <w:tc>
          <w:tcPr>
            <w:tcW w:w="1174" w:type="pct"/>
            <w:tcBorders>
              <w:top w:val="single" w:sz="4" w:space="0" w:color="000000"/>
              <w:left w:val="single" w:sz="4" w:space="0" w:color="000000"/>
              <w:bottom w:val="single" w:sz="4" w:space="0" w:color="000000"/>
              <w:right w:val="single" w:sz="4" w:space="0" w:color="000000"/>
            </w:tcBorders>
            <w:hideMark/>
          </w:tcPr>
          <w:p w14:paraId="755D0D1D"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0,77</w:t>
            </w:r>
          </w:p>
        </w:tc>
      </w:tr>
      <w:tr w:rsidR="00841BE0" w:rsidRPr="00841BE0" w14:paraId="035CB8E6" w14:textId="77777777" w:rsidTr="0031748F">
        <w:trPr>
          <w:trHeight w:val="506"/>
        </w:trPr>
        <w:tc>
          <w:tcPr>
            <w:tcW w:w="1712" w:type="pct"/>
            <w:tcBorders>
              <w:top w:val="single" w:sz="4" w:space="0" w:color="000000"/>
              <w:left w:val="single" w:sz="4" w:space="0" w:color="000000"/>
              <w:bottom w:val="single" w:sz="4" w:space="0" w:color="000000"/>
              <w:right w:val="single" w:sz="4" w:space="0" w:color="000000"/>
            </w:tcBorders>
            <w:hideMark/>
          </w:tcPr>
          <w:p w14:paraId="0E651A77" w14:textId="77777777" w:rsidR="00841BE0" w:rsidRPr="00841BE0" w:rsidRDefault="00841BE0" w:rsidP="0031748F">
            <w:pPr>
              <w:widowControl/>
              <w:autoSpaceDE/>
              <w:autoSpaceDN/>
              <w:ind w:left="142"/>
              <w:rPr>
                <w:rFonts w:ascii="Times New Roman" w:hAnsi="Times New Roman"/>
                <w:sz w:val="22"/>
              </w:rPr>
            </w:pPr>
            <w:proofErr w:type="spellStart"/>
            <w:r w:rsidRPr="00841BE0">
              <w:rPr>
                <w:rFonts w:ascii="Times New Roman" w:hAnsi="Times New Roman"/>
                <w:sz w:val="22"/>
              </w:rPr>
              <w:t>Forskel</w:t>
            </w:r>
            <w:proofErr w:type="spellEnd"/>
            <w:r w:rsidRPr="00841BE0">
              <w:rPr>
                <w:rFonts w:ascii="Times New Roman" w:hAnsi="Times New Roman"/>
                <w:sz w:val="22"/>
              </w:rPr>
              <w:t xml:space="preserve"> </w:t>
            </w:r>
            <w:proofErr w:type="spellStart"/>
            <w:r w:rsidRPr="00841BE0">
              <w:rPr>
                <w:rFonts w:ascii="Times New Roman" w:hAnsi="Times New Roman"/>
                <w:sz w:val="22"/>
              </w:rPr>
              <w:t>til</w:t>
            </w:r>
            <w:proofErr w:type="spellEnd"/>
            <w:r w:rsidRPr="00841BE0">
              <w:rPr>
                <w:rFonts w:ascii="Times New Roman" w:hAnsi="Times New Roman"/>
                <w:sz w:val="22"/>
              </w:rPr>
              <w:t xml:space="preserve"> placebo</w:t>
            </w:r>
            <w:r w:rsidRPr="00841BE0">
              <w:rPr>
                <w:rFonts w:ascii="Times New Roman" w:hAnsi="Times New Roman"/>
                <w:sz w:val="22"/>
                <w:vertAlign w:val="superscript"/>
              </w:rPr>
              <w:t>1</w:t>
            </w:r>
            <w:r w:rsidRPr="00841BE0">
              <w:rPr>
                <w:rFonts w:ascii="Times New Roman" w:hAnsi="Times New Roman"/>
                <w:sz w:val="22"/>
              </w:rPr>
              <w:t xml:space="preserve"> (97,5 % CI)</w:t>
            </w:r>
          </w:p>
        </w:tc>
        <w:tc>
          <w:tcPr>
            <w:tcW w:w="940" w:type="pct"/>
            <w:tcBorders>
              <w:top w:val="single" w:sz="4" w:space="0" w:color="000000"/>
              <w:left w:val="single" w:sz="4" w:space="0" w:color="000000"/>
              <w:bottom w:val="single" w:sz="4" w:space="0" w:color="000000"/>
              <w:right w:val="single" w:sz="4" w:space="0" w:color="000000"/>
            </w:tcBorders>
          </w:tcPr>
          <w:p w14:paraId="57B4EECB" w14:textId="77777777" w:rsidR="00841BE0" w:rsidRPr="00841BE0" w:rsidRDefault="00841BE0" w:rsidP="0031748F">
            <w:pPr>
              <w:widowControl/>
              <w:autoSpaceDE/>
              <w:autoSpaceDN/>
              <w:ind w:left="142"/>
              <w:rPr>
                <w:rFonts w:ascii="Times New Roman" w:hAnsi="Times New Roman"/>
                <w:sz w:val="22"/>
              </w:rPr>
            </w:pPr>
          </w:p>
        </w:tc>
        <w:tc>
          <w:tcPr>
            <w:tcW w:w="1174" w:type="pct"/>
            <w:tcBorders>
              <w:top w:val="single" w:sz="4" w:space="0" w:color="000000"/>
              <w:left w:val="single" w:sz="4" w:space="0" w:color="000000"/>
              <w:bottom w:val="single" w:sz="4" w:space="0" w:color="000000"/>
              <w:right w:val="single" w:sz="4" w:space="0" w:color="000000"/>
            </w:tcBorders>
            <w:hideMark/>
          </w:tcPr>
          <w:p w14:paraId="5339B7FD"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0,57* (</w:t>
            </w:r>
            <w:r w:rsidRPr="00841BE0">
              <w:rPr>
                <w:rFonts w:ascii="Times New Roman" w:hAnsi="Times New Roman"/>
                <w:sz w:val="22"/>
              </w:rPr>
              <w:noBreakHyphen/>
            </w:r>
            <w:proofErr w:type="gramStart"/>
            <w:r w:rsidRPr="00841BE0">
              <w:rPr>
                <w:rFonts w:ascii="Times New Roman" w:hAnsi="Times New Roman"/>
                <w:sz w:val="22"/>
              </w:rPr>
              <w:t xml:space="preserve">0,72; </w:t>
            </w:r>
            <w:r w:rsidRPr="00841BE0">
              <w:rPr>
                <w:rFonts w:ascii="Times New Roman" w:hAnsi="Times New Roman"/>
                <w:sz w:val="22"/>
              </w:rPr>
              <w:noBreakHyphen/>
            </w:r>
            <w:proofErr w:type="gramEnd"/>
            <w:r w:rsidRPr="00841BE0">
              <w:rPr>
                <w:rFonts w:ascii="Times New Roman" w:hAnsi="Times New Roman"/>
                <w:sz w:val="22"/>
              </w:rPr>
              <w:t>0,42)</w:t>
            </w:r>
          </w:p>
        </w:tc>
        <w:tc>
          <w:tcPr>
            <w:tcW w:w="1174" w:type="pct"/>
            <w:tcBorders>
              <w:top w:val="single" w:sz="4" w:space="0" w:color="000000"/>
              <w:left w:val="single" w:sz="4" w:space="0" w:color="000000"/>
              <w:bottom w:val="single" w:sz="4" w:space="0" w:color="000000"/>
              <w:right w:val="single" w:sz="4" w:space="0" w:color="000000"/>
            </w:tcBorders>
            <w:hideMark/>
          </w:tcPr>
          <w:p w14:paraId="6854415F"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0,64* (</w:t>
            </w:r>
            <w:r w:rsidRPr="00841BE0">
              <w:rPr>
                <w:rFonts w:ascii="Times New Roman" w:hAnsi="Times New Roman"/>
                <w:sz w:val="22"/>
              </w:rPr>
              <w:noBreakHyphen/>
            </w:r>
            <w:proofErr w:type="gramStart"/>
            <w:r w:rsidRPr="00841BE0">
              <w:rPr>
                <w:rFonts w:ascii="Times New Roman" w:hAnsi="Times New Roman"/>
                <w:sz w:val="22"/>
              </w:rPr>
              <w:t xml:space="preserve">0,79; </w:t>
            </w:r>
            <w:r w:rsidRPr="00841BE0">
              <w:rPr>
                <w:rFonts w:ascii="Times New Roman" w:hAnsi="Times New Roman"/>
                <w:sz w:val="22"/>
              </w:rPr>
              <w:noBreakHyphen/>
            </w:r>
            <w:proofErr w:type="gramEnd"/>
            <w:r w:rsidRPr="00841BE0">
              <w:rPr>
                <w:rFonts w:ascii="Times New Roman" w:hAnsi="Times New Roman"/>
                <w:sz w:val="22"/>
              </w:rPr>
              <w:t>0,48)</w:t>
            </w:r>
          </w:p>
        </w:tc>
      </w:tr>
      <w:tr w:rsidR="00841BE0" w:rsidRPr="00841BE0" w14:paraId="3C9F6E67" w14:textId="77777777" w:rsidTr="0031748F">
        <w:trPr>
          <w:trHeight w:val="249"/>
        </w:trPr>
        <w:tc>
          <w:tcPr>
            <w:tcW w:w="1712" w:type="pct"/>
            <w:tcBorders>
              <w:top w:val="single" w:sz="4" w:space="0" w:color="000000"/>
              <w:left w:val="single" w:sz="4" w:space="0" w:color="000000"/>
              <w:bottom w:val="single" w:sz="4" w:space="0" w:color="000000"/>
              <w:right w:val="single" w:sz="4" w:space="0" w:color="000000"/>
            </w:tcBorders>
            <w:hideMark/>
          </w:tcPr>
          <w:p w14:paraId="172E0BCD"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N</w:t>
            </w:r>
          </w:p>
        </w:tc>
        <w:tc>
          <w:tcPr>
            <w:tcW w:w="940" w:type="pct"/>
            <w:tcBorders>
              <w:top w:val="single" w:sz="4" w:space="0" w:color="000000"/>
              <w:left w:val="single" w:sz="4" w:space="0" w:color="000000"/>
              <w:bottom w:val="single" w:sz="4" w:space="0" w:color="000000"/>
              <w:right w:val="single" w:sz="4" w:space="0" w:color="000000"/>
            </w:tcBorders>
            <w:hideMark/>
          </w:tcPr>
          <w:p w14:paraId="5C876C72"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184</w:t>
            </w:r>
          </w:p>
        </w:tc>
        <w:tc>
          <w:tcPr>
            <w:tcW w:w="1174" w:type="pct"/>
            <w:tcBorders>
              <w:top w:val="single" w:sz="4" w:space="0" w:color="000000"/>
              <w:left w:val="single" w:sz="4" w:space="0" w:color="000000"/>
              <w:bottom w:val="single" w:sz="4" w:space="0" w:color="000000"/>
              <w:right w:val="single" w:sz="4" w:space="0" w:color="000000"/>
            </w:tcBorders>
            <w:hideMark/>
          </w:tcPr>
          <w:p w14:paraId="52583B5D"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199</w:t>
            </w:r>
          </w:p>
        </w:tc>
        <w:tc>
          <w:tcPr>
            <w:tcW w:w="1174" w:type="pct"/>
            <w:tcBorders>
              <w:top w:val="single" w:sz="4" w:space="0" w:color="000000"/>
              <w:left w:val="single" w:sz="4" w:space="0" w:color="000000"/>
              <w:bottom w:val="single" w:sz="4" w:space="0" w:color="000000"/>
              <w:right w:val="single" w:sz="4" w:space="0" w:color="000000"/>
            </w:tcBorders>
            <w:hideMark/>
          </w:tcPr>
          <w:p w14:paraId="1DEA327C"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191</w:t>
            </w:r>
          </w:p>
        </w:tc>
      </w:tr>
      <w:tr w:rsidR="00841BE0" w:rsidRPr="00841BE0" w14:paraId="642F0334" w14:textId="77777777" w:rsidTr="0031748F">
        <w:trPr>
          <w:trHeight w:val="760"/>
        </w:trPr>
        <w:tc>
          <w:tcPr>
            <w:tcW w:w="1712" w:type="pct"/>
            <w:tcBorders>
              <w:top w:val="single" w:sz="4" w:space="0" w:color="000000"/>
              <w:left w:val="single" w:sz="4" w:space="0" w:color="000000"/>
              <w:bottom w:val="single" w:sz="4" w:space="0" w:color="000000"/>
              <w:right w:val="single" w:sz="4" w:space="0" w:color="000000"/>
            </w:tcBorders>
            <w:hideMark/>
          </w:tcPr>
          <w:p w14:paraId="4B5B3777" w14:textId="77777777" w:rsidR="00841BE0" w:rsidRPr="00841BE0" w:rsidRDefault="00841BE0" w:rsidP="0031748F">
            <w:pPr>
              <w:widowControl/>
              <w:autoSpaceDE/>
              <w:autoSpaceDN/>
              <w:ind w:left="142"/>
              <w:rPr>
                <w:rFonts w:ascii="Times New Roman" w:hAnsi="Times New Roman"/>
                <w:b/>
                <w:sz w:val="22"/>
                <w:lang w:val="da-DK"/>
              </w:rPr>
            </w:pPr>
            <w:r w:rsidRPr="00841BE0">
              <w:rPr>
                <w:rFonts w:ascii="Times New Roman" w:hAnsi="Times New Roman"/>
                <w:b/>
                <w:sz w:val="22"/>
                <w:lang w:val="da-DK"/>
              </w:rPr>
              <w:t xml:space="preserve">Patienter (%) der opnåede HbA1c &lt; 7 % efter et </w:t>
            </w:r>
            <w:r w:rsidRPr="00841BE0">
              <w:rPr>
                <w:rFonts w:ascii="Times New Roman" w:hAnsi="Times New Roman"/>
                <w:b/>
                <w:i/>
                <w:sz w:val="22"/>
                <w:lang w:val="da-DK"/>
              </w:rPr>
              <w:t>baseline</w:t>
            </w:r>
            <w:r w:rsidRPr="00841BE0">
              <w:rPr>
                <w:rFonts w:ascii="Times New Roman" w:hAnsi="Times New Roman"/>
                <w:b/>
                <w:sz w:val="22"/>
                <w:lang w:val="da-DK"/>
              </w:rPr>
              <w:t>-HbA1c ≥ 7 %</w:t>
            </w:r>
            <w:r w:rsidRPr="00841BE0">
              <w:rPr>
                <w:rFonts w:ascii="Times New Roman" w:hAnsi="Times New Roman"/>
                <w:b/>
                <w:sz w:val="22"/>
                <w:vertAlign w:val="superscript"/>
                <w:lang w:val="da-DK"/>
              </w:rPr>
              <w:t>2</w:t>
            </w:r>
          </w:p>
        </w:tc>
        <w:tc>
          <w:tcPr>
            <w:tcW w:w="940" w:type="pct"/>
            <w:tcBorders>
              <w:top w:val="single" w:sz="4" w:space="0" w:color="000000"/>
              <w:left w:val="single" w:sz="4" w:space="0" w:color="000000"/>
              <w:bottom w:val="single" w:sz="4" w:space="0" w:color="000000"/>
              <w:right w:val="single" w:sz="4" w:space="0" w:color="000000"/>
            </w:tcBorders>
            <w:hideMark/>
          </w:tcPr>
          <w:p w14:paraId="056BA61A"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12,5</w:t>
            </w:r>
          </w:p>
        </w:tc>
        <w:tc>
          <w:tcPr>
            <w:tcW w:w="1174" w:type="pct"/>
            <w:tcBorders>
              <w:top w:val="single" w:sz="4" w:space="0" w:color="000000"/>
              <w:left w:val="single" w:sz="4" w:space="0" w:color="000000"/>
              <w:bottom w:val="single" w:sz="4" w:space="0" w:color="000000"/>
              <w:right w:val="single" w:sz="4" w:space="0" w:color="000000"/>
            </w:tcBorders>
            <w:hideMark/>
          </w:tcPr>
          <w:p w14:paraId="0DCFED12"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37,7</w:t>
            </w:r>
          </w:p>
        </w:tc>
        <w:tc>
          <w:tcPr>
            <w:tcW w:w="1174" w:type="pct"/>
            <w:tcBorders>
              <w:top w:val="single" w:sz="4" w:space="0" w:color="000000"/>
              <w:left w:val="single" w:sz="4" w:space="0" w:color="000000"/>
              <w:bottom w:val="single" w:sz="4" w:space="0" w:color="000000"/>
              <w:right w:val="single" w:sz="4" w:space="0" w:color="000000"/>
            </w:tcBorders>
            <w:hideMark/>
          </w:tcPr>
          <w:p w14:paraId="7CC672CC"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38,7</w:t>
            </w:r>
          </w:p>
        </w:tc>
      </w:tr>
      <w:tr w:rsidR="00841BE0" w:rsidRPr="00841BE0" w14:paraId="5474019C" w14:textId="77777777" w:rsidTr="0031748F">
        <w:trPr>
          <w:trHeight w:val="252"/>
        </w:trPr>
        <w:tc>
          <w:tcPr>
            <w:tcW w:w="1712" w:type="pct"/>
            <w:tcBorders>
              <w:top w:val="single" w:sz="4" w:space="0" w:color="000000"/>
              <w:left w:val="single" w:sz="4" w:space="0" w:color="000000"/>
              <w:bottom w:val="single" w:sz="4" w:space="0" w:color="000000"/>
              <w:right w:val="single" w:sz="4" w:space="0" w:color="000000"/>
            </w:tcBorders>
            <w:hideMark/>
          </w:tcPr>
          <w:p w14:paraId="7A9ACEE8"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N</w:t>
            </w:r>
          </w:p>
        </w:tc>
        <w:tc>
          <w:tcPr>
            <w:tcW w:w="940" w:type="pct"/>
            <w:tcBorders>
              <w:top w:val="single" w:sz="4" w:space="0" w:color="000000"/>
              <w:left w:val="single" w:sz="4" w:space="0" w:color="000000"/>
              <w:bottom w:val="single" w:sz="4" w:space="0" w:color="000000"/>
              <w:right w:val="single" w:sz="4" w:space="0" w:color="000000"/>
            </w:tcBorders>
            <w:hideMark/>
          </w:tcPr>
          <w:p w14:paraId="2000A580"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207</w:t>
            </w:r>
          </w:p>
        </w:tc>
        <w:tc>
          <w:tcPr>
            <w:tcW w:w="1174" w:type="pct"/>
            <w:tcBorders>
              <w:top w:val="single" w:sz="4" w:space="0" w:color="000000"/>
              <w:left w:val="single" w:sz="4" w:space="0" w:color="000000"/>
              <w:bottom w:val="single" w:sz="4" w:space="0" w:color="000000"/>
              <w:right w:val="single" w:sz="4" w:space="0" w:color="000000"/>
            </w:tcBorders>
            <w:hideMark/>
          </w:tcPr>
          <w:p w14:paraId="53D9E5DB"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217</w:t>
            </w:r>
          </w:p>
        </w:tc>
        <w:tc>
          <w:tcPr>
            <w:tcW w:w="1174" w:type="pct"/>
            <w:tcBorders>
              <w:top w:val="single" w:sz="4" w:space="0" w:color="000000"/>
              <w:left w:val="single" w:sz="4" w:space="0" w:color="000000"/>
              <w:bottom w:val="single" w:sz="4" w:space="0" w:color="000000"/>
              <w:right w:val="single" w:sz="4" w:space="0" w:color="000000"/>
            </w:tcBorders>
            <w:hideMark/>
          </w:tcPr>
          <w:p w14:paraId="6953F1E6"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213</w:t>
            </w:r>
          </w:p>
        </w:tc>
      </w:tr>
      <w:tr w:rsidR="00841BE0" w:rsidRPr="00841BE0" w14:paraId="0BA023CA" w14:textId="77777777" w:rsidTr="0031748F">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016E9D96" w14:textId="77777777" w:rsidR="00841BE0" w:rsidRPr="00841BE0" w:rsidRDefault="00841BE0" w:rsidP="0031748F">
            <w:pPr>
              <w:widowControl/>
              <w:autoSpaceDE/>
              <w:autoSpaceDN/>
              <w:ind w:left="142"/>
              <w:rPr>
                <w:rFonts w:ascii="Times New Roman" w:hAnsi="Times New Roman"/>
                <w:b/>
                <w:sz w:val="22"/>
              </w:rPr>
            </w:pPr>
            <w:proofErr w:type="spellStart"/>
            <w:r w:rsidRPr="00841BE0">
              <w:rPr>
                <w:rFonts w:ascii="Times New Roman" w:hAnsi="Times New Roman"/>
                <w:b/>
                <w:sz w:val="22"/>
              </w:rPr>
              <w:t>Legemsvægt</w:t>
            </w:r>
            <w:proofErr w:type="spellEnd"/>
            <w:r w:rsidRPr="00841BE0">
              <w:rPr>
                <w:rFonts w:ascii="Times New Roman" w:hAnsi="Times New Roman"/>
                <w:b/>
                <w:sz w:val="22"/>
              </w:rPr>
              <w:t xml:space="preserve"> (kg)</w:t>
            </w:r>
          </w:p>
        </w:tc>
      </w:tr>
      <w:tr w:rsidR="00841BE0" w:rsidRPr="00841BE0" w14:paraId="719AB7BC" w14:textId="77777777" w:rsidTr="0031748F">
        <w:trPr>
          <w:trHeight w:val="253"/>
        </w:trPr>
        <w:tc>
          <w:tcPr>
            <w:tcW w:w="1712" w:type="pct"/>
            <w:tcBorders>
              <w:top w:val="single" w:sz="4" w:space="0" w:color="000000"/>
              <w:left w:val="single" w:sz="4" w:space="0" w:color="000000"/>
              <w:bottom w:val="single" w:sz="4" w:space="0" w:color="000000"/>
              <w:right w:val="single" w:sz="4" w:space="0" w:color="000000"/>
            </w:tcBorders>
            <w:hideMark/>
          </w:tcPr>
          <w:p w14:paraId="1989BAE0"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i/>
                <w:sz w:val="22"/>
              </w:rPr>
              <w:t xml:space="preserve">Baseline </w:t>
            </w:r>
            <w:r w:rsidRPr="00841BE0">
              <w:rPr>
                <w:rFonts w:ascii="Times New Roman" w:hAnsi="Times New Roman"/>
                <w:sz w:val="22"/>
              </w:rPr>
              <w:t>(</w:t>
            </w:r>
            <w:proofErr w:type="spellStart"/>
            <w:r w:rsidRPr="00841BE0">
              <w:rPr>
                <w:rFonts w:ascii="Times New Roman" w:hAnsi="Times New Roman"/>
                <w:sz w:val="22"/>
              </w:rPr>
              <w:t>middelværdi</w:t>
            </w:r>
            <w:proofErr w:type="spellEnd"/>
            <w:r w:rsidRPr="00841BE0">
              <w:rPr>
                <w:rFonts w:ascii="Times New Roman" w:hAnsi="Times New Roman"/>
                <w:sz w:val="22"/>
              </w:rPr>
              <w:t>)</w:t>
            </w:r>
          </w:p>
        </w:tc>
        <w:tc>
          <w:tcPr>
            <w:tcW w:w="940" w:type="pct"/>
            <w:tcBorders>
              <w:top w:val="single" w:sz="4" w:space="0" w:color="000000"/>
              <w:left w:val="single" w:sz="4" w:space="0" w:color="000000"/>
              <w:bottom w:val="single" w:sz="4" w:space="0" w:color="000000"/>
              <w:right w:val="single" w:sz="4" w:space="0" w:color="000000"/>
            </w:tcBorders>
            <w:hideMark/>
          </w:tcPr>
          <w:p w14:paraId="53D2F515"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79,73</w:t>
            </w:r>
          </w:p>
        </w:tc>
        <w:tc>
          <w:tcPr>
            <w:tcW w:w="1174" w:type="pct"/>
            <w:tcBorders>
              <w:top w:val="single" w:sz="4" w:space="0" w:color="000000"/>
              <w:left w:val="single" w:sz="4" w:space="0" w:color="000000"/>
              <w:bottom w:val="single" w:sz="4" w:space="0" w:color="000000"/>
              <w:right w:val="single" w:sz="4" w:space="0" w:color="000000"/>
            </w:tcBorders>
            <w:hideMark/>
          </w:tcPr>
          <w:p w14:paraId="5F1116AF"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81,59</w:t>
            </w:r>
          </w:p>
        </w:tc>
        <w:tc>
          <w:tcPr>
            <w:tcW w:w="1174" w:type="pct"/>
            <w:tcBorders>
              <w:top w:val="single" w:sz="4" w:space="0" w:color="000000"/>
              <w:left w:val="single" w:sz="4" w:space="0" w:color="000000"/>
              <w:bottom w:val="single" w:sz="4" w:space="0" w:color="000000"/>
              <w:right w:val="single" w:sz="4" w:space="0" w:color="000000"/>
            </w:tcBorders>
            <w:hideMark/>
          </w:tcPr>
          <w:p w14:paraId="2DA016E2"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82,21</w:t>
            </w:r>
          </w:p>
        </w:tc>
      </w:tr>
      <w:tr w:rsidR="00841BE0" w:rsidRPr="00841BE0" w14:paraId="5230475A" w14:textId="77777777" w:rsidTr="0031748F">
        <w:trPr>
          <w:trHeight w:val="251"/>
        </w:trPr>
        <w:tc>
          <w:tcPr>
            <w:tcW w:w="1712" w:type="pct"/>
            <w:tcBorders>
              <w:top w:val="single" w:sz="4" w:space="0" w:color="000000"/>
              <w:left w:val="single" w:sz="4" w:space="0" w:color="000000"/>
              <w:bottom w:val="single" w:sz="4" w:space="0" w:color="000000"/>
              <w:right w:val="single" w:sz="4" w:space="0" w:color="000000"/>
            </w:tcBorders>
            <w:hideMark/>
          </w:tcPr>
          <w:p w14:paraId="5787AD1E" w14:textId="77777777" w:rsidR="00841BE0" w:rsidRPr="00841BE0" w:rsidRDefault="00841BE0" w:rsidP="0031748F">
            <w:pPr>
              <w:widowControl/>
              <w:autoSpaceDE/>
              <w:autoSpaceDN/>
              <w:ind w:left="142"/>
              <w:rPr>
                <w:rFonts w:ascii="Times New Roman" w:hAnsi="Times New Roman"/>
                <w:sz w:val="22"/>
              </w:rPr>
            </w:pPr>
            <w:proofErr w:type="spellStart"/>
            <w:r w:rsidRPr="00841BE0">
              <w:rPr>
                <w:rFonts w:ascii="Times New Roman" w:hAnsi="Times New Roman"/>
                <w:sz w:val="22"/>
              </w:rPr>
              <w:t>Ændring</w:t>
            </w:r>
            <w:proofErr w:type="spellEnd"/>
            <w:r w:rsidRPr="00841BE0">
              <w:rPr>
                <w:rFonts w:ascii="Times New Roman" w:hAnsi="Times New Roman"/>
                <w:sz w:val="22"/>
              </w:rPr>
              <w:t xml:space="preserve"> fra </w:t>
            </w:r>
            <w:r w:rsidRPr="00841BE0">
              <w:rPr>
                <w:rFonts w:ascii="Times New Roman" w:hAnsi="Times New Roman"/>
                <w:i/>
                <w:sz w:val="22"/>
              </w:rPr>
              <w:t>baseline</w:t>
            </w:r>
            <w:r w:rsidRPr="00841BE0">
              <w:rPr>
                <w:rFonts w:ascii="Times New Roman" w:hAnsi="Times New Roman"/>
                <w:sz w:val="22"/>
                <w:vertAlign w:val="superscript"/>
              </w:rPr>
              <w:t>1</w:t>
            </w:r>
          </w:p>
        </w:tc>
        <w:tc>
          <w:tcPr>
            <w:tcW w:w="940" w:type="pct"/>
            <w:tcBorders>
              <w:top w:val="single" w:sz="4" w:space="0" w:color="000000"/>
              <w:left w:val="single" w:sz="4" w:space="0" w:color="000000"/>
              <w:bottom w:val="single" w:sz="4" w:space="0" w:color="000000"/>
              <w:right w:val="single" w:sz="4" w:space="0" w:color="000000"/>
            </w:tcBorders>
            <w:hideMark/>
          </w:tcPr>
          <w:p w14:paraId="0B0941A0"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0,45</w:t>
            </w:r>
          </w:p>
        </w:tc>
        <w:tc>
          <w:tcPr>
            <w:tcW w:w="1174" w:type="pct"/>
            <w:tcBorders>
              <w:top w:val="single" w:sz="4" w:space="0" w:color="000000"/>
              <w:left w:val="single" w:sz="4" w:space="0" w:color="000000"/>
              <w:bottom w:val="single" w:sz="4" w:space="0" w:color="000000"/>
              <w:right w:val="single" w:sz="4" w:space="0" w:color="000000"/>
            </w:tcBorders>
            <w:hideMark/>
          </w:tcPr>
          <w:p w14:paraId="7D2755E9"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2,08</w:t>
            </w:r>
          </w:p>
        </w:tc>
        <w:tc>
          <w:tcPr>
            <w:tcW w:w="1174" w:type="pct"/>
            <w:tcBorders>
              <w:top w:val="single" w:sz="4" w:space="0" w:color="000000"/>
              <w:left w:val="single" w:sz="4" w:space="0" w:color="000000"/>
              <w:bottom w:val="single" w:sz="4" w:space="0" w:color="000000"/>
              <w:right w:val="single" w:sz="4" w:space="0" w:color="000000"/>
            </w:tcBorders>
            <w:hideMark/>
          </w:tcPr>
          <w:p w14:paraId="6917D416"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2,46</w:t>
            </w:r>
          </w:p>
        </w:tc>
      </w:tr>
      <w:tr w:rsidR="00841BE0" w:rsidRPr="00841BE0" w14:paraId="3A1CEAE7" w14:textId="77777777" w:rsidTr="0031748F">
        <w:trPr>
          <w:trHeight w:val="506"/>
        </w:trPr>
        <w:tc>
          <w:tcPr>
            <w:tcW w:w="1712" w:type="pct"/>
            <w:tcBorders>
              <w:top w:val="single" w:sz="4" w:space="0" w:color="000000"/>
              <w:left w:val="single" w:sz="4" w:space="0" w:color="000000"/>
              <w:bottom w:val="single" w:sz="4" w:space="0" w:color="000000"/>
              <w:right w:val="single" w:sz="4" w:space="0" w:color="000000"/>
            </w:tcBorders>
            <w:hideMark/>
          </w:tcPr>
          <w:p w14:paraId="212E2F19" w14:textId="77777777" w:rsidR="00841BE0" w:rsidRPr="00841BE0" w:rsidRDefault="00841BE0" w:rsidP="0031748F">
            <w:pPr>
              <w:widowControl/>
              <w:autoSpaceDE/>
              <w:autoSpaceDN/>
              <w:ind w:left="142"/>
              <w:rPr>
                <w:rFonts w:ascii="Times New Roman" w:hAnsi="Times New Roman"/>
                <w:sz w:val="22"/>
              </w:rPr>
            </w:pPr>
            <w:proofErr w:type="spellStart"/>
            <w:r w:rsidRPr="00841BE0">
              <w:rPr>
                <w:rFonts w:ascii="Times New Roman" w:hAnsi="Times New Roman"/>
                <w:sz w:val="22"/>
              </w:rPr>
              <w:t>Forskel</w:t>
            </w:r>
            <w:proofErr w:type="spellEnd"/>
            <w:r w:rsidRPr="00841BE0">
              <w:rPr>
                <w:rFonts w:ascii="Times New Roman" w:hAnsi="Times New Roman"/>
                <w:sz w:val="22"/>
              </w:rPr>
              <w:t xml:space="preserve"> </w:t>
            </w:r>
            <w:proofErr w:type="spellStart"/>
            <w:r w:rsidRPr="00841BE0">
              <w:rPr>
                <w:rFonts w:ascii="Times New Roman" w:hAnsi="Times New Roman"/>
                <w:sz w:val="22"/>
              </w:rPr>
              <w:t>til</w:t>
            </w:r>
            <w:proofErr w:type="spellEnd"/>
            <w:r w:rsidRPr="00841BE0">
              <w:rPr>
                <w:rFonts w:ascii="Times New Roman" w:hAnsi="Times New Roman"/>
                <w:sz w:val="22"/>
              </w:rPr>
              <w:t xml:space="preserve"> placebo</w:t>
            </w:r>
            <w:r w:rsidRPr="00841BE0">
              <w:rPr>
                <w:rFonts w:ascii="Times New Roman" w:hAnsi="Times New Roman"/>
                <w:sz w:val="22"/>
                <w:vertAlign w:val="superscript"/>
              </w:rPr>
              <w:t>1</w:t>
            </w:r>
          </w:p>
          <w:p w14:paraId="03D19F0A"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(97,5 % CI)</w:t>
            </w:r>
          </w:p>
        </w:tc>
        <w:tc>
          <w:tcPr>
            <w:tcW w:w="940" w:type="pct"/>
            <w:tcBorders>
              <w:top w:val="single" w:sz="4" w:space="0" w:color="000000"/>
              <w:left w:val="single" w:sz="4" w:space="0" w:color="000000"/>
              <w:bottom w:val="single" w:sz="4" w:space="0" w:color="000000"/>
              <w:right w:val="single" w:sz="4" w:space="0" w:color="000000"/>
            </w:tcBorders>
          </w:tcPr>
          <w:p w14:paraId="1BCEE4A7" w14:textId="77777777" w:rsidR="00841BE0" w:rsidRPr="00841BE0" w:rsidRDefault="00841BE0" w:rsidP="0031748F">
            <w:pPr>
              <w:widowControl/>
              <w:autoSpaceDE/>
              <w:autoSpaceDN/>
              <w:ind w:left="142"/>
              <w:rPr>
                <w:rFonts w:ascii="Times New Roman" w:hAnsi="Times New Roman"/>
                <w:sz w:val="22"/>
              </w:rPr>
            </w:pPr>
          </w:p>
        </w:tc>
        <w:tc>
          <w:tcPr>
            <w:tcW w:w="1174" w:type="pct"/>
            <w:tcBorders>
              <w:top w:val="single" w:sz="4" w:space="0" w:color="000000"/>
              <w:left w:val="single" w:sz="4" w:space="0" w:color="000000"/>
              <w:bottom w:val="single" w:sz="4" w:space="0" w:color="000000"/>
              <w:right w:val="single" w:sz="4" w:space="0" w:color="000000"/>
            </w:tcBorders>
            <w:hideMark/>
          </w:tcPr>
          <w:p w14:paraId="6B269FF9"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1,63* (</w:t>
            </w:r>
            <w:r w:rsidRPr="00841BE0">
              <w:rPr>
                <w:rFonts w:ascii="Times New Roman" w:hAnsi="Times New Roman"/>
                <w:sz w:val="22"/>
              </w:rPr>
              <w:noBreakHyphen/>
            </w:r>
            <w:proofErr w:type="gramStart"/>
            <w:r w:rsidRPr="00841BE0">
              <w:rPr>
                <w:rFonts w:ascii="Times New Roman" w:hAnsi="Times New Roman"/>
                <w:sz w:val="22"/>
              </w:rPr>
              <w:t xml:space="preserve">2,17; </w:t>
            </w:r>
            <w:r w:rsidRPr="00841BE0">
              <w:rPr>
                <w:rFonts w:ascii="Times New Roman" w:hAnsi="Times New Roman"/>
                <w:sz w:val="22"/>
              </w:rPr>
              <w:noBreakHyphen/>
            </w:r>
            <w:proofErr w:type="gramEnd"/>
            <w:r w:rsidRPr="00841BE0">
              <w:rPr>
                <w:rFonts w:ascii="Times New Roman" w:hAnsi="Times New Roman"/>
                <w:sz w:val="22"/>
              </w:rPr>
              <w:t>1,08)</w:t>
            </w:r>
          </w:p>
        </w:tc>
        <w:tc>
          <w:tcPr>
            <w:tcW w:w="1174" w:type="pct"/>
            <w:tcBorders>
              <w:top w:val="single" w:sz="4" w:space="0" w:color="000000"/>
              <w:left w:val="single" w:sz="4" w:space="0" w:color="000000"/>
              <w:bottom w:val="single" w:sz="4" w:space="0" w:color="000000"/>
              <w:right w:val="single" w:sz="4" w:space="0" w:color="000000"/>
            </w:tcBorders>
            <w:hideMark/>
          </w:tcPr>
          <w:p w14:paraId="43D41455"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2,01* (</w:t>
            </w:r>
            <w:r w:rsidRPr="00841BE0">
              <w:rPr>
                <w:rFonts w:ascii="Times New Roman" w:hAnsi="Times New Roman"/>
                <w:sz w:val="22"/>
              </w:rPr>
              <w:noBreakHyphen/>
            </w:r>
            <w:proofErr w:type="gramStart"/>
            <w:r w:rsidRPr="00841BE0">
              <w:rPr>
                <w:rFonts w:ascii="Times New Roman" w:hAnsi="Times New Roman"/>
                <w:sz w:val="22"/>
              </w:rPr>
              <w:t xml:space="preserve">2,56; </w:t>
            </w:r>
            <w:r w:rsidRPr="00841BE0">
              <w:rPr>
                <w:rFonts w:ascii="Times New Roman" w:hAnsi="Times New Roman"/>
                <w:sz w:val="22"/>
              </w:rPr>
              <w:noBreakHyphen/>
            </w:r>
            <w:proofErr w:type="gramEnd"/>
            <w:r w:rsidRPr="00841BE0">
              <w:rPr>
                <w:rFonts w:ascii="Times New Roman" w:hAnsi="Times New Roman"/>
                <w:sz w:val="22"/>
              </w:rPr>
              <w:t>1,46)</w:t>
            </w:r>
          </w:p>
        </w:tc>
      </w:tr>
      <w:tr w:rsidR="00841BE0" w:rsidRPr="00841BE0" w14:paraId="557C7D70" w14:textId="77777777" w:rsidTr="0031748F">
        <w:trPr>
          <w:trHeight w:val="251"/>
        </w:trPr>
        <w:tc>
          <w:tcPr>
            <w:tcW w:w="1712" w:type="pct"/>
            <w:tcBorders>
              <w:top w:val="single" w:sz="4" w:space="0" w:color="000000"/>
              <w:left w:val="single" w:sz="4" w:space="0" w:color="000000"/>
              <w:bottom w:val="single" w:sz="4" w:space="0" w:color="000000"/>
              <w:right w:val="single" w:sz="4" w:space="0" w:color="000000"/>
            </w:tcBorders>
            <w:hideMark/>
          </w:tcPr>
          <w:p w14:paraId="026C7A96"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N</w:t>
            </w:r>
          </w:p>
        </w:tc>
        <w:tc>
          <w:tcPr>
            <w:tcW w:w="940" w:type="pct"/>
            <w:tcBorders>
              <w:top w:val="single" w:sz="4" w:space="0" w:color="000000"/>
              <w:left w:val="single" w:sz="4" w:space="0" w:color="000000"/>
              <w:bottom w:val="single" w:sz="4" w:space="0" w:color="000000"/>
              <w:right w:val="single" w:sz="4" w:space="0" w:color="000000"/>
            </w:tcBorders>
            <w:hideMark/>
          </w:tcPr>
          <w:p w14:paraId="16A777BB"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207</w:t>
            </w:r>
          </w:p>
        </w:tc>
        <w:tc>
          <w:tcPr>
            <w:tcW w:w="1174" w:type="pct"/>
            <w:tcBorders>
              <w:top w:val="single" w:sz="4" w:space="0" w:color="000000"/>
              <w:left w:val="single" w:sz="4" w:space="0" w:color="000000"/>
              <w:bottom w:val="single" w:sz="4" w:space="0" w:color="000000"/>
              <w:right w:val="single" w:sz="4" w:space="0" w:color="000000"/>
            </w:tcBorders>
            <w:hideMark/>
          </w:tcPr>
          <w:p w14:paraId="31A8ECFF"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217</w:t>
            </w:r>
          </w:p>
        </w:tc>
        <w:tc>
          <w:tcPr>
            <w:tcW w:w="1174" w:type="pct"/>
            <w:tcBorders>
              <w:top w:val="single" w:sz="4" w:space="0" w:color="000000"/>
              <w:left w:val="single" w:sz="4" w:space="0" w:color="000000"/>
              <w:bottom w:val="single" w:sz="4" w:space="0" w:color="000000"/>
              <w:right w:val="single" w:sz="4" w:space="0" w:color="000000"/>
            </w:tcBorders>
            <w:hideMark/>
          </w:tcPr>
          <w:p w14:paraId="3898B5A0"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213</w:t>
            </w:r>
          </w:p>
        </w:tc>
      </w:tr>
      <w:tr w:rsidR="00841BE0" w:rsidRPr="00841BE0" w14:paraId="238AFC24" w14:textId="77777777" w:rsidTr="0031748F">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23E50203" w14:textId="77777777" w:rsidR="00841BE0" w:rsidRPr="00841BE0" w:rsidRDefault="00841BE0" w:rsidP="0031748F">
            <w:pPr>
              <w:widowControl/>
              <w:autoSpaceDE/>
              <w:autoSpaceDN/>
              <w:ind w:left="142"/>
              <w:rPr>
                <w:rFonts w:ascii="Times New Roman" w:hAnsi="Times New Roman"/>
                <w:b/>
                <w:sz w:val="22"/>
              </w:rPr>
            </w:pPr>
            <w:r w:rsidRPr="00841BE0">
              <w:rPr>
                <w:rFonts w:ascii="Times New Roman" w:hAnsi="Times New Roman"/>
                <w:b/>
                <w:sz w:val="22"/>
              </w:rPr>
              <w:t>SBP (mmHg)</w:t>
            </w:r>
            <w:r w:rsidRPr="00841BE0">
              <w:rPr>
                <w:rFonts w:ascii="Times New Roman" w:hAnsi="Times New Roman"/>
                <w:b/>
                <w:sz w:val="22"/>
                <w:vertAlign w:val="superscript"/>
              </w:rPr>
              <w:t>2</w:t>
            </w:r>
          </w:p>
        </w:tc>
      </w:tr>
      <w:tr w:rsidR="00841BE0" w:rsidRPr="00841BE0" w14:paraId="486684D0" w14:textId="77777777" w:rsidTr="0031748F">
        <w:trPr>
          <w:trHeight w:val="253"/>
        </w:trPr>
        <w:tc>
          <w:tcPr>
            <w:tcW w:w="1712" w:type="pct"/>
            <w:tcBorders>
              <w:top w:val="single" w:sz="4" w:space="0" w:color="000000"/>
              <w:left w:val="single" w:sz="4" w:space="0" w:color="000000"/>
              <w:bottom w:val="single" w:sz="4" w:space="0" w:color="000000"/>
              <w:right w:val="single" w:sz="4" w:space="0" w:color="000000"/>
            </w:tcBorders>
            <w:hideMark/>
          </w:tcPr>
          <w:p w14:paraId="25F7BCC2"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i/>
                <w:sz w:val="22"/>
              </w:rPr>
              <w:t xml:space="preserve">Baseline </w:t>
            </w:r>
            <w:r w:rsidRPr="00841BE0">
              <w:rPr>
                <w:rFonts w:ascii="Times New Roman" w:hAnsi="Times New Roman"/>
                <w:sz w:val="22"/>
              </w:rPr>
              <w:t>(</w:t>
            </w:r>
            <w:proofErr w:type="spellStart"/>
            <w:r w:rsidRPr="00841BE0">
              <w:rPr>
                <w:rFonts w:ascii="Times New Roman" w:hAnsi="Times New Roman"/>
                <w:sz w:val="22"/>
              </w:rPr>
              <w:t>middelværdi</w:t>
            </w:r>
            <w:proofErr w:type="spellEnd"/>
            <w:r w:rsidRPr="00841BE0">
              <w:rPr>
                <w:rFonts w:ascii="Times New Roman" w:hAnsi="Times New Roman"/>
                <w:sz w:val="22"/>
              </w:rPr>
              <w:t>)</w:t>
            </w:r>
          </w:p>
        </w:tc>
        <w:tc>
          <w:tcPr>
            <w:tcW w:w="940" w:type="pct"/>
            <w:tcBorders>
              <w:top w:val="single" w:sz="4" w:space="0" w:color="000000"/>
              <w:left w:val="single" w:sz="4" w:space="0" w:color="000000"/>
              <w:bottom w:val="single" w:sz="4" w:space="0" w:color="000000"/>
              <w:right w:val="single" w:sz="4" w:space="0" w:color="000000"/>
            </w:tcBorders>
            <w:hideMark/>
          </w:tcPr>
          <w:p w14:paraId="2C11237D"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128,6</w:t>
            </w:r>
          </w:p>
        </w:tc>
        <w:tc>
          <w:tcPr>
            <w:tcW w:w="1174" w:type="pct"/>
            <w:tcBorders>
              <w:top w:val="single" w:sz="4" w:space="0" w:color="000000"/>
              <w:left w:val="single" w:sz="4" w:space="0" w:color="000000"/>
              <w:bottom w:val="single" w:sz="4" w:space="0" w:color="000000"/>
              <w:right w:val="single" w:sz="4" w:space="0" w:color="000000"/>
            </w:tcBorders>
            <w:hideMark/>
          </w:tcPr>
          <w:p w14:paraId="288B310D"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129,6</w:t>
            </w:r>
          </w:p>
        </w:tc>
        <w:tc>
          <w:tcPr>
            <w:tcW w:w="1174" w:type="pct"/>
            <w:tcBorders>
              <w:top w:val="single" w:sz="4" w:space="0" w:color="000000"/>
              <w:left w:val="single" w:sz="4" w:space="0" w:color="000000"/>
              <w:bottom w:val="single" w:sz="4" w:space="0" w:color="000000"/>
              <w:right w:val="single" w:sz="4" w:space="0" w:color="000000"/>
            </w:tcBorders>
            <w:hideMark/>
          </w:tcPr>
          <w:p w14:paraId="7EE593DD"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130,0</w:t>
            </w:r>
          </w:p>
        </w:tc>
      </w:tr>
      <w:tr w:rsidR="00841BE0" w:rsidRPr="00841BE0" w14:paraId="27ECAA4F" w14:textId="77777777" w:rsidTr="0031748F">
        <w:trPr>
          <w:trHeight w:val="251"/>
        </w:trPr>
        <w:tc>
          <w:tcPr>
            <w:tcW w:w="1712" w:type="pct"/>
            <w:tcBorders>
              <w:top w:val="single" w:sz="4" w:space="0" w:color="000000"/>
              <w:left w:val="single" w:sz="4" w:space="0" w:color="000000"/>
              <w:bottom w:val="single" w:sz="4" w:space="0" w:color="000000"/>
              <w:right w:val="single" w:sz="4" w:space="0" w:color="000000"/>
            </w:tcBorders>
            <w:hideMark/>
          </w:tcPr>
          <w:p w14:paraId="2001FF66" w14:textId="77777777" w:rsidR="00841BE0" w:rsidRPr="00841BE0" w:rsidRDefault="00841BE0" w:rsidP="0031748F">
            <w:pPr>
              <w:widowControl/>
              <w:autoSpaceDE/>
              <w:autoSpaceDN/>
              <w:ind w:left="142"/>
              <w:rPr>
                <w:rFonts w:ascii="Times New Roman" w:hAnsi="Times New Roman"/>
                <w:sz w:val="22"/>
              </w:rPr>
            </w:pPr>
            <w:proofErr w:type="spellStart"/>
            <w:r w:rsidRPr="00841BE0">
              <w:rPr>
                <w:rFonts w:ascii="Times New Roman" w:hAnsi="Times New Roman"/>
                <w:sz w:val="22"/>
              </w:rPr>
              <w:t>Ændring</w:t>
            </w:r>
            <w:proofErr w:type="spellEnd"/>
            <w:r w:rsidRPr="00841BE0">
              <w:rPr>
                <w:rFonts w:ascii="Times New Roman" w:hAnsi="Times New Roman"/>
                <w:sz w:val="22"/>
              </w:rPr>
              <w:t xml:space="preserve"> fra </w:t>
            </w:r>
            <w:r w:rsidRPr="00841BE0">
              <w:rPr>
                <w:rFonts w:ascii="Times New Roman" w:hAnsi="Times New Roman"/>
                <w:i/>
                <w:sz w:val="22"/>
              </w:rPr>
              <w:t>baseline</w:t>
            </w:r>
            <w:r w:rsidRPr="00841BE0">
              <w:rPr>
                <w:rFonts w:ascii="Times New Roman" w:hAnsi="Times New Roman"/>
                <w:sz w:val="22"/>
                <w:vertAlign w:val="superscript"/>
              </w:rPr>
              <w:t>1</w:t>
            </w:r>
          </w:p>
        </w:tc>
        <w:tc>
          <w:tcPr>
            <w:tcW w:w="940" w:type="pct"/>
            <w:tcBorders>
              <w:top w:val="single" w:sz="4" w:space="0" w:color="000000"/>
              <w:left w:val="single" w:sz="4" w:space="0" w:color="000000"/>
              <w:bottom w:val="single" w:sz="4" w:space="0" w:color="000000"/>
              <w:right w:val="single" w:sz="4" w:space="0" w:color="000000"/>
            </w:tcBorders>
            <w:hideMark/>
          </w:tcPr>
          <w:p w14:paraId="07AFABBF"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0,4</w:t>
            </w:r>
          </w:p>
        </w:tc>
        <w:tc>
          <w:tcPr>
            <w:tcW w:w="1174" w:type="pct"/>
            <w:tcBorders>
              <w:top w:val="single" w:sz="4" w:space="0" w:color="000000"/>
              <w:left w:val="single" w:sz="4" w:space="0" w:color="000000"/>
              <w:bottom w:val="single" w:sz="4" w:space="0" w:color="000000"/>
              <w:right w:val="single" w:sz="4" w:space="0" w:color="000000"/>
            </w:tcBorders>
            <w:hideMark/>
          </w:tcPr>
          <w:p w14:paraId="795C80FF"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4,5</w:t>
            </w:r>
          </w:p>
        </w:tc>
        <w:tc>
          <w:tcPr>
            <w:tcW w:w="1174" w:type="pct"/>
            <w:tcBorders>
              <w:top w:val="single" w:sz="4" w:space="0" w:color="000000"/>
              <w:left w:val="single" w:sz="4" w:space="0" w:color="000000"/>
              <w:bottom w:val="single" w:sz="4" w:space="0" w:color="000000"/>
              <w:right w:val="single" w:sz="4" w:space="0" w:color="000000"/>
            </w:tcBorders>
            <w:hideMark/>
          </w:tcPr>
          <w:p w14:paraId="6CCDA2D5"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5,2</w:t>
            </w:r>
          </w:p>
        </w:tc>
      </w:tr>
      <w:tr w:rsidR="00841BE0" w:rsidRPr="00841BE0" w14:paraId="1BC96E7C" w14:textId="77777777" w:rsidTr="0031748F">
        <w:trPr>
          <w:trHeight w:val="506"/>
        </w:trPr>
        <w:tc>
          <w:tcPr>
            <w:tcW w:w="1712" w:type="pct"/>
            <w:tcBorders>
              <w:top w:val="single" w:sz="4" w:space="0" w:color="000000"/>
              <w:left w:val="single" w:sz="4" w:space="0" w:color="000000"/>
              <w:bottom w:val="single" w:sz="4" w:space="0" w:color="000000"/>
              <w:right w:val="single" w:sz="4" w:space="0" w:color="000000"/>
            </w:tcBorders>
            <w:hideMark/>
          </w:tcPr>
          <w:p w14:paraId="3D4E65F3" w14:textId="77777777" w:rsidR="00841BE0" w:rsidRPr="00841BE0" w:rsidRDefault="00841BE0" w:rsidP="0031748F">
            <w:pPr>
              <w:widowControl/>
              <w:autoSpaceDE/>
              <w:autoSpaceDN/>
              <w:ind w:left="142"/>
              <w:rPr>
                <w:rFonts w:ascii="Times New Roman" w:hAnsi="Times New Roman"/>
                <w:sz w:val="22"/>
              </w:rPr>
            </w:pPr>
            <w:proofErr w:type="spellStart"/>
            <w:r w:rsidRPr="00841BE0">
              <w:rPr>
                <w:rFonts w:ascii="Times New Roman" w:hAnsi="Times New Roman"/>
                <w:sz w:val="22"/>
              </w:rPr>
              <w:t>Forskel</w:t>
            </w:r>
            <w:proofErr w:type="spellEnd"/>
            <w:r w:rsidRPr="00841BE0">
              <w:rPr>
                <w:rFonts w:ascii="Times New Roman" w:hAnsi="Times New Roman"/>
                <w:sz w:val="22"/>
              </w:rPr>
              <w:t xml:space="preserve"> </w:t>
            </w:r>
            <w:proofErr w:type="spellStart"/>
            <w:r w:rsidRPr="00841BE0">
              <w:rPr>
                <w:rFonts w:ascii="Times New Roman" w:hAnsi="Times New Roman"/>
                <w:sz w:val="22"/>
              </w:rPr>
              <w:t>til</w:t>
            </w:r>
            <w:proofErr w:type="spellEnd"/>
            <w:r w:rsidRPr="00841BE0">
              <w:rPr>
                <w:rFonts w:ascii="Times New Roman" w:hAnsi="Times New Roman"/>
                <w:sz w:val="22"/>
              </w:rPr>
              <w:t xml:space="preserve"> placebo</w:t>
            </w:r>
            <w:r w:rsidRPr="00841BE0">
              <w:rPr>
                <w:rFonts w:ascii="Times New Roman" w:hAnsi="Times New Roman"/>
                <w:sz w:val="22"/>
                <w:vertAlign w:val="superscript"/>
              </w:rPr>
              <w:t>1</w:t>
            </w:r>
          </w:p>
          <w:p w14:paraId="03A9FF89"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(95 % CI)</w:t>
            </w:r>
          </w:p>
        </w:tc>
        <w:tc>
          <w:tcPr>
            <w:tcW w:w="940" w:type="pct"/>
            <w:tcBorders>
              <w:top w:val="single" w:sz="4" w:space="0" w:color="000000"/>
              <w:left w:val="single" w:sz="4" w:space="0" w:color="000000"/>
              <w:bottom w:val="single" w:sz="4" w:space="0" w:color="000000"/>
              <w:right w:val="single" w:sz="4" w:space="0" w:color="000000"/>
            </w:tcBorders>
          </w:tcPr>
          <w:p w14:paraId="2BBCDF98" w14:textId="77777777" w:rsidR="00841BE0" w:rsidRPr="00841BE0" w:rsidRDefault="00841BE0" w:rsidP="0031748F">
            <w:pPr>
              <w:widowControl/>
              <w:autoSpaceDE/>
              <w:autoSpaceDN/>
              <w:ind w:left="142"/>
              <w:rPr>
                <w:rFonts w:ascii="Times New Roman" w:hAnsi="Times New Roman"/>
                <w:sz w:val="22"/>
              </w:rPr>
            </w:pPr>
          </w:p>
        </w:tc>
        <w:tc>
          <w:tcPr>
            <w:tcW w:w="1174" w:type="pct"/>
            <w:tcBorders>
              <w:top w:val="single" w:sz="4" w:space="0" w:color="000000"/>
              <w:left w:val="single" w:sz="4" w:space="0" w:color="000000"/>
              <w:bottom w:val="single" w:sz="4" w:space="0" w:color="000000"/>
              <w:right w:val="single" w:sz="4" w:space="0" w:color="000000"/>
            </w:tcBorders>
            <w:hideMark/>
          </w:tcPr>
          <w:p w14:paraId="07DAA63C"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4,1* (</w:t>
            </w:r>
            <w:r w:rsidRPr="00841BE0">
              <w:rPr>
                <w:rFonts w:ascii="Times New Roman" w:hAnsi="Times New Roman"/>
                <w:sz w:val="22"/>
              </w:rPr>
              <w:noBreakHyphen/>
            </w:r>
            <w:proofErr w:type="gramStart"/>
            <w:r w:rsidRPr="00841BE0">
              <w:rPr>
                <w:rFonts w:ascii="Times New Roman" w:hAnsi="Times New Roman"/>
                <w:sz w:val="22"/>
              </w:rPr>
              <w:t xml:space="preserve">6,2; </w:t>
            </w:r>
            <w:r w:rsidRPr="00841BE0">
              <w:rPr>
                <w:rFonts w:ascii="Times New Roman" w:hAnsi="Times New Roman"/>
                <w:sz w:val="22"/>
              </w:rPr>
              <w:noBreakHyphen/>
            </w:r>
            <w:proofErr w:type="gramEnd"/>
            <w:r w:rsidRPr="00841BE0">
              <w:rPr>
                <w:rFonts w:ascii="Times New Roman" w:hAnsi="Times New Roman"/>
                <w:sz w:val="22"/>
              </w:rPr>
              <w:t>2,1)</w:t>
            </w:r>
          </w:p>
        </w:tc>
        <w:tc>
          <w:tcPr>
            <w:tcW w:w="1174" w:type="pct"/>
            <w:tcBorders>
              <w:top w:val="single" w:sz="4" w:space="0" w:color="000000"/>
              <w:left w:val="single" w:sz="4" w:space="0" w:color="000000"/>
              <w:bottom w:val="single" w:sz="4" w:space="0" w:color="000000"/>
              <w:right w:val="single" w:sz="4" w:space="0" w:color="000000"/>
            </w:tcBorders>
            <w:hideMark/>
          </w:tcPr>
          <w:p w14:paraId="6A28015E"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4,8* (</w:t>
            </w:r>
            <w:r w:rsidRPr="00841BE0">
              <w:rPr>
                <w:rFonts w:ascii="Times New Roman" w:hAnsi="Times New Roman"/>
                <w:sz w:val="22"/>
              </w:rPr>
              <w:noBreakHyphen/>
            </w:r>
            <w:proofErr w:type="gramStart"/>
            <w:r w:rsidRPr="00841BE0">
              <w:rPr>
                <w:rFonts w:ascii="Times New Roman" w:hAnsi="Times New Roman"/>
                <w:sz w:val="22"/>
              </w:rPr>
              <w:t xml:space="preserve">6,9; </w:t>
            </w:r>
            <w:r w:rsidRPr="00841BE0">
              <w:rPr>
                <w:rFonts w:ascii="Times New Roman" w:hAnsi="Times New Roman"/>
                <w:sz w:val="22"/>
              </w:rPr>
              <w:noBreakHyphen/>
            </w:r>
            <w:proofErr w:type="gramEnd"/>
            <w:r w:rsidRPr="00841BE0">
              <w:rPr>
                <w:rFonts w:ascii="Times New Roman" w:hAnsi="Times New Roman"/>
                <w:sz w:val="22"/>
              </w:rPr>
              <w:t>2,7)</w:t>
            </w:r>
          </w:p>
        </w:tc>
      </w:tr>
      <w:tr w:rsidR="00841BE0" w:rsidRPr="00841BE0" w14:paraId="336EADA5" w14:textId="77777777" w:rsidTr="0031748F">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19A03DC7" w14:textId="77777777" w:rsidR="00841BE0" w:rsidRPr="00841BE0" w:rsidRDefault="00841BE0" w:rsidP="0031748F">
            <w:pPr>
              <w:widowControl/>
              <w:autoSpaceDE/>
              <w:autoSpaceDN/>
              <w:ind w:left="142"/>
              <w:rPr>
                <w:rFonts w:ascii="Times New Roman" w:hAnsi="Times New Roman"/>
                <w:sz w:val="22"/>
                <w:lang w:val="da-DK"/>
              </w:rPr>
            </w:pPr>
            <w:r w:rsidRPr="00841BE0">
              <w:rPr>
                <w:rFonts w:ascii="Times New Roman" w:hAnsi="Times New Roman"/>
                <w:b/>
                <w:sz w:val="22"/>
                <w:lang w:val="da-DK"/>
              </w:rPr>
              <w:t xml:space="preserve">Supplement til behandling med </w:t>
            </w:r>
            <w:proofErr w:type="spellStart"/>
            <w:r w:rsidRPr="00841BE0">
              <w:rPr>
                <w:rFonts w:ascii="Times New Roman" w:hAnsi="Times New Roman"/>
                <w:b/>
                <w:sz w:val="22"/>
                <w:lang w:val="da-DK"/>
              </w:rPr>
              <w:t>metformin</w:t>
            </w:r>
            <w:proofErr w:type="spellEnd"/>
            <w:r w:rsidRPr="00841BE0">
              <w:rPr>
                <w:rFonts w:ascii="Times New Roman" w:hAnsi="Times New Roman"/>
                <w:b/>
                <w:sz w:val="22"/>
                <w:lang w:val="da-DK"/>
              </w:rPr>
              <w:t xml:space="preserve"> og et </w:t>
            </w:r>
            <w:proofErr w:type="spellStart"/>
            <w:r w:rsidRPr="00841BE0">
              <w:rPr>
                <w:rFonts w:ascii="Times New Roman" w:hAnsi="Times New Roman"/>
                <w:b/>
                <w:sz w:val="22"/>
                <w:lang w:val="da-DK"/>
              </w:rPr>
              <w:t>sulfonylurinstof</w:t>
            </w:r>
            <w:r w:rsidRPr="00841BE0">
              <w:rPr>
                <w:rFonts w:ascii="Times New Roman" w:hAnsi="Times New Roman"/>
                <w:sz w:val="22"/>
                <w:vertAlign w:val="superscript"/>
                <w:lang w:val="da-DK"/>
              </w:rPr>
              <w:t>a</w:t>
            </w:r>
            <w:proofErr w:type="spellEnd"/>
          </w:p>
        </w:tc>
      </w:tr>
      <w:tr w:rsidR="00841BE0" w:rsidRPr="00841BE0" w14:paraId="75B5A1FE" w14:textId="77777777" w:rsidTr="0031748F">
        <w:trPr>
          <w:trHeight w:val="254"/>
        </w:trPr>
        <w:tc>
          <w:tcPr>
            <w:tcW w:w="1712" w:type="pct"/>
            <w:vMerge w:val="restart"/>
            <w:tcBorders>
              <w:top w:val="single" w:sz="4" w:space="0" w:color="000000"/>
              <w:left w:val="single" w:sz="4" w:space="0" w:color="000000"/>
              <w:bottom w:val="single" w:sz="4" w:space="0" w:color="000000"/>
              <w:right w:val="single" w:sz="4" w:space="0" w:color="000000"/>
            </w:tcBorders>
          </w:tcPr>
          <w:p w14:paraId="38086F2E" w14:textId="77777777" w:rsidR="00841BE0" w:rsidRPr="00841BE0" w:rsidRDefault="00841BE0" w:rsidP="0031748F">
            <w:pPr>
              <w:widowControl/>
              <w:autoSpaceDE/>
              <w:autoSpaceDN/>
              <w:ind w:left="142"/>
              <w:rPr>
                <w:rFonts w:ascii="Times New Roman" w:hAnsi="Times New Roman"/>
                <w:sz w:val="22"/>
                <w:lang w:val="da-DK"/>
              </w:rPr>
            </w:pPr>
          </w:p>
        </w:tc>
        <w:tc>
          <w:tcPr>
            <w:tcW w:w="940" w:type="pct"/>
            <w:vMerge w:val="restart"/>
            <w:tcBorders>
              <w:top w:val="single" w:sz="4" w:space="0" w:color="000000"/>
              <w:left w:val="single" w:sz="4" w:space="0" w:color="000000"/>
              <w:bottom w:val="single" w:sz="4" w:space="0" w:color="000000"/>
              <w:right w:val="single" w:sz="4" w:space="0" w:color="000000"/>
            </w:tcBorders>
            <w:hideMark/>
          </w:tcPr>
          <w:p w14:paraId="369E0231" w14:textId="77777777" w:rsidR="00841BE0" w:rsidRPr="00841BE0" w:rsidRDefault="00841BE0" w:rsidP="0031748F">
            <w:pPr>
              <w:widowControl/>
              <w:autoSpaceDE/>
              <w:autoSpaceDN/>
              <w:ind w:left="142"/>
              <w:rPr>
                <w:rFonts w:ascii="Times New Roman" w:hAnsi="Times New Roman"/>
                <w:b/>
                <w:sz w:val="22"/>
              </w:rPr>
            </w:pPr>
            <w:r w:rsidRPr="00841BE0">
              <w:rPr>
                <w:rFonts w:ascii="Times New Roman" w:hAnsi="Times New Roman"/>
                <w:b/>
                <w:sz w:val="22"/>
              </w:rPr>
              <w:t>Placebo</w:t>
            </w:r>
          </w:p>
        </w:tc>
        <w:tc>
          <w:tcPr>
            <w:tcW w:w="2348" w:type="pct"/>
            <w:gridSpan w:val="2"/>
            <w:tcBorders>
              <w:top w:val="single" w:sz="4" w:space="0" w:color="000000"/>
              <w:left w:val="single" w:sz="4" w:space="0" w:color="000000"/>
              <w:bottom w:val="single" w:sz="4" w:space="0" w:color="000000"/>
              <w:right w:val="single" w:sz="4" w:space="0" w:color="000000"/>
            </w:tcBorders>
            <w:hideMark/>
          </w:tcPr>
          <w:p w14:paraId="66C6DA67" w14:textId="77777777" w:rsidR="00841BE0" w:rsidRPr="00841BE0" w:rsidRDefault="00841BE0" w:rsidP="0031748F">
            <w:pPr>
              <w:widowControl/>
              <w:autoSpaceDE/>
              <w:autoSpaceDN/>
              <w:ind w:left="142"/>
              <w:rPr>
                <w:rFonts w:ascii="Times New Roman" w:hAnsi="Times New Roman"/>
                <w:b/>
                <w:sz w:val="22"/>
              </w:rPr>
            </w:pPr>
            <w:r w:rsidRPr="00841BE0">
              <w:rPr>
                <w:rFonts w:ascii="Times New Roman" w:hAnsi="Times New Roman"/>
                <w:b/>
                <w:sz w:val="22"/>
              </w:rPr>
              <w:t>Empagliflozin</w:t>
            </w:r>
          </w:p>
        </w:tc>
      </w:tr>
      <w:tr w:rsidR="00841BE0" w:rsidRPr="00841BE0" w14:paraId="5F90F7F0" w14:textId="77777777" w:rsidTr="0031748F">
        <w:trPr>
          <w:trHeight w:val="251"/>
        </w:trPr>
        <w:tc>
          <w:tcPr>
            <w:tcW w:w="1712" w:type="pct"/>
            <w:vMerge/>
            <w:tcBorders>
              <w:top w:val="single" w:sz="4" w:space="0" w:color="000000"/>
              <w:left w:val="single" w:sz="4" w:space="0" w:color="000000"/>
              <w:bottom w:val="single" w:sz="4" w:space="0" w:color="000000"/>
              <w:right w:val="single" w:sz="4" w:space="0" w:color="000000"/>
            </w:tcBorders>
            <w:vAlign w:val="center"/>
            <w:hideMark/>
          </w:tcPr>
          <w:p w14:paraId="541481C9" w14:textId="77777777" w:rsidR="00841BE0" w:rsidRPr="00841BE0" w:rsidRDefault="00841BE0" w:rsidP="0031748F">
            <w:pPr>
              <w:widowControl/>
              <w:autoSpaceDE/>
              <w:autoSpaceDN/>
              <w:ind w:left="142"/>
              <w:rPr>
                <w:rFonts w:ascii="Times New Roman" w:hAnsi="Times New Roman"/>
                <w:sz w:val="22"/>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31C3E73E" w14:textId="77777777" w:rsidR="00841BE0" w:rsidRPr="00841BE0" w:rsidRDefault="00841BE0" w:rsidP="0031748F">
            <w:pPr>
              <w:widowControl/>
              <w:autoSpaceDE/>
              <w:autoSpaceDN/>
              <w:ind w:left="142"/>
              <w:rPr>
                <w:rFonts w:ascii="Times New Roman" w:hAnsi="Times New Roman"/>
                <w:b/>
                <w:sz w:val="22"/>
              </w:rPr>
            </w:pPr>
          </w:p>
        </w:tc>
        <w:tc>
          <w:tcPr>
            <w:tcW w:w="1174" w:type="pct"/>
            <w:tcBorders>
              <w:top w:val="single" w:sz="4" w:space="0" w:color="000000"/>
              <w:left w:val="single" w:sz="4" w:space="0" w:color="000000"/>
              <w:bottom w:val="single" w:sz="4" w:space="0" w:color="000000"/>
              <w:right w:val="single" w:sz="4" w:space="0" w:color="000000"/>
            </w:tcBorders>
            <w:hideMark/>
          </w:tcPr>
          <w:p w14:paraId="438B0C97" w14:textId="77777777" w:rsidR="00841BE0" w:rsidRPr="00841BE0" w:rsidRDefault="00841BE0" w:rsidP="0031748F">
            <w:pPr>
              <w:widowControl/>
              <w:autoSpaceDE/>
              <w:autoSpaceDN/>
              <w:ind w:left="142"/>
              <w:rPr>
                <w:rFonts w:ascii="Times New Roman" w:hAnsi="Times New Roman"/>
                <w:b/>
                <w:sz w:val="22"/>
              </w:rPr>
            </w:pPr>
            <w:r w:rsidRPr="00841BE0">
              <w:rPr>
                <w:rFonts w:ascii="Times New Roman" w:hAnsi="Times New Roman"/>
                <w:b/>
                <w:sz w:val="22"/>
              </w:rPr>
              <w:t>10 mg</w:t>
            </w:r>
          </w:p>
        </w:tc>
        <w:tc>
          <w:tcPr>
            <w:tcW w:w="1174" w:type="pct"/>
            <w:tcBorders>
              <w:top w:val="single" w:sz="4" w:space="0" w:color="000000"/>
              <w:left w:val="single" w:sz="4" w:space="0" w:color="000000"/>
              <w:bottom w:val="single" w:sz="4" w:space="0" w:color="000000"/>
              <w:right w:val="single" w:sz="4" w:space="0" w:color="000000"/>
            </w:tcBorders>
            <w:hideMark/>
          </w:tcPr>
          <w:p w14:paraId="486ED93E" w14:textId="77777777" w:rsidR="00841BE0" w:rsidRPr="00841BE0" w:rsidRDefault="00841BE0" w:rsidP="0031748F">
            <w:pPr>
              <w:widowControl/>
              <w:autoSpaceDE/>
              <w:autoSpaceDN/>
              <w:ind w:left="142"/>
              <w:rPr>
                <w:rFonts w:ascii="Times New Roman" w:hAnsi="Times New Roman"/>
                <w:b/>
                <w:sz w:val="22"/>
              </w:rPr>
            </w:pPr>
            <w:r w:rsidRPr="00841BE0">
              <w:rPr>
                <w:rFonts w:ascii="Times New Roman" w:hAnsi="Times New Roman"/>
                <w:b/>
                <w:sz w:val="22"/>
              </w:rPr>
              <w:t>25 mg</w:t>
            </w:r>
          </w:p>
        </w:tc>
      </w:tr>
      <w:tr w:rsidR="00841BE0" w:rsidRPr="00841BE0" w14:paraId="085224E2" w14:textId="77777777" w:rsidTr="0031748F">
        <w:trPr>
          <w:trHeight w:val="253"/>
        </w:trPr>
        <w:tc>
          <w:tcPr>
            <w:tcW w:w="1712" w:type="pct"/>
            <w:tcBorders>
              <w:top w:val="single" w:sz="4" w:space="0" w:color="000000"/>
              <w:left w:val="single" w:sz="4" w:space="0" w:color="000000"/>
              <w:bottom w:val="single" w:sz="4" w:space="0" w:color="000000"/>
              <w:right w:val="single" w:sz="4" w:space="0" w:color="000000"/>
            </w:tcBorders>
            <w:hideMark/>
          </w:tcPr>
          <w:p w14:paraId="578498EA"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N</w:t>
            </w:r>
          </w:p>
        </w:tc>
        <w:tc>
          <w:tcPr>
            <w:tcW w:w="940" w:type="pct"/>
            <w:tcBorders>
              <w:top w:val="single" w:sz="4" w:space="0" w:color="000000"/>
              <w:left w:val="single" w:sz="4" w:space="0" w:color="000000"/>
              <w:bottom w:val="single" w:sz="4" w:space="0" w:color="000000"/>
              <w:right w:val="single" w:sz="4" w:space="0" w:color="000000"/>
            </w:tcBorders>
            <w:hideMark/>
          </w:tcPr>
          <w:p w14:paraId="14EB23F9"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225</w:t>
            </w:r>
          </w:p>
        </w:tc>
        <w:tc>
          <w:tcPr>
            <w:tcW w:w="1174" w:type="pct"/>
            <w:tcBorders>
              <w:top w:val="single" w:sz="4" w:space="0" w:color="000000"/>
              <w:left w:val="single" w:sz="4" w:space="0" w:color="000000"/>
              <w:bottom w:val="single" w:sz="4" w:space="0" w:color="000000"/>
              <w:right w:val="single" w:sz="4" w:space="0" w:color="000000"/>
            </w:tcBorders>
            <w:hideMark/>
          </w:tcPr>
          <w:p w14:paraId="1BCFCE91"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225</w:t>
            </w:r>
          </w:p>
        </w:tc>
        <w:tc>
          <w:tcPr>
            <w:tcW w:w="1174" w:type="pct"/>
            <w:tcBorders>
              <w:top w:val="single" w:sz="4" w:space="0" w:color="000000"/>
              <w:left w:val="single" w:sz="4" w:space="0" w:color="000000"/>
              <w:bottom w:val="single" w:sz="4" w:space="0" w:color="000000"/>
              <w:right w:val="single" w:sz="4" w:space="0" w:color="000000"/>
            </w:tcBorders>
            <w:hideMark/>
          </w:tcPr>
          <w:p w14:paraId="0E34529E"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216</w:t>
            </w:r>
          </w:p>
        </w:tc>
      </w:tr>
      <w:tr w:rsidR="00841BE0" w:rsidRPr="00841BE0" w14:paraId="6F1E7F7E" w14:textId="77777777" w:rsidTr="0031748F">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525DAF64" w14:textId="77777777" w:rsidR="00841BE0" w:rsidRPr="00841BE0" w:rsidRDefault="00841BE0" w:rsidP="0031748F">
            <w:pPr>
              <w:widowControl/>
              <w:autoSpaceDE/>
              <w:autoSpaceDN/>
              <w:ind w:left="142"/>
              <w:rPr>
                <w:rFonts w:ascii="Times New Roman" w:hAnsi="Times New Roman"/>
                <w:b/>
                <w:sz w:val="22"/>
              </w:rPr>
            </w:pPr>
            <w:r w:rsidRPr="00841BE0">
              <w:rPr>
                <w:rFonts w:ascii="Times New Roman" w:hAnsi="Times New Roman"/>
                <w:b/>
                <w:sz w:val="22"/>
              </w:rPr>
              <w:t>HbA1c (%)</w:t>
            </w:r>
          </w:p>
        </w:tc>
      </w:tr>
      <w:tr w:rsidR="00841BE0" w:rsidRPr="00841BE0" w14:paraId="410DF065" w14:textId="77777777" w:rsidTr="0031748F">
        <w:trPr>
          <w:trHeight w:val="253"/>
        </w:trPr>
        <w:tc>
          <w:tcPr>
            <w:tcW w:w="1712" w:type="pct"/>
            <w:tcBorders>
              <w:top w:val="single" w:sz="4" w:space="0" w:color="000000"/>
              <w:left w:val="single" w:sz="4" w:space="0" w:color="000000"/>
              <w:bottom w:val="single" w:sz="4" w:space="0" w:color="000000"/>
              <w:right w:val="single" w:sz="4" w:space="0" w:color="000000"/>
            </w:tcBorders>
            <w:hideMark/>
          </w:tcPr>
          <w:p w14:paraId="000E01C2"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i/>
                <w:sz w:val="22"/>
              </w:rPr>
              <w:t xml:space="preserve">Baseline </w:t>
            </w:r>
            <w:r w:rsidRPr="00841BE0">
              <w:rPr>
                <w:rFonts w:ascii="Times New Roman" w:hAnsi="Times New Roman"/>
                <w:sz w:val="22"/>
              </w:rPr>
              <w:t>(</w:t>
            </w:r>
            <w:proofErr w:type="spellStart"/>
            <w:r w:rsidRPr="00841BE0">
              <w:rPr>
                <w:rFonts w:ascii="Times New Roman" w:hAnsi="Times New Roman"/>
                <w:sz w:val="22"/>
              </w:rPr>
              <w:t>middelværdi</w:t>
            </w:r>
            <w:proofErr w:type="spellEnd"/>
            <w:r w:rsidRPr="00841BE0">
              <w:rPr>
                <w:rFonts w:ascii="Times New Roman" w:hAnsi="Times New Roman"/>
                <w:sz w:val="22"/>
              </w:rPr>
              <w:t>)</w:t>
            </w:r>
          </w:p>
        </w:tc>
        <w:tc>
          <w:tcPr>
            <w:tcW w:w="940" w:type="pct"/>
            <w:tcBorders>
              <w:top w:val="single" w:sz="4" w:space="0" w:color="000000"/>
              <w:left w:val="single" w:sz="4" w:space="0" w:color="000000"/>
              <w:bottom w:val="single" w:sz="4" w:space="0" w:color="000000"/>
              <w:right w:val="single" w:sz="4" w:space="0" w:color="000000"/>
            </w:tcBorders>
            <w:hideMark/>
          </w:tcPr>
          <w:p w14:paraId="3466220E"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8,15</w:t>
            </w:r>
          </w:p>
        </w:tc>
        <w:tc>
          <w:tcPr>
            <w:tcW w:w="1174" w:type="pct"/>
            <w:tcBorders>
              <w:top w:val="single" w:sz="4" w:space="0" w:color="000000"/>
              <w:left w:val="single" w:sz="4" w:space="0" w:color="000000"/>
              <w:bottom w:val="single" w:sz="4" w:space="0" w:color="000000"/>
              <w:right w:val="single" w:sz="4" w:space="0" w:color="000000"/>
            </w:tcBorders>
            <w:hideMark/>
          </w:tcPr>
          <w:p w14:paraId="4D353DDE"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8,07</w:t>
            </w:r>
          </w:p>
        </w:tc>
        <w:tc>
          <w:tcPr>
            <w:tcW w:w="1174" w:type="pct"/>
            <w:tcBorders>
              <w:top w:val="single" w:sz="4" w:space="0" w:color="000000"/>
              <w:left w:val="single" w:sz="4" w:space="0" w:color="000000"/>
              <w:bottom w:val="single" w:sz="4" w:space="0" w:color="000000"/>
              <w:right w:val="single" w:sz="4" w:space="0" w:color="000000"/>
            </w:tcBorders>
            <w:hideMark/>
          </w:tcPr>
          <w:p w14:paraId="0E933967"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8,10</w:t>
            </w:r>
          </w:p>
        </w:tc>
      </w:tr>
      <w:tr w:rsidR="00841BE0" w:rsidRPr="00841BE0" w14:paraId="1EFE766B" w14:textId="77777777" w:rsidTr="0031748F">
        <w:trPr>
          <w:trHeight w:val="251"/>
        </w:trPr>
        <w:tc>
          <w:tcPr>
            <w:tcW w:w="1712" w:type="pct"/>
            <w:tcBorders>
              <w:top w:val="single" w:sz="4" w:space="0" w:color="000000"/>
              <w:left w:val="single" w:sz="4" w:space="0" w:color="000000"/>
              <w:bottom w:val="single" w:sz="4" w:space="0" w:color="000000"/>
              <w:right w:val="single" w:sz="4" w:space="0" w:color="000000"/>
            </w:tcBorders>
            <w:hideMark/>
          </w:tcPr>
          <w:p w14:paraId="4ECC3393" w14:textId="77777777" w:rsidR="00841BE0" w:rsidRPr="00841BE0" w:rsidRDefault="00841BE0" w:rsidP="0031748F">
            <w:pPr>
              <w:widowControl/>
              <w:autoSpaceDE/>
              <w:autoSpaceDN/>
              <w:ind w:left="142"/>
              <w:rPr>
                <w:rFonts w:ascii="Times New Roman" w:hAnsi="Times New Roman"/>
                <w:sz w:val="22"/>
              </w:rPr>
            </w:pPr>
            <w:proofErr w:type="spellStart"/>
            <w:r w:rsidRPr="00841BE0">
              <w:rPr>
                <w:rFonts w:ascii="Times New Roman" w:hAnsi="Times New Roman"/>
                <w:sz w:val="22"/>
              </w:rPr>
              <w:t>Ændring</w:t>
            </w:r>
            <w:proofErr w:type="spellEnd"/>
            <w:r w:rsidRPr="00841BE0">
              <w:rPr>
                <w:rFonts w:ascii="Times New Roman" w:hAnsi="Times New Roman"/>
                <w:sz w:val="22"/>
              </w:rPr>
              <w:t xml:space="preserve"> fra </w:t>
            </w:r>
            <w:r w:rsidRPr="00841BE0">
              <w:rPr>
                <w:rFonts w:ascii="Times New Roman" w:hAnsi="Times New Roman"/>
                <w:i/>
                <w:sz w:val="22"/>
              </w:rPr>
              <w:t>baseline</w:t>
            </w:r>
            <w:r w:rsidRPr="00841BE0">
              <w:rPr>
                <w:rFonts w:ascii="Times New Roman" w:hAnsi="Times New Roman"/>
                <w:sz w:val="22"/>
                <w:vertAlign w:val="superscript"/>
              </w:rPr>
              <w:t>1</w:t>
            </w:r>
          </w:p>
        </w:tc>
        <w:tc>
          <w:tcPr>
            <w:tcW w:w="940" w:type="pct"/>
            <w:tcBorders>
              <w:top w:val="single" w:sz="4" w:space="0" w:color="000000"/>
              <w:left w:val="single" w:sz="4" w:space="0" w:color="000000"/>
              <w:bottom w:val="single" w:sz="4" w:space="0" w:color="000000"/>
              <w:right w:val="single" w:sz="4" w:space="0" w:color="000000"/>
            </w:tcBorders>
            <w:hideMark/>
          </w:tcPr>
          <w:p w14:paraId="0AE362ED"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0,17</w:t>
            </w:r>
          </w:p>
        </w:tc>
        <w:tc>
          <w:tcPr>
            <w:tcW w:w="1174" w:type="pct"/>
            <w:tcBorders>
              <w:top w:val="single" w:sz="4" w:space="0" w:color="000000"/>
              <w:left w:val="single" w:sz="4" w:space="0" w:color="000000"/>
              <w:bottom w:val="single" w:sz="4" w:space="0" w:color="000000"/>
              <w:right w:val="single" w:sz="4" w:space="0" w:color="000000"/>
            </w:tcBorders>
            <w:hideMark/>
          </w:tcPr>
          <w:p w14:paraId="5056CD60"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0,82</w:t>
            </w:r>
          </w:p>
        </w:tc>
        <w:tc>
          <w:tcPr>
            <w:tcW w:w="1174" w:type="pct"/>
            <w:tcBorders>
              <w:top w:val="single" w:sz="4" w:space="0" w:color="000000"/>
              <w:left w:val="single" w:sz="4" w:space="0" w:color="000000"/>
              <w:bottom w:val="single" w:sz="4" w:space="0" w:color="000000"/>
              <w:right w:val="single" w:sz="4" w:space="0" w:color="000000"/>
            </w:tcBorders>
            <w:hideMark/>
          </w:tcPr>
          <w:p w14:paraId="2D11CD51"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0,77</w:t>
            </w:r>
          </w:p>
        </w:tc>
      </w:tr>
      <w:tr w:rsidR="00841BE0" w:rsidRPr="00841BE0" w14:paraId="66D108D8" w14:textId="77777777" w:rsidTr="0031748F">
        <w:trPr>
          <w:trHeight w:val="505"/>
        </w:trPr>
        <w:tc>
          <w:tcPr>
            <w:tcW w:w="1712" w:type="pct"/>
            <w:tcBorders>
              <w:top w:val="single" w:sz="4" w:space="0" w:color="000000"/>
              <w:left w:val="single" w:sz="4" w:space="0" w:color="000000"/>
              <w:bottom w:val="single" w:sz="4" w:space="0" w:color="000000"/>
              <w:right w:val="single" w:sz="4" w:space="0" w:color="000000"/>
            </w:tcBorders>
            <w:hideMark/>
          </w:tcPr>
          <w:p w14:paraId="2311A01E" w14:textId="77777777" w:rsidR="00841BE0" w:rsidRPr="00841BE0" w:rsidRDefault="00841BE0" w:rsidP="0031748F">
            <w:pPr>
              <w:widowControl/>
              <w:autoSpaceDE/>
              <w:autoSpaceDN/>
              <w:ind w:left="142"/>
              <w:rPr>
                <w:rFonts w:ascii="Times New Roman" w:hAnsi="Times New Roman"/>
                <w:sz w:val="22"/>
              </w:rPr>
            </w:pPr>
            <w:proofErr w:type="spellStart"/>
            <w:r w:rsidRPr="00841BE0">
              <w:rPr>
                <w:rFonts w:ascii="Times New Roman" w:hAnsi="Times New Roman"/>
                <w:sz w:val="22"/>
              </w:rPr>
              <w:t>Forskel</w:t>
            </w:r>
            <w:proofErr w:type="spellEnd"/>
            <w:r w:rsidRPr="00841BE0">
              <w:rPr>
                <w:rFonts w:ascii="Times New Roman" w:hAnsi="Times New Roman"/>
                <w:sz w:val="22"/>
              </w:rPr>
              <w:t xml:space="preserve"> </w:t>
            </w:r>
            <w:proofErr w:type="spellStart"/>
            <w:r w:rsidRPr="00841BE0">
              <w:rPr>
                <w:rFonts w:ascii="Times New Roman" w:hAnsi="Times New Roman"/>
                <w:sz w:val="22"/>
              </w:rPr>
              <w:t>til</w:t>
            </w:r>
            <w:proofErr w:type="spellEnd"/>
            <w:r w:rsidRPr="00841BE0">
              <w:rPr>
                <w:rFonts w:ascii="Times New Roman" w:hAnsi="Times New Roman"/>
                <w:sz w:val="22"/>
              </w:rPr>
              <w:t xml:space="preserve"> placebo</w:t>
            </w:r>
            <w:r w:rsidRPr="00841BE0">
              <w:rPr>
                <w:rFonts w:ascii="Times New Roman" w:hAnsi="Times New Roman"/>
                <w:sz w:val="22"/>
                <w:vertAlign w:val="superscript"/>
              </w:rPr>
              <w:t>1</w:t>
            </w:r>
          </w:p>
          <w:p w14:paraId="7638700B"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(97,5 % CI)</w:t>
            </w:r>
          </w:p>
        </w:tc>
        <w:tc>
          <w:tcPr>
            <w:tcW w:w="940" w:type="pct"/>
            <w:tcBorders>
              <w:top w:val="single" w:sz="4" w:space="0" w:color="000000"/>
              <w:left w:val="single" w:sz="4" w:space="0" w:color="000000"/>
              <w:bottom w:val="single" w:sz="4" w:space="0" w:color="000000"/>
              <w:right w:val="single" w:sz="4" w:space="0" w:color="000000"/>
            </w:tcBorders>
          </w:tcPr>
          <w:p w14:paraId="6E2F4B55" w14:textId="77777777" w:rsidR="00841BE0" w:rsidRPr="00841BE0" w:rsidRDefault="00841BE0" w:rsidP="0031748F">
            <w:pPr>
              <w:widowControl/>
              <w:autoSpaceDE/>
              <w:autoSpaceDN/>
              <w:ind w:left="142"/>
              <w:rPr>
                <w:rFonts w:ascii="Times New Roman" w:hAnsi="Times New Roman"/>
                <w:sz w:val="22"/>
              </w:rPr>
            </w:pPr>
          </w:p>
        </w:tc>
        <w:tc>
          <w:tcPr>
            <w:tcW w:w="1174" w:type="pct"/>
            <w:tcBorders>
              <w:top w:val="single" w:sz="4" w:space="0" w:color="000000"/>
              <w:left w:val="single" w:sz="4" w:space="0" w:color="000000"/>
              <w:bottom w:val="single" w:sz="4" w:space="0" w:color="000000"/>
              <w:right w:val="single" w:sz="4" w:space="0" w:color="000000"/>
            </w:tcBorders>
            <w:hideMark/>
          </w:tcPr>
          <w:p w14:paraId="2769E71A"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0,64* (</w:t>
            </w:r>
            <w:r w:rsidRPr="00841BE0">
              <w:rPr>
                <w:rFonts w:ascii="Times New Roman" w:hAnsi="Times New Roman"/>
                <w:sz w:val="22"/>
              </w:rPr>
              <w:noBreakHyphen/>
            </w:r>
            <w:proofErr w:type="gramStart"/>
            <w:r w:rsidRPr="00841BE0">
              <w:rPr>
                <w:rFonts w:ascii="Times New Roman" w:hAnsi="Times New Roman"/>
                <w:sz w:val="22"/>
              </w:rPr>
              <w:t xml:space="preserve">0,79; </w:t>
            </w:r>
            <w:r w:rsidRPr="00841BE0">
              <w:rPr>
                <w:rFonts w:ascii="Times New Roman" w:hAnsi="Times New Roman"/>
                <w:sz w:val="22"/>
              </w:rPr>
              <w:noBreakHyphen/>
            </w:r>
            <w:proofErr w:type="gramEnd"/>
            <w:r w:rsidRPr="00841BE0">
              <w:rPr>
                <w:rFonts w:ascii="Times New Roman" w:hAnsi="Times New Roman"/>
                <w:sz w:val="22"/>
              </w:rPr>
              <w:t>0,49)</w:t>
            </w:r>
          </w:p>
        </w:tc>
        <w:tc>
          <w:tcPr>
            <w:tcW w:w="1174" w:type="pct"/>
            <w:tcBorders>
              <w:top w:val="single" w:sz="4" w:space="0" w:color="000000"/>
              <w:left w:val="single" w:sz="4" w:space="0" w:color="000000"/>
              <w:bottom w:val="single" w:sz="4" w:space="0" w:color="000000"/>
              <w:right w:val="single" w:sz="4" w:space="0" w:color="000000"/>
            </w:tcBorders>
            <w:hideMark/>
          </w:tcPr>
          <w:p w14:paraId="24D3A797"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0,59* (</w:t>
            </w:r>
            <w:r w:rsidRPr="00841BE0">
              <w:rPr>
                <w:rFonts w:ascii="Times New Roman" w:hAnsi="Times New Roman"/>
                <w:sz w:val="22"/>
              </w:rPr>
              <w:noBreakHyphen/>
            </w:r>
            <w:proofErr w:type="gramStart"/>
            <w:r w:rsidRPr="00841BE0">
              <w:rPr>
                <w:rFonts w:ascii="Times New Roman" w:hAnsi="Times New Roman"/>
                <w:sz w:val="22"/>
              </w:rPr>
              <w:t xml:space="preserve">0,74; </w:t>
            </w:r>
            <w:r w:rsidRPr="00841BE0">
              <w:rPr>
                <w:rFonts w:ascii="Times New Roman" w:hAnsi="Times New Roman"/>
                <w:sz w:val="22"/>
              </w:rPr>
              <w:noBreakHyphen/>
            </w:r>
            <w:proofErr w:type="gramEnd"/>
            <w:r w:rsidRPr="00841BE0">
              <w:rPr>
                <w:rFonts w:ascii="Times New Roman" w:hAnsi="Times New Roman"/>
                <w:sz w:val="22"/>
              </w:rPr>
              <w:t>0,44)</w:t>
            </w:r>
          </w:p>
        </w:tc>
      </w:tr>
      <w:tr w:rsidR="00841BE0" w:rsidRPr="00841BE0" w14:paraId="13DBF3D1" w14:textId="77777777" w:rsidTr="0031748F">
        <w:trPr>
          <w:trHeight w:val="254"/>
        </w:trPr>
        <w:tc>
          <w:tcPr>
            <w:tcW w:w="1712" w:type="pct"/>
            <w:tcBorders>
              <w:top w:val="single" w:sz="4" w:space="0" w:color="000000"/>
              <w:left w:val="single" w:sz="4" w:space="0" w:color="000000"/>
              <w:bottom w:val="single" w:sz="4" w:space="0" w:color="000000"/>
              <w:right w:val="single" w:sz="4" w:space="0" w:color="000000"/>
            </w:tcBorders>
            <w:hideMark/>
          </w:tcPr>
          <w:p w14:paraId="7C4D411F"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N</w:t>
            </w:r>
          </w:p>
        </w:tc>
        <w:tc>
          <w:tcPr>
            <w:tcW w:w="940" w:type="pct"/>
            <w:tcBorders>
              <w:top w:val="single" w:sz="4" w:space="0" w:color="000000"/>
              <w:left w:val="single" w:sz="4" w:space="0" w:color="000000"/>
              <w:bottom w:val="single" w:sz="4" w:space="0" w:color="000000"/>
              <w:right w:val="single" w:sz="4" w:space="0" w:color="000000"/>
            </w:tcBorders>
            <w:hideMark/>
          </w:tcPr>
          <w:p w14:paraId="3AC84FBA"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216</w:t>
            </w:r>
          </w:p>
        </w:tc>
        <w:tc>
          <w:tcPr>
            <w:tcW w:w="1174" w:type="pct"/>
            <w:tcBorders>
              <w:top w:val="single" w:sz="4" w:space="0" w:color="000000"/>
              <w:left w:val="single" w:sz="4" w:space="0" w:color="000000"/>
              <w:bottom w:val="single" w:sz="4" w:space="0" w:color="000000"/>
              <w:right w:val="single" w:sz="4" w:space="0" w:color="000000"/>
            </w:tcBorders>
            <w:hideMark/>
          </w:tcPr>
          <w:p w14:paraId="31A76A03"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209</w:t>
            </w:r>
          </w:p>
        </w:tc>
        <w:tc>
          <w:tcPr>
            <w:tcW w:w="1174" w:type="pct"/>
            <w:tcBorders>
              <w:top w:val="single" w:sz="4" w:space="0" w:color="000000"/>
              <w:left w:val="single" w:sz="4" w:space="0" w:color="000000"/>
              <w:bottom w:val="single" w:sz="4" w:space="0" w:color="000000"/>
              <w:right w:val="single" w:sz="4" w:space="0" w:color="000000"/>
            </w:tcBorders>
            <w:hideMark/>
          </w:tcPr>
          <w:p w14:paraId="7E9ACDF4"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202</w:t>
            </w:r>
          </w:p>
        </w:tc>
      </w:tr>
      <w:tr w:rsidR="00841BE0" w:rsidRPr="00841BE0" w14:paraId="414BB2DA" w14:textId="77777777" w:rsidTr="0031748F">
        <w:trPr>
          <w:trHeight w:val="757"/>
        </w:trPr>
        <w:tc>
          <w:tcPr>
            <w:tcW w:w="1712" w:type="pct"/>
            <w:tcBorders>
              <w:top w:val="single" w:sz="4" w:space="0" w:color="000000"/>
              <w:left w:val="single" w:sz="4" w:space="0" w:color="000000"/>
              <w:bottom w:val="single" w:sz="4" w:space="0" w:color="000000"/>
              <w:right w:val="single" w:sz="4" w:space="0" w:color="000000"/>
            </w:tcBorders>
            <w:hideMark/>
          </w:tcPr>
          <w:p w14:paraId="78255B3C" w14:textId="77777777" w:rsidR="00841BE0" w:rsidRPr="00841BE0" w:rsidRDefault="00841BE0" w:rsidP="0031748F">
            <w:pPr>
              <w:widowControl/>
              <w:autoSpaceDE/>
              <w:autoSpaceDN/>
              <w:ind w:left="142"/>
              <w:rPr>
                <w:rFonts w:ascii="Times New Roman" w:hAnsi="Times New Roman"/>
                <w:b/>
                <w:sz w:val="22"/>
                <w:lang w:val="da-DK"/>
              </w:rPr>
            </w:pPr>
            <w:r w:rsidRPr="00841BE0">
              <w:rPr>
                <w:rFonts w:ascii="Times New Roman" w:hAnsi="Times New Roman"/>
                <w:b/>
                <w:sz w:val="22"/>
                <w:lang w:val="da-DK"/>
              </w:rPr>
              <w:t xml:space="preserve">Patienter (%) der opnåede HbA1c &lt; 7 % efter et </w:t>
            </w:r>
            <w:r w:rsidRPr="00841BE0">
              <w:rPr>
                <w:rFonts w:ascii="Times New Roman" w:hAnsi="Times New Roman"/>
                <w:b/>
                <w:i/>
                <w:sz w:val="22"/>
                <w:lang w:val="da-DK"/>
              </w:rPr>
              <w:t>baseline</w:t>
            </w:r>
            <w:r w:rsidRPr="00841BE0">
              <w:rPr>
                <w:rFonts w:ascii="Times New Roman" w:hAnsi="Times New Roman"/>
                <w:b/>
                <w:sz w:val="22"/>
                <w:lang w:val="da-DK"/>
              </w:rPr>
              <w:t>-HbA1c ≥ 7 %</w:t>
            </w:r>
            <w:r w:rsidRPr="00841BE0">
              <w:rPr>
                <w:rFonts w:ascii="Times New Roman" w:hAnsi="Times New Roman"/>
                <w:b/>
                <w:sz w:val="22"/>
                <w:vertAlign w:val="superscript"/>
                <w:lang w:val="da-DK"/>
              </w:rPr>
              <w:t>2</w:t>
            </w:r>
          </w:p>
        </w:tc>
        <w:tc>
          <w:tcPr>
            <w:tcW w:w="940" w:type="pct"/>
            <w:tcBorders>
              <w:top w:val="single" w:sz="4" w:space="0" w:color="000000"/>
              <w:left w:val="single" w:sz="4" w:space="0" w:color="000000"/>
              <w:bottom w:val="single" w:sz="4" w:space="0" w:color="000000"/>
              <w:right w:val="single" w:sz="4" w:space="0" w:color="000000"/>
            </w:tcBorders>
            <w:hideMark/>
          </w:tcPr>
          <w:p w14:paraId="4C2A037C"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9,3</w:t>
            </w:r>
          </w:p>
        </w:tc>
        <w:tc>
          <w:tcPr>
            <w:tcW w:w="1174" w:type="pct"/>
            <w:tcBorders>
              <w:top w:val="single" w:sz="4" w:space="0" w:color="000000"/>
              <w:left w:val="single" w:sz="4" w:space="0" w:color="000000"/>
              <w:bottom w:val="single" w:sz="4" w:space="0" w:color="000000"/>
              <w:right w:val="single" w:sz="4" w:space="0" w:color="000000"/>
            </w:tcBorders>
            <w:hideMark/>
          </w:tcPr>
          <w:p w14:paraId="02D47B1A"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26,3</w:t>
            </w:r>
          </w:p>
        </w:tc>
        <w:tc>
          <w:tcPr>
            <w:tcW w:w="1174" w:type="pct"/>
            <w:tcBorders>
              <w:top w:val="single" w:sz="4" w:space="0" w:color="000000"/>
              <w:left w:val="single" w:sz="4" w:space="0" w:color="000000"/>
              <w:bottom w:val="single" w:sz="4" w:space="0" w:color="000000"/>
              <w:right w:val="single" w:sz="4" w:space="0" w:color="000000"/>
            </w:tcBorders>
            <w:hideMark/>
          </w:tcPr>
          <w:p w14:paraId="2C8339C3"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32,2</w:t>
            </w:r>
          </w:p>
        </w:tc>
      </w:tr>
      <w:tr w:rsidR="00841BE0" w:rsidRPr="00841BE0" w14:paraId="31413762" w14:textId="77777777" w:rsidTr="0031748F">
        <w:trPr>
          <w:trHeight w:val="254"/>
        </w:trPr>
        <w:tc>
          <w:tcPr>
            <w:tcW w:w="1712" w:type="pct"/>
            <w:tcBorders>
              <w:top w:val="single" w:sz="4" w:space="0" w:color="000000"/>
              <w:left w:val="single" w:sz="4" w:space="0" w:color="000000"/>
              <w:bottom w:val="single" w:sz="4" w:space="0" w:color="000000"/>
              <w:right w:val="single" w:sz="4" w:space="0" w:color="000000"/>
            </w:tcBorders>
            <w:hideMark/>
          </w:tcPr>
          <w:p w14:paraId="10192AD7"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N</w:t>
            </w:r>
          </w:p>
        </w:tc>
        <w:tc>
          <w:tcPr>
            <w:tcW w:w="940" w:type="pct"/>
            <w:tcBorders>
              <w:top w:val="single" w:sz="4" w:space="0" w:color="000000"/>
              <w:left w:val="single" w:sz="4" w:space="0" w:color="000000"/>
              <w:bottom w:val="single" w:sz="4" w:space="0" w:color="000000"/>
              <w:right w:val="single" w:sz="4" w:space="0" w:color="000000"/>
            </w:tcBorders>
            <w:hideMark/>
          </w:tcPr>
          <w:p w14:paraId="308D452F"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225</w:t>
            </w:r>
          </w:p>
        </w:tc>
        <w:tc>
          <w:tcPr>
            <w:tcW w:w="1174" w:type="pct"/>
            <w:tcBorders>
              <w:top w:val="single" w:sz="4" w:space="0" w:color="000000"/>
              <w:left w:val="single" w:sz="4" w:space="0" w:color="000000"/>
              <w:bottom w:val="single" w:sz="4" w:space="0" w:color="000000"/>
              <w:right w:val="single" w:sz="4" w:space="0" w:color="000000"/>
            </w:tcBorders>
            <w:hideMark/>
          </w:tcPr>
          <w:p w14:paraId="36A3F610"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225</w:t>
            </w:r>
          </w:p>
        </w:tc>
        <w:tc>
          <w:tcPr>
            <w:tcW w:w="1174" w:type="pct"/>
            <w:tcBorders>
              <w:top w:val="single" w:sz="4" w:space="0" w:color="000000"/>
              <w:left w:val="single" w:sz="4" w:space="0" w:color="000000"/>
              <w:bottom w:val="single" w:sz="4" w:space="0" w:color="000000"/>
              <w:right w:val="single" w:sz="4" w:space="0" w:color="000000"/>
            </w:tcBorders>
            <w:hideMark/>
          </w:tcPr>
          <w:p w14:paraId="4B23A36C"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216</w:t>
            </w:r>
          </w:p>
        </w:tc>
      </w:tr>
      <w:tr w:rsidR="00841BE0" w:rsidRPr="00841BE0" w14:paraId="63A2E779" w14:textId="77777777" w:rsidTr="0031748F">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2DF67994" w14:textId="77777777" w:rsidR="00841BE0" w:rsidRPr="00841BE0" w:rsidRDefault="00841BE0" w:rsidP="0031748F">
            <w:pPr>
              <w:widowControl/>
              <w:autoSpaceDE/>
              <w:autoSpaceDN/>
              <w:ind w:left="142"/>
              <w:rPr>
                <w:rFonts w:ascii="Times New Roman" w:hAnsi="Times New Roman"/>
                <w:b/>
                <w:sz w:val="22"/>
              </w:rPr>
            </w:pPr>
            <w:proofErr w:type="spellStart"/>
            <w:r w:rsidRPr="00841BE0">
              <w:rPr>
                <w:rFonts w:ascii="Times New Roman" w:hAnsi="Times New Roman"/>
                <w:b/>
                <w:sz w:val="22"/>
              </w:rPr>
              <w:t>Legemsvægt</w:t>
            </w:r>
            <w:proofErr w:type="spellEnd"/>
            <w:r w:rsidRPr="00841BE0">
              <w:rPr>
                <w:rFonts w:ascii="Times New Roman" w:hAnsi="Times New Roman"/>
                <w:b/>
                <w:sz w:val="22"/>
              </w:rPr>
              <w:t xml:space="preserve"> (kg)</w:t>
            </w:r>
          </w:p>
        </w:tc>
      </w:tr>
      <w:tr w:rsidR="00841BE0" w:rsidRPr="00841BE0" w14:paraId="06BC5AEE" w14:textId="77777777" w:rsidTr="0031748F">
        <w:trPr>
          <w:trHeight w:val="251"/>
        </w:trPr>
        <w:tc>
          <w:tcPr>
            <w:tcW w:w="1712" w:type="pct"/>
            <w:tcBorders>
              <w:top w:val="single" w:sz="4" w:space="0" w:color="000000"/>
              <w:left w:val="single" w:sz="4" w:space="0" w:color="000000"/>
              <w:bottom w:val="single" w:sz="4" w:space="0" w:color="000000"/>
              <w:right w:val="single" w:sz="4" w:space="0" w:color="000000"/>
            </w:tcBorders>
            <w:hideMark/>
          </w:tcPr>
          <w:p w14:paraId="7B96FC72"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i/>
                <w:sz w:val="22"/>
              </w:rPr>
              <w:t xml:space="preserve">Baseline </w:t>
            </w:r>
            <w:r w:rsidRPr="00841BE0">
              <w:rPr>
                <w:rFonts w:ascii="Times New Roman" w:hAnsi="Times New Roman"/>
                <w:sz w:val="22"/>
              </w:rPr>
              <w:t>(</w:t>
            </w:r>
            <w:proofErr w:type="spellStart"/>
            <w:r w:rsidRPr="00841BE0">
              <w:rPr>
                <w:rFonts w:ascii="Times New Roman" w:hAnsi="Times New Roman"/>
                <w:sz w:val="22"/>
              </w:rPr>
              <w:t>middelværdi</w:t>
            </w:r>
            <w:proofErr w:type="spellEnd"/>
            <w:r w:rsidRPr="00841BE0">
              <w:rPr>
                <w:rFonts w:ascii="Times New Roman" w:hAnsi="Times New Roman"/>
                <w:sz w:val="22"/>
              </w:rPr>
              <w:t>)</w:t>
            </w:r>
          </w:p>
        </w:tc>
        <w:tc>
          <w:tcPr>
            <w:tcW w:w="940" w:type="pct"/>
            <w:tcBorders>
              <w:top w:val="single" w:sz="4" w:space="0" w:color="000000"/>
              <w:left w:val="single" w:sz="4" w:space="0" w:color="000000"/>
              <w:bottom w:val="single" w:sz="4" w:space="0" w:color="000000"/>
              <w:right w:val="single" w:sz="4" w:space="0" w:color="000000"/>
            </w:tcBorders>
            <w:hideMark/>
          </w:tcPr>
          <w:p w14:paraId="6A5FAC67"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76,23</w:t>
            </w:r>
          </w:p>
        </w:tc>
        <w:tc>
          <w:tcPr>
            <w:tcW w:w="1174" w:type="pct"/>
            <w:tcBorders>
              <w:top w:val="single" w:sz="4" w:space="0" w:color="000000"/>
              <w:left w:val="single" w:sz="4" w:space="0" w:color="000000"/>
              <w:bottom w:val="single" w:sz="4" w:space="0" w:color="000000"/>
              <w:right w:val="single" w:sz="4" w:space="0" w:color="000000"/>
            </w:tcBorders>
            <w:hideMark/>
          </w:tcPr>
          <w:p w14:paraId="7365E985"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77,08</w:t>
            </w:r>
          </w:p>
        </w:tc>
        <w:tc>
          <w:tcPr>
            <w:tcW w:w="1174" w:type="pct"/>
            <w:tcBorders>
              <w:top w:val="single" w:sz="4" w:space="0" w:color="000000"/>
              <w:left w:val="single" w:sz="4" w:space="0" w:color="000000"/>
              <w:bottom w:val="single" w:sz="4" w:space="0" w:color="000000"/>
              <w:right w:val="single" w:sz="4" w:space="0" w:color="000000"/>
            </w:tcBorders>
            <w:hideMark/>
          </w:tcPr>
          <w:p w14:paraId="27BC880E"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77,50</w:t>
            </w:r>
          </w:p>
        </w:tc>
      </w:tr>
      <w:tr w:rsidR="00841BE0" w:rsidRPr="00841BE0" w14:paraId="6A0AA6B6" w14:textId="77777777" w:rsidTr="0031748F">
        <w:trPr>
          <w:trHeight w:val="254"/>
        </w:trPr>
        <w:tc>
          <w:tcPr>
            <w:tcW w:w="1712" w:type="pct"/>
            <w:tcBorders>
              <w:top w:val="single" w:sz="4" w:space="0" w:color="000000"/>
              <w:left w:val="single" w:sz="4" w:space="0" w:color="000000"/>
              <w:bottom w:val="single" w:sz="4" w:space="0" w:color="000000"/>
              <w:right w:val="single" w:sz="4" w:space="0" w:color="000000"/>
            </w:tcBorders>
            <w:hideMark/>
          </w:tcPr>
          <w:p w14:paraId="02F907C6" w14:textId="77777777" w:rsidR="00841BE0" w:rsidRPr="00841BE0" w:rsidRDefault="00841BE0" w:rsidP="0031748F">
            <w:pPr>
              <w:widowControl/>
              <w:autoSpaceDE/>
              <w:autoSpaceDN/>
              <w:ind w:left="142"/>
              <w:rPr>
                <w:rFonts w:ascii="Times New Roman" w:hAnsi="Times New Roman"/>
                <w:sz w:val="22"/>
              </w:rPr>
            </w:pPr>
            <w:proofErr w:type="spellStart"/>
            <w:r w:rsidRPr="00841BE0">
              <w:rPr>
                <w:rFonts w:ascii="Times New Roman" w:hAnsi="Times New Roman"/>
                <w:sz w:val="22"/>
              </w:rPr>
              <w:t>Ændring</w:t>
            </w:r>
            <w:proofErr w:type="spellEnd"/>
            <w:r w:rsidRPr="00841BE0">
              <w:rPr>
                <w:rFonts w:ascii="Times New Roman" w:hAnsi="Times New Roman"/>
                <w:sz w:val="22"/>
              </w:rPr>
              <w:t xml:space="preserve"> fra </w:t>
            </w:r>
            <w:r w:rsidRPr="00841BE0">
              <w:rPr>
                <w:rFonts w:ascii="Times New Roman" w:hAnsi="Times New Roman"/>
                <w:i/>
                <w:sz w:val="22"/>
              </w:rPr>
              <w:t>baseline</w:t>
            </w:r>
            <w:r w:rsidRPr="00841BE0">
              <w:rPr>
                <w:rFonts w:ascii="Times New Roman" w:hAnsi="Times New Roman"/>
                <w:sz w:val="22"/>
                <w:vertAlign w:val="superscript"/>
              </w:rPr>
              <w:t>1</w:t>
            </w:r>
          </w:p>
        </w:tc>
        <w:tc>
          <w:tcPr>
            <w:tcW w:w="940" w:type="pct"/>
            <w:tcBorders>
              <w:top w:val="single" w:sz="4" w:space="0" w:color="000000"/>
              <w:left w:val="single" w:sz="4" w:space="0" w:color="000000"/>
              <w:bottom w:val="single" w:sz="4" w:space="0" w:color="000000"/>
              <w:right w:val="single" w:sz="4" w:space="0" w:color="000000"/>
            </w:tcBorders>
            <w:hideMark/>
          </w:tcPr>
          <w:p w14:paraId="26ABE9F5"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0,39</w:t>
            </w:r>
          </w:p>
        </w:tc>
        <w:tc>
          <w:tcPr>
            <w:tcW w:w="1174" w:type="pct"/>
            <w:tcBorders>
              <w:top w:val="single" w:sz="4" w:space="0" w:color="000000"/>
              <w:left w:val="single" w:sz="4" w:space="0" w:color="000000"/>
              <w:bottom w:val="single" w:sz="4" w:space="0" w:color="000000"/>
              <w:right w:val="single" w:sz="4" w:space="0" w:color="000000"/>
            </w:tcBorders>
            <w:hideMark/>
          </w:tcPr>
          <w:p w14:paraId="2C3B2A3C"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2,16</w:t>
            </w:r>
          </w:p>
        </w:tc>
        <w:tc>
          <w:tcPr>
            <w:tcW w:w="1174" w:type="pct"/>
            <w:tcBorders>
              <w:top w:val="single" w:sz="4" w:space="0" w:color="000000"/>
              <w:left w:val="single" w:sz="4" w:space="0" w:color="000000"/>
              <w:bottom w:val="single" w:sz="4" w:space="0" w:color="000000"/>
              <w:right w:val="single" w:sz="4" w:space="0" w:color="000000"/>
            </w:tcBorders>
            <w:hideMark/>
          </w:tcPr>
          <w:p w14:paraId="74CFFC30"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2,39</w:t>
            </w:r>
          </w:p>
        </w:tc>
      </w:tr>
      <w:tr w:rsidR="00841BE0" w:rsidRPr="00841BE0" w14:paraId="20C160E9" w14:textId="77777777" w:rsidTr="0031748F">
        <w:trPr>
          <w:trHeight w:val="505"/>
        </w:trPr>
        <w:tc>
          <w:tcPr>
            <w:tcW w:w="1712" w:type="pct"/>
            <w:tcBorders>
              <w:top w:val="single" w:sz="4" w:space="0" w:color="000000"/>
              <w:left w:val="single" w:sz="4" w:space="0" w:color="000000"/>
              <w:bottom w:val="single" w:sz="4" w:space="0" w:color="000000"/>
              <w:right w:val="single" w:sz="4" w:space="0" w:color="000000"/>
            </w:tcBorders>
            <w:hideMark/>
          </w:tcPr>
          <w:p w14:paraId="35AA75E6" w14:textId="77777777" w:rsidR="00841BE0" w:rsidRPr="00841BE0" w:rsidRDefault="00841BE0" w:rsidP="0031748F">
            <w:pPr>
              <w:widowControl/>
              <w:autoSpaceDE/>
              <w:autoSpaceDN/>
              <w:ind w:left="142"/>
              <w:rPr>
                <w:rFonts w:ascii="Times New Roman" w:hAnsi="Times New Roman"/>
                <w:sz w:val="22"/>
              </w:rPr>
            </w:pPr>
            <w:proofErr w:type="spellStart"/>
            <w:r w:rsidRPr="00841BE0">
              <w:rPr>
                <w:rFonts w:ascii="Times New Roman" w:hAnsi="Times New Roman"/>
                <w:sz w:val="22"/>
              </w:rPr>
              <w:t>Forskel</w:t>
            </w:r>
            <w:proofErr w:type="spellEnd"/>
            <w:r w:rsidRPr="00841BE0">
              <w:rPr>
                <w:rFonts w:ascii="Times New Roman" w:hAnsi="Times New Roman"/>
                <w:sz w:val="22"/>
              </w:rPr>
              <w:t xml:space="preserve"> </w:t>
            </w:r>
            <w:proofErr w:type="spellStart"/>
            <w:r w:rsidRPr="00841BE0">
              <w:rPr>
                <w:rFonts w:ascii="Times New Roman" w:hAnsi="Times New Roman"/>
                <w:sz w:val="22"/>
              </w:rPr>
              <w:t>til</w:t>
            </w:r>
            <w:proofErr w:type="spellEnd"/>
            <w:r w:rsidRPr="00841BE0">
              <w:rPr>
                <w:rFonts w:ascii="Times New Roman" w:hAnsi="Times New Roman"/>
                <w:sz w:val="22"/>
              </w:rPr>
              <w:t xml:space="preserve"> placebo</w:t>
            </w:r>
            <w:r w:rsidRPr="00841BE0">
              <w:rPr>
                <w:rFonts w:ascii="Times New Roman" w:hAnsi="Times New Roman"/>
                <w:sz w:val="22"/>
                <w:vertAlign w:val="superscript"/>
              </w:rPr>
              <w:t>1</w:t>
            </w:r>
          </w:p>
          <w:p w14:paraId="6779D3F7"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(97,5 % CI)</w:t>
            </w:r>
          </w:p>
        </w:tc>
        <w:tc>
          <w:tcPr>
            <w:tcW w:w="940" w:type="pct"/>
            <w:tcBorders>
              <w:top w:val="single" w:sz="4" w:space="0" w:color="000000"/>
              <w:left w:val="single" w:sz="4" w:space="0" w:color="000000"/>
              <w:bottom w:val="single" w:sz="4" w:space="0" w:color="000000"/>
              <w:right w:val="single" w:sz="4" w:space="0" w:color="000000"/>
            </w:tcBorders>
          </w:tcPr>
          <w:p w14:paraId="47C59BA6" w14:textId="77777777" w:rsidR="00841BE0" w:rsidRPr="00841BE0" w:rsidRDefault="00841BE0" w:rsidP="0031748F">
            <w:pPr>
              <w:widowControl/>
              <w:autoSpaceDE/>
              <w:autoSpaceDN/>
              <w:ind w:left="142"/>
              <w:rPr>
                <w:rFonts w:ascii="Times New Roman" w:hAnsi="Times New Roman"/>
                <w:sz w:val="22"/>
              </w:rPr>
            </w:pPr>
          </w:p>
        </w:tc>
        <w:tc>
          <w:tcPr>
            <w:tcW w:w="1174" w:type="pct"/>
            <w:tcBorders>
              <w:top w:val="single" w:sz="4" w:space="0" w:color="000000"/>
              <w:left w:val="single" w:sz="4" w:space="0" w:color="000000"/>
              <w:bottom w:val="single" w:sz="4" w:space="0" w:color="000000"/>
              <w:right w:val="single" w:sz="4" w:space="0" w:color="000000"/>
            </w:tcBorders>
            <w:hideMark/>
          </w:tcPr>
          <w:p w14:paraId="02F0FEE2"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1,76* (</w:t>
            </w:r>
            <w:r w:rsidRPr="00841BE0">
              <w:rPr>
                <w:rFonts w:ascii="Times New Roman" w:hAnsi="Times New Roman"/>
                <w:sz w:val="22"/>
              </w:rPr>
              <w:noBreakHyphen/>
            </w:r>
            <w:proofErr w:type="gramStart"/>
            <w:r w:rsidRPr="00841BE0">
              <w:rPr>
                <w:rFonts w:ascii="Times New Roman" w:hAnsi="Times New Roman"/>
                <w:sz w:val="22"/>
              </w:rPr>
              <w:t xml:space="preserve">2,25; </w:t>
            </w:r>
            <w:r w:rsidRPr="00841BE0">
              <w:rPr>
                <w:rFonts w:ascii="Times New Roman" w:hAnsi="Times New Roman"/>
                <w:sz w:val="22"/>
              </w:rPr>
              <w:noBreakHyphen/>
            </w:r>
            <w:proofErr w:type="gramEnd"/>
            <w:r w:rsidRPr="00841BE0">
              <w:rPr>
                <w:rFonts w:ascii="Times New Roman" w:hAnsi="Times New Roman"/>
                <w:sz w:val="22"/>
              </w:rPr>
              <w:t>1,28)</w:t>
            </w:r>
          </w:p>
        </w:tc>
        <w:tc>
          <w:tcPr>
            <w:tcW w:w="1174" w:type="pct"/>
            <w:tcBorders>
              <w:top w:val="single" w:sz="4" w:space="0" w:color="000000"/>
              <w:left w:val="single" w:sz="4" w:space="0" w:color="000000"/>
              <w:bottom w:val="single" w:sz="4" w:space="0" w:color="000000"/>
              <w:right w:val="single" w:sz="4" w:space="0" w:color="000000"/>
            </w:tcBorders>
            <w:hideMark/>
          </w:tcPr>
          <w:p w14:paraId="726ED3D4"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1,99* (</w:t>
            </w:r>
            <w:r w:rsidRPr="00841BE0">
              <w:rPr>
                <w:rFonts w:ascii="Times New Roman" w:hAnsi="Times New Roman"/>
                <w:sz w:val="22"/>
              </w:rPr>
              <w:noBreakHyphen/>
            </w:r>
            <w:proofErr w:type="gramStart"/>
            <w:r w:rsidRPr="00841BE0">
              <w:rPr>
                <w:rFonts w:ascii="Times New Roman" w:hAnsi="Times New Roman"/>
                <w:sz w:val="22"/>
              </w:rPr>
              <w:t xml:space="preserve">2,48; </w:t>
            </w:r>
            <w:r w:rsidRPr="00841BE0">
              <w:rPr>
                <w:rFonts w:ascii="Times New Roman" w:hAnsi="Times New Roman"/>
                <w:sz w:val="22"/>
              </w:rPr>
              <w:noBreakHyphen/>
            </w:r>
            <w:proofErr w:type="gramEnd"/>
            <w:r w:rsidRPr="00841BE0">
              <w:rPr>
                <w:rFonts w:ascii="Times New Roman" w:hAnsi="Times New Roman"/>
                <w:sz w:val="22"/>
              </w:rPr>
              <w:t>1,50)</w:t>
            </w:r>
          </w:p>
        </w:tc>
      </w:tr>
      <w:tr w:rsidR="00841BE0" w:rsidRPr="00841BE0" w14:paraId="4727EBA0" w14:textId="77777777" w:rsidTr="0031748F">
        <w:trPr>
          <w:trHeight w:val="251"/>
        </w:trPr>
        <w:tc>
          <w:tcPr>
            <w:tcW w:w="1712" w:type="pct"/>
            <w:tcBorders>
              <w:top w:val="single" w:sz="4" w:space="0" w:color="000000"/>
              <w:left w:val="single" w:sz="4" w:space="0" w:color="000000"/>
              <w:bottom w:val="single" w:sz="4" w:space="0" w:color="000000"/>
              <w:right w:val="single" w:sz="4" w:space="0" w:color="000000"/>
            </w:tcBorders>
            <w:hideMark/>
          </w:tcPr>
          <w:p w14:paraId="35AF7C9F"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N</w:t>
            </w:r>
          </w:p>
        </w:tc>
        <w:tc>
          <w:tcPr>
            <w:tcW w:w="940" w:type="pct"/>
            <w:tcBorders>
              <w:top w:val="single" w:sz="4" w:space="0" w:color="000000"/>
              <w:left w:val="single" w:sz="4" w:space="0" w:color="000000"/>
              <w:bottom w:val="single" w:sz="4" w:space="0" w:color="000000"/>
              <w:right w:val="single" w:sz="4" w:space="0" w:color="000000"/>
            </w:tcBorders>
            <w:hideMark/>
          </w:tcPr>
          <w:p w14:paraId="284CBF86"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225</w:t>
            </w:r>
          </w:p>
        </w:tc>
        <w:tc>
          <w:tcPr>
            <w:tcW w:w="1174" w:type="pct"/>
            <w:tcBorders>
              <w:top w:val="single" w:sz="4" w:space="0" w:color="000000"/>
              <w:left w:val="single" w:sz="4" w:space="0" w:color="000000"/>
              <w:bottom w:val="single" w:sz="4" w:space="0" w:color="000000"/>
              <w:right w:val="single" w:sz="4" w:space="0" w:color="000000"/>
            </w:tcBorders>
            <w:hideMark/>
          </w:tcPr>
          <w:p w14:paraId="235C3067"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225</w:t>
            </w:r>
          </w:p>
        </w:tc>
        <w:tc>
          <w:tcPr>
            <w:tcW w:w="1174" w:type="pct"/>
            <w:tcBorders>
              <w:top w:val="single" w:sz="4" w:space="0" w:color="000000"/>
              <w:left w:val="single" w:sz="4" w:space="0" w:color="000000"/>
              <w:bottom w:val="single" w:sz="4" w:space="0" w:color="000000"/>
              <w:right w:val="single" w:sz="4" w:space="0" w:color="000000"/>
            </w:tcBorders>
            <w:hideMark/>
          </w:tcPr>
          <w:p w14:paraId="22B9A627"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216</w:t>
            </w:r>
          </w:p>
        </w:tc>
      </w:tr>
      <w:tr w:rsidR="00841BE0" w:rsidRPr="00841BE0" w14:paraId="1CEB8630" w14:textId="77777777" w:rsidTr="0031748F">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61874193" w14:textId="77777777" w:rsidR="00841BE0" w:rsidRPr="00841BE0" w:rsidRDefault="00841BE0" w:rsidP="0031748F">
            <w:pPr>
              <w:widowControl/>
              <w:autoSpaceDE/>
              <w:autoSpaceDN/>
              <w:ind w:left="142"/>
              <w:rPr>
                <w:rFonts w:ascii="Times New Roman" w:hAnsi="Times New Roman"/>
                <w:b/>
                <w:sz w:val="22"/>
              </w:rPr>
            </w:pPr>
            <w:r w:rsidRPr="00841BE0">
              <w:rPr>
                <w:rFonts w:ascii="Times New Roman" w:hAnsi="Times New Roman"/>
                <w:b/>
                <w:sz w:val="22"/>
              </w:rPr>
              <w:t>SBP (mmHg)</w:t>
            </w:r>
            <w:r w:rsidRPr="00841BE0">
              <w:rPr>
                <w:rFonts w:ascii="Times New Roman" w:hAnsi="Times New Roman"/>
                <w:b/>
                <w:sz w:val="22"/>
                <w:vertAlign w:val="superscript"/>
              </w:rPr>
              <w:t>2</w:t>
            </w:r>
          </w:p>
        </w:tc>
      </w:tr>
      <w:tr w:rsidR="00841BE0" w:rsidRPr="00841BE0" w14:paraId="1A96D03B" w14:textId="77777777" w:rsidTr="0031748F">
        <w:trPr>
          <w:trHeight w:val="251"/>
        </w:trPr>
        <w:tc>
          <w:tcPr>
            <w:tcW w:w="1712" w:type="pct"/>
            <w:tcBorders>
              <w:top w:val="single" w:sz="4" w:space="0" w:color="000000"/>
              <w:left w:val="single" w:sz="4" w:space="0" w:color="000000"/>
              <w:bottom w:val="single" w:sz="4" w:space="0" w:color="000000"/>
              <w:right w:val="single" w:sz="4" w:space="0" w:color="000000"/>
            </w:tcBorders>
            <w:hideMark/>
          </w:tcPr>
          <w:p w14:paraId="1287947D"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i/>
                <w:sz w:val="22"/>
              </w:rPr>
              <w:t xml:space="preserve">Baseline </w:t>
            </w:r>
            <w:r w:rsidRPr="00841BE0">
              <w:rPr>
                <w:rFonts w:ascii="Times New Roman" w:hAnsi="Times New Roman"/>
                <w:sz w:val="22"/>
              </w:rPr>
              <w:t>(</w:t>
            </w:r>
            <w:proofErr w:type="spellStart"/>
            <w:r w:rsidRPr="00841BE0">
              <w:rPr>
                <w:rFonts w:ascii="Times New Roman" w:hAnsi="Times New Roman"/>
                <w:sz w:val="22"/>
              </w:rPr>
              <w:t>middelværdi</w:t>
            </w:r>
            <w:proofErr w:type="spellEnd"/>
            <w:r w:rsidRPr="00841BE0">
              <w:rPr>
                <w:rFonts w:ascii="Times New Roman" w:hAnsi="Times New Roman"/>
                <w:sz w:val="22"/>
              </w:rPr>
              <w:t>)</w:t>
            </w:r>
          </w:p>
        </w:tc>
        <w:tc>
          <w:tcPr>
            <w:tcW w:w="940" w:type="pct"/>
            <w:tcBorders>
              <w:top w:val="single" w:sz="4" w:space="0" w:color="000000"/>
              <w:left w:val="single" w:sz="4" w:space="0" w:color="000000"/>
              <w:bottom w:val="single" w:sz="4" w:space="0" w:color="000000"/>
              <w:right w:val="single" w:sz="4" w:space="0" w:color="000000"/>
            </w:tcBorders>
            <w:hideMark/>
          </w:tcPr>
          <w:p w14:paraId="765849F6"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128,8</w:t>
            </w:r>
          </w:p>
        </w:tc>
        <w:tc>
          <w:tcPr>
            <w:tcW w:w="1174" w:type="pct"/>
            <w:tcBorders>
              <w:top w:val="single" w:sz="4" w:space="0" w:color="000000"/>
              <w:left w:val="single" w:sz="4" w:space="0" w:color="000000"/>
              <w:bottom w:val="single" w:sz="4" w:space="0" w:color="000000"/>
              <w:right w:val="single" w:sz="4" w:space="0" w:color="000000"/>
            </w:tcBorders>
            <w:hideMark/>
          </w:tcPr>
          <w:p w14:paraId="341A584E"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128,7</w:t>
            </w:r>
          </w:p>
        </w:tc>
        <w:tc>
          <w:tcPr>
            <w:tcW w:w="1174" w:type="pct"/>
            <w:tcBorders>
              <w:top w:val="single" w:sz="4" w:space="0" w:color="000000"/>
              <w:left w:val="single" w:sz="4" w:space="0" w:color="000000"/>
              <w:bottom w:val="single" w:sz="4" w:space="0" w:color="000000"/>
              <w:right w:val="single" w:sz="4" w:space="0" w:color="000000"/>
            </w:tcBorders>
            <w:hideMark/>
          </w:tcPr>
          <w:p w14:paraId="71BA7E93"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129,3</w:t>
            </w:r>
          </w:p>
        </w:tc>
      </w:tr>
      <w:tr w:rsidR="00841BE0" w:rsidRPr="00841BE0" w14:paraId="478CF5F7" w14:textId="77777777" w:rsidTr="0031748F">
        <w:trPr>
          <w:trHeight w:val="253"/>
        </w:trPr>
        <w:tc>
          <w:tcPr>
            <w:tcW w:w="1712" w:type="pct"/>
            <w:tcBorders>
              <w:top w:val="single" w:sz="4" w:space="0" w:color="000000"/>
              <w:left w:val="single" w:sz="4" w:space="0" w:color="000000"/>
              <w:bottom w:val="single" w:sz="4" w:space="0" w:color="000000"/>
              <w:right w:val="single" w:sz="4" w:space="0" w:color="000000"/>
            </w:tcBorders>
            <w:hideMark/>
          </w:tcPr>
          <w:p w14:paraId="26BF209B" w14:textId="77777777" w:rsidR="00841BE0" w:rsidRPr="00841BE0" w:rsidRDefault="00841BE0" w:rsidP="0031748F">
            <w:pPr>
              <w:widowControl/>
              <w:autoSpaceDE/>
              <w:autoSpaceDN/>
              <w:ind w:left="142"/>
              <w:rPr>
                <w:rFonts w:ascii="Times New Roman" w:hAnsi="Times New Roman"/>
                <w:sz w:val="22"/>
              </w:rPr>
            </w:pPr>
            <w:proofErr w:type="spellStart"/>
            <w:r w:rsidRPr="00841BE0">
              <w:rPr>
                <w:rFonts w:ascii="Times New Roman" w:hAnsi="Times New Roman"/>
                <w:sz w:val="22"/>
              </w:rPr>
              <w:t>Ændring</w:t>
            </w:r>
            <w:proofErr w:type="spellEnd"/>
            <w:r w:rsidRPr="00841BE0">
              <w:rPr>
                <w:rFonts w:ascii="Times New Roman" w:hAnsi="Times New Roman"/>
                <w:sz w:val="22"/>
              </w:rPr>
              <w:t xml:space="preserve"> fra </w:t>
            </w:r>
            <w:r w:rsidRPr="00841BE0">
              <w:rPr>
                <w:rFonts w:ascii="Times New Roman" w:hAnsi="Times New Roman"/>
                <w:i/>
                <w:sz w:val="22"/>
              </w:rPr>
              <w:t>baseline</w:t>
            </w:r>
            <w:r w:rsidRPr="00841BE0">
              <w:rPr>
                <w:rFonts w:ascii="Times New Roman" w:hAnsi="Times New Roman"/>
                <w:sz w:val="22"/>
                <w:vertAlign w:val="superscript"/>
              </w:rPr>
              <w:t>1</w:t>
            </w:r>
          </w:p>
        </w:tc>
        <w:tc>
          <w:tcPr>
            <w:tcW w:w="940" w:type="pct"/>
            <w:tcBorders>
              <w:top w:val="single" w:sz="4" w:space="0" w:color="000000"/>
              <w:left w:val="single" w:sz="4" w:space="0" w:color="000000"/>
              <w:bottom w:val="single" w:sz="4" w:space="0" w:color="000000"/>
              <w:right w:val="single" w:sz="4" w:space="0" w:color="000000"/>
            </w:tcBorders>
            <w:hideMark/>
          </w:tcPr>
          <w:p w14:paraId="0D52A47E"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1,4</w:t>
            </w:r>
          </w:p>
        </w:tc>
        <w:tc>
          <w:tcPr>
            <w:tcW w:w="1174" w:type="pct"/>
            <w:tcBorders>
              <w:top w:val="single" w:sz="4" w:space="0" w:color="000000"/>
              <w:left w:val="single" w:sz="4" w:space="0" w:color="000000"/>
              <w:bottom w:val="single" w:sz="4" w:space="0" w:color="000000"/>
              <w:right w:val="single" w:sz="4" w:space="0" w:color="000000"/>
            </w:tcBorders>
            <w:hideMark/>
          </w:tcPr>
          <w:p w14:paraId="367D2282"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4,1</w:t>
            </w:r>
          </w:p>
        </w:tc>
        <w:tc>
          <w:tcPr>
            <w:tcW w:w="1174" w:type="pct"/>
            <w:tcBorders>
              <w:top w:val="single" w:sz="4" w:space="0" w:color="000000"/>
              <w:left w:val="single" w:sz="4" w:space="0" w:color="000000"/>
              <w:bottom w:val="single" w:sz="4" w:space="0" w:color="000000"/>
              <w:right w:val="single" w:sz="4" w:space="0" w:color="000000"/>
            </w:tcBorders>
            <w:hideMark/>
          </w:tcPr>
          <w:p w14:paraId="79A1998F"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noBreakHyphen/>
              <w:t>3,5</w:t>
            </w:r>
          </w:p>
        </w:tc>
      </w:tr>
      <w:tr w:rsidR="00841BE0" w:rsidRPr="00841BE0" w14:paraId="0AD6788B" w14:textId="77777777" w:rsidTr="0031748F">
        <w:trPr>
          <w:trHeight w:val="506"/>
        </w:trPr>
        <w:tc>
          <w:tcPr>
            <w:tcW w:w="1712" w:type="pct"/>
            <w:tcBorders>
              <w:top w:val="single" w:sz="4" w:space="0" w:color="000000"/>
              <w:left w:val="single" w:sz="4" w:space="0" w:color="000000"/>
              <w:bottom w:val="single" w:sz="4" w:space="0" w:color="000000"/>
              <w:right w:val="single" w:sz="4" w:space="0" w:color="000000"/>
            </w:tcBorders>
            <w:hideMark/>
          </w:tcPr>
          <w:p w14:paraId="05C4D7AE" w14:textId="77777777" w:rsidR="00841BE0" w:rsidRPr="00841BE0" w:rsidRDefault="00841BE0" w:rsidP="0031748F">
            <w:pPr>
              <w:widowControl/>
              <w:autoSpaceDE/>
              <w:autoSpaceDN/>
              <w:ind w:left="142"/>
              <w:rPr>
                <w:rFonts w:ascii="Times New Roman" w:hAnsi="Times New Roman"/>
                <w:sz w:val="22"/>
              </w:rPr>
            </w:pPr>
            <w:proofErr w:type="spellStart"/>
            <w:r w:rsidRPr="00841BE0">
              <w:rPr>
                <w:rFonts w:ascii="Times New Roman" w:hAnsi="Times New Roman"/>
                <w:sz w:val="22"/>
              </w:rPr>
              <w:t>Forskel</w:t>
            </w:r>
            <w:proofErr w:type="spellEnd"/>
            <w:r w:rsidRPr="00841BE0">
              <w:rPr>
                <w:rFonts w:ascii="Times New Roman" w:hAnsi="Times New Roman"/>
                <w:sz w:val="22"/>
              </w:rPr>
              <w:t xml:space="preserve"> </w:t>
            </w:r>
            <w:proofErr w:type="spellStart"/>
            <w:r w:rsidRPr="00841BE0">
              <w:rPr>
                <w:rFonts w:ascii="Times New Roman" w:hAnsi="Times New Roman"/>
                <w:sz w:val="22"/>
              </w:rPr>
              <w:t>til</w:t>
            </w:r>
            <w:proofErr w:type="spellEnd"/>
            <w:r w:rsidRPr="00841BE0">
              <w:rPr>
                <w:rFonts w:ascii="Times New Roman" w:hAnsi="Times New Roman"/>
                <w:sz w:val="22"/>
              </w:rPr>
              <w:t xml:space="preserve"> placebo</w:t>
            </w:r>
            <w:r w:rsidRPr="00841BE0">
              <w:rPr>
                <w:rFonts w:ascii="Times New Roman" w:hAnsi="Times New Roman"/>
                <w:sz w:val="22"/>
                <w:vertAlign w:val="superscript"/>
              </w:rPr>
              <w:t>1</w:t>
            </w:r>
          </w:p>
          <w:p w14:paraId="6B92E49B" w14:textId="77777777" w:rsidR="00841BE0" w:rsidRPr="00841BE0" w:rsidRDefault="00841BE0" w:rsidP="0031748F">
            <w:pPr>
              <w:widowControl/>
              <w:autoSpaceDE/>
              <w:autoSpaceDN/>
              <w:ind w:left="142"/>
              <w:rPr>
                <w:rFonts w:ascii="Times New Roman" w:hAnsi="Times New Roman"/>
                <w:sz w:val="22"/>
              </w:rPr>
            </w:pPr>
            <w:r w:rsidRPr="00841BE0">
              <w:rPr>
                <w:rFonts w:ascii="Times New Roman" w:hAnsi="Times New Roman"/>
                <w:sz w:val="22"/>
              </w:rPr>
              <w:t>(95 % CI)</w:t>
            </w:r>
          </w:p>
        </w:tc>
        <w:tc>
          <w:tcPr>
            <w:tcW w:w="940" w:type="pct"/>
            <w:tcBorders>
              <w:top w:val="single" w:sz="4" w:space="0" w:color="000000"/>
              <w:left w:val="single" w:sz="4" w:space="0" w:color="000000"/>
              <w:bottom w:val="single" w:sz="4" w:space="0" w:color="000000"/>
              <w:right w:val="single" w:sz="4" w:space="0" w:color="000000"/>
            </w:tcBorders>
          </w:tcPr>
          <w:p w14:paraId="7D590990" w14:textId="77777777" w:rsidR="00841BE0" w:rsidRPr="00841BE0" w:rsidRDefault="00841BE0" w:rsidP="0031748F">
            <w:pPr>
              <w:widowControl/>
              <w:autoSpaceDE/>
              <w:autoSpaceDN/>
              <w:ind w:left="142"/>
              <w:rPr>
                <w:rFonts w:ascii="Times New Roman" w:hAnsi="Times New Roman"/>
                <w:sz w:val="22"/>
              </w:rPr>
            </w:pPr>
          </w:p>
        </w:tc>
        <w:tc>
          <w:tcPr>
            <w:tcW w:w="1174" w:type="pct"/>
            <w:tcBorders>
              <w:top w:val="single" w:sz="4" w:space="0" w:color="000000"/>
              <w:left w:val="single" w:sz="4" w:space="0" w:color="000000"/>
              <w:bottom w:val="single" w:sz="4" w:space="0" w:color="000000"/>
              <w:right w:val="single" w:sz="4" w:space="0" w:color="000000"/>
            </w:tcBorders>
            <w:hideMark/>
          </w:tcPr>
          <w:p w14:paraId="5BD0D1DF" w14:textId="77777777" w:rsidR="00841BE0" w:rsidRPr="00841BE0" w:rsidRDefault="00841BE0" w:rsidP="0031748F">
            <w:pPr>
              <w:widowControl/>
              <w:autoSpaceDE/>
              <w:autoSpaceDN/>
              <w:ind w:left="142"/>
              <w:rPr>
                <w:rFonts w:ascii="Times New Roman" w:hAnsi="Times New Roman"/>
                <w:sz w:val="22"/>
              </w:rPr>
            </w:pPr>
            <w:proofErr w:type="gramStart"/>
            <w:r w:rsidRPr="00841BE0">
              <w:rPr>
                <w:rFonts w:ascii="Times New Roman" w:hAnsi="Times New Roman"/>
                <w:sz w:val="22"/>
              </w:rPr>
              <w:noBreakHyphen/>
              <w:t>2,7 (</w:t>
            </w:r>
            <w:r w:rsidRPr="00841BE0">
              <w:rPr>
                <w:rFonts w:ascii="Times New Roman" w:hAnsi="Times New Roman"/>
                <w:sz w:val="22"/>
              </w:rPr>
              <w:noBreakHyphen/>
            </w:r>
            <w:proofErr w:type="gramEnd"/>
            <w:r w:rsidRPr="00841BE0">
              <w:rPr>
                <w:rFonts w:ascii="Times New Roman" w:hAnsi="Times New Roman"/>
                <w:sz w:val="22"/>
              </w:rPr>
              <w:t xml:space="preserve">4,6; </w:t>
            </w:r>
            <w:r w:rsidRPr="00841BE0">
              <w:rPr>
                <w:rFonts w:ascii="Times New Roman" w:hAnsi="Times New Roman"/>
                <w:sz w:val="22"/>
              </w:rPr>
              <w:noBreakHyphen/>
              <w:t>0,8)</w:t>
            </w:r>
          </w:p>
        </w:tc>
        <w:tc>
          <w:tcPr>
            <w:tcW w:w="1174" w:type="pct"/>
            <w:tcBorders>
              <w:top w:val="single" w:sz="4" w:space="0" w:color="000000"/>
              <w:left w:val="single" w:sz="4" w:space="0" w:color="000000"/>
              <w:bottom w:val="single" w:sz="4" w:space="0" w:color="000000"/>
              <w:right w:val="single" w:sz="4" w:space="0" w:color="000000"/>
            </w:tcBorders>
            <w:hideMark/>
          </w:tcPr>
          <w:p w14:paraId="75103BE3" w14:textId="77777777" w:rsidR="00841BE0" w:rsidRPr="00841BE0" w:rsidRDefault="00841BE0" w:rsidP="0031748F">
            <w:pPr>
              <w:widowControl/>
              <w:autoSpaceDE/>
              <w:autoSpaceDN/>
              <w:ind w:left="142"/>
              <w:rPr>
                <w:rFonts w:ascii="Times New Roman" w:hAnsi="Times New Roman"/>
                <w:sz w:val="22"/>
              </w:rPr>
            </w:pPr>
            <w:proofErr w:type="gramStart"/>
            <w:r w:rsidRPr="00841BE0">
              <w:rPr>
                <w:rFonts w:ascii="Times New Roman" w:hAnsi="Times New Roman"/>
                <w:sz w:val="22"/>
              </w:rPr>
              <w:noBreakHyphen/>
              <w:t>2,1 (</w:t>
            </w:r>
            <w:r w:rsidRPr="00841BE0">
              <w:rPr>
                <w:rFonts w:ascii="Times New Roman" w:hAnsi="Times New Roman"/>
                <w:sz w:val="22"/>
              </w:rPr>
              <w:noBreakHyphen/>
            </w:r>
            <w:proofErr w:type="gramEnd"/>
            <w:r w:rsidRPr="00841BE0">
              <w:rPr>
                <w:rFonts w:ascii="Times New Roman" w:hAnsi="Times New Roman"/>
                <w:sz w:val="22"/>
              </w:rPr>
              <w:t xml:space="preserve">4,0; </w:t>
            </w:r>
            <w:r w:rsidRPr="00841BE0">
              <w:rPr>
                <w:rFonts w:ascii="Times New Roman" w:hAnsi="Times New Roman"/>
                <w:sz w:val="22"/>
              </w:rPr>
              <w:noBreakHyphen/>
              <w:t>0,2)</w:t>
            </w:r>
          </w:p>
        </w:tc>
      </w:tr>
    </w:tbl>
    <w:tbl>
      <w:tblPr>
        <w:tblStyle w:val="TableNormal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69"/>
        <w:gridCol w:w="1631"/>
        <w:gridCol w:w="2265"/>
        <w:gridCol w:w="2263"/>
      </w:tblGrid>
      <w:tr w:rsidR="00841BE0" w:rsidRPr="00841BE0" w14:paraId="4F108007" w14:textId="77777777" w:rsidTr="0031748F">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60DB1063" w14:textId="77777777" w:rsidR="00841BE0" w:rsidRPr="00841BE0" w:rsidRDefault="00841BE0" w:rsidP="0031748F">
            <w:pPr>
              <w:widowControl/>
              <w:autoSpaceDE/>
              <w:autoSpaceDN/>
              <w:ind w:left="142"/>
              <w:rPr>
                <w:rFonts w:ascii="Times New Roman" w:hAnsi="Times New Roman" w:cs="Times New Roman"/>
                <w:sz w:val="22"/>
                <w:lang w:val="da-DK"/>
              </w:rPr>
            </w:pPr>
            <w:r w:rsidRPr="00841BE0">
              <w:rPr>
                <w:rFonts w:ascii="Times New Roman" w:hAnsi="Times New Roman" w:cs="Times New Roman"/>
                <w:b/>
                <w:sz w:val="22"/>
                <w:lang w:val="da-DK"/>
              </w:rPr>
              <w:t xml:space="preserve">Supplement til behandling med </w:t>
            </w:r>
            <w:proofErr w:type="spellStart"/>
            <w:r w:rsidRPr="00841BE0">
              <w:rPr>
                <w:rFonts w:ascii="Times New Roman" w:hAnsi="Times New Roman" w:cs="Times New Roman"/>
                <w:b/>
                <w:sz w:val="22"/>
                <w:lang w:val="da-DK"/>
              </w:rPr>
              <w:t>pioglitazon</w:t>
            </w:r>
            <w:proofErr w:type="spellEnd"/>
            <w:r w:rsidRPr="00841BE0">
              <w:rPr>
                <w:rFonts w:ascii="Times New Roman" w:hAnsi="Times New Roman" w:cs="Times New Roman"/>
                <w:b/>
                <w:sz w:val="22"/>
                <w:lang w:val="da-DK"/>
              </w:rPr>
              <w:t xml:space="preserve"> + </w:t>
            </w:r>
            <w:proofErr w:type="spellStart"/>
            <w:r w:rsidRPr="00841BE0">
              <w:rPr>
                <w:rFonts w:ascii="Times New Roman" w:hAnsi="Times New Roman" w:cs="Times New Roman"/>
                <w:b/>
                <w:sz w:val="22"/>
                <w:lang w:val="da-DK"/>
              </w:rPr>
              <w:t>metformin</w:t>
            </w:r>
            <w:r w:rsidRPr="00841BE0">
              <w:rPr>
                <w:rFonts w:ascii="Times New Roman" w:hAnsi="Times New Roman" w:cs="Times New Roman"/>
                <w:sz w:val="22"/>
                <w:vertAlign w:val="superscript"/>
                <w:lang w:val="da-DK"/>
              </w:rPr>
              <w:t>b</w:t>
            </w:r>
            <w:proofErr w:type="spellEnd"/>
          </w:p>
        </w:tc>
      </w:tr>
      <w:tr w:rsidR="00841BE0" w:rsidRPr="00841BE0" w14:paraId="14DB0DFD" w14:textId="77777777" w:rsidTr="0031748F">
        <w:trPr>
          <w:trHeight w:val="254"/>
        </w:trPr>
        <w:tc>
          <w:tcPr>
            <w:tcW w:w="1802" w:type="pct"/>
            <w:vMerge w:val="restart"/>
            <w:tcBorders>
              <w:top w:val="single" w:sz="4" w:space="0" w:color="000000"/>
              <w:left w:val="single" w:sz="4" w:space="0" w:color="000000"/>
              <w:bottom w:val="single" w:sz="4" w:space="0" w:color="000000"/>
              <w:right w:val="single" w:sz="4" w:space="0" w:color="000000"/>
            </w:tcBorders>
          </w:tcPr>
          <w:p w14:paraId="470C731F" w14:textId="77777777" w:rsidR="00841BE0" w:rsidRPr="00841BE0" w:rsidRDefault="00841BE0" w:rsidP="0031748F">
            <w:pPr>
              <w:widowControl/>
              <w:autoSpaceDE/>
              <w:autoSpaceDN/>
              <w:ind w:left="142"/>
              <w:rPr>
                <w:rFonts w:ascii="Times New Roman" w:hAnsi="Times New Roman" w:cs="Times New Roman"/>
                <w:sz w:val="22"/>
                <w:lang w:val="da-DK"/>
              </w:rPr>
            </w:pPr>
          </w:p>
        </w:tc>
        <w:tc>
          <w:tcPr>
            <w:tcW w:w="847" w:type="pct"/>
            <w:vMerge w:val="restart"/>
            <w:tcBorders>
              <w:top w:val="single" w:sz="4" w:space="0" w:color="000000"/>
              <w:left w:val="single" w:sz="4" w:space="0" w:color="000000"/>
              <w:bottom w:val="single" w:sz="4" w:space="0" w:color="000000"/>
              <w:right w:val="single" w:sz="4" w:space="0" w:color="000000"/>
            </w:tcBorders>
            <w:hideMark/>
          </w:tcPr>
          <w:p w14:paraId="43A9394A" w14:textId="77777777" w:rsidR="00841BE0" w:rsidRPr="00841BE0" w:rsidRDefault="00841BE0" w:rsidP="0031748F">
            <w:pPr>
              <w:widowControl/>
              <w:autoSpaceDE/>
              <w:autoSpaceDN/>
              <w:ind w:left="142"/>
              <w:rPr>
                <w:rFonts w:ascii="Times New Roman" w:hAnsi="Times New Roman" w:cs="Times New Roman"/>
                <w:b/>
                <w:sz w:val="22"/>
              </w:rPr>
            </w:pPr>
            <w:r w:rsidRPr="00841BE0">
              <w:rPr>
                <w:rFonts w:ascii="Times New Roman" w:hAnsi="Times New Roman" w:cs="Times New Roman"/>
                <w:b/>
                <w:sz w:val="22"/>
              </w:rPr>
              <w:t>Placebo</w:t>
            </w:r>
          </w:p>
        </w:tc>
        <w:tc>
          <w:tcPr>
            <w:tcW w:w="2351" w:type="pct"/>
            <w:gridSpan w:val="2"/>
            <w:tcBorders>
              <w:top w:val="single" w:sz="4" w:space="0" w:color="000000"/>
              <w:left w:val="single" w:sz="4" w:space="0" w:color="000000"/>
              <w:bottom w:val="single" w:sz="4" w:space="0" w:color="000000"/>
              <w:right w:val="single" w:sz="4" w:space="0" w:color="000000"/>
            </w:tcBorders>
            <w:hideMark/>
          </w:tcPr>
          <w:p w14:paraId="4E079B3B" w14:textId="77777777" w:rsidR="00841BE0" w:rsidRPr="00841BE0" w:rsidRDefault="00841BE0" w:rsidP="0031748F">
            <w:pPr>
              <w:widowControl/>
              <w:autoSpaceDE/>
              <w:autoSpaceDN/>
              <w:ind w:left="142"/>
              <w:rPr>
                <w:rFonts w:ascii="Times New Roman" w:hAnsi="Times New Roman" w:cs="Times New Roman"/>
                <w:b/>
                <w:sz w:val="22"/>
              </w:rPr>
            </w:pPr>
            <w:r w:rsidRPr="00841BE0">
              <w:rPr>
                <w:rFonts w:ascii="Times New Roman" w:hAnsi="Times New Roman" w:cs="Times New Roman"/>
                <w:b/>
                <w:sz w:val="22"/>
              </w:rPr>
              <w:t>Empagliflozin</w:t>
            </w:r>
          </w:p>
        </w:tc>
      </w:tr>
      <w:tr w:rsidR="00841BE0" w:rsidRPr="00841BE0" w14:paraId="36FC71B0" w14:textId="77777777" w:rsidTr="0031748F">
        <w:trPr>
          <w:trHeight w:val="251"/>
        </w:trPr>
        <w:tc>
          <w:tcPr>
            <w:tcW w:w="1802" w:type="pct"/>
            <w:vMerge/>
            <w:tcBorders>
              <w:top w:val="single" w:sz="4" w:space="0" w:color="000000"/>
              <w:left w:val="single" w:sz="4" w:space="0" w:color="000000"/>
              <w:bottom w:val="single" w:sz="4" w:space="0" w:color="000000"/>
              <w:right w:val="single" w:sz="4" w:space="0" w:color="000000"/>
            </w:tcBorders>
            <w:vAlign w:val="center"/>
            <w:hideMark/>
          </w:tcPr>
          <w:p w14:paraId="32B45770" w14:textId="77777777" w:rsidR="00841BE0" w:rsidRPr="00841BE0" w:rsidRDefault="00841BE0" w:rsidP="0031748F">
            <w:pPr>
              <w:widowControl/>
              <w:autoSpaceDE/>
              <w:autoSpaceDN/>
              <w:ind w:left="142"/>
              <w:rPr>
                <w:rFonts w:ascii="Times New Roman" w:hAnsi="Times New Roman" w:cs="Times New Roman"/>
                <w:sz w:val="22"/>
              </w:rPr>
            </w:pPr>
          </w:p>
        </w:tc>
        <w:tc>
          <w:tcPr>
            <w:tcW w:w="847" w:type="pct"/>
            <w:vMerge/>
            <w:tcBorders>
              <w:top w:val="single" w:sz="4" w:space="0" w:color="000000"/>
              <w:left w:val="single" w:sz="4" w:space="0" w:color="000000"/>
              <w:bottom w:val="single" w:sz="4" w:space="0" w:color="000000"/>
              <w:right w:val="single" w:sz="4" w:space="0" w:color="000000"/>
            </w:tcBorders>
            <w:vAlign w:val="center"/>
            <w:hideMark/>
          </w:tcPr>
          <w:p w14:paraId="4B8B23D3" w14:textId="77777777" w:rsidR="00841BE0" w:rsidRPr="00841BE0" w:rsidRDefault="00841BE0" w:rsidP="0031748F">
            <w:pPr>
              <w:widowControl/>
              <w:autoSpaceDE/>
              <w:autoSpaceDN/>
              <w:ind w:left="142"/>
              <w:rPr>
                <w:rFonts w:ascii="Times New Roman" w:hAnsi="Times New Roman" w:cs="Times New Roman"/>
                <w:b/>
                <w:sz w:val="22"/>
              </w:rPr>
            </w:pPr>
          </w:p>
        </w:tc>
        <w:tc>
          <w:tcPr>
            <w:tcW w:w="1176" w:type="pct"/>
            <w:tcBorders>
              <w:top w:val="single" w:sz="4" w:space="0" w:color="000000"/>
              <w:left w:val="single" w:sz="4" w:space="0" w:color="000000"/>
              <w:bottom w:val="single" w:sz="4" w:space="0" w:color="000000"/>
              <w:right w:val="single" w:sz="4" w:space="0" w:color="000000"/>
            </w:tcBorders>
            <w:hideMark/>
          </w:tcPr>
          <w:p w14:paraId="33EA4213" w14:textId="77777777" w:rsidR="00841BE0" w:rsidRPr="00841BE0" w:rsidRDefault="00841BE0" w:rsidP="0031748F">
            <w:pPr>
              <w:widowControl/>
              <w:autoSpaceDE/>
              <w:autoSpaceDN/>
              <w:ind w:left="142"/>
              <w:rPr>
                <w:rFonts w:ascii="Times New Roman" w:hAnsi="Times New Roman" w:cs="Times New Roman"/>
                <w:b/>
                <w:sz w:val="22"/>
              </w:rPr>
            </w:pPr>
            <w:r w:rsidRPr="00841BE0">
              <w:rPr>
                <w:rFonts w:ascii="Times New Roman" w:hAnsi="Times New Roman" w:cs="Times New Roman"/>
                <w:b/>
                <w:sz w:val="22"/>
              </w:rPr>
              <w:t>10 mg</w:t>
            </w:r>
          </w:p>
        </w:tc>
        <w:tc>
          <w:tcPr>
            <w:tcW w:w="1176" w:type="pct"/>
            <w:tcBorders>
              <w:top w:val="single" w:sz="4" w:space="0" w:color="000000"/>
              <w:left w:val="single" w:sz="4" w:space="0" w:color="000000"/>
              <w:bottom w:val="single" w:sz="4" w:space="0" w:color="000000"/>
              <w:right w:val="single" w:sz="4" w:space="0" w:color="000000"/>
            </w:tcBorders>
            <w:hideMark/>
          </w:tcPr>
          <w:p w14:paraId="3CF5A65F" w14:textId="77777777" w:rsidR="00841BE0" w:rsidRPr="00841BE0" w:rsidRDefault="00841BE0" w:rsidP="0031748F">
            <w:pPr>
              <w:widowControl/>
              <w:autoSpaceDE/>
              <w:autoSpaceDN/>
              <w:ind w:left="142"/>
              <w:rPr>
                <w:rFonts w:ascii="Times New Roman" w:hAnsi="Times New Roman" w:cs="Times New Roman"/>
                <w:b/>
                <w:sz w:val="22"/>
              </w:rPr>
            </w:pPr>
            <w:r w:rsidRPr="00841BE0">
              <w:rPr>
                <w:rFonts w:ascii="Times New Roman" w:hAnsi="Times New Roman" w:cs="Times New Roman"/>
                <w:b/>
                <w:sz w:val="22"/>
              </w:rPr>
              <w:t>25 mg</w:t>
            </w:r>
          </w:p>
        </w:tc>
      </w:tr>
      <w:tr w:rsidR="00841BE0" w:rsidRPr="00841BE0" w14:paraId="04FD79AD" w14:textId="77777777" w:rsidTr="0031748F">
        <w:trPr>
          <w:trHeight w:val="253"/>
        </w:trPr>
        <w:tc>
          <w:tcPr>
            <w:tcW w:w="1802" w:type="pct"/>
            <w:tcBorders>
              <w:top w:val="single" w:sz="4" w:space="0" w:color="000000"/>
              <w:left w:val="single" w:sz="4" w:space="0" w:color="000000"/>
              <w:bottom w:val="single" w:sz="4" w:space="0" w:color="000000"/>
              <w:right w:val="single" w:sz="4" w:space="0" w:color="000000"/>
            </w:tcBorders>
            <w:hideMark/>
          </w:tcPr>
          <w:p w14:paraId="0DA24B5A"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N</w:t>
            </w:r>
          </w:p>
        </w:tc>
        <w:tc>
          <w:tcPr>
            <w:tcW w:w="847" w:type="pct"/>
            <w:tcBorders>
              <w:top w:val="single" w:sz="4" w:space="0" w:color="000000"/>
              <w:left w:val="single" w:sz="4" w:space="0" w:color="000000"/>
              <w:bottom w:val="single" w:sz="4" w:space="0" w:color="000000"/>
              <w:right w:val="single" w:sz="4" w:space="0" w:color="000000"/>
            </w:tcBorders>
            <w:hideMark/>
          </w:tcPr>
          <w:p w14:paraId="26316A14"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124</w:t>
            </w:r>
          </w:p>
        </w:tc>
        <w:tc>
          <w:tcPr>
            <w:tcW w:w="1176" w:type="pct"/>
            <w:tcBorders>
              <w:top w:val="single" w:sz="4" w:space="0" w:color="000000"/>
              <w:left w:val="single" w:sz="4" w:space="0" w:color="000000"/>
              <w:bottom w:val="single" w:sz="4" w:space="0" w:color="000000"/>
              <w:right w:val="single" w:sz="4" w:space="0" w:color="000000"/>
            </w:tcBorders>
            <w:hideMark/>
          </w:tcPr>
          <w:p w14:paraId="50BF4573"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125</w:t>
            </w:r>
          </w:p>
        </w:tc>
        <w:tc>
          <w:tcPr>
            <w:tcW w:w="1176" w:type="pct"/>
            <w:tcBorders>
              <w:top w:val="single" w:sz="4" w:space="0" w:color="000000"/>
              <w:left w:val="single" w:sz="4" w:space="0" w:color="000000"/>
              <w:bottom w:val="single" w:sz="4" w:space="0" w:color="000000"/>
              <w:right w:val="single" w:sz="4" w:space="0" w:color="000000"/>
            </w:tcBorders>
            <w:hideMark/>
          </w:tcPr>
          <w:p w14:paraId="54D831DB"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127</w:t>
            </w:r>
          </w:p>
        </w:tc>
      </w:tr>
      <w:tr w:rsidR="00841BE0" w:rsidRPr="00841BE0" w14:paraId="07826B1B" w14:textId="77777777" w:rsidTr="0031748F">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0B319088" w14:textId="77777777" w:rsidR="00841BE0" w:rsidRPr="00841BE0" w:rsidRDefault="00841BE0" w:rsidP="0031748F">
            <w:pPr>
              <w:widowControl/>
              <w:autoSpaceDE/>
              <w:autoSpaceDN/>
              <w:ind w:left="142"/>
              <w:rPr>
                <w:rFonts w:ascii="Times New Roman" w:hAnsi="Times New Roman" w:cs="Times New Roman"/>
                <w:b/>
                <w:sz w:val="22"/>
              </w:rPr>
            </w:pPr>
            <w:r w:rsidRPr="00841BE0">
              <w:rPr>
                <w:rFonts w:ascii="Times New Roman" w:hAnsi="Times New Roman" w:cs="Times New Roman"/>
                <w:b/>
                <w:sz w:val="22"/>
              </w:rPr>
              <w:t>HbA1c (%)</w:t>
            </w:r>
          </w:p>
        </w:tc>
      </w:tr>
      <w:tr w:rsidR="00841BE0" w:rsidRPr="00841BE0" w14:paraId="7FEFE355" w14:textId="77777777" w:rsidTr="0031748F">
        <w:trPr>
          <w:trHeight w:val="253"/>
        </w:trPr>
        <w:tc>
          <w:tcPr>
            <w:tcW w:w="1802" w:type="pct"/>
            <w:tcBorders>
              <w:top w:val="single" w:sz="4" w:space="0" w:color="000000"/>
              <w:left w:val="single" w:sz="4" w:space="0" w:color="000000"/>
              <w:bottom w:val="single" w:sz="4" w:space="0" w:color="000000"/>
              <w:right w:val="single" w:sz="4" w:space="0" w:color="000000"/>
            </w:tcBorders>
            <w:hideMark/>
          </w:tcPr>
          <w:p w14:paraId="3153990A"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i/>
                <w:sz w:val="22"/>
              </w:rPr>
              <w:t xml:space="preserve">Baseline </w:t>
            </w:r>
            <w:r w:rsidRPr="00841BE0">
              <w:rPr>
                <w:rFonts w:ascii="Times New Roman" w:hAnsi="Times New Roman" w:cs="Times New Roman"/>
                <w:sz w:val="22"/>
              </w:rPr>
              <w:t>(</w:t>
            </w:r>
            <w:proofErr w:type="spellStart"/>
            <w:r w:rsidRPr="00841BE0">
              <w:rPr>
                <w:rFonts w:ascii="Times New Roman" w:hAnsi="Times New Roman" w:cs="Times New Roman"/>
                <w:sz w:val="22"/>
              </w:rPr>
              <w:t>middelværdi</w:t>
            </w:r>
            <w:proofErr w:type="spellEnd"/>
            <w:r w:rsidRPr="00841BE0">
              <w:rPr>
                <w:rFonts w:ascii="Times New Roman" w:hAnsi="Times New Roman" w:cs="Times New Roman"/>
                <w:sz w:val="22"/>
              </w:rPr>
              <w:t>)</w:t>
            </w:r>
          </w:p>
        </w:tc>
        <w:tc>
          <w:tcPr>
            <w:tcW w:w="847" w:type="pct"/>
            <w:tcBorders>
              <w:top w:val="single" w:sz="4" w:space="0" w:color="000000"/>
              <w:left w:val="single" w:sz="4" w:space="0" w:color="000000"/>
              <w:bottom w:val="single" w:sz="4" w:space="0" w:color="000000"/>
              <w:right w:val="single" w:sz="4" w:space="0" w:color="000000"/>
            </w:tcBorders>
            <w:hideMark/>
          </w:tcPr>
          <w:p w14:paraId="6F22F13E"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8,15</w:t>
            </w:r>
          </w:p>
        </w:tc>
        <w:tc>
          <w:tcPr>
            <w:tcW w:w="1176" w:type="pct"/>
            <w:tcBorders>
              <w:top w:val="single" w:sz="4" w:space="0" w:color="000000"/>
              <w:left w:val="single" w:sz="4" w:space="0" w:color="000000"/>
              <w:bottom w:val="single" w:sz="4" w:space="0" w:color="000000"/>
              <w:right w:val="single" w:sz="4" w:space="0" w:color="000000"/>
            </w:tcBorders>
            <w:hideMark/>
          </w:tcPr>
          <w:p w14:paraId="2A8DC4D8"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8,07</w:t>
            </w:r>
          </w:p>
        </w:tc>
        <w:tc>
          <w:tcPr>
            <w:tcW w:w="1176" w:type="pct"/>
            <w:tcBorders>
              <w:top w:val="single" w:sz="4" w:space="0" w:color="000000"/>
              <w:left w:val="single" w:sz="4" w:space="0" w:color="000000"/>
              <w:bottom w:val="single" w:sz="4" w:space="0" w:color="000000"/>
              <w:right w:val="single" w:sz="4" w:space="0" w:color="000000"/>
            </w:tcBorders>
            <w:hideMark/>
          </w:tcPr>
          <w:p w14:paraId="1BC56CE9"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8,10</w:t>
            </w:r>
          </w:p>
        </w:tc>
      </w:tr>
      <w:tr w:rsidR="00841BE0" w:rsidRPr="00841BE0" w14:paraId="5F181D66" w14:textId="77777777" w:rsidTr="0031748F">
        <w:trPr>
          <w:trHeight w:val="254"/>
        </w:trPr>
        <w:tc>
          <w:tcPr>
            <w:tcW w:w="1802" w:type="pct"/>
            <w:tcBorders>
              <w:top w:val="single" w:sz="4" w:space="0" w:color="000000"/>
              <w:left w:val="single" w:sz="4" w:space="0" w:color="000000"/>
              <w:bottom w:val="single" w:sz="4" w:space="0" w:color="000000"/>
              <w:right w:val="single" w:sz="4" w:space="0" w:color="000000"/>
            </w:tcBorders>
            <w:hideMark/>
          </w:tcPr>
          <w:p w14:paraId="30F13907" w14:textId="77777777" w:rsidR="00841BE0" w:rsidRPr="00841BE0" w:rsidRDefault="00841BE0" w:rsidP="0031748F">
            <w:pPr>
              <w:widowControl/>
              <w:autoSpaceDE/>
              <w:autoSpaceDN/>
              <w:ind w:left="142"/>
              <w:rPr>
                <w:rFonts w:ascii="Times New Roman" w:hAnsi="Times New Roman" w:cs="Times New Roman"/>
                <w:sz w:val="22"/>
              </w:rPr>
            </w:pPr>
            <w:proofErr w:type="spellStart"/>
            <w:r w:rsidRPr="00841BE0">
              <w:rPr>
                <w:rFonts w:ascii="Times New Roman" w:hAnsi="Times New Roman" w:cs="Times New Roman"/>
                <w:sz w:val="22"/>
              </w:rPr>
              <w:t>Ændring</w:t>
            </w:r>
            <w:proofErr w:type="spellEnd"/>
            <w:r w:rsidRPr="00841BE0">
              <w:rPr>
                <w:rFonts w:ascii="Times New Roman" w:hAnsi="Times New Roman" w:cs="Times New Roman"/>
                <w:sz w:val="22"/>
              </w:rPr>
              <w:t xml:space="preserve"> fra </w:t>
            </w:r>
            <w:r w:rsidRPr="00841BE0">
              <w:rPr>
                <w:rFonts w:ascii="Times New Roman" w:hAnsi="Times New Roman" w:cs="Times New Roman"/>
                <w:i/>
                <w:sz w:val="22"/>
              </w:rPr>
              <w:t>baseline</w:t>
            </w:r>
            <w:r w:rsidRPr="00841BE0">
              <w:rPr>
                <w:rFonts w:ascii="Times New Roman" w:hAnsi="Times New Roman" w:cs="Times New Roman"/>
                <w:sz w:val="22"/>
                <w:vertAlign w:val="superscript"/>
              </w:rPr>
              <w:t>1</w:t>
            </w:r>
          </w:p>
        </w:tc>
        <w:tc>
          <w:tcPr>
            <w:tcW w:w="847" w:type="pct"/>
            <w:tcBorders>
              <w:top w:val="single" w:sz="4" w:space="0" w:color="000000"/>
              <w:left w:val="single" w:sz="4" w:space="0" w:color="000000"/>
              <w:bottom w:val="single" w:sz="4" w:space="0" w:color="000000"/>
              <w:right w:val="single" w:sz="4" w:space="0" w:color="000000"/>
            </w:tcBorders>
            <w:hideMark/>
          </w:tcPr>
          <w:p w14:paraId="312592D7"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noBreakHyphen/>
              <w:t>0,11</w:t>
            </w:r>
          </w:p>
        </w:tc>
        <w:tc>
          <w:tcPr>
            <w:tcW w:w="1176" w:type="pct"/>
            <w:tcBorders>
              <w:top w:val="single" w:sz="4" w:space="0" w:color="000000"/>
              <w:left w:val="single" w:sz="4" w:space="0" w:color="000000"/>
              <w:bottom w:val="single" w:sz="4" w:space="0" w:color="000000"/>
              <w:right w:val="single" w:sz="4" w:space="0" w:color="000000"/>
            </w:tcBorders>
            <w:hideMark/>
          </w:tcPr>
          <w:p w14:paraId="097F1F05"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noBreakHyphen/>
              <w:t>0,55</w:t>
            </w:r>
          </w:p>
        </w:tc>
        <w:tc>
          <w:tcPr>
            <w:tcW w:w="1176" w:type="pct"/>
            <w:tcBorders>
              <w:top w:val="single" w:sz="4" w:space="0" w:color="000000"/>
              <w:left w:val="single" w:sz="4" w:space="0" w:color="000000"/>
              <w:bottom w:val="single" w:sz="4" w:space="0" w:color="000000"/>
              <w:right w:val="single" w:sz="4" w:space="0" w:color="000000"/>
            </w:tcBorders>
            <w:hideMark/>
          </w:tcPr>
          <w:p w14:paraId="6CD5BF48"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noBreakHyphen/>
              <w:t>0,70</w:t>
            </w:r>
          </w:p>
        </w:tc>
      </w:tr>
      <w:tr w:rsidR="00841BE0" w:rsidRPr="00841BE0" w14:paraId="235EDB38" w14:textId="77777777" w:rsidTr="0031748F">
        <w:trPr>
          <w:trHeight w:val="505"/>
        </w:trPr>
        <w:tc>
          <w:tcPr>
            <w:tcW w:w="1802" w:type="pct"/>
            <w:tcBorders>
              <w:top w:val="single" w:sz="4" w:space="0" w:color="000000"/>
              <w:left w:val="single" w:sz="4" w:space="0" w:color="000000"/>
              <w:bottom w:val="single" w:sz="4" w:space="0" w:color="000000"/>
              <w:right w:val="single" w:sz="4" w:space="0" w:color="000000"/>
            </w:tcBorders>
            <w:hideMark/>
          </w:tcPr>
          <w:p w14:paraId="3B2CAFCA" w14:textId="77777777" w:rsidR="00841BE0" w:rsidRPr="00841BE0" w:rsidRDefault="00841BE0" w:rsidP="0031748F">
            <w:pPr>
              <w:widowControl/>
              <w:autoSpaceDE/>
              <w:autoSpaceDN/>
              <w:ind w:left="142"/>
              <w:rPr>
                <w:rFonts w:ascii="Times New Roman" w:hAnsi="Times New Roman" w:cs="Times New Roman"/>
                <w:sz w:val="22"/>
              </w:rPr>
            </w:pPr>
            <w:proofErr w:type="spellStart"/>
            <w:r w:rsidRPr="00841BE0">
              <w:rPr>
                <w:rFonts w:ascii="Times New Roman" w:hAnsi="Times New Roman" w:cs="Times New Roman"/>
                <w:sz w:val="22"/>
              </w:rPr>
              <w:t>Forskel</w:t>
            </w:r>
            <w:proofErr w:type="spellEnd"/>
            <w:r w:rsidRPr="00841BE0">
              <w:rPr>
                <w:rFonts w:ascii="Times New Roman" w:hAnsi="Times New Roman" w:cs="Times New Roman"/>
                <w:sz w:val="22"/>
              </w:rPr>
              <w:t xml:space="preserve"> </w:t>
            </w:r>
            <w:proofErr w:type="spellStart"/>
            <w:r w:rsidRPr="00841BE0">
              <w:rPr>
                <w:rFonts w:ascii="Times New Roman" w:hAnsi="Times New Roman" w:cs="Times New Roman"/>
                <w:sz w:val="22"/>
              </w:rPr>
              <w:t>til</w:t>
            </w:r>
            <w:proofErr w:type="spellEnd"/>
            <w:r w:rsidRPr="00841BE0">
              <w:rPr>
                <w:rFonts w:ascii="Times New Roman" w:hAnsi="Times New Roman" w:cs="Times New Roman"/>
                <w:sz w:val="22"/>
              </w:rPr>
              <w:t xml:space="preserve"> placebo</w:t>
            </w:r>
            <w:r w:rsidRPr="00841BE0">
              <w:rPr>
                <w:rFonts w:ascii="Times New Roman" w:hAnsi="Times New Roman" w:cs="Times New Roman"/>
                <w:sz w:val="22"/>
                <w:vertAlign w:val="superscript"/>
              </w:rPr>
              <w:t>1</w:t>
            </w:r>
          </w:p>
          <w:p w14:paraId="3C60BB24"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(97,5 % CI)</w:t>
            </w:r>
          </w:p>
        </w:tc>
        <w:tc>
          <w:tcPr>
            <w:tcW w:w="847" w:type="pct"/>
            <w:tcBorders>
              <w:top w:val="single" w:sz="4" w:space="0" w:color="000000"/>
              <w:left w:val="single" w:sz="4" w:space="0" w:color="000000"/>
              <w:bottom w:val="single" w:sz="4" w:space="0" w:color="000000"/>
              <w:right w:val="single" w:sz="4" w:space="0" w:color="000000"/>
            </w:tcBorders>
          </w:tcPr>
          <w:p w14:paraId="65F816FD" w14:textId="77777777" w:rsidR="00841BE0" w:rsidRPr="00841BE0" w:rsidRDefault="00841BE0" w:rsidP="0031748F">
            <w:pPr>
              <w:widowControl/>
              <w:autoSpaceDE/>
              <w:autoSpaceDN/>
              <w:ind w:left="142"/>
              <w:rPr>
                <w:rFonts w:ascii="Times New Roman" w:hAnsi="Times New Roman" w:cs="Times New Roman"/>
                <w:sz w:val="22"/>
              </w:rPr>
            </w:pPr>
          </w:p>
        </w:tc>
        <w:tc>
          <w:tcPr>
            <w:tcW w:w="1176" w:type="pct"/>
            <w:tcBorders>
              <w:top w:val="single" w:sz="4" w:space="0" w:color="000000"/>
              <w:left w:val="single" w:sz="4" w:space="0" w:color="000000"/>
              <w:bottom w:val="single" w:sz="4" w:space="0" w:color="000000"/>
              <w:right w:val="single" w:sz="4" w:space="0" w:color="000000"/>
            </w:tcBorders>
            <w:hideMark/>
          </w:tcPr>
          <w:p w14:paraId="7996C99D"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noBreakHyphen/>
              <w:t>0,45* (</w:t>
            </w:r>
            <w:r w:rsidRPr="00841BE0">
              <w:rPr>
                <w:rFonts w:ascii="Times New Roman" w:hAnsi="Times New Roman" w:cs="Times New Roman"/>
                <w:sz w:val="22"/>
              </w:rPr>
              <w:noBreakHyphen/>
            </w:r>
            <w:proofErr w:type="gramStart"/>
            <w:r w:rsidRPr="00841BE0">
              <w:rPr>
                <w:rFonts w:ascii="Times New Roman" w:hAnsi="Times New Roman" w:cs="Times New Roman"/>
                <w:sz w:val="22"/>
              </w:rPr>
              <w:t xml:space="preserve">0,69; </w:t>
            </w:r>
            <w:r w:rsidRPr="00841BE0">
              <w:rPr>
                <w:rFonts w:ascii="Times New Roman" w:hAnsi="Times New Roman" w:cs="Times New Roman"/>
                <w:sz w:val="22"/>
              </w:rPr>
              <w:noBreakHyphen/>
            </w:r>
            <w:proofErr w:type="gramEnd"/>
            <w:r w:rsidRPr="00841BE0">
              <w:rPr>
                <w:rFonts w:ascii="Times New Roman" w:hAnsi="Times New Roman" w:cs="Times New Roman"/>
                <w:sz w:val="22"/>
              </w:rPr>
              <w:t>0,21)</w:t>
            </w:r>
          </w:p>
        </w:tc>
        <w:tc>
          <w:tcPr>
            <w:tcW w:w="1176" w:type="pct"/>
            <w:tcBorders>
              <w:top w:val="single" w:sz="4" w:space="0" w:color="000000"/>
              <w:left w:val="single" w:sz="4" w:space="0" w:color="000000"/>
              <w:bottom w:val="single" w:sz="4" w:space="0" w:color="000000"/>
              <w:right w:val="single" w:sz="4" w:space="0" w:color="000000"/>
            </w:tcBorders>
            <w:hideMark/>
          </w:tcPr>
          <w:p w14:paraId="28C186D8"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noBreakHyphen/>
              <w:t>0,60* (</w:t>
            </w:r>
            <w:r w:rsidRPr="00841BE0">
              <w:rPr>
                <w:rFonts w:ascii="Times New Roman" w:hAnsi="Times New Roman" w:cs="Times New Roman"/>
                <w:sz w:val="22"/>
              </w:rPr>
              <w:noBreakHyphen/>
            </w:r>
            <w:proofErr w:type="gramStart"/>
            <w:r w:rsidRPr="00841BE0">
              <w:rPr>
                <w:rFonts w:ascii="Times New Roman" w:hAnsi="Times New Roman" w:cs="Times New Roman"/>
                <w:sz w:val="22"/>
              </w:rPr>
              <w:t xml:space="preserve">0,83; </w:t>
            </w:r>
            <w:r w:rsidRPr="00841BE0">
              <w:rPr>
                <w:rFonts w:ascii="Times New Roman" w:hAnsi="Times New Roman" w:cs="Times New Roman"/>
                <w:sz w:val="22"/>
              </w:rPr>
              <w:noBreakHyphen/>
            </w:r>
            <w:proofErr w:type="gramEnd"/>
            <w:r w:rsidRPr="00841BE0">
              <w:rPr>
                <w:rFonts w:ascii="Times New Roman" w:hAnsi="Times New Roman" w:cs="Times New Roman"/>
                <w:sz w:val="22"/>
              </w:rPr>
              <w:t>0,36)</w:t>
            </w:r>
          </w:p>
        </w:tc>
      </w:tr>
      <w:tr w:rsidR="00841BE0" w:rsidRPr="00841BE0" w14:paraId="0AEC81FE" w14:textId="77777777" w:rsidTr="0031748F">
        <w:trPr>
          <w:trHeight w:val="251"/>
        </w:trPr>
        <w:tc>
          <w:tcPr>
            <w:tcW w:w="1802" w:type="pct"/>
            <w:tcBorders>
              <w:top w:val="single" w:sz="4" w:space="0" w:color="000000"/>
              <w:left w:val="single" w:sz="4" w:space="0" w:color="000000"/>
              <w:bottom w:val="single" w:sz="4" w:space="0" w:color="000000"/>
              <w:right w:val="single" w:sz="4" w:space="0" w:color="000000"/>
            </w:tcBorders>
            <w:hideMark/>
          </w:tcPr>
          <w:p w14:paraId="090CC984"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N</w:t>
            </w:r>
          </w:p>
        </w:tc>
        <w:tc>
          <w:tcPr>
            <w:tcW w:w="847" w:type="pct"/>
            <w:tcBorders>
              <w:top w:val="single" w:sz="4" w:space="0" w:color="000000"/>
              <w:left w:val="single" w:sz="4" w:space="0" w:color="000000"/>
              <w:bottom w:val="single" w:sz="4" w:space="0" w:color="000000"/>
              <w:right w:val="single" w:sz="4" w:space="0" w:color="000000"/>
            </w:tcBorders>
            <w:hideMark/>
          </w:tcPr>
          <w:p w14:paraId="4A9B7C15"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118</w:t>
            </w:r>
          </w:p>
        </w:tc>
        <w:tc>
          <w:tcPr>
            <w:tcW w:w="1176" w:type="pct"/>
            <w:tcBorders>
              <w:top w:val="single" w:sz="4" w:space="0" w:color="000000"/>
              <w:left w:val="single" w:sz="4" w:space="0" w:color="000000"/>
              <w:bottom w:val="single" w:sz="4" w:space="0" w:color="000000"/>
              <w:right w:val="single" w:sz="4" w:space="0" w:color="000000"/>
            </w:tcBorders>
            <w:hideMark/>
          </w:tcPr>
          <w:p w14:paraId="49F41522"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116</w:t>
            </w:r>
          </w:p>
        </w:tc>
        <w:tc>
          <w:tcPr>
            <w:tcW w:w="1176" w:type="pct"/>
            <w:tcBorders>
              <w:top w:val="single" w:sz="4" w:space="0" w:color="000000"/>
              <w:left w:val="single" w:sz="4" w:space="0" w:color="000000"/>
              <w:bottom w:val="single" w:sz="4" w:space="0" w:color="000000"/>
              <w:right w:val="single" w:sz="4" w:space="0" w:color="000000"/>
            </w:tcBorders>
            <w:hideMark/>
          </w:tcPr>
          <w:p w14:paraId="33DB9B95"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123</w:t>
            </w:r>
          </w:p>
        </w:tc>
      </w:tr>
      <w:tr w:rsidR="00841BE0" w:rsidRPr="00841BE0" w14:paraId="01682934" w14:textId="77777777" w:rsidTr="0031748F">
        <w:trPr>
          <w:trHeight w:val="758"/>
        </w:trPr>
        <w:tc>
          <w:tcPr>
            <w:tcW w:w="1802" w:type="pct"/>
            <w:tcBorders>
              <w:top w:val="single" w:sz="4" w:space="0" w:color="000000"/>
              <w:left w:val="single" w:sz="4" w:space="0" w:color="000000"/>
              <w:bottom w:val="single" w:sz="4" w:space="0" w:color="000000"/>
              <w:right w:val="single" w:sz="4" w:space="0" w:color="000000"/>
            </w:tcBorders>
            <w:hideMark/>
          </w:tcPr>
          <w:p w14:paraId="2E439F1A" w14:textId="77777777" w:rsidR="00841BE0" w:rsidRPr="00841BE0" w:rsidRDefault="00841BE0" w:rsidP="0031748F">
            <w:pPr>
              <w:widowControl/>
              <w:autoSpaceDE/>
              <w:autoSpaceDN/>
              <w:ind w:left="142"/>
              <w:rPr>
                <w:rFonts w:ascii="Times New Roman" w:hAnsi="Times New Roman" w:cs="Times New Roman"/>
                <w:b/>
                <w:sz w:val="22"/>
                <w:lang w:val="da-DK"/>
              </w:rPr>
            </w:pPr>
            <w:r w:rsidRPr="00841BE0">
              <w:rPr>
                <w:rFonts w:ascii="Times New Roman" w:hAnsi="Times New Roman" w:cs="Times New Roman"/>
                <w:b/>
                <w:sz w:val="22"/>
                <w:lang w:val="da-DK"/>
              </w:rPr>
              <w:t xml:space="preserve">Patienter (%) der opnåede HbA1c &lt; 7 % efter et </w:t>
            </w:r>
            <w:r w:rsidRPr="00841BE0">
              <w:rPr>
                <w:rFonts w:ascii="Times New Roman" w:hAnsi="Times New Roman" w:cs="Times New Roman"/>
                <w:b/>
                <w:i/>
                <w:sz w:val="22"/>
                <w:lang w:val="da-DK"/>
              </w:rPr>
              <w:t>baseline</w:t>
            </w:r>
            <w:r w:rsidRPr="00841BE0">
              <w:rPr>
                <w:rFonts w:ascii="Times New Roman" w:hAnsi="Times New Roman" w:cs="Times New Roman"/>
                <w:b/>
                <w:sz w:val="22"/>
                <w:lang w:val="da-DK"/>
              </w:rPr>
              <w:t>-HbA1c ≥ 7 %</w:t>
            </w:r>
            <w:r w:rsidRPr="00841BE0">
              <w:rPr>
                <w:rFonts w:ascii="Times New Roman" w:hAnsi="Times New Roman" w:cs="Times New Roman"/>
                <w:b/>
                <w:sz w:val="22"/>
                <w:vertAlign w:val="superscript"/>
                <w:lang w:val="da-DK"/>
              </w:rPr>
              <w:t>2</w:t>
            </w:r>
          </w:p>
        </w:tc>
        <w:tc>
          <w:tcPr>
            <w:tcW w:w="847" w:type="pct"/>
            <w:tcBorders>
              <w:top w:val="single" w:sz="4" w:space="0" w:color="000000"/>
              <w:left w:val="single" w:sz="4" w:space="0" w:color="000000"/>
              <w:bottom w:val="single" w:sz="4" w:space="0" w:color="000000"/>
              <w:right w:val="single" w:sz="4" w:space="0" w:color="000000"/>
            </w:tcBorders>
            <w:hideMark/>
          </w:tcPr>
          <w:p w14:paraId="733B7A44"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8,5</w:t>
            </w:r>
          </w:p>
        </w:tc>
        <w:tc>
          <w:tcPr>
            <w:tcW w:w="1176" w:type="pct"/>
            <w:tcBorders>
              <w:top w:val="single" w:sz="4" w:space="0" w:color="000000"/>
              <w:left w:val="single" w:sz="4" w:space="0" w:color="000000"/>
              <w:bottom w:val="single" w:sz="4" w:space="0" w:color="000000"/>
              <w:right w:val="single" w:sz="4" w:space="0" w:color="000000"/>
            </w:tcBorders>
            <w:hideMark/>
          </w:tcPr>
          <w:p w14:paraId="4BCE6A07"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22,4</w:t>
            </w:r>
          </w:p>
        </w:tc>
        <w:tc>
          <w:tcPr>
            <w:tcW w:w="1176" w:type="pct"/>
            <w:tcBorders>
              <w:top w:val="single" w:sz="4" w:space="0" w:color="000000"/>
              <w:left w:val="single" w:sz="4" w:space="0" w:color="000000"/>
              <w:bottom w:val="single" w:sz="4" w:space="0" w:color="000000"/>
              <w:right w:val="single" w:sz="4" w:space="0" w:color="000000"/>
            </w:tcBorders>
            <w:hideMark/>
          </w:tcPr>
          <w:p w14:paraId="48C67AF7"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28,5</w:t>
            </w:r>
          </w:p>
        </w:tc>
      </w:tr>
      <w:tr w:rsidR="00841BE0" w:rsidRPr="00841BE0" w14:paraId="2A3F7E4D" w14:textId="77777777" w:rsidTr="0031748F">
        <w:trPr>
          <w:trHeight w:val="254"/>
        </w:trPr>
        <w:tc>
          <w:tcPr>
            <w:tcW w:w="1802" w:type="pct"/>
            <w:tcBorders>
              <w:top w:val="single" w:sz="4" w:space="0" w:color="000000"/>
              <w:left w:val="single" w:sz="4" w:space="0" w:color="000000"/>
              <w:bottom w:val="single" w:sz="4" w:space="0" w:color="000000"/>
              <w:right w:val="single" w:sz="4" w:space="0" w:color="000000"/>
            </w:tcBorders>
            <w:hideMark/>
          </w:tcPr>
          <w:p w14:paraId="140170B5"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N</w:t>
            </w:r>
          </w:p>
        </w:tc>
        <w:tc>
          <w:tcPr>
            <w:tcW w:w="847" w:type="pct"/>
            <w:tcBorders>
              <w:top w:val="single" w:sz="4" w:space="0" w:color="000000"/>
              <w:left w:val="single" w:sz="4" w:space="0" w:color="000000"/>
              <w:bottom w:val="single" w:sz="4" w:space="0" w:color="000000"/>
              <w:right w:val="single" w:sz="4" w:space="0" w:color="000000"/>
            </w:tcBorders>
            <w:hideMark/>
          </w:tcPr>
          <w:p w14:paraId="164D87CE"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124</w:t>
            </w:r>
          </w:p>
        </w:tc>
        <w:tc>
          <w:tcPr>
            <w:tcW w:w="1176" w:type="pct"/>
            <w:tcBorders>
              <w:top w:val="single" w:sz="4" w:space="0" w:color="000000"/>
              <w:left w:val="single" w:sz="4" w:space="0" w:color="000000"/>
              <w:bottom w:val="single" w:sz="4" w:space="0" w:color="000000"/>
              <w:right w:val="single" w:sz="4" w:space="0" w:color="000000"/>
            </w:tcBorders>
            <w:hideMark/>
          </w:tcPr>
          <w:p w14:paraId="375FA3B8"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125</w:t>
            </w:r>
          </w:p>
        </w:tc>
        <w:tc>
          <w:tcPr>
            <w:tcW w:w="1176" w:type="pct"/>
            <w:tcBorders>
              <w:top w:val="single" w:sz="4" w:space="0" w:color="000000"/>
              <w:left w:val="single" w:sz="4" w:space="0" w:color="000000"/>
              <w:bottom w:val="single" w:sz="4" w:space="0" w:color="000000"/>
              <w:right w:val="single" w:sz="4" w:space="0" w:color="000000"/>
            </w:tcBorders>
            <w:hideMark/>
          </w:tcPr>
          <w:p w14:paraId="6B189CAD"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127</w:t>
            </w:r>
          </w:p>
        </w:tc>
      </w:tr>
      <w:tr w:rsidR="00841BE0" w:rsidRPr="00841BE0" w14:paraId="1F4965DC" w14:textId="77777777" w:rsidTr="0031748F">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60DD27B6" w14:textId="77777777" w:rsidR="00841BE0" w:rsidRPr="00841BE0" w:rsidRDefault="00841BE0" w:rsidP="0031748F">
            <w:pPr>
              <w:widowControl/>
              <w:autoSpaceDE/>
              <w:autoSpaceDN/>
              <w:ind w:left="142"/>
              <w:rPr>
                <w:rFonts w:ascii="Times New Roman" w:hAnsi="Times New Roman" w:cs="Times New Roman"/>
                <w:b/>
                <w:sz w:val="22"/>
              </w:rPr>
            </w:pPr>
            <w:proofErr w:type="spellStart"/>
            <w:r w:rsidRPr="00841BE0">
              <w:rPr>
                <w:rFonts w:ascii="Times New Roman" w:hAnsi="Times New Roman" w:cs="Times New Roman"/>
                <w:b/>
                <w:sz w:val="22"/>
              </w:rPr>
              <w:t>Legemsvægt</w:t>
            </w:r>
            <w:proofErr w:type="spellEnd"/>
            <w:r w:rsidRPr="00841BE0">
              <w:rPr>
                <w:rFonts w:ascii="Times New Roman" w:hAnsi="Times New Roman" w:cs="Times New Roman"/>
                <w:b/>
                <w:sz w:val="22"/>
              </w:rPr>
              <w:t xml:space="preserve"> (kg)</w:t>
            </w:r>
          </w:p>
        </w:tc>
      </w:tr>
      <w:tr w:rsidR="00841BE0" w:rsidRPr="00841BE0" w14:paraId="5630193B" w14:textId="77777777" w:rsidTr="0031748F">
        <w:trPr>
          <w:trHeight w:val="251"/>
        </w:trPr>
        <w:tc>
          <w:tcPr>
            <w:tcW w:w="1802" w:type="pct"/>
            <w:tcBorders>
              <w:top w:val="single" w:sz="4" w:space="0" w:color="000000"/>
              <w:left w:val="single" w:sz="4" w:space="0" w:color="000000"/>
              <w:bottom w:val="single" w:sz="4" w:space="0" w:color="000000"/>
              <w:right w:val="single" w:sz="4" w:space="0" w:color="000000"/>
            </w:tcBorders>
            <w:hideMark/>
          </w:tcPr>
          <w:p w14:paraId="5DD55C3F"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i/>
                <w:sz w:val="22"/>
              </w:rPr>
              <w:t xml:space="preserve">Baseline </w:t>
            </w:r>
            <w:r w:rsidRPr="00841BE0">
              <w:rPr>
                <w:rFonts w:ascii="Times New Roman" w:hAnsi="Times New Roman" w:cs="Times New Roman"/>
                <w:sz w:val="22"/>
              </w:rPr>
              <w:t>(</w:t>
            </w:r>
            <w:proofErr w:type="spellStart"/>
            <w:r w:rsidRPr="00841BE0">
              <w:rPr>
                <w:rFonts w:ascii="Times New Roman" w:hAnsi="Times New Roman" w:cs="Times New Roman"/>
                <w:sz w:val="22"/>
              </w:rPr>
              <w:t>middelværdi</w:t>
            </w:r>
            <w:proofErr w:type="spellEnd"/>
            <w:r w:rsidRPr="00841BE0">
              <w:rPr>
                <w:rFonts w:ascii="Times New Roman" w:hAnsi="Times New Roman" w:cs="Times New Roman"/>
                <w:sz w:val="22"/>
              </w:rPr>
              <w:t>)</w:t>
            </w:r>
          </w:p>
        </w:tc>
        <w:tc>
          <w:tcPr>
            <w:tcW w:w="847" w:type="pct"/>
            <w:tcBorders>
              <w:top w:val="single" w:sz="4" w:space="0" w:color="000000"/>
              <w:left w:val="single" w:sz="4" w:space="0" w:color="000000"/>
              <w:bottom w:val="single" w:sz="4" w:space="0" w:color="000000"/>
              <w:right w:val="single" w:sz="4" w:space="0" w:color="000000"/>
            </w:tcBorders>
            <w:hideMark/>
          </w:tcPr>
          <w:p w14:paraId="5D40C6FC"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79,45</w:t>
            </w:r>
          </w:p>
        </w:tc>
        <w:tc>
          <w:tcPr>
            <w:tcW w:w="1176" w:type="pct"/>
            <w:tcBorders>
              <w:top w:val="single" w:sz="4" w:space="0" w:color="000000"/>
              <w:left w:val="single" w:sz="4" w:space="0" w:color="000000"/>
              <w:bottom w:val="single" w:sz="4" w:space="0" w:color="000000"/>
              <w:right w:val="single" w:sz="4" w:space="0" w:color="000000"/>
            </w:tcBorders>
            <w:hideMark/>
          </w:tcPr>
          <w:p w14:paraId="191E932E"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79,44</w:t>
            </w:r>
          </w:p>
        </w:tc>
        <w:tc>
          <w:tcPr>
            <w:tcW w:w="1176" w:type="pct"/>
            <w:tcBorders>
              <w:top w:val="single" w:sz="4" w:space="0" w:color="000000"/>
              <w:left w:val="single" w:sz="4" w:space="0" w:color="000000"/>
              <w:bottom w:val="single" w:sz="4" w:space="0" w:color="000000"/>
              <w:right w:val="single" w:sz="4" w:space="0" w:color="000000"/>
            </w:tcBorders>
            <w:hideMark/>
          </w:tcPr>
          <w:p w14:paraId="45011930"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80,98</w:t>
            </w:r>
          </w:p>
        </w:tc>
      </w:tr>
      <w:tr w:rsidR="00841BE0" w:rsidRPr="00841BE0" w14:paraId="61536987" w14:textId="77777777" w:rsidTr="0031748F">
        <w:trPr>
          <w:trHeight w:val="254"/>
        </w:trPr>
        <w:tc>
          <w:tcPr>
            <w:tcW w:w="1802" w:type="pct"/>
            <w:tcBorders>
              <w:top w:val="single" w:sz="4" w:space="0" w:color="000000"/>
              <w:left w:val="single" w:sz="4" w:space="0" w:color="000000"/>
              <w:bottom w:val="single" w:sz="4" w:space="0" w:color="000000"/>
              <w:right w:val="single" w:sz="4" w:space="0" w:color="000000"/>
            </w:tcBorders>
            <w:hideMark/>
          </w:tcPr>
          <w:p w14:paraId="0E44E1A0" w14:textId="77777777" w:rsidR="00841BE0" w:rsidRPr="00841BE0" w:rsidRDefault="00841BE0" w:rsidP="0031748F">
            <w:pPr>
              <w:widowControl/>
              <w:autoSpaceDE/>
              <w:autoSpaceDN/>
              <w:ind w:left="142"/>
              <w:rPr>
                <w:rFonts w:ascii="Times New Roman" w:hAnsi="Times New Roman" w:cs="Times New Roman"/>
                <w:sz w:val="22"/>
              </w:rPr>
            </w:pPr>
            <w:proofErr w:type="spellStart"/>
            <w:r w:rsidRPr="00841BE0">
              <w:rPr>
                <w:rFonts w:ascii="Times New Roman" w:hAnsi="Times New Roman" w:cs="Times New Roman"/>
                <w:sz w:val="22"/>
              </w:rPr>
              <w:t>Ændring</w:t>
            </w:r>
            <w:proofErr w:type="spellEnd"/>
            <w:r w:rsidRPr="00841BE0">
              <w:rPr>
                <w:rFonts w:ascii="Times New Roman" w:hAnsi="Times New Roman" w:cs="Times New Roman"/>
                <w:sz w:val="22"/>
              </w:rPr>
              <w:t xml:space="preserve"> fra </w:t>
            </w:r>
            <w:r w:rsidRPr="00841BE0">
              <w:rPr>
                <w:rFonts w:ascii="Times New Roman" w:hAnsi="Times New Roman" w:cs="Times New Roman"/>
                <w:i/>
                <w:sz w:val="22"/>
              </w:rPr>
              <w:t>baseline</w:t>
            </w:r>
            <w:r w:rsidRPr="00841BE0">
              <w:rPr>
                <w:rFonts w:ascii="Times New Roman" w:hAnsi="Times New Roman" w:cs="Times New Roman"/>
                <w:sz w:val="22"/>
                <w:vertAlign w:val="superscript"/>
              </w:rPr>
              <w:t>1</w:t>
            </w:r>
          </w:p>
        </w:tc>
        <w:tc>
          <w:tcPr>
            <w:tcW w:w="847" w:type="pct"/>
            <w:tcBorders>
              <w:top w:val="single" w:sz="4" w:space="0" w:color="000000"/>
              <w:left w:val="single" w:sz="4" w:space="0" w:color="000000"/>
              <w:bottom w:val="single" w:sz="4" w:space="0" w:color="000000"/>
              <w:right w:val="single" w:sz="4" w:space="0" w:color="000000"/>
            </w:tcBorders>
            <w:hideMark/>
          </w:tcPr>
          <w:p w14:paraId="03906DE7"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0,40</w:t>
            </w:r>
          </w:p>
        </w:tc>
        <w:tc>
          <w:tcPr>
            <w:tcW w:w="1176" w:type="pct"/>
            <w:tcBorders>
              <w:top w:val="single" w:sz="4" w:space="0" w:color="000000"/>
              <w:left w:val="single" w:sz="4" w:space="0" w:color="000000"/>
              <w:bottom w:val="single" w:sz="4" w:space="0" w:color="000000"/>
              <w:right w:val="single" w:sz="4" w:space="0" w:color="000000"/>
            </w:tcBorders>
            <w:hideMark/>
          </w:tcPr>
          <w:p w14:paraId="56D4E1ED"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noBreakHyphen/>
              <w:t>1,74</w:t>
            </w:r>
          </w:p>
        </w:tc>
        <w:tc>
          <w:tcPr>
            <w:tcW w:w="1176" w:type="pct"/>
            <w:tcBorders>
              <w:top w:val="single" w:sz="4" w:space="0" w:color="000000"/>
              <w:left w:val="single" w:sz="4" w:space="0" w:color="000000"/>
              <w:bottom w:val="single" w:sz="4" w:space="0" w:color="000000"/>
              <w:right w:val="single" w:sz="4" w:space="0" w:color="000000"/>
            </w:tcBorders>
            <w:hideMark/>
          </w:tcPr>
          <w:p w14:paraId="3FEC24FA"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noBreakHyphen/>
              <w:t>1,59</w:t>
            </w:r>
          </w:p>
        </w:tc>
      </w:tr>
      <w:tr w:rsidR="00841BE0" w:rsidRPr="00841BE0" w14:paraId="26D2F6CB" w14:textId="77777777" w:rsidTr="0031748F">
        <w:trPr>
          <w:trHeight w:val="505"/>
        </w:trPr>
        <w:tc>
          <w:tcPr>
            <w:tcW w:w="1802" w:type="pct"/>
            <w:tcBorders>
              <w:top w:val="single" w:sz="4" w:space="0" w:color="000000"/>
              <w:left w:val="single" w:sz="4" w:space="0" w:color="000000"/>
              <w:bottom w:val="single" w:sz="4" w:space="0" w:color="000000"/>
              <w:right w:val="single" w:sz="4" w:space="0" w:color="000000"/>
            </w:tcBorders>
            <w:hideMark/>
          </w:tcPr>
          <w:p w14:paraId="580450A9" w14:textId="77777777" w:rsidR="00841BE0" w:rsidRPr="00841BE0" w:rsidRDefault="00841BE0" w:rsidP="0031748F">
            <w:pPr>
              <w:widowControl/>
              <w:autoSpaceDE/>
              <w:autoSpaceDN/>
              <w:ind w:left="142"/>
              <w:rPr>
                <w:rFonts w:ascii="Times New Roman" w:hAnsi="Times New Roman" w:cs="Times New Roman"/>
                <w:sz w:val="22"/>
              </w:rPr>
            </w:pPr>
            <w:proofErr w:type="spellStart"/>
            <w:r w:rsidRPr="00841BE0">
              <w:rPr>
                <w:rFonts w:ascii="Times New Roman" w:hAnsi="Times New Roman" w:cs="Times New Roman"/>
                <w:sz w:val="22"/>
              </w:rPr>
              <w:t>Forskel</w:t>
            </w:r>
            <w:proofErr w:type="spellEnd"/>
            <w:r w:rsidRPr="00841BE0">
              <w:rPr>
                <w:rFonts w:ascii="Times New Roman" w:hAnsi="Times New Roman" w:cs="Times New Roman"/>
                <w:sz w:val="22"/>
              </w:rPr>
              <w:t xml:space="preserve"> </w:t>
            </w:r>
            <w:proofErr w:type="spellStart"/>
            <w:r w:rsidRPr="00841BE0">
              <w:rPr>
                <w:rFonts w:ascii="Times New Roman" w:hAnsi="Times New Roman" w:cs="Times New Roman"/>
                <w:sz w:val="22"/>
              </w:rPr>
              <w:t>til</w:t>
            </w:r>
            <w:proofErr w:type="spellEnd"/>
            <w:r w:rsidRPr="00841BE0">
              <w:rPr>
                <w:rFonts w:ascii="Times New Roman" w:hAnsi="Times New Roman" w:cs="Times New Roman"/>
                <w:sz w:val="22"/>
              </w:rPr>
              <w:t xml:space="preserve"> placebo</w:t>
            </w:r>
            <w:r w:rsidRPr="00841BE0">
              <w:rPr>
                <w:rFonts w:ascii="Times New Roman" w:hAnsi="Times New Roman" w:cs="Times New Roman"/>
                <w:sz w:val="22"/>
                <w:vertAlign w:val="superscript"/>
              </w:rPr>
              <w:t>1</w:t>
            </w:r>
          </w:p>
          <w:p w14:paraId="38973D76"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(97,5 % CI)</w:t>
            </w:r>
          </w:p>
        </w:tc>
        <w:tc>
          <w:tcPr>
            <w:tcW w:w="847" w:type="pct"/>
            <w:tcBorders>
              <w:top w:val="single" w:sz="4" w:space="0" w:color="000000"/>
              <w:left w:val="single" w:sz="4" w:space="0" w:color="000000"/>
              <w:bottom w:val="single" w:sz="4" w:space="0" w:color="000000"/>
              <w:right w:val="single" w:sz="4" w:space="0" w:color="000000"/>
            </w:tcBorders>
          </w:tcPr>
          <w:p w14:paraId="1D1D9815" w14:textId="77777777" w:rsidR="00841BE0" w:rsidRPr="00841BE0" w:rsidRDefault="00841BE0" w:rsidP="0031748F">
            <w:pPr>
              <w:widowControl/>
              <w:autoSpaceDE/>
              <w:autoSpaceDN/>
              <w:ind w:left="142"/>
              <w:rPr>
                <w:rFonts w:ascii="Times New Roman" w:hAnsi="Times New Roman" w:cs="Times New Roman"/>
                <w:sz w:val="22"/>
              </w:rPr>
            </w:pPr>
          </w:p>
        </w:tc>
        <w:tc>
          <w:tcPr>
            <w:tcW w:w="1176" w:type="pct"/>
            <w:tcBorders>
              <w:top w:val="single" w:sz="4" w:space="0" w:color="000000"/>
              <w:left w:val="single" w:sz="4" w:space="0" w:color="000000"/>
              <w:bottom w:val="single" w:sz="4" w:space="0" w:color="000000"/>
              <w:right w:val="single" w:sz="4" w:space="0" w:color="000000"/>
            </w:tcBorders>
            <w:hideMark/>
          </w:tcPr>
          <w:p w14:paraId="13602AA9"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noBreakHyphen/>
              <w:t>2,14* (</w:t>
            </w:r>
            <w:r w:rsidRPr="00841BE0">
              <w:rPr>
                <w:rFonts w:ascii="Times New Roman" w:hAnsi="Times New Roman" w:cs="Times New Roman"/>
                <w:sz w:val="22"/>
              </w:rPr>
              <w:noBreakHyphen/>
            </w:r>
            <w:proofErr w:type="gramStart"/>
            <w:r w:rsidRPr="00841BE0">
              <w:rPr>
                <w:rFonts w:ascii="Times New Roman" w:hAnsi="Times New Roman" w:cs="Times New Roman"/>
                <w:sz w:val="22"/>
              </w:rPr>
              <w:t xml:space="preserve">2,93; </w:t>
            </w:r>
            <w:r w:rsidRPr="00841BE0">
              <w:rPr>
                <w:rFonts w:ascii="Times New Roman" w:hAnsi="Times New Roman" w:cs="Times New Roman"/>
                <w:sz w:val="22"/>
              </w:rPr>
              <w:noBreakHyphen/>
            </w:r>
            <w:proofErr w:type="gramEnd"/>
            <w:r w:rsidRPr="00841BE0">
              <w:rPr>
                <w:rFonts w:ascii="Times New Roman" w:hAnsi="Times New Roman" w:cs="Times New Roman"/>
                <w:sz w:val="22"/>
              </w:rPr>
              <w:t>1,35)</w:t>
            </w:r>
          </w:p>
        </w:tc>
        <w:tc>
          <w:tcPr>
            <w:tcW w:w="1176" w:type="pct"/>
            <w:tcBorders>
              <w:top w:val="single" w:sz="4" w:space="0" w:color="000000"/>
              <w:left w:val="single" w:sz="4" w:space="0" w:color="000000"/>
              <w:bottom w:val="single" w:sz="4" w:space="0" w:color="000000"/>
              <w:right w:val="single" w:sz="4" w:space="0" w:color="000000"/>
            </w:tcBorders>
            <w:hideMark/>
          </w:tcPr>
          <w:p w14:paraId="6B513E61"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noBreakHyphen/>
              <w:t>2,00* (</w:t>
            </w:r>
            <w:r w:rsidRPr="00841BE0">
              <w:rPr>
                <w:rFonts w:ascii="Times New Roman" w:hAnsi="Times New Roman" w:cs="Times New Roman"/>
                <w:sz w:val="22"/>
              </w:rPr>
              <w:noBreakHyphen/>
            </w:r>
            <w:proofErr w:type="gramStart"/>
            <w:r w:rsidRPr="00841BE0">
              <w:rPr>
                <w:rFonts w:ascii="Times New Roman" w:hAnsi="Times New Roman" w:cs="Times New Roman"/>
                <w:sz w:val="22"/>
              </w:rPr>
              <w:t xml:space="preserve">2,78; </w:t>
            </w:r>
            <w:r w:rsidRPr="00841BE0">
              <w:rPr>
                <w:rFonts w:ascii="Times New Roman" w:hAnsi="Times New Roman" w:cs="Times New Roman"/>
                <w:sz w:val="22"/>
              </w:rPr>
              <w:noBreakHyphen/>
            </w:r>
            <w:proofErr w:type="gramEnd"/>
            <w:r w:rsidRPr="00841BE0">
              <w:rPr>
                <w:rFonts w:ascii="Times New Roman" w:hAnsi="Times New Roman" w:cs="Times New Roman"/>
                <w:sz w:val="22"/>
              </w:rPr>
              <w:t>1,21)</w:t>
            </w:r>
          </w:p>
        </w:tc>
      </w:tr>
      <w:tr w:rsidR="00841BE0" w:rsidRPr="00841BE0" w14:paraId="7FBBEF22" w14:textId="77777777" w:rsidTr="0031748F">
        <w:trPr>
          <w:trHeight w:val="251"/>
        </w:trPr>
        <w:tc>
          <w:tcPr>
            <w:tcW w:w="1802" w:type="pct"/>
            <w:tcBorders>
              <w:top w:val="single" w:sz="4" w:space="0" w:color="000000"/>
              <w:left w:val="single" w:sz="4" w:space="0" w:color="000000"/>
              <w:bottom w:val="single" w:sz="4" w:space="0" w:color="000000"/>
              <w:right w:val="single" w:sz="4" w:space="0" w:color="000000"/>
            </w:tcBorders>
            <w:hideMark/>
          </w:tcPr>
          <w:p w14:paraId="06527E6D"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N</w:t>
            </w:r>
          </w:p>
        </w:tc>
        <w:tc>
          <w:tcPr>
            <w:tcW w:w="847" w:type="pct"/>
            <w:tcBorders>
              <w:top w:val="single" w:sz="4" w:space="0" w:color="000000"/>
              <w:left w:val="single" w:sz="4" w:space="0" w:color="000000"/>
              <w:bottom w:val="single" w:sz="4" w:space="0" w:color="000000"/>
              <w:right w:val="single" w:sz="4" w:space="0" w:color="000000"/>
            </w:tcBorders>
            <w:hideMark/>
          </w:tcPr>
          <w:p w14:paraId="25C8C350"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124</w:t>
            </w:r>
          </w:p>
        </w:tc>
        <w:tc>
          <w:tcPr>
            <w:tcW w:w="1176" w:type="pct"/>
            <w:tcBorders>
              <w:top w:val="single" w:sz="4" w:space="0" w:color="000000"/>
              <w:left w:val="single" w:sz="4" w:space="0" w:color="000000"/>
              <w:bottom w:val="single" w:sz="4" w:space="0" w:color="000000"/>
              <w:right w:val="single" w:sz="4" w:space="0" w:color="000000"/>
            </w:tcBorders>
            <w:hideMark/>
          </w:tcPr>
          <w:p w14:paraId="21F991E1"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125</w:t>
            </w:r>
          </w:p>
        </w:tc>
        <w:tc>
          <w:tcPr>
            <w:tcW w:w="1176" w:type="pct"/>
            <w:tcBorders>
              <w:top w:val="single" w:sz="4" w:space="0" w:color="000000"/>
              <w:left w:val="single" w:sz="4" w:space="0" w:color="000000"/>
              <w:bottom w:val="single" w:sz="4" w:space="0" w:color="000000"/>
              <w:right w:val="single" w:sz="4" w:space="0" w:color="000000"/>
            </w:tcBorders>
            <w:hideMark/>
          </w:tcPr>
          <w:p w14:paraId="7E5E38F4"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127</w:t>
            </w:r>
          </w:p>
        </w:tc>
      </w:tr>
      <w:tr w:rsidR="00841BE0" w:rsidRPr="00841BE0" w14:paraId="7B8B753A" w14:textId="77777777" w:rsidTr="0031748F">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67D1ED5A"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b/>
                <w:sz w:val="22"/>
              </w:rPr>
              <w:t>SBP (mmHg)</w:t>
            </w:r>
            <w:r w:rsidRPr="00841BE0">
              <w:rPr>
                <w:rFonts w:ascii="Times New Roman" w:hAnsi="Times New Roman" w:cs="Times New Roman"/>
                <w:sz w:val="22"/>
                <w:vertAlign w:val="superscript"/>
              </w:rPr>
              <w:t>2,</w:t>
            </w:r>
            <w:r w:rsidRPr="00841BE0">
              <w:rPr>
                <w:rFonts w:ascii="Times New Roman" w:hAnsi="Times New Roman" w:cs="Times New Roman"/>
                <w:sz w:val="22"/>
              </w:rPr>
              <w:t xml:space="preserve"> </w:t>
            </w:r>
            <w:r w:rsidRPr="00841BE0">
              <w:rPr>
                <w:rFonts w:ascii="Times New Roman" w:hAnsi="Times New Roman" w:cs="Times New Roman"/>
                <w:sz w:val="22"/>
                <w:vertAlign w:val="superscript"/>
              </w:rPr>
              <w:t>3</w:t>
            </w:r>
          </w:p>
        </w:tc>
      </w:tr>
      <w:tr w:rsidR="00841BE0" w:rsidRPr="00841BE0" w14:paraId="406D5022" w14:textId="77777777" w:rsidTr="0031748F">
        <w:trPr>
          <w:trHeight w:val="251"/>
        </w:trPr>
        <w:tc>
          <w:tcPr>
            <w:tcW w:w="1802" w:type="pct"/>
            <w:tcBorders>
              <w:top w:val="single" w:sz="4" w:space="0" w:color="000000"/>
              <w:left w:val="single" w:sz="4" w:space="0" w:color="000000"/>
              <w:bottom w:val="single" w:sz="4" w:space="0" w:color="000000"/>
              <w:right w:val="single" w:sz="4" w:space="0" w:color="000000"/>
            </w:tcBorders>
            <w:hideMark/>
          </w:tcPr>
          <w:p w14:paraId="301D229D"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i/>
                <w:sz w:val="22"/>
              </w:rPr>
              <w:t xml:space="preserve">Baseline </w:t>
            </w:r>
            <w:r w:rsidRPr="00841BE0">
              <w:rPr>
                <w:rFonts w:ascii="Times New Roman" w:hAnsi="Times New Roman" w:cs="Times New Roman"/>
                <w:sz w:val="22"/>
              </w:rPr>
              <w:t>(</w:t>
            </w:r>
            <w:proofErr w:type="spellStart"/>
            <w:r w:rsidRPr="00841BE0">
              <w:rPr>
                <w:rFonts w:ascii="Times New Roman" w:hAnsi="Times New Roman" w:cs="Times New Roman"/>
                <w:sz w:val="22"/>
              </w:rPr>
              <w:t>middelværdi</w:t>
            </w:r>
            <w:proofErr w:type="spellEnd"/>
            <w:r w:rsidRPr="00841BE0">
              <w:rPr>
                <w:rFonts w:ascii="Times New Roman" w:hAnsi="Times New Roman" w:cs="Times New Roman"/>
                <w:sz w:val="22"/>
              </w:rPr>
              <w:t>)</w:t>
            </w:r>
          </w:p>
        </w:tc>
        <w:tc>
          <w:tcPr>
            <w:tcW w:w="847" w:type="pct"/>
            <w:tcBorders>
              <w:top w:val="single" w:sz="4" w:space="0" w:color="000000"/>
              <w:left w:val="single" w:sz="4" w:space="0" w:color="000000"/>
              <w:bottom w:val="single" w:sz="4" w:space="0" w:color="000000"/>
              <w:right w:val="single" w:sz="4" w:space="0" w:color="000000"/>
            </w:tcBorders>
            <w:hideMark/>
          </w:tcPr>
          <w:p w14:paraId="68C5B447"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125,5</w:t>
            </w:r>
          </w:p>
        </w:tc>
        <w:tc>
          <w:tcPr>
            <w:tcW w:w="1176" w:type="pct"/>
            <w:tcBorders>
              <w:top w:val="single" w:sz="4" w:space="0" w:color="000000"/>
              <w:left w:val="single" w:sz="4" w:space="0" w:color="000000"/>
              <w:bottom w:val="single" w:sz="4" w:space="0" w:color="000000"/>
              <w:right w:val="single" w:sz="4" w:space="0" w:color="000000"/>
            </w:tcBorders>
            <w:hideMark/>
          </w:tcPr>
          <w:p w14:paraId="03A2006E"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126,3</w:t>
            </w:r>
          </w:p>
        </w:tc>
        <w:tc>
          <w:tcPr>
            <w:tcW w:w="1176" w:type="pct"/>
            <w:tcBorders>
              <w:top w:val="single" w:sz="4" w:space="0" w:color="000000"/>
              <w:left w:val="single" w:sz="4" w:space="0" w:color="000000"/>
              <w:bottom w:val="single" w:sz="4" w:space="0" w:color="000000"/>
              <w:right w:val="single" w:sz="4" w:space="0" w:color="000000"/>
            </w:tcBorders>
            <w:hideMark/>
          </w:tcPr>
          <w:p w14:paraId="78F7405E"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126,3</w:t>
            </w:r>
          </w:p>
        </w:tc>
      </w:tr>
      <w:tr w:rsidR="00841BE0" w:rsidRPr="00841BE0" w14:paraId="60034D17" w14:textId="77777777" w:rsidTr="0031748F">
        <w:trPr>
          <w:trHeight w:val="253"/>
        </w:trPr>
        <w:tc>
          <w:tcPr>
            <w:tcW w:w="1802" w:type="pct"/>
            <w:tcBorders>
              <w:top w:val="single" w:sz="4" w:space="0" w:color="000000"/>
              <w:left w:val="single" w:sz="4" w:space="0" w:color="000000"/>
              <w:bottom w:val="single" w:sz="4" w:space="0" w:color="000000"/>
              <w:right w:val="single" w:sz="4" w:space="0" w:color="000000"/>
            </w:tcBorders>
            <w:hideMark/>
          </w:tcPr>
          <w:p w14:paraId="3CA7F71A" w14:textId="77777777" w:rsidR="00841BE0" w:rsidRPr="00841BE0" w:rsidRDefault="00841BE0" w:rsidP="0031748F">
            <w:pPr>
              <w:widowControl/>
              <w:autoSpaceDE/>
              <w:autoSpaceDN/>
              <w:ind w:left="142"/>
              <w:rPr>
                <w:rFonts w:ascii="Times New Roman" w:hAnsi="Times New Roman" w:cs="Times New Roman"/>
                <w:sz w:val="22"/>
              </w:rPr>
            </w:pPr>
            <w:proofErr w:type="spellStart"/>
            <w:r w:rsidRPr="00841BE0">
              <w:rPr>
                <w:rFonts w:ascii="Times New Roman" w:hAnsi="Times New Roman" w:cs="Times New Roman"/>
                <w:sz w:val="22"/>
              </w:rPr>
              <w:t>Ændring</w:t>
            </w:r>
            <w:proofErr w:type="spellEnd"/>
            <w:r w:rsidRPr="00841BE0">
              <w:rPr>
                <w:rFonts w:ascii="Times New Roman" w:hAnsi="Times New Roman" w:cs="Times New Roman"/>
                <w:sz w:val="22"/>
              </w:rPr>
              <w:t xml:space="preserve"> fra </w:t>
            </w:r>
            <w:r w:rsidRPr="00841BE0">
              <w:rPr>
                <w:rFonts w:ascii="Times New Roman" w:hAnsi="Times New Roman" w:cs="Times New Roman"/>
                <w:i/>
                <w:sz w:val="22"/>
              </w:rPr>
              <w:t>baseline</w:t>
            </w:r>
            <w:r w:rsidRPr="00841BE0">
              <w:rPr>
                <w:rFonts w:ascii="Times New Roman" w:hAnsi="Times New Roman" w:cs="Times New Roman"/>
                <w:sz w:val="22"/>
                <w:vertAlign w:val="superscript"/>
              </w:rPr>
              <w:t>1</w:t>
            </w:r>
          </w:p>
        </w:tc>
        <w:tc>
          <w:tcPr>
            <w:tcW w:w="847" w:type="pct"/>
            <w:tcBorders>
              <w:top w:val="single" w:sz="4" w:space="0" w:color="000000"/>
              <w:left w:val="single" w:sz="4" w:space="0" w:color="000000"/>
              <w:bottom w:val="single" w:sz="4" w:space="0" w:color="000000"/>
              <w:right w:val="single" w:sz="4" w:space="0" w:color="000000"/>
            </w:tcBorders>
            <w:hideMark/>
          </w:tcPr>
          <w:p w14:paraId="12BF769E"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0,8</w:t>
            </w:r>
          </w:p>
        </w:tc>
        <w:tc>
          <w:tcPr>
            <w:tcW w:w="1176" w:type="pct"/>
            <w:tcBorders>
              <w:top w:val="single" w:sz="4" w:space="0" w:color="000000"/>
              <w:left w:val="single" w:sz="4" w:space="0" w:color="000000"/>
              <w:bottom w:val="single" w:sz="4" w:space="0" w:color="000000"/>
              <w:right w:val="single" w:sz="4" w:space="0" w:color="000000"/>
            </w:tcBorders>
            <w:hideMark/>
          </w:tcPr>
          <w:p w14:paraId="56363A87"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noBreakHyphen/>
              <w:t>3,5</w:t>
            </w:r>
          </w:p>
        </w:tc>
        <w:tc>
          <w:tcPr>
            <w:tcW w:w="1176" w:type="pct"/>
            <w:tcBorders>
              <w:top w:val="single" w:sz="4" w:space="0" w:color="000000"/>
              <w:left w:val="single" w:sz="4" w:space="0" w:color="000000"/>
              <w:bottom w:val="single" w:sz="4" w:space="0" w:color="000000"/>
              <w:right w:val="single" w:sz="4" w:space="0" w:color="000000"/>
            </w:tcBorders>
            <w:hideMark/>
          </w:tcPr>
          <w:p w14:paraId="7970308B"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noBreakHyphen/>
              <w:t>3,3</w:t>
            </w:r>
          </w:p>
        </w:tc>
      </w:tr>
      <w:tr w:rsidR="00841BE0" w:rsidRPr="00841BE0" w14:paraId="3108226A" w14:textId="77777777" w:rsidTr="0031748F">
        <w:trPr>
          <w:trHeight w:val="506"/>
        </w:trPr>
        <w:tc>
          <w:tcPr>
            <w:tcW w:w="1802" w:type="pct"/>
            <w:tcBorders>
              <w:top w:val="single" w:sz="4" w:space="0" w:color="000000"/>
              <w:left w:val="single" w:sz="4" w:space="0" w:color="000000"/>
              <w:bottom w:val="single" w:sz="4" w:space="0" w:color="000000"/>
              <w:right w:val="single" w:sz="4" w:space="0" w:color="000000"/>
            </w:tcBorders>
            <w:hideMark/>
          </w:tcPr>
          <w:p w14:paraId="79B14A49" w14:textId="77777777" w:rsidR="00841BE0" w:rsidRPr="00841BE0" w:rsidRDefault="00841BE0" w:rsidP="0031748F">
            <w:pPr>
              <w:widowControl/>
              <w:autoSpaceDE/>
              <w:autoSpaceDN/>
              <w:ind w:left="142"/>
              <w:rPr>
                <w:rFonts w:ascii="Times New Roman" w:hAnsi="Times New Roman" w:cs="Times New Roman"/>
                <w:sz w:val="22"/>
              </w:rPr>
            </w:pPr>
            <w:proofErr w:type="spellStart"/>
            <w:r w:rsidRPr="00841BE0">
              <w:rPr>
                <w:rFonts w:ascii="Times New Roman" w:hAnsi="Times New Roman" w:cs="Times New Roman"/>
                <w:sz w:val="22"/>
              </w:rPr>
              <w:t>Forskel</w:t>
            </w:r>
            <w:proofErr w:type="spellEnd"/>
            <w:r w:rsidRPr="00841BE0">
              <w:rPr>
                <w:rFonts w:ascii="Times New Roman" w:hAnsi="Times New Roman" w:cs="Times New Roman"/>
                <w:sz w:val="22"/>
              </w:rPr>
              <w:t xml:space="preserve"> </w:t>
            </w:r>
            <w:proofErr w:type="spellStart"/>
            <w:r w:rsidRPr="00841BE0">
              <w:rPr>
                <w:rFonts w:ascii="Times New Roman" w:hAnsi="Times New Roman" w:cs="Times New Roman"/>
                <w:sz w:val="22"/>
              </w:rPr>
              <w:t>til</w:t>
            </w:r>
            <w:proofErr w:type="spellEnd"/>
            <w:r w:rsidRPr="00841BE0">
              <w:rPr>
                <w:rFonts w:ascii="Times New Roman" w:hAnsi="Times New Roman" w:cs="Times New Roman"/>
                <w:sz w:val="22"/>
              </w:rPr>
              <w:t xml:space="preserve"> placebo</w:t>
            </w:r>
            <w:r w:rsidRPr="00841BE0">
              <w:rPr>
                <w:rFonts w:ascii="Times New Roman" w:hAnsi="Times New Roman" w:cs="Times New Roman"/>
                <w:sz w:val="22"/>
                <w:vertAlign w:val="superscript"/>
              </w:rPr>
              <w:t>1</w:t>
            </w:r>
          </w:p>
          <w:p w14:paraId="217BD80B"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t>(95 % CI)</w:t>
            </w:r>
          </w:p>
        </w:tc>
        <w:tc>
          <w:tcPr>
            <w:tcW w:w="847" w:type="pct"/>
            <w:tcBorders>
              <w:top w:val="single" w:sz="4" w:space="0" w:color="000000"/>
              <w:left w:val="single" w:sz="4" w:space="0" w:color="000000"/>
              <w:bottom w:val="single" w:sz="4" w:space="0" w:color="000000"/>
              <w:right w:val="single" w:sz="4" w:space="0" w:color="000000"/>
            </w:tcBorders>
          </w:tcPr>
          <w:p w14:paraId="271BEBD9" w14:textId="77777777" w:rsidR="00841BE0" w:rsidRPr="00841BE0" w:rsidRDefault="00841BE0" w:rsidP="0031748F">
            <w:pPr>
              <w:widowControl/>
              <w:autoSpaceDE/>
              <w:autoSpaceDN/>
              <w:ind w:left="142"/>
              <w:rPr>
                <w:rFonts w:ascii="Times New Roman" w:hAnsi="Times New Roman" w:cs="Times New Roman"/>
                <w:sz w:val="22"/>
              </w:rPr>
            </w:pPr>
          </w:p>
        </w:tc>
        <w:tc>
          <w:tcPr>
            <w:tcW w:w="1176" w:type="pct"/>
            <w:tcBorders>
              <w:top w:val="single" w:sz="4" w:space="0" w:color="000000"/>
              <w:left w:val="single" w:sz="4" w:space="0" w:color="000000"/>
              <w:bottom w:val="single" w:sz="4" w:space="0" w:color="000000"/>
              <w:right w:val="single" w:sz="4" w:space="0" w:color="000000"/>
            </w:tcBorders>
            <w:hideMark/>
          </w:tcPr>
          <w:p w14:paraId="7533B31A"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noBreakHyphen/>
              <w:t>4,2*</w:t>
            </w:r>
            <w:proofErr w:type="gramStart"/>
            <w:r w:rsidRPr="00841BE0">
              <w:rPr>
                <w:rFonts w:ascii="Times New Roman" w:hAnsi="Times New Roman" w:cs="Times New Roman"/>
                <w:sz w:val="22"/>
              </w:rPr>
              <w:t>* (</w:t>
            </w:r>
            <w:r w:rsidRPr="00841BE0">
              <w:rPr>
                <w:rFonts w:ascii="Times New Roman" w:hAnsi="Times New Roman" w:cs="Times New Roman"/>
                <w:sz w:val="22"/>
              </w:rPr>
              <w:noBreakHyphen/>
            </w:r>
            <w:proofErr w:type="gramEnd"/>
            <w:r w:rsidRPr="00841BE0">
              <w:rPr>
                <w:rFonts w:ascii="Times New Roman" w:hAnsi="Times New Roman" w:cs="Times New Roman"/>
                <w:sz w:val="22"/>
              </w:rPr>
              <w:t xml:space="preserve">6,94; </w:t>
            </w:r>
            <w:r w:rsidRPr="00841BE0">
              <w:rPr>
                <w:rFonts w:ascii="Times New Roman" w:hAnsi="Times New Roman" w:cs="Times New Roman"/>
                <w:sz w:val="22"/>
              </w:rPr>
              <w:noBreakHyphen/>
              <w:t>1,53)</w:t>
            </w:r>
          </w:p>
        </w:tc>
        <w:tc>
          <w:tcPr>
            <w:tcW w:w="1176" w:type="pct"/>
            <w:tcBorders>
              <w:top w:val="single" w:sz="4" w:space="0" w:color="000000"/>
              <w:left w:val="single" w:sz="4" w:space="0" w:color="000000"/>
              <w:bottom w:val="single" w:sz="4" w:space="0" w:color="000000"/>
              <w:right w:val="single" w:sz="4" w:space="0" w:color="000000"/>
            </w:tcBorders>
            <w:hideMark/>
          </w:tcPr>
          <w:p w14:paraId="5B6AF364" w14:textId="77777777" w:rsidR="00841BE0" w:rsidRPr="00841BE0" w:rsidRDefault="00841BE0" w:rsidP="0031748F">
            <w:pPr>
              <w:widowControl/>
              <w:autoSpaceDE/>
              <w:autoSpaceDN/>
              <w:ind w:left="142"/>
              <w:rPr>
                <w:rFonts w:ascii="Times New Roman" w:hAnsi="Times New Roman" w:cs="Times New Roman"/>
                <w:sz w:val="22"/>
              </w:rPr>
            </w:pPr>
            <w:r w:rsidRPr="00841BE0">
              <w:rPr>
                <w:rFonts w:ascii="Times New Roman" w:hAnsi="Times New Roman" w:cs="Times New Roman"/>
                <w:sz w:val="22"/>
              </w:rPr>
              <w:noBreakHyphen/>
              <w:t>4,1*</w:t>
            </w:r>
            <w:proofErr w:type="gramStart"/>
            <w:r w:rsidRPr="00841BE0">
              <w:rPr>
                <w:rFonts w:ascii="Times New Roman" w:hAnsi="Times New Roman" w:cs="Times New Roman"/>
                <w:sz w:val="22"/>
              </w:rPr>
              <w:t>* (</w:t>
            </w:r>
            <w:r w:rsidRPr="00841BE0">
              <w:rPr>
                <w:rFonts w:ascii="Times New Roman" w:hAnsi="Times New Roman" w:cs="Times New Roman"/>
                <w:sz w:val="22"/>
              </w:rPr>
              <w:noBreakHyphen/>
            </w:r>
            <w:proofErr w:type="gramEnd"/>
            <w:r w:rsidRPr="00841BE0">
              <w:rPr>
                <w:rFonts w:ascii="Times New Roman" w:hAnsi="Times New Roman" w:cs="Times New Roman"/>
                <w:sz w:val="22"/>
              </w:rPr>
              <w:t xml:space="preserve">6,76; </w:t>
            </w:r>
            <w:r w:rsidRPr="00841BE0">
              <w:rPr>
                <w:rFonts w:ascii="Times New Roman" w:hAnsi="Times New Roman" w:cs="Times New Roman"/>
                <w:sz w:val="22"/>
              </w:rPr>
              <w:noBreakHyphen/>
              <w:t>1,37)</w:t>
            </w:r>
          </w:p>
        </w:tc>
      </w:tr>
    </w:tbl>
    <w:p w14:paraId="201D033E" w14:textId="3F9BAD13" w:rsidR="00841BE0" w:rsidRPr="00841BE0" w:rsidRDefault="00841BE0" w:rsidP="0031748F">
      <w:pPr>
        <w:ind w:left="426" w:hanging="426"/>
        <w:rPr>
          <w:sz w:val="24"/>
          <w:szCs w:val="24"/>
        </w:rPr>
      </w:pPr>
      <w:r w:rsidRPr="00841BE0">
        <w:rPr>
          <w:sz w:val="24"/>
          <w:szCs w:val="24"/>
          <w:vertAlign w:val="superscript"/>
        </w:rPr>
        <w:t>a</w:t>
      </w:r>
      <w:r w:rsidRPr="00841BE0">
        <w:rPr>
          <w:sz w:val="24"/>
          <w:szCs w:val="24"/>
        </w:rPr>
        <w:t xml:space="preserve"> </w:t>
      </w:r>
      <w:r w:rsidR="0031748F" w:rsidRPr="003D3B2F">
        <w:rPr>
          <w:sz w:val="24"/>
          <w:szCs w:val="24"/>
        </w:rPr>
        <w:tab/>
      </w:r>
      <w:r w:rsidRPr="00841BE0">
        <w:rPr>
          <w:sz w:val="24"/>
          <w:szCs w:val="24"/>
        </w:rPr>
        <w:t xml:space="preserve">Fuldstændigt analysedatasæt (FAS) ved brug af sidste observation føres videre (LOCF) før </w:t>
      </w:r>
      <w:proofErr w:type="spellStart"/>
      <w:r w:rsidRPr="00841BE0">
        <w:rPr>
          <w:sz w:val="24"/>
          <w:szCs w:val="24"/>
        </w:rPr>
        <w:t>blodglucoseregulerende</w:t>
      </w:r>
      <w:proofErr w:type="spellEnd"/>
      <w:r w:rsidRPr="00841BE0">
        <w:rPr>
          <w:sz w:val="24"/>
          <w:szCs w:val="24"/>
        </w:rPr>
        <w:t xml:space="preserve"> behovsbehandling.</w:t>
      </w:r>
    </w:p>
    <w:p w14:paraId="141226FC" w14:textId="524B90C3" w:rsidR="00841BE0" w:rsidRPr="00841BE0" w:rsidRDefault="00841BE0" w:rsidP="0031748F">
      <w:pPr>
        <w:ind w:left="426" w:hanging="426"/>
        <w:rPr>
          <w:sz w:val="24"/>
          <w:szCs w:val="24"/>
        </w:rPr>
      </w:pPr>
      <w:r w:rsidRPr="00841BE0">
        <w:rPr>
          <w:sz w:val="24"/>
          <w:szCs w:val="24"/>
          <w:vertAlign w:val="superscript"/>
        </w:rPr>
        <w:t>b</w:t>
      </w:r>
      <w:r w:rsidRPr="00841BE0">
        <w:rPr>
          <w:sz w:val="24"/>
          <w:szCs w:val="24"/>
        </w:rPr>
        <w:t xml:space="preserve"> </w:t>
      </w:r>
      <w:r w:rsidR="0031748F" w:rsidRPr="003D3B2F">
        <w:rPr>
          <w:sz w:val="24"/>
          <w:szCs w:val="24"/>
        </w:rPr>
        <w:tab/>
      </w:r>
      <w:r w:rsidRPr="00841BE0">
        <w:rPr>
          <w:sz w:val="24"/>
          <w:szCs w:val="24"/>
        </w:rPr>
        <w:t xml:space="preserve">Undergruppeanalyse af patienter, der også fik </w:t>
      </w:r>
      <w:proofErr w:type="spellStart"/>
      <w:r w:rsidRPr="00841BE0">
        <w:rPr>
          <w:sz w:val="24"/>
          <w:szCs w:val="24"/>
        </w:rPr>
        <w:t>metformin</w:t>
      </w:r>
      <w:proofErr w:type="spellEnd"/>
      <w:r w:rsidRPr="00841BE0">
        <w:rPr>
          <w:sz w:val="24"/>
          <w:szCs w:val="24"/>
        </w:rPr>
        <w:t xml:space="preserve"> (FAS, LOCF).</w:t>
      </w:r>
    </w:p>
    <w:p w14:paraId="176E53A3" w14:textId="37FD6108" w:rsidR="00841BE0" w:rsidRPr="00841BE0" w:rsidRDefault="00841BE0" w:rsidP="0031748F">
      <w:pPr>
        <w:ind w:left="426" w:hanging="426"/>
        <w:rPr>
          <w:sz w:val="24"/>
          <w:szCs w:val="24"/>
        </w:rPr>
      </w:pPr>
      <w:r w:rsidRPr="00841BE0">
        <w:rPr>
          <w:sz w:val="24"/>
          <w:szCs w:val="24"/>
          <w:vertAlign w:val="superscript"/>
        </w:rPr>
        <w:t>1</w:t>
      </w:r>
      <w:r w:rsidRPr="00841BE0">
        <w:rPr>
          <w:sz w:val="24"/>
          <w:szCs w:val="24"/>
        </w:rPr>
        <w:t xml:space="preserve"> </w:t>
      </w:r>
      <w:r w:rsidR="0031748F" w:rsidRPr="003D3B2F">
        <w:rPr>
          <w:sz w:val="24"/>
          <w:szCs w:val="24"/>
        </w:rPr>
        <w:tab/>
      </w:r>
      <w:r w:rsidRPr="00841BE0">
        <w:rPr>
          <w:sz w:val="24"/>
          <w:szCs w:val="24"/>
        </w:rPr>
        <w:t xml:space="preserve">Middelværdi korrigeret for </w:t>
      </w:r>
      <w:r w:rsidRPr="00841BE0">
        <w:rPr>
          <w:i/>
          <w:iCs/>
          <w:sz w:val="24"/>
          <w:szCs w:val="24"/>
        </w:rPr>
        <w:t>baseline</w:t>
      </w:r>
      <w:r w:rsidRPr="00841BE0">
        <w:rPr>
          <w:sz w:val="24"/>
          <w:szCs w:val="24"/>
        </w:rPr>
        <w:t>-værdi.</w:t>
      </w:r>
    </w:p>
    <w:p w14:paraId="7E8B4FA1" w14:textId="0E8041BB" w:rsidR="00841BE0" w:rsidRPr="00841BE0" w:rsidRDefault="00841BE0" w:rsidP="0031748F">
      <w:pPr>
        <w:ind w:left="426" w:hanging="426"/>
        <w:rPr>
          <w:sz w:val="24"/>
          <w:szCs w:val="24"/>
        </w:rPr>
      </w:pPr>
      <w:r w:rsidRPr="00841BE0">
        <w:rPr>
          <w:sz w:val="24"/>
          <w:szCs w:val="24"/>
          <w:vertAlign w:val="superscript"/>
        </w:rPr>
        <w:t>2</w:t>
      </w:r>
      <w:r w:rsidRPr="00841BE0">
        <w:rPr>
          <w:sz w:val="24"/>
          <w:szCs w:val="24"/>
        </w:rPr>
        <w:t xml:space="preserve"> </w:t>
      </w:r>
      <w:r w:rsidR="0031748F" w:rsidRPr="003D3B2F">
        <w:rPr>
          <w:sz w:val="24"/>
          <w:szCs w:val="24"/>
        </w:rPr>
        <w:tab/>
      </w:r>
      <w:r w:rsidRPr="00841BE0">
        <w:rPr>
          <w:sz w:val="24"/>
          <w:szCs w:val="24"/>
        </w:rPr>
        <w:t>Ikke undersøgt for statistisk signifikans som led i den sekventielle, bekræftende testprocedure.</w:t>
      </w:r>
    </w:p>
    <w:p w14:paraId="417AD544" w14:textId="696663E5" w:rsidR="00841BE0" w:rsidRPr="00841BE0" w:rsidRDefault="00841BE0" w:rsidP="0031748F">
      <w:pPr>
        <w:ind w:left="426" w:hanging="426"/>
        <w:rPr>
          <w:sz w:val="24"/>
          <w:szCs w:val="24"/>
        </w:rPr>
      </w:pPr>
      <w:r w:rsidRPr="00841BE0">
        <w:rPr>
          <w:sz w:val="24"/>
          <w:szCs w:val="24"/>
          <w:vertAlign w:val="superscript"/>
        </w:rPr>
        <w:t>3</w:t>
      </w:r>
      <w:r w:rsidRPr="00841BE0">
        <w:rPr>
          <w:sz w:val="24"/>
          <w:szCs w:val="24"/>
        </w:rPr>
        <w:t xml:space="preserve"> </w:t>
      </w:r>
      <w:r w:rsidR="0031748F" w:rsidRPr="003D3B2F">
        <w:rPr>
          <w:sz w:val="24"/>
          <w:szCs w:val="24"/>
        </w:rPr>
        <w:tab/>
      </w:r>
      <w:r w:rsidRPr="00841BE0">
        <w:rPr>
          <w:sz w:val="24"/>
          <w:szCs w:val="24"/>
        </w:rPr>
        <w:t xml:space="preserve">LOCF, værdier efter </w:t>
      </w:r>
      <w:proofErr w:type="spellStart"/>
      <w:r w:rsidRPr="00841BE0">
        <w:rPr>
          <w:sz w:val="24"/>
          <w:szCs w:val="24"/>
        </w:rPr>
        <w:t>antihypertensiv</w:t>
      </w:r>
      <w:proofErr w:type="spellEnd"/>
      <w:r w:rsidRPr="00841BE0">
        <w:rPr>
          <w:sz w:val="24"/>
          <w:szCs w:val="24"/>
        </w:rPr>
        <w:t xml:space="preserve"> behovsbehandling er bortcensureret.</w:t>
      </w:r>
    </w:p>
    <w:p w14:paraId="20545C42" w14:textId="1813348A" w:rsidR="00841BE0" w:rsidRPr="00841BE0" w:rsidRDefault="00841BE0" w:rsidP="0031748F">
      <w:pPr>
        <w:ind w:left="426" w:hanging="426"/>
        <w:rPr>
          <w:sz w:val="24"/>
          <w:szCs w:val="24"/>
        </w:rPr>
      </w:pPr>
      <w:r w:rsidRPr="00841BE0">
        <w:rPr>
          <w:sz w:val="24"/>
          <w:szCs w:val="24"/>
        </w:rPr>
        <w:t xml:space="preserve">* </w:t>
      </w:r>
      <w:r w:rsidR="0031748F" w:rsidRPr="003D3B2F">
        <w:rPr>
          <w:sz w:val="24"/>
          <w:szCs w:val="24"/>
        </w:rPr>
        <w:tab/>
      </w:r>
      <w:proofErr w:type="spellStart"/>
      <w:r w:rsidRPr="00841BE0">
        <w:rPr>
          <w:sz w:val="24"/>
          <w:szCs w:val="24"/>
        </w:rPr>
        <w:t>p-værdi</w:t>
      </w:r>
      <w:proofErr w:type="spellEnd"/>
      <w:r w:rsidRPr="00841BE0">
        <w:rPr>
          <w:sz w:val="24"/>
          <w:szCs w:val="24"/>
        </w:rPr>
        <w:t xml:space="preserve"> &lt; 0,0001.</w:t>
      </w:r>
    </w:p>
    <w:p w14:paraId="5F641F8C" w14:textId="33D35EA3" w:rsidR="00841BE0" w:rsidRPr="00841BE0" w:rsidRDefault="00841BE0" w:rsidP="0031748F">
      <w:pPr>
        <w:ind w:left="426" w:hanging="426"/>
        <w:rPr>
          <w:sz w:val="24"/>
          <w:szCs w:val="24"/>
        </w:rPr>
      </w:pPr>
      <w:r w:rsidRPr="00841BE0">
        <w:rPr>
          <w:sz w:val="24"/>
          <w:szCs w:val="24"/>
        </w:rPr>
        <w:t xml:space="preserve">** </w:t>
      </w:r>
      <w:r w:rsidR="0031748F" w:rsidRPr="003D3B2F">
        <w:rPr>
          <w:sz w:val="24"/>
          <w:szCs w:val="24"/>
        </w:rPr>
        <w:tab/>
      </w:r>
      <w:proofErr w:type="spellStart"/>
      <w:r w:rsidRPr="00841BE0">
        <w:rPr>
          <w:sz w:val="24"/>
          <w:szCs w:val="24"/>
        </w:rPr>
        <w:t>p-værdi</w:t>
      </w:r>
      <w:proofErr w:type="spellEnd"/>
      <w:r w:rsidRPr="00841BE0">
        <w:rPr>
          <w:sz w:val="24"/>
          <w:szCs w:val="24"/>
        </w:rPr>
        <w:t xml:space="preserve"> &lt; 0,01.</w:t>
      </w:r>
    </w:p>
    <w:p w14:paraId="1F1B3A51" w14:textId="77777777" w:rsidR="00841BE0" w:rsidRPr="00841BE0" w:rsidRDefault="00841BE0" w:rsidP="00210533">
      <w:pPr>
        <w:ind w:left="851"/>
        <w:rPr>
          <w:sz w:val="24"/>
          <w:szCs w:val="24"/>
        </w:rPr>
      </w:pPr>
    </w:p>
    <w:p w14:paraId="729903F3" w14:textId="77777777" w:rsidR="00841BE0" w:rsidRPr="00841BE0" w:rsidRDefault="00841BE0" w:rsidP="00210533">
      <w:pPr>
        <w:ind w:left="851"/>
        <w:rPr>
          <w:i/>
          <w:iCs/>
          <w:sz w:val="24"/>
          <w:szCs w:val="24"/>
          <w:u w:val="single"/>
        </w:rPr>
      </w:pPr>
      <w:proofErr w:type="spellStart"/>
      <w:r w:rsidRPr="00841BE0">
        <w:rPr>
          <w:i/>
          <w:iCs/>
          <w:sz w:val="24"/>
          <w:szCs w:val="24"/>
          <w:u w:val="single"/>
        </w:rPr>
        <w:t>Empagliflozin</w:t>
      </w:r>
      <w:proofErr w:type="spellEnd"/>
      <w:r w:rsidRPr="00841BE0">
        <w:rPr>
          <w:i/>
          <w:iCs/>
          <w:sz w:val="24"/>
          <w:szCs w:val="24"/>
          <w:u w:val="single"/>
        </w:rPr>
        <w:t xml:space="preserve"> i kombination med </w:t>
      </w:r>
      <w:proofErr w:type="spellStart"/>
      <w:r w:rsidRPr="00841BE0">
        <w:rPr>
          <w:i/>
          <w:iCs/>
          <w:sz w:val="24"/>
          <w:szCs w:val="24"/>
          <w:u w:val="single"/>
        </w:rPr>
        <w:t>metformin</w:t>
      </w:r>
      <w:proofErr w:type="spellEnd"/>
      <w:r w:rsidRPr="00841BE0">
        <w:rPr>
          <w:i/>
          <w:iCs/>
          <w:sz w:val="24"/>
          <w:szCs w:val="24"/>
          <w:u w:val="single"/>
        </w:rPr>
        <w:t xml:space="preserve"> hos lægemiddelnaive patienter</w:t>
      </w:r>
    </w:p>
    <w:p w14:paraId="733968E6" w14:textId="77777777" w:rsidR="00841BE0" w:rsidRPr="00841BE0" w:rsidRDefault="00841BE0" w:rsidP="00210533">
      <w:pPr>
        <w:ind w:left="851"/>
        <w:rPr>
          <w:sz w:val="24"/>
          <w:szCs w:val="24"/>
        </w:rPr>
      </w:pPr>
    </w:p>
    <w:p w14:paraId="7C7A47D9" w14:textId="77777777" w:rsidR="00841BE0" w:rsidRPr="00841BE0" w:rsidRDefault="00841BE0" w:rsidP="00210533">
      <w:pPr>
        <w:ind w:left="851"/>
        <w:rPr>
          <w:sz w:val="24"/>
          <w:szCs w:val="24"/>
        </w:rPr>
      </w:pPr>
      <w:r w:rsidRPr="00841BE0">
        <w:rPr>
          <w:sz w:val="24"/>
          <w:szCs w:val="24"/>
        </w:rPr>
        <w:t xml:space="preserve">Der er gennemført et 24-ugers studie med </w:t>
      </w:r>
      <w:proofErr w:type="spellStart"/>
      <w:r w:rsidRPr="00841BE0">
        <w:rPr>
          <w:sz w:val="24"/>
          <w:szCs w:val="24"/>
        </w:rPr>
        <w:t>faktorielt</w:t>
      </w:r>
      <w:proofErr w:type="spellEnd"/>
      <w:r w:rsidRPr="00841BE0">
        <w:rPr>
          <w:sz w:val="24"/>
          <w:szCs w:val="24"/>
        </w:rPr>
        <w:t xml:space="preserve"> design til vurdering af </w:t>
      </w:r>
      <w:proofErr w:type="spellStart"/>
      <w:r w:rsidRPr="00841BE0">
        <w:rPr>
          <w:sz w:val="24"/>
          <w:szCs w:val="24"/>
        </w:rPr>
        <w:t>empagliflozins</w:t>
      </w:r>
      <w:proofErr w:type="spellEnd"/>
      <w:r w:rsidRPr="00841BE0">
        <w:rPr>
          <w:sz w:val="24"/>
          <w:szCs w:val="24"/>
        </w:rPr>
        <w:t xml:space="preserve"> virkning og sikkerhed hos lægemiddelnaive patienter. Behandling med </w:t>
      </w:r>
      <w:proofErr w:type="spellStart"/>
      <w:r w:rsidRPr="00841BE0">
        <w:rPr>
          <w:sz w:val="24"/>
          <w:szCs w:val="24"/>
        </w:rPr>
        <w:t>empagliflozin</w:t>
      </w:r>
      <w:proofErr w:type="spellEnd"/>
      <w:r w:rsidRPr="00841BE0">
        <w:rPr>
          <w:sz w:val="24"/>
          <w:szCs w:val="24"/>
        </w:rPr>
        <w:t xml:space="preserve"> i kombination med </w:t>
      </w:r>
      <w:proofErr w:type="spellStart"/>
      <w:r w:rsidRPr="00841BE0">
        <w:rPr>
          <w:sz w:val="24"/>
          <w:szCs w:val="24"/>
        </w:rPr>
        <w:t>metformin</w:t>
      </w:r>
      <w:proofErr w:type="spellEnd"/>
      <w:r w:rsidRPr="00841BE0">
        <w:rPr>
          <w:sz w:val="24"/>
          <w:szCs w:val="24"/>
        </w:rPr>
        <w:t xml:space="preserve"> (5 mg og 500 mg; 5 mg og 1.000 mg; 12,5 mg og 500 mg og 12,5 mg og 1.000 mg administreret to gange dagligt) gav statistisk signifikante forbedringer i HbA1c (tabel 4) og førte til større reduktioner i FPG (sammenlignet med disse lægemidler givet som individuelle lægemidler) og legemsvægt (sammenlignet med </w:t>
      </w:r>
      <w:proofErr w:type="spellStart"/>
      <w:r w:rsidRPr="00841BE0">
        <w:rPr>
          <w:sz w:val="24"/>
          <w:szCs w:val="24"/>
        </w:rPr>
        <w:t>metformin</w:t>
      </w:r>
      <w:proofErr w:type="spellEnd"/>
      <w:r w:rsidRPr="00841BE0">
        <w:rPr>
          <w:sz w:val="24"/>
          <w:szCs w:val="24"/>
        </w:rPr>
        <w:t>).</w:t>
      </w:r>
    </w:p>
    <w:p w14:paraId="7A233941" w14:textId="77777777" w:rsidR="00841BE0" w:rsidRPr="00841BE0" w:rsidRDefault="00841BE0" w:rsidP="00841BE0">
      <w:pPr>
        <w:tabs>
          <w:tab w:val="left" w:pos="851"/>
        </w:tabs>
        <w:ind w:left="851"/>
        <w:rPr>
          <w:sz w:val="24"/>
          <w:szCs w:val="24"/>
        </w:rPr>
      </w:pPr>
    </w:p>
    <w:p w14:paraId="34586255" w14:textId="77777777" w:rsidR="00841BE0" w:rsidRPr="00841BE0" w:rsidRDefault="00841BE0" w:rsidP="001C0D88">
      <w:pPr>
        <w:rPr>
          <w:sz w:val="24"/>
          <w:szCs w:val="24"/>
        </w:rPr>
      </w:pPr>
      <w:r w:rsidRPr="00841BE0">
        <w:rPr>
          <w:sz w:val="24"/>
          <w:szCs w:val="24"/>
        </w:rPr>
        <w:t xml:space="preserve">Tabel 4: Effekten på HbA1c efter 24 uger ved sammenligning af </w:t>
      </w:r>
      <w:proofErr w:type="spellStart"/>
      <w:r w:rsidRPr="00841BE0">
        <w:rPr>
          <w:sz w:val="24"/>
          <w:szCs w:val="24"/>
        </w:rPr>
        <w:t>empagliflozin</w:t>
      </w:r>
      <w:proofErr w:type="spellEnd"/>
      <w:r w:rsidRPr="00841BE0">
        <w:rPr>
          <w:sz w:val="24"/>
          <w:szCs w:val="24"/>
        </w:rPr>
        <w:t xml:space="preserve"> og </w:t>
      </w:r>
      <w:proofErr w:type="spellStart"/>
      <w:r w:rsidRPr="00841BE0">
        <w:rPr>
          <w:sz w:val="24"/>
          <w:szCs w:val="24"/>
        </w:rPr>
        <w:t>metformin</w:t>
      </w:r>
      <w:proofErr w:type="spellEnd"/>
      <w:r w:rsidRPr="00841BE0">
        <w:rPr>
          <w:sz w:val="24"/>
          <w:szCs w:val="24"/>
        </w:rPr>
        <w:t xml:space="preserve"> i kombination og disse lægemidler givet som individuelle </w:t>
      </w:r>
      <w:proofErr w:type="spellStart"/>
      <w:r w:rsidRPr="00841BE0">
        <w:rPr>
          <w:sz w:val="24"/>
          <w:szCs w:val="24"/>
        </w:rPr>
        <w:t>lægemidler</w:t>
      </w:r>
      <w:r w:rsidRPr="00841BE0">
        <w:rPr>
          <w:sz w:val="24"/>
          <w:szCs w:val="24"/>
          <w:vertAlign w:val="superscript"/>
        </w:rPr>
        <w:t>a</w:t>
      </w:r>
      <w:proofErr w:type="spellEnd"/>
    </w:p>
    <w:tbl>
      <w:tblPr>
        <w:tblStyle w:val="TableNormal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0"/>
        <w:gridCol w:w="1224"/>
        <w:gridCol w:w="1224"/>
        <w:gridCol w:w="631"/>
        <w:gridCol w:w="1224"/>
        <w:gridCol w:w="1224"/>
        <w:gridCol w:w="775"/>
        <w:gridCol w:w="908"/>
        <w:gridCol w:w="908"/>
      </w:tblGrid>
      <w:tr w:rsidR="00841BE0" w:rsidRPr="00841BE0" w14:paraId="315D1472" w14:textId="77777777" w:rsidTr="00210533">
        <w:trPr>
          <w:trHeight w:val="254"/>
        </w:trPr>
        <w:tc>
          <w:tcPr>
            <w:tcW w:w="836" w:type="pct"/>
            <w:tcBorders>
              <w:top w:val="single" w:sz="4" w:space="0" w:color="000000"/>
              <w:left w:val="single" w:sz="4" w:space="0" w:color="000000"/>
              <w:bottom w:val="single" w:sz="4" w:space="0" w:color="000000"/>
              <w:right w:val="single" w:sz="4" w:space="0" w:color="000000"/>
            </w:tcBorders>
          </w:tcPr>
          <w:p w14:paraId="3DC12A20" w14:textId="77777777" w:rsidR="00841BE0" w:rsidRPr="00841BE0" w:rsidRDefault="00841BE0" w:rsidP="00210533">
            <w:pPr>
              <w:widowControl/>
              <w:autoSpaceDE/>
              <w:autoSpaceDN/>
              <w:ind w:left="142"/>
              <w:rPr>
                <w:rFonts w:ascii="Times New Roman" w:hAnsi="Times New Roman"/>
                <w:sz w:val="20"/>
                <w:szCs w:val="20"/>
                <w:lang w:val="da-DK"/>
              </w:rPr>
            </w:pPr>
          </w:p>
        </w:tc>
        <w:tc>
          <w:tcPr>
            <w:tcW w:w="1594" w:type="pct"/>
            <w:gridSpan w:val="3"/>
            <w:tcBorders>
              <w:top w:val="single" w:sz="4" w:space="0" w:color="000000"/>
              <w:left w:val="single" w:sz="4" w:space="0" w:color="000000"/>
              <w:bottom w:val="single" w:sz="4" w:space="0" w:color="000000"/>
              <w:right w:val="single" w:sz="4" w:space="0" w:color="000000"/>
            </w:tcBorders>
            <w:hideMark/>
          </w:tcPr>
          <w:p w14:paraId="3679DFE6"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Empagliflozin 10 </w:t>
            </w:r>
            <w:proofErr w:type="spellStart"/>
            <w:r w:rsidRPr="00841BE0">
              <w:rPr>
                <w:rFonts w:ascii="Times New Roman" w:hAnsi="Times New Roman"/>
                <w:sz w:val="20"/>
                <w:szCs w:val="20"/>
              </w:rPr>
              <w:t>mg</w:t>
            </w:r>
            <w:r w:rsidRPr="00841BE0">
              <w:rPr>
                <w:rFonts w:ascii="Times New Roman" w:hAnsi="Times New Roman"/>
                <w:sz w:val="20"/>
                <w:szCs w:val="20"/>
                <w:vertAlign w:val="superscript"/>
              </w:rPr>
              <w:t>b</w:t>
            </w:r>
            <w:proofErr w:type="spellEnd"/>
          </w:p>
        </w:tc>
        <w:tc>
          <w:tcPr>
            <w:tcW w:w="1660" w:type="pct"/>
            <w:gridSpan w:val="3"/>
            <w:tcBorders>
              <w:top w:val="single" w:sz="4" w:space="0" w:color="000000"/>
              <w:left w:val="single" w:sz="4" w:space="0" w:color="000000"/>
              <w:bottom w:val="single" w:sz="4" w:space="0" w:color="000000"/>
              <w:right w:val="single" w:sz="4" w:space="0" w:color="000000"/>
            </w:tcBorders>
            <w:hideMark/>
          </w:tcPr>
          <w:p w14:paraId="7C8F3EF6"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Empagliflozin 25 </w:t>
            </w:r>
            <w:proofErr w:type="spellStart"/>
            <w:r w:rsidRPr="00841BE0">
              <w:rPr>
                <w:rFonts w:ascii="Times New Roman" w:hAnsi="Times New Roman"/>
                <w:sz w:val="20"/>
                <w:szCs w:val="20"/>
              </w:rPr>
              <w:t>mg</w:t>
            </w:r>
            <w:r w:rsidRPr="00841BE0">
              <w:rPr>
                <w:rFonts w:ascii="Times New Roman" w:hAnsi="Times New Roman"/>
                <w:sz w:val="20"/>
                <w:szCs w:val="20"/>
                <w:vertAlign w:val="superscript"/>
              </w:rPr>
              <w:t>b</w:t>
            </w:r>
            <w:proofErr w:type="spellEnd"/>
          </w:p>
        </w:tc>
        <w:tc>
          <w:tcPr>
            <w:tcW w:w="911" w:type="pct"/>
            <w:gridSpan w:val="2"/>
            <w:tcBorders>
              <w:top w:val="single" w:sz="4" w:space="0" w:color="000000"/>
              <w:left w:val="single" w:sz="4" w:space="0" w:color="000000"/>
              <w:bottom w:val="single" w:sz="4" w:space="0" w:color="000000"/>
              <w:right w:val="single" w:sz="4" w:space="0" w:color="000000"/>
            </w:tcBorders>
            <w:hideMark/>
          </w:tcPr>
          <w:p w14:paraId="1E6F5D5A" w14:textId="77777777" w:rsidR="00841BE0" w:rsidRPr="00841BE0" w:rsidRDefault="00841BE0" w:rsidP="00210533">
            <w:pPr>
              <w:widowControl/>
              <w:autoSpaceDE/>
              <w:autoSpaceDN/>
              <w:ind w:left="142"/>
              <w:rPr>
                <w:rFonts w:ascii="Times New Roman" w:hAnsi="Times New Roman"/>
                <w:sz w:val="20"/>
                <w:szCs w:val="20"/>
              </w:rPr>
            </w:pPr>
            <w:proofErr w:type="spellStart"/>
            <w:r w:rsidRPr="00841BE0">
              <w:rPr>
                <w:rFonts w:ascii="Times New Roman" w:hAnsi="Times New Roman"/>
                <w:sz w:val="20"/>
                <w:szCs w:val="20"/>
              </w:rPr>
              <w:t>Metformin</w:t>
            </w:r>
            <w:r w:rsidRPr="00841BE0">
              <w:rPr>
                <w:rFonts w:ascii="Times New Roman" w:hAnsi="Times New Roman"/>
                <w:sz w:val="20"/>
                <w:szCs w:val="20"/>
                <w:vertAlign w:val="superscript"/>
              </w:rPr>
              <w:t>c</w:t>
            </w:r>
            <w:proofErr w:type="spellEnd"/>
          </w:p>
        </w:tc>
      </w:tr>
      <w:tr w:rsidR="003D3B2F" w:rsidRPr="008137AF" w14:paraId="1F53EA1C" w14:textId="77777777" w:rsidTr="00210533">
        <w:trPr>
          <w:trHeight w:val="570"/>
        </w:trPr>
        <w:tc>
          <w:tcPr>
            <w:tcW w:w="836" w:type="pct"/>
            <w:tcBorders>
              <w:top w:val="single" w:sz="4" w:space="0" w:color="000000"/>
              <w:left w:val="single" w:sz="4" w:space="0" w:color="000000"/>
              <w:bottom w:val="single" w:sz="4" w:space="0" w:color="000000"/>
              <w:right w:val="single" w:sz="4" w:space="0" w:color="000000"/>
            </w:tcBorders>
          </w:tcPr>
          <w:p w14:paraId="5AE62F95" w14:textId="77777777" w:rsidR="00841BE0" w:rsidRPr="00841BE0" w:rsidRDefault="00841BE0" w:rsidP="00210533">
            <w:pPr>
              <w:widowControl/>
              <w:autoSpaceDE/>
              <w:autoSpaceDN/>
              <w:ind w:left="142"/>
              <w:rPr>
                <w:rFonts w:ascii="Times New Roman" w:hAnsi="Times New Roman"/>
                <w:sz w:val="20"/>
                <w:szCs w:val="20"/>
              </w:rPr>
            </w:pPr>
          </w:p>
        </w:tc>
        <w:tc>
          <w:tcPr>
            <w:tcW w:w="608" w:type="pct"/>
            <w:tcBorders>
              <w:top w:val="single" w:sz="4" w:space="0" w:color="000000"/>
              <w:left w:val="single" w:sz="4" w:space="0" w:color="000000"/>
              <w:bottom w:val="single" w:sz="4" w:space="0" w:color="000000"/>
              <w:right w:val="single" w:sz="4" w:space="0" w:color="000000"/>
            </w:tcBorders>
            <w:hideMark/>
          </w:tcPr>
          <w:p w14:paraId="4BBC3C9F"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 met</w:t>
            </w:r>
          </w:p>
          <w:p w14:paraId="0F6E8345"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1.000 </w:t>
            </w:r>
            <w:proofErr w:type="spellStart"/>
            <w:r w:rsidRPr="00841BE0">
              <w:rPr>
                <w:rFonts w:ascii="Times New Roman" w:hAnsi="Times New Roman"/>
                <w:sz w:val="20"/>
                <w:szCs w:val="20"/>
              </w:rPr>
              <w:t>mg</w:t>
            </w:r>
            <w:r w:rsidRPr="00841BE0">
              <w:rPr>
                <w:rFonts w:ascii="Times New Roman" w:hAnsi="Times New Roman"/>
                <w:sz w:val="20"/>
                <w:szCs w:val="20"/>
                <w:vertAlign w:val="superscript"/>
              </w:rPr>
              <w:t>c</w:t>
            </w:r>
            <w:proofErr w:type="spellEnd"/>
          </w:p>
        </w:tc>
        <w:tc>
          <w:tcPr>
            <w:tcW w:w="607" w:type="pct"/>
            <w:tcBorders>
              <w:top w:val="single" w:sz="4" w:space="0" w:color="000000"/>
              <w:left w:val="single" w:sz="4" w:space="0" w:color="000000"/>
              <w:bottom w:val="single" w:sz="4" w:space="0" w:color="000000"/>
              <w:right w:val="single" w:sz="4" w:space="0" w:color="000000"/>
            </w:tcBorders>
            <w:hideMark/>
          </w:tcPr>
          <w:p w14:paraId="1DAEA9F0"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 met</w:t>
            </w:r>
          </w:p>
          <w:p w14:paraId="50BA14AF"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2.000 </w:t>
            </w:r>
            <w:proofErr w:type="spellStart"/>
            <w:r w:rsidRPr="00841BE0">
              <w:rPr>
                <w:rFonts w:ascii="Times New Roman" w:hAnsi="Times New Roman"/>
                <w:sz w:val="20"/>
                <w:szCs w:val="20"/>
              </w:rPr>
              <w:t>mg</w:t>
            </w:r>
            <w:r w:rsidRPr="00841BE0">
              <w:rPr>
                <w:rFonts w:ascii="Times New Roman" w:hAnsi="Times New Roman"/>
                <w:sz w:val="20"/>
                <w:szCs w:val="20"/>
                <w:vertAlign w:val="superscript"/>
              </w:rPr>
              <w:t>c</w:t>
            </w:r>
            <w:proofErr w:type="spellEnd"/>
          </w:p>
        </w:tc>
        <w:tc>
          <w:tcPr>
            <w:tcW w:w="379" w:type="pct"/>
            <w:tcBorders>
              <w:top w:val="single" w:sz="4" w:space="0" w:color="000000"/>
              <w:left w:val="single" w:sz="4" w:space="0" w:color="000000"/>
              <w:bottom w:val="single" w:sz="4" w:space="0" w:color="000000"/>
              <w:right w:val="single" w:sz="4" w:space="0" w:color="000000"/>
            </w:tcBorders>
            <w:hideMark/>
          </w:tcPr>
          <w:p w14:paraId="0DB855C5"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Ingen met</w:t>
            </w:r>
          </w:p>
        </w:tc>
        <w:tc>
          <w:tcPr>
            <w:tcW w:w="599" w:type="pct"/>
            <w:tcBorders>
              <w:top w:val="single" w:sz="4" w:space="0" w:color="000000"/>
              <w:left w:val="single" w:sz="4" w:space="0" w:color="000000"/>
              <w:bottom w:val="single" w:sz="4" w:space="0" w:color="000000"/>
              <w:right w:val="single" w:sz="4" w:space="0" w:color="000000"/>
            </w:tcBorders>
            <w:hideMark/>
          </w:tcPr>
          <w:p w14:paraId="73BF1206" w14:textId="77777777" w:rsidR="00841BE0" w:rsidRPr="00841BE0" w:rsidRDefault="00841BE0" w:rsidP="00210533">
            <w:pPr>
              <w:widowControl/>
              <w:autoSpaceDE/>
              <w:autoSpaceDN/>
              <w:ind w:left="142"/>
              <w:rPr>
                <w:rFonts w:ascii="Times New Roman" w:hAnsi="Times New Roman"/>
                <w:sz w:val="20"/>
                <w:szCs w:val="20"/>
                <w:lang w:val="nn-NO"/>
              </w:rPr>
            </w:pPr>
            <w:r w:rsidRPr="00841BE0">
              <w:rPr>
                <w:rFonts w:ascii="Times New Roman" w:hAnsi="Times New Roman"/>
                <w:sz w:val="20"/>
                <w:szCs w:val="20"/>
                <w:lang w:val="nn-NO"/>
              </w:rPr>
              <w:t>+ met 1.000 mg</w:t>
            </w:r>
            <w:r w:rsidRPr="00841BE0">
              <w:rPr>
                <w:rFonts w:ascii="Times New Roman" w:hAnsi="Times New Roman"/>
                <w:sz w:val="20"/>
                <w:szCs w:val="20"/>
                <w:vertAlign w:val="superscript"/>
                <w:lang w:val="nn-NO"/>
              </w:rPr>
              <w:t>c</w:t>
            </w:r>
          </w:p>
        </w:tc>
        <w:tc>
          <w:tcPr>
            <w:tcW w:w="607" w:type="pct"/>
            <w:tcBorders>
              <w:top w:val="single" w:sz="4" w:space="0" w:color="000000"/>
              <w:left w:val="single" w:sz="4" w:space="0" w:color="000000"/>
              <w:bottom w:val="single" w:sz="4" w:space="0" w:color="000000"/>
              <w:right w:val="single" w:sz="4" w:space="0" w:color="000000"/>
            </w:tcBorders>
            <w:hideMark/>
          </w:tcPr>
          <w:p w14:paraId="04235783"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 met</w:t>
            </w:r>
          </w:p>
          <w:p w14:paraId="5AE0DC48"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2.000 </w:t>
            </w:r>
            <w:proofErr w:type="spellStart"/>
            <w:r w:rsidRPr="00841BE0">
              <w:rPr>
                <w:rFonts w:ascii="Times New Roman" w:hAnsi="Times New Roman"/>
                <w:sz w:val="20"/>
                <w:szCs w:val="20"/>
              </w:rPr>
              <w:t>mg</w:t>
            </w:r>
            <w:r w:rsidRPr="00841BE0">
              <w:rPr>
                <w:rFonts w:ascii="Times New Roman" w:hAnsi="Times New Roman"/>
                <w:sz w:val="20"/>
                <w:szCs w:val="20"/>
                <w:vertAlign w:val="superscript"/>
              </w:rPr>
              <w:t>c</w:t>
            </w:r>
            <w:proofErr w:type="spellEnd"/>
          </w:p>
        </w:tc>
        <w:tc>
          <w:tcPr>
            <w:tcW w:w="454" w:type="pct"/>
            <w:tcBorders>
              <w:top w:val="single" w:sz="4" w:space="0" w:color="000000"/>
              <w:left w:val="single" w:sz="4" w:space="0" w:color="000000"/>
              <w:bottom w:val="single" w:sz="4" w:space="0" w:color="000000"/>
              <w:right w:val="single" w:sz="4" w:space="0" w:color="000000"/>
            </w:tcBorders>
            <w:hideMark/>
          </w:tcPr>
          <w:p w14:paraId="7F6FAFFC"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Ingen met</w:t>
            </w:r>
          </w:p>
        </w:tc>
        <w:tc>
          <w:tcPr>
            <w:tcW w:w="456" w:type="pct"/>
            <w:tcBorders>
              <w:top w:val="single" w:sz="4" w:space="0" w:color="000000"/>
              <w:left w:val="single" w:sz="4" w:space="0" w:color="000000"/>
              <w:bottom w:val="single" w:sz="4" w:space="0" w:color="000000"/>
              <w:right w:val="single" w:sz="4" w:space="0" w:color="000000"/>
            </w:tcBorders>
            <w:hideMark/>
          </w:tcPr>
          <w:p w14:paraId="7ABF6415" w14:textId="77777777" w:rsidR="00841BE0" w:rsidRPr="00841BE0" w:rsidRDefault="00841BE0" w:rsidP="00210533">
            <w:pPr>
              <w:widowControl/>
              <w:autoSpaceDE/>
              <w:autoSpaceDN/>
              <w:ind w:left="142"/>
              <w:rPr>
                <w:rFonts w:ascii="Times New Roman" w:hAnsi="Times New Roman"/>
                <w:sz w:val="20"/>
                <w:szCs w:val="20"/>
                <w:lang w:val="nn-NO"/>
              </w:rPr>
            </w:pPr>
            <w:r w:rsidRPr="00841BE0">
              <w:rPr>
                <w:rFonts w:ascii="Times New Roman" w:hAnsi="Times New Roman"/>
                <w:sz w:val="20"/>
                <w:szCs w:val="20"/>
                <w:lang w:val="nn-NO"/>
              </w:rPr>
              <w:t>1.000 mg</w:t>
            </w:r>
          </w:p>
        </w:tc>
        <w:tc>
          <w:tcPr>
            <w:tcW w:w="454" w:type="pct"/>
            <w:tcBorders>
              <w:top w:val="single" w:sz="4" w:space="0" w:color="000000"/>
              <w:left w:val="single" w:sz="4" w:space="0" w:color="000000"/>
              <w:bottom w:val="single" w:sz="4" w:space="0" w:color="000000"/>
              <w:right w:val="single" w:sz="4" w:space="0" w:color="000000"/>
            </w:tcBorders>
            <w:hideMark/>
          </w:tcPr>
          <w:p w14:paraId="1B6F7E7B" w14:textId="77777777" w:rsidR="00841BE0" w:rsidRPr="00841BE0" w:rsidRDefault="00841BE0" w:rsidP="00210533">
            <w:pPr>
              <w:widowControl/>
              <w:autoSpaceDE/>
              <w:autoSpaceDN/>
              <w:ind w:left="142"/>
              <w:rPr>
                <w:rFonts w:ascii="Times New Roman" w:hAnsi="Times New Roman"/>
                <w:sz w:val="20"/>
                <w:szCs w:val="20"/>
                <w:lang w:val="nn-NO"/>
              </w:rPr>
            </w:pPr>
            <w:r w:rsidRPr="00841BE0">
              <w:rPr>
                <w:rFonts w:ascii="Times New Roman" w:hAnsi="Times New Roman"/>
                <w:sz w:val="20"/>
                <w:szCs w:val="20"/>
                <w:lang w:val="nn-NO"/>
              </w:rPr>
              <w:t>2.000 mg</w:t>
            </w:r>
          </w:p>
        </w:tc>
      </w:tr>
      <w:tr w:rsidR="003D3B2F" w:rsidRPr="008137AF" w14:paraId="490B25BC" w14:textId="77777777" w:rsidTr="00210533">
        <w:trPr>
          <w:trHeight w:val="253"/>
        </w:trPr>
        <w:tc>
          <w:tcPr>
            <w:tcW w:w="836" w:type="pct"/>
            <w:tcBorders>
              <w:top w:val="single" w:sz="4" w:space="0" w:color="000000"/>
              <w:left w:val="single" w:sz="4" w:space="0" w:color="000000"/>
              <w:bottom w:val="single" w:sz="4" w:space="0" w:color="000000"/>
              <w:right w:val="single" w:sz="4" w:space="0" w:color="000000"/>
            </w:tcBorders>
            <w:hideMark/>
          </w:tcPr>
          <w:p w14:paraId="7148FB34"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N</w:t>
            </w:r>
          </w:p>
        </w:tc>
        <w:tc>
          <w:tcPr>
            <w:tcW w:w="608" w:type="pct"/>
            <w:tcBorders>
              <w:top w:val="single" w:sz="4" w:space="0" w:color="000000"/>
              <w:left w:val="single" w:sz="4" w:space="0" w:color="000000"/>
              <w:bottom w:val="single" w:sz="4" w:space="0" w:color="000000"/>
              <w:right w:val="single" w:sz="4" w:space="0" w:color="000000"/>
            </w:tcBorders>
            <w:hideMark/>
          </w:tcPr>
          <w:p w14:paraId="17D9DB3A"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161</w:t>
            </w:r>
          </w:p>
        </w:tc>
        <w:tc>
          <w:tcPr>
            <w:tcW w:w="607" w:type="pct"/>
            <w:tcBorders>
              <w:top w:val="single" w:sz="4" w:space="0" w:color="000000"/>
              <w:left w:val="single" w:sz="4" w:space="0" w:color="000000"/>
              <w:bottom w:val="single" w:sz="4" w:space="0" w:color="000000"/>
              <w:right w:val="single" w:sz="4" w:space="0" w:color="000000"/>
            </w:tcBorders>
            <w:hideMark/>
          </w:tcPr>
          <w:p w14:paraId="1BBBF1C0"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167</w:t>
            </w:r>
          </w:p>
        </w:tc>
        <w:tc>
          <w:tcPr>
            <w:tcW w:w="379" w:type="pct"/>
            <w:tcBorders>
              <w:top w:val="single" w:sz="4" w:space="0" w:color="000000"/>
              <w:left w:val="single" w:sz="4" w:space="0" w:color="000000"/>
              <w:bottom w:val="single" w:sz="4" w:space="0" w:color="000000"/>
              <w:right w:val="single" w:sz="4" w:space="0" w:color="000000"/>
            </w:tcBorders>
            <w:hideMark/>
          </w:tcPr>
          <w:p w14:paraId="143616A3"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169</w:t>
            </w:r>
          </w:p>
        </w:tc>
        <w:tc>
          <w:tcPr>
            <w:tcW w:w="599" w:type="pct"/>
            <w:tcBorders>
              <w:top w:val="single" w:sz="4" w:space="0" w:color="000000"/>
              <w:left w:val="single" w:sz="4" w:space="0" w:color="000000"/>
              <w:bottom w:val="single" w:sz="4" w:space="0" w:color="000000"/>
              <w:right w:val="single" w:sz="4" w:space="0" w:color="000000"/>
            </w:tcBorders>
            <w:hideMark/>
          </w:tcPr>
          <w:p w14:paraId="7A0F346B"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165</w:t>
            </w:r>
          </w:p>
        </w:tc>
        <w:tc>
          <w:tcPr>
            <w:tcW w:w="607" w:type="pct"/>
            <w:tcBorders>
              <w:top w:val="single" w:sz="4" w:space="0" w:color="000000"/>
              <w:left w:val="single" w:sz="4" w:space="0" w:color="000000"/>
              <w:bottom w:val="single" w:sz="4" w:space="0" w:color="000000"/>
              <w:right w:val="single" w:sz="4" w:space="0" w:color="000000"/>
            </w:tcBorders>
            <w:hideMark/>
          </w:tcPr>
          <w:p w14:paraId="345AD878"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169</w:t>
            </w:r>
          </w:p>
        </w:tc>
        <w:tc>
          <w:tcPr>
            <w:tcW w:w="454" w:type="pct"/>
            <w:tcBorders>
              <w:top w:val="single" w:sz="4" w:space="0" w:color="000000"/>
              <w:left w:val="single" w:sz="4" w:space="0" w:color="000000"/>
              <w:bottom w:val="single" w:sz="4" w:space="0" w:color="000000"/>
              <w:right w:val="single" w:sz="4" w:space="0" w:color="000000"/>
            </w:tcBorders>
            <w:hideMark/>
          </w:tcPr>
          <w:p w14:paraId="1C2F4724"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163</w:t>
            </w:r>
          </w:p>
        </w:tc>
        <w:tc>
          <w:tcPr>
            <w:tcW w:w="456" w:type="pct"/>
            <w:tcBorders>
              <w:top w:val="single" w:sz="4" w:space="0" w:color="000000"/>
              <w:left w:val="single" w:sz="4" w:space="0" w:color="000000"/>
              <w:bottom w:val="single" w:sz="4" w:space="0" w:color="000000"/>
              <w:right w:val="single" w:sz="4" w:space="0" w:color="000000"/>
            </w:tcBorders>
            <w:hideMark/>
          </w:tcPr>
          <w:p w14:paraId="5CC8F7DC"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167</w:t>
            </w:r>
          </w:p>
        </w:tc>
        <w:tc>
          <w:tcPr>
            <w:tcW w:w="454" w:type="pct"/>
            <w:tcBorders>
              <w:top w:val="single" w:sz="4" w:space="0" w:color="000000"/>
              <w:left w:val="single" w:sz="4" w:space="0" w:color="000000"/>
              <w:bottom w:val="single" w:sz="4" w:space="0" w:color="000000"/>
              <w:right w:val="single" w:sz="4" w:space="0" w:color="000000"/>
            </w:tcBorders>
            <w:hideMark/>
          </w:tcPr>
          <w:p w14:paraId="24D98D36"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162</w:t>
            </w:r>
          </w:p>
        </w:tc>
      </w:tr>
      <w:tr w:rsidR="00841BE0" w:rsidRPr="00841BE0" w14:paraId="40E834A0" w14:textId="77777777" w:rsidTr="00210533">
        <w:trPr>
          <w:trHeight w:val="251"/>
        </w:trPr>
        <w:tc>
          <w:tcPr>
            <w:tcW w:w="5000" w:type="pct"/>
            <w:gridSpan w:val="9"/>
            <w:tcBorders>
              <w:top w:val="single" w:sz="4" w:space="0" w:color="000000"/>
              <w:left w:val="single" w:sz="4" w:space="0" w:color="000000"/>
              <w:bottom w:val="single" w:sz="4" w:space="0" w:color="000000"/>
              <w:right w:val="single" w:sz="4" w:space="0" w:color="000000"/>
            </w:tcBorders>
            <w:hideMark/>
          </w:tcPr>
          <w:p w14:paraId="4BB38453" w14:textId="77777777" w:rsidR="00841BE0" w:rsidRPr="00841BE0" w:rsidRDefault="00841BE0" w:rsidP="00210533">
            <w:pPr>
              <w:widowControl/>
              <w:autoSpaceDE/>
              <w:autoSpaceDN/>
              <w:ind w:left="142"/>
              <w:rPr>
                <w:rFonts w:ascii="Times New Roman" w:hAnsi="Times New Roman"/>
                <w:b/>
                <w:sz w:val="20"/>
                <w:szCs w:val="20"/>
              </w:rPr>
            </w:pPr>
            <w:r w:rsidRPr="00841BE0">
              <w:rPr>
                <w:rFonts w:ascii="Times New Roman" w:hAnsi="Times New Roman"/>
                <w:b/>
                <w:sz w:val="20"/>
                <w:szCs w:val="20"/>
              </w:rPr>
              <w:t>HbA1c (%)</w:t>
            </w:r>
          </w:p>
        </w:tc>
      </w:tr>
      <w:tr w:rsidR="003D3B2F" w:rsidRPr="008137AF" w14:paraId="3C46E210" w14:textId="77777777" w:rsidTr="00210533">
        <w:trPr>
          <w:trHeight w:val="459"/>
        </w:trPr>
        <w:tc>
          <w:tcPr>
            <w:tcW w:w="836" w:type="pct"/>
            <w:tcBorders>
              <w:top w:val="single" w:sz="4" w:space="0" w:color="000000"/>
              <w:left w:val="single" w:sz="4" w:space="0" w:color="000000"/>
              <w:bottom w:val="single" w:sz="4" w:space="0" w:color="000000"/>
              <w:right w:val="single" w:sz="4" w:space="0" w:color="000000"/>
            </w:tcBorders>
            <w:hideMark/>
          </w:tcPr>
          <w:p w14:paraId="2737BB1D"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i/>
                <w:sz w:val="20"/>
                <w:szCs w:val="20"/>
              </w:rPr>
              <w:t xml:space="preserve">Baseline </w:t>
            </w:r>
            <w:r w:rsidRPr="00841BE0">
              <w:rPr>
                <w:rFonts w:ascii="Times New Roman" w:hAnsi="Times New Roman"/>
                <w:sz w:val="20"/>
                <w:szCs w:val="20"/>
              </w:rPr>
              <w:t>(</w:t>
            </w:r>
            <w:proofErr w:type="spellStart"/>
            <w:r w:rsidRPr="00841BE0">
              <w:rPr>
                <w:rFonts w:ascii="Times New Roman" w:hAnsi="Times New Roman"/>
                <w:sz w:val="20"/>
                <w:szCs w:val="20"/>
              </w:rPr>
              <w:t>middelværdi</w:t>
            </w:r>
            <w:proofErr w:type="spellEnd"/>
            <w:r w:rsidRPr="00841BE0">
              <w:rPr>
                <w:rFonts w:ascii="Times New Roman" w:hAnsi="Times New Roman"/>
                <w:sz w:val="20"/>
                <w:szCs w:val="20"/>
              </w:rPr>
              <w:t>)</w:t>
            </w:r>
          </w:p>
        </w:tc>
        <w:tc>
          <w:tcPr>
            <w:tcW w:w="608" w:type="pct"/>
            <w:tcBorders>
              <w:top w:val="single" w:sz="4" w:space="0" w:color="000000"/>
              <w:left w:val="single" w:sz="4" w:space="0" w:color="000000"/>
              <w:bottom w:val="single" w:sz="4" w:space="0" w:color="000000"/>
              <w:right w:val="single" w:sz="4" w:space="0" w:color="000000"/>
            </w:tcBorders>
            <w:hideMark/>
          </w:tcPr>
          <w:p w14:paraId="20120AF9"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8,68</w:t>
            </w:r>
          </w:p>
        </w:tc>
        <w:tc>
          <w:tcPr>
            <w:tcW w:w="607" w:type="pct"/>
            <w:tcBorders>
              <w:top w:val="single" w:sz="4" w:space="0" w:color="000000"/>
              <w:left w:val="single" w:sz="4" w:space="0" w:color="000000"/>
              <w:bottom w:val="single" w:sz="4" w:space="0" w:color="000000"/>
              <w:right w:val="single" w:sz="4" w:space="0" w:color="000000"/>
            </w:tcBorders>
            <w:hideMark/>
          </w:tcPr>
          <w:p w14:paraId="6F3BB836"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8,65</w:t>
            </w:r>
          </w:p>
        </w:tc>
        <w:tc>
          <w:tcPr>
            <w:tcW w:w="379" w:type="pct"/>
            <w:tcBorders>
              <w:top w:val="single" w:sz="4" w:space="0" w:color="000000"/>
              <w:left w:val="single" w:sz="4" w:space="0" w:color="000000"/>
              <w:bottom w:val="single" w:sz="4" w:space="0" w:color="000000"/>
              <w:right w:val="single" w:sz="4" w:space="0" w:color="000000"/>
            </w:tcBorders>
            <w:hideMark/>
          </w:tcPr>
          <w:p w14:paraId="6116F3F0"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8,62</w:t>
            </w:r>
          </w:p>
        </w:tc>
        <w:tc>
          <w:tcPr>
            <w:tcW w:w="599" w:type="pct"/>
            <w:tcBorders>
              <w:top w:val="single" w:sz="4" w:space="0" w:color="000000"/>
              <w:left w:val="single" w:sz="4" w:space="0" w:color="000000"/>
              <w:bottom w:val="single" w:sz="4" w:space="0" w:color="000000"/>
              <w:right w:val="single" w:sz="4" w:space="0" w:color="000000"/>
            </w:tcBorders>
            <w:hideMark/>
          </w:tcPr>
          <w:p w14:paraId="489935FF"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8,84</w:t>
            </w:r>
          </w:p>
        </w:tc>
        <w:tc>
          <w:tcPr>
            <w:tcW w:w="607" w:type="pct"/>
            <w:tcBorders>
              <w:top w:val="single" w:sz="4" w:space="0" w:color="000000"/>
              <w:left w:val="single" w:sz="4" w:space="0" w:color="000000"/>
              <w:bottom w:val="single" w:sz="4" w:space="0" w:color="000000"/>
              <w:right w:val="single" w:sz="4" w:space="0" w:color="000000"/>
            </w:tcBorders>
            <w:hideMark/>
          </w:tcPr>
          <w:p w14:paraId="38B9627C"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8,66</w:t>
            </w:r>
          </w:p>
        </w:tc>
        <w:tc>
          <w:tcPr>
            <w:tcW w:w="454" w:type="pct"/>
            <w:tcBorders>
              <w:top w:val="single" w:sz="4" w:space="0" w:color="000000"/>
              <w:left w:val="single" w:sz="4" w:space="0" w:color="000000"/>
              <w:bottom w:val="single" w:sz="4" w:space="0" w:color="000000"/>
              <w:right w:val="single" w:sz="4" w:space="0" w:color="000000"/>
            </w:tcBorders>
            <w:hideMark/>
          </w:tcPr>
          <w:p w14:paraId="3B0409A3"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8,86</w:t>
            </w:r>
          </w:p>
        </w:tc>
        <w:tc>
          <w:tcPr>
            <w:tcW w:w="456" w:type="pct"/>
            <w:tcBorders>
              <w:top w:val="single" w:sz="4" w:space="0" w:color="000000"/>
              <w:left w:val="single" w:sz="4" w:space="0" w:color="000000"/>
              <w:bottom w:val="single" w:sz="4" w:space="0" w:color="000000"/>
              <w:right w:val="single" w:sz="4" w:space="0" w:color="000000"/>
            </w:tcBorders>
            <w:hideMark/>
          </w:tcPr>
          <w:p w14:paraId="24F27CD8"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8,69</w:t>
            </w:r>
          </w:p>
        </w:tc>
        <w:tc>
          <w:tcPr>
            <w:tcW w:w="454" w:type="pct"/>
            <w:tcBorders>
              <w:top w:val="single" w:sz="4" w:space="0" w:color="000000"/>
              <w:left w:val="single" w:sz="4" w:space="0" w:color="000000"/>
              <w:bottom w:val="single" w:sz="4" w:space="0" w:color="000000"/>
              <w:right w:val="single" w:sz="4" w:space="0" w:color="000000"/>
            </w:tcBorders>
            <w:hideMark/>
          </w:tcPr>
          <w:p w14:paraId="05AC4104"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t>8,55</w:t>
            </w:r>
          </w:p>
        </w:tc>
      </w:tr>
      <w:tr w:rsidR="003D3B2F" w:rsidRPr="008137AF" w14:paraId="5767B62A" w14:textId="77777777" w:rsidTr="00210533">
        <w:trPr>
          <w:trHeight w:val="505"/>
        </w:trPr>
        <w:tc>
          <w:tcPr>
            <w:tcW w:w="836" w:type="pct"/>
            <w:tcBorders>
              <w:top w:val="single" w:sz="4" w:space="0" w:color="000000"/>
              <w:left w:val="single" w:sz="4" w:space="0" w:color="000000"/>
              <w:bottom w:val="single" w:sz="4" w:space="0" w:color="000000"/>
              <w:right w:val="single" w:sz="4" w:space="0" w:color="000000"/>
            </w:tcBorders>
            <w:hideMark/>
          </w:tcPr>
          <w:p w14:paraId="065B4EB7" w14:textId="77777777" w:rsidR="00841BE0" w:rsidRPr="00841BE0" w:rsidRDefault="00841BE0" w:rsidP="00210533">
            <w:pPr>
              <w:widowControl/>
              <w:autoSpaceDE/>
              <w:autoSpaceDN/>
              <w:ind w:left="142"/>
              <w:rPr>
                <w:rFonts w:ascii="Times New Roman" w:hAnsi="Times New Roman"/>
                <w:sz w:val="20"/>
                <w:szCs w:val="20"/>
              </w:rPr>
            </w:pPr>
            <w:proofErr w:type="spellStart"/>
            <w:r w:rsidRPr="00841BE0">
              <w:rPr>
                <w:rFonts w:ascii="Times New Roman" w:hAnsi="Times New Roman"/>
                <w:sz w:val="20"/>
                <w:szCs w:val="20"/>
              </w:rPr>
              <w:t>Ændring</w:t>
            </w:r>
            <w:proofErr w:type="spellEnd"/>
            <w:r w:rsidRPr="00841BE0">
              <w:rPr>
                <w:rFonts w:ascii="Times New Roman" w:hAnsi="Times New Roman"/>
                <w:sz w:val="20"/>
                <w:szCs w:val="20"/>
              </w:rPr>
              <w:t xml:space="preserve"> fra </w:t>
            </w:r>
            <w:r w:rsidRPr="00841BE0">
              <w:rPr>
                <w:rFonts w:ascii="Times New Roman" w:hAnsi="Times New Roman"/>
                <w:i/>
                <w:iCs/>
                <w:sz w:val="20"/>
                <w:szCs w:val="20"/>
              </w:rPr>
              <w:t>baseline</w:t>
            </w:r>
            <w:r w:rsidRPr="00841BE0">
              <w:rPr>
                <w:rFonts w:ascii="Times New Roman" w:hAnsi="Times New Roman"/>
                <w:sz w:val="20"/>
                <w:szCs w:val="20"/>
                <w:vertAlign w:val="superscript"/>
              </w:rPr>
              <w:t>1</w:t>
            </w:r>
          </w:p>
        </w:tc>
        <w:tc>
          <w:tcPr>
            <w:tcW w:w="608" w:type="pct"/>
            <w:tcBorders>
              <w:top w:val="single" w:sz="4" w:space="0" w:color="000000"/>
              <w:left w:val="single" w:sz="4" w:space="0" w:color="000000"/>
              <w:bottom w:val="single" w:sz="4" w:space="0" w:color="000000"/>
              <w:right w:val="single" w:sz="4" w:space="0" w:color="000000"/>
            </w:tcBorders>
            <w:hideMark/>
          </w:tcPr>
          <w:p w14:paraId="77E78038"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noBreakHyphen/>
              <w:t>1,98</w:t>
            </w:r>
          </w:p>
        </w:tc>
        <w:tc>
          <w:tcPr>
            <w:tcW w:w="607" w:type="pct"/>
            <w:tcBorders>
              <w:top w:val="single" w:sz="4" w:space="0" w:color="000000"/>
              <w:left w:val="single" w:sz="4" w:space="0" w:color="000000"/>
              <w:bottom w:val="single" w:sz="4" w:space="0" w:color="000000"/>
              <w:right w:val="single" w:sz="4" w:space="0" w:color="000000"/>
            </w:tcBorders>
            <w:hideMark/>
          </w:tcPr>
          <w:p w14:paraId="072ED7F6"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noBreakHyphen/>
              <w:t>2,07</w:t>
            </w:r>
          </w:p>
        </w:tc>
        <w:tc>
          <w:tcPr>
            <w:tcW w:w="379" w:type="pct"/>
            <w:tcBorders>
              <w:top w:val="single" w:sz="4" w:space="0" w:color="000000"/>
              <w:left w:val="single" w:sz="4" w:space="0" w:color="000000"/>
              <w:bottom w:val="single" w:sz="4" w:space="0" w:color="000000"/>
              <w:right w:val="single" w:sz="4" w:space="0" w:color="000000"/>
            </w:tcBorders>
            <w:hideMark/>
          </w:tcPr>
          <w:p w14:paraId="2B1FB656"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noBreakHyphen/>
              <w:t>1,35</w:t>
            </w:r>
          </w:p>
        </w:tc>
        <w:tc>
          <w:tcPr>
            <w:tcW w:w="599" w:type="pct"/>
            <w:tcBorders>
              <w:top w:val="single" w:sz="4" w:space="0" w:color="000000"/>
              <w:left w:val="single" w:sz="4" w:space="0" w:color="000000"/>
              <w:bottom w:val="single" w:sz="4" w:space="0" w:color="000000"/>
              <w:right w:val="single" w:sz="4" w:space="0" w:color="000000"/>
            </w:tcBorders>
            <w:hideMark/>
          </w:tcPr>
          <w:p w14:paraId="7AA2BD08"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noBreakHyphen/>
              <w:t>1,93</w:t>
            </w:r>
          </w:p>
        </w:tc>
        <w:tc>
          <w:tcPr>
            <w:tcW w:w="607" w:type="pct"/>
            <w:tcBorders>
              <w:top w:val="single" w:sz="4" w:space="0" w:color="000000"/>
              <w:left w:val="single" w:sz="4" w:space="0" w:color="000000"/>
              <w:bottom w:val="single" w:sz="4" w:space="0" w:color="000000"/>
              <w:right w:val="single" w:sz="4" w:space="0" w:color="000000"/>
            </w:tcBorders>
            <w:hideMark/>
          </w:tcPr>
          <w:p w14:paraId="503ADA29"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noBreakHyphen/>
              <w:t>2,08</w:t>
            </w:r>
          </w:p>
        </w:tc>
        <w:tc>
          <w:tcPr>
            <w:tcW w:w="454" w:type="pct"/>
            <w:tcBorders>
              <w:top w:val="single" w:sz="4" w:space="0" w:color="000000"/>
              <w:left w:val="single" w:sz="4" w:space="0" w:color="000000"/>
              <w:bottom w:val="single" w:sz="4" w:space="0" w:color="000000"/>
              <w:right w:val="single" w:sz="4" w:space="0" w:color="000000"/>
            </w:tcBorders>
            <w:hideMark/>
          </w:tcPr>
          <w:p w14:paraId="7CD03347"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noBreakHyphen/>
              <w:t>1,36</w:t>
            </w:r>
          </w:p>
        </w:tc>
        <w:tc>
          <w:tcPr>
            <w:tcW w:w="456" w:type="pct"/>
            <w:tcBorders>
              <w:top w:val="single" w:sz="4" w:space="0" w:color="000000"/>
              <w:left w:val="single" w:sz="4" w:space="0" w:color="000000"/>
              <w:bottom w:val="single" w:sz="4" w:space="0" w:color="000000"/>
              <w:right w:val="single" w:sz="4" w:space="0" w:color="000000"/>
            </w:tcBorders>
            <w:hideMark/>
          </w:tcPr>
          <w:p w14:paraId="5A4C2992"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noBreakHyphen/>
              <w:t>1,18</w:t>
            </w:r>
          </w:p>
        </w:tc>
        <w:tc>
          <w:tcPr>
            <w:tcW w:w="454" w:type="pct"/>
            <w:tcBorders>
              <w:top w:val="single" w:sz="4" w:space="0" w:color="000000"/>
              <w:left w:val="single" w:sz="4" w:space="0" w:color="000000"/>
              <w:bottom w:val="single" w:sz="4" w:space="0" w:color="000000"/>
              <w:right w:val="single" w:sz="4" w:space="0" w:color="000000"/>
            </w:tcBorders>
            <w:hideMark/>
          </w:tcPr>
          <w:p w14:paraId="36E3ACC4"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noBreakHyphen/>
              <w:t>1,75</w:t>
            </w:r>
          </w:p>
        </w:tc>
      </w:tr>
      <w:tr w:rsidR="003D3B2F" w:rsidRPr="008137AF" w14:paraId="6115F666" w14:textId="77777777" w:rsidTr="00210533">
        <w:trPr>
          <w:trHeight w:val="758"/>
        </w:trPr>
        <w:tc>
          <w:tcPr>
            <w:tcW w:w="836" w:type="pct"/>
            <w:tcBorders>
              <w:top w:val="single" w:sz="4" w:space="0" w:color="000000"/>
              <w:left w:val="single" w:sz="4" w:space="0" w:color="000000"/>
              <w:bottom w:val="single" w:sz="4" w:space="0" w:color="000000"/>
              <w:right w:val="single" w:sz="4" w:space="0" w:color="000000"/>
            </w:tcBorders>
            <w:hideMark/>
          </w:tcPr>
          <w:p w14:paraId="40C456BA" w14:textId="77777777" w:rsidR="00841BE0" w:rsidRPr="00841BE0" w:rsidRDefault="00841BE0" w:rsidP="00210533">
            <w:pPr>
              <w:widowControl/>
              <w:autoSpaceDE/>
              <w:autoSpaceDN/>
              <w:ind w:left="142"/>
              <w:rPr>
                <w:rFonts w:ascii="Times New Roman" w:hAnsi="Times New Roman"/>
                <w:sz w:val="20"/>
                <w:szCs w:val="20"/>
              </w:rPr>
            </w:pPr>
            <w:proofErr w:type="spellStart"/>
            <w:r w:rsidRPr="00841BE0">
              <w:rPr>
                <w:rFonts w:ascii="Times New Roman" w:hAnsi="Times New Roman"/>
                <w:sz w:val="20"/>
                <w:szCs w:val="20"/>
              </w:rPr>
              <w:t>Sammenlignet</w:t>
            </w:r>
            <w:proofErr w:type="spellEnd"/>
            <w:r w:rsidRPr="00841BE0">
              <w:rPr>
                <w:rFonts w:ascii="Times New Roman" w:hAnsi="Times New Roman"/>
                <w:sz w:val="20"/>
                <w:szCs w:val="20"/>
              </w:rPr>
              <w:t xml:space="preserve"> med </w:t>
            </w:r>
            <w:proofErr w:type="spellStart"/>
            <w:r w:rsidRPr="00841BE0">
              <w:rPr>
                <w:rFonts w:ascii="Times New Roman" w:hAnsi="Times New Roman"/>
                <w:sz w:val="20"/>
                <w:szCs w:val="20"/>
              </w:rPr>
              <w:t>empa</w:t>
            </w:r>
            <w:proofErr w:type="spellEnd"/>
            <w:r w:rsidRPr="00841BE0">
              <w:rPr>
                <w:rFonts w:ascii="Times New Roman" w:hAnsi="Times New Roman"/>
                <w:sz w:val="20"/>
                <w:szCs w:val="20"/>
              </w:rPr>
              <w:t xml:space="preserve"> (95 % CI</w:t>
            </w:r>
            <w:r w:rsidRPr="00841BE0">
              <w:rPr>
                <w:rFonts w:ascii="Times New Roman" w:hAnsi="Times New Roman"/>
                <w:sz w:val="20"/>
                <w:szCs w:val="20"/>
                <w:vertAlign w:val="superscript"/>
              </w:rPr>
              <w:t>1</w:t>
            </w:r>
            <w:r w:rsidRPr="00841BE0">
              <w:rPr>
                <w:rFonts w:ascii="Times New Roman" w:hAnsi="Times New Roman"/>
                <w:sz w:val="20"/>
                <w:szCs w:val="20"/>
              </w:rPr>
              <w:t>)</w:t>
            </w:r>
          </w:p>
        </w:tc>
        <w:tc>
          <w:tcPr>
            <w:tcW w:w="608" w:type="pct"/>
            <w:tcBorders>
              <w:top w:val="single" w:sz="4" w:space="0" w:color="000000"/>
              <w:left w:val="single" w:sz="4" w:space="0" w:color="000000"/>
              <w:bottom w:val="single" w:sz="4" w:space="0" w:color="000000"/>
              <w:right w:val="single" w:sz="4" w:space="0" w:color="000000"/>
            </w:tcBorders>
            <w:hideMark/>
          </w:tcPr>
          <w:p w14:paraId="474005DF"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noBreakHyphen/>
              <w:t>0,63* (</w:t>
            </w:r>
            <w:r w:rsidRPr="00841BE0">
              <w:rPr>
                <w:rFonts w:ascii="Times New Roman" w:hAnsi="Times New Roman"/>
                <w:sz w:val="20"/>
                <w:szCs w:val="20"/>
              </w:rPr>
              <w:noBreakHyphen/>
            </w:r>
            <w:proofErr w:type="gramStart"/>
            <w:r w:rsidRPr="00841BE0">
              <w:rPr>
                <w:rFonts w:ascii="Times New Roman" w:hAnsi="Times New Roman"/>
                <w:sz w:val="20"/>
                <w:szCs w:val="20"/>
              </w:rPr>
              <w:t xml:space="preserve">0,86, </w:t>
            </w:r>
            <w:r w:rsidRPr="00841BE0">
              <w:rPr>
                <w:rFonts w:ascii="Times New Roman" w:hAnsi="Times New Roman"/>
                <w:sz w:val="20"/>
                <w:szCs w:val="20"/>
              </w:rPr>
              <w:noBreakHyphen/>
            </w:r>
            <w:proofErr w:type="gramEnd"/>
            <w:r w:rsidRPr="00841BE0">
              <w:rPr>
                <w:rFonts w:ascii="Times New Roman" w:hAnsi="Times New Roman"/>
                <w:sz w:val="20"/>
                <w:szCs w:val="20"/>
              </w:rPr>
              <w:t>0,40)</w:t>
            </w:r>
          </w:p>
        </w:tc>
        <w:tc>
          <w:tcPr>
            <w:tcW w:w="607" w:type="pct"/>
            <w:tcBorders>
              <w:top w:val="single" w:sz="4" w:space="0" w:color="000000"/>
              <w:left w:val="single" w:sz="4" w:space="0" w:color="000000"/>
              <w:bottom w:val="single" w:sz="4" w:space="0" w:color="000000"/>
              <w:right w:val="single" w:sz="4" w:space="0" w:color="000000"/>
            </w:tcBorders>
            <w:hideMark/>
          </w:tcPr>
          <w:p w14:paraId="7E2E0FDA"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noBreakHyphen/>
              <w:t>0,72* (</w:t>
            </w:r>
            <w:r w:rsidRPr="00841BE0">
              <w:rPr>
                <w:rFonts w:ascii="Times New Roman" w:hAnsi="Times New Roman"/>
                <w:sz w:val="20"/>
                <w:szCs w:val="20"/>
              </w:rPr>
              <w:noBreakHyphen/>
            </w:r>
            <w:proofErr w:type="gramStart"/>
            <w:r w:rsidRPr="00841BE0">
              <w:rPr>
                <w:rFonts w:ascii="Times New Roman" w:hAnsi="Times New Roman"/>
                <w:sz w:val="20"/>
                <w:szCs w:val="20"/>
              </w:rPr>
              <w:t xml:space="preserve">0,96; </w:t>
            </w:r>
            <w:r w:rsidRPr="00841BE0">
              <w:rPr>
                <w:rFonts w:ascii="Times New Roman" w:hAnsi="Times New Roman"/>
                <w:sz w:val="20"/>
                <w:szCs w:val="20"/>
              </w:rPr>
              <w:noBreakHyphen/>
            </w:r>
            <w:proofErr w:type="gramEnd"/>
            <w:r w:rsidRPr="00841BE0">
              <w:rPr>
                <w:rFonts w:ascii="Times New Roman" w:hAnsi="Times New Roman"/>
                <w:sz w:val="20"/>
                <w:szCs w:val="20"/>
              </w:rPr>
              <w:t>0,49)</w:t>
            </w:r>
          </w:p>
        </w:tc>
        <w:tc>
          <w:tcPr>
            <w:tcW w:w="379" w:type="pct"/>
            <w:tcBorders>
              <w:top w:val="single" w:sz="4" w:space="0" w:color="000000"/>
              <w:left w:val="single" w:sz="4" w:space="0" w:color="000000"/>
              <w:bottom w:val="single" w:sz="4" w:space="0" w:color="000000"/>
              <w:right w:val="single" w:sz="4" w:space="0" w:color="000000"/>
            </w:tcBorders>
          </w:tcPr>
          <w:p w14:paraId="48232837" w14:textId="77777777" w:rsidR="00841BE0" w:rsidRPr="00841BE0" w:rsidRDefault="00841BE0" w:rsidP="00210533">
            <w:pPr>
              <w:widowControl/>
              <w:autoSpaceDE/>
              <w:autoSpaceDN/>
              <w:ind w:left="142"/>
              <w:rPr>
                <w:rFonts w:ascii="Times New Roman" w:hAnsi="Times New Roman"/>
                <w:sz w:val="20"/>
                <w:szCs w:val="20"/>
              </w:rPr>
            </w:pPr>
          </w:p>
        </w:tc>
        <w:tc>
          <w:tcPr>
            <w:tcW w:w="599" w:type="pct"/>
            <w:tcBorders>
              <w:top w:val="single" w:sz="4" w:space="0" w:color="000000"/>
              <w:left w:val="single" w:sz="4" w:space="0" w:color="000000"/>
              <w:bottom w:val="single" w:sz="4" w:space="0" w:color="000000"/>
              <w:right w:val="single" w:sz="4" w:space="0" w:color="000000"/>
            </w:tcBorders>
            <w:hideMark/>
          </w:tcPr>
          <w:p w14:paraId="07CA8FF0"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noBreakHyphen/>
              <w:t>0,57* (</w:t>
            </w:r>
            <w:r w:rsidRPr="00841BE0">
              <w:rPr>
                <w:rFonts w:ascii="Times New Roman" w:hAnsi="Times New Roman"/>
                <w:sz w:val="20"/>
                <w:szCs w:val="20"/>
              </w:rPr>
              <w:noBreakHyphen/>
            </w:r>
            <w:proofErr w:type="gramStart"/>
            <w:r w:rsidRPr="00841BE0">
              <w:rPr>
                <w:rFonts w:ascii="Times New Roman" w:hAnsi="Times New Roman"/>
                <w:sz w:val="20"/>
                <w:szCs w:val="20"/>
              </w:rPr>
              <w:t xml:space="preserve">0,81; </w:t>
            </w:r>
            <w:r w:rsidRPr="00841BE0">
              <w:rPr>
                <w:rFonts w:ascii="Times New Roman" w:hAnsi="Times New Roman"/>
                <w:sz w:val="20"/>
                <w:szCs w:val="20"/>
              </w:rPr>
              <w:noBreakHyphen/>
            </w:r>
            <w:proofErr w:type="gramEnd"/>
            <w:r w:rsidRPr="00841BE0">
              <w:rPr>
                <w:rFonts w:ascii="Times New Roman" w:hAnsi="Times New Roman"/>
                <w:sz w:val="20"/>
                <w:szCs w:val="20"/>
              </w:rPr>
              <w:t>0,34)</w:t>
            </w:r>
          </w:p>
        </w:tc>
        <w:tc>
          <w:tcPr>
            <w:tcW w:w="607" w:type="pct"/>
            <w:tcBorders>
              <w:top w:val="single" w:sz="4" w:space="0" w:color="000000"/>
              <w:left w:val="single" w:sz="4" w:space="0" w:color="000000"/>
              <w:bottom w:val="single" w:sz="4" w:space="0" w:color="000000"/>
              <w:right w:val="single" w:sz="4" w:space="0" w:color="000000"/>
            </w:tcBorders>
            <w:hideMark/>
          </w:tcPr>
          <w:p w14:paraId="0100A862"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noBreakHyphen/>
              <w:t>0,72* (</w:t>
            </w:r>
            <w:r w:rsidRPr="00841BE0">
              <w:rPr>
                <w:rFonts w:ascii="Times New Roman" w:hAnsi="Times New Roman"/>
                <w:sz w:val="20"/>
                <w:szCs w:val="20"/>
              </w:rPr>
              <w:noBreakHyphen/>
            </w:r>
            <w:proofErr w:type="gramStart"/>
            <w:r w:rsidRPr="00841BE0">
              <w:rPr>
                <w:rFonts w:ascii="Times New Roman" w:hAnsi="Times New Roman"/>
                <w:sz w:val="20"/>
                <w:szCs w:val="20"/>
              </w:rPr>
              <w:t xml:space="preserve">0,95; </w:t>
            </w:r>
            <w:r w:rsidRPr="00841BE0">
              <w:rPr>
                <w:rFonts w:ascii="Times New Roman" w:hAnsi="Times New Roman"/>
                <w:sz w:val="20"/>
                <w:szCs w:val="20"/>
              </w:rPr>
              <w:noBreakHyphen/>
            </w:r>
            <w:proofErr w:type="gramEnd"/>
            <w:r w:rsidRPr="00841BE0">
              <w:rPr>
                <w:rFonts w:ascii="Times New Roman" w:hAnsi="Times New Roman"/>
                <w:sz w:val="20"/>
                <w:szCs w:val="20"/>
              </w:rPr>
              <w:t>0,48)</w:t>
            </w:r>
          </w:p>
        </w:tc>
        <w:tc>
          <w:tcPr>
            <w:tcW w:w="454" w:type="pct"/>
            <w:tcBorders>
              <w:top w:val="single" w:sz="4" w:space="0" w:color="000000"/>
              <w:left w:val="single" w:sz="4" w:space="0" w:color="000000"/>
              <w:bottom w:val="single" w:sz="4" w:space="0" w:color="000000"/>
              <w:right w:val="single" w:sz="4" w:space="0" w:color="000000"/>
            </w:tcBorders>
          </w:tcPr>
          <w:p w14:paraId="114861F0" w14:textId="77777777" w:rsidR="00841BE0" w:rsidRPr="00841BE0" w:rsidRDefault="00841BE0" w:rsidP="00210533">
            <w:pPr>
              <w:widowControl/>
              <w:autoSpaceDE/>
              <w:autoSpaceDN/>
              <w:ind w:left="142"/>
              <w:rPr>
                <w:rFonts w:ascii="Times New Roman" w:hAnsi="Times New Roman"/>
                <w:sz w:val="20"/>
                <w:szCs w:val="20"/>
              </w:rPr>
            </w:pPr>
          </w:p>
        </w:tc>
        <w:tc>
          <w:tcPr>
            <w:tcW w:w="456" w:type="pct"/>
            <w:tcBorders>
              <w:top w:val="single" w:sz="4" w:space="0" w:color="000000"/>
              <w:left w:val="single" w:sz="4" w:space="0" w:color="000000"/>
              <w:bottom w:val="single" w:sz="4" w:space="0" w:color="000000"/>
              <w:right w:val="single" w:sz="4" w:space="0" w:color="000000"/>
            </w:tcBorders>
          </w:tcPr>
          <w:p w14:paraId="20E1FFB8" w14:textId="77777777" w:rsidR="00841BE0" w:rsidRPr="00841BE0" w:rsidRDefault="00841BE0" w:rsidP="00210533">
            <w:pPr>
              <w:widowControl/>
              <w:autoSpaceDE/>
              <w:autoSpaceDN/>
              <w:ind w:left="142"/>
              <w:rPr>
                <w:rFonts w:ascii="Times New Roman" w:hAnsi="Times New Roman"/>
                <w:sz w:val="20"/>
                <w:szCs w:val="20"/>
              </w:rPr>
            </w:pPr>
          </w:p>
        </w:tc>
        <w:tc>
          <w:tcPr>
            <w:tcW w:w="454" w:type="pct"/>
            <w:tcBorders>
              <w:top w:val="single" w:sz="4" w:space="0" w:color="000000"/>
              <w:left w:val="single" w:sz="4" w:space="0" w:color="000000"/>
              <w:bottom w:val="single" w:sz="4" w:space="0" w:color="000000"/>
              <w:right w:val="single" w:sz="4" w:space="0" w:color="000000"/>
            </w:tcBorders>
          </w:tcPr>
          <w:p w14:paraId="191BF86C" w14:textId="77777777" w:rsidR="00841BE0" w:rsidRPr="00841BE0" w:rsidRDefault="00841BE0" w:rsidP="00210533">
            <w:pPr>
              <w:widowControl/>
              <w:autoSpaceDE/>
              <w:autoSpaceDN/>
              <w:ind w:left="142"/>
              <w:rPr>
                <w:rFonts w:ascii="Times New Roman" w:hAnsi="Times New Roman"/>
                <w:sz w:val="20"/>
                <w:szCs w:val="20"/>
              </w:rPr>
            </w:pPr>
          </w:p>
        </w:tc>
      </w:tr>
      <w:tr w:rsidR="003D3B2F" w:rsidRPr="008137AF" w14:paraId="3FD7D688" w14:textId="77777777" w:rsidTr="00210533">
        <w:trPr>
          <w:trHeight w:val="760"/>
        </w:trPr>
        <w:tc>
          <w:tcPr>
            <w:tcW w:w="836" w:type="pct"/>
            <w:tcBorders>
              <w:top w:val="single" w:sz="4" w:space="0" w:color="000000"/>
              <w:left w:val="single" w:sz="4" w:space="0" w:color="000000"/>
              <w:bottom w:val="single" w:sz="4" w:space="0" w:color="000000"/>
              <w:right w:val="single" w:sz="4" w:space="0" w:color="000000"/>
            </w:tcBorders>
            <w:hideMark/>
          </w:tcPr>
          <w:p w14:paraId="229AA13A" w14:textId="77777777" w:rsidR="00841BE0" w:rsidRPr="00841BE0" w:rsidRDefault="00841BE0" w:rsidP="00210533">
            <w:pPr>
              <w:widowControl/>
              <w:autoSpaceDE/>
              <w:autoSpaceDN/>
              <w:ind w:left="142"/>
              <w:rPr>
                <w:rFonts w:ascii="Times New Roman" w:hAnsi="Times New Roman"/>
                <w:sz w:val="20"/>
                <w:szCs w:val="20"/>
              </w:rPr>
            </w:pPr>
            <w:proofErr w:type="spellStart"/>
            <w:r w:rsidRPr="00841BE0">
              <w:rPr>
                <w:rFonts w:ascii="Times New Roman" w:hAnsi="Times New Roman"/>
                <w:sz w:val="20"/>
                <w:szCs w:val="20"/>
              </w:rPr>
              <w:t>Sammenlignet</w:t>
            </w:r>
            <w:proofErr w:type="spellEnd"/>
            <w:r w:rsidRPr="00841BE0">
              <w:rPr>
                <w:rFonts w:ascii="Times New Roman" w:hAnsi="Times New Roman"/>
                <w:sz w:val="20"/>
                <w:szCs w:val="20"/>
              </w:rPr>
              <w:t xml:space="preserve"> med met (95 % CI</w:t>
            </w:r>
            <w:r w:rsidRPr="00841BE0">
              <w:rPr>
                <w:rFonts w:ascii="Times New Roman" w:hAnsi="Times New Roman"/>
                <w:sz w:val="20"/>
                <w:szCs w:val="20"/>
                <w:vertAlign w:val="superscript"/>
              </w:rPr>
              <w:t>1</w:t>
            </w:r>
            <w:r w:rsidRPr="00841BE0">
              <w:rPr>
                <w:rFonts w:ascii="Times New Roman" w:hAnsi="Times New Roman"/>
                <w:sz w:val="20"/>
                <w:szCs w:val="20"/>
              </w:rPr>
              <w:t>)</w:t>
            </w:r>
          </w:p>
        </w:tc>
        <w:tc>
          <w:tcPr>
            <w:tcW w:w="608" w:type="pct"/>
            <w:tcBorders>
              <w:top w:val="single" w:sz="4" w:space="0" w:color="000000"/>
              <w:left w:val="single" w:sz="4" w:space="0" w:color="000000"/>
              <w:bottom w:val="single" w:sz="4" w:space="0" w:color="000000"/>
              <w:right w:val="single" w:sz="4" w:space="0" w:color="000000"/>
            </w:tcBorders>
            <w:hideMark/>
          </w:tcPr>
          <w:p w14:paraId="2127FB19"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noBreakHyphen/>
              <w:t>0,79* (</w:t>
            </w:r>
            <w:r w:rsidRPr="00841BE0">
              <w:rPr>
                <w:rFonts w:ascii="Times New Roman" w:hAnsi="Times New Roman"/>
                <w:sz w:val="20"/>
                <w:szCs w:val="20"/>
              </w:rPr>
              <w:noBreakHyphen/>
            </w:r>
            <w:proofErr w:type="gramStart"/>
            <w:r w:rsidRPr="00841BE0">
              <w:rPr>
                <w:rFonts w:ascii="Times New Roman" w:hAnsi="Times New Roman"/>
                <w:sz w:val="20"/>
                <w:szCs w:val="20"/>
              </w:rPr>
              <w:t xml:space="preserve">1,03; </w:t>
            </w:r>
            <w:r w:rsidRPr="00841BE0">
              <w:rPr>
                <w:rFonts w:ascii="Times New Roman" w:hAnsi="Times New Roman"/>
                <w:sz w:val="20"/>
                <w:szCs w:val="20"/>
              </w:rPr>
              <w:noBreakHyphen/>
            </w:r>
            <w:proofErr w:type="gramEnd"/>
            <w:r w:rsidRPr="00841BE0">
              <w:rPr>
                <w:rFonts w:ascii="Times New Roman" w:hAnsi="Times New Roman"/>
                <w:sz w:val="20"/>
                <w:szCs w:val="20"/>
              </w:rPr>
              <w:t>0,56)</w:t>
            </w:r>
          </w:p>
        </w:tc>
        <w:tc>
          <w:tcPr>
            <w:tcW w:w="607" w:type="pct"/>
            <w:tcBorders>
              <w:top w:val="single" w:sz="4" w:space="0" w:color="000000"/>
              <w:left w:val="single" w:sz="4" w:space="0" w:color="000000"/>
              <w:bottom w:val="single" w:sz="4" w:space="0" w:color="000000"/>
              <w:right w:val="single" w:sz="4" w:space="0" w:color="000000"/>
            </w:tcBorders>
            <w:hideMark/>
          </w:tcPr>
          <w:p w14:paraId="15D8BD6F"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noBreakHyphen/>
              <w:t>0,33* (</w:t>
            </w:r>
            <w:r w:rsidRPr="00841BE0">
              <w:rPr>
                <w:rFonts w:ascii="Times New Roman" w:hAnsi="Times New Roman"/>
                <w:sz w:val="20"/>
                <w:szCs w:val="20"/>
              </w:rPr>
              <w:noBreakHyphen/>
            </w:r>
            <w:proofErr w:type="gramStart"/>
            <w:r w:rsidRPr="00841BE0">
              <w:rPr>
                <w:rFonts w:ascii="Times New Roman" w:hAnsi="Times New Roman"/>
                <w:sz w:val="20"/>
                <w:szCs w:val="20"/>
              </w:rPr>
              <w:t xml:space="preserve">0,56; </w:t>
            </w:r>
            <w:r w:rsidRPr="00841BE0">
              <w:rPr>
                <w:rFonts w:ascii="Times New Roman" w:hAnsi="Times New Roman"/>
                <w:sz w:val="20"/>
                <w:szCs w:val="20"/>
              </w:rPr>
              <w:noBreakHyphen/>
            </w:r>
            <w:proofErr w:type="gramEnd"/>
            <w:r w:rsidRPr="00841BE0">
              <w:rPr>
                <w:rFonts w:ascii="Times New Roman" w:hAnsi="Times New Roman"/>
                <w:sz w:val="20"/>
                <w:szCs w:val="20"/>
              </w:rPr>
              <w:t>0,09)</w:t>
            </w:r>
          </w:p>
        </w:tc>
        <w:tc>
          <w:tcPr>
            <w:tcW w:w="379" w:type="pct"/>
            <w:tcBorders>
              <w:top w:val="single" w:sz="4" w:space="0" w:color="000000"/>
              <w:left w:val="single" w:sz="4" w:space="0" w:color="000000"/>
              <w:bottom w:val="single" w:sz="4" w:space="0" w:color="000000"/>
              <w:right w:val="single" w:sz="4" w:space="0" w:color="000000"/>
            </w:tcBorders>
          </w:tcPr>
          <w:p w14:paraId="36E80C83" w14:textId="77777777" w:rsidR="00841BE0" w:rsidRPr="00841BE0" w:rsidRDefault="00841BE0" w:rsidP="00210533">
            <w:pPr>
              <w:widowControl/>
              <w:autoSpaceDE/>
              <w:autoSpaceDN/>
              <w:ind w:left="142"/>
              <w:rPr>
                <w:rFonts w:ascii="Times New Roman" w:hAnsi="Times New Roman"/>
                <w:sz w:val="20"/>
                <w:szCs w:val="20"/>
              </w:rPr>
            </w:pPr>
          </w:p>
        </w:tc>
        <w:tc>
          <w:tcPr>
            <w:tcW w:w="599" w:type="pct"/>
            <w:tcBorders>
              <w:top w:val="single" w:sz="4" w:space="0" w:color="000000"/>
              <w:left w:val="single" w:sz="4" w:space="0" w:color="000000"/>
              <w:bottom w:val="single" w:sz="4" w:space="0" w:color="000000"/>
              <w:right w:val="single" w:sz="4" w:space="0" w:color="000000"/>
            </w:tcBorders>
            <w:hideMark/>
          </w:tcPr>
          <w:p w14:paraId="7F34D879"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noBreakHyphen/>
              <w:t>0,75* (</w:t>
            </w:r>
            <w:r w:rsidRPr="00841BE0">
              <w:rPr>
                <w:rFonts w:ascii="Times New Roman" w:hAnsi="Times New Roman"/>
                <w:sz w:val="20"/>
                <w:szCs w:val="20"/>
              </w:rPr>
              <w:noBreakHyphen/>
            </w:r>
            <w:proofErr w:type="gramStart"/>
            <w:r w:rsidRPr="00841BE0">
              <w:rPr>
                <w:rFonts w:ascii="Times New Roman" w:hAnsi="Times New Roman"/>
                <w:sz w:val="20"/>
                <w:szCs w:val="20"/>
              </w:rPr>
              <w:t xml:space="preserve">0,98; </w:t>
            </w:r>
            <w:r w:rsidRPr="00841BE0">
              <w:rPr>
                <w:rFonts w:ascii="Times New Roman" w:hAnsi="Times New Roman"/>
                <w:sz w:val="20"/>
                <w:szCs w:val="20"/>
              </w:rPr>
              <w:noBreakHyphen/>
            </w:r>
            <w:proofErr w:type="gramEnd"/>
            <w:r w:rsidRPr="00841BE0">
              <w:rPr>
                <w:rFonts w:ascii="Times New Roman" w:hAnsi="Times New Roman"/>
                <w:sz w:val="20"/>
                <w:szCs w:val="20"/>
              </w:rPr>
              <w:t>0,51)</w:t>
            </w:r>
          </w:p>
        </w:tc>
        <w:tc>
          <w:tcPr>
            <w:tcW w:w="607" w:type="pct"/>
            <w:tcBorders>
              <w:top w:val="single" w:sz="4" w:space="0" w:color="000000"/>
              <w:left w:val="single" w:sz="4" w:space="0" w:color="000000"/>
              <w:bottom w:val="single" w:sz="4" w:space="0" w:color="000000"/>
              <w:right w:val="single" w:sz="4" w:space="0" w:color="000000"/>
            </w:tcBorders>
            <w:hideMark/>
          </w:tcPr>
          <w:p w14:paraId="2961A6D3" w14:textId="77777777" w:rsidR="00841BE0" w:rsidRPr="00841BE0" w:rsidRDefault="00841BE0" w:rsidP="00210533">
            <w:pPr>
              <w:widowControl/>
              <w:autoSpaceDE/>
              <w:autoSpaceDN/>
              <w:ind w:left="142"/>
              <w:rPr>
                <w:rFonts w:ascii="Times New Roman" w:hAnsi="Times New Roman"/>
                <w:sz w:val="20"/>
                <w:szCs w:val="20"/>
              </w:rPr>
            </w:pPr>
            <w:r w:rsidRPr="00841BE0">
              <w:rPr>
                <w:rFonts w:ascii="Times New Roman" w:hAnsi="Times New Roman"/>
                <w:sz w:val="20"/>
                <w:szCs w:val="20"/>
              </w:rPr>
              <w:noBreakHyphen/>
              <w:t>0,33* (</w:t>
            </w:r>
            <w:r w:rsidRPr="00841BE0">
              <w:rPr>
                <w:rFonts w:ascii="Times New Roman" w:hAnsi="Times New Roman"/>
                <w:sz w:val="20"/>
                <w:szCs w:val="20"/>
              </w:rPr>
              <w:noBreakHyphen/>
            </w:r>
            <w:proofErr w:type="gramStart"/>
            <w:r w:rsidRPr="00841BE0">
              <w:rPr>
                <w:rFonts w:ascii="Times New Roman" w:hAnsi="Times New Roman"/>
                <w:sz w:val="20"/>
                <w:szCs w:val="20"/>
              </w:rPr>
              <w:t xml:space="preserve">0,56; </w:t>
            </w:r>
            <w:r w:rsidRPr="00841BE0">
              <w:rPr>
                <w:rFonts w:ascii="Times New Roman" w:hAnsi="Times New Roman"/>
                <w:sz w:val="20"/>
                <w:szCs w:val="20"/>
              </w:rPr>
              <w:noBreakHyphen/>
            </w:r>
            <w:proofErr w:type="gramEnd"/>
            <w:r w:rsidRPr="00841BE0">
              <w:rPr>
                <w:rFonts w:ascii="Times New Roman" w:hAnsi="Times New Roman"/>
                <w:sz w:val="20"/>
                <w:szCs w:val="20"/>
              </w:rPr>
              <w:t>0,10)</w:t>
            </w:r>
          </w:p>
        </w:tc>
        <w:tc>
          <w:tcPr>
            <w:tcW w:w="454" w:type="pct"/>
            <w:tcBorders>
              <w:top w:val="single" w:sz="4" w:space="0" w:color="000000"/>
              <w:left w:val="single" w:sz="4" w:space="0" w:color="000000"/>
              <w:bottom w:val="single" w:sz="4" w:space="0" w:color="000000"/>
              <w:right w:val="single" w:sz="4" w:space="0" w:color="000000"/>
            </w:tcBorders>
          </w:tcPr>
          <w:p w14:paraId="2249B2B6" w14:textId="77777777" w:rsidR="00841BE0" w:rsidRPr="00841BE0" w:rsidRDefault="00841BE0" w:rsidP="00210533">
            <w:pPr>
              <w:widowControl/>
              <w:autoSpaceDE/>
              <w:autoSpaceDN/>
              <w:ind w:left="142"/>
              <w:rPr>
                <w:rFonts w:ascii="Times New Roman" w:hAnsi="Times New Roman"/>
                <w:sz w:val="20"/>
                <w:szCs w:val="20"/>
              </w:rPr>
            </w:pPr>
          </w:p>
        </w:tc>
        <w:tc>
          <w:tcPr>
            <w:tcW w:w="456" w:type="pct"/>
            <w:tcBorders>
              <w:top w:val="single" w:sz="4" w:space="0" w:color="000000"/>
              <w:left w:val="single" w:sz="4" w:space="0" w:color="000000"/>
              <w:bottom w:val="single" w:sz="4" w:space="0" w:color="000000"/>
              <w:right w:val="single" w:sz="4" w:space="0" w:color="000000"/>
            </w:tcBorders>
          </w:tcPr>
          <w:p w14:paraId="0059C397" w14:textId="77777777" w:rsidR="00841BE0" w:rsidRPr="00841BE0" w:rsidRDefault="00841BE0" w:rsidP="00210533">
            <w:pPr>
              <w:widowControl/>
              <w:autoSpaceDE/>
              <w:autoSpaceDN/>
              <w:ind w:left="142"/>
              <w:rPr>
                <w:rFonts w:ascii="Times New Roman" w:hAnsi="Times New Roman"/>
                <w:sz w:val="20"/>
                <w:szCs w:val="20"/>
              </w:rPr>
            </w:pPr>
          </w:p>
        </w:tc>
        <w:tc>
          <w:tcPr>
            <w:tcW w:w="454" w:type="pct"/>
            <w:tcBorders>
              <w:top w:val="single" w:sz="4" w:space="0" w:color="000000"/>
              <w:left w:val="single" w:sz="4" w:space="0" w:color="000000"/>
              <w:bottom w:val="single" w:sz="4" w:space="0" w:color="000000"/>
              <w:right w:val="single" w:sz="4" w:space="0" w:color="000000"/>
            </w:tcBorders>
          </w:tcPr>
          <w:p w14:paraId="0EB138AC" w14:textId="77777777" w:rsidR="00841BE0" w:rsidRPr="00841BE0" w:rsidRDefault="00841BE0" w:rsidP="00210533">
            <w:pPr>
              <w:widowControl/>
              <w:autoSpaceDE/>
              <w:autoSpaceDN/>
              <w:ind w:left="142"/>
              <w:rPr>
                <w:rFonts w:ascii="Times New Roman" w:hAnsi="Times New Roman"/>
                <w:sz w:val="20"/>
                <w:szCs w:val="20"/>
              </w:rPr>
            </w:pPr>
          </w:p>
        </w:tc>
      </w:tr>
    </w:tbl>
    <w:p w14:paraId="564E0284" w14:textId="77777777" w:rsidR="00841BE0" w:rsidRPr="00841BE0" w:rsidRDefault="00841BE0" w:rsidP="00210533">
      <w:pPr>
        <w:ind w:left="284" w:hanging="284"/>
        <w:rPr>
          <w:sz w:val="24"/>
          <w:szCs w:val="24"/>
        </w:rPr>
      </w:pPr>
      <w:proofErr w:type="spellStart"/>
      <w:r w:rsidRPr="00841BE0">
        <w:rPr>
          <w:sz w:val="24"/>
          <w:szCs w:val="24"/>
        </w:rPr>
        <w:t>met</w:t>
      </w:r>
      <w:proofErr w:type="spellEnd"/>
      <w:r w:rsidRPr="00841BE0">
        <w:rPr>
          <w:sz w:val="24"/>
          <w:szCs w:val="24"/>
        </w:rPr>
        <w:t> = </w:t>
      </w:r>
      <w:proofErr w:type="spellStart"/>
      <w:r w:rsidRPr="00841BE0">
        <w:rPr>
          <w:sz w:val="24"/>
          <w:szCs w:val="24"/>
        </w:rPr>
        <w:t>metformin</w:t>
      </w:r>
      <w:proofErr w:type="spellEnd"/>
      <w:r w:rsidRPr="00841BE0">
        <w:rPr>
          <w:sz w:val="24"/>
          <w:szCs w:val="24"/>
        </w:rPr>
        <w:t xml:space="preserve">; </w:t>
      </w:r>
      <w:proofErr w:type="spellStart"/>
      <w:r w:rsidRPr="00841BE0">
        <w:rPr>
          <w:sz w:val="24"/>
          <w:szCs w:val="24"/>
        </w:rPr>
        <w:t>empa</w:t>
      </w:r>
      <w:proofErr w:type="spellEnd"/>
      <w:r w:rsidRPr="00841BE0">
        <w:rPr>
          <w:sz w:val="24"/>
          <w:szCs w:val="24"/>
        </w:rPr>
        <w:t> = </w:t>
      </w:r>
      <w:proofErr w:type="spellStart"/>
      <w:r w:rsidRPr="00841BE0">
        <w:rPr>
          <w:sz w:val="24"/>
          <w:szCs w:val="24"/>
        </w:rPr>
        <w:t>empagliflozin</w:t>
      </w:r>
      <w:proofErr w:type="spellEnd"/>
    </w:p>
    <w:p w14:paraId="09C36F94" w14:textId="14D1BDFB" w:rsidR="00841BE0" w:rsidRPr="00841BE0" w:rsidRDefault="00841BE0" w:rsidP="00210533">
      <w:pPr>
        <w:ind w:left="284" w:hanging="284"/>
        <w:rPr>
          <w:sz w:val="24"/>
          <w:szCs w:val="24"/>
        </w:rPr>
      </w:pPr>
      <w:r w:rsidRPr="00841BE0">
        <w:rPr>
          <w:sz w:val="24"/>
          <w:szCs w:val="24"/>
          <w:vertAlign w:val="superscript"/>
        </w:rPr>
        <w:t>1</w:t>
      </w:r>
      <w:r w:rsidRPr="00841BE0">
        <w:rPr>
          <w:sz w:val="24"/>
          <w:szCs w:val="24"/>
        </w:rPr>
        <w:t xml:space="preserve"> </w:t>
      </w:r>
      <w:r w:rsidR="00210533" w:rsidRPr="003D3B2F">
        <w:rPr>
          <w:sz w:val="24"/>
          <w:szCs w:val="24"/>
        </w:rPr>
        <w:tab/>
      </w:r>
      <w:r w:rsidRPr="00841BE0">
        <w:rPr>
          <w:sz w:val="24"/>
          <w:szCs w:val="24"/>
        </w:rPr>
        <w:t xml:space="preserve">Middelværdi justeret for </w:t>
      </w:r>
      <w:r w:rsidRPr="00841BE0">
        <w:rPr>
          <w:i/>
          <w:iCs/>
          <w:sz w:val="24"/>
          <w:szCs w:val="24"/>
        </w:rPr>
        <w:t>baseline</w:t>
      </w:r>
      <w:r w:rsidRPr="00841BE0">
        <w:rPr>
          <w:sz w:val="24"/>
          <w:szCs w:val="24"/>
        </w:rPr>
        <w:t>-værdi.</w:t>
      </w:r>
    </w:p>
    <w:p w14:paraId="299C2A47" w14:textId="4D720A85" w:rsidR="00841BE0" w:rsidRPr="00841BE0" w:rsidRDefault="00841BE0" w:rsidP="00210533">
      <w:pPr>
        <w:ind w:left="284" w:hanging="284"/>
        <w:rPr>
          <w:sz w:val="24"/>
          <w:szCs w:val="24"/>
        </w:rPr>
      </w:pPr>
      <w:r w:rsidRPr="00841BE0">
        <w:rPr>
          <w:sz w:val="24"/>
          <w:szCs w:val="24"/>
          <w:vertAlign w:val="superscript"/>
        </w:rPr>
        <w:t>a</w:t>
      </w:r>
      <w:r w:rsidRPr="00841BE0">
        <w:rPr>
          <w:sz w:val="24"/>
          <w:szCs w:val="24"/>
        </w:rPr>
        <w:t xml:space="preserve"> </w:t>
      </w:r>
      <w:r w:rsidR="00210533" w:rsidRPr="003D3B2F">
        <w:rPr>
          <w:sz w:val="24"/>
          <w:szCs w:val="24"/>
        </w:rPr>
        <w:tab/>
      </w:r>
      <w:r w:rsidRPr="00841BE0">
        <w:rPr>
          <w:sz w:val="24"/>
          <w:szCs w:val="24"/>
        </w:rPr>
        <w:t>Analyserne er udført på fuldstændigt analysedatasæt (FAS) ved brug af observerede tilfælde (OC).</w:t>
      </w:r>
    </w:p>
    <w:p w14:paraId="670EB165" w14:textId="2B0A5CF8" w:rsidR="00841BE0" w:rsidRPr="00841BE0" w:rsidRDefault="00841BE0" w:rsidP="00210533">
      <w:pPr>
        <w:ind w:left="284" w:hanging="284"/>
        <w:rPr>
          <w:sz w:val="24"/>
          <w:szCs w:val="24"/>
        </w:rPr>
      </w:pPr>
      <w:r w:rsidRPr="00841BE0">
        <w:rPr>
          <w:sz w:val="24"/>
          <w:szCs w:val="24"/>
          <w:vertAlign w:val="superscript"/>
        </w:rPr>
        <w:t>b</w:t>
      </w:r>
      <w:r w:rsidRPr="00841BE0">
        <w:rPr>
          <w:sz w:val="24"/>
          <w:szCs w:val="24"/>
        </w:rPr>
        <w:t xml:space="preserve"> </w:t>
      </w:r>
      <w:r w:rsidR="00210533" w:rsidRPr="003D3B2F">
        <w:rPr>
          <w:sz w:val="24"/>
          <w:szCs w:val="24"/>
        </w:rPr>
        <w:tab/>
      </w:r>
      <w:r w:rsidRPr="00841BE0">
        <w:rPr>
          <w:sz w:val="24"/>
          <w:szCs w:val="24"/>
        </w:rPr>
        <w:t xml:space="preserve">Administreret i to lige doser dagligt ved samtidig administration af </w:t>
      </w:r>
      <w:proofErr w:type="spellStart"/>
      <w:r w:rsidRPr="00841BE0">
        <w:rPr>
          <w:sz w:val="24"/>
          <w:szCs w:val="24"/>
        </w:rPr>
        <w:t>metformin</w:t>
      </w:r>
      <w:proofErr w:type="spellEnd"/>
      <w:r w:rsidRPr="00841BE0">
        <w:rPr>
          <w:sz w:val="24"/>
          <w:szCs w:val="24"/>
        </w:rPr>
        <w:t>.</w:t>
      </w:r>
    </w:p>
    <w:p w14:paraId="39B85419" w14:textId="479D68F7" w:rsidR="00841BE0" w:rsidRPr="00841BE0" w:rsidRDefault="00841BE0" w:rsidP="00210533">
      <w:pPr>
        <w:ind w:left="284" w:hanging="284"/>
        <w:rPr>
          <w:sz w:val="24"/>
          <w:szCs w:val="24"/>
        </w:rPr>
      </w:pPr>
      <w:r w:rsidRPr="00841BE0">
        <w:rPr>
          <w:sz w:val="24"/>
          <w:szCs w:val="24"/>
          <w:vertAlign w:val="superscript"/>
        </w:rPr>
        <w:t>c</w:t>
      </w:r>
      <w:r w:rsidRPr="00841BE0">
        <w:rPr>
          <w:sz w:val="24"/>
          <w:szCs w:val="24"/>
        </w:rPr>
        <w:t xml:space="preserve"> </w:t>
      </w:r>
      <w:r w:rsidR="00210533" w:rsidRPr="003D3B2F">
        <w:rPr>
          <w:sz w:val="24"/>
          <w:szCs w:val="24"/>
        </w:rPr>
        <w:tab/>
      </w:r>
      <w:r w:rsidRPr="00841BE0">
        <w:rPr>
          <w:sz w:val="24"/>
          <w:szCs w:val="24"/>
        </w:rPr>
        <w:t>Administreret i to lige doser dagligt.</w:t>
      </w:r>
    </w:p>
    <w:p w14:paraId="6F7F05D7" w14:textId="7CD0A185" w:rsidR="00841BE0" w:rsidRPr="00841BE0" w:rsidRDefault="00841BE0" w:rsidP="00210533">
      <w:pPr>
        <w:ind w:left="284" w:hanging="284"/>
        <w:rPr>
          <w:sz w:val="24"/>
          <w:szCs w:val="24"/>
        </w:rPr>
      </w:pPr>
      <w:r w:rsidRPr="00841BE0">
        <w:rPr>
          <w:sz w:val="24"/>
          <w:szCs w:val="24"/>
        </w:rPr>
        <w:t xml:space="preserve">* </w:t>
      </w:r>
      <w:r w:rsidR="00210533" w:rsidRPr="003D3B2F">
        <w:rPr>
          <w:sz w:val="24"/>
          <w:szCs w:val="24"/>
        </w:rPr>
        <w:tab/>
      </w:r>
      <w:r w:rsidRPr="00841BE0">
        <w:rPr>
          <w:sz w:val="24"/>
          <w:szCs w:val="24"/>
        </w:rPr>
        <w:t>p ≤ 0,0062 for HbA1c.</w:t>
      </w:r>
    </w:p>
    <w:p w14:paraId="7710033C" w14:textId="77777777" w:rsidR="00841BE0" w:rsidRPr="00841BE0" w:rsidRDefault="00841BE0" w:rsidP="00210533">
      <w:pPr>
        <w:ind w:left="851"/>
        <w:rPr>
          <w:sz w:val="24"/>
          <w:szCs w:val="24"/>
        </w:rPr>
      </w:pPr>
    </w:p>
    <w:p w14:paraId="3C5917FF" w14:textId="77777777" w:rsidR="00841BE0" w:rsidRPr="00841BE0" w:rsidRDefault="00841BE0" w:rsidP="00210533">
      <w:pPr>
        <w:ind w:left="851"/>
        <w:rPr>
          <w:i/>
          <w:iCs/>
          <w:sz w:val="24"/>
          <w:szCs w:val="24"/>
          <w:u w:val="single"/>
        </w:rPr>
      </w:pPr>
      <w:proofErr w:type="spellStart"/>
      <w:r w:rsidRPr="00841BE0">
        <w:rPr>
          <w:i/>
          <w:iCs/>
          <w:sz w:val="24"/>
          <w:szCs w:val="24"/>
          <w:u w:val="single"/>
        </w:rPr>
        <w:t>Empagliflozin</w:t>
      </w:r>
      <w:proofErr w:type="spellEnd"/>
      <w:r w:rsidRPr="00841BE0">
        <w:rPr>
          <w:i/>
          <w:iCs/>
          <w:sz w:val="24"/>
          <w:szCs w:val="24"/>
          <w:u w:val="single"/>
        </w:rPr>
        <w:t xml:space="preserve"> hos patienter, der er utilstrækkeligt kontrolleret med </w:t>
      </w:r>
      <w:proofErr w:type="spellStart"/>
      <w:r w:rsidRPr="00841BE0">
        <w:rPr>
          <w:i/>
          <w:iCs/>
          <w:sz w:val="24"/>
          <w:szCs w:val="24"/>
          <w:u w:val="single"/>
        </w:rPr>
        <w:t>metformin</w:t>
      </w:r>
      <w:proofErr w:type="spellEnd"/>
      <w:r w:rsidRPr="00841BE0">
        <w:rPr>
          <w:i/>
          <w:iCs/>
          <w:sz w:val="24"/>
          <w:szCs w:val="24"/>
          <w:u w:val="single"/>
        </w:rPr>
        <w:t xml:space="preserve"> og </w:t>
      </w:r>
      <w:proofErr w:type="spellStart"/>
      <w:r w:rsidRPr="00841BE0">
        <w:rPr>
          <w:i/>
          <w:iCs/>
          <w:sz w:val="24"/>
          <w:szCs w:val="24"/>
          <w:u w:val="single"/>
        </w:rPr>
        <w:t>linagliptin</w:t>
      </w:r>
      <w:proofErr w:type="spellEnd"/>
    </w:p>
    <w:p w14:paraId="40FA6D93" w14:textId="77777777" w:rsidR="00841BE0" w:rsidRPr="00841BE0" w:rsidRDefault="00841BE0" w:rsidP="00210533">
      <w:pPr>
        <w:ind w:left="851"/>
        <w:rPr>
          <w:sz w:val="24"/>
          <w:szCs w:val="24"/>
        </w:rPr>
      </w:pPr>
    </w:p>
    <w:p w14:paraId="624A755F" w14:textId="77777777" w:rsidR="00841BE0" w:rsidRPr="00841BE0" w:rsidRDefault="00841BE0" w:rsidP="00210533">
      <w:pPr>
        <w:ind w:left="851"/>
        <w:rPr>
          <w:sz w:val="24"/>
          <w:szCs w:val="24"/>
        </w:rPr>
      </w:pPr>
      <w:r w:rsidRPr="00841BE0">
        <w:rPr>
          <w:sz w:val="24"/>
          <w:szCs w:val="24"/>
        </w:rPr>
        <w:t xml:space="preserve">Hos patienter, der er utilstrækkeligt kontrolleret med </w:t>
      </w:r>
      <w:proofErr w:type="spellStart"/>
      <w:r w:rsidRPr="00841BE0">
        <w:rPr>
          <w:sz w:val="24"/>
          <w:szCs w:val="24"/>
        </w:rPr>
        <w:t>metformin</w:t>
      </w:r>
      <w:proofErr w:type="spellEnd"/>
      <w:r w:rsidRPr="00841BE0">
        <w:rPr>
          <w:sz w:val="24"/>
          <w:szCs w:val="24"/>
        </w:rPr>
        <w:t xml:space="preserve"> og </w:t>
      </w:r>
      <w:proofErr w:type="spellStart"/>
      <w:r w:rsidRPr="00841BE0">
        <w:rPr>
          <w:sz w:val="24"/>
          <w:szCs w:val="24"/>
        </w:rPr>
        <w:t>linagliptin</w:t>
      </w:r>
      <w:proofErr w:type="spellEnd"/>
      <w:r w:rsidRPr="00841BE0">
        <w:rPr>
          <w:sz w:val="24"/>
          <w:szCs w:val="24"/>
        </w:rPr>
        <w:t xml:space="preserve"> 5 mg, medførte behandling med både </w:t>
      </w:r>
      <w:proofErr w:type="spellStart"/>
      <w:r w:rsidRPr="00841BE0">
        <w:rPr>
          <w:sz w:val="24"/>
          <w:szCs w:val="24"/>
        </w:rPr>
        <w:t>empagliflozin</w:t>
      </w:r>
      <w:proofErr w:type="spellEnd"/>
      <w:r w:rsidRPr="00841BE0">
        <w:rPr>
          <w:sz w:val="24"/>
          <w:szCs w:val="24"/>
        </w:rPr>
        <w:t xml:space="preserve"> 10 mg eller 25 mg statistisk signifikante (p &lt; 0,0001) reduktioner i HbA1c og legemsvægt sammenlignet med placebo (tabel 5). Denne behandling medførte desuden klinisk relevante reduktioner i FPG samt systolisk og diastolisk blodtryk sammenlignet med placebo.</w:t>
      </w:r>
    </w:p>
    <w:p w14:paraId="5D85969A" w14:textId="77777777" w:rsidR="00841BE0" w:rsidRPr="00841BE0" w:rsidRDefault="00841BE0" w:rsidP="00210533">
      <w:pPr>
        <w:ind w:left="851"/>
        <w:rPr>
          <w:sz w:val="24"/>
          <w:szCs w:val="24"/>
        </w:rPr>
      </w:pPr>
    </w:p>
    <w:p w14:paraId="68EF6AA9" w14:textId="77777777" w:rsidR="00841BE0" w:rsidRPr="00841BE0" w:rsidRDefault="00841BE0" w:rsidP="001C0D88">
      <w:pPr>
        <w:rPr>
          <w:sz w:val="24"/>
          <w:szCs w:val="24"/>
        </w:rPr>
      </w:pPr>
      <w:r w:rsidRPr="00841BE0">
        <w:rPr>
          <w:sz w:val="24"/>
          <w:szCs w:val="24"/>
        </w:rPr>
        <w:t>Tabel 5: Virkningsresultater fra et 24</w:t>
      </w:r>
      <w:r w:rsidRPr="00841BE0">
        <w:rPr>
          <w:sz w:val="24"/>
          <w:szCs w:val="24"/>
        </w:rPr>
        <w:noBreakHyphen/>
        <w:t xml:space="preserve">ugers placebokontrolleret studie hos patienter, der er utilstrækkeligt kontrolleret med </w:t>
      </w:r>
      <w:proofErr w:type="spellStart"/>
      <w:r w:rsidRPr="00841BE0">
        <w:rPr>
          <w:sz w:val="24"/>
          <w:szCs w:val="24"/>
        </w:rPr>
        <w:t>metformin</w:t>
      </w:r>
      <w:proofErr w:type="spellEnd"/>
      <w:r w:rsidRPr="00841BE0">
        <w:rPr>
          <w:sz w:val="24"/>
          <w:szCs w:val="24"/>
        </w:rPr>
        <w:t xml:space="preserve"> og </w:t>
      </w:r>
      <w:proofErr w:type="spellStart"/>
      <w:r w:rsidRPr="00841BE0">
        <w:rPr>
          <w:sz w:val="24"/>
          <w:szCs w:val="24"/>
        </w:rPr>
        <w:t>linagliptin</w:t>
      </w:r>
      <w:proofErr w:type="spellEnd"/>
      <w:r w:rsidRPr="00841BE0">
        <w:rPr>
          <w:sz w:val="24"/>
          <w:szCs w:val="24"/>
        </w:rPr>
        <w:t xml:space="preserve"> 5 mg</w:t>
      </w:r>
    </w:p>
    <w:tbl>
      <w:tblPr>
        <w:tblStyle w:val="TableNormal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96"/>
        <w:gridCol w:w="1508"/>
        <w:gridCol w:w="2411"/>
        <w:gridCol w:w="2413"/>
      </w:tblGrid>
      <w:tr w:rsidR="00841BE0" w:rsidRPr="00841BE0" w14:paraId="5E3A5E54" w14:textId="77777777" w:rsidTr="00210533">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43DBB1A2" w14:textId="77777777" w:rsidR="00841BE0" w:rsidRPr="00841BE0" w:rsidRDefault="00841BE0" w:rsidP="00210533">
            <w:pPr>
              <w:widowControl/>
              <w:autoSpaceDE/>
              <w:autoSpaceDN/>
              <w:ind w:left="142"/>
              <w:rPr>
                <w:rFonts w:ascii="Times New Roman" w:eastAsia="Times New Roman" w:hAnsi="Times New Roman"/>
                <w:b/>
                <w:sz w:val="22"/>
                <w:lang w:val="da-DK"/>
              </w:rPr>
            </w:pPr>
            <w:r w:rsidRPr="00841BE0">
              <w:rPr>
                <w:rFonts w:ascii="Times New Roman" w:eastAsia="Times New Roman" w:hAnsi="Times New Roman"/>
                <w:b/>
                <w:sz w:val="22"/>
                <w:lang w:val="da-DK"/>
              </w:rPr>
              <w:t xml:space="preserve">Supplement til </w:t>
            </w:r>
            <w:proofErr w:type="spellStart"/>
            <w:r w:rsidRPr="00841BE0">
              <w:rPr>
                <w:rFonts w:ascii="Times New Roman" w:eastAsia="Times New Roman" w:hAnsi="Times New Roman"/>
                <w:b/>
                <w:sz w:val="22"/>
                <w:lang w:val="da-DK"/>
              </w:rPr>
              <w:t>metformin</w:t>
            </w:r>
            <w:proofErr w:type="spellEnd"/>
            <w:r w:rsidRPr="00841BE0">
              <w:rPr>
                <w:rFonts w:ascii="Times New Roman" w:eastAsia="Times New Roman" w:hAnsi="Times New Roman"/>
                <w:b/>
                <w:sz w:val="22"/>
                <w:lang w:val="da-DK"/>
              </w:rPr>
              <w:t xml:space="preserve"> og </w:t>
            </w:r>
            <w:proofErr w:type="spellStart"/>
            <w:r w:rsidRPr="00841BE0">
              <w:rPr>
                <w:rFonts w:ascii="Times New Roman" w:eastAsia="Times New Roman" w:hAnsi="Times New Roman"/>
                <w:b/>
                <w:sz w:val="22"/>
                <w:lang w:val="da-DK"/>
              </w:rPr>
              <w:t>linagliptin</w:t>
            </w:r>
            <w:proofErr w:type="spellEnd"/>
            <w:r w:rsidRPr="00841BE0">
              <w:rPr>
                <w:rFonts w:ascii="Times New Roman" w:eastAsia="Times New Roman" w:hAnsi="Times New Roman"/>
                <w:b/>
                <w:sz w:val="22"/>
                <w:lang w:val="da-DK"/>
              </w:rPr>
              <w:t xml:space="preserve"> 5 mg</w:t>
            </w:r>
          </w:p>
        </w:tc>
      </w:tr>
      <w:tr w:rsidR="00841BE0" w:rsidRPr="00841BE0" w14:paraId="67FDAB04" w14:textId="77777777" w:rsidTr="00210533">
        <w:trPr>
          <w:trHeight w:val="251"/>
        </w:trPr>
        <w:tc>
          <w:tcPr>
            <w:tcW w:w="1712" w:type="pct"/>
            <w:tcBorders>
              <w:top w:val="single" w:sz="4" w:space="0" w:color="000000"/>
              <w:left w:val="single" w:sz="4" w:space="0" w:color="000000"/>
              <w:bottom w:val="single" w:sz="4" w:space="0" w:color="000000"/>
              <w:right w:val="single" w:sz="4" w:space="0" w:color="000000"/>
            </w:tcBorders>
          </w:tcPr>
          <w:p w14:paraId="0041AB7D" w14:textId="77777777" w:rsidR="00841BE0" w:rsidRPr="00841BE0" w:rsidRDefault="00841BE0" w:rsidP="00210533">
            <w:pPr>
              <w:widowControl/>
              <w:autoSpaceDE/>
              <w:autoSpaceDN/>
              <w:ind w:left="142"/>
              <w:rPr>
                <w:rFonts w:ascii="Times New Roman" w:eastAsia="Times New Roman" w:hAnsi="Times New Roman"/>
                <w:sz w:val="22"/>
                <w:lang w:val="da-DK"/>
              </w:rPr>
            </w:pPr>
          </w:p>
        </w:tc>
        <w:tc>
          <w:tcPr>
            <w:tcW w:w="783" w:type="pct"/>
            <w:tcBorders>
              <w:top w:val="single" w:sz="4" w:space="0" w:color="000000"/>
              <w:left w:val="single" w:sz="4" w:space="0" w:color="000000"/>
              <w:bottom w:val="single" w:sz="4" w:space="0" w:color="000000"/>
              <w:right w:val="single" w:sz="4" w:space="0" w:color="000000"/>
            </w:tcBorders>
            <w:hideMark/>
          </w:tcPr>
          <w:p w14:paraId="725C8E42" w14:textId="77777777" w:rsidR="00841BE0" w:rsidRPr="00841BE0" w:rsidRDefault="00841BE0" w:rsidP="00210533">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Placebo</w:t>
            </w:r>
            <w:r w:rsidRPr="00841BE0">
              <w:rPr>
                <w:rFonts w:ascii="Times New Roman" w:eastAsia="Times New Roman" w:hAnsi="Times New Roman"/>
                <w:b/>
                <w:sz w:val="22"/>
                <w:vertAlign w:val="superscript"/>
              </w:rPr>
              <w:t>5</w:t>
            </w:r>
          </w:p>
        </w:tc>
        <w:tc>
          <w:tcPr>
            <w:tcW w:w="2505" w:type="pct"/>
            <w:gridSpan w:val="2"/>
            <w:tcBorders>
              <w:top w:val="single" w:sz="4" w:space="0" w:color="000000"/>
              <w:left w:val="single" w:sz="4" w:space="0" w:color="000000"/>
              <w:bottom w:val="single" w:sz="4" w:space="0" w:color="000000"/>
              <w:right w:val="single" w:sz="4" w:space="0" w:color="000000"/>
            </w:tcBorders>
            <w:hideMark/>
          </w:tcPr>
          <w:p w14:paraId="63CA6E7D" w14:textId="77777777" w:rsidR="00841BE0" w:rsidRPr="00841BE0" w:rsidRDefault="00841BE0" w:rsidP="00210533">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Empagliflozin</w:t>
            </w:r>
            <w:r w:rsidRPr="00841BE0">
              <w:rPr>
                <w:rFonts w:ascii="Times New Roman" w:eastAsia="Times New Roman" w:hAnsi="Times New Roman"/>
                <w:b/>
                <w:sz w:val="22"/>
                <w:vertAlign w:val="superscript"/>
              </w:rPr>
              <w:t>6</w:t>
            </w:r>
          </w:p>
        </w:tc>
      </w:tr>
      <w:tr w:rsidR="00841BE0" w:rsidRPr="00841BE0" w14:paraId="2437AF96" w14:textId="77777777" w:rsidTr="00210533">
        <w:trPr>
          <w:trHeight w:val="253"/>
        </w:trPr>
        <w:tc>
          <w:tcPr>
            <w:tcW w:w="1712" w:type="pct"/>
            <w:tcBorders>
              <w:top w:val="single" w:sz="4" w:space="0" w:color="000000"/>
              <w:left w:val="single" w:sz="4" w:space="0" w:color="000000"/>
              <w:bottom w:val="single" w:sz="4" w:space="0" w:color="000000"/>
              <w:right w:val="single" w:sz="4" w:space="0" w:color="000000"/>
            </w:tcBorders>
          </w:tcPr>
          <w:p w14:paraId="0996B117" w14:textId="77777777" w:rsidR="00841BE0" w:rsidRPr="00841BE0" w:rsidRDefault="00841BE0" w:rsidP="00210533">
            <w:pPr>
              <w:widowControl/>
              <w:autoSpaceDE/>
              <w:autoSpaceDN/>
              <w:ind w:left="142"/>
              <w:rPr>
                <w:rFonts w:ascii="Times New Roman" w:eastAsia="Times New Roman" w:hAnsi="Times New Roman"/>
                <w:sz w:val="22"/>
              </w:rPr>
            </w:pPr>
          </w:p>
        </w:tc>
        <w:tc>
          <w:tcPr>
            <w:tcW w:w="783" w:type="pct"/>
            <w:tcBorders>
              <w:top w:val="single" w:sz="4" w:space="0" w:color="000000"/>
              <w:left w:val="single" w:sz="4" w:space="0" w:color="000000"/>
              <w:bottom w:val="single" w:sz="4" w:space="0" w:color="000000"/>
              <w:right w:val="single" w:sz="4" w:space="0" w:color="000000"/>
            </w:tcBorders>
          </w:tcPr>
          <w:p w14:paraId="751483C3" w14:textId="77777777" w:rsidR="00841BE0" w:rsidRPr="00841BE0" w:rsidRDefault="00841BE0" w:rsidP="00210533">
            <w:pPr>
              <w:widowControl/>
              <w:autoSpaceDE/>
              <w:autoSpaceDN/>
              <w:ind w:left="142"/>
              <w:rPr>
                <w:rFonts w:ascii="Times New Roman" w:eastAsia="Times New Roman" w:hAnsi="Times New Roman"/>
                <w:sz w:val="22"/>
              </w:rPr>
            </w:pPr>
          </w:p>
        </w:tc>
        <w:tc>
          <w:tcPr>
            <w:tcW w:w="1252" w:type="pct"/>
            <w:tcBorders>
              <w:top w:val="single" w:sz="4" w:space="0" w:color="000000"/>
              <w:left w:val="single" w:sz="4" w:space="0" w:color="000000"/>
              <w:bottom w:val="single" w:sz="4" w:space="0" w:color="000000"/>
              <w:right w:val="single" w:sz="4" w:space="0" w:color="000000"/>
            </w:tcBorders>
            <w:hideMark/>
          </w:tcPr>
          <w:p w14:paraId="2F0FC9D3" w14:textId="77777777" w:rsidR="00841BE0" w:rsidRPr="00841BE0" w:rsidRDefault="00841BE0" w:rsidP="00210533">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10 mg</w:t>
            </w:r>
          </w:p>
        </w:tc>
        <w:tc>
          <w:tcPr>
            <w:tcW w:w="1252" w:type="pct"/>
            <w:tcBorders>
              <w:top w:val="single" w:sz="4" w:space="0" w:color="000000"/>
              <w:left w:val="single" w:sz="4" w:space="0" w:color="000000"/>
              <w:bottom w:val="single" w:sz="4" w:space="0" w:color="000000"/>
              <w:right w:val="single" w:sz="4" w:space="0" w:color="000000"/>
            </w:tcBorders>
            <w:hideMark/>
          </w:tcPr>
          <w:p w14:paraId="0BBE7268" w14:textId="77777777" w:rsidR="00841BE0" w:rsidRPr="00841BE0" w:rsidRDefault="00841BE0" w:rsidP="00210533">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25 mg</w:t>
            </w:r>
          </w:p>
        </w:tc>
      </w:tr>
      <w:tr w:rsidR="00841BE0" w:rsidRPr="00841BE0" w14:paraId="09DA92B2" w14:textId="77777777" w:rsidTr="00210533">
        <w:trPr>
          <w:trHeight w:val="254"/>
        </w:trPr>
        <w:tc>
          <w:tcPr>
            <w:tcW w:w="1712" w:type="pct"/>
            <w:tcBorders>
              <w:top w:val="single" w:sz="4" w:space="0" w:color="000000"/>
              <w:left w:val="single" w:sz="4" w:space="0" w:color="000000"/>
              <w:bottom w:val="single" w:sz="4" w:space="0" w:color="000000"/>
              <w:right w:val="single" w:sz="4" w:space="0" w:color="000000"/>
            </w:tcBorders>
            <w:hideMark/>
          </w:tcPr>
          <w:p w14:paraId="0757E2FD"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N</w:t>
            </w:r>
          </w:p>
        </w:tc>
        <w:tc>
          <w:tcPr>
            <w:tcW w:w="783" w:type="pct"/>
            <w:tcBorders>
              <w:top w:val="single" w:sz="4" w:space="0" w:color="000000"/>
              <w:left w:val="single" w:sz="4" w:space="0" w:color="000000"/>
              <w:bottom w:val="single" w:sz="4" w:space="0" w:color="000000"/>
              <w:right w:val="single" w:sz="4" w:space="0" w:color="000000"/>
            </w:tcBorders>
            <w:hideMark/>
          </w:tcPr>
          <w:p w14:paraId="51ABC10D"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106</w:t>
            </w:r>
          </w:p>
        </w:tc>
        <w:tc>
          <w:tcPr>
            <w:tcW w:w="1252" w:type="pct"/>
            <w:tcBorders>
              <w:top w:val="single" w:sz="4" w:space="0" w:color="000000"/>
              <w:left w:val="single" w:sz="4" w:space="0" w:color="000000"/>
              <w:bottom w:val="single" w:sz="4" w:space="0" w:color="000000"/>
              <w:right w:val="single" w:sz="4" w:space="0" w:color="000000"/>
            </w:tcBorders>
            <w:hideMark/>
          </w:tcPr>
          <w:p w14:paraId="4519F1F4"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109</w:t>
            </w:r>
          </w:p>
        </w:tc>
        <w:tc>
          <w:tcPr>
            <w:tcW w:w="1252" w:type="pct"/>
            <w:tcBorders>
              <w:top w:val="single" w:sz="4" w:space="0" w:color="000000"/>
              <w:left w:val="single" w:sz="4" w:space="0" w:color="000000"/>
              <w:bottom w:val="single" w:sz="4" w:space="0" w:color="000000"/>
              <w:right w:val="single" w:sz="4" w:space="0" w:color="000000"/>
            </w:tcBorders>
            <w:hideMark/>
          </w:tcPr>
          <w:p w14:paraId="0F63FC81"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110</w:t>
            </w:r>
          </w:p>
        </w:tc>
      </w:tr>
      <w:tr w:rsidR="00841BE0" w:rsidRPr="00841BE0" w14:paraId="57D32696" w14:textId="77777777" w:rsidTr="00210533">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213A6220" w14:textId="77777777" w:rsidR="00841BE0" w:rsidRPr="00841BE0" w:rsidRDefault="00841BE0" w:rsidP="00210533">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HbA1c (%)</w:t>
            </w:r>
            <w:r w:rsidRPr="00841BE0">
              <w:rPr>
                <w:rFonts w:ascii="Times New Roman" w:eastAsia="Times New Roman" w:hAnsi="Times New Roman"/>
                <w:b/>
                <w:sz w:val="22"/>
                <w:vertAlign w:val="superscript"/>
              </w:rPr>
              <w:t>3</w:t>
            </w:r>
          </w:p>
        </w:tc>
      </w:tr>
      <w:tr w:rsidR="00841BE0" w:rsidRPr="00841BE0" w14:paraId="43CC553C" w14:textId="77777777" w:rsidTr="00210533">
        <w:trPr>
          <w:trHeight w:val="254"/>
        </w:trPr>
        <w:tc>
          <w:tcPr>
            <w:tcW w:w="1712" w:type="pct"/>
            <w:tcBorders>
              <w:top w:val="single" w:sz="4" w:space="0" w:color="000000"/>
              <w:left w:val="single" w:sz="4" w:space="0" w:color="000000"/>
              <w:bottom w:val="single" w:sz="4" w:space="0" w:color="000000"/>
              <w:right w:val="single" w:sz="4" w:space="0" w:color="000000"/>
            </w:tcBorders>
            <w:hideMark/>
          </w:tcPr>
          <w:p w14:paraId="5A7C34D6"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i/>
                <w:sz w:val="22"/>
              </w:rPr>
              <w:t xml:space="preserve">Baseline </w:t>
            </w:r>
            <w:r w:rsidRPr="00841BE0">
              <w:rPr>
                <w:rFonts w:ascii="Times New Roman" w:eastAsia="Times New Roman" w:hAnsi="Times New Roman"/>
                <w:sz w:val="22"/>
              </w:rPr>
              <w:t>(</w:t>
            </w:r>
            <w:proofErr w:type="spellStart"/>
            <w:r w:rsidRPr="00841BE0">
              <w:rPr>
                <w:rFonts w:ascii="Times New Roman" w:eastAsia="Times New Roman" w:hAnsi="Times New Roman"/>
                <w:sz w:val="22"/>
              </w:rPr>
              <w:t>middel</w:t>
            </w:r>
            <w:proofErr w:type="spellEnd"/>
            <w:r w:rsidRPr="00841BE0">
              <w:rPr>
                <w:rFonts w:ascii="Times New Roman" w:eastAsia="Times New Roman" w:hAnsi="Times New Roman"/>
                <w:sz w:val="22"/>
              </w:rPr>
              <w:t>)</w:t>
            </w:r>
          </w:p>
        </w:tc>
        <w:tc>
          <w:tcPr>
            <w:tcW w:w="783" w:type="pct"/>
            <w:tcBorders>
              <w:top w:val="single" w:sz="4" w:space="0" w:color="000000"/>
              <w:left w:val="single" w:sz="4" w:space="0" w:color="000000"/>
              <w:bottom w:val="single" w:sz="4" w:space="0" w:color="000000"/>
              <w:right w:val="single" w:sz="4" w:space="0" w:color="000000"/>
            </w:tcBorders>
            <w:hideMark/>
          </w:tcPr>
          <w:p w14:paraId="6A03E89B"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7,96</w:t>
            </w:r>
          </w:p>
        </w:tc>
        <w:tc>
          <w:tcPr>
            <w:tcW w:w="1252" w:type="pct"/>
            <w:tcBorders>
              <w:top w:val="single" w:sz="4" w:space="0" w:color="000000"/>
              <w:left w:val="single" w:sz="4" w:space="0" w:color="000000"/>
              <w:bottom w:val="single" w:sz="4" w:space="0" w:color="000000"/>
              <w:right w:val="single" w:sz="4" w:space="0" w:color="000000"/>
            </w:tcBorders>
            <w:hideMark/>
          </w:tcPr>
          <w:p w14:paraId="32FF6D9B"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7,97</w:t>
            </w:r>
          </w:p>
        </w:tc>
        <w:tc>
          <w:tcPr>
            <w:tcW w:w="1252" w:type="pct"/>
            <w:tcBorders>
              <w:top w:val="single" w:sz="4" w:space="0" w:color="000000"/>
              <w:left w:val="single" w:sz="4" w:space="0" w:color="000000"/>
              <w:bottom w:val="single" w:sz="4" w:space="0" w:color="000000"/>
              <w:right w:val="single" w:sz="4" w:space="0" w:color="000000"/>
            </w:tcBorders>
            <w:hideMark/>
          </w:tcPr>
          <w:p w14:paraId="0C1CB159"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7,97</w:t>
            </w:r>
          </w:p>
        </w:tc>
      </w:tr>
      <w:tr w:rsidR="00841BE0" w:rsidRPr="00841BE0" w14:paraId="5096D99B" w14:textId="77777777" w:rsidTr="00210533">
        <w:trPr>
          <w:trHeight w:val="251"/>
        </w:trPr>
        <w:tc>
          <w:tcPr>
            <w:tcW w:w="1712" w:type="pct"/>
            <w:tcBorders>
              <w:top w:val="single" w:sz="4" w:space="0" w:color="000000"/>
              <w:left w:val="single" w:sz="4" w:space="0" w:color="000000"/>
              <w:bottom w:val="single" w:sz="4" w:space="0" w:color="000000"/>
              <w:right w:val="single" w:sz="4" w:space="0" w:color="000000"/>
            </w:tcBorders>
            <w:hideMark/>
          </w:tcPr>
          <w:p w14:paraId="10EEB797" w14:textId="77777777" w:rsidR="00841BE0" w:rsidRPr="00841BE0" w:rsidRDefault="00841BE0" w:rsidP="00210533">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Ændring</w:t>
            </w:r>
            <w:proofErr w:type="spellEnd"/>
            <w:r w:rsidRPr="00841BE0">
              <w:rPr>
                <w:rFonts w:ascii="Times New Roman" w:eastAsia="Times New Roman" w:hAnsi="Times New Roman"/>
                <w:sz w:val="22"/>
              </w:rPr>
              <w:t xml:space="preserve"> fra </w:t>
            </w:r>
            <w:r w:rsidRPr="00841BE0">
              <w:rPr>
                <w:rFonts w:ascii="Times New Roman" w:eastAsia="Times New Roman" w:hAnsi="Times New Roman"/>
                <w:i/>
                <w:sz w:val="22"/>
              </w:rPr>
              <w:t>baseline</w:t>
            </w:r>
            <w:r w:rsidRPr="00841BE0">
              <w:rPr>
                <w:rFonts w:ascii="Times New Roman" w:eastAsia="Times New Roman" w:hAnsi="Times New Roman"/>
                <w:sz w:val="22"/>
                <w:vertAlign w:val="superscript"/>
              </w:rPr>
              <w:t>1</w:t>
            </w:r>
          </w:p>
        </w:tc>
        <w:tc>
          <w:tcPr>
            <w:tcW w:w="783" w:type="pct"/>
            <w:tcBorders>
              <w:top w:val="single" w:sz="4" w:space="0" w:color="000000"/>
              <w:left w:val="single" w:sz="4" w:space="0" w:color="000000"/>
              <w:bottom w:val="single" w:sz="4" w:space="0" w:color="000000"/>
              <w:right w:val="single" w:sz="4" w:space="0" w:color="000000"/>
            </w:tcBorders>
            <w:hideMark/>
          </w:tcPr>
          <w:p w14:paraId="3105D8B3"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0,14</w:t>
            </w:r>
          </w:p>
        </w:tc>
        <w:tc>
          <w:tcPr>
            <w:tcW w:w="1252" w:type="pct"/>
            <w:tcBorders>
              <w:top w:val="single" w:sz="4" w:space="0" w:color="000000"/>
              <w:left w:val="single" w:sz="4" w:space="0" w:color="000000"/>
              <w:bottom w:val="single" w:sz="4" w:space="0" w:color="000000"/>
              <w:right w:val="single" w:sz="4" w:space="0" w:color="000000"/>
            </w:tcBorders>
            <w:hideMark/>
          </w:tcPr>
          <w:p w14:paraId="48571163"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0,65</w:t>
            </w:r>
          </w:p>
        </w:tc>
        <w:tc>
          <w:tcPr>
            <w:tcW w:w="1252" w:type="pct"/>
            <w:tcBorders>
              <w:top w:val="single" w:sz="4" w:space="0" w:color="000000"/>
              <w:left w:val="single" w:sz="4" w:space="0" w:color="000000"/>
              <w:bottom w:val="single" w:sz="4" w:space="0" w:color="000000"/>
              <w:right w:val="single" w:sz="4" w:space="0" w:color="000000"/>
            </w:tcBorders>
            <w:hideMark/>
          </w:tcPr>
          <w:p w14:paraId="4F42CBF2"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0,56</w:t>
            </w:r>
          </w:p>
        </w:tc>
      </w:tr>
      <w:tr w:rsidR="00841BE0" w:rsidRPr="00841BE0" w14:paraId="68C8E09B" w14:textId="77777777" w:rsidTr="00210533">
        <w:trPr>
          <w:trHeight w:val="505"/>
        </w:trPr>
        <w:tc>
          <w:tcPr>
            <w:tcW w:w="1712" w:type="pct"/>
            <w:tcBorders>
              <w:top w:val="single" w:sz="4" w:space="0" w:color="000000"/>
              <w:left w:val="single" w:sz="4" w:space="0" w:color="000000"/>
              <w:bottom w:val="single" w:sz="4" w:space="0" w:color="000000"/>
              <w:right w:val="single" w:sz="4" w:space="0" w:color="000000"/>
            </w:tcBorders>
            <w:hideMark/>
          </w:tcPr>
          <w:p w14:paraId="4626EF37" w14:textId="77777777" w:rsidR="00841BE0" w:rsidRPr="00841BE0" w:rsidRDefault="00841BE0" w:rsidP="00210533">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Forskel</w:t>
            </w:r>
            <w:proofErr w:type="spellEnd"/>
            <w:r w:rsidRPr="00841BE0">
              <w:rPr>
                <w:rFonts w:ascii="Times New Roman" w:eastAsia="Times New Roman" w:hAnsi="Times New Roman"/>
                <w:sz w:val="22"/>
              </w:rPr>
              <w:t xml:space="preserve"> fra placebo</w:t>
            </w:r>
          </w:p>
          <w:p w14:paraId="5EB3FE00"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(95 % CI)</w:t>
            </w:r>
          </w:p>
        </w:tc>
        <w:tc>
          <w:tcPr>
            <w:tcW w:w="783" w:type="pct"/>
            <w:tcBorders>
              <w:top w:val="single" w:sz="4" w:space="0" w:color="000000"/>
              <w:left w:val="single" w:sz="4" w:space="0" w:color="000000"/>
              <w:bottom w:val="single" w:sz="4" w:space="0" w:color="000000"/>
              <w:right w:val="single" w:sz="4" w:space="0" w:color="000000"/>
            </w:tcBorders>
          </w:tcPr>
          <w:p w14:paraId="3A242ADB" w14:textId="77777777" w:rsidR="00841BE0" w:rsidRPr="00841BE0" w:rsidRDefault="00841BE0" w:rsidP="00210533">
            <w:pPr>
              <w:widowControl/>
              <w:autoSpaceDE/>
              <w:autoSpaceDN/>
              <w:ind w:left="142"/>
              <w:rPr>
                <w:rFonts w:ascii="Times New Roman" w:eastAsia="Times New Roman" w:hAnsi="Times New Roman"/>
                <w:sz w:val="22"/>
              </w:rPr>
            </w:pPr>
          </w:p>
        </w:tc>
        <w:tc>
          <w:tcPr>
            <w:tcW w:w="1252" w:type="pct"/>
            <w:tcBorders>
              <w:top w:val="single" w:sz="4" w:space="0" w:color="000000"/>
              <w:left w:val="single" w:sz="4" w:space="0" w:color="000000"/>
              <w:bottom w:val="single" w:sz="4" w:space="0" w:color="000000"/>
              <w:right w:val="single" w:sz="4" w:space="0" w:color="000000"/>
            </w:tcBorders>
            <w:hideMark/>
          </w:tcPr>
          <w:p w14:paraId="188CD9C5"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0,79* (</w:t>
            </w:r>
            <w:r w:rsidRPr="00841BE0">
              <w:rPr>
                <w:rFonts w:ascii="Times New Roman" w:eastAsia="Times New Roman" w:hAnsi="Times New Roman"/>
                <w:sz w:val="22"/>
              </w:rPr>
              <w:noBreakHyphen/>
            </w:r>
            <w:proofErr w:type="gramStart"/>
            <w:r w:rsidRPr="00841BE0">
              <w:rPr>
                <w:rFonts w:ascii="Times New Roman" w:eastAsia="Times New Roman" w:hAnsi="Times New Roman"/>
                <w:sz w:val="22"/>
              </w:rPr>
              <w:t xml:space="preserve">1,02;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0,55)</w:t>
            </w:r>
          </w:p>
        </w:tc>
        <w:tc>
          <w:tcPr>
            <w:tcW w:w="1252" w:type="pct"/>
            <w:tcBorders>
              <w:top w:val="single" w:sz="4" w:space="0" w:color="000000"/>
              <w:left w:val="single" w:sz="4" w:space="0" w:color="000000"/>
              <w:bottom w:val="single" w:sz="4" w:space="0" w:color="000000"/>
              <w:right w:val="single" w:sz="4" w:space="0" w:color="000000"/>
            </w:tcBorders>
            <w:hideMark/>
          </w:tcPr>
          <w:p w14:paraId="6E8B159B"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0,70* (</w:t>
            </w:r>
            <w:r w:rsidRPr="00841BE0">
              <w:rPr>
                <w:rFonts w:ascii="Times New Roman" w:eastAsia="Times New Roman" w:hAnsi="Times New Roman"/>
                <w:sz w:val="22"/>
              </w:rPr>
              <w:noBreakHyphen/>
            </w:r>
            <w:proofErr w:type="gramStart"/>
            <w:r w:rsidRPr="00841BE0">
              <w:rPr>
                <w:rFonts w:ascii="Times New Roman" w:eastAsia="Times New Roman" w:hAnsi="Times New Roman"/>
                <w:sz w:val="22"/>
              </w:rPr>
              <w:t xml:space="preserve">0,93;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0,46)</w:t>
            </w:r>
          </w:p>
        </w:tc>
      </w:tr>
      <w:tr w:rsidR="00841BE0" w:rsidRPr="00841BE0" w14:paraId="74E4D211" w14:textId="77777777" w:rsidTr="00210533">
        <w:trPr>
          <w:trHeight w:val="254"/>
        </w:trPr>
        <w:tc>
          <w:tcPr>
            <w:tcW w:w="1712" w:type="pct"/>
            <w:tcBorders>
              <w:top w:val="single" w:sz="4" w:space="0" w:color="000000"/>
              <w:left w:val="single" w:sz="4" w:space="0" w:color="000000"/>
              <w:bottom w:val="single" w:sz="4" w:space="0" w:color="000000"/>
              <w:right w:val="single" w:sz="4" w:space="0" w:color="000000"/>
            </w:tcBorders>
            <w:hideMark/>
          </w:tcPr>
          <w:p w14:paraId="7D5D798A"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N</w:t>
            </w:r>
          </w:p>
        </w:tc>
        <w:tc>
          <w:tcPr>
            <w:tcW w:w="783" w:type="pct"/>
            <w:tcBorders>
              <w:top w:val="single" w:sz="4" w:space="0" w:color="000000"/>
              <w:left w:val="single" w:sz="4" w:space="0" w:color="000000"/>
              <w:bottom w:val="single" w:sz="4" w:space="0" w:color="000000"/>
              <w:right w:val="single" w:sz="4" w:space="0" w:color="000000"/>
            </w:tcBorders>
            <w:hideMark/>
          </w:tcPr>
          <w:p w14:paraId="060C9E2B"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100</w:t>
            </w:r>
          </w:p>
        </w:tc>
        <w:tc>
          <w:tcPr>
            <w:tcW w:w="1252" w:type="pct"/>
            <w:tcBorders>
              <w:top w:val="single" w:sz="4" w:space="0" w:color="000000"/>
              <w:left w:val="single" w:sz="4" w:space="0" w:color="000000"/>
              <w:bottom w:val="single" w:sz="4" w:space="0" w:color="000000"/>
              <w:right w:val="single" w:sz="4" w:space="0" w:color="000000"/>
            </w:tcBorders>
            <w:hideMark/>
          </w:tcPr>
          <w:p w14:paraId="2D1C94FD"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100</w:t>
            </w:r>
          </w:p>
        </w:tc>
        <w:tc>
          <w:tcPr>
            <w:tcW w:w="1252" w:type="pct"/>
            <w:tcBorders>
              <w:top w:val="single" w:sz="4" w:space="0" w:color="000000"/>
              <w:left w:val="single" w:sz="4" w:space="0" w:color="000000"/>
              <w:bottom w:val="single" w:sz="4" w:space="0" w:color="000000"/>
              <w:right w:val="single" w:sz="4" w:space="0" w:color="000000"/>
            </w:tcBorders>
            <w:hideMark/>
          </w:tcPr>
          <w:p w14:paraId="3C8C7EAF"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107</w:t>
            </w:r>
          </w:p>
        </w:tc>
      </w:tr>
      <w:tr w:rsidR="00841BE0" w:rsidRPr="00841BE0" w14:paraId="1DC9774F" w14:textId="77777777" w:rsidTr="00210533">
        <w:trPr>
          <w:trHeight w:val="758"/>
        </w:trPr>
        <w:tc>
          <w:tcPr>
            <w:tcW w:w="1712" w:type="pct"/>
            <w:tcBorders>
              <w:top w:val="single" w:sz="4" w:space="0" w:color="000000"/>
              <w:left w:val="single" w:sz="4" w:space="0" w:color="000000"/>
              <w:bottom w:val="single" w:sz="4" w:space="0" w:color="000000"/>
              <w:right w:val="single" w:sz="4" w:space="0" w:color="000000"/>
            </w:tcBorders>
            <w:hideMark/>
          </w:tcPr>
          <w:p w14:paraId="095BD5DB" w14:textId="77777777" w:rsidR="00841BE0" w:rsidRPr="00841BE0" w:rsidRDefault="00841BE0" w:rsidP="00210533">
            <w:pPr>
              <w:widowControl/>
              <w:autoSpaceDE/>
              <w:autoSpaceDN/>
              <w:ind w:left="142"/>
              <w:rPr>
                <w:rFonts w:ascii="Times New Roman" w:eastAsia="Times New Roman" w:hAnsi="Times New Roman"/>
                <w:b/>
                <w:sz w:val="22"/>
                <w:lang w:val="da-DK"/>
              </w:rPr>
            </w:pPr>
            <w:r w:rsidRPr="00841BE0">
              <w:rPr>
                <w:rFonts w:ascii="Times New Roman" w:eastAsia="Times New Roman" w:hAnsi="Times New Roman"/>
                <w:b/>
                <w:sz w:val="22"/>
                <w:lang w:val="da-DK"/>
              </w:rPr>
              <w:t xml:space="preserve">Patienter (%), der opnår HbA1c &lt; 7 %, med </w:t>
            </w:r>
            <w:r w:rsidRPr="00841BE0">
              <w:rPr>
                <w:rFonts w:ascii="Times New Roman" w:eastAsia="Times New Roman" w:hAnsi="Times New Roman"/>
                <w:b/>
                <w:i/>
                <w:sz w:val="22"/>
                <w:lang w:val="da-DK"/>
              </w:rPr>
              <w:t>baseline</w:t>
            </w:r>
            <w:r w:rsidRPr="00841BE0">
              <w:rPr>
                <w:rFonts w:ascii="Times New Roman" w:eastAsia="Times New Roman" w:hAnsi="Times New Roman"/>
                <w:b/>
                <w:sz w:val="22"/>
                <w:lang w:val="da-DK"/>
              </w:rPr>
              <w:t>-HbA1c ≥ 7 %</w:t>
            </w:r>
            <w:r w:rsidRPr="00841BE0">
              <w:rPr>
                <w:rFonts w:ascii="Times New Roman" w:eastAsia="Times New Roman" w:hAnsi="Times New Roman"/>
                <w:b/>
                <w:sz w:val="22"/>
                <w:vertAlign w:val="superscript"/>
                <w:lang w:val="da-DK"/>
              </w:rPr>
              <w:t>2</w:t>
            </w:r>
          </w:p>
        </w:tc>
        <w:tc>
          <w:tcPr>
            <w:tcW w:w="783" w:type="pct"/>
            <w:tcBorders>
              <w:top w:val="single" w:sz="4" w:space="0" w:color="000000"/>
              <w:left w:val="single" w:sz="4" w:space="0" w:color="000000"/>
              <w:bottom w:val="single" w:sz="4" w:space="0" w:color="000000"/>
              <w:right w:val="single" w:sz="4" w:space="0" w:color="000000"/>
            </w:tcBorders>
            <w:hideMark/>
          </w:tcPr>
          <w:p w14:paraId="2327F9D1"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17,0</w:t>
            </w:r>
          </w:p>
        </w:tc>
        <w:tc>
          <w:tcPr>
            <w:tcW w:w="1252" w:type="pct"/>
            <w:tcBorders>
              <w:top w:val="single" w:sz="4" w:space="0" w:color="000000"/>
              <w:left w:val="single" w:sz="4" w:space="0" w:color="000000"/>
              <w:bottom w:val="single" w:sz="4" w:space="0" w:color="000000"/>
              <w:right w:val="single" w:sz="4" w:space="0" w:color="000000"/>
            </w:tcBorders>
            <w:hideMark/>
          </w:tcPr>
          <w:p w14:paraId="4FA796CC"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37,0</w:t>
            </w:r>
          </w:p>
        </w:tc>
        <w:tc>
          <w:tcPr>
            <w:tcW w:w="1252" w:type="pct"/>
            <w:tcBorders>
              <w:top w:val="single" w:sz="4" w:space="0" w:color="000000"/>
              <w:left w:val="single" w:sz="4" w:space="0" w:color="000000"/>
              <w:bottom w:val="single" w:sz="4" w:space="0" w:color="000000"/>
              <w:right w:val="single" w:sz="4" w:space="0" w:color="000000"/>
            </w:tcBorders>
            <w:hideMark/>
          </w:tcPr>
          <w:p w14:paraId="6B510213"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32,7</w:t>
            </w:r>
          </w:p>
        </w:tc>
      </w:tr>
      <w:tr w:rsidR="00841BE0" w:rsidRPr="00841BE0" w14:paraId="642819B6" w14:textId="77777777" w:rsidTr="00210533">
        <w:trPr>
          <w:trHeight w:val="254"/>
        </w:trPr>
        <w:tc>
          <w:tcPr>
            <w:tcW w:w="1712" w:type="pct"/>
            <w:tcBorders>
              <w:top w:val="single" w:sz="4" w:space="0" w:color="000000"/>
              <w:left w:val="single" w:sz="4" w:space="0" w:color="000000"/>
              <w:bottom w:val="single" w:sz="4" w:space="0" w:color="000000"/>
              <w:right w:val="single" w:sz="4" w:space="0" w:color="000000"/>
            </w:tcBorders>
            <w:hideMark/>
          </w:tcPr>
          <w:p w14:paraId="54F2D476"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N</w:t>
            </w:r>
          </w:p>
        </w:tc>
        <w:tc>
          <w:tcPr>
            <w:tcW w:w="783" w:type="pct"/>
            <w:tcBorders>
              <w:top w:val="single" w:sz="4" w:space="0" w:color="000000"/>
              <w:left w:val="single" w:sz="4" w:space="0" w:color="000000"/>
              <w:bottom w:val="single" w:sz="4" w:space="0" w:color="000000"/>
              <w:right w:val="single" w:sz="4" w:space="0" w:color="000000"/>
            </w:tcBorders>
            <w:hideMark/>
          </w:tcPr>
          <w:p w14:paraId="02CD86A4"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106</w:t>
            </w:r>
          </w:p>
        </w:tc>
        <w:tc>
          <w:tcPr>
            <w:tcW w:w="1252" w:type="pct"/>
            <w:tcBorders>
              <w:top w:val="single" w:sz="4" w:space="0" w:color="000000"/>
              <w:left w:val="single" w:sz="4" w:space="0" w:color="000000"/>
              <w:bottom w:val="single" w:sz="4" w:space="0" w:color="000000"/>
              <w:right w:val="single" w:sz="4" w:space="0" w:color="000000"/>
            </w:tcBorders>
            <w:hideMark/>
          </w:tcPr>
          <w:p w14:paraId="21B2F7E7"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109</w:t>
            </w:r>
          </w:p>
        </w:tc>
        <w:tc>
          <w:tcPr>
            <w:tcW w:w="1252" w:type="pct"/>
            <w:tcBorders>
              <w:top w:val="single" w:sz="4" w:space="0" w:color="000000"/>
              <w:left w:val="single" w:sz="4" w:space="0" w:color="000000"/>
              <w:bottom w:val="single" w:sz="4" w:space="0" w:color="000000"/>
              <w:right w:val="single" w:sz="4" w:space="0" w:color="000000"/>
            </w:tcBorders>
            <w:hideMark/>
          </w:tcPr>
          <w:p w14:paraId="69DD26D8"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110</w:t>
            </w:r>
          </w:p>
        </w:tc>
      </w:tr>
      <w:tr w:rsidR="00841BE0" w:rsidRPr="00841BE0" w14:paraId="5717F595" w14:textId="77777777" w:rsidTr="00210533">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716F54DF" w14:textId="77777777" w:rsidR="00841BE0" w:rsidRPr="00841BE0" w:rsidRDefault="00841BE0" w:rsidP="00210533">
            <w:pPr>
              <w:widowControl/>
              <w:autoSpaceDE/>
              <w:autoSpaceDN/>
              <w:ind w:left="142"/>
              <w:rPr>
                <w:rFonts w:ascii="Times New Roman" w:eastAsia="Times New Roman" w:hAnsi="Times New Roman"/>
                <w:b/>
                <w:sz w:val="22"/>
              </w:rPr>
            </w:pPr>
            <w:proofErr w:type="spellStart"/>
            <w:r w:rsidRPr="00841BE0">
              <w:rPr>
                <w:rFonts w:ascii="Times New Roman" w:eastAsia="Times New Roman" w:hAnsi="Times New Roman"/>
                <w:b/>
                <w:sz w:val="22"/>
              </w:rPr>
              <w:t>Legemsvægt</w:t>
            </w:r>
            <w:proofErr w:type="spellEnd"/>
            <w:r w:rsidRPr="00841BE0">
              <w:rPr>
                <w:rFonts w:ascii="Times New Roman" w:eastAsia="Times New Roman" w:hAnsi="Times New Roman"/>
                <w:b/>
                <w:sz w:val="22"/>
              </w:rPr>
              <w:t xml:space="preserve"> (kg)</w:t>
            </w:r>
            <w:r w:rsidRPr="00841BE0">
              <w:rPr>
                <w:rFonts w:ascii="Times New Roman" w:eastAsia="Times New Roman" w:hAnsi="Times New Roman"/>
                <w:b/>
                <w:sz w:val="22"/>
                <w:vertAlign w:val="superscript"/>
              </w:rPr>
              <w:t>3</w:t>
            </w:r>
          </w:p>
        </w:tc>
      </w:tr>
      <w:tr w:rsidR="00841BE0" w:rsidRPr="00841BE0" w14:paraId="2A8705F9" w14:textId="77777777" w:rsidTr="00210533">
        <w:trPr>
          <w:trHeight w:val="254"/>
        </w:trPr>
        <w:tc>
          <w:tcPr>
            <w:tcW w:w="1712" w:type="pct"/>
            <w:tcBorders>
              <w:top w:val="single" w:sz="4" w:space="0" w:color="000000"/>
              <w:left w:val="single" w:sz="4" w:space="0" w:color="000000"/>
              <w:bottom w:val="single" w:sz="4" w:space="0" w:color="000000"/>
              <w:right w:val="single" w:sz="4" w:space="0" w:color="000000"/>
            </w:tcBorders>
            <w:hideMark/>
          </w:tcPr>
          <w:p w14:paraId="4D3537A9"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i/>
                <w:sz w:val="22"/>
              </w:rPr>
              <w:t xml:space="preserve">Baseline </w:t>
            </w:r>
            <w:r w:rsidRPr="00841BE0">
              <w:rPr>
                <w:rFonts w:ascii="Times New Roman" w:eastAsia="Times New Roman" w:hAnsi="Times New Roman"/>
                <w:sz w:val="22"/>
              </w:rPr>
              <w:t>(</w:t>
            </w:r>
            <w:proofErr w:type="spellStart"/>
            <w:r w:rsidRPr="00841BE0">
              <w:rPr>
                <w:rFonts w:ascii="Times New Roman" w:eastAsia="Times New Roman" w:hAnsi="Times New Roman"/>
                <w:sz w:val="22"/>
              </w:rPr>
              <w:t>middel</w:t>
            </w:r>
            <w:proofErr w:type="spellEnd"/>
            <w:r w:rsidRPr="00841BE0">
              <w:rPr>
                <w:rFonts w:ascii="Times New Roman" w:eastAsia="Times New Roman" w:hAnsi="Times New Roman"/>
                <w:sz w:val="22"/>
              </w:rPr>
              <w:t>)</w:t>
            </w:r>
          </w:p>
        </w:tc>
        <w:tc>
          <w:tcPr>
            <w:tcW w:w="783" w:type="pct"/>
            <w:tcBorders>
              <w:top w:val="single" w:sz="4" w:space="0" w:color="000000"/>
              <w:left w:val="single" w:sz="4" w:space="0" w:color="000000"/>
              <w:bottom w:val="single" w:sz="4" w:space="0" w:color="000000"/>
              <w:right w:val="single" w:sz="4" w:space="0" w:color="000000"/>
            </w:tcBorders>
            <w:hideMark/>
          </w:tcPr>
          <w:p w14:paraId="0DA522C4"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82,3</w:t>
            </w:r>
          </w:p>
        </w:tc>
        <w:tc>
          <w:tcPr>
            <w:tcW w:w="1252" w:type="pct"/>
            <w:tcBorders>
              <w:top w:val="single" w:sz="4" w:space="0" w:color="000000"/>
              <w:left w:val="single" w:sz="4" w:space="0" w:color="000000"/>
              <w:bottom w:val="single" w:sz="4" w:space="0" w:color="000000"/>
              <w:right w:val="single" w:sz="4" w:space="0" w:color="000000"/>
            </w:tcBorders>
            <w:hideMark/>
          </w:tcPr>
          <w:p w14:paraId="133380EA"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88,4</w:t>
            </w:r>
          </w:p>
        </w:tc>
        <w:tc>
          <w:tcPr>
            <w:tcW w:w="1252" w:type="pct"/>
            <w:tcBorders>
              <w:top w:val="single" w:sz="4" w:space="0" w:color="000000"/>
              <w:left w:val="single" w:sz="4" w:space="0" w:color="000000"/>
              <w:bottom w:val="single" w:sz="4" w:space="0" w:color="000000"/>
              <w:right w:val="single" w:sz="4" w:space="0" w:color="000000"/>
            </w:tcBorders>
            <w:hideMark/>
          </w:tcPr>
          <w:p w14:paraId="39E53DF7"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84,4</w:t>
            </w:r>
          </w:p>
        </w:tc>
      </w:tr>
      <w:tr w:rsidR="00841BE0" w:rsidRPr="00841BE0" w14:paraId="2B3A2AEB" w14:textId="77777777" w:rsidTr="00210533">
        <w:trPr>
          <w:trHeight w:val="253"/>
        </w:trPr>
        <w:tc>
          <w:tcPr>
            <w:tcW w:w="1712" w:type="pct"/>
            <w:tcBorders>
              <w:top w:val="single" w:sz="4" w:space="0" w:color="000000"/>
              <w:left w:val="single" w:sz="4" w:space="0" w:color="000000"/>
              <w:bottom w:val="single" w:sz="4" w:space="0" w:color="000000"/>
              <w:right w:val="single" w:sz="4" w:space="0" w:color="000000"/>
            </w:tcBorders>
            <w:hideMark/>
          </w:tcPr>
          <w:p w14:paraId="18FCE1C0" w14:textId="77777777" w:rsidR="00841BE0" w:rsidRPr="00841BE0" w:rsidRDefault="00841BE0" w:rsidP="00210533">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Ændring</w:t>
            </w:r>
            <w:proofErr w:type="spellEnd"/>
            <w:r w:rsidRPr="00841BE0">
              <w:rPr>
                <w:rFonts w:ascii="Times New Roman" w:eastAsia="Times New Roman" w:hAnsi="Times New Roman"/>
                <w:sz w:val="22"/>
              </w:rPr>
              <w:t xml:space="preserve"> fra </w:t>
            </w:r>
            <w:r w:rsidRPr="00841BE0">
              <w:rPr>
                <w:rFonts w:ascii="Times New Roman" w:eastAsia="Times New Roman" w:hAnsi="Times New Roman"/>
                <w:i/>
                <w:sz w:val="22"/>
              </w:rPr>
              <w:t>baseline</w:t>
            </w:r>
            <w:r w:rsidRPr="00841BE0">
              <w:rPr>
                <w:rFonts w:ascii="Times New Roman" w:eastAsia="Times New Roman" w:hAnsi="Times New Roman"/>
                <w:sz w:val="22"/>
                <w:vertAlign w:val="superscript"/>
              </w:rPr>
              <w:t>1</w:t>
            </w:r>
          </w:p>
        </w:tc>
        <w:tc>
          <w:tcPr>
            <w:tcW w:w="783" w:type="pct"/>
            <w:tcBorders>
              <w:top w:val="single" w:sz="4" w:space="0" w:color="000000"/>
              <w:left w:val="single" w:sz="4" w:space="0" w:color="000000"/>
              <w:bottom w:val="single" w:sz="4" w:space="0" w:color="000000"/>
              <w:right w:val="single" w:sz="4" w:space="0" w:color="000000"/>
            </w:tcBorders>
            <w:hideMark/>
          </w:tcPr>
          <w:p w14:paraId="386D3062"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0,3</w:t>
            </w:r>
          </w:p>
        </w:tc>
        <w:tc>
          <w:tcPr>
            <w:tcW w:w="1252" w:type="pct"/>
            <w:tcBorders>
              <w:top w:val="single" w:sz="4" w:space="0" w:color="000000"/>
              <w:left w:val="single" w:sz="4" w:space="0" w:color="000000"/>
              <w:bottom w:val="single" w:sz="4" w:space="0" w:color="000000"/>
              <w:right w:val="single" w:sz="4" w:space="0" w:color="000000"/>
            </w:tcBorders>
            <w:hideMark/>
          </w:tcPr>
          <w:p w14:paraId="4FE5EAD4"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3,1</w:t>
            </w:r>
          </w:p>
        </w:tc>
        <w:tc>
          <w:tcPr>
            <w:tcW w:w="1252" w:type="pct"/>
            <w:tcBorders>
              <w:top w:val="single" w:sz="4" w:space="0" w:color="000000"/>
              <w:left w:val="single" w:sz="4" w:space="0" w:color="000000"/>
              <w:bottom w:val="single" w:sz="4" w:space="0" w:color="000000"/>
              <w:right w:val="single" w:sz="4" w:space="0" w:color="000000"/>
            </w:tcBorders>
            <w:hideMark/>
          </w:tcPr>
          <w:p w14:paraId="426EAEF1"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2,5</w:t>
            </w:r>
          </w:p>
        </w:tc>
      </w:tr>
      <w:tr w:rsidR="00841BE0" w:rsidRPr="00841BE0" w14:paraId="10A9F1EB" w14:textId="77777777" w:rsidTr="00210533">
        <w:trPr>
          <w:trHeight w:val="506"/>
        </w:trPr>
        <w:tc>
          <w:tcPr>
            <w:tcW w:w="1712" w:type="pct"/>
            <w:tcBorders>
              <w:top w:val="single" w:sz="4" w:space="0" w:color="000000"/>
              <w:left w:val="single" w:sz="4" w:space="0" w:color="000000"/>
              <w:bottom w:val="single" w:sz="4" w:space="0" w:color="000000"/>
              <w:right w:val="single" w:sz="4" w:space="0" w:color="000000"/>
            </w:tcBorders>
            <w:hideMark/>
          </w:tcPr>
          <w:p w14:paraId="718D4B44" w14:textId="77777777" w:rsidR="00841BE0" w:rsidRPr="00841BE0" w:rsidRDefault="00841BE0" w:rsidP="00210533">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Forskel</w:t>
            </w:r>
            <w:proofErr w:type="spellEnd"/>
            <w:r w:rsidRPr="00841BE0">
              <w:rPr>
                <w:rFonts w:ascii="Times New Roman" w:eastAsia="Times New Roman" w:hAnsi="Times New Roman"/>
                <w:sz w:val="22"/>
              </w:rPr>
              <w:t xml:space="preserve"> fra placebo</w:t>
            </w:r>
          </w:p>
          <w:p w14:paraId="548D5DFF"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(95 % CI)</w:t>
            </w:r>
          </w:p>
        </w:tc>
        <w:tc>
          <w:tcPr>
            <w:tcW w:w="783" w:type="pct"/>
            <w:tcBorders>
              <w:top w:val="single" w:sz="4" w:space="0" w:color="000000"/>
              <w:left w:val="single" w:sz="4" w:space="0" w:color="000000"/>
              <w:bottom w:val="single" w:sz="4" w:space="0" w:color="000000"/>
              <w:right w:val="single" w:sz="4" w:space="0" w:color="000000"/>
            </w:tcBorders>
          </w:tcPr>
          <w:p w14:paraId="4E5BE7DD" w14:textId="77777777" w:rsidR="00841BE0" w:rsidRPr="00841BE0" w:rsidRDefault="00841BE0" w:rsidP="00210533">
            <w:pPr>
              <w:widowControl/>
              <w:autoSpaceDE/>
              <w:autoSpaceDN/>
              <w:ind w:left="142"/>
              <w:rPr>
                <w:rFonts w:ascii="Times New Roman" w:eastAsia="Times New Roman" w:hAnsi="Times New Roman"/>
                <w:sz w:val="22"/>
              </w:rPr>
            </w:pPr>
          </w:p>
        </w:tc>
        <w:tc>
          <w:tcPr>
            <w:tcW w:w="1252" w:type="pct"/>
            <w:tcBorders>
              <w:top w:val="single" w:sz="4" w:space="0" w:color="000000"/>
              <w:left w:val="single" w:sz="4" w:space="0" w:color="000000"/>
              <w:bottom w:val="single" w:sz="4" w:space="0" w:color="000000"/>
              <w:right w:val="single" w:sz="4" w:space="0" w:color="000000"/>
            </w:tcBorders>
            <w:hideMark/>
          </w:tcPr>
          <w:p w14:paraId="36DAD62A"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2,8* (</w:t>
            </w:r>
            <w:r w:rsidRPr="00841BE0">
              <w:rPr>
                <w:rFonts w:ascii="Times New Roman" w:eastAsia="Times New Roman" w:hAnsi="Times New Roman"/>
                <w:sz w:val="22"/>
              </w:rPr>
              <w:noBreakHyphen/>
              <w:t>3,5; _2,1)</w:t>
            </w:r>
          </w:p>
        </w:tc>
        <w:tc>
          <w:tcPr>
            <w:tcW w:w="1252" w:type="pct"/>
            <w:tcBorders>
              <w:top w:val="single" w:sz="4" w:space="0" w:color="000000"/>
              <w:left w:val="single" w:sz="4" w:space="0" w:color="000000"/>
              <w:bottom w:val="single" w:sz="4" w:space="0" w:color="000000"/>
              <w:right w:val="single" w:sz="4" w:space="0" w:color="000000"/>
            </w:tcBorders>
            <w:hideMark/>
          </w:tcPr>
          <w:p w14:paraId="0456CAAD"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2,2* (</w:t>
            </w:r>
            <w:r w:rsidRPr="00841BE0">
              <w:rPr>
                <w:rFonts w:ascii="Times New Roman" w:eastAsia="Times New Roman" w:hAnsi="Times New Roman"/>
                <w:sz w:val="22"/>
              </w:rPr>
              <w:noBreakHyphen/>
            </w:r>
            <w:proofErr w:type="gramStart"/>
            <w:r w:rsidRPr="00841BE0">
              <w:rPr>
                <w:rFonts w:ascii="Times New Roman" w:eastAsia="Times New Roman" w:hAnsi="Times New Roman"/>
                <w:sz w:val="22"/>
              </w:rPr>
              <w:t xml:space="preserve">2,9;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1,5)</w:t>
            </w:r>
          </w:p>
        </w:tc>
      </w:tr>
      <w:tr w:rsidR="00841BE0" w:rsidRPr="00841BE0" w14:paraId="5C66B347" w14:textId="77777777" w:rsidTr="00210533">
        <w:trPr>
          <w:trHeight w:val="251"/>
        </w:trPr>
        <w:tc>
          <w:tcPr>
            <w:tcW w:w="1712" w:type="pct"/>
            <w:tcBorders>
              <w:top w:val="single" w:sz="4" w:space="0" w:color="000000"/>
              <w:left w:val="single" w:sz="4" w:space="0" w:color="000000"/>
              <w:bottom w:val="single" w:sz="4" w:space="0" w:color="000000"/>
              <w:right w:val="single" w:sz="4" w:space="0" w:color="000000"/>
            </w:tcBorders>
            <w:hideMark/>
          </w:tcPr>
          <w:p w14:paraId="62B27825"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N</w:t>
            </w:r>
          </w:p>
        </w:tc>
        <w:tc>
          <w:tcPr>
            <w:tcW w:w="783" w:type="pct"/>
            <w:tcBorders>
              <w:top w:val="single" w:sz="4" w:space="0" w:color="000000"/>
              <w:left w:val="single" w:sz="4" w:space="0" w:color="000000"/>
              <w:bottom w:val="single" w:sz="4" w:space="0" w:color="000000"/>
              <w:right w:val="single" w:sz="4" w:space="0" w:color="000000"/>
            </w:tcBorders>
            <w:hideMark/>
          </w:tcPr>
          <w:p w14:paraId="73B810FC"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106</w:t>
            </w:r>
          </w:p>
        </w:tc>
        <w:tc>
          <w:tcPr>
            <w:tcW w:w="1252" w:type="pct"/>
            <w:tcBorders>
              <w:top w:val="single" w:sz="4" w:space="0" w:color="000000"/>
              <w:left w:val="single" w:sz="4" w:space="0" w:color="000000"/>
              <w:bottom w:val="single" w:sz="4" w:space="0" w:color="000000"/>
              <w:right w:val="single" w:sz="4" w:space="0" w:color="000000"/>
            </w:tcBorders>
            <w:hideMark/>
          </w:tcPr>
          <w:p w14:paraId="777082D0"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109</w:t>
            </w:r>
          </w:p>
        </w:tc>
        <w:tc>
          <w:tcPr>
            <w:tcW w:w="1252" w:type="pct"/>
            <w:tcBorders>
              <w:top w:val="single" w:sz="4" w:space="0" w:color="000000"/>
              <w:left w:val="single" w:sz="4" w:space="0" w:color="000000"/>
              <w:bottom w:val="single" w:sz="4" w:space="0" w:color="000000"/>
              <w:right w:val="single" w:sz="4" w:space="0" w:color="000000"/>
            </w:tcBorders>
            <w:hideMark/>
          </w:tcPr>
          <w:p w14:paraId="32575BBA"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110</w:t>
            </w:r>
          </w:p>
        </w:tc>
      </w:tr>
      <w:tr w:rsidR="00841BE0" w:rsidRPr="00841BE0" w14:paraId="5E43C726" w14:textId="77777777" w:rsidTr="00210533">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6AF89A49" w14:textId="77777777" w:rsidR="00841BE0" w:rsidRPr="00841BE0" w:rsidRDefault="00841BE0" w:rsidP="00210533">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SBP (mmHg)</w:t>
            </w:r>
            <w:r w:rsidRPr="00841BE0">
              <w:rPr>
                <w:rFonts w:ascii="Times New Roman" w:eastAsia="Times New Roman" w:hAnsi="Times New Roman"/>
                <w:b/>
                <w:sz w:val="22"/>
                <w:vertAlign w:val="superscript"/>
              </w:rPr>
              <w:t>4</w:t>
            </w:r>
          </w:p>
        </w:tc>
      </w:tr>
      <w:tr w:rsidR="00841BE0" w:rsidRPr="00841BE0" w14:paraId="03136014" w14:textId="77777777" w:rsidTr="00210533">
        <w:trPr>
          <w:trHeight w:val="251"/>
        </w:trPr>
        <w:tc>
          <w:tcPr>
            <w:tcW w:w="1712" w:type="pct"/>
            <w:tcBorders>
              <w:top w:val="single" w:sz="4" w:space="0" w:color="000000"/>
              <w:left w:val="single" w:sz="4" w:space="0" w:color="000000"/>
              <w:bottom w:val="single" w:sz="4" w:space="0" w:color="000000"/>
              <w:right w:val="single" w:sz="4" w:space="0" w:color="000000"/>
            </w:tcBorders>
            <w:hideMark/>
          </w:tcPr>
          <w:p w14:paraId="693BD48B"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i/>
                <w:sz w:val="22"/>
              </w:rPr>
              <w:t xml:space="preserve">Baseline </w:t>
            </w:r>
            <w:r w:rsidRPr="00841BE0">
              <w:rPr>
                <w:rFonts w:ascii="Times New Roman" w:eastAsia="Times New Roman" w:hAnsi="Times New Roman"/>
                <w:sz w:val="22"/>
              </w:rPr>
              <w:t>(</w:t>
            </w:r>
            <w:proofErr w:type="spellStart"/>
            <w:r w:rsidRPr="00841BE0">
              <w:rPr>
                <w:rFonts w:ascii="Times New Roman" w:eastAsia="Times New Roman" w:hAnsi="Times New Roman"/>
                <w:sz w:val="22"/>
              </w:rPr>
              <w:t>middel</w:t>
            </w:r>
            <w:proofErr w:type="spellEnd"/>
            <w:r w:rsidRPr="00841BE0">
              <w:rPr>
                <w:rFonts w:ascii="Times New Roman" w:eastAsia="Times New Roman" w:hAnsi="Times New Roman"/>
                <w:sz w:val="22"/>
              </w:rPr>
              <w:t>)</w:t>
            </w:r>
          </w:p>
        </w:tc>
        <w:tc>
          <w:tcPr>
            <w:tcW w:w="783" w:type="pct"/>
            <w:tcBorders>
              <w:top w:val="single" w:sz="4" w:space="0" w:color="000000"/>
              <w:left w:val="single" w:sz="4" w:space="0" w:color="000000"/>
              <w:bottom w:val="single" w:sz="4" w:space="0" w:color="000000"/>
              <w:right w:val="single" w:sz="4" w:space="0" w:color="000000"/>
            </w:tcBorders>
            <w:hideMark/>
          </w:tcPr>
          <w:p w14:paraId="3755CD3C"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130,1</w:t>
            </w:r>
          </w:p>
        </w:tc>
        <w:tc>
          <w:tcPr>
            <w:tcW w:w="1252" w:type="pct"/>
            <w:tcBorders>
              <w:top w:val="single" w:sz="4" w:space="0" w:color="000000"/>
              <w:left w:val="single" w:sz="4" w:space="0" w:color="000000"/>
              <w:bottom w:val="single" w:sz="4" w:space="0" w:color="000000"/>
              <w:right w:val="single" w:sz="4" w:space="0" w:color="000000"/>
            </w:tcBorders>
            <w:hideMark/>
          </w:tcPr>
          <w:p w14:paraId="71AF507C"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130,4</w:t>
            </w:r>
          </w:p>
        </w:tc>
        <w:tc>
          <w:tcPr>
            <w:tcW w:w="1252" w:type="pct"/>
            <w:tcBorders>
              <w:top w:val="single" w:sz="4" w:space="0" w:color="000000"/>
              <w:left w:val="single" w:sz="4" w:space="0" w:color="000000"/>
              <w:bottom w:val="single" w:sz="4" w:space="0" w:color="000000"/>
              <w:right w:val="single" w:sz="4" w:space="0" w:color="000000"/>
            </w:tcBorders>
            <w:hideMark/>
          </w:tcPr>
          <w:p w14:paraId="6DAF8F25"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131,0</w:t>
            </w:r>
          </w:p>
        </w:tc>
      </w:tr>
      <w:tr w:rsidR="00841BE0" w:rsidRPr="00841BE0" w14:paraId="62A691CE" w14:textId="77777777" w:rsidTr="00210533">
        <w:trPr>
          <w:trHeight w:val="253"/>
        </w:trPr>
        <w:tc>
          <w:tcPr>
            <w:tcW w:w="1712" w:type="pct"/>
            <w:tcBorders>
              <w:top w:val="single" w:sz="4" w:space="0" w:color="000000"/>
              <w:left w:val="single" w:sz="4" w:space="0" w:color="000000"/>
              <w:bottom w:val="single" w:sz="4" w:space="0" w:color="000000"/>
              <w:right w:val="single" w:sz="4" w:space="0" w:color="000000"/>
            </w:tcBorders>
            <w:hideMark/>
          </w:tcPr>
          <w:p w14:paraId="19598675" w14:textId="77777777" w:rsidR="00841BE0" w:rsidRPr="00841BE0" w:rsidRDefault="00841BE0" w:rsidP="00210533">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Ændring</w:t>
            </w:r>
            <w:proofErr w:type="spellEnd"/>
            <w:r w:rsidRPr="00841BE0">
              <w:rPr>
                <w:rFonts w:ascii="Times New Roman" w:eastAsia="Times New Roman" w:hAnsi="Times New Roman"/>
                <w:sz w:val="22"/>
              </w:rPr>
              <w:t xml:space="preserve"> fra </w:t>
            </w:r>
            <w:r w:rsidRPr="00841BE0">
              <w:rPr>
                <w:rFonts w:ascii="Times New Roman" w:eastAsia="Times New Roman" w:hAnsi="Times New Roman"/>
                <w:i/>
                <w:sz w:val="22"/>
              </w:rPr>
              <w:t>baseline</w:t>
            </w:r>
            <w:r w:rsidRPr="00841BE0">
              <w:rPr>
                <w:rFonts w:ascii="Times New Roman" w:eastAsia="Times New Roman" w:hAnsi="Times New Roman"/>
                <w:sz w:val="22"/>
                <w:vertAlign w:val="superscript"/>
              </w:rPr>
              <w:t>1</w:t>
            </w:r>
          </w:p>
        </w:tc>
        <w:tc>
          <w:tcPr>
            <w:tcW w:w="783" w:type="pct"/>
            <w:tcBorders>
              <w:top w:val="single" w:sz="4" w:space="0" w:color="000000"/>
              <w:left w:val="single" w:sz="4" w:space="0" w:color="000000"/>
              <w:bottom w:val="single" w:sz="4" w:space="0" w:color="000000"/>
              <w:right w:val="single" w:sz="4" w:space="0" w:color="000000"/>
            </w:tcBorders>
            <w:hideMark/>
          </w:tcPr>
          <w:p w14:paraId="1A87E9E9"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1,7</w:t>
            </w:r>
          </w:p>
        </w:tc>
        <w:tc>
          <w:tcPr>
            <w:tcW w:w="1252" w:type="pct"/>
            <w:tcBorders>
              <w:top w:val="single" w:sz="4" w:space="0" w:color="000000"/>
              <w:left w:val="single" w:sz="4" w:space="0" w:color="000000"/>
              <w:bottom w:val="single" w:sz="4" w:space="0" w:color="000000"/>
              <w:right w:val="single" w:sz="4" w:space="0" w:color="000000"/>
            </w:tcBorders>
            <w:hideMark/>
          </w:tcPr>
          <w:p w14:paraId="6B254AFC"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3,0</w:t>
            </w:r>
          </w:p>
        </w:tc>
        <w:tc>
          <w:tcPr>
            <w:tcW w:w="1252" w:type="pct"/>
            <w:tcBorders>
              <w:top w:val="single" w:sz="4" w:space="0" w:color="000000"/>
              <w:left w:val="single" w:sz="4" w:space="0" w:color="000000"/>
              <w:bottom w:val="single" w:sz="4" w:space="0" w:color="000000"/>
              <w:right w:val="single" w:sz="4" w:space="0" w:color="000000"/>
            </w:tcBorders>
            <w:hideMark/>
          </w:tcPr>
          <w:p w14:paraId="10BAA05C"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4,3</w:t>
            </w:r>
          </w:p>
        </w:tc>
      </w:tr>
      <w:tr w:rsidR="00841BE0" w:rsidRPr="00841BE0" w14:paraId="511223FF" w14:textId="77777777" w:rsidTr="00210533">
        <w:trPr>
          <w:trHeight w:val="506"/>
        </w:trPr>
        <w:tc>
          <w:tcPr>
            <w:tcW w:w="1712" w:type="pct"/>
            <w:tcBorders>
              <w:top w:val="single" w:sz="4" w:space="0" w:color="000000"/>
              <w:left w:val="single" w:sz="4" w:space="0" w:color="000000"/>
              <w:bottom w:val="single" w:sz="4" w:space="0" w:color="000000"/>
              <w:right w:val="single" w:sz="4" w:space="0" w:color="000000"/>
            </w:tcBorders>
            <w:hideMark/>
          </w:tcPr>
          <w:p w14:paraId="2B34885E" w14:textId="77777777" w:rsidR="00841BE0" w:rsidRPr="00841BE0" w:rsidRDefault="00841BE0" w:rsidP="00210533">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Forskel</w:t>
            </w:r>
            <w:proofErr w:type="spellEnd"/>
            <w:r w:rsidRPr="00841BE0">
              <w:rPr>
                <w:rFonts w:ascii="Times New Roman" w:eastAsia="Times New Roman" w:hAnsi="Times New Roman"/>
                <w:sz w:val="22"/>
              </w:rPr>
              <w:t xml:space="preserve"> fra placebo</w:t>
            </w:r>
          </w:p>
          <w:p w14:paraId="196053A5" w14:textId="77777777" w:rsidR="00841BE0" w:rsidRPr="00841BE0" w:rsidRDefault="00841BE0" w:rsidP="00210533">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(95 % CI)</w:t>
            </w:r>
          </w:p>
        </w:tc>
        <w:tc>
          <w:tcPr>
            <w:tcW w:w="783" w:type="pct"/>
            <w:tcBorders>
              <w:top w:val="single" w:sz="4" w:space="0" w:color="000000"/>
              <w:left w:val="single" w:sz="4" w:space="0" w:color="000000"/>
              <w:bottom w:val="single" w:sz="4" w:space="0" w:color="000000"/>
              <w:right w:val="single" w:sz="4" w:space="0" w:color="000000"/>
            </w:tcBorders>
          </w:tcPr>
          <w:p w14:paraId="1F759E16" w14:textId="77777777" w:rsidR="00841BE0" w:rsidRPr="00841BE0" w:rsidRDefault="00841BE0" w:rsidP="00210533">
            <w:pPr>
              <w:widowControl/>
              <w:autoSpaceDE/>
              <w:autoSpaceDN/>
              <w:ind w:left="142"/>
              <w:rPr>
                <w:rFonts w:ascii="Times New Roman" w:eastAsia="Times New Roman" w:hAnsi="Times New Roman"/>
                <w:sz w:val="22"/>
              </w:rPr>
            </w:pPr>
          </w:p>
        </w:tc>
        <w:tc>
          <w:tcPr>
            <w:tcW w:w="1252" w:type="pct"/>
            <w:tcBorders>
              <w:top w:val="single" w:sz="4" w:space="0" w:color="000000"/>
              <w:left w:val="single" w:sz="4" w:space="0" w:color="000000"/>
              <w:bottom w:val="single" w:sz="4" w:space="0" w:color="000000"/>
              <w:right w:val="single" w:sz="4" w:space="0" w:color="000000"/>
            </w:tcBorders>
            <w:hideMark/>
          </w:tcPr>
          <w:p w14:paraId="7E3E6DDB" w14:textId="77777777" w:rsidR="00841BE0" w:rsidRPr="00841BE0" w:rsidRDefault="00841BE0" w:rsidP="00210533">
            <w:pPr>
              <w:widowControl/>
              <w:autoSpaceDE/>
              <w:autoSpaceDN/>
              <w:ind w:left="142"/>
              <w:rPr>
                <w:rFonts w:ascii="Times New Roman" w:eastAsia="Times New Roman" w:hAnsi="Times New Roman"/>
                <w:sz w:val="22"/>
              </w:rPr>
            </w:pPr>
            <w:proofErr w:type="gramStart"/>
            <w:r w:rsidRPr="00841BE0">
              <w:rPr>
                <w:rFonts w:ascii="Times New Roman" w:eastAsia="Times New Roman" w:hAnsi="Times New Roman"/>
                <w:sz w:val="22"/>
              </w:rPr>
              <w:noBreakHyphen/>
              <w:t>1,3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4,2; 1,7)</w:t>
            </w:r>
          </w:p>
        </w:tc>
        <w:tc>
          <w:tcPr>
            <w:tcW w:w="1252" w:type="pct"/>
            <w:tcBorders>
              <w:top w:val="single" w:sz="4" w:space="0" w:color="000000"/>
              <w:left w:val="single" w:sz="4" w:space="0" w:color="000000"/>
              <w:bottom w:val="single" w:sz="4" w:space="0" w:color="000000"/>
              <w:right w:val="single" w:sz="4" w:space="0" w:color="000000"/>
            </w:tcBorders>
            <w:hideMark/>
          </w:tcPr>
          <w:p w14:paraId="3C096FC8" w14:textId="77777777" w:rsidR="00841BE0" w:rsidRPr="00841BE0" w:rsidRDefault="00841BE0" w:rsidP="00210533">
            <w:pPr>
              <w:widowControl/>
              <w:autoSpaceDE/>
              <w:autoSpaceDN/>
              <w:ind w:left="142"/>
              <w:rPr>
                <w:rFonts w:ascii="Times New Roman" w:eastAsia="Times New Roman" w:hAnsi="Times New Roman"/>
                <w:sz w:val="22"/>
              </w:rPr>
            </w:pPr>
            <w:proofErr w:type="gramStart"/>
            <w:r w:rsidRPr="00841BE0">
              <w:rPr>
                <w:rFonts w:ascii="Times New Roman" w:eastAsia="Times New Roman" w:hAnsi="Times New Roman"/>
                <w:sz w:val="22"/>
              </w:rPr>
              <w:noBreakHyphen/>
              <w:t>2,6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5,5; 0,4)</w:t>
            </w:r>
          </w:p>
        </w:tc>
      </w:tr>
    </w:tbl>
    <w:p w14:paraId="3FFBCD65" w14:textId="586FE376" w:rsidR="00841BE0" w:rsidRPr="00841BE0" w:rsidRDefault="00841BE0" w:rsidP="00210533">
      <w:pPr>
        <w:ind w:left="284" w:hanging="284"/>
        <w:rPr>
          <w:sz w:val="24"/>
          <w:szCs w:val="24"/>
        </w:rPr>
      </w:pPr>
      <w:r w:rsidRPr="00841BE0">
        <w:rPr>
          <w:sz w:val="24"/>
          <w:szCs w:val="24"/>
          <w:vertAlign w:val="superscript"/>
        </w:rPr>
        <w:t>1</w:t>
      </w:r>
      <w:r w:rsidRPr="00841BE0">
        <w:rPr>
          <w:sz w:val="24"/>
          <w:szCs w:val="24"/>
        </w:rPr>
        <w:t xml:space="preserve"> </w:t>
      </w:r>
      <w:r w:rsidR="00210533" w:rsidRPr="003D3B2F">
        <w:rPr>
          <w:sz w:val="24"/>
          <w:szCs w:val="24"/>
        </w:rPr>
        <w:tab/>
      </w:r>
      <w:r w:rsidRPr="00841BE0">
        <w:rPr>
          <w:sz w:val="24"/>
          <w:szCs w:val="24"/>
        </w:rPr>
        <w:t xml:space="preserve">Middelværdi justeret for </w:t>
      </w:r>
      <w:r w:rsidRPr="00841BE0">
        <w:rPr>
          <w:i/>
          <w:iCs/>
          <w:sz w:val="24"/>
          <w:szCs w:val="24"/>
        </w:rPr>
        <w:t>baseline</w:t>
      </w:r>
      <w:r w:rsidRPr="00841BE0">
        <w:rPr>
          <w:sz w:val="24"/>
          <w:szCs w:val="24"/>
        </w:rPr>
        <w:t>-værdi.</w:t>
      </w:r>
    </w:p>
    <w:p w14:paraId="3A037AC7" w14:textId="57760D44" w:rsidR="00841BE0" w:rsidRPr="00841BE0" w:rsidRDefault="00841BE0" w:rsidP="00210533">
      <w:pPr>
        <w:ind w:left="284" w:hanging="284"/>
        <w:rPr>
          <w:sz w:val="24"/>
          <w:szCs w:val="24"/>
        </w:rPr>
      </w:pPr>
      <w:r w:rsidRPr="00841BE0">
        <w:rPr>
          <w:sz w:val="24"/>
          <w:szCs w:val="24"/>
          <w:vertAlign w:val="superscript"/>
        </w:rPr>
        <w:t>2</w:t>
      </w:r>
      <w:r w:rsidRPr="00841BE0">
        <w:rPr>
          <w:sz w:val="24"/>
          <w:szCs w:val="24"/>
        </w:rPr>
        <w:t xml:space="preserve"> </w:t>
      </w:r>
      <w:r w:rsidR="00210533" w:rsidRPr="003D3B2F">
        <w:rPr>
          <w:sz w:val="24"/>
          <w:szCs w:val="24"/>
        </w:rPr>
        <w:tab/>
      </w:r>
      <w:r w:rsidRPr="00841BE0">
        <w:rPr>
          <w:sz w:val="24"/>
          <w:szCs w:val="24"/>
        </w:rPr>
        <w:t>Ikke vurderet mht. statistisk signifikans; ikke en del af den sekventielle testprocedure for de sekundære endepunkter.</w:t>
      </w:r>
    </w:p>
    <w:p w14:paraId="3289EB07" w14:textId="66E7DD04" w:rsidR="00841BE0" w:rsidRPr="00841BE0" w:rsidRDefault="00841BE0" w:rsidP="00210533">
      <w:pPr>
        <w:ind w:left="284" w:hanging="284"/>
        <w:rPr>
          <w:sz w:val="24"/>
          <w:szCs w:val="24"/>
        </w:rPr>
      </w:pPr>
      <w:r w:rsidRPr="00841BE0">
        <w:rPr>
          <w:sz w:val="24"/>
          <w:szCs w:val="24"/>
          <w:vertAlign w:val="superscript"/>
        </w:rPr>
        <w:t>3</w:t>
      </w:r>
      <w:r w:rsidRPr="00841BE0">
        <w:rPr>
          <w:sz w:val="24"/>
          <w:szCs w:val="24"/>
        </w:rPr>
        <w:t xml:space="preserve"> </w:t>
      </w:r>
      <w:r w:rsidR="00210533" w:rsidRPr="003D3B2F">
        <w:rPr>
          <w:sz w:val="24"/>
          <w:szCs w:val="24"/>
        </w:rPr>
        <w:tab/>
      </w:r>
      <w:r w:rsidRPr="00841BE0">
        <w:rPr>
          <w:sz w:val="24"/>
          <w:szCs w:val="24"/>
        </w:rPr>
        <w:t xml:space="preserve">MMRM-modellen på FAS (OC) omfattede interaktion mellem </w:t>
      </w:r>
      <w:r w:rsidRPr="00841BE0">
        <w:rPr>
          <w:i/>
          <w:iCs/>
          <w:sz w:val="24"/>
          <w:szCs w:val="24"/>
        </w:rPr>
        <w:t>baseline</w:t>
      </w:r>
      <w:r w:rsidRPr="00841BE0">
        <w:rPr>
          <w:sz w:val="24"/>
          <w:szCs w:val="24"/>
        </w:rPr>
        <w:t xml:space="preserve">-HbA1c, </w:t>
      </w:r>
      <w:r w:rsidRPr="00841BE0">
        <w:rPr>
          <w:i/>
          <w:iCs/>
          <w:sz w:val="24"/>
          <w:szCs w:val="24"/>
        </w:rPr>
        <w:t>baseline</w:t>
      </w:r>
      <w:r w:rsidRPr="00841BE0">
        <w:rPr>
          <w:sz w:val="24"/>
          <w:szCs w:val="24"/>
        </w:rPr>
        <w:t>-</w:t>
      </w:r>
      <w:proofErr w:type="spellStart"/>
      <w:r w:rsidRPr="00841BE0">
        <w:rPr>
          <w:sz w:val="24"/>
          <w:szCs w:val="24"/>
        </w:rPr>
        <w:t>eGFR</w:t>
      </w:r>
      <w:proofErr w:type="spellEnd"/>
      <w:r w:rsidRPr="00841BE0">
        <w:rPr>
          <w:sz w:val="24"/>
          <w:szCs w:val="24"/>
        </w:rPr>
        <w:t xml:space="preserve"> (MRDR), geografisk område, besøg, behandling og behandling ved besøg. For så vidt angår vægt, blev </w:t>
      </w:r>
      <w:r w:rsidRPr="00841BE0">
        <w:rPr>
          <w:i/>
          <w:iCs/>
          <w:sz w:val="24"/>
          <w:szCs w:val="24"/>
        </w:rPr>
        <w:t>baseline</w:t>
      </w:r>
      <w:r w:rsidRPr="00841BE0">
        <w:rPr>
          <w:sz w:val="24"/>
          <w:szCs w:val="24"/>
        </w:rPr>
        <w:t>-vægten inkluderet.</w:t>
      </w:r>
    </w:p>
    <w:p w14:paraId="700A3100" w14:textId="6816D132" w:rsidR="00841BE0" w:rsidRPr="00841BE0" w:rsidRDefault="00841BE0" w:rsidP="00210533">
      <w:pPr>
        <w:ind w:left="284" w:hanging="284"/>
        <w:rPr>
          <w:sz w:val="24"/>
          <w:szCs w:val="24"/>
        </w:rPr>
      </w:pPr>
      <w:r w:rsidRPr="00841BE0">
        <w:rPr>
          <w:sz w:val="24"/>
          <w:szCs w:val="24"/>
          <w:vertAlign w:val="superscript"/>
        </w:rPr>
        <w:t>4</w:t>
      </w:r>
      <w:r w:rsidRPr="00841BE0">
        <w:rPr>
          <w:sz w:val="24"/>
          <w:szCs w:val="24"/>
        </w:rPr>
        <w:t xml:space="preserve"> </w:t>
      </w:r>
      <w:r w:rsidR="00210533" w:rsidRPr="003D3B2F">
        <w:rPr>
          <w:sz w:val="24"/>
          <w:szCs w:val="24"/>
        </w:rPr>
        <w:tab/>
      </w:r>
      <w:r w:rsidRPr="00841BE0">
        <w:rPr>
          <w:sz w:val="24"/>
          <w:szCs w:val="24"/>
        </w:rPr>
        <w:t xml:space="preserve">MMRM-modellen omfattede </w:t>
      </w:r>
      <w:r w:rsidRPr="00841BE0">
        <w:rPr>
          <w:i/>
          <w:iCs/>
          <w:sz w:val="24"/>
          <w:szCs w:val="24"/>
        </w:rPr>
        <w:t>baseline</w:t>
      </w:r>
      <w:r w:rsidRPr="00841BE0">
        <w:rPr>
          <w:sz w:val="24"/>
          <w:szCs w:val="24"/>
        </w:rPr>
        <w:t xml:space="preserve">-SBP og </w:t>
      </w:r>
      <w:r w:rsidRPr="00841BE0">
        <w:rPr>
          <w:i/>
          <w:iCs/>
          <w:sz w:val="24"/>
          <w:szCs w:val="24"/>
        </w:rPr>
        <w:t>baseline</w:t>
      </w:r>
      <w:r w:rsidRPr="00841BE0">
        <w:rPr>
          <w:sz w:val="24"/>
          <w:szCs w:val="24"/>
        </w:rPr>
        <w:t xml:space="preserve">-HbA1c som lineære </w:t>
      </w:r>
      <w:proofErr w:type="spellStart"/>
      <w:r w:rsidRPr="00841BE0">
        <w:rPr>
          <w:sz w:val="24"/>
          <w:szCs w:val="24"/>
        </w:rPr>
        <w:t>kovariater</w:t>
      </w:r>
      <w:proofErr w:type="spellEnd"/>
      <w:r w:rsidRPr="00841BE0">
        <w:rPr>
          <w:sz w:val="24"/>
          <w:szCs w:val="24"/>
        </w:rPr>
        <w:t xml:space="preserve"> og interaktion mellem </w:t>
      </w:r>
      <w:r w:rsidRPr="00841BE0">
        <w:rPr>
          <w:i/>
          <w:iCs/>
          <w:sz w:val="24"/>
          <w:szCs w:val="24"/>
        </w:rPr>
        <w:t>baseline</w:t>
      </w:r>
      <w:r w:rsidRPr="00841BE0">
        <w:rPr>
          <w:sz w:val="24"/>
          <w:szCs w:val="24"/>
        </w:rPr>
        <w:t>-</w:t>
      </w:r>
      <w:proofErr w:type="spellStart"/>
      <w:r w:rsidRPr="00841BE0">
        <w:rPr>
          <w:sz w:val="24"/>
          <w:szCs w:val="24"/>
        </w:rPr>
        <w:t>eGFR</w:t>
      </w:r>
      <w:proofErr w:type="spellEnd"/>
      <w:r w:rsidRPr="00841BE0">
        <w:rPr>
          <w:sz w:val="24"/>
          <w:szCs w:val="24"/>
        </w:rPr>
        <w:t>, geografisk område, behandling, besøg og behandling ved besøg som faste effekter.</w:t>
      </w:r>
    </w:p>
    <w:p w14:paraId="5206B573" w14:textId="4E6456D6" w:rsidR="00841BE0" w:rsidRPr="00841BE0" w:rsidRDefault="00841BE0" w:rsidP="00210533">
      <w:pPr>
        <w:ind w:left="284" w:hanging="284"/>
        <w:rPr>
          <w:sz w:val="24"/>
          <w:szCs w:val="24"/>
        </w:rPr>
      </w:pPr>
      <w:r w:rsidRPr="00841BE0">
        <w:rPr>
          <w:sz w:val="24"/>
          <w:szCs w:val="24"/>
          <w:vertAlign w:val="superscript"/>
        </w:rPr>
        <w:t>5</w:t>
      </w:r>
      <w:r w:rsidRPr="00841BE0">
        <w:rPr>
          <w:sz w:val="24"/>
          <w:szCs w:val="24"/>
        </w:rPr>
        <w:t xml:space="preserve"> </w:t>
      </w:r>
      <w:r w:rsidR="00210533" w:rsidRPr="003D3B2F">
        <w:rPr>
          <w:sz w:val="24"/>
          <w:szCs w:val="24"/>
        </w:rPr>
        <w:tab/>
      </w:r>
      <w:r w:rsidRPr="00841BE0">
        <w:rPr>
          <w:sz w:val="24"/>
          <w:szCs w:val="24"/>
        </w:rPr>
        <w:t>De patienter, der blev randomiseret til placebogruppen, fik placebo + </w:t>
      </w:r>
      <w:proofErr w:type="spellStart"/>
      <w:r w:rsidRPr="00841BE0">
        <w:rPr>
          <w:sz w:val="24"/>
          <w:szCs w:val="24"/>
        </w:rPr>
        <w:t>linagliptin</w:t>
      </w:r>
      <w:proofErr w:type="spellEnd"/>
      <w:r w:rsidRPr="00841BE0">
        <w:rPr>
          <w:sz w:val="24"/>
          <w:szCs w:val="24"/>
        </w:rPr>
        <w:t xml:space="preserve"> 5 mg med </w:t>
      </w:r>
      <w:proofErr w:type="spellStart"/>
      <w:r w:rsidRPr="00841BE0">
        <w:rPr>
          <w:sz w:val="24"/>
          <w:szCs w:val="24"/>
        </w:rPr>
        <w:t>metformin</w:t>
      </w:r>
      <w:proofErr w:type="spellEnd"/>
      <w:r w:rsidRPr="00841BE0">
        <w:rPr>
          <w:sz w:val="24"/>
          <w:szCs w:val="24"/>
        </w:rPr>
        <w:t xml:space="preserve"> som baggrundsbehandling.</w:t>
      </w:r>
    </w:p>
    <w:p w14:paraId="666BDEB5" w14:textId="7A642A41" w:rsidR="00841BE0" w:rsidRPr="00841BE0" w:rsidRDefault="00841BE0" w:rsidP="00210533">
      <w:pPr>
        <w:ind w:left="284" w:hanging="284"/>
        <w:rPr>
          <w:sz w:val="24"/>
          <w:szCs w:val="24"/>
        </w:rPr>
      </w:pPr>
      <w:r w:rsidRPr="00841BE0">
        <w:rPr>
          <w:sz w:val="24"/>
          <w:szCs w:val="24"/>
          <w:vertAlign w:val="superscript"/>
        </w:rPr>
        <w:t>6</w:t>
      </w:r>
      <w:r w:rsidRPr="00841BE0">
        <w:rPr>
          <w:sz w:val="24"/>
          <w:szCs w:val="24"/>
        </w:rPr>
        <w:t xml:space="preserve"> </w:t>
      </w:r>
      <w:r w:rsidR="00210533" w:rsidRPr="003D3B2F">
        <w:rPr>
          <w:sz w:val="24"/>
          <w:szCs w:val="24"/>
        </w:rPr>
        <w:tab/>
      </w:r>
      <w:r w:rsidRPr="00841BE0">
        <w:rPr>
          <w:sz w:val="24"/>
          <w:szCs w:val="24"/>
        </w:rPr>
        <w:t xml:space="preserve">De patienter, der blev randomiseret til </w:t>
      </w:r>
      <w:proofErr w:type="spellStart"/>
      <w:r w:rsidRPr="00841BE0">
        <w:rPr>
          <w:sz w:val="24"/>
          <w:szCs w:val="24"/>
        </w:rPr>
        <w:t>empagliflozin</w:t>
      </w:r>
      <w:proofErr w:type="spellEnd"/>
      <w:r w:rsidRPr="00841BE0">
        <w:rPr>
          <w:sz w:val="24"/>
          <w:szCs w:val="24"/>
        </w:rPr>
        <w:t xml:space="preserve"> 10 mg</w:t>
      </w:r>
      <w:r w:rsidRPr="00841BE0">
        <w:rPr>
          <w:sz w:val="24"/>
          <w:szCs w:val="24"/>
        </w:rPr>
        <w:noBreakHyphen/>
        <w:t xml:space="preserve"> eller 25 mg-grupperne, fik </w:t>
      </w:r>
      <w:proofErr w:type="spellStart"/>
      <w:r w:rsidRPr="00841BE0">
        <w:rPr>
          <w:sz w:val="24"/>
          <w:szCs w:val="24"/>
        </w:rPr>
        <w:t>empagliflozin</w:t>
      </w:r>
      <w:proofErr w:type="spellEnd"/>
      <w:r w:rsidRPr="00841BE0">
        <w:rPr>
          <w:sz w:val="24"/>
          <w:szCs w:val="24"/>
        </w:rPr>
        <w:t xml:space="preserve"> 10 mg eller 25 mg samt </w:t>
      </w:r>
      <w:proofErr w:type="spellStart"/>
      <w:r w:rsidRPr="00841BE0">
        <w:rPr>
          <w:sz w:val="24"/>
          <w:szCs w:val="24"/>
        </w:rPr>
        <w:t>linagliptin</w:t>
      </w:r>
      <w:proofErr w:type="spellEnd"/>
      <w:r w:rsidRPr="00841BE0">
        <w:rPr>
          <w:sz w:val="24"/>
          <w:szCs w:val="24"/>
        </w:rPr>
        <w:t xml:space="preserve"> 5 mg med </w:t>
      </w:r>
      <w:proofErr w:type="spellStart"/>
      <w:r w:rsidRPr="00841BE0">
        <w:rPr>
          <w:sz w:val="24"/>
          <w:szCs w:val="24"/>
        </w:rPr>
        <w:t>metformin</w:t>
      </w:r>
      <w:proofErr w:type="spellEnd"/>
      <w:r w:rsidRPr="00841BE0">
        <w:rPr>
          <w:sz w:val="24"/>
          <w:szCs w:val="24"/>
        </w:rPr>
        <w:t xml:space="preserve"> som baggrundsbehandling.</w:t>
      </w:r>
    </w:p>
    <w:p w14:paraId="534BAF1A" w14:textId="6FB5E9A2" w:rsidR="00841BE0" w:rsidRPr="00841BE0" w:rsidRDefault="00841BE0" w:rsidP="00210533">
      <w:pPr>
        <w:ind w:left="284" w:hanging="284"/>
        <w:rPr>
          <w:sz w:val="24"/>
          <w:szCs w:val="24"/>
        </w:rPr>
      </w:pPr>
      <w:r w:rsidRPr="00841BE0">
        <w:rPr>
          <w:sz w:val="24"/>
          <w:szCs w:val="24"/>
        </w:rPr>
        <w:t xml:space="preserve">* </w:t>
      </w:r>
      <w:r w:rsidR="00210533" w:rsidRPr="003D3B2F">
        <w:rPr>
          <w:sz w:val="24"/>
          <w:szCs w:val="24"/>
        </w:rPr>
        <w:tab/>
      </w:r>
      <w:proofErr w:type="spellStart"/>
      <w:r w:rsidRPr="00841BE0">
        <w:rPr>
          <w:sz w:val="24"/>
          <w:szCs w:val="24"/>
        </w:rPr>
        <w:t>p-værdi</w:t>
      </w:r>
      <w:proofErr w:type="spellEnd"/>
      <w:r w:rsidRPr="00841BE0">
        <w:rPr>
          <w:sz w:val="24"/>
          <w:szCs w:val="24"/>
        </w:rPr>
        <w:t xml:space="preserve"> &lt; 0,0001.</w:t>
      </w:r>
    </w:p>
    <w:p w14:paraId="1989611F" w14:textId="77777777" w:rsidR="00841BE0" w:rsidRPr="00841BE0" w:rsidRDefault="00841BE0" w:rsidP="00841BE0">
      <w:pPr>
        <w:tabs>
          <w:tab w:val="left" w:pos="851"/>
        </w:tabs>
        <w:ind w:left="851"/>
        <w:rPr>
          <w:sz w:val="24"/>
          <w:szCs w:val="24"/>
        </w:rPr>
      </w:pPr>
    </w:p>
    <w:p w14:paraId="465FB296" w14:textId="77777777" w:rsidR="00841BE0" w:rsidRPr="00841BE0" w:rsidRDefault="00841BE0" w:rsidP="00210533">
      <w:pPr>
        <w:ind w:left="851"/>
        <w:rPr>
          <w:sz w:val="24"/>
          <w:szCs w:val="24"/>
        </w:rPr>
      </w:pPr>
      <w:r w:rsidRPr="00841BE0">
        <w:rPr>
          <w:sz w:val="24"/>
          <w:szCs w:val="24"/>
        </w:rPr>
        <w:t xml:space="preserve">I en prædefineret undergruppe af patienter med </w:t>
      </w:r>
      <w:r w:rsidRPr="00841BE0">
        <w:rPr>
          <w:i/>
          <w:iCs/>
          <w:sz w:val="24"/>
          <w:szCs w:val="24"/>
        </w:rPr>
        <w:t>baseline</w:t>
      </w:r>
      <w:r w:rsidRPr="00841BE0">
        <w:rPr>
          <w:sz w:val="24"/>
          <w:szCs w:val="24"/>
        </w:rPr>
        <w:t xml:space="preserve">-HbA1c ≥ 8,5 % var reduktionen i forhold til </w:t>
      </w:r>
      <w:r w:rsidRPr="00841BE0">
        <w:rPr>
          <w:i/>
          <w:iCs/>
          <w:sz w:val="24"/>
          <w:szCs w:val="24"/>
        </w:rPr>
        <w:t>baseline</w:t>
      </w:r>
      <w:r w:rsidRPr="00841BE0">
        <w:rPr>
          <w:sz w:val="24"/>
          <w:szCs w:val="24"/>
        </w:rPr>
        <w:t xml:space="preserve"> </w:t>
      </w:r>
      <w:r w:rsidRPr="00841BE0">
        <w:rPr>
          <w:sz w:val="24"/>
          <w:szCs w:val="24"/>
        </w:rPr>
        <w:noBreakHyphen/>
        <w:t xml:space="preserve">1,3 % med </w:t>
      </w:r>
      <w:proofErr w:type="spellStart"/>
      <w:r w:rsidRPr="00841BE0">
        <w:rPr>
          <w:sz w:val="24"/>
          <w:szCs w:val="24"/>
        </w:rPr>
        <w:t>empagliflozin</w:t>
      </w:r>
      <w:proofErr w:type="spellEnd"/>
      <w:r w:rsidRPr="00841BE0">
        <w:rPr>
          <w:sz w:val="24"/>
          <w:szCs w:val="24"/>
        </w:rPr>
        <w:t xml:space="preserve"> 10 mg eller 25 mg efter 24 uger (p &lt; 0,0001) sammenlignet med placebo.</w:t>
      </w:r>
    </w:p>
    <w:p w14:paraId="6052F38A" w14:textId="77777777" w:rsidR="00841BE0" w:rsidRPr="00841BE0" w:rsidRDefault="00841BE0" w:rsidP="00210533">
      <w:pPr>
        <w:ind w:left="851"/>
        <w:rPr>
          <w:sz w:val="24"/>
          <w:szCs w:val="24"/>
        </w:rPr>
      </w:pPr>
    </w:p>
    <w:p w14:paraId="6955E72C" w14:textId="77777777" w:rsidR="00841BE0" w:rsidRPr="00841BE0" w:rsidRDefault="00841BE0" w:rsidP="00210533">
      <w:pPr>
        <w:ind w:left="851"/>
        <w:rPr>
          <w:i/>
          <w:iCs/>
          <w:sz w:val="24"/>
          <w:szCs w:val="24"/>
          <w:u w:val="single"/>
        </w:rPr>
      </w:pPr>
      <w:r w:rsidRPr="00841BE0">
        <w:rPr>
          <w:i/>
          <w:iCs/>
          <w:sz w:val="24"/>
          <w:szCs w:val="24"/>
          <w:u w:val="single"/>
        </w:rPr>
        <w:t xml:space="preserve">24 måneders data for </w:t>
      </w:r>
      <w:proofErr w:type="spellStart"/>
      <w:r w:rsidRPr="00841BE0">
        <w:rPr>
          <w:i/>
          <w:iCs/>
          <w:sz w:val="24"/>
          <w:szCs w:val="24"/>
          <w:u w:val="single"/>
        </w:rPr>
        <w:t>empagliflozin</w:t>
      </w:r>
      <w:proofErr w:type="spellEnd"/>
      <w:r w:rsidRPr="00841BE0">
        <w:rPr>
          <w:i/>
          <w:iCs/>
          <w:sz w:val="24"/>
          <w:szCs w:val="24"/>
          <w:u w:val="single"/>
        </w:rPr>
        <w:t xml:space="preserve"> som supplement til </w:t>
      </w:r>
      <w:proofErr w:type="spellStart"/>
      <w:r w:rsidRPr="00841BE0">
        <w:rPr>
          <w:i/>
          <w:iCs/>
          <w:sz w:val="24"/>
          <w:szCs w:val="24"/>
          <w:u w:val="single"/>
        </w:rPr>
        <w:t>metformin</w:t>
      </w:r>
      <w:proofErr w:type="spellEnd"/>
      <w:r w:rsidRPr="00841BE0">
        <w:rPr>
          <w:i/>
          <w:iCs/>
          <w:sz w:val="24"/>
          <w:szCs w:val="24"/>
          <w:u w:val="single"/>
        </w:rPr>
        <w:t xml:space="preserve"> sammenlignet med </w:t>
      </w:r>
      <w:proofErr w:type="spellStart"/>
      <w:r w:rsidRPr="00841BE0">
        <w:rPr>
          <w:i/>
          <w:iCs/>
          <w:sz w:val="24"/>
          <w:szCs w:val="24"/>
          <w:u w:val="single"/>
        </w:rPr>
        <w:t>glimepirid</w:t>
      </w:r>
      <w:proofErr w:type="spellEnd"/>
    </w:p>
    <w:p w14:paraId="1F926E5C" w14:textId="77777777" w:rsidR="00841BE0" w:rsidRPr="00841BE0" w:rsidRDefault="00841BE0" w:rsidP="00210533">
      <w:pPr>
        <w:ind w:left="851"/>
        <w:rPr>
          <w:sz w:val="24"/>
          <w:szCs w:val="24"/>
        </w:rPr>
      </w:pPr>
    </w:p>
    <w:p w14:paraId="4FA07E10" w14:textId="77777777" w:rsidR="00841BE0" w:rsidRPr="00841BE0" w:rsidRDefault="00841BE0" w:rsidP="00210533">
      <w:pPr>
        <w:ind w:left="851"/>
        <w:rPr>
          <w:sz w:val="24"/>
          <w:szCs w:val="24"/>
        </w:rPr>
      </w:pPr>
      <w:r w:rsidRPr="00841BE0">
        <w:rPr>
          <w:sz w:val="24"/>
          <w:szCs w:val="24"/>
        </w:rPr>
        <w:t xml:space="preserve">I et studie, hvor man sammenlignede virkning og sikkerhed af </w:t>
      </w:r>
      <w:proofErr w:type="spellStart"/>
      <w:r w:rsidRPr="00841BE0">
        <w:rPr>
          <w:sz w:val="24"/>
          <w:szCs w:val="24"/>
        </w:rPr>
        <w:t>empagliflozin</w:t>
      </w:r>
      <w:proofErr w:type="spellEnd"/>
      <w:r w:rsidRPr="00841BE0">
        <w:rPr>
          <w:sz w:val="24"/>
          <w:szCs w:val="24"/>
        </w:rPr>
        <w:t xml:space="preserve"> 25 mg over for </w:t>
      </w:r>
      <w:proofErr w:type="spellStart"/>
      <w:r w:rsidRPr="00841BE0">
        <w:rPr>
          <w:sz w:val="24"/>
          <w:szCs w:val="24"/>
        </w:rPr>
        <w:t>glimepirid</w:t>
      </w:r>
      <w:proofErr w:type="spellEnd"/>
      <w:r w:rsidRPr="00841BE0">
        <w:rPr>
          <w:sz w:val="24"/>
          <w:szCs w:val="24"/>
        </w:rPr>
        <w:t xml:space="preserve"> (op til 4 mg pr. dag) hos patienter med utilstrækkelig glykæmisk kontrol på </w:t>
      </w:r>
      <w:proofErr w:type="spellStart"/>
      <w:r w:rsidRPr="00841BE0">
        <w:rPr>
          <w:sz w:val="24"/>
          <w:szCs w:val="24"/>
        </w:rPr>
        <w:t>metformin</w:t>
      </w:r>
      <w:proofErr w:type="spellEnd"/>
      <w:r w:rsidRPr="00841BE0">
        <w:rPr>
          <w:sz w:val="24"/>
          <w:szCs w:val="24"/>
        </w:rPr>
        <w:t xml:space="preserve"> alene, medførte daglig behandling med </w:t>
      </w:r>
      <w:proofErr w:type="spellStart"/>
      <w:r w:rsidRPr="00841BE0">
        <w:rPr>
          <w:sz w:val="24"/>
          <w:szCs w:val="24"/>
        </w:rPr>
        <w:t>empagliflozin</w:t>
      </w:r>
      <w:proofErr w:type="spellEnd"/>
      <w:r w:rsidRPr="00841BE0">
        <w:rPr>
          <w:sz w:val="24"/>
          <w:szCs w:val="24"/>
        </w:rPr>
        <w:t xml:space="preserve"> et større fald i HbA1c (tabel 6) og et klinisk betydende fald i FPG sammenlignet med </w:t>
      </w:r>
      <w:proofErr w:type="spellStart"/>
      <w:r w:rsidRPr="00841BE0">
        <w:rPr>
          <w:sz w:val="24"/>
          <w:szCs w:val="24"/>
        </w:rPr>
        <w:t>glimepirid</w:t>
      </w:r>
      <w:proofErr w:type="spellEnd"/>
      <w:r w:rsidRPr="00841BE0">
        <w:rPr>
          <w:sz w:val="24"/>
          <w:szCs w:val="24"/>
        </w:rPr>
        <w:t xml:space="preserve">. Daglig behandling med </w:t>
      </w:r>
      <w:proofErr w:type="spellStart"/>
      <w:r w:rsidRPr="00841BE0">
        <w:rPr>
          <w:sz w:val="24"/>
          <w:szCs w:val="24"/>
        </w:rPr>
        <w:t>empagliflozin</w:t>
      </w:r>
      <w:proofErr w:type="spellEnd"/>
      <w:r w:rsidRPr="00841BE0">
        <w:rPr>
          <w:sz w:val="24"/>
          <w:szCs w:val="24"/>
        </w:rPr>
        <w:t xml:space="preserve"> medførte et statistisk signifikant fald i legemsvægt og systolisk og diastolisk blodtryk og en statistisk signifikant lavere andel af patienter med hypoglykæmitilfælde sammenlignet med </w:t>
      </w:r>
      <w:proofErr w:type="spellStart"/>
      <w:r w:rsidRPr="00841BE0">
        <w:rPr>
          <w:sz w:val="24"/>
          <w:szCs w:val="24"/>
        </w:rPr>
        <w:t>glimepirid</w:t>
      </w:r>
      <w:proofErr w:type="spellEnd"/>
      <w:r w:rsidRPr="00841BE0">
        <w:rPr>
          <w:sz w:val="24"/>
          <w:szCs w:val="24"/>
        </w:rPr>
        <w:t xml:space="preserve"> (2,5 % for </w:t>
      </w:r>
      <w:proofErr w:type="spellStart"/>
      <w:r w:rsidRPr="00841BE0">
        <w:rPr>
          <w:sz w:val="24"/>
          <w:szCs w:val="24"/>
        </w:rPr>
        <w:t>empagliflozin</w:t>
      </w:r>
      <w:proofErr w:type="spellEnd"/>
      <w:r w:rsidRPr="00841BE0">
        <w:rPr>
          <w:sz w:val="24"/>
          <w:szCs w:val="24"/>
        </w:rPr>
        <w:t xml:space="preserve"> og 24,2 % for </w:t>
      </w:r>
      <w:proofErr w:type="spellStart"/>
      <w:r w:rsidRPr="00841BE0">
        <w:rPr>
          <w:sz w:val="24"/>
          <w:szCs w:val="24"/>
        </w:rPr>
        <w:t>glimepirid</w:t>
      </w:r>
      <w:proofErr w:type="spellEnd"/>
      <w:r w:rsidRPr="00841BE0">
        <w:rPr>
          <w:sz w:val="24"/>
          <w:szCs w:val="24"/>
        </w:rPr>
        <w:t>, p &lt; 0,0001).</w:t>
      </w:r>
    </w:p>
    <w:p w14:paraId="5B10FFF5" w14:textId="77777777" w:rsidR="00841BE0" w:rsidRPr="00841BE0" w:rsidRDefault="00841BE0" w:rsidP="00841BE0">
      <w:pPr>
        <w:tabs>
          <w:tab w:val="left" w:pos="851"/>
        </w:tabs>
        <w:ind w:left="851"/>
        <w:rPr>
          <w:sz w:val="24"/>
          <w:szCs w:val="24"/>
        </w:rPr>
      </w:pPr>
    </w:p>
    <w:p w14:paraId="3638332B" w14:textId="77777777" w:rsidR="00841BE0" w:rsidRPr="00841BE0" w:rsidRDefault="00841BE0" w:rsidP="001C0D88">
      <w:pPr>
        <w:rPr>
          <w:sz w:val="24"/>
          <w:szCs w:val="24"/>
        </w:rPr>
      </w:pPr>
      <w:r w:rsidRPr="00841BE0">
        <w:rPr>
          <w:sz w:val="24"/>
          <w:szCs w:val="24"/>
        </w:rPr>
        <w:t xml:space="preserve">Tabel 6: Virkningsresultater ved uge 104 i et aktivt kontrolleret studie med sammenligning af </w:t>
      </w:r>
      <w:proofErr w:type="spellStart"/>
      <w:r w:rsidRPr="00841BE0">
        <w:rPr>
          <w:sz w:val="24"/>
          <w:szCs w:val="24"/>
        </w:rPr>
        <w:t>empagliflozin</w:t>
      </w:r>
      <w:proofErr w:type="spellEnd"/>
      <w:r w:rsidRPr="00841BE0">
        <w:rPr>
          <w:sz w:val="24"/>
          <w:szCs w:val="24"/>
        </w:rPr>
        <w:t xml:space="preserve"> og </w:t>
      </w:r>
      <w:proofErr w:type="spellStart"/>
      <w:r w:rsidRPr="00841BE0">
        <w:rPr>
          <w:sz w:val="24"/>
          <w:szCs w:val="24"/>
        </w:rPr>
        <w:t>glimepirid</w:t>
      </w:r>
      <w:proofErr w:type="spellEnd"/>
      <w:r w:rsidRPr="00841BE0">
        <w:rPr>
          <w:sz w:val="24"/>
          <w:szCs w:val="24"/>
        </w:rPr>
        <w:t xml:space="preserve"> som supplement til </w:t>
      </w:r>
      <w:proofErr w:type="spellStart"/>
      <w:r w:rsidRPr="00841BE0">
        <w:rPr>
          <w:sz w:val="24"/>
          <w:szCs w:val="24"/>
        </w:rPr>
        <w:t>metformin</w:t>
      </w:r>
      <w:r w:rsidRPr="00841BE0">
        <w:rPr>
          <w:sz w:val="24"/>
          <w:szCs w:val="24"/>
          <w:vertAlign w:val="superscript"/>
        </w:rPr>
        <w:t>a</w:t>
      </w:r>
      <w:proofErr w:type="spellEnd"/>
    </w:p>
    <w:tbl>
      <w:tblPr>
        <w:tblStyle w:val="TableNormal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54"/>
        <w:gridCol w:w="2563"/>
        <w:gridCol w:w="2411"/>
      </w:tblGrid>
      <w:tr w:rsidR="00841BE0" w:rsidRPr="00841BE0" w14:paraId="6C6AF7CB" w14:textId="77777777" w:rsidTr="001276F0">
        <w:trPr>
          <w:trHeight w:val="254"/>
        </w:trPr>
        <w:tc>
          <w:tcPr>
            <w:tcW w:w="2417" w:type="pct"/>
            <w:tcBorders>
              <w:top w:val="single" w:sz="4" w:space="0" w:color="000000"/>
              <w:left w:val="single" w:sz="4" w:space="0" w:color="000000"/>
              <w:bottom w:val="single" w:sz="4" w:space="0" w:color="000000"/>
              <w:right w:val="single" w:sz="4" w:space="0" w:color="000000"/>
            </w:tcBorders>
          </w:tcPr>
          <w:p w14:paraId="250FD84E" w14:textId="77777777" w:rsidR="00841BE0" w:rsidRPr="00841BE0" w:rsidRDefault="00841BE0" w:rsidP="001276F0">
            <w:pPr>
              <w:widowControl/>
              <w:autoSpaceDE/>
              <w:autoSpaceDN/>
              <w:ind w:left="142"/>
              <w:rPr>
                <w:rFonts w:ascii="Times New Roman" w:eastAsia="Times New Roman" w:hAnsi="Times New Roman"/>
                <w:sz w:val="22"/>
                <w:lang w:val="da-DK"/>
              </w:rPr>
            </w:pPr>
          </w:p>
        </w:tc>
        <w:tc>
          <w:tcPr>
            <w:tcW w:w="1331" w:type="pct"/>
            <w:tcBorders>
              <w:top w:val="single" w:sz="4" w:space="0" w:color="000000"/>
              <w:left w:val="single" w:sz="4" w:space="0" w:color="000000"/>
              <w:bottom w:val="single" w:sz="4" w:space="0" w:color="000000"/>
              <w:right w:val="single" w:sz="4" w:space="0" w:color="000000"/>
            </w:tcBorders>
            <w:hideMark/>
          </w:tcPr>
          <w:p w14:paraId="6BEA0073" w14:textId="77777777" w:rsidR="00841BE0" w:rsidRPr="00841BE0" w:rsidRDefault="00841BE0" w:rsidP="001276F0">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Empagliflozin 25 mg</w:t>
            </w:r>
          </w:p>
        </w:tc>
        <w:tc>
          <w:tcPr>
            <w:tcW w:w="1252" w:type="pct"/>
            <w:tcBorders>
              <w:top w:val="single" w:sz="4" w:space="0" w:color="000000"/>
              <w:left w:val="single" w:sz="4" w:space="0" w:color="000000"/>
              <w:bottom w:val="single" w:sz="4" w:space="0" w:color="000000"/>
              <w:right w:val="single" w:sz="4" w:space="0" w:color="000000"/>
            </w:tcBorders>
            <w:hideMark/>
          </w:tcPr>
          <w:p w14:paraId="0B202CFF" w14:textId="77777777" w:rsidR="00841BE0" w:rsidRPr="00841BE0" w:rsidRDefault="00841BE0" w:rsidP="001276F0">
            <w:pPr>
              <w:widowControl/>
              <w:autoSpaceDE/>
              <w:autoSpaceDN/>
              <w:ind w:left="142"/>
              <w:rPr>
                <w:rFonts w:ascii="Times New Roman" w:eastAsia="Times New Roman" w:hAnsi="Times New Roman"/>
                <w:b/>
                <w:sz w:val="22"/>
              </w:rPr>
            </w:pPr>
            <w:proofErr w:type="spellStart"/>
            <w:r w:rsidRPr="00841BE0">
              <w:rPr>
                <w:rFonts w:ascii="Times New Roman" w:eastAsia="Times New Roman" w:hAnsi="Times New Roman"/>
                <w:b/>
                <w:sz w:val="22"/>
              </w:rPr>
              <w:t>Glimepirid</w:t>
            </w:r>
            <w:r w:rsidRPr="00841BE0">
              <w:rPr>
                <w:rFonts w:ascii="Times New Roman" w:eastAsia="Times New Roman" w:hAnsi="Times New Roman"/>
                <w:b/>
                <w:sz w:val="22"/>
                <w:vertAlign w:val="superscript"/>
              </w:rPr>
              <w:t>b</w:t>
            </w:r>
            <w:proofErr w:type="spellEnd"/>
          </w:p>
        </w:tc>
      </w:tr>
      <w:tr w:rsidR="00841BE0" w:rsidRPr="00841BE0" w14:paraId="2923363D" w14:textId="77777777" w:rsidTr="001276F0">
        <w:trPr>
          <w:trHeight w:val="251"/>
        </w:trPr>
        <w:tc>
          <w:tcPr>
            <w:tcW w:w="2417" w:type="pct"/>
            <w:tcBorders>
              <w:top w:val="single" w:sz="4" w:space="0" w:color="000000"/>
              <w:left w:val="single" w:sz="4" w:space="0" w:color="000000"/>
              <w:bottom w:val="single" w:sz="4" w:space="0" w:color="000000"/>
              <w:right w:val="single" w:sz="4" w:space="0" w:color="000000"/>
            </w:tcBorders>
            <w:hideMark/>
          </w:tcPr>
          <w:p w14:paraId="5EB119AF"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N</w:t>
            </w:r>
          </w:p>
        </w:tc>
        <w:tc>
          <w:tcPr>
            <w:tcW w:w="1331" w:type="pct"/>
            <w:tcBorders>
              <w:top w:val="single" w:sz="4" w:space="0" w:color="000000"/>
              <w:left w:val="single" w:sz="4" w:space="0" w:color="000000"/>
              <w:bottom w:val="single" w:sz="4" w:space="0" w:color="000000"/>
              <w:right w:val="single" w:sz="4" w:space="0" w:color="000000"/>
            </w:tcBorders>
            <w:hideMark/>
          </w:tcPr>
          <w:p w14:paraId="4B3340FD"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765</w:t>
            </w:r>
          </w:p>
        </w:tc>
        <w:tc>
          <w:tcPr>
            <w:tcW w:w="1252" w:type="pct"/>
            <w:tcBorders>
              <w:top w:val="single" w:sz="4" w:space="0" w:color="000000"/>
              <w:left w:val="single" w:sz="4" w:space="0" w:color="000000"/>
              <w:bottom w:val="single" w:sz="4" w:space="0" w:color="000000"/>
              <w:right w:val="single" w:sz="4" w:space="0" w:color="000000"/>
            </w:tcBorders>
            <w:hideMark/>
          </w:tcPr>
          <w:p w14:paraId="085111C4"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780</w:t>
            </w:r>
          </w:p>
        </w:tc>
      </w:tr>
      <w:tr w:rsidR="00841BE0" w:rsidRPr="00841BE0" w14:paraId="4AAEE444" w14:textId="77777777" w:rsidTr="001276F0">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46E4982E" w14:textId="77777777" w:rsidR="00841BE0" w:rsidRPr="00841BE0" w:rsidRDefault="00841BE0" w:rsidP="001276F0">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HbA1c (%)</w:t>
            </w:r>
          </w:p>
        </w:tc>
      </w:tr>
      <w:tr w:rsidR="00841BE0" w:rsidRPr="00841BE0" w14:paraId="7D310CC6" w14:textId="77777777" w:rsidTr="001276F0">
        <w:trPr>
          <w:trHeight w:val="254"/>
        </w:trPr>
        <w:tc>
          <w:tcPr>
            <w:tcW w:w="2417" w:type="pct"/>
            <w:tcBorders>
              <w:top w:val="single" w:sz="4" w:space="0" w:color="000000"/>
              <w:left w:val="single" w:sz="4" w:space="0" w:color="000000"/>
              <w:bottom w:val="single" w:sz="4" w:space="0" w:color="000000"/>
              <w:right w:val="single" w:sz="4" w:space="0" w:color="000000"/>
            </w:tcBorders>
            <w:hideMark/>
          </w:tcPr>
          <w:p w14:paraId="3277F073"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i/>
                <w:sz w:val="22"/>
              </w:rPr>
              <w:t xml:space="preserve">Baseline </w:t>
            </w:r>
            <w:r w:rsidRPr="00841BE0">
              <w:rPr>
                <w:rFonts w:ascii="Times New Roman" w:eastAsia="Times New Roman" w:hAnsi="Times New Roman"/>
                <w:sz w:val="22"/>
              </w:rPr>
              <w:t>(</w:t>
            </w:r>
            <w:proofErr w:type="spellStart"/>
            <w:r w:rsidRPr="00841BE0">
              <w:rPr>
                <w:rFonts w:ascii="Times New Roman" w:eastAsia="Times New Roman" w:hAnsi="Times New Roman"/>
                <w:sz w:val="22"/>
              </w:rPr>
              <w:t>middelværdi</w:t>
            </w:r>
            <w:proofErr w:type="spellEnd"/>
            <w:r w:rsidRPr="00841BE0">
              <w:rPr>
                <w:rFonts w:ascii="Times New Roman" w:eastAsia="Times New Roman" w:hAnsi="Times New Roman"/>
                <w:sz w:val="22"/>
              </w:rPr>
              <w:t>)</w:t>
            </w:r>
          </w:p>
        </w:tc>
        <w:tc>
          <w:tcPr>
            <w:tcW w:w="1331" w:type="pct"/>
            <w:tcBorders>
              <w:top w:val="single" w:sz="4" w:space="0" w:color="000000"/>
              <w:left w:val="single" w:sz="4" w:space="0" w:color="000000"/>
              <w:bottom w:val="single" w:sz="4" w:space="0" w:color="000000"/>
              <w:right w:val="single" w:sz="4" w:space="0" w:color="000000"/>
            </w:tcBorders>
            <w:hideMark/>
          </w:tcPr>
          <w:p w14:paraId="3E504D42"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7,92</w:t>
            </w:r>
          </w:p>
        </w:tc>
        <w:tc>
          <w:tcPr>
            <w:tcW w:w="1252" w:type="pct"/>
            <w:tcBorders>
              <w:top w:val="single" w:sz="4" w:space="0" w:color="000000"/>
              <w:left w:val="single" w:sz="4" w:space="0" w:color="000000"/>
              <w:bottom w:val="single" w:sz="4" w:space="0" w:color="000000"/>
              <w:right w:val="single" w:sz="4" w:space="0" w:color="000000"/>
            </w:tcBorders>
            <w:hideMark/>
          </w:tcPr>
          <w:p w14:paraId="29B0C2E1"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7,92</w:t>
            </w:r>
          </w:p>
        </w:tc>
      </w:tr>
      <w:tr w:rsidR="00841BE0" w:rsidRPr="00841BE0" w14:paraId="74219835" w14:textId="77777777" w:rsidTr="001276F0">
        <w:trPr>
          <w:trHeight w:val="251"/>
        </w:trPr>
        <w:tc>
          <w:tcPr>
            <w:tcW w:w="2417" w:type="pct"/>
            <w:tcBorders>
              <w:top w:val="single" w:sz="4" w:space="0" w:color="000000"/>
              <w:left w:val="single" w:sz="4" w:space="0" w:color="000000"/>
              <w:bottom w:val="single" w:sz="4" w:space="0" w:color="000000"/>
              <w:right w:val="single" w:sz="4" w:space="0" w:color="000000"/>
            </w:tcBorders>
            <w:hideMark/>
          </w:tcPr>
          <w:p w14:paraId="5DC3FC5E" w14:textId="77777777" w:rsidR="00841BE0" w:rsidRPr="00841BE0" w:rsidRDefault="00841BE0" w:rsidP="001276F0">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Ændring</w:t>
            </w:r>
            <w:proofErr w:type="spellEnd"/>
            <w:r w:rsidRPr="00841BE0">
              <w:rPr>
                <w:rFonts w:ascii="Times New Roman" w:eastAsia="Times New Roman" w:hAnsi="Times New Roman"/>
                <w:sz w:val="22"/>
              </w:rPr>
              <w:t xml:space="preserve"> fra </w:t>
            </w:r>
            <w:r w:rsidRPr="00841BE0">
              <w:rPr>
                <w:rFonts w:ascii="Times New Roman" w:eastAsia="Times New Roman" w:hAnsi="Times New Roman"/>
                <w:i/>
                <w:sz w:val="22"/>
              </w:rPr>
              <w:t>baseline</w:t>
            </w:r>
            <w:r w:rsidRPr="00841BE0">
              <w:rPr>
                <w:rFonts w:ascii="Times New Roman" w:eastAsia="Times New Roman" w:hAnsi="Times New Roman"/>
                <w:sz w:val="22"/>
                <w:vertAlign w:val="superscript"/>
              </w:rPr>
              <w:t>1</w:t>
            </w:r>
          </w:p>
        </w:tc>
        <w:tc>
          <w:tcPr>
            <w:tcW w:w="1331" w:type="pct"/>
            <w:tcBorders>
              <w:top w:val="single" w:sz="4" w:space="0" w:color="000000"/>
              <w:left w:val="single" w:sz="4" w:space="0" w:color="000000"/>
              <w:bottom w:val="single" w:sz="4" w:space="0" w:color="000000"/>
              <w:right w:val="single" w:sz="4" w:space="0" w:color="000000"/>
            </w:tcBorders>
            <w:hideMark/>
          </w:tcPr>
          <w:p w14:paraId="42B5867A"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0,66</w:t>
            </w:r>
          </w:p>
        </w:tc>
        <w:tc>
          <w:tcPr>
            <w:tcW w:w="1252" w:type="pct"/>
            <w:tcBorders>
              <w:top w:val="single" w:sz="4" w:space="0" w:color="000000"/>
              <w:left w:val="single" w:sz="4" w:space="0" w:color="000000"/>
              <w:bottom w:val="single" w:sz="4" w:space="0" w:color="000000"/>
              <w:right w:val="single" w:sz="4" w:space="0" w:color="000000"/>
            </w:tcBorders>
            <w:hideMark/>
          </w:tcPr>
          <w:p w14:paraId="48F4D87A"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0,55</w:t>
            </w:r>
          </w:p>
        </w:tc>
      </w:tr>
      <w:tr w:rsidR="00841BE0" w:rsidRPr="00841BE0" w14:paraId="7A13C9B9" w14:textId="77777777" w:rsidTr="001276F0">
        <w:trPr>
          <w:trHeight w:val="254"/>
        </w:trPr>
        <w:tc>
          <w:tcPr>
            <w:tcW w:w="2417" w:type="pct"/>
            <w:tcBorders>
              <w:top w:val="single" w:sz="4" w:space="0" w:color="000000"/>
              <w:left w:val="single" w:sz="4" w:space="0" w:color="000000"/>
              <w:bottom w:val="single" w:sz="4" w:space="0" w:color="000000"/>
              <w:right w:val="single" w:sz="4" w:space="0" w:color="000000"/>
            </w:tcBorders>
            <w:hideMark/>
          </w:tcPr>
          <w:p w14:paraId="47D92BEE" w14:textId="77777777" w:rsidR="00841BE0" w:rsidRPr="00841BE0" w:rsidRDefault="00841BE0" w:rsidP="001276F0">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Forskel</w:t>
            </w:r>
            <w:proofErr w:type="spellEnd"/>
            <w:r w:rsidRPr="00841BE0">
              <w:rPr>
                <w:rFonts w:ascii="Times New Roman" w:eastAsia="Times New Roman" w:hAnsi="Times New Roman"/>
                <w:sz w:val="22"/>
              </w:rPr>
              <w:t xml:space="preserve"> </w:t>
            </w:r>
            <w:proofErr w:type="spellStart"/>
            <w:r w:rsidRPr="00841BE0">
              <w:rPr>
                <w:rFonts w:ascii="Times New Roman" w:eastAsia="Times New Roman" w:hAnsi="Times New Roman"/>
                <w:sz w:val="22"/>
              </w:rPr>
              <w:t>til</w:t>
            </w:r>
            <w:proofErr w:type="spellEnd"/>
            <w:r w:rsidRPr="00841BE0">
              <w:rPr>
                <w:rFonts w:ascii="Times New Roman" w:eastAsia="Times New Roman" w:hAnsi="Times New Roman"/>
                <w:sz w:val="22"/>
              </w:rPr>
              <w:t xml:space="preserve"> glimepirid</w:t>
            </w:r>
            <w:r w:rsidRPr="00841BE0">
              <w:rPr>
                <w:rFonts w:ascii="Times New Roman" w:eastAsia="Times New Roman" w:hAnsi="Times New Roman"/>
                <w:sz w:val="22"/>
                <w:vertAlign w:val="superscript"/>
              </w:rPr>
              <w:t>1</w:t>
            </w:r>
            <w:r w:rsidRPr="00841BE0">
              <w:rPr>
                <w:rFonts w:ascii="Times New Roman" w:eastAsia="Times New Roman" w:hAnsi="Times New Roman"/>
                <w:sz w:val="22"/>
              </w:rPr>
              <w:t xml:space="preserve"> (97,5 % CI)</w:t>
            </w:r>
          </w:p>
        </w:tc>
        <w:tc>
          <w:tcPr>
            <w:tcW w:w="1331" w:type="pct"/>
            <w:tcBorders>
              <w:top w:val="single" w:sz="4" w:space="0" w:color="000000"/>
              <w:left w:val="single" w:sz="4" w:space="0" w:color="000000"/>
              <w:bottom w:val="single" w:sz="4" w:space="0" w:color="000000"/>
              <w:right w:val="single" w:sz="4" w:space="0" w:color="000000"/>
            </w:tcBorders>
            <w:hideMark/>
          </w:tcPr>
          <w:p w14:paraId="71771AE8"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0,11* (</w:t>
            </w:r>
            <w:r w:rsidRPr="00841BE0">
              <w:rPr>
                <w:rFonts w:ascii="Times New Roman" w:eastAsia="Times New Roman" w:hAnsi="Times New Roman"/>
                <w:sz w:val="22"/>
              </w:rPr>
              <w:noBreakHyphen/>
            </w:r>
            <w:proofErr w:type="gramStart"/>
            <w:r w:rsidRPr="00841BE0">
              <w:rPr>
                <w:rFonts w:ascii="Times New Roman" w:eastAsia="Times New Roman" w:hAnsi="Times New Roman"/>
                <w:sz w:val="22"/>
              </w:rPr>
              <w:t xml:space="preserve">0,20;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0,01)</w:t>
            </w:r>
          </w:p>
        </w:tc>
        <w:tc>
          <w:tcPr>
            <w:tcW w:w="1252" w:type="pct"/>
            <w:tcBorders>
              <w:top w:val="single" w:sz="4" w:space="0" w:color="000000"/>
              <w:left w:val="single" w:sz="4" w:space="0" w:color="000000"/>
              <w:bottom w:val="single" w:sz="4" w:space="0" w:color="000000"/>
              <w:right w:val="single" w:sz="4" w:space="0" w:color="000000"/>
            </w:tcBorders>
          </w:tcPr>
          <w:p w14:paraId="01502122" w14:textId="77777777" w:rsidR="00841BE0" w:rsidRPr="00841BE0" w:rsidRDefault="00841BE0" w:rsidP="001276F0">
            <w:pPr>
              <w:widowControl/>
              <w:autoSpaceDE/>
              <w:autoSpaceDN/>
              <w:ind w:left="142"/>
              <w:rPr>
                <w:rFonts w:ascii="Times New Roman" w:eastAsia="Times New Roman" w:hAnsi="Times New Roman"/>
                <w:sz w:val="22"/>
              </w:rPr>
            </w:pPr>
          </w:p>
        </w:tc>
      </w:tr>
      <w:tr w:rsidR="00841BE0" w:rsidRPr="00841BE0" w14:paraId="4AAE5B84" w14:textId="77777777" w:rsidTr="001276F0">
        <w:trPr>
          <w:trHeight w:val="251"/>
        </w:trPr>
        <w:tc>
          <w:tcPr>
            <w:tcW w:w="2417" w:type="pct"/>
            <w:tcBorders>
              <w:top w:val="single" w:sz="4" w:space="0" w:color="000000"/>
              <w:left w:val="single" w:sz="4" w:space="0" w:color="000000"/>
              <w:bottom w:val="single" w:sz="4" w:space="0" w:color="000000"/>
              <w:right w:val="single" w:sz="4" w:space="0" w:color="000000"/>
            </w:tcBorders>
            <w:hideMark/>
          </w:tcPr>
          <w:p w14:paraId="642EBD23"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N</w:t>
            </w:r>
          </w:p>
        </w:tc>
        <w:tc>
          <w:tcPr>
            <w:tcW w:w="1331" w:type="pct"/>
            <w:tcBorders>
              <w:top w:val="single" w:sz="4" w:space="0" w:color="000000"/>
              <w:left w:val="single" w:sz="4" w:space="0" w:color="000000"/>
              <w:bottom w:val="single" w:sz="4" w:space="0" w:color="000000"/>
              <w:right w:val="single" w:sz="4" w:space="0" w:color="000000"/>
            </w:tcBorders>
            <w:hideMark/>
          </w:tcPr>
          <w:p w14:paraId="701AC18D"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690</w:t>
            </w:r>
          </w:p>
        </w:tc>
        <w:tc>
          <w:tcPr>
            <w:tcW w:w="1252" w:type="pct"/>
            <w:tcBorders>
              <w:top w:val="single" w:sz="4" w:space="0" w:color="000000"/>
              <w:left w:val="single" w:sz="4" w:space="0" w:color="000000"/>
              <w:bottom w:val="single" w:sz="4" w:space="0" w:color="000000"/>
              <w:right w:val="single" w:sz="4" w:space="0" w:color="000000"/>
            </w:tcBorders>
            <w:hideMark/>
          </w:tcPr>
          <w:p w14:paraId="4D803642"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715</w:t>
            </w:r>
          </w:p>
        </w:tc>
      </w:tr>
      <w:tr w:rsidR="00841BE0" w:rsidRPr="00841BE0" w14:paraId="1FBAFDDA" w14:textId="77777777" w:rsidTr="001276F0">
        <w:trPr>
          <w:trHeight w:val="505"/>
        </w:trPr>
        <w:tc>
          <w:tcPr>
            <w:tcW w:w="2417" w:type="pct"/>
            <w:tcBorders>
              <w:top w:val="single" w:sz="4" w:space="0" w:color="000000"/>
              <w:left w:val="single" w:sz="4" w:space="0" w:color="000000"/>
              <w:bottom w:val="single" w:sz="4" w:space="0" w:color="000000"/>
              <w:right w:val="single" w:sz="4" w:space="0" w:color="000000"/>
            </w:tcBorders>
            <w:hideMark/>
          </w:tcPr>
          <w:p w14:paraId="1DF9B31E" w14:textId="77777777" w:rsidR="00841BE0" w:rsidRPr="00841BE0" w:rsidRDefault="00841BE0" w:rsidP="001276F0">
            <w:pPr>
              <w:widowControl/>
              <w:autoSpaceDE/>
              <w:autoSpaceDN/>
              <w:ind w:left="142"/>
              <w:rPr>
                <w:rFonts w:ascii="Times New Roman" w:eastAsia="Times New Roman" w:hAnsi="Times New Roman"/>
                <w:b/>
                <w:sz w:val="22"/>
                <w:lang w:val="da-DK"/>
              </w:rPr>
            </w:pPr>
            <w:r w:rsidRPr="00841BE0">
              <w:rPr>
                <w:rFonts w:ascii="Times New Roman" w:eastAsia="Times New Roman" w:hAnsi="Times New Roman"/>
                <w:b/>
                <w:sz w:val="22"/>
                <w:lang w:val="da-DK"/>
              </w:rPr>
              <w:t xml:space="preserve">Patienter (%) der opnåede HbA1c &lt; 7 % efter et </w:t>
            </w:r>
            <w:r w:rsidRPr="00841BE0">
              <w:rPr>
                <w:rFonts w:ascii="Times New Roman" w:eastAsia="Times New Roman" w:hAnsi="Times New Roman"/>
                <w:b/>
                <w:i/>
                <w:sz w:val="22"/>
                <w:lang w:val="da-DK"/>
              </w:rPr>
              <w:t>baseline</w:t>
            </w:r>
            <w:r w:rsidRPr="00841BE0">
              <w:rPr>
                <w:rFonts w:ascii="Times New Roman" w:eastAsia="Times New Roman" w:hAnsi="Times New Roman"/>
                <w:b/>
                <w:sz w:val="22"/>
                <w:lang w:val="da-DK"/>
              </w:rPr>
              <w:t>-HbA1c ≥ 7 %</w:t>
            </w:r>
            <w:r w:rsidRPr="00841BE0">
              <w:rPr>
                <w:rFonts w:ascii="Times New Roman" w:eastAsia="Times New Roman" w:hAnsi="Times New Roman"/>
                <w:b/>
                <w:sz w:val="22"/>
                <w:vertAlign w:val="superscript"/>
                <w:lang w:val="da-DK"/>
              </w:rPr>
              <w:t>2</w:t>
            </w:r>
          </w:p>
        </w:tc>
        <w:tc>
          <w:tcPr>
            <w:tcW w:w="1331" w:type="pct"/>
            <w:tcBorders>
              <w:top w:val="single" w:sz="4" w:space="0" w:color="000000"/>
              <w:left w:val="single" w:sz="4" w:space="0" w:color="000000"/>
              <w:bottom w:val="single" w:sz="4" w:space="0" w:color="000000"/>
              <w:right w:val="single" w:sz="4" w:space="0" w:color="000000"/>
            </w:tcBorders>
            <w:hideMark/>
          </w:tcPr>
          <w:p w14:paraId="0F59496A"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33,6</w:t>
            </w:r>
          </w:p>
        </w:tc>
        <w:tc>
          <w:tcPr>
            <w:tcW w:w="1252" w:type="pct"/>
            <w:tcBorders>
              <w:top w:val="single" w:sz="4" w:space="0" w:color="000000"/>
              <w:left w:val="single" w:sz="4" w:space="0" w:color="000000"/>
              <w:bottom w:val="single" w:sz="4" w:space="0" w:color="000000"/>
              <w:right w:val="single" w:sz="4" w:space="0" w:color="000000"/>
            </w:tcBorders>
            <w:hideMark/>
          </w:tcPr>
          <w:p w14:paraId="6F620DDE"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30,9</w:t>
            </w:r>
          </w:p>
        </w:tc>
      </w:tr>
      <w:tr w:rsidR="00841BE0" w:rsidRPr="00841BE0" w14:paraId="5FAC93F3" w14:textId="77777777" w:rsidTr="001276F0">
        <w:trPr>
          <w:trHeight w:val="254"/>
        </w:trPr>
        <w:tc>
          <w:tcPr>
            <w:tcW w:w="2417" w:type="pct"/>
            <w:tcBorders>
              <w:top w:val="single" w:sz="4" w:space="0" w:color="000000"/>
              <w:left w:val="single" w:sz="4" w:space="0" w:color="000000"/>
              <w:bottom w:val="single" w:sz="4" w:space="0" w:color="000000"/>
              <w:right w:val="single" w:sz="4" w:space="0" w:color="000000"/>
            </w:tcBorders>
            <w:hideMark/>
          </w:tcPr>
          <w:p w14:paraId="63A965F1"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N</w:t>
            </w:r>
          </w:p>
        </w:tc>
        <w:tc>
          <w:tcPr>
            <w:tcW w:w="1331" w:type="pct"/>
            <w:tcBorders>
              <w:top w:val="single" w:sz="4" w:space="0" w:color="000000"/>
              <w:left w:val="single" w:sz="4" w:space="0" w:color="000000"/>
              <w:bottom w:val="single" w:sz="4" w:space="0" w:color="000000"/>
              <w:right w:val="single" w:sz="4" w:space="0" w:color="000000"/>
            </w:tcBorders>
            <w:hideMark/>
          </w:tcPr>
          <w:p w14:paraId="74B8AEE8"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765</w:t>
            </w:r>
          </w:p>
        </w:tc>
        <w:tc>
          <w:tcPr>
            <w:tcW w:w="1252" w:type="pct"/>
            <w:tcBorders>
              <w:top w:val="single" w:sz="4" w:space="0" w:color="000000"/>
              <w:left w:val="single" w:sz="4" w:space="0" w:color="000000"/>
              <w:bottom w:val="single" w:sz="4" w:space="0" w:color="000000"/>
              <w:right w:val="single" w:sz="4" w:space="0" w:color="000000"/>
            </w:tcBorders>
            <w:hideMark/>
          </w:tcPr>
          <w:p w14:paraId="6C1AEABF"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780</w:t>
            </w:r>
          </w:p>
        </w:tc>
      </w:tr>
      <w:tr w:rsidR="00841BE0" w:rsidRPr="00841BE0" w14:paraId="04487F35" w14:textId="77777777" w:rsidTr="001276F0">
        <w:trPr>
          <w:trHeight w:val="251"/>
        </w:trPr>
        <w:tc>
          <w:tcPr>
            <w:tcW w:w="5000" w:type="pct"/>
            <w:gridSpan w:val="3"/>
            <w:tcBorders>
              <w:top w:val="single" w:sz="4" w:space="0" w:color="000000"/>
              <w:left w:val="single" w:sz="4" w:space="0" w:color="000000"/>
              <w:bottom w:val="single" w:sz="4" w:space="0" w:color="000000"/>
              <w:right w:val="single" w:sz="4" w:space="0" w:color="000000"/>
            </w:tcBorders>
            <w:hideMark/>
          </w:tcPr>
          <w:p w14:paraId="7AB4C723" w14:textId="77777777" w:rsidR="00841BE0" w:rsidRPr="00841BE0" w:rsidRDefault="00841BE0" w:rsidP="001276F0">
            <w:pPr>
              <w:widowControl/>
              <w:autoSpaceDE/>
              <w:autoSpaceDN/>
              <w:ind w:left="142"/>
              <w:rPr>
                <w:rFonts w:ascii="Times New Roman" w:eastAsia="Times New Roman" w:hAnsi="Times New Roman"/>
                <w:b/>
                <w:sz w:val="22"/>
              </w:rPr>
            </w:pPr>
            <w:proofErr w:type="spellStart"/>
            <w:r w:rsidRPr="00841BE0">
              <w:rPr>
                <w:rFonts w:ascii="Times New Roman" w:eastAsia="Times New Roman" w:hAnsi="Times New Roman"/>
                <w:b/>
                <w:sz w:val="22"/>
              </w:rPr>
              <w:t>Legemsvægt</w:t>
            </w:r>
            <w:proofErr w:type="spellEnd"/>
            <w:r w:rsidRPr="00841BE0">
              <w:rPr>
                <w:rFonts w:ascii="Times New Roman" w:eastAsia="Times New Roman" w:hAnsi="Times New Roman"/>
                <w:b/>
                <w:sz w:val="22"/>
              </w:rPr>
              <w:t xml:space="preserve"> (kg)</w:t>
            </w:r>
          </w:p>
        </w:tc>
      </w:tr>
      <w:tr w:rsidR="00841BE0" w:rsidRPr="00841BE0" w14:paraId="5617E687" w14:textId="77777777" w:rsidTr="001276F0">
        <w:trPr>
          <w:trHeight w:val="254"/>
        </w:trPr>
        <w:tc>
          <w:tcPr>
            <w:tcW w:w="2417" w:type="pct"/>
            <w:tcBorders>
              <w:top w:val="single" w:sz="4" w:space="0" w:color="000000"/>
              <w:left w:val="single" w:sz="4" w:space="0" w:color="000000"/>
              <w:bottom w:val="single" w:sz="4" w:space="0" w:color="000000"/>
              <w:right w:val="single" w:sz="4" w:space="0" w:color="000000"/>
            </w:tcBorders>
            <w:hideMark/>
          </w:tcPr>
          <w:p w14:paraId="6C44C089"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i/>
                <w:sz w:val="22"/>
              </w:rPr>
              <w:t xml:space="preserve">Baseline </w:t>
            </w:r>
            <w:r w:rsidRPr="00841BE0">
              <w:rPr>
                <w:rFonts w:ascii="Times New Roman" w:eastAsia="Times New Roman" w:hAnsi="Times New Roman"/>
                <w:sz w:val="22"/>
              </w:rPr>
              <w:t>(</w:t>
            </w:r>
            <w:proofErr w:type="spellStart"/>
            <w:r w:rsidRPr="00841BE0">
              <w:rPr>
                <w:rFonts w:ascii="Times New Roman" w:eastAsia="Times New Roman" w:hAnsi="Times New Roman"/>
                <w:sz w:val="22"/>
              </w:rPr>
              <w:t>middelværdi</w:t>
            </w:r>
            <w:proofErr w:type="spellEnd"/>
            <w:r w:rsidRPr="00841BE0">
              <w:rPr>
                <w:rFonts w:ascii="Times New Roman" w:eastAsia="Times New Roman" w:hAnsi="Times New Roman"/>
                <w:sz w:val="22"/>
              </w:rPr>
              <w:t>)</w:t>
            </w:r>
          </w:p>
        </w:tc>
        <w:tc>
          <w:tcPr>
            <w:tcW w:w="1331" w:type="pct"/>
            <w:tcBorders>
              <w:top w:val="single" w:sz="4" w:space="0" w:color="000000"/>
              <w:left w:val="single" w:sz="4" w:space="0" w:color="000000"/>
              <w:bottom w:val="single" w:sz="4" w:space="0" w:color="000000"/>
              <w:right w:val="single" w:sz="4" w:space="0" w:color="000000"/>
            </w:tcBorders>
            <w:hideMark/>
          </w:tcPr>
          <w:p w14:paraId="249B2F06"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82,52</w:t>
            </w:r>
          </w:p>
        </w:tc>
        <w:tc>
          <w:tcPr>
            <w:tcW w:w="1252" w:type="pct"/>
            <w:tcBorders>
              <w:top w:val="single" w:sz="4" w:space="0" w:color="000000"/>
              <w:left w:val="single" w:sz="4" w:space="0" w:color="000000"/>
              <w:bottom w:val="single" w:sz="4" w:space="0" w:color="000000"/>
              <w:right w:val="single" w:sz="4" w:space="0" w:color="000000"/>
            </w:tcBorders>
            <w:hideMark/>
          </w:tcPr>
          <w:p w14:paraId="7067B857"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83,03</w:t>
            </w:r>
          </w:p>
        </w:tc>
      </w:tr>
      <w:tr w:rsidR="00841BE0" w:rsidRPr="00841BE0" w14:paraId="37415217" w14:textId="77777777" w:rsidTr="001276F0">
        <w:trPr>
          <w:trHeight w:val="254"/>
        </w:trPr>
        <w:tc>
          <w:tcPr>
            <w:tcW w:w="2417" w:type="pct"/>
            <w:tcBorders>
              <w:top w:val="single" w:sz="4" w:space="0" w:color="000000"/>
              <w:left w:val="single" w:sz="4" w:space="0" w:color="000000"/>
              <w:bottom w:val="single" w:sz="4" w:space="0" w:color="000000"/>
              <w:right w:val="single" w:sz="4" w:space="0" w:color="000000"/>
            </w:tcBorders>
            <w:hideMark/>
          </w:tcPr>
          <w:p w14:paraId="6DF3ABDF" w14:textId="77777777" w:rsidR="00841BE0" w:rsidRPr="00841BE0" w:rsidRDefault="00841BE0" w:rsidP="001276F0">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Ændring</w:t>
            </w:r>
            <w:proofErr w:type="spellEnd"/>
            <w:r w:rsidRPr="00841BE0">
              <w:rPr>
                <w:rFonts w:ascii="Times New Roman" w:eastAsia="Times New Roman" w:hAnsi="Times New Roman"/>
                <w:sz w:val="22"/>
              </w:rPr>
              <w:t xml:space="preserve"> fra </w:t>
            </w:r>
            <w:r w:rsidRPr="00841BE0">
              <w:rPr>
                <w:rFonts w:ascii="Times New Roman" w:eastAsia="Times New Roman" w:hAnsi="Times New Roman"/>
                <w:i/>
                <w:sz w:val="22"/>
              </w:rPr>
              <w:t>baseline</w:t>
            </w:r>
            <w:r w:rsidRPr="00841BE0">
              <w:rPr>
                <w:rFonts w:ascii="Times New Roman" w:eastAsia="Times New Roman" w:hAnsi="Times New Roman"/>
                <w:sz w:val="22"/>
                <w:vertAlign w:val="superscript"/>
              </w:rPr>
              <w:t>1</w:t>
            </w:r>
          </w:p>
        </w:tc>
        <w:tc>
          <w:tcPr>
            <w:tcW w:w="1331" w:type="pct"/>
            <w:tcBorders>
              <w:top w:val="single" w:sz="4" w:space="0" w:color="000000"/>
              <w:left w:val="single" w:sz="4" w:space="0" w:color="000000"/>
              <w:bottom w:val="single" w:sz="4" w:space="0" w:color="000000"/>
              <w:right w:val="single" w:sz="4" w:space="0" w:color="000000"/>
            </w:tcBorders>
            <w:hideMark/>
          </w:tcPr>
          <w:p w14:paraId="38157A41"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3,12</w:t>
            </w:r>
          </w:p>
        </w:tc>
        <w:tc>
          <w:tcPr>
            <w:tcW w:w="1252" w:type="pct"/>
            <w:tcBorders>
              <w:top w:val="single" w:sz="4" w:space="0" w:color="000000"/>
              <w:left w:val="single" w:sz="4" w:space="0" w:color="000000"/>
              <w:bottom w:val="single" w:sz="4" w:space="0" w:color="000000"/>
              <w:right w:val="single" w:sz="4" w:space="0" w:color="000000"/>
            </w:tcBorders>
            <w:hideMark/>
          </w:tcPr>
          <w:p w14:paraId="2AFFED5A"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1,34</w:t>
            </w:r>
          </w:p>
        </w:tc>
      </w:tr>
      <w:tr w:rsidR="00841BE0" w:rsidRPr="00841BE0" w14:paraId="7155DC87" w14:textId="77777777" w:rsidTr="001276F0">
        <w:trPr>
          <w:trHeight w:val="251"/>
        </w:trPr>
        <w:tc>
          <w:tcPr>
            <w:tcW w:w="2417" w:type="pct"/>
            <w:tcBorders>
              <w:top w:val="single" w:sz="4" w:space="0" w:color="000000"/>
              <w:left w:val="single" w:sz="4" w:space="0" w:color="000000"/>
              <w:bottom w:val="single" w:sz="4" w:space="0" w:color="000000"/>
              <w:right w:val="single" w:sz="4" w:space="0" w:color="000000"/>
            </w:tcBorders>
            <w:hideMark/>
          </w:tcPr>
          <w:p w14:paraId="5FF6FF44" w14:textId="77777777" w:rsidR="00841BE0" w:rsidRPr="00841BE0" w:rsidRDefault="00841BE0" w:rsidP="001276F0">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Forskel</w:t>
            </w:r>
            <w:proofErr w:type="spellEnd"/>
            <w:r w:rsidRPr="00841BE0">
              <w:rPr>
                <w:rFonts w:ascii="Times New Roman" w:eastAsia="Times New Roman" w:hAnsi="Times New Roman"/>
                <w:sz w:val="22"/>
              </w:rPr>
              <w:t xml:space="preserve"> </w:t>
            </w:r>
            <w:proofErr w:type="spellStart"/>
            <w:r w:rsidRPr="00841BE0">
              <w:rPr>
                <w:rFonts w:ascii="Times New Roman" w:eastAsia="Times New Roman" w:hAnsi="Times New Roman"/>
                <w:sz w:val="22"/>
              </w:rPr>
              <w:t>til</w:t>
            </w:r>
            <w:proofErr w:type="spellEnd"/>
            <w:r w:rsidRPr="00841BE0">
              <w:rPr>
                <w:rFonts w:ascii="Times New Roman" w:eastAsia="Times New Roman" w:hAnsi="Times New Roman"/>
                <w:sz w:val="22"/>
              </w:rPr>
              <w:t xml:space="preserve"> glimepirid</w:t>
            </w:r>
            <w:r w:rsidRPr="00841BE0">
              <w:rPr>
                <w:rFonts w:ascii="Times New Roman" w:eastAsia="Times New Roman" w:hAnsi="Times New Roman"/>
                <w:sz w:val="22"/>
                <w:vertAlign w:val="superscript"/>
              </w:rPr>
              <w:t>1</w:t>
            </w:r>
            <w:r w:rsidRPr="00841BE0">
              <w:rPr>
                <w:rFonts w:ascii="Times New Roman" w:eastAsia="Times New Roman" w:hAnsi="Times New Roman"/>
                <w:sz w:val="22"/>
              </w:rPr>
              <w:t xml:space="preserve"> (97,5 % CI)</w:t>
            </w:r>
          </w:p>
        </w:tc>
        <w:tc>
          <w:tcPr>
            <w:tcW w:w="1331" w:type="pct"/>
            <w:tcBorders>
              <w:top w:val="single" w:sz="4" w:space="0" w:color="000000"/>
              <w:left w:val="single" w:sz="4" w:space="0" w:color="000000"/>
              <w:bottom w:val="single" w:sz="4" w:space="0" w:color="000000"/>
              <w:right w:val="single" w:sz="4" w:space="0" w:color="000000"/>
            </w:tcBorders>
            <w:hideMark/>
          </w:tcPr>
          <w:p w14:paraId="21ABB569"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4,46*</w:t>
            </w:r>
            <w:proofErr w:type="gramStart"/>
            <w:r w:rsidRPr="00841BE0">
              <w:rPr>
                <w:rFonts w:ascii="Times New Roman" w:eastAsia="Times New Roman" w:hAnsi="Times New Roman"/>
                <w:sz w:val="22"/>
              </w:rPr>
              <w:t>*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 xml:space="preserve">4,87; </w:t>
            </w:r>
            <w:r w:rsidRPr="00841BE0">
              <w:rPr>
                <w:rFonts w:ascii="Times New Roman" w:eastAsia="Times New Roman" w:hAnsi="Times New Roman"/>
                <w:sz w:val="22"/>
              </w:rPr>
              <w:noBreakHyphen/>
              <w:t>4,05)</w:t>
            </w:r>
          </w:p>
        </w:tc>
        <w:tc>
          <w:tcPr>
            <w:tcW w:w="1252" w:type="pct"/>
            <w:tcBorders>
              <w:top w:val="single" w:sz="4" w:space="0" w:color="000000"/>
              <w:left w:val="single" w:sz="4" w:space="0" w:color="000000"/>
              <w:bottom w:val="single" w:sz="4" w:space="0" w:color="000000"/>
              <w:right w:val="single" w:sz="4" w:space="0" w:color="000000"/>
            </w:tcBorders>
          </w:tcPr>
          <w:p w14:paraId="535B5196" w14:textId="77777777" w:rsidR="00841BE0" w:rsidRPr="00841BE0" w:rsidRDefault="00841BE0" w:rsidP="001276F0">
            <w:pPr>
              <w:widowControl/>
              <w:autoSpaceDE/>
              <w:autoSpaceDN/>
              <w:ind w:left="142"/>
              <w:rPr>
                <w:rFonts w:ascii="Times New Roman" w:eastAsia="Times New Roman" w:hAnsi="Times New Roman"/>
                <w:sz w:val="22"/>
              </w:rPr>
            </w:pPr>
          </w:p>
        </w:tc>
      </w:tr>
      <w:tr w:rsidR="00841BE0" w:rsidRPr="00841BE0" w14:paraId="499824EE" w14:textId="77777777" w:rsidTr="001276F0">
        <w:trPr>
          <w:trHeight w:val="254"/>
        </w:trPr>
        <w:tc>
          <w:tcPr>
            <w:tcW w:w="2417" w:type="pct"/>
            <w:tcBorders>
              <w:top w:val="single" w:sz="4" w:space="0" w:color="000000"/>
              <w:left w:val="single" w:sz="4" w:space="0" w:color="000000"/>
              <w:bottom w:val="single" w:sz="4" w:space="0" w:color="000000"/>
              <w:right w:val="single" w:sz="4" w:space="0" w:color="000000"/>
            </w:tcBorders>
            <w:hideMark/>
          </w:tcPr>
          <w:p w14:paraId="05FA1C9C"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N</w:t>
            </w:r>
          </w:p>
        </w:tc>
        <w:tc>
          <w:tcPr>
            <w:tcW w:w="1331" w:type="pct"/>
            <w:tcBorders>
              <w:top w:val="single" w:sz="4" w:space="0" w:color="000000"/>
              <w:left w:val="single" w:sz="4" w:space="0" w:color="000000"/>
              <w:bottom w:val="single" w:sz="4" w:space="0" w:color="000000"/>
              <w:right w:val="single" w:sz="4" w:space="0" w:color="000000"/>
            </w:tcBorders>
            <w:hideMark/>
          </w:tcPr>
          <w:p w14:paraId="67283FFF"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765</w:t>
            </w:r>
          </w:p>
        </w:tc>
        <w:tc>
          <w:tcPr>
            <w:tcW w:w="1252" w:type="pct"/>
            <w:tcBorders>
              <w:top w:val="single" w:sz="4" w:space="0" w:color="000000"/>
              <w:left w:val="single" w:sz="4" w:space="0" w:color="000000"/>
              <w:bottom w:val="single" w:sz="4" w:space="0" w:color="000000"/>
              <w:right w:val="single" w:sz="4" w:space="0" w:color="000000"/>
            </w:tcBorders>
            <w:hideMark/>
          </w:tcPr>
          <w:p w14:paraId="0E2C03BD"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780</w:t>
            </w:r>
          </w:p>
        </w:tc>
      </w:tr>
      <w:tr w:rsidR="00841BE0" w:rsidRPr="00841BE0" w14:paraId="247E48FC" w14:textId="77777777" w:rsidTr="001276F0">
        <w:trPr>
          <w:trHeight w:val="251"/>
        </w:trPr>
        <w:tc>
          <w:tcPr>
            <w:tcW w:w="5000" w:type="pct"/>
            <w:gridSpan w:val="3"/>
            <w:tcBorders>
              <w:top w:val="single" w:sz="4" w:space="0" w:color="000000"/>
              <w:left w:val="single" w:sz="4" w:space="0" w:color="000000"/>
              <w:bottom w:val="single" w:sz="4" w:space="0" w:color="000000"/>
              <w:right w:val="single" w:sz="4" w:space="0" w:color="000000"/>
            </w:tcBorders>
            <w:hideMark/>
          </w:tcPr>
          <w:p w14:paraId="6CCD8BEF" w14:textId="77777777" w:rsidR="00841BE0" w:rsidRPr="00841BE0" w:rsidRDefault="00841BE0" w:rsidP="001276F0">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SBP (mmHg)</w:t>
            </w:r>
            <w:r w:rsidRPr="00841BE0">
              <w:rPr>
                <w:rFonts w:ascii="Times New Roman" w:eastAsia="Times New Roman" w:hAnsi="Times New Roman"/>
                <w:b/>
                <w:sz w:val="22"/>
                <w:vertAlign w:val="superscript"/>
              </w:rPr>
              <w:t>3</w:t>
            </w:r>
          </w:p>
        </w:tc>
      </w:tr>
      <w:tr w:rsidR="00841BE0" w:rsidRPr="00841BE0" w14:paraId="7E43B0ED" w14:textId="77777777" w:rsidTr="001276F0">
        <w:trPr>
          <w:trHeight w:val="254"/>
        </w:trPr>
        <w:tc>
          <w:tcPr>
            <w:tcW w:w="2417" w:type="pct"/>
            <w:tcBorders>
              <w:top w:val="single" w:sz="4" w:space="0" w:color="000000"/>
              <w:left w:val="single" w:sz="4" w:space="0" w:color="000000"/>
              <w:bottom w:val="single" w:sz="4" w:space="0" w:color="000000"/>
              <w:right w:val="single" w:sz="4" w:space="0" w:color="000000"/>
            </w:tcBorders>
            <w:hideMark/>
          </w:tcPr>
          <w:p w14:paraId="1BC2BA73"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i/>
                <w:sz w:val="22"/>
              </w:rPr>
              <w:t xml:space="preserve">Baseline </w:t>
            </w:r>
            <w:r w:rsidRPr="00841BE0">
              <w:rPr>
                <w:rFonts w:ascii="Times New Roman" w:eastAsia="Times New Roman" w:hAnsi="Times New Roman"/>
                <w:sz w:val="22"/>
              </w:rPr>
              <w:t>(</w:t>
            </w:r>
            <w:proofErr w:type="spellStart"/>
            <w:r w:rsidRPr="00841BE0">
              <w:rPr>
                <w:rFonts w:ascii="Times New Roman" w:eastAsia="Times New Roman" w:hAnsi="Times New Roman"/>
                <w:sz w:val="22"/>
              </w:rPr>
              <w:t>middelværdi</w:t>
            </w:r>
            <w:proofErr w:type="spellEnd"/>
            <w:r w:rsidRPr="00841BE0">
              <w:rPr>
                <w:rFonts w:ascii="Times New Roman" w:eastAsia="Times New Roman" w:hAnsi="Times New Roman"/>
                <w:sz w:val="22"/>
              </w:rPr>
              <w:t>)</w:t>
            </w:r>
          </w:p>
        </w:tc>
        <w:tc>
          <w:tcPr>
            <w:tcW w:w="1331" w:type="pct"/>
            <w:tcBorders>
              <w:top w:val="single" w:sz="4" w:space="0" w:color="000000"/>
              <w:left w:val="single" w:sz="4" w:space="0" w:color="000000"/>
              <w:bottom w:val="single" w:sz="4" w:space="0" w:color="000000"/>
              <w:right w:val="single" w:sz="4" w:space="0" w:color="000000"/>
            </w:tcBorders>
            <w:hideMark/>
          </w:tcPr>
          <w:p w14:paraId="18778B85"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133,4</w:t>
            </w:r>
          </w:p>
        </w:tc>
        <w:tc>
          <w:tcPr>
            <w:tcW w:w="1252" w:type="pct"/>
            <w:tcBorders>
              <w:top w:val="single" w:sz="4" w:space="0" w:color="000000"/>
              <w:left w:val="single" w:sz="4" w:space="0" w:color="000000"/>
              <w:bottom w:val="single" w:sz="4" w:space="0" w:color="000000"/>
              <w:right w:val="single" w:sz="4" w:space="0" w:color="000000"/>
            </w:tcBorders>
            <w:hideMark/>
          </w:tcPr>
          <w:p w14:paraId="3D303A91"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133,5</w:t>
            </w:r>
          </w:p>
        </w:tc>
      </w:tr>
      <w:tr w:rsidR="00841BE0" w:rsidRPr="00841BE0" w14:paraId="67A9B6A4" w14:textId="77777777" w:rsidTr="001276F0">
        <w:trPr>
          <w:trHeight w:val="251"/>
        </w:trPr>
        <w:tc>
          <w:tcPr>
            <w:tcW w:w="2417" w:type="pct"/>
            <w:tcBorders>
              <w:top w:val="single" w:sz="4" w:space="0" w:color="000000"/>
              <w:left w:val="single" w:sz="4" w:space="0" w:color="000000"/>
              <w:bottom w:val="single" w:sz="4" w:space="0" w:color="000000"/>
              <w:right w:val="single" w:sz="4" w:space="0" w:color="000000"/>
            </w:tcBorders>
            <w:hideMark/>
          </w:tcPr>
          <w:p w14:paraId="05E775A7" w14:textId="77777777" w:rsidR="00841BE0" w:rsidRPr="00841BE0" w:rsidRDefault="00841BE0" w:rsidP="001276F0">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Ændring</w:t>
            </w:r>
            <w:proofErr w:type="spellEnd"/>
            <w:r w:rsidRPr="00841BE0">
              <w:rPr>
                <w:rFonts w:ascii="Times New Roman" w:eastAsia="Times New Roman" w:hAnsi="Times New Roman"/>
                <w:sz w:val="22"/>
              </w:rPr>
              <w:t xml:space="preserve"> fra </w:t>
            </w:r>
            <w:r w:rsidRPr="00841BE0">
              <w:rPr>
                <w:rFonts w:ascii="Times New Roman" w:eastAsia="Times New Roman" w:hAnsi="Times New Roman"/>
                <w:i/>
                <w:sz w:val="22"/>
              </w:rPr>
              <w:t>baseline</w:t>
            </w:r>
            <w:r w:rsidRPr="00841BE0">
              <w:rPr>
                <w:rFonts w:ascii="Times New Roman" w:eastAsia="Times New Roman" w:hAnsi="Times New Roman"/>
                <w:sz w:val="22"/>
                <w:vertAlign w:val="superscript"/>
              </w:rPr>
              <w:t>1</w:t>
            </w:r>
          </w:p>
        </w:tc>
        <w:tc>
          <w:tcPr>
            <w:tcW w:w="1331" w:type="pct"/>
            <w:tcBorders>
              <w:top w:val="single" w:sz="4" w:space="0" w:color="000000"/>
              <w:left w:val="single" w:sz="4" w:space="0" w:color="000000"/>
              <w:bottom w:val="single" w:sz="4" w:space="0" w:color="000000"/>
              <w:right w:val="single" w:sz="4" w:space="0" w:color="000000"/>
            </w:tcBorders>
            <w:hideMark/>
          </w:tcPr>
          <w:p w14:paraId="1B993D65"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3,1</w:t>
            </w:r>
          </w:p>
        </w:tc>
        <w:tc>
          <w:tcPr>
            <w:tcW w:w="1252" w:type="pct"/>
            <w:tcBorders>
              <w:top w:val="single" w:sz="4" w:space="0" w:color="000000"/>
              <w:left w:val="single" w:sz="4" w:space="0" w:color="000000"/>
              <w:bottom w:val="single" w:sz="4" w:space="0" w:color="000000"/>
              <w:right w:val="single" w:sz="4" w:space="0" w:color="000000"/>
            </w:tcBorders>
            <w:hideMark/>
          </w:tcPr>
          <w:p w14:paraId="60D5083B"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2,5</w:t>
            </w:r>
          </w:p>
        </w:tc>
      </w:tr>
      <w:tr w:rsidR="00841BE0" w:rsidRPr="00841BE0" w14:paraId="0082435E" w14:textId="77777777" w:rsidTr="001276F0">
        <w:trPr>
          <w:trHeight w:val="254"/>
        </w:trPr>
        <w:tc>
          <w:tcPr>
            <w:tcW w:w="2417" w:type="pct"/>
            <w:tcBorders>
              <w:top w:val="single" w:sz="4" w:space="0" w:color="000000"/>
              <w:left w:val="single" w:sz="4" w:space="0" w:color="000000"/>
              <w:bottom w:val="single" w:sz="4" w:space="0" w:color="000000"/>
              <w:right w:val="single" w:sz="4" w:space="0" w:color="000000"/>
            </w:tcBorders>
            <w:hideMark/>
          </w:tcPr>
          <w:p w14:paraId="74D0B167" w14:textId="77777777" w:rsidR="00841BE0" w:rsidRPr="00841BE0" w:rsidRDefault="00841BE0" w:rsidP="001276F0">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Forskel</w:t>
            </w:r>
            <w:proofErr w:type="spellEnd"/>
            <w:r w:rsidRPr="00841BE0">
              <w:rPr>
                <w:rFonts w:ascii="Times New Roman" w:eastAsia="Times New Roman" w:hAnsi="Times New Roman"/>
                <w:sz w:val="22"/>
              </w:rPr>
              <w:t xml:space="preserve"> </w:t>
            </w:r>
            <w:proofErr w:type="spellStart"/>
            <w:r w:rsidRPr="00841BE0">
              <w:rPr>
                <w:rFonts w:ascii="Times New Roman" w:eastAsia="Times New Roman" w:hAnsi="Times New Roman"/>
                <w:sz w:val="22"/>
              </w:rPr>
              <w:t>til</w:t>
            </w:r>
            <w:proofErr w:type="spellEnd"/>
            <w:r w:rsidRPr="00841BE0">
              <w:rPr>
                <w:rFonts w:ascii="Times New Roman" w:eastAsia="Times New Roman" w:hAnsi="Times New Roman"/>
                <w:sz w:val="22"/>
              </w:rPr>
              <w:t xml:space="preserve"> glimepirid</w:t>
            </w:r>
            <w:r w:rsidRPr="00841BE0">
              <w:rPr>
                <w:rFonts w:ascii="Times New Roman" w:eastAsia="Times New Roman" w:hAnsi="Times New Roman"/>
                <w:sz w:val="22"/>
                <w:vertAlign w:val="superscript"/>
              </w:rPr>
              <w:t>1</w:t>
            </w:r>
            <w:r w:rsidRPr="00841BE0">
              <w:rPr>
                <w:rFonts w:ascii="Times New Roman" w:eastAsia="Times New Roman" w:hAnsi="Times New Roman"/>
                <w:sz w:val="22"/>
              </w:rPr>
              <w:t xml:space="preserve"> (97,5 % CI)</w:t>
            </w:r>
          </w:p>
        </w:tc>
        <w:tc>
          <w:tcPr>
            <w:tcW w:w="1331" w:type="pct"/>
            <w:tcBorders>
              <w:top w:val="single" w:sz="4" w:space="0" w:color="000000"/>
              <w:left w:val="single" w:sz="4" w:space="0" w:color="000000"/>
              <w:bottom w:val="single" w:sz="4" w:space="0" w:color="000000"/>
              <w:right w:val="single" w:sz="4" w:space="0" w:color="000000"/>
            </w:tcBorders>
            <w:hideMark/>
          </w:tcPr>
          <w:p w14:paraId="0532B7FB" w14:textId="77777777" w:rsidR="00841BE0" w:rsidRPr="00841BE0" w:rsidRDefault="00841BE0" w:rsidP="001276F0">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5,6*</w:t>
            </w:r>
            <w:proofErr w:type="gramStart"/>
            <w:r w:rsidRPr="00841BE0">
              <w:rPr>
                <w:rFonts w:ascii="Times New Roman" w:eastAsia="Times New Roman" w:hAnsi="Times New Roman"/>
                <w:sz w:val="22"/>
              </w:rPr>
              <w:t>*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 xml:space="preserve">7,0; </w:t>
            </w:r>
            <w:r w:rsidRPr="00841BE0">
              <w:rPr>
                <w:rFonts w:ascii="Times New Roman" w:eastAsia="Times New Roman" w:hAnsi="Times New Roman"/>
                <w:sz w:val="22"/>
              </w:rPr>
              <w:noBreakHyphen/>
              <w:t>4,2)</w:t>
            </w:r>
          </w:p>
        </w:tc>
        <w:tc>
          <w:tcPr>
            <w:tcW w:w="1252" w:type="pct"/>
            <w:tcBorders>
              <w:top w:val="single" w:sz="4" w:space="0" w:color="000000"/>
              <w:left w:val="single" w:sz="4" w:space="0" w:color="000000"/>
              <w:bottom w:val="single" w:sz="4" w:space="0" w:color="000000"/>
              <w:right w:val="single" w:sz="4" w:space="0" w:color="000000"/>
            </w:tcBorders>
          </w:tcPr>
          <w:p w14:paraId="05C8B988" w14:textId="77777777" w:rsidR="00841BE0" w:rsidRPr="00841BE0" w:rsidRDefault="00841BE0" w:rsidP="001276F0">
            <w:pPr>
              <w:widowControl/>
              <w:autoSpaceDE/>
              <w:autoSpaceDN/>
              <w:ind w:left="142"/>
              <w:rPr>
                <w:rFonts w:ascii="Times New Roman" w:eastAsia="Times New Roman" w:hAnsi="Times New Roman"/>
                <w:sz w:val="22"/>
              </w:rPr>
            </w:pPr>
          </w:p>
        </w:tc>
      </w:tr>
    </w:tbl>
    <w:p w14:paraId="205F2007" w14:textId="09969DB6" w:rsidR="00841BE0" w:rsidRPr="00841BE0" w:rsidRDefault="00841BE0" w:rsidP="001276F0">
      <w:pPr>
        <w:ind w:left="426" w:hanging="426"/>
        <w:rPr>
          <w:sz w:val="24"/>
          <w:szCs w:val="24"/>
        </w:rPr>
      </w:pPr>
      <w:r w:rsidRPr="00841BE0">
        <w:rPr>
          <w:sz w:val="24"/>
          <w:szCs w:val="24"/>
          <w:vertAlign w:val="superscript"/>
        </w:rPr>
        <w:t>a</w:t>
      </w:r>
      <w:r w:rsidRPr="00841BE0">
        <w:rPr>
          <w:sz w:val="24"/>
          <w:szCs w:val="24"/>
        </w:rPr>
        <w:t xml:space="preserve"> </w:t>
      </w:r>
      <w:r w:rsidR="001276F0" w:rsidRPr="003D3B2F">
        <w:rPr>
          <w:sz w:val="24"/>
          <w:szCs w:val="24"/>
        </w:rPr>
        <w:tab/>
      </w:r>
      <w:r w:rsidRPr="00841BE0">
        <w:rPr>
          <w:sz w:val="24"/>
          <w:szCs w:val="24"/>
        </w:rPr>
        <w:t xml:space="preserve">Fuldstændigt analysedatasæt (FAS) ved brug af sidste observation føres videre (LOCF) før </w:t>
      </w:r>
      <w:proofErr w:type="spellStart"/>
      <w:r w:rsidRPr="00841BE0">
        <w:rPr>
          <w:sz w:val="24"/>
          <w:szCs w:val="24"/>
        </w:rPr>
        <w:t>blodglucose</w:t>
      </w:r>
      <w:proofErr w:type="spellEnd"/>
      <w:r w:rsidRPr="00841BE0">
        <w:rPr>
          <w:sz w:val="24"/>
          <w:szCs w:val="24"/>
        </w:rPr>
        <w:t>-regulerende behovsbehandling.</w:t>
      </w:r>
    </w:p>
    <w:p w14:paraId="7C5C6CD4" w14:textId="722CF82D" w:rsidR="00841BE0" w:rsidRPr="00841BE0" w:rsidRDefault="00841BE0" w:rsidP="001276F0">
      <w:pPr>
        <w:ind w:left="426" w:hanging="426"/>
        <w:rPr>
          <w:sz w:val="24"/>
          <w:szCs w:val="24"/>
        </w:rPr>
      </w:pPr>
      <w:r w:rsidRPr="00841BE0">
        <w:rPr>
          <w:sz w:val="24"/>
          <w:szCs w:val="24"/>
          <w:vertAlign w:val="superscript"/>
        </w:rPr>
        <w:t>b</w:t>
      </w:r>
      <w:r w:rsidRPr="00841BE0">
        <w:rPr>
          <w:sz w:val="24"/>
          <w:szCs w:val="24"/>
        </w:rPr>
        <w:t xml:space="preserve"> </w:t>
      </w:r>
      <w:r w:rsidR="001276F0" w:rsidRPr="003D3B2F">
        <w:rPr>
          <w:sz w:val="24"/>
          <w:szCs w:val="24"/>
        </w:rPr>
        <w:tab/>
      </w:r>
      <w:r w:rsidRPr="00841BE0">
        <w:rPr>
          <w:sz w:val="24"/>
          <w:szCs w:val="24"/>
        </w:rPr>
        <w:t xml:space="preserve">Op til 4 mg </w:t>
      </w:r>
      <w:proofErr w:type="spellStart"/>
      <w:r w:rsidRPr="00841BE0">
        <w:rPr>
          <w:sz w:val="24"/>
          <w:szCs w:val="24"/>
        </w:rPr>
        <w:t>glimepirid</w:t>
      </w:r>
      <w:proofErr w:type="spellEnd"/>
      <w:r w:rsidRPr="00841BE0">
        <w:rPr>
          <w:sz w:val="24"/>
          <w:szCs w:val="24"/>
        </w:rPr>
        <w:t>.</w:t>
      </w:r>
    </w:p>
    <w:p w14:paraId="00C806E1" w14:textId="4239C4DE" w:rsidR="00841BE0" w:rsidRPr="00841BE0" w:rsidRDefault="00841BE0" w:rsidP="001276F0">
      <w:pPr>
        <w:ind w:left="426" w:hanging="426"/>
        <w:rPr>
          <w:sz w:val="24"/>
          <w:szCs w:val="24"/>
        </w:rPr>
      </w:pPr>
      <w:r w:rsidRPr="00841BE0">
        <w:rPr>
          <w:sz w:val="24"/>
          <w:szCs w:val="24"/>
          <w:vertAlign w:val="superscript"/>
        </w:rPr>
        <w:t>1</w:t>
      </w:r>
      <w:r w:rsidRPr="00841BE0">
        <w:rPr>
          <w:sz w:val="24"/>
          <w:szCs w:val="24"/>
        </w:rPr>
        <w:t xml:space="preserve"> </w:t>
      </w:r>
      <w:r w:rsidR="001276F0" w:rsidRPr="003D3B2F">
        <w:rPr>
          <w:sz w:val="24"/>
          <w:szCs w:val="24"/>
        </w:rPr>
        <w:tab/>
      </w:r>
      <w:r w:rsidRPr="00841BE0">
        <w:rPr>
          <w:sz w:val="24"/>
          <w:szCs w:val="24"/>
        </w:rPr>
        <w:t xml:space="preserve">Middelværdi korrigeret for </w:t>
      </w:r>
      <w:r w:rsidRPr="00841BE0">
        <w:rPr>
          <w:i/>
          <w:iCs/>
          <w:sz w:val="24"/>
          <w:szCs w:val="24"/>
        </w:rPr>
        <w:t>baseline</w:t>
      </w:r>
      <w:r w:rsidRPr="00841BE0">
        <w:rPr>
          <w:sz w:val="24"/>
          <w:szCs w:val="24"/>
        </w:rPr>
        <w:t>-værdi.</w:t>
      </w:r>
    </w:p>
    <w:p w14:paraId="14BC995E" w14:textId="3D424F7E" w:rsidR="00841BE0" w:rsidRPr="00841BE0" w:rsidRDefault="00841BE0" w:rsidP="001276F0">
      <w:pPr>
        <w:ind w:left="426" w:hanging="426"/>
        <w:rPr>
          <w:sz w:val="24"/>
          <w:szCs w:val="24"/>
        </w:rPr>
      </w:pPr>
      <w:r w:rsidRPr="00841BE0">
        <w:rPr>
          <w:sz w:val="24"/>
          <w:szCs w:val="24"/>
          <w:vertAlign w:val="superscript"/>
        </w:rPr>
        <w:t>2</w:t>
      </w:r>
      <w:r w:rsidRPr="00841BE0">
        <w:rPr>
          <w:sz w:val="24"/>
          <w:szCs w:val="24"/>
        </w:rPr>
        <w:t xml:space="preserve"> </w:t>
      </w:r>
      <w:r w:rsidR="001276F0" w:rsidRPr="003D3B2F">
        <w:rPr>
          <w:sz w:val="24"/>
          <w:szCs w:val="24"/>
        </w:rPr>
        <w:tab/>
      </w:r>
      <w:r w:rsidRPr="00841BE0">
        <w:rPr>
          <w:sz w:val="24"/>
          <w:szCs w:val="24"/>
        </w:rPr>
        <w:t>Ikke undersøgt for statistisk signifikans som led i den sekventielle, bekræftende testprocedure.</w:t>
      </w:r>
    </w:p>
    <w:p w14:paraId="22546466" w14:textId="33F05C42" w:rsidR="00841BE0" w:rsidRPr="00841BE0" w:rsidRDefault="00841BE0" w:rsidP="001276F0">
      <w:pPr>
        <w:ind w:left="426" w:hanging="426"/>
        <w:rPr>
          <w:sz w:val="24"/>
          <w:szCs w:val="24"/>
        </w:rPr>
      </w:pPr>
      <w:r w:rsidRPr="00841BE0">
        <w:rPr>
          <w:sz w:val="24"/>
          <w:szCs w:val="24"/>
          <w:vertAlign w:val="superscript"/>
        </w:rPr>
        <w:t>3</w:t>
      </w:r>
      <w:r w:rsidRPr="00841BE0">
        <w:rPr>
          <w:sz w:val="24"/>
          <w:szCs w:val="24"/>
        </w:rPr>
        <w:t xml:space="preserve"> </w:t>
      </w:r>
      <w:r w:rsidR="001276F0" w:rsidRPr="003D3B2F">
        <w:rPr>
          <w:sz w:val="24"/>
          <w:szCs w:val="24"/>
        </w:rPr>
        <w:tab/>
      </w:r>
      <w:r w:rsidRPr="00841BE0">
        <w:rPr>
          <w:sz w:val="24"/>
          <w:szCs w:val="24"/>
        </w:rPr>
        <w:t xml:space="preserve">LOCF, værdier efter </w:t>
      </w:r>
      <w:proofErr w:type="spellStart"/>
      <w:r w:rsidRPr="00841BE0">
        <w:rPr>
          <w:sz w:val="24"/>
          <w:szCs w:val="24"/>
        </w:rPr>
        <w:t>antihypertensiv</w:t>
      </w:r>
      <w:proofErr w:type="spellEnd"/>
      <w:r w:rsidRPr="00841BE0">
        <w:rPr>
          <w:sz w:val="24"/>
          <w:szCs w:val="24"/>
        </w:rPr>
        <w:t xml:space="preserve"> behovsbehandling er bortcensureret.</w:t>
      </w:r>
    </w:p>
    <w:p w14:paraId="1A9C5358" w14:textId="27100E65" w:rsidR="00841BE0" w:rsidRPr="00841BE0" w:rsidRDefault="00841BE0" w:rsidP="001276F0">
      <w:pPr>
        <w:ind w:left="426" w:hanging="426"/>
        <w:rPr>
          <w:sz w:val="24"/>
          <w:szCs w:val="24"/>
        </w:rPr>
      </w:pPr>
      <w:r w:rsidRPr="00841BE0">
        <w:rPr>
          <w:sz w:val="24"/>
          <w:szCs w:val="24"/>
        </w:rPr>
        <w:t xml:space="preserve">* </w:t>
      </w:r>
      <w:r w:rsidR="001276F0" w:rsidRPr="003D3B2F">
        <w:rPr>
          <w:sz w:val="24"/>
          <w:szCs w:val="24"/>
        </w:rPr>
        <w:tab/>
      </w:r>
      <w:proofErr w:type="spellStart"/>
      <w:r w:rsidRPr="00841BE0">
        <w:rPr>
          <w:sz w:val="24"/>
          <w:szCs w:val="24"/>
        </w:rPr>
        <w:t>p-værdi</w:t>
      </w:r>
      <w:proofErr w:type="spellEnd"/>
      <w:r w:rsidRPr="00841BE0">
        <w:rPr>
          <w:sz w:val="24"/>
          <w:szCs w:val="24"/>
        </w:rPr>
        <w:t xml:space="preserve"> &lt; 0,0001 for non-inferioritet og </w:t>
      </w:r>
      <w:proofErr w:type="spellStart"/>
      <w:r w:rsidRPr="00841BE0">
        <w:rPr>
          <w:sz w:val="24"/>
          <w:szCs w:val="24"/>
        </w:rPr>
        <w:t>p-værdi</w:t>
      </w:r>
      <w:proofErr w:type="spellEnd"/>
      <w:r w:rsidRPr="00841BE0">
        <w:rPr>
          <w:sz w:val="24"/>
          <w:szCs w:val="24"/>
        </w:rPr>
        <w:t xml:space="preserve"> = 0,0153 for </w:t>
      </w:r>
      <w:proofErr w:type="spellStart"/>
      <w:r w:rsidRPr="00841BE0">
        <w:rPr>
          <w:sz w:val="24"/>
          <w:szCs w:val="24"/>
        </w:rPr>
        <w:t>superioritet</w:t>
      </w:r>
      <w:proofErr w:type="spellEnd"/>
      <w:r w:rsidRPr="00841BE0">
        <w:rPr>
          <w:sz w:val="24"/>
          <w:szCs w:val="24"/>
        </w:rPr>
        <w:t>.</w:t>
      </w:r>
    </w:p>
    <w:p w14:paraId="7A360E3A" w14:textId="2E04F7EF" w:rsidR="00841BE0" w:rsidRPr="00841BE0" w:rsidRDefault="00841BE0" w:rsidP="001276F0">
      <w:pPr>
        <w:ind w:left="426" w:hanging="426"/>
        <w:rPr>
          <w:sz w:val="24"/>
          <w:szCs w:val="24"/>
        </w:rPr>
      </w:pPr>
      <w:r w:rsidRPr="00841BE0">
        <w:rPr>
          <w:sz w:val="24"/>
          <w:szCs w:val="24"/>
        </w:rPr>
        <w:t xml:space="preserve">** </w:t>
      </w:r>
      <w:r w:rsidR="001276F0" w:rsidRPr="003D3B2F">
        <w:rPr>
          <w:sz w:val="24"/>
          <w:szCs w:val="24"/>
        </w:rPr>
        <w:tab/>
      </w:r>
      <w:proofErr w:type="spellStart"/>
      <w:r w:rsidRPr="00841BE0">
        <w:rPr>
          <w:sz w:val="24"/>
          <w:szCs w:val="24"/>
        </w:rPr>
        <w:t>p-værdi</w:t>
      </w:r>
      <w:proofErr w:type="spellEnd"/>
      <w:r w:rsidRPr="00841BE0">
        <w:rPr>
          <w:sz w:val="24"/>
          <w:szCs w:val="24"/>
        </w:rPr>
        <w:t xml:space="preserve"> &lt; 0,0001.</w:t>
      </w:r>
    </w:p>
    <w:p w14:paraId="06CCB28F" w14:textId="77777777" w:rsidR="00841BE0" w:rsidRPr="00841BE0" w:rsidRDefault="00841BE0" w:rsidP="001276F0">
      <w:pPr>
        <w:ind w:left="851"/>
        <w:rPr>
          <w:sz w:val="24"/>
          <w:szCs w:val="24"/>
        </w:rPr>
      </w:pPr>
    </w:p>
    <w:p w14:paraId="75EACDF8" w14:textId="77777777" w:rsidR="00841BE0" w:rsidRPr="00841BE0" w:rsidRDefault="00841BE0" w:rsidP="001276F0">
      <w:pPr>
        <w:ind w:left="851"/>
        <w:rPr>
          <w:i/>
          <w:iCs/>
          <w:sz w:val="24"/>
          <w:szCs w:val="24"/>
          <w:u w:val="single"/>
        </w:rPr>
      </w:pPr>
      <w:r w:rsidRPr="00841BE0">
        <w:rPr>
          <w:i/>
          <w:iCs/>
          <w:sz w:val="24"/>
          <w:szCs w:val="24"/>
          <w:u w:val="single"/>
        </w:rPr>
        <w:t>Supplement til insulinbehandling</w:t>
      </w:r>
    </w:p>
    <w:p w14:paraId="4BECA1DF" w14:textId="77777777" w:rsidR="00841BE0" w:rsidRPr="00841BE0" w:rsidRDefault="00841BE0" w:rsidP="001276F0">
      <w:pPr>
        <w:ind w:left="851"/>
        <w:rPr>
          <w:sz w:val="24"/>
          <w:szCs w:val="24"/>
        </w:rPr>
      </w:pPr>
    </w:p>
    <w:p w14:paraId="500ACEBD" w14:textId="77777777" w:rsidR="00841BE0" w:rsidRPr="00841BE0" w:rsidRDefault="00841BE0" w:rsidP="001276F0">
      <w:pPr>
        <w:ind w:left="851"/>
        <w:rPr>
          <w:i/>
          <w:iCs/>
          <w:sz w:val="24"/>
          <w:szCs w:val="24"/>
        </w:rPr>
      </w:pPr>
      <w:proofErr w:type="spellStart"/>
      <w:r w:rsidRPr="00841BE0">
        <w:rPr>
          <w:i/>
          <w:iCs/>
          <w:sz w:val="24"/>
          <w:szCs w:val="24"/>
        </w:rPr>
        <w:t>Empagliflozin</w:t>
      </w:r>
      <w:proofErr w:type="spellEnd"/>
      <w:r w:rsidRPr="00841BE0">
        <w:rPr>
          <w:i/>
          <w:iCs/>
          <w:sz w:val="24"/>
          <w:szCs w:val="24"/>
        </w:rPr>
        <w:t xml:space="preserve"> som supplement til flere daglige doser insulin</w:t>
      </w:r>
    </w:p>
    <w:p w14:paraId="49AA039F" w14:textId="77777777" w:rsidR="00841BE0" w:rsidRPr="00841BE0" w:rsidRDefault="00841BE0" w:rsidP="001276F0">
      <w:pPr>
        <w:ind w:left="851"/>
        <w:rPr>
          <w:sz w:val="24"/>
          <w:szCs w:val="24"/>
        </w:rPr>
      </w:pPr>
    </w:p>
    <w:p w14:paraId="1A59D83C" w14:textId="77777777" w:rsidR="00841BE0" w:rsidRPr="00841BE0" w:rsidRDefault="00841BE0" w:rsidP="001276F0">
      <w:pPr>
        <w:ind w:left="851"/>
        <w:rPr>
          <w:sz w:val="24"/>
          <w:szCs w:val="24"/>
        </w:rPr>
      </w:pPr>
      <w:r w:rsidRPr="00841BE0">
        <w:rPr>
          <w:sz w:val="24"/>
          <w:szCs w:val="24"/>
        </w:rPr>
        <w:t xml:space="preserve">Virkningen og sikkerheden af </w:t>
      </w:r>
      <w:proofErr w:type="spellStart"/>
      <w:r w:rsidRPr="00841BE0">
        <w:rPr>
          <w:sz w:val="24"/>
          <w:szCs w:val="24"/>
        </w:rPr>
        <w:t>empagliflozin</w:t>
      </w:r>
      <w:proofErr w:type="spellEnd"/>
      <w:r w:rsidRPr="00841BE0">
        <w:rPr>
          <w:sz w:val="24"/>
          <w:szCs w:val="24"/>
        </w:rPr>
        <w:t xml:space="preserve"> som supplement til flere daglige doser insulin med samtidig </w:t>
      </w:r>
      <w:proofErr w:type="spellStart"/>
      <w:r w:rsidRPr="00841BE0">
        <w:rPr>
          <w:sz w:val="24"/>
          <w:szCs w:val="24"/>
        </w:rPr>
        <w:t>metforminbehandling</w:t>
      </w:r>
      <w:proofErr w:type="spellEnd"/>
      <w:r w:rsidRPr="00841BE0">
        <w:rPr>
          <w:sz w:val="24"/>
          <w:szCs w:val="24"/>
        </w:rPr>
        <w:t xml:space="preserve"> blev undersøgt i et 52 ugers, dobbeltblindet, placebokontrolleret studie. I de første 18 uger og de sidste 12 uger blev insulindosis holdt konstant, men mellem uge 19 og 40 blev dosis justeret for at opnå </w:t>
      </w:r>
      <w:proofErr w:type="spellStart"/>
      <w:r w:rsidRPr="00841BE0">
        <w:rPr>
          <w:sz w:val="24"/>
          <w:szCs w:val="24"/>
        </w:rPr>
        <w:t>præprandiale</w:t>
      </w:r>
      <w:proofErr w:type="spellEnd"/>
      <w:r w:rsidRPr="00841BE0">
        <w:rPr>
          <w:sz w:val="24"/>
          <w:szCs w:val="24"/>
        </w:rPr>
        <w:t xml:space="preserve"> </w:t>
      </w:r>
      <w:proofErr w:type="spellStart"/>
      <w:r w:rsidRPr="00841BE0">
        <w:rPr>
          <w:sz w:val="24"/>
          <w:szCs w:val="24"/>
        </w:rPr>
        <w:t>glucoseværdier</w:t>
      </w:r>
      <w:proofErr w:type="spellEnd"/>
      <w:r w:rsidRPr="00841BE0">
        <w:rPr>
          <w:sz w:val="24"/>
          <w:szCs w:val="24"/>
        </w:rPr>
        <w:t xml:space="preserve"> &lt; 100 mg/dl [5,5 mmol/l] og </w:t>
      </w:r>
      <w:proofErr w:type="spellStart"/>
      <w:r w:rsidRPr="00841BE0">
        <w:rPr>
          <w:sz w:val="24"/>
          <w:szCs w:val="24"/>
        </w:rPr>
        <w:t>postprandiale</w:t>
      </w:r>
      <w:proofErr w:type="spellEnd"/>
      <w:r w:rsidRPr="00841BE0">
        <w:rPr>
          <w:sz w:val="24"/>
          <w:szCs w:val="24"/>
        </w:rPr>
        <w:t xml:space="preserve"> </w:t>
      </w:r>
      <w:proofErr w:type="spellStart"/>
      <w:r w:rsidRPr="00841BE0">
        <w:rPr>
          <w:sz w:val="24"/>
          <w:szCs w:val="24"/>
        </w:rPr>
        <w:t>glucose</w:t>
      </w:r>
      <w:proofErr w:type="spellEnd"/>
      <w:r w:rsidRPr="00841BE0">
        <w:rPr>
          <w:sz w:val="24"/>
          <w:szCs w:val="24"/>
        </w:rPr>
        <w:t>-værdier &lt; 140 mg/dl [7,8 mmol/l].</w:t>
      </w:r>
    </w:p>
    <w:p w14:paraId="03C937BD" w14:textId="77777777" w:rsidR="00841BE0" w:rsidRPr="00841BE0" w:rsidRDefault="00841BE0" w:rsidP="001276F0">
      <w:pPr>
        <w:ind w:left="851"/>
        <w:rPr>
          <w:sz w:val="24"/>
          <w:szCs w:val="24"/>
        </w:rPr>
      </w:pPr>
      <w:r w:rsidRPr="00841BE0">
        <w:rPr>
          <w:sz w:val="24"/>
          <w:szCs w:val="24"/>
        </w:rPr>
        <w:t xml:space="preserve">Ved uge 18 var der et statistisk signifikant fald i HbA1c med </w:t>
      </w:r>
      <w:proofErr w:type="spellStart"/>
      <w:r w:rsidRPr="00841BE0">
        <w:rPr>
          <w:sz w:val="24"/>
          <w:szCs w:val="24"/>
        </w:rPr>
        <w:t>empagliflozin</w:t>
      </w:r>
      <w:proofErr w:type="spellEnd"/>
      <w:r w:rsidRPr="00841BE0">
        <w:rPr>
          <w:sz w:val="24"/>
          <w:szCs w:val="24"/>
        </w:rPr>
        <w:t xml:space="preserve"> sammenlignet med placebo (tabel 7).</w:t>
      </w:r>
    </w:p>
    <w:p w14:paraId="596BFB24" w14:textId="77777777" w:rsidR="00841BE0" w:rsidRPr="00841BE0" w:rsidRDefault="00841BE0" w:rsidP="001276F0">
      <w:pPr>
        <w:ind w:left="851"/>
        <w:rPr>
          <w:sz w:val="24"/>
          <w:szCs w:val="24"/>
        </w:rPr>
      </w:pPr>
      <w:r w:rsidRPr="00841BE0">
        <w:rPr>
          <w:sz w:val="24"/>
          <w:szCs w:val="24"/>
        </w:rPr>
        <w:t xml:space="preserve">Ved uge 52 var der et statistisk signifikant fald i HbA1c og en insulinbesparelse med </w:t>
      </w:r>
      <w:proofErr w:type="spellStart"/>
      <w:r w:rsidRPr="00841BE0">
        <w:rPr>
          <w:sz w:val="24"/>
          <w:szCs w:val="24"/>
        </w:rPr>
        <w:t>empagliflozin</w:t>
      </w:r>
      <w:proofErr w:type="spellEnd"/>
      <w:r w:rsidRPr="00841BE0">
        <w:rPr>
          <w:sz w:val="24"/>
          <w:szCs w:val="24"/>
        </w:rPr>
        <w:t xml:space="preserve"> sammenlignet med placebo og et vægttab.</w:t>
      </w:r>
    </w:p>
    <w:p w14:paraId="1E8E77BC" w14:textId="77777777" w:rsidR="00841BE0" w:rsidRPr="00841BE0" w:rsidRDefault="00841BE0" w:rsidP="001276F0">
      <w:pPr>
        <w:ind w:left="851"/>
        <w:rPr>
          <w:sz w:val="24"/>
          <w:szCs w:val="24"/>
        </w:rPr>
      </w:pPr>
    </w:p>
    <w:p w14:paraId="5A94311A" w14:textId="77777777" w:rsidR="00841BE0" w:rsidRPr="00841BE0" w:rsidRDefault="00841BE0" w:rsidP="001C0D88">
      <w:pPr>
        <w:rPr>
          <w:sz w:val="24"/>
          <w:szCs w:val="24"/>
        </w:rPr>
      </w:pPr>
      <w:r w:rsidRPr="00841BE0">
        <w:rPr>
          <w:sz w:val="24"/>
          <w:szCs w:val="24"/>
        </w:rPr>
        <w:t xml:space="preserve">Tabel 7: Virkningsresultater efter 18 og 52 uger i et placebokontrolleret studie med </w:t>
      </w:r>
      <w:proofErr w:type="spellStart"/>
      <w:r w:rsidRPr="00841BE0">
        <w:rPr>
          <w:sz w:val="24"/>
          <w:szCs w:val="24"/>
        </w:rPr>
        <w:t>empagliflozin</w:t>
      </w:r>
      <w:proofErr w:type="spellEnd"/>
      <w:r w:rsidRPr="00841BE0">
        <w:rPr>
          <w:sz w:val="24"/>
          <w:szCs w:val="24"/>
        </w:rPr>
        <w:t xml:space="preserve"> som supplement til flere daglige doser insulin med samtidig </w:t>
      </w:r>
      <w:proofErr w:type="spellStart"/>
      <w:r w:rsidRPr="00841BE0">
        <w:rPr>
          <w:sz w:val="24"/>
          <w:szCs w:val="24"/>
        </w:rPr>
        <w:t>metforminbehandling</w:t>
      </w:r>
      <w:proofErr w:type="spellEnd"/>
    </w:p>
    <w:tbl>
      <w:tblPr>
        <w:tblStyle w:val="TableNormal6"/>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6"/>
        <w:gridCol w:w="1358"/>
        <w:gridCol w:w="2713"/>
        <w:gridCol w:w="2561"/>
      </w:tblGrid>
      <w:tr w:rsidR="00841BE0" w:rsidRPr="00841BE0" w14:paraId="2CFE9F4E" w14:textId="77777777" w:rsidTr="00412655">
        <w:trPr>
          <w:trHeight w:val="254"/>
        </w:trPr>
        <w:tc>
          <w:tcPr>
            <w:tcW w:w="1556" w:type="pct"/>
            <w:vMerge w:val="restart"/>
            <w:tcBorders>
              <w:top w:val="single" w:sz="4" w:space="0" w:color="000000"/>
              <w:left w:val="single" w:sz="4" w:space="0" w:color="000000"/>
              <w:bottom w:val="single" w:sz="4" w:space="0" w:color="000000"/>
              <w:right w:val="single" w:sz="4" w:space="0" w:color="000000"/>
            </w:tcBorders>
          </w:tcPr>
          <w:p w14:paraId="022C8911" w14:textId="77777777" w:rsidR="00841BE0" w:rsidRPr="00841BE0" w:rsidRDefault="00841BE0" w:rsidP="00412655">
            <w:pPr>
              <w:widowControl/>
              <w:autoSpaceDE/>
              <w:autoSpaceDN/>
              <w:ind w:left="142"/>
              <w:rPr>
                <w:rFonts w:ascii="Times New Roman" w:eastAsia="Times New Roman" w:hAnsi="Times New Roman"/>
                <w:sz w:val="22"/>
                <w:lang w:val="da-DK"/>
              </w:rPr>
            </w:pPr>
          </w:p>
        </w:tc>
        <w:tc>
          <w:tcPr>
            <w:tcW w:w="705" w:type="pct"/>
            <w:vMerge w:val="restart"/>
            <w:tcBorders>
              <w:top w:val="single" w:sz="4" w:space="0" w:color="000000"/>
              <w:left w:val="single" w:sz="4" w:space="0" w:color="000000"/>
              <w:bottom w:val="single" w:sz="4" w:space="0" w:color="000000"/>
              <w:right w:val="single" w:sz="4" w:space="0" w:color="000000"/>
            </w:tcBorders>
            <w:hideMark/>
          </w:tcPr>
          <w:p w14:paraId="019303C2" w14:textId="77777777" w:rsidR="00841BE0" w:rsidRPr="00841BE0" w:rsidRDefault="00841BE0" w:rsidP="00412655">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Placebo</w:t>
            </w:r>
          </w:p>
        </w:tc>
        <w:tc>
          <w:tcPr>
            <w:tcW w:w="2739" w:type="pct"/>
            <w:gridSpan w:val="2"/>
            <w:tcBorders>
              <w:top w:val="single" w:sz="4" w:space="0" w:color="000000"/>
              <w:left w:val="single" w:sz="4" w:space="0" w:color="000000"/>
              <w:bottom w:val="single" w:sz="4" w:space="0" w:color="000000"/>
              <w:right w:val="single" w:sz="4" w:space="0" w:color="000000"/>
            </w:tcBorders>
            <w:hideMark/>
          </w:tcPr>
          <w:p w14:paraId="0003CDE6" w14:textId="77777777" w:rsidR="00841BE0" w:rsidRPr="00841BE0" w:rsidRDefault="00841BE0" w:rsidP="00412655">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Empagliflozin</w:t>
            </w:r>
          </w:p>
        </w:tc>
      </w:tr>
      <w:tr w:rsidR="00841BE0" w:rsidRPr="00841BE0" w14:paraId="235889C8" w14:textId="77777777" w:rsidTr="00412655">
        <w:trPr>
          <w:trHeight w:val="251"/>
        </w:trPr>
        <w:tc>
          <w:tcPr>
            <w:tcW w:w="1556" w:type="pct"/>
            <w:vMerge/>
            <w:tcBorders>
              <w:top w:val="single" w:sz="4" w:space="0" w:color="000000"/>
              <w:left w:val="single" w:sz="4" w:space="0" w:color="000000"/>
              <w:bottom w:val="single" w:sz="4" w:space="0" w:color="000000"/>
              <w:right w:val="single" w:sz="4" w:space="0" w:color="000000"/>
            </w:tcBorders>
            <w:vAlign w:val="center"/>
            <w:hideMark/>
          </w:tcPr>
          <w:p w14:paraId="3F32473D" w14:textId="77777777" w:rsidR="00841BE0" w:rsidRPr="00841BE0" w:rsidRDefault="00841BE0" w:rsidP="00412655">
            <w:pPr>
              <w:widowControl/>
              <w:autoSpaceDE/>
              <w:autoSpaceDN/>
              <w:ind w:left="142"/>
              <w:rPr>
                <w:rFonts w:ascii="Times New Roman" w:eastAsia="Times New Roman" w:hAnsi="Times New Roman"/>
                <w:sz w:val="22"/>
              </w:rPr>
            </w:pPr>
          </w:p>
        </w:tc>
        <w:tc>
          <w:tcPr>
            <w:tcW w:w="705" w:type="pct"/>
            <w:vMerge/>
            <w:tcBorders>
              <w:top w:val="single" w:sz="4" w:space="0" w:color="000000"/>
              <w:left w:val="single" w:sz="4" w:space="0" w:color="000000"/>
              <w:bottom w:val="single" w:sz="4" w:space="0" w:color="000000"/>
              <w:right w:val="single" w:sz="4" w:space="0" w:color="000000"/>
            </w:tcBorders>
            <w:vAlign w:val="center"/>
            <w:hideMark/>
          </w:tcPr>
          <w:p w14:paraId="06E3BD9D" w14:textId="77777777" w:rsidR="00841BE0" w:rsidRPr="00841BE0" w:rsidRDefault="00841BE0" w:rsidP="00412655">
            <w:pPr>
              <w:widowControl/>
              <w:autoSpaceDE/>
              <w:autoSpaceDN/>
              <w:ind w:left="142"/>
              <w:rPr>
                <w:rFonts w:ascii="Times New Roman" w:eastAsia="Times New Roman" w:hAnsi="Times New Roman"/>
                <w:b/>
                <w:sz w:val="22"/>
              </w:rPr>
            </w:pPr>
          </w:p>
        </w:tc>
        <w:tc>
          <w:tcPr>
            <w:tcW w:w="1409" w:type="pct"/>
            <w:tcBorders>
              <w:top w:val="single" w:sz="4" w:space="0" w:color="000000"/>
              <w:left w:val="single" w:sz="4" w:space="0" w:color="000000"/>
              <w:bottom w:val="single" w:sz="4" w:space="0" w:color="000000"/>
              <w:right w:val="single" w:sz="4" w:space="0" w:color="000000"/>
            </w:tcBorders>
            <w:hideMark/>
          </w:tcPr>
          <w:p w14:paraId="69EDEA54" w14:textId="77777777" w:rsidR="00841BE0" w:rsidRPr="00841BE0" w:rsidRDefault="00841BE0" w:rsidP="00412655">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10 mg</w:t>
            </w:r>
          </w:p>
        </w:tc>
        <w:tc>
          <w:tcPr>
            <w:tcW w:w="1330" w:type="pct"/>
            <w:tcBorders>
              <w:top w:val="single" w:sz="4" w:space="0" w:color="000000"/>
              <w:left w:val="single" w:sz="4" w:space="0" w:color="000000"/>
              <w:bottom w:val="single" w:sz="4" w:space="0" w:color="000000"/>
              <w:right w:val="single" w:sz="4" w:space="0" w:color="000000"/>
            </w:tcBorders>
            <w:hideMark/>
          </w:tcPr>
          <w:p w14:paraId="67437E7E" w14:textId="77777777" w:rsidR="00841BE0" w:rsidRPr="00841BE0" w:rsidRDefault="00841BE0" w:rsidP="00412655">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25 mg</w:t>
            </w:r>
          </w:p>
        </w:tc>
      </w:tr>
      <w:tr w:rsidR="00841BE0" w:rsidRPr="00841BE0" w14:paraId="5EBBBC27" w14:textId="77777777" w:rsidTr="00412655">
        <w:trPr>
          <w:trHeight w:val="253"/>
        </w:trPr>
        <w:tc>
          <w:tcPr>
            <w:tcW w:w="1556" w:type="pct"/>
            <w:tcBorders>
              <w:top w:val="single" w:sz="4" w:space="0" w:color="000000"/>
              <w:left w:val="single" w:sz="4" w:space="0" w:color="000000"/>
              <w:bottom w:val="single" w:sz="4" w:space="0" w:color="000000"/>
              <w:right w:val="single" w:sz="4" w:space="0" w:color="000000"/>
            </w:tcBorders>
            <w:hideMark/>
          </w:tcPr>
          <w:p w14:paraId="16AA879D"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N</w:t>
            </w:r>
          </w:p>
        </w:tc>
        <w:tc>
          <w:tcPr>
            <w:tcW w:w="705" w:type="pct"/>
            <w:tcBorders>
              <w:top w:val="single" w:sz="4" w:space="0" w:color="000000"/>
              <w:left w:val="single" w:sz="4" w:space="0" w:color="000000"/>
              <w:bottom w:val="single" w:sz="4" w:space="0" w:color="000000"/>
              <w:right w:val="single" w:sz="4" w:space="0" w:color="000000"/>
            </w:tcBorders>
            <w:hideMark/>
          </w:tcPr>
          <w:p w14:paraId="2721503A"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135</w:t>
            </w:r>
          </w:p>
        </w:tc>
        <w:tc>
          <w:tcPr>
            <w:tcW w:w="1409" w:type="pct"/>
            <w:tcBorders>
              <w:top w:val="single" w:sz="4" w:space="0" w:color="000000"/>
              <w:left w:val="single" w:sz="4" w:space="0" w:color="000000"/>
              <w:bottom w:val="single" w:sz="4" w:space="0" w:color="000000"/>
              <w:right w:val="single" w:sz="4" w:space="0" w:color="000000"/>
            </w:tcBorders>
            <w:hideMark/>
          </w:tcPr>
          <w:p w14:paraId="440F91C5"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128</w:t>
            </w:r>
          </w:p>
        </w:tc>
        <w:tc>
          <w:tcPr>
            <w:tcW w:w="1330" w:type="pct"/>
            <w:tcBorders>
              <w:top w:val="single" w:sz="4" w:space="0" w:color="000000"/>
              <w:left w:val="single" w:sz="4" w:space="0" w:color="000000"/>
              <w:bottom w:val="single" w:sz="4" w:space="0" w:color="000000"/>
              <w:right w:val="single" w:sz="4" w:space="0" w:color="000000"/>
            </w:tcBorders>
            <w:hideMark/>
          </w:tcPr>
          <w:p w14:paraId="2457FE19"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137</w:t>
            </w:r>
          </w:p>
        </w:tc>
      </w:tr>
      <w:tr w:rsidR="00841BE0" w:rsidRPr="00841BE0" w14:paraId="795EE2E6" w14:textId="77777777" w:rsidTr="00412655">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632E1169"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b/>
                <w:sz w:val="22"/>
              </w:rPr>
              <w:t xml:space="preserve">HbA1c (%) </w:t>
            </w:r>
            <w:proofErr w:type="spellStart"/>
            <w:r w:rsidRPr="00841BE0">
              <w:rPr>
                <w:rFonts w:ascii="Times New Roman" w:eastAsia="Times New Roman" w:hAnsi="Times New Roman"/>
                <w:b/>
                <w:sz w:val="22"/>
              </w:rPr>
              <w:t>ved</w:t>
            </w:r>
            <w:proofErr w:type="spellEnd"/>
            <w:r w:rsidRPr="00841BE0">
              <w:rPr>
                <w:rFonts w:ascii="Times New Roman" w:eastAsia="Times New Roman" w:hAnsi="Times New Roman"/>
                <w:b/>
                <w:sz w:val="22"/>
              </w:rPr>
              <w:t xml:space="preserve"> </w:t>
            </w:r>
            <w:proofErr w:type="spellStart"/>
            <w:r w:rsidRPr="00841BE0">
              <w:rPr>
                <w:rFonts w:ascii="Times New Roman" w:eastAsia="Times New Roman" w:hAnsi="Times New Roman"/>
                <w:b/>
                <w:sz w:val="22"/>
              </w:rPr>
              <w:t>uge</w:t>
            </w:r>
            <w:proofErr w:type="spellEnd"/>
            <w:r w:rsidRPr="00841BE0">
              <w:rPr>
                <w:rFonts w:ascii="Times New Roman" w:eastAsia="Times New Roman" w:hAnsi="Times New Roman"/>
                <w:b/>
                <w:sz w:val="22"/>
              </w:rPr>
              <w:t> 18</w:t>
            </w:r>
            <w:r w:rsidRPr="00841BE0">
              <w:rPr>
                <w:rFonts w:ascii="Times New Roman" w:eastAsia="Times New Roman" w:hAnsi="Times New Roman"/>
                <w:sz w:val="22"/>
                <w:vertAlign w:val="superscript"/>
              </w:rPr>
              <w:t>a</w:t>
            </w:r>
          </w:p>
        </w:tc>
      </w:tr>
      <w:tr w:rsidR="00841BE0" w:rsidRPr="00841BE0" w14:paraId="4EC09E30" w14:textId="77777777" w:rsidTr="00412655">
        <w:trPr>
          <w:trHeight w:val="251"/>
        </w:trPr>
        <w:tc>
          <w:tcPr>
            <w:tcW w:w="1556" w:type="pct"/>
            <w:tcBorders>
              <w:top w:val="single" w:sz="4" w:space="0" w:color="000000"/>
              <w:left w:val="single" w:sz="4" w:space="0" w:color="000000"/>
              <w:bottom w:val="single" w:sz="4" w:space="0" w:color="000000"/>
              <w:right w:val="single" w:sz="4" w:space="0" w:color="000000"/>
            </w:tcBorders>
            <w:hideMark/>
          </w:tcPr>
          <w:p w14:paraId="48339820"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i/>
                <w:sz w:val="22"/>
              </w:rPr>
              <w:t xml:space="preserve">Baseline </w:t>
            </w:r>
            <w:r w:rsidRPr="00841BE0">
              <w:rPr>
                <w:rFonts w:ascii="Times New Roman" w:eastAsia="Times New Roman" w:hAnsi="Times New Roman"/>
                <w:sz w:val="22"/>
              </w:rPr>
              <w:t>(</w:t>
            </w:r>
            <w:proofErr w:type="spellStart"/>
            <w:r w:rsidRPr="00841BE0">
              <w:rPr>
                <w:rFonts w:ascii="Times New Roman" w:eastAsia="Times New Roman" w:hAnsi="Times New Roman"/>
                <w:sz w:val="22"/>
              </w:rPr>
              <w:t>middelværdi</w:t>
            </w:r>
            <w:proofErr w:type="spellEnd"/>
            <w:r w:rsidRPr="00841BE0">
              <w:rPr>
                <w:rFonts w:ascii="Times New Roman" w:eastAsia="Times New Roman" w:hAnsi="Times New Roman"/>
                <w:sz w:val="22"/>
              </w:rPr>
              <w:t>)</w:t>
            </w:r>
          </w:p>
        </w:tc>
        <w:tc>
          <w:tcPr>
            <w:tcW w:w="705" w:type="pct"/>
            <w:tcBorders>
              <w:top w:val="single" w:sz="4" w:space="0" w:color="000000"/>
              <w:left w:val="single" w:sz="4" w:space="0" w:color="000000"/>
              <w:bottom w:val="single" w:sz="4" w:space="0" w:color="000000"/>
              <w:right w:val="single" w:sz="4" w:space="0" w:color="000000"/>
            </w:tcBorders>
            <w:hideMark/>
          </w:tcPr>
          <w:p w14:paraId="7E5FE627"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8,29</w:t>
            </w:r>
          </w:p>
        </w:tc>
        <w:tc>
          <w:tcPr>
            <w:tcW w:w="1409" w:type="pct"/>
            <w:tcBorders>
              <w:top w:val="single" w:sz="4" w:space="0" w:color="000000"/>
              <w:left w:val="single" w:sz="4" w:space="0" w:color="000000"/>
              <w:bottom w:val="single" w:sz="4" w:space="0" w:color="000000"/>
              <w:right w:val="single" w:sz="4" w:space="0" w:color="000000"/>
            </w:tcBorders>
            <w:hideMark/>
          </w:tcPr>
          <w:p w14:paraId="400D60E7"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8,42</w:t>
            </w:r>
          </w:p>
        </w:tc>
        <w:tc>
          <w:tcPr>
            <w:tcW w:w="1330" w:type="pct"/>
            <w:tcBorders>
              <w:top w:val="single" w:sz="4" w:space="0" w:color="000000"/>
              <w:left w:val="single" w:sz="4" w:space="0" w:color="000000"/>
              <w:bottom w:val="single" w:sz="4" w:space="0" w:color="000000"/>
              <w:right w:val="single" w:sz="4" w:space="0" w:color="000000"/>
            </w:tcBorders>
            <w:hideMark/>
          </w:tcPr>
          <w:p w14:paraId="5C4B45C6"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8,29</w:t>
            </w:r>
          </w:p>
        </w:tc>
      </w:tr>
      <w:tr w:rsidR="00841BE0" w:rsidRPr="00841BE0" w14:paraId="32D2151F" w14:textId="77777777" w:rsidTr="00412655">
        <w:trPr>
          <w:trHeight w:val="254"/>
        </w:trPr>
        <w:tc>
          <w:tcPr>
            <w:tcW w:w="1556" w:type="pct"/>
            <w:tcBorders>
              <w:top w:val="single" w:sz="4" w:space="0" w:color="000000"/>
              <w:left w:val="single" w:sz="4" w:space="0" w:color="000000"/>
              <w:bottom w:val="single" w:sz="4" w:space="0" w:color="000000"/>
              <w:right w:val="single" w:sz="4" w:space="0" w:color="000000"/>
            </w:tcBorders>
            <w:hideMark/>
          </w:tcPr>
          <w:p w14:paraId="4E81686F" w14:textId="77777777" w:rsidR="00841BE0" w:rsidRPr="00841BE0" w:rsidRDefault="00841BE0" w:rsidP="00412655">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Ændring</w:t>
            </w:r>
            <w:proofErr w:type="spellEnd"/>
            <w:r w:rsidRPr="00841BE0">
              <w:rPr>
                <w:rFonts w:ascii="Times New Roman" w:eastAsia="Times New Roman" w:hAnsi="Times New Roman"/>
                <w:sz w:val="22"/>
              </w:rPr>
              <w:t xml:space="preserve"> fra </w:t>
            </w:r>
            <w:r w:rsidRPr="00841BE0">
              <w:rPr>
                <w:rFonts w:ascii="Times New Roman" w:eastAsia="Times New Roman" w:hAnsi="Times New Roman"/>
                <w:i/>
                <w:sz w:val="22"/>
              </w:rPr>
              <w:t>baseline</w:t>
            </w:r>
            <w:r w:rsidRPr="00841BE0">
              <w:rPr>
                <w:rFonts w:ascii="Times New Roman" w:eastAsia="Times New Roman" w:hAnsi="Times New Roman"/>
                <w:sz w:val="22"/>
                <w:vertAlign w:val="superscript"/>
              </w:rPr>
              <w:t>1</w:t>
            </w:r>
          </w:p>
        </w:tc>
        <w:tc>
          <w:tcPr>
            <w:tcW w:w="705" w:type="pct"/>
            <w:tcBorders>
              <w:top w:val="single" w:sz="4" w:space="0" w:color="000000"/>
              <w:left w:val="single" w:sz="4" w:space="0" w:color="000000"/>
              <w:bottom w:val="single" w:sz="4" w:space="0" w:color="000000"/>
              <w:right w:val="single" w:sz="4" w:space="0" w:color="000000"/>
            </w:tcBorders>
            <w:hideMark/>
          </w:tcPr>
          <w:p w14:paraId="559051B9"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0,58</w:t>
            </w:r>
          </w:p>
        </w:tc>
        <w:tc>
          <w:tcPr>
            <w:tcW w:w="1409" w:type="pct"/>
            <w:tcBorders>
              <w:top w:val="single" w:sz="4" w:space="0" w:color="000000"/>
              <w:left w:val="single" w:sz="4" w:space="0" w:color="000000"/>
              <w:bottom w:val="single" w:sz="4" w:space="0" w:color="000000"/>
              <w:right w:val="single" w:sz="4" w:space="0" w:color="000000"/>
            </w:tcBorders>
            <w:hideMark/>
          </w:tcPr>
          <w:p w14:paraId="1C9C1986"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0,99</w:t>
            </w:r>
          </w:p>
        </w:tc>
        <w:tc>
          <w:tcPr>
            <w:tcW w:w="1330" w:type="pct"/>
            <w:tcBorders>
              <w:top w:val="single" w:sz="4" w:space="0" w:color="000000"/>
              <w:left w:val="single" w:sz="4" w:space="0" w:color="000000"/>
              <w:bottom w:val="single" w:sz="4" w:space="0" w:color="000000"/>
              <w:right w:val="single" w:sz="4" w:space="0" w:color="000000"/>
            </w:tcBorders>
            <w:hideMark/>
          </w:tcPr>
          <w:p w14:paraId="2B8BF210"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1,03</w:t>
            </w:r>
          </w:p>
        </w:tc>
      </w:tr>
      <w:tr w:rsidR="00841BE0" w:rsidRPr="00841BE0" w14:paraId="5FBE1F3B" w14:textId="77777777" w:rsidTr="00412655">
        <w:trPr>
          <w:trHeight w:val="505"/>
        </w:trPr>
        <w:tc>
          <w:tcPr>
            <w:tcW w:w="1556" w:type="pct"/>
            <w:tcBorders>
              <w:top w:val="single" w:sz="4" w:space="0" w:color="000000"/>
              <w:left w:val="single" w:sz="4" w:space="0" w:color="000000"/>
              <w:bottom w:val="single" w:sz="4" w:space="0" w:color="000000"/>
              <w:right w:val="single" w:sz="4" w:space="0" w:color="000000"/>
            </w:tcBorders>
            <w:hideMark/>
          </w:tcPr>
          <w:p w14:paraId="408120C6" w14:textId="77777777" w:rsidR="00841BE0" w:rsidRPr="00841BE0" w:rsidRDefault="00841BE0" w:rsidP="00412655">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Forskel</w:t>
            </w:r>
            <w:proofErr w:type="spellEnd"/>
            <w:r w:rsidRPr="00841BE0">
              <w:rPr>
                <w:rFonts w:ascii="Times New Roman" w:eastAsia="Times New Roman" w:hAnsi="Times New Roman"/>
                <w:sz w:val="22"/>
              </w:rPr>
              <w:t xml:space="preserve"> </w:t>
            </w:r>
            <w:proofErr w:type="spellStart"/>
            <w:r w:rsidRPr="00841BE0">
              <w:rPr>
                <w:rFonts w:ascii="Times New Roman" w:eastAsia="Times New Roman" w:hAnsi="Times New Roman"/>
                <w:sz w:val="22"/>
              </w:rPr>
              <w:t>til</w:t>
            </w:r>
            <w:proofErr w:type="spellEnd"/>
            <w:r w:rsidRPr="00841BE0">
              <w:rPr>
                <w:rFonts w:ascii="Times New Roman" w:eastAsia="Times New Roman" w:hAnsi="Times New Roman"/>
                <w:sz w:val="22"/>
              </w:rPr>
              <w:t xml:space="preserve"> placebo</w:t>
            </w:r>
            <w:r w:rsidRPr="00841BE0">
              <w:rPr>
                <w:rFonts w:ascii="Times New Roman" w:eastAsia="Times New Roman" w:hAnsi="Times New Roman"/>
                <w:sz w:val="22"/>
                <w:vertAlign w:val="superscript"/>
              </w:rPr>
              <w:t>1</w:t>
            </w:r>
          </w:p>
          <w:p w14:paraId="34D335F4"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(97,5 % CI)</w:t>
            </w:r>
          </w:p>
        </w:tc>
        <w:tc>
          <w:tcPr>
            <w:tcW w:w="705" w:type="pct"/>
            <w:tcBorders>
              <w:top w:val="single" w:sz="4" w:space="0" w:color="000000"/>
              <w:left w:val="single" w:sz="4" w:space="0" w:color="000000"/>
              <w:bottom w:val="single" w:sz="4" w:space="0" w:color="000000"/>
              <w:right w:val="single" w:sz="4" w:space="0" w:color="000000"/>
            </w:tcBorders>
          </w:tcPr>
          <w:p w14:paraId="25C9AC4E" w14:textId="77777777" w:rsidR="00841BE0" w:rsidRPr="00841BE0" w:rsidRDefault="00841BE0" w:rsidP="00412655">
            <w:pPr>
              <w:widowControl/>
              <w:autoSpaceDE/>
              <w:autoSpaceDN/>
              <w:ind w:left="142"/>
              <w:rPr>
                <w:rFonts w:ascii="Times New Roman" w:eastAsia="Times New Roman" w:hAnsi="Times New Roman"/>
                <w:sz w:val="22"/>
              </w:rPr>
            </w:pPr>
          </w:p>
        </w:tc>
        <w:tc>
          <w:tcPr>
            <w:tcW w:w="1409" w:type="pct"/>
            <w:tcBorders>
              <w:top w:val="single" w:sz="4" w:space="0" w:color="000000"/>
              <w:left w:val="single" w:sz="4" w:space="0" w:color="000000"/>
              <w:bottom w:val="single" w:sz="4" w:space="0" w:color="000000"/>
              <w:right w:val="single" w:sz="4" w:space="0" w:color="000000"/>
            </w:tcBorders>
            <w:hideMark/>
          </w:tcPr>
          <w:p w14:paraId="44E3FDEF"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0,41* (</w:t>
            </w:r>
            <w:r w:rsidRPr="00841BE0">
              <w:rPr>
                <w:rFonts w:ascii="Times New Roman" w:eastAsia="Times New Roman" w:hAnsi="Times New Roman"/>
                <w:sz w:val="22"/>
              </w:rPr>
              <w:noBreakHyphen/>
            </w:r>
            <w:proofErr w:type="gramStart"/>
            <w:r w:rsidRPr="00841BE0">
              <w:rPr>
                <w:rFonts w:ascii="Times New Roman" w:eastAsia="Times New Roman" w:hAnsi="Times New Roman"/>
                <w:sz w:val="22"/>
              </w:rPr>
              <w:t xml:space="preserve">0,61;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0,21)</w:t>
            </w:r>
          </w:p>
        </w:tc>
        <w:tc>
          <w:tcPr>
            <w:tcW w:w="1330" w:type="pct"/>
            <w:tcBorders>
              <w:top w:val="single" w:sz="4" w:space="0" w:color="000000"/>
              <w:left w:val="single" w:sz="4" w:space="0" w:color="000000"/>
              <w:bottom w:val="single" w:sz="4" w:space="0" w:color="000000"/>
              <w:right w:val="single" w:sz="4" w:space="0" w:color="000000"/>
            </w:tcBorders>
            <w:hideMark/>
          </w:tcPr>
          <w:p w14:paraId="79918C3E"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0,45* (</w:t>
            </w:r>
            <w:r w:rsidRPr="00841BE0">
              <w:rPr>
                <w:rFonts w:ascii="Times New Roman" w:eastAsia="Times New Roman" w:hAnsi="Times New Roman"/>
                <w:sz w:val="22"/>
              </w:rPr>
              <w:noBreakHyphen/>
            </w:r>
            <w:proofErr w:type="gramStart"/>
            <w:r w:rsidRPr="00841BE0">
              <w:rPr>
                <w:rFonts w:ascii="Times New Roman" w:eastAsia="Times New Roman" w:hAnsi="Times New Roman"/>
                <w:sz w:val="22"/>
              </w:rPr>
              <w:t xml:space="preserve">0,65;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0,25)</w:t>
            </w:r>
          </w:p>
        </w:tc>
      </w:tr>
      <w:tr w:rsidR="00841BE0" w:rsidRPr="00841BE0" w14:paraId="6FF11BEC" w14:textId="77777777" w:rsidTr="00412655">
        <w:trPr>
          <w:trHeight w:val="251"/>
        </w:trPr>
        <w:tc>
          <w:tcPr>
            <w:tcW w:w="1556" w:type="pct"/>
            <w:tcBorders>
              <w:top w:val="single" w:sz="4" w:space="0" w:color="000000"/>
              <w:left w:val="single" w:sz="4" w:space="0" w:color="000000"/>
              <w:bottom w:val="single" w:sz="4" w:space="0" w:color="000000"/>
              <w:right w:val="single" w:sz="4" w:space="0" w:color="000000"/>
            </w:tcBorders>
            <w:hideMark/>
          </w:tcPr>
          <w:p w14:paraId="1BC10C41"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N</w:t>
            </w:r>
          </w:p>
        </w:tc>
        <w:tc>
          <w:tcPr>
            <w:tcW w:w="705" w:type="pct"/>
            <w:tcBorders>
              <w:top w:val="single" w:sz="4" w:space="0" w:color="000000"/>
              <w:left w:val="single" w:sz="4" w:space="0" w:color="000000"/>
              <w:bottom w:val="single" w:sz="4" w:space="0" w:color="000000"/>
              <w:right w:val="single" w:sz="4" w:space="0" w:color="000000"/>
            </w:tcBorders>
            <w:hideMark/>
          </w:tcPr>
          <w:p w14:paraId="57FFC9B7"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86</w:t>
            </w:r>
          </w:p>
        </w:tc>
        <w:tc>
          <w:tcPr>
            <w:tcW w:w="1409" w:type="pct"/>
            <w:tcBorders>
              <w:top w:val="single" w:sz="4" w:space="0" w:color="000000"/>
              <w:left w:val="single" w:sz="4" w:space="0" w:color="000000"/>
              <w:bottom w:val="single" w:sz="4" w:space="0" w:color="000000"/>
              <w:right w:val="single" w:sz="4" w:space="0" w:color="000000"/>
            </w:tcBorders>
            <w:hideMark/>
          </w:tcPr>
          <w:p w14:paraId="0AEA62DA"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84</w:t>
            </w:r>
          </w:p>
        </w:tc>
        <w:tc>
          <w:tcPr>
            <w:tcW w:w="1330" w:type="pct"/>
            <w:tcBorders>
              <w:top w:val="single" w:sz="4" w:space="0" w:color="000000"/>
              <w:left w:val="single" w:sz="4" w:space="0" w:color="000000"/>
              <w:bottom w:val="single" w:sz="4" w:space="0" w:color="000000"/>
              <w:right w:val="single" w:sz="4" w:space="0" w:color="000000"/>
            </w:tcBorders>
            <w:hideMark/>
          </w:tcPr>
          <w:p w14:paraId="5CDEF1DA"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87</w:t>
            </w:r>
          </w:p>
        </w:tc>
      </w:tr>
      <w:tr w:rsidR="00841BE0" w:rsidRPr="00841BE0" w14:paraId="6F396364" w14:textId="77777777" w:rsidTr="00412655">
        <w:trPr>
          <w:trHeight w:val="254"/>
        </w:trPr>
        <w:tc>
          <w:tcPr>
            <w:tcW w:w="1556" w:type="pct"/>
            <w:tcBorders>
              <w:top w:val="single" w:sz="4" w:space="0" w:color="000000"/>
              <w:left w:val="single" w:sz="4" w:space="0" w:color="000000"/>
              <w:bottom w:val="single" w:sz="4" w:space="0" w:color="000000"/>
              <w:right w:val="single" w:sz="4" w:space="0" w:color="000000"/>
            </w:tcBorders>
            <w:hideMark/>
          </w:tcPr>
          <w:p w14:paraId="0FC923E0"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b/>
                <w:sz w:val="22"/>
              </w:rPr>
              <w:t xml:space="preserve">HbA1c (%) </w:t>
            </w:r>
            <w:proofErr w:type="spellStart"/>
            <w:r w:rsidRPr="00841BE0">
              <w:rPr>
                <w:rFonts w:ascii="Times New Roman" w:eastAsia="Times New Roman" w:hAnsi="Times New Roman"/>
                <w:b/>
                <w:sz w:val="22"/>
              </w:rPr>
              <w:t>ved</w:t>
            </w:r>
            <w:proofErr w:type="spellEnd"/>
            <w:r w:rsidRPr="00841BE0">
              <w:rPr>
                <w:rFonts w:ascii="Times New Roman" w:eastAsia="Times New Roman" w:hAnsi="Times New Roman"/>
                <w:b/>
                <w:sz w:val="22"/>
              </w:rPr>
              <w:t xml:space="preserve"> </w:t>
            </w:r>
            <w:proofErr w:type="spellStart"/>
            <w:r w:rsidRPr="00841BE0">
              <w:rPr>
                <w:rFonts w:ascii="Times New Roman" w:eastAsia="Times New Roman" w:hAnsi="Times New Roman"/>
                <w:b/>
                <w:sz w:val="22"/>
              </w:rPr>
              <w:t>uge</w:t>
            </w:r>
            <w:proofErr w:type="spellEnd"/>
            <w:r w:rsidRPr="00841BE0">
              <w:rPr>
                <w:rFonts w:ascii="Times New Roman" w:eastAsia="Times New Roman" w:hAnsi="Times New Roman"/>
                <w:b/>
                <w:sz w:val="22"/>
              </w:rPr>
              <w:t> 52</w:t>
            </w:r>
            <w:r w:rsidRPr="00841BE0">
              <w:rPr>
                <w:rFonts w:ascii="Times New Roman" w:eastAsia="Times New Roman" w:hAnsi="Times New Roman"/>
                <w:sz w:val="22"/>
                <w:vertAlign w:val="superscript"/>
              </w:rPr>
              <w:t>b</w:t>
            </w:r>
          </w:p>
        </w:tc>
        <w:tc>
          <w:tcPr>
            <w:tcW w:w="705" w:type="pct"/>
            <w:tcBorders>
              <w:top w:val="single" w:sz="4" w:space="0" w:color="000000"/>
              <w:left w:val="single" w:sz="4" w:space="0" w:color="000000"/>
              <w:bottom w:val="single" w:sz="4" w:space="0" w:color="000000"/>
              <w:right w:val="single" w:sz="4" w:space="0" w:color="000000"/>
            </w:tcBorders>
          </w:tcPr>
          <w:p w14:paraId="3271F4A9" w14:textId="77777777" w:rsidR="00841BE0" w:rsidRPr="00841BE0" w:rsidRDefault="00841BE0" w:rsidP="00412655">
            <w:pPr>
              <w:widowControl/>
              <w:autoSpaceDE/>
              <w:autoSpaceDN/>
              <w:ind w:left="142"/>
              <w:rPr>
                <w:rFonts w:ascii="Times New Roman" w:eastAsia="Times New Roman" w:hAnsi="Times New Roman"/>
                <w:sz w:val="22"/>
              </w:rPr>
            </w:pPr>
          </w:p>
        </w:tc>
        <w:tc>
          <w:tcPr>
            <w:tcW w:w="1409" w:type="pct"/>
            <w:tcBorders>
              <w:top w:val="single" w:sz="4" w:space="0" w:color="000000"/>
              <w:left w:val="single" w:sz="4" w:space="0" w:color="000000"/>
              <w:bottom w:val="single" w:sz="4" w:space="0" w:color="000000"/>
              <w:right w:val="single" w:sz="4" w:space="0" w:color="000000"/>
            </w:tcBorders>
          </w:tcPr>
          <w:p w14:paraId="58C3B848" w14:textId="77777777" w:rsidR="00841BE0" w:rsidRPr="00841BE0" w:rsidRDefault="00841BE0" w:rsidP="00412655">
            <w:pPr>
              <w:widowControl/>
              <w:autoSpaceDE/>
              <w:autoSpaceDN/>
              <w:ind w:left="142"/>
              <w:rPr>
                <w:rFonts w:ascii="Times New Roman" w:eastAsia="Times New Roman" w:hAnsi="Times New Roman"/>
                <w:sz w:val="22"/>
              </w:rPr>
            </w:pPr>
          </w:p>
        </w:tc>
        <w:tc>
          <w:tcPr>
            <w:tcW w:w="1330" w:type="pct"/>
            <w:tcBorders>
              <w:top w:val="single" w:sz="4" w:space="0" w:color="000000"/>
              <w:left w:val="single" w:sz="4" w:space="0" w:color="000000"/>
              <w:bottom w:val="single" w:sz="4" w:space="0" w:color="000000"/>
              <w:right w:val="single" w:sz="4" w:space="0" w:color="000000"/>
            </w:tcBorders>
          </w:tcPr>
          <w:p w14:paraId="67818788" w14:textId="77777777" w:rsidR="00841BE0" w:rsidRPr="00841BE0" w:rsidRDefault="00841BE0" w:rsidP="00412655">
            <w:pPr>
              <w:widowControl/>
              <w:autoSpaceDE/>
              <w:autoSpaceDN/>
              <w:ind w:left="142"/>
              <w:rPr>
                <w:rFonts w:ascii="Times New Roman" w:eastAsia="Times New Roman" w:hAnsi="Times New Roman"/>
                <w:sz w:val="22"/>
              </w:rPr>
            </w:pPr>
          </w:p>
        </w:tc>
      </w:tr>
      <w:tr w:rsidR="00841BE0" w:rsidRPr="00841BE0" w14:paraId="297A3C24" w14:textId="77777777" w:rsidTr="00412655">
        <w:trPr>
          <w:trHeight w:val="251"/>
        </w:trPr>
        <w:tc>
          <w:tcPr>
            <w:tcW w:w="1556" w:type="pct"/>
            <w:tcBorders>
              <w:top w:val="single" w:sz="4" w:space="0" w:color="000000"/>
              <w:left w:val="single" w:sz="4" w:space="0" w:color="000000"/>
              <w:bottom w:val="single" w:sz="4" w:space="0" w:color="000000"/>
              <w:right w:val="single" w:sz="4" w:space="0" w:color="000000"/>
            </w:tcBorders>
            <w:hideMark/>
          </w:tcPr>
          <w:p w14:paraId="07A6DE41"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i/>
                <w:sz w:val="22"/>
              </w:rPr>
              <w:t xml:space="preserve">Baseline </w:t>
            </w:r>
            <w:r w:rsidRPr="00841BE0">
              <w:rPr>
                <w:rFonts w:ascii="Times New Roman" w:eastAsia="Times New Roman" w:hAnsi="Times New Roman"/>
                <w:sz w:val="22"/>
              </w:rPr>
              <w:t>(</w:t>
            </w:r>
            <w:proofErr w:type="spellStart"/>
            <w:r w:rsidRPr="00841BE0">
              <w:rPr>
                <w:rFonts w:ascii="Times New Roman" w:eastAsia="Times New Roman" w:hAnsi="Times New Roman"/>
                <w:sz w:val="22"/>
              </w:rPr>
              <w:t>middelværdi</w:t>
            </w:r>
            <w:proofErr w:type="spellEnd"/>
            <w:r w:rsidRPr="00841BE0">
              <w:rPr>
                <w:rFonts w:ascii="Times New Roman" w:eastAsia="Times New Roman" w:hAnsi="Times New Roman"/>
                <w:sz w:val="22"/>
              </w:rPr>
              <w:t>)</w:t>
            </w:r>
          </w:p>
        </w:tc>
        <w:tc>
          <w:tcPr>
            <w:tcW w:w="705" w:type="pct"/>
            <w:tcBorders>
              <w:top w:val="single" w:sz="4" w:space="0" w:color="000000"/>
              <w:left w:val="single" w:sz="4" w:space="0" w:color="000000"/>
              <w:bottom w:val="single" w:sz="4" w:space="0" w:color="000000"/>
              <w:right w:val="single" w:sz="4" w:space="0" w:color="000000"/>
            </w:tcBorders>
            <w:hideMark/>
          </w:tcPr>
          <w:p w14:paraId="27A91EE2"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8,26</w:t>
            </w:r>
          </w:p>
        </w:tc>
        <w:tc>
          <w:tcPr>
            <w:tcW w:w="1409" w:type="pct"/>
            <w:tcBorders>
              <w:top w:val="single" w:sz="4" w:space="0" w:color="000000"/>
              <w:left w:val="single" w:sz="4" w:space="0" w:color="000000"/>
              <w:bottom w:val="single" w:sz="4" w:space="0" w:color="000000"/>
              <w:right w:val="single" w:sz="4" w:space="0" w:color="000000"/>
            </w:tcBorders>
            <w:hideMark/>
          </w:tcPr>
          <w:p w14:paraId="1E129194"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8,43</w:t>
            </w:r>
          </w:p>
        </w:tc>
        <w:tc>
          <w:tcPr>
            <w:tcW w:w="1330" w:type="pct"/>
            <w:tcBorders>
              <w:top w:val="single" w:sz="4" w:space="0" w:color="000000"/>
              <w:left w:val="single" w:sz="4" w:space="0" w:color="000000"/>
              <w:bottom w:val="single" w:sz="4" w:space="0" w:color="000000"/>
              <w:right w:val="single" w:sz="4" w:space="0" w:color="000000"/>
            </w:tcBorders>
            <w:hideMark/>
          </w:tcPr>
          <w:p w14:paraId="4967AD90"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8,38</w:t>
            </w:r>
          </w:p>
        </w:tc>
      </w:tr>
      <w:tr w:rsidR="00841BE0" w:rsidRPr="00841BE0" w14:paraId="409A0CDD" w14:textId="77777777" w:rsidTr="00412655">
        <w:trPr>
          <w:trHeight w:val="254"/>
        </w:trPr>
        <w:tc>
          <w:tcPr>
            <w:tcW w:w="1556" w:type="pct"/>
            <w:tcBorders>
              <w:top w:val="single" w:sz="4" w:space="0" w:color="000000"/>
              <w:left w:val="single" w:sz="4" w:space="0" w:color="000000"/>
              <w:bottom w:val="single" w:sz="4" w:space="0" w:color="000000"/>
              <w:right w:val="single" w:sz="4" w:space="0" w:color="000000"/>
            </w:tcBorders>
            <w:hideMark/>
          </w:tcPr>
          <w:p w14:paraId="5161E7DA" w14:textId="77777777" w:rsidR="00841BE0" w:rsidRPr="00841BE0" w:rsidRDefault="00841BE0" w:rsidP="00412655">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Ændring</w:t>
            </w:r>
            <w:proofErr w:type="spellEnd"/>
            <w:r w:rsidRPr="00841BE0">
              <w:rPr>
                <w:rFonts w:ascii="Times New Roman" w:eastAsia="Times New Roman" w:hAnsi="Times New Roman"/>
                <w:sz w:val="22"/>
              </w:rPr>
              <w:t xml:space="preserve"> fra </w:t>
            </w:r>
            <w:r w:rsidRPr="00841BE0">
              <w:rPr>
                <w:rFonts w:ascii="Times New Roman" w:eastAsia="Times New Roman" w:hAnsi="Times New Roman"/>
                <w:i/>
                <w:sz w:val="22"/>
              </w:rPr>
              <w:t>baseline</w:t>
            </w:r>
            <w:r w:rsidRPr="00841BE0">
              <w:rPr>
                <w:rFonts w:ascii="Times New Roman" w:eastAsia="Times New Roman" w:hAnsi="Times New Roman"/>
                <w:sz w:val="22"/>
                <w:vertAlign w:val="superscript"/>
              </w:rPr>
              <w:t>1</w:t>
            </w:r>
          </w:p>
        </w:tc>
        <w:tc>
          <w:tcPr>
            <w:tcW w:w="705" w:type="pct"/>
            <w:tcBorders>
              <w:top w:val="single" w:sz="4" w:space="0" w:color="000000"/>
              <w:left w:val="single" w:sz="4" w:space="0" w:color="000000"/>
              <w:bottom w:val="single" w:sz="4" w:space="0" w:color="000000"/>
              <w:right w:val="single" w:sz="4" w:space="0" w:color="000000"/>
            </w:tcBorders>
            <w:hideMark/>
          </w:tcPr>
          <w:p w14:paraId="34086792"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0,86</w:t>
            </w:r>
          </w:p>
        </w:tc>
        <w:tc>
          <w:tcPr>
            <w:tcW w:w="1409" w:type="pct"/>
            <w:tcBorders>
              <w:top w:val="single" w:sz="4" w:space="0" w:color="000000"/>
              <w:left w:val="single" w:sz="4" w:space="0" w:color="000000"/>
              <w:bottom w:val="single" w:sz="4" w:space="0" w:color="000000"/>
              <w:right w:val="single" w:sz="4" w:space="0" w:color="000000"/>
            </w:tcBorders>
            <w:hideMark/>
          </w:tcPr>
          <w:p w14:paraId="417A098E"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1,23</w:t>
            </w:r>
          </w:p>
        </w:tc>
        <w:tc>
          <w:tcPr>
            <w:tcW w:w="1330" w:type="pct"/>
            <w:tcBorders>
              <w:top w:val="single" w:sz="4" w:space="0" w:color="000000"/>
              <w:left w:val="single" w:sz="4" w:space="0" w:color="000000"/>
              <w:bottom w:val="single" w:sz="4" w:space="0" w:color="000000"/>
              <w:right w:val="single" w:sz="4" w:space="0" w:color="000000"/>
            </w:tcBorders>
            <w:hideMark/>
          </w:tcPr>
          <w:p w14:paraId="01CD6B4D"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1,31</w:t>
            </w:r>
          </w:p>
        </w:tc>
      </w:tr>
      <w:tr w:rsidR="00841BE0" w:rsidRPr="00841BE0" w14:paraId="0FC265A2" w14:textId="77777777" w:rsidTr="00412655">
        <w:trPr>
          <w:trHeight w:val="506"/>
        </w:trPr>
        <w:tc>
          <w:tcPr>
            <w:tcW w:w="1556" w:type="pct"/>
            <w:tcBorders>
              <w:top w:val="single" w:sz="4" w:space="0" w:color="000000"/>
              <w:left w:val="single" w:sz="4" w:space="0" w:color="000000"/>
              <w:bottom w:val="single" w:sz="4" w:space="0" w:color="000000"/>
              <w:right w:val="single" w:sz="4" w:space="0" w:color="000000"/>
            </w:tcBorders>
            <w:hideMark/>
          </w:tcPr>
          <w:p w14:paraId="70EC5459" w14:textId="77777777" w:rsidR="00841BE0" w:rsidRPr="00841BE0" w:rsidRDefault="00841BE0" w:rsidP="00412655">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Forskel</w:t>
            </w:r>
            <w:proofErr w:type="spellEnd"/>
            <w:r w:rsidRPr="00841BE0">
              <w:rPr>
                <w:rFonts w:ascii="Times New Roman" w:eastAsia="Times New Roman" w:hAnsi="Times New Roman"/>
                <w:sz w:val="22"/>
              </w:rPr>
              <w:t xml:space="preserve"> </w:t>
            </w:r>
            <w:proofErr w:type="spellStart"/>
            <w:r w:rsidRPr="00841BE0">
              <w:rPr>
                <w:rFonts w:ascii="Times New Roman" w:eastAsia="Times New Roman" w:hAnsi="Times New Roman"/>
                <w:sz w:val="22"/>
              </w:rPr>
              <w:t>til</w:t>
            </w:r>
            <w:proofErr w:type="spellEnd"/>
            <w:r w:rsidRPr="00841BE0">
              <w:rPr>
                <w:rFonts w:ascii="Times New Roman" w:eastAsia="Times New Roman" w:hAnsi="Times New Roman"/>
                <w:sz w:val="22"/>
              </w:rPr>
              <w:t xml:space="preserve"> placebo</w:t>
            </w:r>
            <w:r w:rsidRPr="00841BE0">
              <w:rPr>
                <w:rFonts w:ascii="Times New Roman" w:eastAsia="Times New Roman" w:hAnsi="Times New Roman"/>
                <w:sz w:val="22"/>
                <w:vertAlign w:val="superscript"/>
              </w:rPr>
              <w:t>1</w:t>
            </w:r>
          </w:p>
          <w:p w14:paraId="356CD7EA"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(97,5 % CI)</w:t>
            </w:r>
          </w:p>
        </w:tc>
        <w:tc>
          <w:tcPr>
            <w:tcW w:w="705" w:type="pct"/>
            <w:tcBorders>
              <w:top w:val="single" w:sz="4" w:space="0" w:color="000000"/>
              <w:left w:val="single" w:sz="4" w:space="0" w:color="000000"/>
              <w:bottom w:val="single" w:sz="4" w:space="0" w:color="000000"/>
              <w:right w:val="single" w:sz="4" w:space="0" w:color="000000"/>
            </w:tcBorders>
          </w:tcPr>
          <w:p w14:paraId="2BA3EFF8" w14:textId="77777777" w:rsidR="00841BE0" w:rsidRPr="00841BE0" w:rsidRDefault="00841BE0" w:rsidP="00412655">
            <w:pPr>
              <w:widowControl/>
              <w:autoSpaceDE/>
              <w:autoSpaceDN/>
              <w:ind w:left="142"/>
              <w:rPr>
                <w:rFonts w:ascii="Times New Roman" w:eastAsia="Times New Roman" w:hAnsi="Times New Roman"/>
                <w:sz w:val="22"/>
              </w:rPr>
            </w:pPr>
          </w:p>
        </w:tc>
        <w:tc>
          <w:tcPr>
            <w:tcW w:w="1409" w:type="pct"/>
            <w:tcBorders>
              <w:top w:val="single" w:sz="4" w:space="0" w:color="000000"/>
              <w:left w:val="single" w:sz="4" w:space="0" w:color="000000"/>
              <w:bottom w:val="single" w:sz="4" w:space="0" w:color="000000"/>
              <w:right w:val="single" w:sz="4" w:space="0" w:color="000000"/>
            </w:tcBorders>
            <w:hideMark/>
          </w:tcPr>
          <w:p w14:paraId="4B39CD44"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0,37*</w:t>
            </w:r>
            <w:proofErr w:type="gramStart"/>
            <w:r w:rsidRPr="00841BE0">
              <w:rPr>
                <w:rFonts w:ascii="Times New Roman" w:eastAsia="Times New Roman" w:hAnsi="Times New Roman"/>
                <w:sz w:val="22"/>
              </w:rPr>
              <w:t>*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 xml:space="preserve">0,67; </w:t>
            </w:r>
            <w:r w:rsidRPr="00841BE0">
              <w:rPr>
                <w:rFonts w:ascii="Times New Roman" w:eastAsia="Times New Roman" w:hAnsi="Times New Roman"/>
                <w:sz w:val="22"/>
              </w:rPr>
              <w:noBreakHyphen/>
              <w:t>0,08)</w:t>
            </w:r>
          </w:p>
        </w:tc>
        <w:tc>
          <w:tcPr>
            <w:tcW w:w="1330" w:type="pct"/>
            <w:tcBorders>
              <w:top w:val="single" w:sz="4" w:space="0" w:color="000000"/>
              <w:left w:val="single" w:sz="4" w:space="0" w:color="000000"/>
              <w:bottom w:val="single" w:sz="4" w:space="0" w:color="000000"/>
              <w:right w:val="single" w:sz="4" w:space="0" w:color="000000"/>
            </w:tcBorders>
            <w:hideMark/>
          </w:tcPr>
          <w:p w14:paraId="0384912F"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0,45* (</w:t>
            </w:r>
            <w:r w:rsidRPr="00841BE0">
              <w:rPr>
                <w:rFonts w:ascii="Times New Roman" w:eastAsia="Times New Roman" w:hAnsi="Times New Roman"/>
                <w:sz w:val="22"/>
              </w:rPr>
              <w:noBreakHyphen/>
            </w:r>
            <w:proofErr w:type="gramStart"/>
            <w:r w:rsidRPr="00841BE0">
              <w:rPr>
                <w:rFonts w:ascii="Times New Roman" w:eastAsia="Times New Roman" w:hAnsi="Times New Roman"/>
                <w:sz w:val="22"/>
              </w:rPr>
              <w:t xml:space="preserve">0,74;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0,16)</w:t>
            </w:r>
          </w:p>
        </w:tc>
      </w:tr>
      <w:tr w:rsidR="00841BE0" w:rsidRPr="00841BE0" w14:paraId="4A9C6CEE" w14:textId="77777777" w:rsidTr="00412655">
        <w:trPr>
          <w:trHeight w:val="252"/>
        </w:trPr>
        <w:tc>
          <w:tcPr>
            <w:tcW w:w="1556" w:type="pct"/>
            <w:tcBorders>
              <w:top w:val="single" w:sz="4" w:space="0" w:color="000000"/>
              <w:left w:val="single" w:sz="4" w:space="0" w:color="000000"/>
              <w:bottom w:val="single" w:sz="4" w:space="0" w:color="000000"/>
              <w:right w:val="single" w:sz="4" w:space="0" w:color="000000"/>
            </w:tcBorders>
            <w:hideMark/>
          </w:tcPr>
          <w:p w14:paraId="2FC1BC1D"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N</w:t>
            </w:r>
          </w:p>
        </w:tc>
        <w:tc>
          <w:tcPr>
            <w:tcW w:w="705" w:type="pct"/>
            <w:tcBorders>
              <w:top w:val="single" w:sz="4" w:space="0" w:color="000000"/>
              <w:left w:val="single" w:sz="4" w:space="0" w:color="000000"/>
              <w:bottom w:val="single" w:sz="4" w:space="0" w:color="000000"/>
              <w:right w:val="single" w:sz="4" w:space="0" w:color="000000"/>
            </w:tcBorders>
            <w:hideMark/>
          </w:tcPr>
          <w:p w14:paraId="365A6A38"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84</w:t>
            </w:r>
          </w:p>
        </w:tc>
        <w:tc>
          <w:tcPr>
            <w:tcW w:w="1409" w:type="pct"/>
            <w:tcBorders>
              <w:top w:val="single" w:sz="4" w:space="0" w:color="000000"/>
              <w:left w:val="single" w:sz="4" w:space="0" w:color="000000"/>
              <w:bottom w:val="single" w:sz="4" w:space="0" w:color="000000"/>
              <w:right w:val="single" w:sz="4" w:space="0" w:color="000000"/>
            </w:tcBorders>
            <w:hideMark/>
          </w:tcPr>
          <w:p w14:paraId="45A9BD56"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84</w:t>
            </w:r>
          </w:p>
        </w:tc>
        <w:tc>
          <w:tcPr>
            <w:tcW w:w="1330" w:type="pct"/>
            <w:tcBorders>
              <w:top w:val="single" w:sz="4" w:space="0" w:color="000000"/>
              <w:left w:val="single" w:sz="4" w:space="0" w:color="000000"/>
              <w:bottom w:val="single" w:sz="4" w:space="0" w:color="000000"/>
              <w:right w:val="single" w:sz="4" w:space="0" w:color="000000"/>
            </w:tcBorders>
            <w:hideMark/>
          </w:tcPr>
          <w:p w14:paraId="1BD161AA"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87</w:t>
            </w:r>
          </w:p>
        </w:tc>
      </w:tr>
      <w:tr w:rsidR="00841BE0" w:rsidRPr="00841BE0" w14:paraId="2AA531AE" w14:textId="77777777" w:rsidTr="00412655">
        <w:trPr>
          <w:trHeight w:val="1010"/>
        </w:trPr>
        <w:tc>
          <w:tcPr>
            <w:tcW w:w="1556" w:type="pct"/>
            <w:tcBorders>
              <w:top w:val="single" w:sz="4" w:space="0" w:color="000000"/>
              <w:left w:val="single" w:sz="4" w:space="0" w:color="000000"/>
              <w:bottom w:val="single" w:sz="4" w:space="0" w:color="000000"/>
              <w:right w:val="single" w:sz="4" w:space="0" w:color="000000"/>
            </w:tcBorders>
            <w:hideMark/>
          </w:tcPr>
          <w:p w14:paraId="6E0BCCCF" w14:textId="77777777" w:rsidR="00841BE0" w:rsidRPr="00841BE0" w:rsidRDefault="00841BE0" w:rsidP="00412655">
            <w:pPr>
              <w:widowControl/>
              <w:autoSpaceDE/>
              <w:autoSpaceDN/>
              <w:ind w:left="142"/>
              <w:rPr>
                <w:rFonts w:ascii="Times New Roman" w:eastAsia="Times New Roman" w:hAnsi="Times New Roman"/>
                <w:b/>
                <w:sz w:val="22"/>
                <w:lang w:val="da-DK"/>
              </w:rPr>
            </w:pPr>
            <w:r w:rsidRPr="00841BE0">
              <w:rPr>
                <w:rFonts w:ascii="Times New Roman" w:eastAsia="Times New Roman" w:hAnsi="Times New Roman"/>
                <w:b/>
                <w:sz w:val="22"/>
                <w:lang w:val="da-DK"/>
              </w:rPr>
              <w:t xml:space="preserve">Patienter (%) der opnåede HbA1c &lt; 7 % efter et </w:t>
            </w:r>
            <w:r w:rsidRPr="00841BE0">
              <w:rPr>
                <w:rFonts w:ascii="Times New Roman" w:eastAsia="Times New Roman" w:hAnsi="Times New Roman"/>
                <w:b/>
                <w:i/>
                <w:sz w:val="22"/>
                <w:lang w:val="da-DK"/>
              </w:rPr>
              <w:t>baseline</w:t>
            </w:r>
            <w:r w:rsidRPr="00841BE0">
              <w:rPr>
                <w:rFonts w:ascii="Times New Roman" w:eastAsia="Times New Roman" w:hAnsi="Times New Roman"/>
                <w:b/>
                <w:sz w:val="22"/>
                <w:lang w:val="da-DK"/>
              </w:rPr>
              <w:t>-HbA1c ≥ 7 % ved uge 52</w:t>
            </w:r>
            <w:r w:rsidRPr="00841BE0">
              <w:rPr>
                <w:rFonts w:ascii="Times New Roman" w:eastAsia="Times New Roman" w:hAnsi="Times New Roman"/>
                <w:b/>
                <w:sz w:val="22"/>
                <w:vertAlign w:val="superscript"/>
                <w:lang w:val="da-DK"/>
              </w:rPr>
              <w:t>b,</w:t>
            </w:r>
            <w:r w:rsidRPr="00841BE0">
              <w:rPr>
                <w:rFonts w:ascii="Times New Roman" w:eastAsia="Times New Roman" w:hAnsi="Times New Roman"/>
                <w:b/>
                <w:sz w:val="22"/>
                <w:lang w:val="da-DK"/>
              </w:rPr>
              <w:t xml:space="preserve"> </w:t>
            </w:r>
            <w:r w:rsidRPr="00841BE0">
              <w:rPr>
                <w:rFonts w:ascii="Times New Roman" w:eastAsia="Times New Roman" w:hAnsi="Times New Roman"/>
                <w:b/>
                <w:sz w:val="22"/>
                <w:vertAlign w:val="superscript"/>
                <w:lang w:val="da-DK"/>
              </w:rPr>
              <w:t>2</w:t>
            </w:r>
          </w:p>
        </w:tc>
        <w:tc>
          <w:tcPr>
            <w:tcW w:w="705" w:type="pct"/>
            <w:tcBorders>
              <w:top w:val="single" w:sz="4" w:space="0" w:color="000000"/>
              <w:left w:val="single" w:sz="4" w:space="0" w:color="000000"/>
              <w:bottom w:val="single" w:sz="4" w:space="0" w:color="000000"/>
              <w:right w:val="single" w:sz="4" w:space="0" w:color="000000"/>
            </w:tcBorders>
          </w:tcPr>
          <w:p w14:paraId="55BD260C" w14:textId="77777777" w:rsidR="00841BE0" w:rsidRPr="00841BE0" w:rsidRDefault="00841BE0" w:rsidP="00412655">
            <w:pPr>
              <w:widowControl/>
              <w:autoSpaceDE/>
              <w:autoSpaceDN/>
              <w:ind w:left="142"/>
              <w:rPr>
                <w:rFonts w:ascii="Times New Roman" w:eastAsia="Times New Roman" w:hAnsi="Times New Roman"/>
                <w:sz w:val="22"/>
                <w:lang w:val="da-DK"/>
              </w:rPr>
            </w:pPr>
          </w:p>
          <w:p w14:paraId="54697625"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27,4</w:t>
            </w:r>
          </w:p>
        </w:tc>
        <w:tc>
          <w:tcPr>
            <w:tcW w:w="1409" w:type="pct"/>
            <w:tcBorders>
              <w:top w:val="single" w:sz="4" w:space="0" w:color="000000"/>
              <w:left w:val="single" w:sz="4" w:space="0" w:color="000000"/>
              <w:bottom w:val="single" w:sz="4" w:space="0" w:color="000000"/>
              <w:right w:val="single" w:sz="4" w:space="0" w:color="000000"/>
            </w:tcBorders>
          </w:tcPr>
          <w:p w14:paraId="6CE656D6" w14:textId="77777777" w:rsidR="00841BE0" w:rsidRPr="00841BE0" w:rsidRDefault="00841BE0" w:rsidP="00412655">
            <w:pPr>
              <w:widowControl/>
              <w:autoSpaceDE/>
              <w:autoSpaceDN/>
              <w:ind w:left="142"/>
              <w:rPr>
                <w:rFonts w:ascii="Times New Roman" w:eastAsia="Times New Roman" w:hAnsi="Times New Roman"/>
                <w:sz w:val="22"/>
              </w:rPr>
            </w:pPr>
          </w:p>
          <w:p w14:paraId="5B9E3113"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41,7</w:t>
            </w:r>
          </w:p>
        </w:tc>
        <w:tc>
          <w:tcPr>
            <w:tcW w:w="1330" w:type="pct"/>
            <w:tcBorders>
              <w:top w:val="single" w:sz="4" w:space="0" w:color="000000"/>
              <w:left w:val="single" w:sz="4" w:space="0" w:color="000000"/>
              <w:bottom w:val="single" w:sz="4" w:space="0" w:color="000000"/>
              <w:right w:val="single" w:sz="4" w:space="0" w:color="000000"/>
            </w:tcBorders>
          </w:tcPr>
          <w:p w14:paraId="5ECD7DF1" w14:textId="77777777" w:rsidR="00841BE0" w:rsidRPr="00841BE0" w:rsidRDefault="00841BE0" w:rsidP="00412655">
            <w:pPr>
              <w:widowControl/>
              <w:autoSpaceDE/>
              <w:autoSpaceDN/>
              <w:ind w:left="142"/>
              <w:rPr>
                <w:rFonts w:ascii="Times New Roman" w:eastAsia="Times New Roman" w:hAnsi="Times New Roman"/>
                <w:sz w:val="22"/>
              </w:rPr>
            </w:pPr>
          </w:p>
          <w:p w14:paraId="0C6570CD"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48,3</w:t>
            </w:r>
          </w:p>
        </w:tc>
      </w:tr>
      <w:tr w:rsidR="00841BE0" w:rsidRPr="00841BE0" w14:paraId="4EBF13D6" w14:textId="77777777" w:rsidTr="00412655">
        <w:trPr>
          <w:trHeight w:val="254"/>
        </w:trPr>
        <w:tc>
          <w:tcPr>
            <w:tcW w:w="1556" w:type="pct"/>
            <w:tcBorders>
              <w:top w:val="single" w:sz="4" w:space="0" w:color="000000"/>
              <w:left w:val="single" w:sz="4" w:space="0" w:color="000000"/>
              <w:bottom w:val="single" w:sz="4" w:space="0" w:color="000000"/>
              <w:right w:val="single" w:sz="4" w:space="0" w:color="000000"/>
            </w:tcBorders>
            <w:hideMark/>
          </w:tcPr>
          <w:p w14:paraId="1E6FA572"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N</w:t>
            </w:r>
          </w:p>
        </w:tc>
        <w:tc>
          <w:tcPr>
            <w:tcW w:w="705" w:type="pct"/>
            <w:tcBorders>
              <w:top w:val="single" w:sz="4" w:space="0" w:color="000000"/>
              <w:left w:val="single" w:sz="4" w:space="0" w:color="000000"/>
              <w:bottom w:val="single" w:sz="4" w:space="0" w:color="000000"/>
              <w:right w:val="single" w:sz="4" w:space="0" w:color="000000"/>
            </w:tcBorders>
            <w:hideMark/>
          </w:tcPr>
          <w:p w14:paraId="3C2AD9F6"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86</w:t>
            </w:r>
          </w:p>
        </w:tc>
        <w:tc>
          <w:tcPr>
            <w:tcW w:w="1409" w:type="pct"/>
            <w:tcBorders>
              <w:top w:val="single" w:sz="4" w:space="0" w:color="000000"/>
              <w:left w:val="single" w:sz="4" w:space="0" w:color="000000"/>
              <w:bottom w:val="single" w:sz="4" w:space="0" w:color="000000"/>
              <w:right w:val="single" w:sz="4" w:space="0" w:color="000000"/>
            </w:tcBorders>
            <w:hideMark/>
          </w:tcPr>
          <w:p w14:paraId="52F87A26"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83</w:t>
            </w:r>
          </w:p>
        </w:tc>
        <w:tc>
          <w:tcPr>
            <w:tcW w:w="1330" w:type="pct"/>
            <w:tcBorders>
              <w:top w:val="single" w:sz="4" w:space="0" w:color="000000"/>
              <w:left w:val="single" w:sz="4" w:space="0" w:color="000000"/>
              <w:bottom w:val="single" w:sz="4" w:space="0" w:color="000000"/>
              <w:right w:val="single" w:sz="4" w:space="0" w:color="000000"/>
            </w:tcBorders>
            <w:hideMark/>
          </w:tcPr>
          <w:p w14:paraId="2172DE18"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86</w:t>
            </w:r>
          </w:p>
        </w:tc>
      </w:tr>
      <w:tr w:rsidR="00841BE0" w:rsidRPr="00841BE0" w14:paraId="395D590A" w14:textId="77777777" w:rsidTr="00412655">
        <w:trPr>
          <w:trHeight w:val="505"/>
        </w:trPr>
        <w:tc>
          <w:tcPr>
            <w:tcW w:w="5000" w:type="pct"/>
            <w:gridSpan w:val="4"/>
            <w:tcBorders>
              <w:top w:val="single" w:sz="4" w:space="0" w:color="000000"/>
              <w:left w:val="single" w:sz="4" w:space="0" w:color="000000"/>
              <w:bottom w:val="single" w:sz="4" w:space="0" w:color="000000"/>
              <w:right w:val="single" w:sz="4" w:space="0" w:color="000000"/>
            </w:tcBorders>
            <w:hideMark/>
          </w:tcPr>
          <w:p w14:paraId="1368DFC6" w14:textId="77777777" w:rsidR="00841BE0" w:rsidRPr="00841BE0" w:rsidRDefault="00841BE0" w:rsidP="00412655">
            <w:pPr>
              <w:widowControl/>
              <w:autoSpaceDE/>
              <w:autoSpaceDN/>
              <w:ind w:left="142"/>
              <w:rPr>
                <w:rFonts w:ascii="Times New Roman" w:eastAsia="Times New Roman" w:hAnsi="Times New Roman"/>
                <w:sz w:val="22"/>
                <w:lang w:val="da-DK"/>
              </w:rPr>
            </w:pPr>
            <w:r w:rsidRPr="00841BE0">
              <w:rPr>
                <w:rFonts w:ascii="Times New Roman" w:eastAsia="Times New Roman" w:hAnsi="Times New Roman"/>
                <w:b/>
                <w:sz w:val="22"/>
                <w:lang w:val="da-DK"/>
              </w:rPr>
              <w:t>Insulin-dosis (IE/dag) ved uge 52</w:t>
            </w:r>
            <w:r w:rsidRPr="00841BE0">
              <w:rPr>
                <w:rFonts w:ascii="Times New Roman" w:eastAsia="Times New Roman" w:hAnsi="Times New Roman"/>
                <w:sz w:val="22"/>
                <w:vertAlign w:val="superscript"/>
                <w:lang w:val="da-DK"/>
              </w:rPr>
              <w:t>b,</w:t>
            </w:r>
            <w:r w:rsidRPr="00841BE0">
              <w:rPr>
                <w:rFonts w:ascii="Times New Roman" w:eastAsia="Times New Roman" w:hAnsi="Times New Roman"/>
                <w:sz w:val="22"/>
                <w:lang w:val="da-DK"/>
              </w:rPr>
              <w:t xml:space="preserve"> </w:t>
            </w:r>
            <w:r w:rsidRPr="00841BE0">
              <w:rPr>
                <w:rFonts w:ascii="Times New Roman" w:eastAsia="Times New Roman" w:hAnsi="Times New Roman"/>
                <w:sz w:val="22"/>
                <w:vertAlign w:val="superscript"/>
                <w:lang w:val="da-DK"/>
              </w:rPr>
              <w:t>3</w:t>
            </w:r>
          </w:p>
        </w:tc>
      </w:tr>
      <w:tr w:rsidR="00841BE0" w:rsidRPr="00841BE0" w14:paraId="7DD8A3D9" w14:textId="77777777" w:rsidTr="00412655">
        <w:trPr>
          <w:trHeight w:val="252"/>
        </w:trPr>
        <w:tc>
          <w:tcPr>
            <w:tcW w:w="1556" w:type="pct"/>
            <w:tcBorders>
              <w:top w:val="single" w:sz="4" w:space="0" w:color="000000"/>
              <w:left w:val="single" w:sz="4" w:space="0" w:color="000000"/>
              <w:bottom w:val="single" w:sz="4" w:space="0" w:color="000000"/>
              <w:right w:val="single" w:sz="4" w:space="0" w:color="000000"/>
            </w:tcBorders>
            <w:hideMark/>
          </w:tcPr>
          <w:p w14:paraId="4D2DB19E"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i/>
                <w:sz w:val="22"/>
              </w:rPr>
              <w:t xml:space="preserve">Baseline </w:t>
            </w:r>
            <w:r w:rsidRPr="00841BE0">
              <w:rPr>
                <w:rFonts w:ascii="Times New Roman" w:eastAsia="Times New Roman" w:hAnsi="Times New Roman"/>
                <w:sz w:val="22"/>
              </w:rPr>
              <w:t>(</w:t>
            </w:r>
            <w:proofErr w:type="spellStart"/>
            <w:r w:rsidRPr="00841BE0">
              <w:rPr>
                <w:rFonts w:ascii="Times New Roman" w:eastAsia="Times New Roman" w:hAnsi="Times New Roman"/>
                <w:sz w:val="22"/>
              </w:rPr>
              <w:t>middelværdi</w:t>
            </w:r>
            <w:proofErr w:type="spellEnd"/>
            <w:r w:rsidRPr="00841BE0">
              <w:rPr>
                <w:rFonts w:ascii="Times New Roman" w:eastAsia="Times New Roman" w:hAnsi="Times New Roman"/>
                <w:sz w:val="22"/>
              </w:rPr>
              <w:t>)</w:t>
            </w:r>
          </w:p>
        </w:tc>
        <w:tc>
          <w:tcPr>
            <w:tcW w:w="705" w:type="pct"/>
            <w:tcBorders>
              <w:top w:val="single" w:sz="4" w:space="0" w:color="000000"/>
              <w:left w:val="single" w:sz="4" w:space="0" w:color="000000"/>
              <w:bottom w:val="single" w:sz="4" w:space="0" w:color="000000"/>
              <w:right w:val="single" w:sz="4" w:space="0" w:color="000000"/>
            </w:tcBorders>
            <w:hideMark/>
          </w:tcPr>
          <w:p w14:paraId="6D03E432"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91,01</w:t>
            </w:r>
          </w:p>
        </w:tc>
        <w:tc>
          <w:tcPr>
            <w:tcW w:w="1409" w:type="pct"/>
            <w:tcBorders>
              <w:top w:val="single" w:sz="4" w:space="0" w:color="000000"/>
              <w:left w:val="single" w:sz="4" w:space="0" w:color="000000"/>
              <w:bottom w:val="single" w:sz="4" w:space="0" w:color="000000"/>
              <w:right w:val="single" w:sz="4" w:space="0" w:color="000000"/>
            </w:tcBorders>
            <w:hideMark/>
          </w:tcPr>
          <w:p w14:paraId="49563E49"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91,77</w:t>
            </w:r>
          </w:p>
        </w:tc>
        <w:tc>
          <w:tcPr>
            <w:tcW w:w="1330" w:type="pct"/>
            <w:tcBorders>
              <w:top w:val="single" w:sz="4" w:space="0" w:color="000000"/>
              <w:left w:val="single" w:sz="4" w:space="0" w:color="000000"/>
              <w:bottom w:val="single" w:sz="4" w:space="0" w:color="000000"/>
              <w:right w:val="single" w:sz="4" w:space="0" w:color="000000"/>
            </w:tcBorders>
            <w:hideMark/>
          </w:tcPr>
          <w:p w14:paraId="0CA0548F"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90,22</w:t>
            </w:r>
          </w:p>
        </w:tc>
      </w:tr>
      <w:tr w:rsidR="00841BE0" w:rsidRPr="00841BE0" w14:paraId="16AE63FA" w14:textId="77777777" w:rsidTr="00412655">
        <w:trPr>
          <w:trHeight w:val="251"/>
        </w:trPr>
        <w:tc>
          <w:tcPr>
            <w:tcW w:w="1556" w:type="pct"/>
            <w:tcBorders>
              <w:top w:val="single" w:sz="4" w:space="0" w:color="000000"/>
              <w:left w:val="single" w:sz="4" w:space="0" w:color="000000"/>
              <w:bottom w:val="single" w:sz="4" w:space="0" w:color="000000"/>
              <w:right w:val="single" w:sz="4" w:space="0" w:color="000000"/>
            </w:tcBorders>
            <w:hideMark/>
          </w:tcPr>
          <w:p w14:paraId="7B12BAFB" w14:textId="77777777" w:rsidR="00841BE0" w:rsidRPr="00841BE0" w:rsidRDefault="00841BE0" w:rsidP="00412655">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Ændring</w:t>
            </w:r>
            <w:proofErr w:type="spellEnd"/>
            <w:r w:rsidRPr="00841BE0">
              <w:rPr>
                <w:rFonts w:ascii="Times New Roman" w:eastAsia="Times New Roman" w:hAnsi="Times New Roman"/>
                <w:sz w:val="22"/>
              </w:rPr>
              <w:t xml:space="preserve"> fra </w:t>
            </w:r>
            <w:r w:rsidRPr="00841BE0">
              <w:rPr>
                <w:rFonts w:ascii="Times New Roman" w:eastAsia="Times New Roman" w:hAnsi="Times New Roman"/>
                <w:i/>
                <w:sz w:val="22"/>
              </w:rPr>
              <w:t>baseline</w:t>
            </w:r>
            <w:r w:rsidRPr="00841BE0">
              <w:rPr>
                <w:rFonts w:ascii="Times New Roman" w:eastAsia="Times New Roman" w:hAnsi="Times New Roman"/>
                <w:sz w:val="22"/>
                <w:vertAlign w:val="superscript"/>
              </w:rPr>
              <w:t>1</w:t>
            </w:r>
          </w:p>
        </w:tc>
        <w:tc>
          <w:tcPr>
            <w:tcW w:w="705" w:type="pct"/>
            <w:tcBorders>
              <w:top w:val="single" w:sz="4" w:space="0" w:color="000000"/>
              <w:left w:val="single" w:sz="4" w:space="0" w:color="000000"/>
              <w:bottom w:val="single" w:sz="4" w:space="0" w:color="000000"/>
              <w:right w:val="single" w:sz="4" w:space="0" w:color="000000"/>
            </w:tcBorders>
            <w:hideMark/>
          </w:tcPr>
          <w:p w14:paraId="189C38D4"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12,84</w:t>
            </w:r>
          </w:p>
        </w:tc>
        <w:tc>
          <w:tcPr>
            <w:tcW w:w="1409" w:type="pct"/>
            <w:tcBorders>
              <w:top w:val="single" w:sz="4" w:space="0" w:color="000000"/>
              <w:left w:val="single" w:sz="4" w:space="0" w:color="000000"/>
              <w:bottom w:val="single" w:sz="4" w:space="0" w:color="000000"/>
              <w:right w:val="single" w:sz="4" w:space="0" w:color="000000"/>
            </w:tcBorders>
            <w:hideMark/>
          </w:tcPr>
          <w:p w14:paraId="3C3CEA6B"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0,22</w:t>
            </w:r>
          </w:p>
        </w:tc>
        <w:tc>
          <w:tcPr>
            <w:tcW w:w="1330" w:type="pct"/>
            <w:tcBorders>
              <w:top w:val="single" w:sz="4" w:space="0" w:color="000000"/>
              <w:left w:val="single" w:sz="4" w:space="0" w:color="000000"/>
              <w:bottom w:val="single" w:sz="4" w:space="0" w:color="000000"/>
              <w:right w:val="single" w:sz="4" w:space="0" w:color="000000"/>
            </w:tcBorders>
            <w:hideMark/>
          </w:tcPr>
          <w:p w14:paraId="07F9D6B4"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2,25</w:t>
            </w:r>
          </w:p>
        </w:tc>
      </w:tr>
      <w:tr w:rsidR="00841BE0" w:rsidRPr="00841BE0" w14:paraId="4B90C9B7" w14:textId="77777777" w:rsidTr="00412655">
        <w:trPr>
          <w:trHeight w:val="506"/>
        </w:trPr>
        <w:tc>
          <w:tcPr>
            <w:tcW w:w="1556" w:type="pct"/>
            <w:tcBorders>
              <w:top w:val="single" w:sz="4" w:space="0" w:color="000000"/>
              <w:left w:val="single" w:sz="4" w:space="0" w:color="000000"/>
              <w:bottom w:val="single" w:sz="4" w:space="0" w:color="000000"/>
              <w:right w:val="single" w:sz="4" w:space="0" w:color="000000"/>
            </w:tcBorders>
            <w:hideMark/>
          </w:tcPr>
          <w:p w14:paraId="3B3E2438" w14:textId="77777777" w:rsidR="00841BE0" w:rsidRPr="00841BE0" w:rsidRDefault="00841BE0" w:rsidP="00412655">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Forskel</w:t>
            </w:r>
            <w:proofErr w:type="spellEnd"/>
            <w:r w:rsidRPr="00841BE0">
              <w:rPr>
                <w:rFonts w:ascii="Times New Roman" w:eastAsia="Times New Roman" w:hAnsi="Times New Roman"/>
                <w:sz w:val="22"/>
              </w:rPr>
              <w:t xml:space="preserve"> </w:t>
            </w:r>
            <w:proofErr w:type="spellStart"/>
            <w:r w:rsidRPr="00841BE0">
              <w:rPr>
                <w:rFonts w:ascii="Times New Roman" w:eastAsia="Times New Roman" w:hAnsi="Times New Roman"/>
                <w:sz w:val="22"/>
              </w:rPr>
              <w:t>til</w:t>
            </w:r>
            <w:proofErr w:type="spellEnd"/>
            <w:r w:rsidRPr="00841BE0">
              <w:rPr>
                <w:rFonts w:ascii="Times New Roman" w:eastAsia="Times New Roman" w:hAnsi="Times New Roman"/>
                <w:sz w:val="22"/>
              </w:rPr>
              <w:t xml:space="preserve"> placebo</w:t>
            </w:r>
            <w:r w:rsidRPr="00841BE0">
              <w:rPr>
                <w:rFonts w:ascii="Times New Roman" w:eastAsia="Times New Roman" w:hAnsi="Times New Roman"/>
                <w:sz w:val="22"/>
                <w:vertAlign w:val="superscript"/>
              </w:rPr>
              <w:t>1</w:t>
            </w:r>
          </w:p>
          <w:p w14:paraId="5A004D3C"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(97,5 % CI)</w:t>
            </w:r>
          </w:p>
        </w:tc>
        <w:tc>
          <w:tcPr>
            <w:tcW w:w="705" w:type="pct"/>
            <w:tcBorders>
              <w:top w:val="single" w:sz="4" w:space="0" w:color="000000"/>
              <w:left w:val="single" w:sz="4" w:space="0" w:color="000000"/>
              <w:bottom w:val="single" w:sz="4" w:space="0" w:color="000000"/>
              <w:right w:val="single" w:sz="4" w:space="0" w:color="000000"/>
            </w:tcBorders>
          </w:tcPr>
          <w:p w14:paraId="589FEF48" w14:textId="77777777" w:rsidR="00841BE0" w:rsidRPr="00841BE0" w:rsidRDefault="00841BE0" w:rsidP="00412655">
            <w:pPr>
              <w:widowControl/>
              <w:autoSpaceDE/>
              <w:autoSpaceDN/>
              <w:ind w:left="142"/>
              <w:rPr>
                <w:rFonts w:ascii="Times New Roman" w:eastAsia="Times New Roman" w:hAnsi="Times New Roman"/>
                <w:sz w:val="22"/>
              </w:rPr>
            </w:pPr>
          </w:p>
        </w:tc>
        <w:tc>
          <w:tcPr>
            <w:tcW w:w="1409" w:type="pct"/>
            <w:tcBorders>
              <w:top w:val="single" w:sz="4" w:space="0" w:color="000000"/>
              <w:left w:val="single" w:sz="4" w:space="0" w:color="000000"/>
              <w:bottom w:val="single" w:sz="4" w:space="0" w:color="000000"/>
              <w:right w:val="single" w:sz="4" w:space="0" w:color="000000"/>
            </w:tcBorders>
            <w:hideMark/>
          </w:tcPr>
          <w:p w14:paraId="0AAB79FF"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12,61*</w:t>
            </w:r>
            <w:proofErr w:type="gramStart"/>
            <w:r w:rsidRPr="00841BE0">
              <w:rPr>
                <w:rFonts w:ascii="Times New Roman" w:eastAsia="Times New Roman" w:hAnsi="Times New Roman"/>
                <w:sz w:val="22"/>
              </w:rPr>
              <w:t>*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 xml:space="preserve">21,43; </w:t>
            </w:r>
            <w:r w:rsidRPr="00841BE0">
              <w:rPr>
                <w:rFonts w:ascii="Times New Roman" w:eastAsia="Times New Roman" w:hAnsi="Times New Roman"/>
                <w:sz w:val="22"/>
              </w:rPr>
              <w:noBreakHyphen/>
              <w:t>3,80)</w:t>
            </w:r>
          </w:p>
        </w:tc>
        <w:tc>
          <w:tcPr>
            <w:tcW w:w="1330" w:type="pct"/>
            <w:tcBorders>
              <w:top w:val="single" w:sz="4" w:space="0" w:color="000000"/>
              <w:left w:val="single" w:sz="4" w:space="0" w:color="000000"/>
              <w:bottom w:val="single" w:sz="4" w:space="0" w:color="000000"/>
              <w:right w:val="single" w:sz="4" w:space="0" w:color="000000"/>
            </w:tcBorders>
            <w:hideMark/>
          </w:tcPr>
          <w:p w14:paraId="6F73E122"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15,09*</w:t>
            </w:r>
            <w:proofErr w:type="gramStart"/>
            <w:r w:rsidRPr="00841BE0">
              <w:rPr>
                <w:rFonts w:ascii="Times New Roman" w:eastAsia="Times New Roman" w:hAnsi="Times New Roman"/>
                <w:sz w:val="22"/>
              </w:rPr>
              <w:t>*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 xml:space="preserve">23,79; </w:t>
            </w:r>
            <w:r w:rsidRPr="00841BE0">
              <w:rPr>
                <w:rFonts w:ascii="Times New Roman" w:eastAsia="Times New Roman" w:hAnsi="Times New Roman"/>
                <w:sz w:val="22"/>
              </w:rPr>
              <w:noBreakHyphen/>
              <w:t>6,40)</w:t>
            </w:r>
          </w:p>
        </w:tc>
      </w:tr>
      <w:tr w:rsidR="00841BE0" w:rsidRPr="00841BE0" w14:paraId="3B4D7D9E" w14:textId="77777777" w:rsidTr="00412655">
        <w:trPr>
          <w:trHeight w:val="251"/>
        </w:trPr>
        <w:tc>
          <w:tcPr>
            <w:tcW w:w="1556" w:type="pct"/>
            <w:tcBorders>
              <w:top w:val="single" w:sz="4" w:space="0" w:color="000000"/>
              <w:left w:val="single" w:sz="4" w:space="0" w:color="000000"/>
              <w:bottom w:val="single" w:sz="4" w:space="0" w:color="000000"/>
              <w:right w:val="single" w:sz="4" w:space="0" w:color="000000"/>
            </w:tcBorders>
            <w:hideMark/>
          </w:tcPr>
          <w:p w14:paraId="0C974EC5"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N</w:t>
            </w:r>
          </w:p>
        </w:tc>
        <w:tc>
          <w:tcPr>
            <w:tcW w:w="705" w:type="pct"/>
            <w:tcBorders>
              <w:top w:val="single" w:sz="4" w:space="0" w:color="000000"/>
              <w:left w:val="single" w:sz="4" w:space="0" w:color="000000"/>
              <w:bottom w:val="single" w:sz="4" w:space="0" w:color="000000"/>
              <w:right w:val="single" w:sz="4" w:space="0" w:color="000000"/>
            </w:tcBorders>
            <w:hideMark/>
          </w:tcPr>
          <w:p w14:paraId="23B59484"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86</w:t>
            </w:r>
          </w:p>
        </w:tc>
        <w:tc>
          <w:tcPr>
            <w:tcW w:w="1409" w:type="pct"/>
            <w:tcBorders>
              <w:top w:val="single" w:sz="4" w:space="0" w:color="000000"/>
              <w:left w:val="single" w:sz="4" w:space="0" w:color="000000"/>
              <w:bottom w:val="single" w:sz="4" w:space="0" w:color="000000"/>
              <w:right w:val="single" w:sz="4" w:space="0" w:color="000000"/>
            </w:tcBorders>
            <w:hideMark/>
          </w:tcPr>
          <w:p w14:paraId="080F413B"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84</w:t>
            </w:r>
          </w:p>
        </w:tc>
        <w:tc>
          <w:tcPr>
            <w:tcW w:w="1330" w:type="pct"/>
            <w:tcBorders>
              <w:top w:val="single" w:sz="4" w:space="0" w:color="000000"/>
              <w:left w:val="single" w:sz="4" w:space="0" w:color="000000"/>
              <w:bottom w:val="single" w:sz="4" w:space="0" w:color="000000"/>
              <w:right w:val="single" w:sz="4" w:space="0" w:color="000000"/>
            </w:tcBorders>
            <w:hideMark/>
          </w:tcPr>
          <w:p w14:paraId="4C462D87"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87</w:t>
            </w:r>
          </w:p>
        </w:tc>
      </w:tr>
      <w:tr w:rsidR="00841BE0" w:rsidRPr="00841BE0" w14:paraId="6B208A5B" w14:textId="77777777" w:rsidTr="00412655">
        <w:trPr>
          <w:trHeight w:val="506"/>
        </w:trPr>
        <w:tc>
          <w:tcPr>
            <w:tcW w:w="5000" w:type="pct"/>
            <w:gridSpan w:val="4"/>
            <w:tcBorders>
              <w:top w:val="single" w:sz="4" w:space="0" w:color="000000"/>
              <w:left w:val="single" w:sz="4" w:space="0" w:color="000000"/>
              <w:bottom w:val="single" w:sz="4" w:space="0" w:color="000000"/>
              <w:right w:val="single" w:sz="4" w:space="0" w:color="000000"/>
            </w:tcBorders>
            <w:hideMark/>
          </w:tcPr>
          <w:p w14:paraId="26D8ED9E" w14:textId="77777777" w:rsidR="00841BE0" w:rsidRPr="00841BE0" w:rsidRDefault="00841BE0" w:rsidP="00412655">
            <w:pPr>
              <w:widowControl/>
              <w:autoSpaceDE/>
              <w:autoSpaceDN/>
              <w:ind w:left="142"/>
              <w:rPr>
                <w:rFonts w:ascii="Times New Roman" w:eastAsia="Times New Roman" w:hAnsi="Times New Roman"/>
                <w:sz w:val="22"/>
                <w:lang w:val="da-DK"/>
              </w:rPr>
            </w:pPr>
            <w:r w:rsidRPr="00841BE0">
              <w:rPr>
                <w:rFonts w:ascii="Times New Roman" w:eastAsia="Times New Roman" w:hAnsi="Times New Roman"/>
                <w:b/>
                <w:sz w:val="22"/>
                <w:lang w:val="da-DK"/>
              </w:rPr>
              <w:t>Legemsvægt (kg) ved uge 52</w:t>
            </w:r>
            <w:r w:rsidRPr="00841BE0">
              <w:rPr>
                <w:rFonts w:ascii="Times New Roman" w:eastAsia="Times New Roman" w:hAnsi="Times New Roman"/>
                <w:sz w:val="22"/>
                <w:vertAlign w:val="superscript"/>
                <w:lang w:val="da-DK"/>
              </w:rPr>
              <w:t>b</w:t>
            </w:r>
          </w:p>
        </w:tc>
      </w:tr>
      <w:tr w:rsidR="00841BE0" w:rsidRPr="00841BE0" w14:paraId="58AD28F1" w14:textId="77777777" w:rsidTr="00412655">
        <w:trPr>
          <w:trHeight w:val="251"/>
        </w:trPr>
        <w:tc>
          <w:tcPr>
            <w:tcW w:w="1556" w:type="pct"/>
            <w:tcBorders>
              <w:top w:val="single" w:sz="4" w:space="0" w:color="000000"/>
              <w:left w:val="single" w:sz="4" w:space="0" w:color="000000"/>
              <w:bottom w:val="single" w:sz="4" w:space="0" w:color="000000"/>
              <w:right w:val="single" w:sz="4" w:space="0" w:color="000000"/>
            </w:tcBorders>
            <w:hideMark/>
          </w:tcPr>
          <w:p w14:paraId="5A68BB98"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i/>
                <w:sz w:val="22"/>
              </w:rPr>
              <w:t xml:space="preserve">Baseline </w:t>
            </w:r>
            <w:r w:rsidRPr="00841BE0">
              <w:rPr>
                <w:rFonts w:ascii="Times New Roman" w:eastAsia="Times New Roman" w:hAnsi="Times New Roman"/>
                <w:sz w:val="22"/>
              </w:rPr>
              <w:t>(</w:t>
            </w:r>
            <w:proofErr w:type="spellStart"/>
            <w:r w:rsidRPr="00841BE0">
              <w:rPr>
                <w:rFonts w:ascii="Times New Roman" w:eastAsia="Times New Roman" w:hAnsi="Times New Roman"/>
                <w:sz w:val="22"/>
              </w:rPr>
              <w:t>middelværdi</w:t>
            </w:r>
            <w:proofErr w:type="spellEnd"/>
            <w:r w:rsidRPr="00841BE0">
              <w:rPr>
                <w:rFonts w:ascii="Times New Roman" w:eastAsia="Times New Roman" w:hAnsi="Times New Roman"/>
                <w:sz w:val="22"/>
              </w:rPr>
              <w:t>)</w:t>
            </w:r>
          </w:p>
        </w:tc>
        <w:tc>
          <w:tcPr>
            <w:tcW w:w="705" w:type="pct"/>
            <w:tcBorders>
              <w:top w:val="single" w:sz="4" w:space="0" w:color="000000"/>
              <w:left w:val="single" w:sz="4" w:space="0" w:color="000000"/>
              <w:bottom w:val="single" w:sz="4" w:space="0" w:color="000000"/>
              <w:right w:val="single" w:sz="4" w:space="0" w:color="000000"/>
            </w:tcBorders>
            <w:hideMark/>
          </w:tcPr>
          <w:p w14:paraId="7EF19DD7"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97,78</w:t>
            </w:r>
          </w:p>
        </w:tc>
        <w:tc>
          <w:tcPr>
            <w:tcW w:w="1409" w:type="pct"/>
            <w:tcBorders>
              <w:top w:val="single" w:sz="4" w:space="0" w:color="000000"/>
              <w:left w:val="single" w:sz="4" w:space="0" w:color="000000"/>
              <w:bottom w:val="single" w:sz="4" w:space="0" w:color="000000"/>
              <w:right w:val="single" w:sz="4" w:space="0" w:color="000000"/>
            </w:tcBorders>
            <w:hideMark/>
          </w:tcPr>
          <w:p w14:paraId="16414954"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98,86</w:t>
            </w:r>
          </w:p>
        </w:tc>
        <w:tc>
          <w:tcPr>
            <w:tcW w:w="1330" w:type="pct"/>
            <w:tcBorders>
              <w:top w:val="single" w:sz="4" w:space="0" w:color="000000"/>
              <w:left w:val="single" w:sz="4" w:space="0" w:color="000000"/>
              <w:bottom w:val="single" w:sz="4" w:space="0" w:color="000000"/>
              <w:right w:val="single" w:sz="4" w:space="0" w:color="000000"/>
            </w:tcBorders>
            <w:hideMark/>
          </w:tcPr>
          <w:p w14:paraId="61A6D7AE"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94,93</w:t>
            </w:r>
          </w:p>
        </w:tc>
      </w:tr>
      <w:tr w:rsidR="00841BE0" w:rsidRPr="00841BE0" w14:paraId="74A8B0F7" w14:textId="77777777" w:rsidTr="00412655">
        <w:trPr>
          <w:trHeight w:val="253"/>
        </w:trPr>
        <w:tc>
          <w:tcPr>
            <w:tcW w:w="1556" w:type="pct"/>
            <w:tcBorders>
              <w:top w:val="single" w:sz="4" w:space="0" w:color="000000"/>
              <w:left w:val="single" w:sz="4" w:space="0" w:color="000000"/>
              <w:bottom w:val="single" w:sz="4" w:space="0" w:color="000000"/>
              <w:right w:val="single" w:sz="4" w:space="0" w:color="000000"/>
            </w:tcBorders>
            <w:hideMark/>
          </w:tcPr>
          <w:p w14:paraId="060893A0" w14:textId="77777777" w:rsidR="00841BE0" w:rsidRPr="00841BE0" w:rsidRDefault="00841BE0" w:rsidP="00412655">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Ændring</w:t>
            </w:r>
            <w:proofErr w:type="spellEnd"/>
            <w:r w:rsidRPr="00841BE0">
              <w:rPr>
                <w:rFonts w:ascii="Times New Roman" w:eastAsia="Times New Roman" w:hAnsi="Times New Roman"/>
                <w:sz w:val="22"/>
              </w:rPr>
              <w:t xml:space="preserve"> fra </w:t>
            </w:r>
            <w:r w:rsidRPr="00841BE0">
              <w:rPr>
                <w:rFonts w:ascii="Times New Roman" w:eastAsia="Times New Roman" w:hAnsi="Times New Roman"/>
                <w:i/>
                <w:sz w:val="22"/>
              </w:rPr>
              <w:t>baseline</w:t>
            </w:r>
            <w:r w:rsidRPr="00841BE0">
              <w:rPr>
                <w:rFonts w:ascii="Times New Roman" w:eastAsia="Times New Roman" w:hAnsi="Times New Roman"/>
                <w:sz w:val="22"/>
                <w:vertAlign w:val="superscript"/>
              </w:rPr>
              <w:t>1</w:t>
            </w:r>
          </w:p>
        </w:tc>
        <w:tc>
          <w:tcPr>
            <w:tcW w:w="705" w:type="pct"/>
            <w:tcBorders>
              <w:top w:val="single" w:sz="4" w:space="0" w:color="000000"/>
              <w:left w:val="single" w:sz="4" w:space="0" w:color="000000"/>
              <w:bottom w:val="single" w:sz="4" w:space="0" w:color="000000"/>
              <w:right w:val="single" w:sz="4" w:space="0" w:color="000000"/>
            </w:tcBorders>
            <w:hideMark/>
          </w:tcPr>
          <w:p w14:paraId="12140E16"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0,42</w:t>
            </w:r>
          </w:p>
        </w:tc>
        <w:tc>
          <w:tcPr>
            <w:tcW w:w="1409" w:type="pct"/>
            <w:tcBorders>
              <w:top w:val="single" w:sz="4" w:space="0" w:color="000000"/>
              <w:left w:val="single" w:sz="4" w:space="0" w:color="000000"/>
              <w:bottom w:val="single" w:sz="4" w:space="0" w:color="000000"/>
              <w:right w:val="single" w:sz="4" w:space="0" w:color="000000"/>
            </w:tcBorders>
            <w:hideMark/>
          </w:tcPr>
          <w:p w14:paraId="266D14DF"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2,47</w:t>
            </w:r>
          </w:p>
        </w:tc>
        <w:tc>
          <w:tcPr>
            <w:tcW w:w="1330" w:type="pct"/>
            <w:tcBorders>
              <w:top w:val="single" w:sz="4" w:space="0" w:color="000000"/>
              <w:left w:val="single" w:sz="4" w:space="0" w:color="000000"/>
              <w:bottom w:val="single" w:sz="4" w:space="0" w:color="000000"/>
              <w:right w:val="single" w:sz="4" w:space="0" w:color="000000"/>
            </w:tcBorders>
            <w:hideMark/>
          </w:tcPr>
          <w:p w14:paraId="41C66F4D"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1,94</w:t>
            </w:r>
          </w:p>
        </w:tc>
      </w:tr>
      <w:tr w:rsidR="00841BE0" w:rsidRPr="00841BE0" w14:paraId="5E935682" w14:textId="77777777" w:rsidTr="00412655">
        <w:trPr>
          <w:trHeight w:val="506"/>
        </w:trPr>
        <w:tc>
          <w:tcPr>
            <w:tcW w:w="1556" w:type="pct"/>
            <w:tcBorders>
              <w:top w:val="single" w:sz="4" w:space="0" w:color="000000"/>
              <w:left w:val="single" w:sz="4" w:space="0" w:color="000000"/>
              <w:bottom w:val="single" w:sz="4" w:space="0" w:color="000000"/>
              <w:right w:val="single" w:sz="4" w:space="0" w:color="000000"/>
            </w:tcBorders>
            <w:hideMark/>
          </w:tcPr>
          <w:p w14:paraId="0699E553" w14:textId="77777777" w:rsidR="00841BE0" w:rsidRPr="00841BE0" w:rsidRDefault="00841BE0" w:rsidP="00412655">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Forskel</w:t>
            </w:r>
            <w:proofErr w:type="spellEnd"/>
            <w:r w:rsidRPr="00841BE0">
              <w:rPr>
                <w:rFonts w:ascii="Times New Roman" w:eastAsia="Times New Roman" w:hAnsi="Times New Roman"/>
                <w:sz w:val="22"/>
              </w:rPr>
              <w:t xml:space="preserve"> </w:t>
            </w:r>
            <w:proofErr w:type="spellStart"/>
            <w:r w:rsidRPr="00841BE0">
              <w:rPr>
                <w:rFonts w:ascii="Times New Roman" w:eastAsia="Times New Roman" w:hAnsi="Times New Roman"/>
                <w:sz w:val="22"/>
              </w:rPr>
              <w:t>til</w:t>
            </w:r>
            <w:proofErr w:type="spellEnd"/>
            <w:r w:rsidRPr="00841BE0">
              <w:rPr>
                <w:rFonts w:ascii="Times New Roman" w:eastAsia="Times New Roman" w:hAnsi="Times New Roman"/>
                <w:sz w:val="22"/>
              </w:rPr>
              <w:t xml:space="preserve"> placebo</w:t>
            </w:r>
            <w:r w:rsidRPr="00841BE0">
              <w:rPr>
                <w:rFonts w:ascii="Times New Roman" w:eastAsia="Times New Roman" w:hAnsi="Times New Roman"/>
                <w:sz w:val="22"/>
                <w:vertAlign w:val="superscript"/>
              </w:rPr>
              <w:t>1</w:t>
            </w:r>
          </w:p>
          <w:p w14:paraId="58FF62B7"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(97,5 % CI)</w:t>
            </w:r>
          </w:p>
        </w:tc>
        <w:tc>
          <w:tcPr>
            <w:tcW w:w="705" w:type="pct"/>
            <w:tcBorders>
              <w:top w:val="single" w:sz="4" w:space="0" w:color="000000"/>
              <w:left w:val="single" w:sz="4" w:space="0" w:color="000000"/>
              <w:bottom w:val="single" w:sz="4" w:space="0" w:color="000000"/>
              <w:right w:val="single" w:sz="4" w:space="0" w:color="000000"/>
            </w:tcBorders>
          </w:tcPr>
          <w:p w14:paraId="587ADDD8" w14:textId="77777777" w:rsidR="00841BE0" w:rsidRPr="00841BE0" w:rsidRDefault="00841BE0" w:rsidP="00412655">
            <w:pPr>
              <w:widowControl/>
              <w:autoSpaceDE/>
              <w:autoSpaceDN/>
              <w:ind w:left="142"/>
              <w:rPr>
                <w:rFonts w:ascii="Times New Roman" w:eastAsia="Times New Roman" w:hAnsi="Times New Roman"/>
                <w:sz w:val="22"/>
              </w:rPr>
            </w:pPr>
          </w:p>
        </w:tc>
        <w:tc>
          <w:tcPr>
            <w:tcW w:w="1409" w:type="pct"/>
            <w:tcBorders>
              <w:top w:val="single" w:sz="4" w:space="0" w:color="000000"/>
              <w:left w:val="single" w:sz="4" w:space="0" w:color="000000"/>
              <w:bottom w:val="single" w:sz="4" w:space="0" w:color="000000"/>
              <w:right w:val="single" w:sz="4" w:space="0" w:color="000000"/>
            </w:tcBorders>
            <w:hideMark/>
          </w:tcPr>
          <w:p w14:paraId="7C9D9FBA"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2,89* (</w:t>
            </w:r>
            <w:r w:rsidRPr="00841BE0">
              <w:rPr>
                <w:rFonts w:ascii="Times New Roman" w:eastAsia="Times New Roman" w:hAnsi="Times New Roman"/>
                <w:sz w:val="22"/>
              </w:rPr>
              <w:noBreakHyphen/>
            </w:r>
            <w:proofErr w:type="gramStart"/>
            <w:r w:rsidRPr="00841BE0">
              <w:rPr>
                <w:rFonts w:ascii="Times New Roman" w:eastAsia="Times New Roman" w:hAnsi="Times New Roman"/>
                <w:sz w:val="22"/>
              </w:rPr>
              <w:t xml:space="preserve">4,29;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1,49)</w:t>
            </w:r>
          </w:p>
        </w:tc>
        <w:tc>
          <w:tcPr>
            <w:tcW w:w="1330" w:type="pct"/>
            <w:tcBorders>
              <w:top w:val="single" w:sz="4" w:space="0" w:color="000000"/>
              <w:left w:val="single" w:sz="4" w:space="0" w:color="000000"/>
              <w:bottom w:val="single" w:sz="4" w:space="0" w:color="000000"/>
              <w:right w:val="single" w:sz="4" w:space="0" w:color="000000"/>
            </w:tcBorders>
            <w:hideMark/>
          </w:tcPr>
          <w:p w14:paraId="460590DD"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2,37* (</w:t>
            </w:r>
            <w:r w:rsidRPr="00841BE0">
              <w:rPr>
                <w:rFonts w:ascii="Times New Roman" w:eastAsia="Times New Roman" w:hAnsi="Times New Roman"/>
                <w:sz w:val="22"/>
              </w:rPr>
              <w:noBreakHyphen/>
            </w:r>
            <w:proofErr w:type="gramStart"/>
            <w:r w:rsidRPr="00841BE0">
              <w:rPr>
                <w:rFonts w:ascii="Times New Roman" w:eastAsia="Times New Roman" w:hAnsi="Times New Roman"/>
                <w:sz w:val="22"/>
              </w:rPr>
              <w:t xml:space="preserve">3,75;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0,98)</w:t>
            </w:r>
          </w:p>
        </w:tc>
      </w:tr>
    </w:tbl>
    <w:p w14:paraId="556AAC77" w14:textId="1460C002" w:rsidR="00841BE0" w:rsidRPr="00841BE0" w:rsidRDefault="00841BE0" w:rsidP="00412655">
      <w:pPr>
        <w:ind w:left="426" w:hanging="426"/>
        <w:rPr>
          <w:sz w:val="24"/>
          <w:szCs w:val="24"/>
        </w:rPr>
      </w:pPr>
      <w:r w:rsidRPr="00841BE0">
        <w:rPr>
          <w:sz w:val="24"/>
          <w:szCs w:val="24"/>
          <w:vertAlign w:val="superscript"/>
        </w:rPr>
        <w:t>a</w:t>
      </w:r>
      <w:r w:rsidRPr="00841BE0">
        <w:rPr>
          <w:sz w:val="24"/>
          <w:szCs w:val="24"/>
        </w:rPr>
        <w:t xml:space="preserve"> </w:t>
      </w:r>
      <w:r w:rsidR="00412655" w:rsidRPr="003D3B2F">
        <w:rPr>
          <w:sz w:val="24"/>
          <w:szCs w:val="24"/>
        </w:rPr>
        <w:tab/>
      </w:r>
      <w:r w:rsidRPr="00841BE0">
        <w:rPr>
          <w:sz w:val="24"/>
          <w:szCs w:val="24"/>
        </w:rPr>
        <w:t xml:space="preserve">Undergruppeanalyse af patienter der også fik </w:t>
      </w:r>
      <w:proofErr w:type="spellStart"/>
      <w:r w:rsidRPr="00841BE0">
        <w:rPr>
          <w:sz w:val="24"/>
          <w:szCs w:val="24"/>
        </w:rPr>
        <w:t>metformin</w:t>
      </w:r>
      <w:proofErr w:type="spellEnd"/>
      <w:r w:rsidRPr="00841BE0">
        <w:rPr>
          <w:sz w:val="24"/>
          <w:szCs w:val="24"/>
        </w:rPr>
        <w:t xml:space="preserve"> (FAS, LOCF).</w:t>
      </w:r>
    </w:p>
    <w:p w14:paraId="78673901" w14:textId="5EB2D4CE" w:rsidR="00841BE0" w:rsidRPr="00841BE0" w:rsidRDefault="00841BE0" w:rsidP="00412655">
      <w:pPr>
        <w:ind w:left="426" w:hanging="426"/>
        <w:rPr>
          <w:sz w:val="24"/>
          <w:szCs w:val="24"/>
        </w:rPr>
      </w:pPr>
      <w:r w:rsidRPr="00841BE0">
        <w:rPr>
          <w:sz w:val="24"/>
          <w:szCs w:val="24"/>
          <w:vertAlign w:val="superscript"/>
        </w:rPr>
        <w:t>b</w:t>
      </w:r>
      <w:r w:rsidRPr="00841BE0">
        <w:rPr>
          <w:sz w:val="24"/>
          <w:szCs w:val="24"/>
        </w:rPr>
        <w:t xml:space="preserve"> </w:t>
      </w:r>
      <w:r w:rsidR="00412655" w:rsidRPr="003D3B2F">
        <w:rPr>
          <w:sz w:val="24"/>
          <w:szCs w:val="24"/>
        </w:rPr>
        <w:tab/>
      </w:r>
      <w:r w:rsidRPr="00841BE0">
        <w:rPr>
          <w:sz w:val="24"/>
          <w:szCs w:val="24"/>
        </w:rPr>
        <w:t xml:space="preserve">Undergruppeanalyse af patienter, der også fik </w:t>
      </w:r>
      <w:proofErr w:type="spellStart"/>
      <w:r w:rsidRPr="00841BE0">
        <w:rPr>
          <w:sz w:val="24"/>
          <w:szCs w:val="24"/>
        </w:rPr>
        <w:t>metformin</w:t>
      </w:r>
      <w:proofErr w:type="spellEnd"/>
      <w:r w:rsidRPr="00841BE0">
        <w:rPr>
          <w:sz w:val="24"/>
          <w:szCs w:val="24"/>
        </w:rPr>
        <w:t xml:space="preserve"> (per-protokol datasættet (PPS), LOCF).</w:t>
      </w:r>
    </w:p>
    <w:p w14:paraId="2B02CB28" w14:textId="0D9AD900" w:rsidR="00841BE0" w:rsidRPr="00841BE0" w:rsidRDefault="00841BE0" w:rsidP="00412655">
      <w:pPr>
        <w:ind w:left="426" w:hanging="426"/>
        <w:rPr>
          <w:sz w:val="24"/>
          <w:szCs w:val="24"/>
        </w:rPr>
      </w:pPr>
      <w:r w:rsidRPr="00841BE0">
        <w:rPr>
          <w:sz w:val="24"/>
          <w:szCs w:val="24"/>
          <w:vertAlign w:val="superscript"/>
        </w:rPr>
        <w:t>1</w:t>
      </w:r>
      <w:r w:rsidRPr="00841BE0">
        <w:rPr>
          <w:sz w:val="24"/>
          <w:szCs w:val="24"/>
        </w:rPr>
        <w:t xml:space="preserve"> </w:t>
      </w:r>
      <w:r w:rsidR="00412655" w:rsidRPr="003D3B2F">
        <w:rPr>
          <w:sz w:val="24"/>
          <w:szCs w:val="24"/>
        </w:rPr>
        <w:tab/>
      </w:r>
      <w:r w:rsidRPr="00841BE0">
        <w:rPr>
          <w:sz w:val="24"/>
          <w:szCs w:val="24"/>
        </w:rPr>
        <w:t xml:space="preserve">Middelværdi korrigeret for </w:t>
      </w:r>
      <w:r w:rsidRPr="00841BE0">
        <w:rPr>
          <w:i/>
          <w:iCs/>
          <w:sz w:val="24"/>
          <w:szCs w:val="24"/>
        </w:rPr>
        <w:t>baseline</w:t>
      </w:r>
      <w:r w:rsidRPr="00841BE0">
        <w:rPr>
          <w:sz w:val="24"/>
          <w:szCs w:val="24"/>
        </w:rPr>
        <w:t>-værdi.</w:t>
      </w:r>
    </w:p>
    <w:p w14:paraId="253897AC" w14:textId="088399A3" w:rsidR="00841BE0" w:rsidRPr="00841BE0" w:rsidRDefault="00841BE0" w:rsidP="00412655">
      <w:pPr>
        <w:ind w:left="426" w:hanging="426"/>
        <w:rPr>
          <w:sz w:val="24"/>
          <w:szCs w:val="24"/>
        </w:rPr>
      </w:pPr>
      <w:r w:rsidRPr="00841BE0">
        <w:rPr>
          <w:sz w:val="24"/>
          <w:szCs w:val="24"/>
          <w:vertAlign w:val="superscript"/>
        </w:rPr>
        <w:t>2</w:t>
      </w:r>
      <w:r w:rsidRPr="00841BE0">
        <w:rPr>
          <w:sz w:val="24"/>
          <w:szCs w:val="24"/>
        </w:rPr>
        <w:t xml:space="preserve"> </w:t>
      </w:r>
      <w:r w:rsidR="00412655" w:rsidRPr="003D3B2F">
        <w:rPr>
          <w:sz w:val="24"/>
          <w:szCs w:val="24"/>
        </w:rPr>
        <w:tab/>
      </w:r>
      <w:r w:rsidRPr="00841BE0">
        <w:rPr>
          <w:sz w:val="24"/>
          <w:szCs w:val="24"/>
        </w:rPr>
        <w:t>Ikke undersøgt for statistisk signifikans som led i den sekventielle, bekræftende testprocedure.</w:t>
      </w:r>
    </w:p>
    <w:p w14:paraId="071F68AC" w14:textId="3BA9C461" w:rsidR="00841BE0" w:rsidRPr="00841BE0" w:rsidRDefault="00841BE0" w:rsidP="00412655">
      <w:pPr>
        <w:ind w:left="426" w:hanging="426"/>
        <w:rPr>
          <w:sz w:val="24"/>
          <w:szCs w:val="24"/>
        </w:rPr>
      </w:pPr>
      <w:r w:rsidRPr="00841BE0">
        <w:rPr>
          <w:sz w:val="24"/>
          <w:szCs w:val="24"/>
          <w:vertAlign w:val="superscript"/>
        </w:rPr>
        <w:t>3</w:t>
      </w:r>
      <w:r w:rsidRPr="00841BE0">
        <w:rPr>
          <w:sz w:val="24"/>
          <w:szCs w:val="24"/>
        </w:rPr>
        <w:t xml:space="preserve"> </w:t>
      </w:r>
      <w:r w:rsidR="00412655" w:rsidRPr="003D3B2F">
        <w:rPr>
          <w:sz w:val="24"/>
          <w:szCs w:val="24"/>
        </w:rPr>
        <w:tab/>
      </w:r>
      <w:r w:rsidRPr="00841BE0">
        <w:rPr>
          <w:sz w:val="24"/>
          <w:szCs w:val="24"/>
        </w:rPr>
        <w:t>Uge 19</w:t>
      </w:r>
      <w:r w:rsidRPr="00841BE0">
        <w:rPr>
          <w:sz w:val="24"/>
          <w:szCs w:val="24"/>
        </w:rPr>
        <w:noBreakHyphen/>
        <w:t xml:space="preserve">40: </w:t>
      </w:r>
      <w:proofErr w:type="spellStart"/>
      <w:r w:rsidRPr="00841BE0">
        <w:rPr>
          <w:i/>
          <w:iCs/>
          <w:sz w:val="24"/>
          <w:szCs w:val="24"/>
        </w:rPr>
        <w:t>treat</w:t>
      </w:r>
      <w:proofErr w:type="spellEnd"/>
      <w:r w:rsidRPr="00841BE0">
        <w:rPr>
          <w:i/>
          <w:iCs/>
          <w:sz w:val="24"/>
          <w:szCs w:val="24"/>
        </w:rPr>
        <w:t>-to-target</w:t>
      </w:r>
      <w:r w:rsidRPr="00841BE0">
        <w:rPr>
          <w:sz w:val="24"/>
          <w:szCs w:val="24"/>
        </w:rPr>
        <w:t xml:space="preserve">-regime til justering af insulin-dosis for at opnå foruddefinerede målværdier for </w:t>
      </w:r>
      <w:proofErr w:type="spellStart"/>
      <w:r w:rsidRPr="00841BE0">
        <w:rPr>
          <w:sz w:val="24"/>
          <w:szCs w:val="24"/>
        </w:rPr>
        <w:t>glucose</w:t>
      </w:r>
      <w:proofErr w:type="spellEnd"/>
      <w:r w:rsidRPr="00841BE0">
        <w:rPr>
          <w:sz w:val="24"/>
          <w:szCs w:val="24"/>
        </w:rPr>
        <w:t xml:space="preserve"> (</w:t>
      </w:r>
      <w:proofErr w:type="spellStart"/>
      <w:r w:rsidRPr="00841BE0">
        <w:rPr>
          <w:sz w:val="24"/>
          <w:szCs w:val="24"/>
        </w:rPr>
        <w:t>præprandial</w:t>
      </w:r>
      <w:proofErr w:type="spellEnd"/>
      <w:r w:rsidRPr="00841BE0">
        <w:rPr>
          <w:sz w:val="24"/>
          <w:szCs w:val="24"/>
        </w:rPr>
        <w:t xml:space="preserve"> &lt; 100 mg/dl (5,5 mmol/l), </w:t>
      </w:r>
      <w:proofErr w:type="spellStart"/>
      <w:r w:rsidRPr="00841BE0">
        <w:rPr>
          <w:sz w:val="24"/>
          <w:szCs w:val="24"/>
        </w:rPr>
        <w:t>postprandial</w:t>
      </w:r>
      <w:proofErr w:type="spellEnd"/>
      <w:r w:rsidRPr="00841BE0">
        <w:rPr>
          <w:sz w:val="24"/>
          <w:szCs w:val="24"/>
        </w:rPr>
        <w:t xml:space="preserve"> &lt; 140 mg/dl (7,8 mmol/l).</w:t>
      </w:r>
    </w:p>
    <w:p w14:paraId="5AFF3106" w14:textId="7ADF7F9F" w:rsidR="00841BE0" w:rsidRPr="00841BE0" w:rsidRDefault="00841BE0" w:rsidP="00412655">
      <w:pPr>
        <w:ind w:left="426" w:hanging="426"/>
        <w:rPr>
          <w:sz w:val="24"/>
          <w:szCs w:val="24"/>
        </w:rPr>
      </w:pPr>
      <w:r w:rsidRPr="00841BE0">
        <w:rPr>
          <w:sz w:val="24"/>
          <w:szCs w:val="24"/>
        </w:rPr>
        <w:t xml:space="preserve">* </w:t>
      </w:r>
      <w:r w:rsidR="00412655" w:rsidRPr="003D3B2F">
        <w:rPr>
          <w:sz w:val="24"/>
          <w:szCs w:val="24"/>
        </w:rPr>
        <w:tab/>
      </w:r>
      <w:proofErr w:type="spellStart"/>
      <w:r w:rsidRPr="00841BE0">
        <w:rPr>
          <w:sz w:val="24"/>
          <w:szCs w:val="24"/>
        </w:rPr>
        <w:t>p-værdi</w:t>
      </w:r>
      <w:proofErr w:type="spellEnd"/>
      <w:r w:rsidRPr="00841BE0">
        <w:rPr>
          <w:sz w:val="24"/>
          <w:szCs w:val="24"/>
        </w:rPr>
        <w:t xml:space="preserve"> ≤ 0,0005.</w:t>
      </w:r>
    </w:p>
    <w:p w14:paraId="0B08A945" w14:textId="6B2FF46A" w:rsidR="00841BE0" w:rsidRPr="00841BE0" w:rsidRDefault="00841BE0" w:rsidP="00412655">
      <w:pPr>
        <w:ind w:left="426" w:hanging="426"/>
        <w:rPr>
          <w:sz w:val="24"/>
          <w:szCs w:val="24"/>
        </w:rPr>
      </w:pPr>
      <w:r w:rsidRPr="00841BE0">
        <w:rPr>
          <w:sz w:val="24"/>
          <w:szCs w:val="24"/>
        </w:rPr>
        <w:t xml:space="preserve">** </w:t>
      </w:r>
      <w:r w:rsidR="00412655" w:rsidRPr="003D3B2F">
        <w:rPr>
          <w:sz w:val="24"/>
          <w:szCs w:val="24"/>
        </w:rPr>
        <w:tab/>
      </w:r>
      <w:proofErr w:type="spellStart"/>
      <w:r w:rsidRPr="00841BE0">
        <w:rPr>
          <w:sz w:val="24"/>
          <w:szCs w:val="24"/>
        </w:rPr>
        <w:t>p-værdi</w:t>
      </w:r>
      <w:proofErr w:type="spellEnd"/>
      <w:r w:rsidRPr="00841BE0">
        <w:rPr>
          <w:sz w:val="24"/>
          <w:szCs w:val="24"/>
        </w:rPr>
        <w:t xml:space="preserve"> &lt; 0,005.</w:t>
      </w:r>
    </w:p>
    <w:p w14:paraId="665279BB" w14:textId="77777777" w:rsidR="00841BE0" w:rsidRPr="00841BE0" w:rsidRDefault="00841BE0" w:rsidP="00841BE0">
      <w:pPr>
        <w:tabs>
          <w:tab w:val="left" w:pos="851"/>
        </w:tabs>
        <w:ind w:left="851"/>
        <w:rPr>
          <w:sz w:val="24"/>
          <w:szCs w:val="24"/>
        </w:rPr>
      </w:pPr>
    </w:p>
    <w:p w14:paraId="0514E795" w14:textId="77777777" w:rsidR="00841BE0" w:rsidRPr="00841BE0" w:rsidRDefault="00841BE0" w:rsidP="00412655">
      <w:pPr>
        <w:ind w:left="851"/>
        <w:rPr>
          <w:i/>
          <w:iCs/>
          <w:sz w:val="24"/>
          <w:szCs w:val="24"/>
        </w:rPr>
      </w:pPr>
      <w:proofErr w:type="spellStart"/>
      <w:r w:rsidRPr="00841BE0">
        <w:rPr>
          <w:i/>
          <w:iCs/>
          <w:sz w:val="24"/>
          <w:szCs w:val="24"/>
        </w:rPr>
        <w:t>Empagliflozin</w:t>
      </w:r>
      <w:proofErr w:type="spellEnd"/>
      <w:r w:rsidRPr="00841BE0">
        <w:rPr>
          <w:i/>
          <w:iCs/>
          <w:sz w:val="24"/>
          <w:szCs w:val="24"/>
        </w:rPr>
        <w:t xml:space="preserve"> som supplement til basal insulin</w:t>
      </w:r>
    </w:p>
    <w:p w14:paraId="0E050125" w14:textId="77777777" w:rsidR="00841BE0" w:rsidRPr="00841BE0" w:rsidRDefault="00841BE0" w:rsidP="00412655">
      <w:pPr>
        <w:ind w:left="851"/>
        <w:rPr>
          <w:sz w:val="24"/>
          <w:szCs w:val="24"/>
        </w:rPr>
      </w:pPr>
    </w:p>
    <w:p w14:paraId="71099CE3" w14:textId="77777777" w:rsidR="00841BE0" w:rsidRPr="00841BE0" w:rsidRDefault="00841BE0" w:rsidP="00412655">
      <w:pPr>
        <w:ind w:left="851"/>
        <w:rPr>
          <w:sz w:val="24"/>
          <w:szCs w:val="24"/>
        </w:rPr>
      </w:pPr>
      <w:r w:rsidRPr="00841BE0">
        <w:rPr>
          <w:sz w:val="24"/>
          <w:szCs w:val="24"/>
        </w:rPr>
        <w:t xml:space="preserve">Virkningen og sikkerheden af </w:t>
      </w:r>
      <w:proofErr w:type="spellStart"/>
      <w:r w:rsidRPr="00841BE0">
        <w:rPr>
          <w:sz w:val="24"/>
          <w:szCs w:val="24"/>
        </w:rPr>
        <w:t>empagliflozin</w:t>
      </w:r>
      <w:proofErr w:type="spellEnd"/>
      <w:r w:rsidRPr="00841BE0">
        <w:rPr>
          <w:sz w:val="24"/>
          <w:szCs w:val="24"/>
        </w:rPr>
        <w:t xml:space="preserve"> som supplement til basal insulin med samtidig </w:t>
      </w:r>
      <w:proofErr w:type="spellStart"/>
      <w:r w:rsidRPr="00841BE0">
        <w:rPr>
          <w:sz w:val="24"/>
          <w:szCs w:val="24"/>
        </w:rPr>
        <w:t>metforminbehandling</w:t>
      </w:r>
      <w:proofErr w:type="spellEnd"/>
      <w:r w:rsidRPr="00841BE0">
        <w:rPr>
          <w:sz w:val="24"/>
          <w:szCs w:val="24"/>
        </w:rPr>
        <w:t xml:space="preserve"> blev undersøgt i et 78 ugers, dobbeltblindet, placebokontrolleret studie. I de første 18 uger blev insulin-dosis holdt konstant, men i de følgende 60 uger blev dosis justeret for at opnå et FPG &lt; 110 mg/dl.</w:t>
      </w:r>
    </w:p>
    <w:p w14:paraId="18D4B65D" w14:textId="77777777" w:rsidR="00841BE0" w:rsidRPr="00841BE0" w:rsidRDefault="00841BE0" w:rsidP="00412655">
      <w:pPr>
        <w:ind w:left="851"/>
        <w:rPr>
          <w:sz w:val="24"/>
          <w:szCs w:val="24"/>
        </w:rPr>
      </w:pPr>
      <w:r w:rsidRPr="00841BE0">
        <w:rPr>
          <w:sz w:val="24"/>
          <w:szCs w:val="24"/>
        </w:rPr>
        <w:t xml:space="preserve">Ved uge 18 var der et statistisk signifikant fald i HbA1c med </w:t>
      </w:r>
      <w:proofErr w:type="spellStart"/>
      <w:r w:rsidRPr="00841BE0">
        <w:rPr>
          <w:sz w:val="24"/>
          <w:szCs w:val="24"/>
        </w:rPr>
        <w:t>empagliflozin</w:t>
      </w:r>
      <w:proofErr w:type="spellEnd"/>
      <w:r w:rsidRPr="00841BE0">
        <w:rPr>
          <w:sz w:val="24"/>
          <w:szCs w:val="24"/>
        </w:rPr>
        <w:t xml:space="preserve">. En højere andel af patienter behandlet med </w:t>
      </w:r>
      <w:proofErr w:type="spellStart"/>
      <w:r w:rsidRPr="00841BE0">
        <w:rPr>
          <w:sz w:val="24"/>
          <w:szCs w:val="24"/>
        </w:rPr>
        <w:t>empagliflozin</w:t>
      </w:r>
      <w:proofErr w:type="spellEnd"/>
      <w:r w:rsidRPr="00841BE0">
        <w:rPr>
          <w:sz w:val="24"/>
          <w:szCs w:val="24"/>
        </w:rPr>
        <w:t xml:space="preserve"> og med </w:t>
      </w:r>
      <w:r w:rsidRPr="00841BE0">
        <w:rPr>
          <w:i/>
          <w:iCs/>
          <w:sz w:val="24"/>
          <w:szCs w:val="24"/>
        </w:rPr>
        <w:t>baseline</w:t>
      </w:r>
      <w:r w:rsidRPr="00841BE0">
        <w:rPr>
          <w:sz w:val="24"/>
          <w:szCs w:val="24"/>
        </w:rPr>
        <w:t>-HbA1c ≥ 7,0 % opnåede en HbA1c-målværdi på &lt; 7 % sammenlignet med placebo (tabel 8).</w:t>
      </w:r>
    </w:p>
    <w:p w14:paraId="3364D80A" w14:textId="77777777" w:rsidR="00841BE0" w:rsidRPr="00841BE0" w:rsidRDefault="00841BE0" w:rsidP="00412655">
      <w:pPr>
        <w:ind w:left="851"/>
        <w:rPr>
          <w:sz w:val="24"/>
          <w:szCs w:val="24"/>
        </w:rPr>
      </w:pPr>
      <w:r w:rsidRPr="00841BE0">
        <w:rPr>
          <w:sz w:val="24"/>
          <w:szCs w:val="24"/>
        </w:rPr>
        <w:t xml:space="preserve">Ved uge 78 var faldet i HbA1c og den insulinbesparende virkning af </w:t>
      </w:r>
      <w:proofErr w:type="spellStart"/>
      <w:r w:rsidRPr="00841BE0">
        <w:rPr>
          <w:sz w:val="24"/>
          <w:szCs w:val="24"/>
        </w:rPr>
        <w:t>empagliflozin</w:t>
      </w:r>
      <w:proofErr w:type="spellEnd"/>
      <w:r w:rsidRPr="00841BE0">
        <w:rPr>
          <w:sz w:val="24"/>
          <w:szCs w:val="24"/>
        </w:rPr>
        <w:t xml:space="preserve"> var vedvarende. </w:t>
      </w:r>
      <w:proofErr w:type="gramStart"/>
      <w:r w:rsidRPr="00841BE0">
        <w:rPr>
          <w:sz w:val="24"/>
          <w:szCs w:val="24"/>
        </w:rPr>
        <w:t>Endvidere</w:t>
      </w:r>
      <w:proofErr w:type="gramEnd"/>
      <w:r w:rsidRPr="00841BE0">
        <w:rPr>
          <w:sz w:val="24"/>
          <w:szCs w:val="24"/>
        </w:rPr>
        <w:t xml:space="preserve"> medførte </w:t>
      </w:r>
      <w:proofErr w:type="spellStart"/>
      <w:r w:rsidRPr="00841BE0">
        <w:rPr>
          <w:sz w:val="24"/>
          <w:szCs w:val="24"/>
        </w:rPr>
        <w:t>empagliflozin</w:t>
      </w:r>
      <w:proofErr w:type="spellEnd"/>
      <w:r w:rsidRPr="00841BE0">
        <w:rPr>
          <w:sz w:val="24"/>
          <w:szCs w:val="24"/>
        </w:rPr>
        <w:t xml:space="preserve"> et fald i FPG, legemsvægt og blodtryk.</w:t>
      </w:r>
    </w:p>
    <w:p w14:paraId="3EC0D1B2" w14:textId="77777777" w:rsidR="00841BE0" w:rsidRPr="00841BE0" w:rsidRDefault="00841BE0" w:rsidP="00412655">
      <w:pPr>
        <w:ind w:left="851"/>
        <w:rPr>
          <w:sz w:val="24"/>
          <w:szCs w:val="24"/>
        </w:rPr>
      </w:pPr>
    </w:p>
    <w:p w14:paraId="0639803F" w14:textId="77777777" w:rsidR="00841BE0" w:rsidRPr="00841BE0" w:rsidRDefault="00841BE0" w:rsidP="001C0D88">
      <w:pPr>
        <w:rPr>
          <w:sz w:val="24"/>
          <w:szCs w:val="24"/>
        </w:rPr>
      </w:pPr>
      <w:r w:rsidRPr="00841BE0">
        <w:rPr>
          <w:sz w:val="24"/>
          <w:szCs w:val="24"/>
        </w:rPr>
        <w:t xml:space="preserve">Tabel 8: Virkningsresultater efter 18 og 78 uger i et placebokontrolleret studie af </w:t>
      </w:r>
      <w:proofErr w:type="spellStart"/>
      <w:r w:rsidRPr="00841BE0">
        <w:rPr>
          <w:sz w:val="24"/>
          <w:szCs w:val="24"/>
        </w:rPr>
        <w:t>empagliflozin</w:t>
      </w:r>
      <w:proofErr w:type="spellEnd"/>
      <w:r w:rsidRPr="00841BE0">
        <w:rPr>
          <w:sz w:val="24"/>
          <w:szCs w:val="24"/>
        </w:rPr>
        <w:t xml:space="preserve"> som supplement til basal insulin med samtidig </w:t>
      </w:r>
      <w:proofErr w:type="spellStart"/>
      <w:r w:rsidRPr="00841BE0">
        <w:rPr>
          <w:sz w:val="24"/>
          <w:szCs w:val="24"/>
        </w:rPr>
        <w:t>metforminbehandling</w:t>
      </w:r>
      <w:r w:rsidRPr="00841BE0">
        <w:rPr>
          <w:sz w:val="24"/>
          <w:szCs w:val="24"/>
          <w:vertAlign w:val="superscript"/>
        </w:rPr>
        <w:t>a</w:t>
      </w:r>
      <w:proofErr w:type="spellEnd"/>
    </w:p>
    <w:tbl>
      <w:tblPr>
        <w:tblStyle w:val="TableNormal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46"/>
        <w:gridCol w:w="1336"/>
        <w:gridCol w:w="2523"/>
        <w:gridCol w:w="2523"/>
      </w:tblGrid>
      <w:tr w:rsidR="00841BE0" w:rsidRPr="00841BE0" w14:paraId="27F50D87" w14:textId="77777777" w:rsidTr="00412655">
        <w:trPr>
          <w:trHeight w:val="381"/>
        </w:trPr>
        <w:tc>
          <w:tcPr>
            <w:tcW w:w="1686" w:type="pct"/>
            <w:tcBorders>
              <w:top w:val="single" w:sz="4" w:space="0" w:color="000000"/>
              <w:left w:val="single" w:sz="4" w:space="0" w:color="000000"/>
              <w:bottom w:val="single" w:sz="4" w:space="0" w:color="000000"/>
              <w:right w:val="single" w:sz="4" w:space="0" w:color="000000"/>
            </w:tcBorders>
          </w:tcPr>
          <w:p w14:paraId="66F9978C" w14:textId="77777777" w:rsidR="00841BE0" w:rsidRPr="00841BE0" w:rsidRDefault="00841BE0" w:rsidP="00412655">
            <w:pPr>
              <w:widowControl/>
              <w:autoSpaceDE/>
              <w:autoSpaceDN/>
              <w:ind w:left="142"/>
              <w:rPr>
                <w:rFonts w:ascii="Times New Roman" w:eastAsia="Times New Roman" w:hAnsi="Times New Roman"/>
                <w:sz w:val="22"/>
                <w:lang w:val="da-DK"/>
              </w:rPr>
            </w:pPr>
          </w:p>
        </w:tc>
        <w:tc>
          <w:tcPr>
            <w:tcW w:w="694" w:type="pct"/>
            <w:tcBorders>
              <w:top w:val="single" w:sz="4" w:space="0" w:color="000000"/>
              <w:left w:val="single" w:sz="4" w:space="0" w:color="000000"/>
              <w:bottom w:val="single" w:sz="4" w:space="0" w:color="000000"/>
              <w:right w:val="single" w:sz="4" w:space="0" w:color="000000"/>
            </w:tcBorders>
            <w:hideMark/>
          </w:tcPr>
          <w:p w14:paraId="1037CB93" w14:textId="77777777" w:rsidR="00841BE0" w:rsidRPr="00841BE0" w:rsidRDefault="00841BE0" w:rsidP="00412655">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Placebo</w:t>
            </w:r>
          </w:p>
        </w:tc>
        <w:tc>
          <w:tcPr>
            <w:tcW w:w="1310" w:type="pct"/>
            <w:tcBorders>
              <w:top w:val="single" w:sz="4" w:space="0" w:color="000000"/>
              <w:left w:val="single" w:sz="4" w:space="0" w:color="000000"/>
              <w:bottom w:val="single" w:sz="4" w:space="0" w:color="000000"/>
              <w:right w:val="single" w:sz="4" w:space="0" w:color="000000"/>
            </w:tcBorders>
            <w:hideMark/>
          </w:tcPr>
          <w:p w14:paraId="47898797" w14:textId="77777777" w:rsidR="00841BE0" w:rsidRPr="00841BE0" w:rsidRDefault="00841BE0" w:rsidP="00412655">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Empagliflozin 10 mg</w:t>
            </w:r>
          </w:p>
        </w:tc>
        <w:tc>
          <w:tcPr>
            <w:tcW w:w="1310" w:type="pct"/>
            <w:tcBorders>
              <w:top w:val="single" w:sz="4" w:space="0" w:color="000000"/>
              <w:left w:val="single" w:sz="4" w:space="0" w:color="000000"/>
              <w:bottom w:val="single" w:sz="4" w:space="0" w:color="000000"/>
              <w:right w:val="single" w:sz="4" w:space="0" w:color="000000"/>
            </w:tcBorders>
            <w:hideMark/>
          </w:tcPr>
          <w:p w14:paraId="022386BF" w14:textId="77777777" w:rsidR="00841BE0" w:rsidRPr="00841BE0" w:rsidRDefault="00841BE0" w:rsidP="00412655">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Empagliflozin 25 mg</w:t>
            </w:r>
          </w:p>
        </w:tc>
      </w:tr>
      <w:tr w:rsidR="00841BE0" w:rsidRPr="00841BE0" w14:paraId="2952D0EF" w14:textId="77777777" w:rsidTr="00412655">
        <w:trPr>
          <w:trHeight w:val="251"/>
        </w:trPr>
        <w:tc>
          <w:tcPr>
            <w:tcW w:w="1686" w:type="pct"/>
            <w:tcBorders>
              <w:top w:val="single" w:sz="4" w:space="0" w:color="000000"/>
              <w:left w:val="single" w:sz="4" w:space="0" w:color="000000"/>
              <w:bottom w:val="single" w:sz="4" w:space="0" w:color="000000"/>
              <w:right w:val="single" w:sz="4" w:space="0" w:color="000000"/>
            </w:tcBorders>
            <w:hideMark/>
          </w:tcPr>
          <w:p w14:paraId="7F14BA1A"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N</w:t>
            </w:r>
          </w:p>
        </w:tc>
        <w:tc>
          <w:tcPr>
            <w:tcW w:w="694" w:type="pct"/>
            <w:tcBorders>
              <w:top w:val="single" w:sz="4" w:space="0" w:color="000000"/>
              <w:left w:val="single" w:sz="4" w:space="0" w:color="000000"/>
              <w:bottom w:val="single" w:sz="4" w:space="0" w:color="000000"/>
              <w:right w:val="single" w:sz="4" w:space="0" w:color="000000"/>
            </w:tcBorders>
            <w:hideMark/>
          </w:tcPr>
          <w:p w14:paraId="593461EB"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96</w:t>
            </w:r>
          </w:p>
        </w:tc>
        <w:tc>
          <w:tcPr>
            <w:tcW w:w="1310" w:type="pct"/>
            <w:tcBorders>
              <w:top w:val="single" w:sz="4" w:space="0" w:color="000000"/>
              <w:left w:val="single" w:sz="4" w:space="0" w:color="000000"/>
              <w:bottom w:val="single" w:sz="4" w:space="0" w:color="000000"/>
              <w:right w:val="single" w:sz="4" w:space="0" w:color="000000"/>
            </w:tcBorders>
            <w:hideMark/>
          </w:tcPr>
          <w:p w14:paraId="499D528E"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107</w:t>
            </w:r>
          </w:p>
        </w:tc>
        <w:tc>
          <w:tcPr>
            <w:tcW w:w="1310" w:type="pct"/>
            <w:tcBorders>
              <w:top w:val="single" w:sz="4" w:space="0" w:color="000000"/>
              <w:left w:val="single" w:sz="4" w:space="0" w:color="000000"/>
              <w:bottom w:val="single" w:sz="4" w:space="0" w:color="000000"/>
              <w:right w:val="single" w:sz="4" w:space="0" w:color="000000"/>
            </w:tcBorders>
            <w:hideMark/>
          </w:tcPr>
          <w:p w14:paraId="3374F7CA"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99</w:t>
            </w:r>
          </w:p>
        </w:tc>
      </w:tr>
      <w:tr w:rsidR="00841BE0" w:rsidRPr="00841BE0" w14:paraId="31876F60" w14:textId="77777777" w:rsidTr="00412655">
        <w:trPr>
          <w:trHeight w:val="251"/>
        </w:trPr>
        <w:tc>
          <w:tcPr>
            <w:tcW w:w="1686" w:type="pct"/>
            <w:tcBorders>
              <w:top w:val="single" w:sz="4" w:space="0" w:color="000000"/>
              <w:left w:val="single" w:sz="4" w:space="0" w:color="000000"/>
              <w:bottom w:val="single" w:sz="4" w:space="0" w:color="000000"/>
              <w:right w:val="single" w:sz="4" w:space="0" w:color="000000"/>
            </w:tcBorders>
            <w:hideMark/>
          </w:tcPr>
          <w:p w14:paraId="69261E6A" w14:textId="77777777" w:rsidR="00841BE0" w:rsidRPr="00841BE0" w:rsidRDefault="00841BE0" w:rsidP="00412655">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 xml:space="preserve">HbA1c (%) </w:t>
            </w:r>
            <w:proofErr w:type="spellStart"/>
            <w:r w:rsidRPr="00841BE0">
              <w:rPr>
                <w:rFonts w:ascii="Times New Roman" w:eastAsia="Times New Roman" w:hAnsi="Times New Roman"/>
                <w:b/>
                <w:sz w:val="22"/>
              </w:rPr>
              <w:t>ved</w:t>
            </w:r>
            <w:proofErr w:type="spellEnd"/>
            <w:r w:rsidRPr="00841BE0">
              <w:rPr>
                <w:rFonts w:ascii="Times New Roman" w:eastAsia="Times New Roman" w:hAnsi="Times New Roman"/>
                <w:b/>
                <w:sz w:val="22"/>
              </w:rPr>
              <w:t xml:space="preserve"> </w:t>
            </w:r>
            <w:proofErr w:type="spellStart"/>
            <w:r w:rsidRPr="00841BE0">
              <w:rPr>
                <w:rFonts w:ascii="Times New Roman" w:eastAsia="Times New Roman" w:hAnsi="Times New Roman"/>
                <w:b/>
                <w:sz w:val="22"/>
              </w:rPr>
              <w:t>uge</w:t>
            </w:r>
            <w:proofErr w:type="spellEnd"/>
            <w:r w:rsidRPr="00841BE0">
              <w:rPr>
                <w:rFonts w:ascii="Times New Roman" w:eastAsia="Times New Roman" w:hAnsi="Times New Roman"/>
                <w:b/>
                <w:sz w:val="22"/>
              </w:rPr>
              <w:t> 18</w:t>
            </w:r>
          </w:p>
        </w:tc>
        <w:tc>
          <w:tcPr>
            <w:tcW w:w="694" w:type="pct"/>
            <w:tcBorders>
              <w:top w:val="single" w:sz="4" w:space="0" w:color="000000"/>
              <w:left w:val="single" w:sz="4" w:space="0" w:color="000000"/>
              <w:bottom w:val="single" w:sz="4" w:space="0" w:color="000000"/>
              <w:right w:val="single" w:sz="4" w:space="0" w:color="000000"/>
            </w:tcBorders>
          </w:tcPr>
          <w:p w14:paraId="7669AE2F" w14:textId="77777777" w:rsidR="00841BE0" w:rsidRPr="00841BE0" w:rsidRDefault="00841BE0" w:rsidP="00412655">
            <w:pPr>
              <w:widowControl/>
              <w:autoSpaceDE/>
              <w:autoSpaceDN/>
              <w:ind w:left="142"/>
              <w:rPr>
                <w:rFonts w:ascii="Times New Roman" w:eastAsia="Times New Roman" w:hAnsi="Times New Roman"/>
                <w:sz w:val="22"/>
              </w:rPr>
            </w:pPr>
          </w:p>
        </w:tc>
        <w:tc>
          <w:tcPr>
            <w:tcW w:w="1310" w:type="pct"/>
            <w:tcBorders>
              <w:top w:val="single" w:sz="4" w:space="0" w:color="000000"/>
              <w:left w:val="single" w:sz="4" w:space="0" w:color="000000"/>
              <w:bottom w:val="single" w:sz="4" w:space="0" w:color="000000"/>
              <w:right w:val="single" w:sz="4" w:space="0" w:color="000000"/>
            </w:tcBorders>
          </w:tcPr>
          <w:p w14:paraId="4F4C2D92" w14:textId="77777777" w:rsidR="00841BE0" w:rsidRPr="00841BE0" w:rsidRDefault="00841BE0" w:rsidP="00412655">
            <w:pPr>
              <w:widowControl/>
              <w:autoSpaceDE/>
              <w:autoSpaceDN/>
              <w:ind w:left="142"/>
              <w:rPr>
                <w:rFonts w:ascii="Times New Roman" w:eastAsia="Times New Roman" w:hAnsi="Times New Roman"/>
                <w:sz w:val="22"/>
              </w:rPr>
            </w:pPr>
          </w:p>
        </w:tc>
        <w:tc>
          <w:tcPr>
            <w:tcW w:w="1310" w:type="pct"/>
            <w:tcBorders>
              <w:top w:val="single" w:sz="4" w:space="0" w:color="000000"/>
              <w:left w:val="single" w:sz="4" w:space="0" w:color="000000"/>
              <w:bottom w:val="single" w:sz="4" w:space="0" w:color="000000"/>
              <w:right w:val="single" w:sz="4" w:space="0" w:color="000000"/>
            </w:tcBorders>
          </w:tcPr>
          <w:p w14:paraId="387D147A" w14:textId="77777777" w:rsidR="00841BE0" w:rsidRPr="00841BE0" w:rsidRDefault="00841BE0" w:rsidP="00412655">
            <w:pPr>
              <w:widowControl/>
              <w:autoSpaceDE/>
              <w:autoSpaceDN/>
              <w:ind w:left="142"/>
              <w:rPr>
                <w:rFonts w:ascii="Times New Roman" w:eastAsia="Times New Roman" w:hAnsi="Times New Roman"/>
                <w:sz w:val="22"/>
              </w:rPr>
            </w:pPr>
          </w:p>
        </w:tc>
      </w:tr>
      <w:tr w:rsidR="00841BE0" w:rsidRPr="00841BE0" w14:paraId="48BBCA74" w14:textId="77777777" w:rsidTr="00412655">
        <w:trPr>
          <w:trHeight w:val="254"/>
        </w:trPr>
        <w:tc>
          <w:tcPr>
            <w:tcW w:w="1686" w:type="pct"/>
            <w:tcBorders>
              <w:top w:val="single" w:sz="4" w:space="0" w:color="000000"/>
              <w:left w:val="single" w:sz="4" w:space="0" w:color="000000"/>
              <w:bottom w:val="single" w:sz="4" w:space="0" w:color="000000"/>
              <w:right w:val="single" w:sz="4" w:space="0" w:color="000000"/>
            </w:tcBorders>
            <w:hideMark/>
          </w:tcPr>
          <w:p w14:paraId="33C894A9"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i/>
                <w:sz w:val="22"/>
              </w:rPr>
              <w:t xml:space="preserve">Baseline </w:t>
            </w:r>
            <w:r w:rsidRPr="00841BE0">
              <w:rPr>
                <w:rFonts w:ascii="Times New Roman" w:eastAsia="Times New Roman" w:hAnsi="Times New Roman"/>
                <w:sz w:val="22"/>
              </w:rPr>
              <w:t>(</w:t>
            </w:r>
            <w:proofErr w:type="spellStart"/>
            <w:r w:rsidRPr="00841BE0">
              <w:rPr>
                <w:rFonts w:ascii="Times New Roman" w:eastAsia="Times New Roman" w:hAnsi="Times New Roman"/>
                <w:sz w:val="22"/>
              </w:rPr>
              <w:t>middelværdi</w:t>
            </w:r>
            <w:proofErr w:type="spellEnd"/>
            <w:r w:rsidRPr="00841BE0">
              <w:rPr>
                <w:rFonts w:ascii="Times New Roman" w:eastAsia="Times New Roman" w:hAnsi="Times New Roman"/>
                <w:sz w:val="22"/>
              </w:rPr>
              <w:t>)</w:t>
            </w:r>
          </w:p>
        </w:tc>
        <w:tc>
          <w:tcPr>
            <w:tcW w:w="694" w:type="pct"/>
            <w:tcBorders>
              <w:top w:val="single" w:sz="4" w:space="0" w:color="000000"/>
              <w:left w:val="single" w:sz="4" w:space="0" w:color="000000"/>
              <w:bottom w:val="single" w:sz="4" w:space="0" w:color="000000"/>
              <w:right w:val="single" w:sz="4" w:space="0" w:color="000000"/>
            </w:tcBorders>
            <w:hideMark/>
          </w:tcPr>
          <w:p w14:paraId="30FBE89E"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8,02</w:t>
            </w:r>
          </w:p>
        </w:tc>
        <w:tc>
          <w:tcPr>
            <w:tcW w:w="1310" w:type="pct"/>
            <w:tcBorders>
              <w:top w:val="single" w:sz="4" w:space="0" w:color="000000"/>
              <w:left w:val="single" w:sz="4" w:space="0" w:color="000000"/>
              <w:bottom w:val="single" w:sz="4" w:space="0" w:color="000000"/>
              <w:right w:val="single" w:sz="4" w:space="0" w:color="000000"/>
            </w:tcBorders>
            <w:hideMark/>
          </w:tcPr>
          <w:p w14:paraId="4B17CB57"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8,21</w:t>
            </w:r>
          </w:p>
        </w:tc>
        <w:tc>
          <w:tcPr>
            <w:tcW w:w="1310" w:type="pct"/>
            <w:tcBorders>
              <w:top w:val="single" w:sz="4" w:space="0" w:color="000000"/>
              <w:left w:val="single" w:sz="4" w:space="0" w:color="000000"/>
              <w:bottom w:val="single" w:sz="4" w:space="0" w:color="000000"/>
              <w:right w:val="single" w:sz="4" w:space="0" w:color="000000"/>
            </w:tcBorders>
            <w:hideMark/>
          </w:tcPr>
          <w:p w14:paraId="6AE0AF8E"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8,35</w:t>
            </w:r>
          </w:p>
        </w:tc>
      </w:tr>
      <w:tr w:rsidR="00841BE0" w:rsidRPr="00841BE0" w14:paraId="06C9B7EE" w14:textId="77777777" w:rsidTr="00412655">
        <w:trPr>
          <w:trHeight w:val="253"/>
        </w:trPr>
        <w:tc>
          <w:tcPr>
            <w:tcW w:w="1686" w:type="pct"/>
            <w:tcBorders>
              <w:top w:val="single" w:sz="4" w:space="0" w:color="000000"/>
              <w:left w:val="single" w:sz="4" w:space="0" w:color="000000"/>
              <w:bottom w:val="single" w:sz="4" w:space="0" w:color="000000"/>
              <w:right w:val="single" w:sz="4" w:space="0" w:color="000000"/>
            </w:tcBorders>
            <w:hideMark/>
          </w:tcPr>
          <w:p w14:paraId="6752A552" w14:textId="77777777" w:rsidR="00841BE0" w:rsidRPr="00841BE0" w:rsidRDefault="00841BE0" w:rsidP="00412655">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Ændring</w:t>
            </w:r>
            <w:proofErr w:type="spellEnd"/>
            <w:r w:rsidRPr="00841BE0">
              <w:rPr>
                <w:rFonts w:ascii="Times New Roman" w:eastAsia="Times New Roman" w:hAnsi="Times New Roman"/>
                <w:sz w:val="22"/>
              </w:rPr>
              <w:t xml:space="preserve"> fra </w:t>
            </w:r>
            <w:r w:rsidRPr="00841BE0">
              <w:rPr>
                <w:rFonts w:ascii="Times New Roman" w:eastAsia="Times New Roman" w:hAnsi="Times New Roman"/>
                <w:i/>
                <w:sz w:val="22"/>
              </w:rPr>
              <w:t>baseline</w:t>
            </w:r>
            <w:r w:rsidRPr="00841BE0">
              <w:rPr>
                <w:rFonts w:ascii="Times New Roman" w:eastAsia="Times New Roman" w:hAnsi="Times New Roman"/>
                <w:sz w:val="22"/>
                <w:vertAlign w:val="superscript"/>
              </w:rPr>
              <w:t>1</w:t>
            </w:r>
          </w:p>
        </w:tc>
        <w:tc>
          <w:tcPr>
            <w:tcW w:w="694" w:type="pct"/>
            <w:tcBorders>
              <w:top w:val="single" w:sz="4" w:space="0" w:color="000000"/>
              <w:left w:val="single" w:sz="4" w:space="0" w:color="000000"/>
              <w:bottom w:val="single" w:sz="4" w:space="0" w:color="000000"/>
              <w:right w:val="single" w:sz="4" w:space="0" w:color="000000"/>
            </w:tcBorders>
            <w:hideMark/>
          </w:tcPr>
          <w:p w14:paraId="689D2B2E"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0,09</w:t>
            </w:r>
          </w:p>
        </w:tc>
        <w:tc>
          <w:tcPr>
            <w:tcW w:w="1310" w:type="pct"/>
            <w:tcBorders>
              <w:top w:val="single" w:sz="4" w:space="0" w:color="000000"/>
              <w:left w:val="single" w:sz="4" w:space="0" w:color="000000"/>
              <w:bottom w:val="single" w:sz="4" w:space="0" w:color="000000"/>
              <w:right w:val="single" w:sz="4" w:space="0" w:color="000000"/>
            </w:tcBorders>
            <w:hideMark/>
          </w:tcPr>
          <w:p w14:paraId="708E6F3B"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0,62</w:t>
            </w:r>
          </w:p>
        </w:tc>
        <w:tc>
          <w:tcPr>
            <w:tcW w:w="1310" w:type="pct"/>
            <w:tcBorders>
              <w:top w:val="single" w:sz="4" w:space="0" w:color="000000"/>
              <w:left w:val="single" w:sz="4" w:space="0" w:color="000000"/>
              <w:bottom w:val="single" w:sz="4" w:space="0" w:color="000000"/>
              <w:right w:val="single" w:sz="4" w:space="0" w:color="000000"/>
            </w:tcBorders>
            <w:hideMark/>
          </w:tcPr>
          <w:p w14:paraId="234E1D60"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0,72</w:t>
            </w:r>
          </w:p>
        </w:tc>
      </w:tr>
      <w:tr w:rsidR="00841BE0" w:rsidRPr="00841BE0" w14:paraId="5B54EAB2" w14:textId="77777777" w:rsidTr="00412655">
        <w:trPr>
          <w:trHeight w:val="506"/>
        </w:trPr>
        <w:tc>
          <w:tcPr>
            <w:tcW w:w="1686" w:type="pct"/>
            <w:tcBorders>
              <w:top w:val="single" w:sz="4" w:space="0" w:color="000000"/>
              <w:left w:val="single" w:sz="4" w:space="0" w:color="000000"/>
              <w:bottom w:val="single" w:sz="4" w:space="0" w:color="000000"/>
              <w:right w:val="single" w:sz="4" w:space="0" w:color="000000"/>
            </w:tcBorders>
            <w:hideMark/>
          </w:tcPr>
          <w:p w14:paraId="03A1E6F4" w14:textId="77777777" w:rsidR="00841BE0" w:rsidRPr="00841BE0" w:rsidRDefault="00841BE0" w:rsidP="00412655">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Forskel</w:t>
            </w:r>
            <w:proofErr w:type="spellEnd"/>
            <w:r w:rsidRPr="00841BE0">
              <w:rPr>
                <w:rFonts w:ascii="Times New Roman" w:eastAsia="Times New Roman" w:hAnsi="Times New Roman"/>
                <w:sz w:val="22"/>
              </w:rPr>
              <w:t xml:space="preserve"> </w:t>
            </w:r>
            <w:proofErr w:type="spellStart"/>
            <w:r w:rsidRPr="00841BE0">
              <w:rPr>
                <w:rFonts w:ascii="Times New Roman" w:eastAsia="Times New Roman" w:hAnsi="Times New Roman"/>
                <w:sz w:val="22"/>
              </w:rPr>
              <w:t>til</w:t>
            </w:r>
            <w:proofErr w:type="spellEnd"/>
            <w:r w:rsidRPr="00841BE0">
              <w:rPr>
                <w:rFonts w:ascii="Times New Roman" w:eastAsia="Times New Roman" w:hAnsi="Times New Roman"/>
                <w:sz w:val="22"/>
              </w:rPr>
              <w:t xml:space="preserve"> placebo</w:t>
            </w:r>
            <w:r w:rsidRPr="00841BE0">
              <w:rPr>
                <w:rFonts w:ascii="Times New Roman" w:eastAsia="Times New Roman" w:hAnsi="Times New Roman"/>
                <w:sz w:val="22"/>
                <w:vertAlign w:val="superscript"/>
              </w:rPr>
              <w:t>1</w:t>
            </w:r>
          </w:p>
          <w:p w14:paraId="7525C8AC"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(97,5 % CI)</w:t>
            </w:r>
          </w:p>
        </w:tc>
        <w:tc>
          <w:tcPr>
            <w:tcW w:w="694" w:type="pct"/>
            <w:tcBorders>
              <w:top w:val="single" w:sz="4" w:space="0" w:color="000000"/>
              <w:left w:val="single" w:sz="4" w:space="0" w:color="000000"/>
              <w:bottom w:val="single" w:sz="4" w:space="0" w:color="000000"/>
              <w:right w:val="single" w:sz="4" w:space="0" w:color="000000"/>
            </w:tcBorders>
          </w:tcPr>
          <w:p w14:paraId="45906ADE" w14:textId="77777777" w:rsidR="00841BE0" w:rsidRPr="00841BE0" w:rsidRDefault="00841BE0" w:rsidP="00412655">
            <w:pPr>
              <w:widowControl/>
              <w:autoSpaceDE/>
              <w:autoSpaceDN/>
              <w:ind w:left="142"/>
              <w:rPr>
                <w:rFonts w:ascii="Times New Roman" w:eastAsia="Times New Roman" w:hAnsi="Times New Roman"/>
                <w:sz w:val="22"/>
              </w:rPr>
            </w:pPr>
          </w:p>
        </w:tc>
        <w:tc>
          <w:tcPr>
            <w:tcW w:w="1310" w:type="pct"/>
            <w:tcBorders>
              <w:top w:val="single" w:sz="4" w:space="0" w:color="000000"/>
              <w:left w:val="single" w:sz="4" w:space="0" w:color="000000"/>
              <w:bottom w:val="single" w:sz="4" w:space="0" w:color="000000"/>
              <w:right w:val="single" w:sz="4" w:space="0" w:color="000000"/>
            </w:tcBorders>
            <w:hideMark/>
          </w:tcPr>
          <w:p w14:paraId="50608E34"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0,54* (</w:t>
            </w:r>
            <w:r w:rsidRPr="00841BE0">
              <w:rPr>
                <w:rFonts w:ascii="Times New Roman" w:eastAsia="Times New Roman" w:hAnsi="Times New Roman"/>
                <w:sz w:val="22"/>
              </w:rPr>
              <w:noBreakHyphen/>
            </w:r>
            <w:proofErr w:type="gramStart"/>
            <w:r w:rsidRPr="00841BE0">
              <w:rPr>
                <w:rFonts w:ascii="Times New Roman" w:eastAsia="Times New Roman" w:hAnsi="Times New Roman"/>
                <w:sz w:val="22"/>
              </w:rPr>
              <w:t xml:space="preserve">0,77;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0,30)</w:t>
            </w:r>
          </w:p>
        </w:tc>
        <w:tc>
          <w:tcPr>
            <w:tcW w:w="1310" w:type="pct"/>
            <w:tcBorders>
              <w:top w:val="single" w:sz="4" w:space="0" w:color="000000"/>
              <w:left w:val="single" w:sz="4" w:space="0" w:color="000000"/>
              <w:bottom w:val="single" w:sz="4" w:space="0" w:color="000000"/>
              <w:right w:val="single" w:sz="4" w:space="0" w:color="000000"/>
            </w:tcBorders>
            <w:hideMark/>
          </w:tcPr>
          <w:p w14:paraId="233C4CA4"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0,63* (</w:t>
            </w:r>
            <w:r w:rsidRPr="00841BE0">
              <w:rPr>
                <w:rFonts w:ascii="Times New Roman" w:eastAsia="Times New Roman" w:hAnsi="Times New Roman"/>
                <w:sz w:val="22"/>
              </w:rPr>
              <w:noBreakHyphen/>
            </w:r>
            <w:proofErr w:type="gramStart"/>
            <w:r w:rsidRPr="00841BE0">
              <w:rPr>
                <w:rFonts w:ascii="Times New Roman" w:eastAsia="Times New Roman" w:hAnsi="Times New Roman"/>
                <w:sz w:val="22"/>
              </w:rPr>
              <w:t xml:space="preserve">0,88;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0,39)</w:t>
            </w:r>
          </w:p>
        </w:tc>
      </w:tr>
      <w:tr w:rsidR="00841BE0" w:rsidRPr="00841BE0" w14:paraId="7BF3196B" w14:textId="77777777" w:rsidTr="00412655">
        <w:trPr>
          <w:trHeight w:val="251"/>
        </w:trPr>
        <w:tc>
          <w:tcPr>
            <w:tcW w:w="1686" w:type="pct"/>
            <w:tcBorders>
              <w:top w:val="single" w:sz="4" w:space="0" w:color="000000"/>
              <w:left w:val="single" w:sz="4" w:space="0" w:color="000000"/>
              <w:bottom w:val="single" w:sz="4" w:space="0" w:color="000000"/>
              <w:right w:val="single" w:sz="4" w:space="0" w:color="000000"/>
            </w:tcBorders>
            <w:hideMark/>
          </w:tcPr>
          <w:p w14:paraId="63BC9491"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N</w:t>
            </w:r>
          </w:p>
        </w:tc>
        <w:tc>
          <w:tcPr>
            <w:tcW w:w="694" w:type="pct"/>
            <w:tcBorders>
              <w:top w:val="single" w:sz="4" w:space="0" w:color="000000"/>
              <w:left w:val="single" w:sz="4" w:space="0" w:color="000000"/>
              <w:bottom w:val="single" w:sz="4" w:space="0" w:color="000000"/>
              <w:right w:val="single" w:sz="4" w:space="0" w:color="000000"/>
            </w:tcBorders>
            <w:hideMark/>
          </w:tcPr>
          <w:p w14:paraId="549C59B6"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89</w:t>
            </w:r>
          </w:p>
        </w:tc>
        <w:tc>
          <w:tcPr>
            <w:tcW w:w="1310" w:type="pct"/>
            <w:tcBorders>
              <w:top w:val="single" w:sz="4" w:space="0" w:color="000000"/>
              <w:left w:val="single" w:sz="4" w:space="0" w:color="000000"/>
              <w:bottom w:val="single" w:sz="4" w:space="0" w:color="000000"/>
              <w:right w:val="single" w:sz="4" w:space="0" w:color="000000"/>
            </w:tcBorders>
            <w:hideMark/>
          </w:tcPr>
          <w:p w14:paraId="0D2A8F8F"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105</w:t>
            </w:r>
          </w:p>
        </w:tc>
        <w:tc>
          <w:tcPr>
            <w:tcW w:w="1310" w:type="pct"/>
            <w:tcBorders>
              <w:top w:val="single" w:sz="4" w:space="0" w:color="000000"/>
              <w:left w:val="single" w:sz="4" w:space="0" w:color="000000"/>
              <w:bottom w:val="single" w:sz="4" w:space="0" w:color="000000"/>
              <w:right w:val="single" w:sz="4" w:space="0" w:color="000000"/>
            </w:tcBorders>
            <w:hideMark/>
          </w:tcPr>
          <w:p w14:paraId="34D21EC4"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94</w:t>
            </w:r>
          </w:p>
        </w:tc>
      </w:tr>
      <w:tr w:rsidR="00841BE0" w:rsidRPr="00841BE0" w14:paraId="5A0C7C68" w14:textId="77777777" w:rsidTr="00412655">
        <w:trPr>
          <w:trHeight w:val="254"/>
        </w:trPr>
        <w:tc>
          <w:tcPr>
            <w:tcW w:w="1686" w:type="pct"/>
            <w:tcBorders>
              <w:top w:val="single" w:sz="4" w:space="0" w:color="000000"/>
              <w:left w:val="single" w:sz="4" w:space="0" w:color="000000"/>
              <w:bottom w:val="single" w:sz="4" w:space="0" w:color="000000"/>
              <w:right w:val="single" w:sz="4" w:space="0" w:color="000000"/>
            </w:tcBorders>
            <w:hideMark/>
          </w:tcPr>
          <w:p w14:paraId="3823245E" w14:textId="77777777" w:rsidR="00841BE0" w:rsidRPr="00841BE0" w:rsidRDefault="00841BE0" w:rsidP="00412655">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 xml:space="preserve">HbA1c (%) </w:t>
            </w:r>
            <w:proofErr w:type="spellStart"/>
            <w:r w:rsidRPr="00841BE0">
              <w:rPr>
                <w:rFonts w:ascii="Times New Roman" w:eastAsia="Times New Roman" w:hAnsi="Times New Roman"/>
                <w:b/>
                <w:sz w:val="22"/>
              </w:rPr>
              <w:t>ved</w:t>
            </w:r>
            <w:proofErr w:type="spellEnd"/>
            <w:r w:rsidRPr="00841BE0">
              <w:rPr>
                <w:rFonts w:ascii="Times New Roman" w:eastAsia="Times New Roman" w:hAnsi="Times New Roman"/>
                <w:b/>
                <w:sz w:val="22"/>
              </w:rPr>
              <w:t xml:space="preserve"> </w:t>
            </w:r>
            <w:proofErr w:type="spellStart"/>
            <w:r w:rsidRPr="00841BE0">
              <w:rPr>
                <w:rFonts w:ascii="Times New Roman" w:eastAsia="Times New Roman" w:hAnsi="Times New Roman"/>
                <w:b/>
                <w:sz w:val="22"/>
              </w:rPr>
              <w:t>uge</w:t>
            </w:r>
            <w:proofErr w:type="spellEnd"/>
            <w:r w:rsidRPr="00841BE0">
              <w:rPr>
                <w:rFonts w:ascii="Times New Roman" w:eastAsia="Times New Roman" w:hAnsi="Times New Roman"/>
                <w:b/>
                <w:sz w:val="22"/>
              </w:rPr>
              <w:t> 78</w:t>
            </w:r>
          </w:p>
        </w:tc>
        <w:tc>
          <w:tcPr>
            <w:tcW w:w="694" w:type="pct"/>
            <w:tcBorders>
              <w:top w:val="single" w:sz="4" w:space="0" w:color="000000"/>
              <w:left w:val="single" w:sz="4" w:space="0" w:color="000000"/>
              <w:bottom w:val="single" w:sz="4" w:space="0" w:color="000000"/>
              <w:right w:val="single" w:sz="4" w:space="0" w:color="000000"/>
            </w:tcBorders>
          </w:tcPr>
          <w:p w14:paraId="373705C9" w14:textId="77777777" w:rsidR="00841BE0" w:rsidRPr="00841BE0" w:rsidRDefault="00841BE0" w:rsidP="00412655">
            <w:pPr>
              <w:widowControl/>
              <w:autoSpaceDE/>
              <w:autoSpaceDN/>
              <w:ind w:left="142"/>
              <w:rPr>
                <w:rFonts w:ascii="Times New Roman" w:eastAsia="Times New Roman" w:hAnsi="Times New Roman"/>
                <w:sz w:val="22"/>
              </w:rPr>
            </w:pPr>
          </w:p>
        </w:tc>
        <w:tc>
          <w:tcPr>
            <w:tcW w:w="1310" w:type="pct"/>
            <w:tcBorders>
              <w:top w:val="single" w:sz="4" w:space="0" w:color="000000"/>
              <w:left w:val="single" w:sz="4" w:space="0" w:color="000000"/>
              <w:bottom w:val="single" w:sz="4" w:space="0" w:color="000000"/>
              <w:right w:val="single" w:sz="4" w:space="0" w:color="000000"/>
            </w:tcBorders>
          </w:tcPr>
          <w:p w14:paraId="54E5CF7A" w14:textId="77777777" w:rsidR="00841BE0" w:rsidRPr="00841BE0" w:rsidRDefault="00841BE0" w:rsidP="00412655">
            <w:pPr>
              <w:widowControl/>
              <w:autoSpaceDE/>
              <w:autoSpaceDN/>
              <w:ind w:left="142"/>
              <w:rPr>
                <w:rFonts w:ascii="Times New Roman" w:eastAsia="Times New Roman" w:hAnsi="Times New Roman"/>
                <w:sz w:val="22"/>
              </w:rPr>
            </w:pPr>
          </w:p>
        </w:tc>
        <w:tc>
          <w:tcPr>
            <w:tcW w:w="1310" w:type="pct"/>
            <w:tcBorders>
              <w:top w:val="single" w:sz="4" w:space="0" w:color="000000"/>
              <w:left w:val="single" w:sz="4" w:space="0" w:color="000000"/>
              <w:bottom w:val="single" w:sz="4" w:space="0" w:color="000000"/>
              <w:right w:val="single" w:sz="4" w:space="0" w:color="000000"/>
            </w:tcBorders>
          </w:tcPr>
          <w:p w14:paraId="0F5564E6" w14:textId="77777777" w:rsidR="00841BE0" w:rsidRPr="00841BE0" w:rsidRDefault="00841BE0" w:rsidP="00412655">
            <w:pPr>
              <w:widowControl/>
              <w:autoSpaceDE/>
              <w:autoSpaceDN/>
              <w:ind w:left="142"/>
              <w:rPr>
                <w:rFonts w:ascii="Times New Roman" w:eastAsia="Times New Roman" w:hAnsi="Times New Roman"/>
                <w:sz w:val="22"/>
              </w:rPr>
            </w:pPr>
          </w:p>
        </w:tc>
      </w:tr>
      <w:tr w:rsidR="00841BE0" w:rsidRPr="00841BE0" w14:paraId="61AC49AF" w14:textId="77777777" w:rsidTr="00412655">
        <w:trPr>
          <w:trHeight w:val="251"/>
        </w:trPr>
        <w:tc>
          <w:tcPr>
            <w:tcW w:w="1686" w:type="pct"/>
            <w:tcBorders>
              <w:top w:val="single" w:sz="4" w:space="0" w:color="000000"/>
              <w:left w:val="single" w:sz="4" w:space="0" w:color="000000"/>
              <w:bottom w:val="single" w:sz="4" w:space="0" w:color="000000"/>
              <w:right w:val="single" w:sz="4" w:space="0" w:color="000000"/>
            </w:tcBorders>
            <w:hideMark/>
          </w:tcPr>
          <w:p w14:paraId="2C0D8C1B"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i/>
                <w:sz w:val="22"/>
              </w:rPr>
              <w:t xml:space="preserve">Baseline </w:t>
            </w:r>
            <w:r w:rsidRPr="00841BE0">
              <w:rPr>
                <w:rFonts w:ascii="Times New Roman" w:eastAsia="Times New Roman" w:hAnsi="Times New Roman"/>
                <w:sz w:val="22"/>
              </w:rPr>
              <w:t>(</w:t>
            </w:r>
            <w:proofErr w:type="spellStart"/>
            <w:r w:rsidRPr="00841BE0">
              <w:rPr>
                <w:rFonts w:ascii="Times New Roman" w:eastAsia="Times New Roman" w:hAnsi="Times New Roman"/>
                <w:sz w:val="22"/>
              </w:rPr>
              <w:t>middelværdi</w:t>
            </w:r>
            <w:proofErr w:type="spellEnd"/>
            <w:r w:rsidRPr="00841BE0">
              <w:rPr>
                <w:rFonts w:ascii="Times New Roman" w:eastAsia="Times New Roman" w:hAnsi="Times New Roman"/>
                <w:sz w:val="22"/>
              </w:rPr>
              <w:t>)</w:t>
            </w:r>
          </w:p>
        </w:tc>
        <w:tc>
          <w:tcPr>
            <w:tcW w:w="694" w:type="pct"/>
            <w:tcBorders>
              <w:top w:val="single" w:sz="4" w:space="0" w:color="000000"/>
              <w:left w:val="single" w:sz="4" w:space="0" w:color="000000"/>
              <w:bottom w:val="single" w:sz="4" w:space="0" w:color="000000"/>
              <w:right w:val="single" w:sz="4" w:space="0" w:color="000000"/>
            </w:tcBorders>
            <w:hideMark/>
          </w:tcPr>
          <w:p w14:paraId="1EC4B7FC"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8,03</w:t>
            </w:r>
          </w:p>
        </w:tc>
        <w:tc>
          <w:tcPr>
            <w:tcW w:w="1310" w:type="pct"/>
            <w:tcBorders>
              <w:top w:val="single" w:sz="4" w:space="0" w:color="000000"/>
              <w:left w:val="single" w:sz="4" w:space="0" w:color="000000"/>
              <w:bottom w:val="single" w:sz="4" w:space="0" w:color="000000"/>
              <w:right w:val="single" w:sz="4" w:space="0" w:color="000000"/>
            </w:tcBorders>
            <w:hideMark/>
          </w:tcPr>
          <w:p w14:paraId="7BD2FFA8"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8,24</w:t>
            </w:r>
          </w:p>
        </w:tc>
        <w:tc>
          <w:tcPr>
            <w:tcW w:w="1310" w:type="pct"/>
            <w:tcBorders>
              <w:top w:val="single" w:sz="4" w:space="0" w:color="000000"/>
              <w:left w:val="single" w:sz="4" w:space="0" w:color="000000"/>
              <w:bottom w:val="single" w:sz="4" w:space="0" w:color="000000"/>
              <w:right w:val="single" w:sz="4" w:space="0" w:color="000000"/>
            </w:tcBorders>
            <w:hideMark/>
          </w:tcPr>
          <w:p w14:paraId="68A6CA50"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8,29</w:t>
            </w:r>
          </w:p>
        </w:tc>
      </w:tr>
      <w:tr w:rsidR="00841BE0" w:rsidRPr="00841BE0" w14:paraId="7112D1E6" w14:textId="77777777" w:rsidTr="00412655">
        <w:trPr>
          <w:trHeight w:val="254"/>
        </w:trPr>
        <w:tc>
          <w:tcPr>
            <w:tcW w:w="1686" w:type="pct"/>
            <w:tcBorders>
              <w:top w:val="single" w:sz="4" w:space="0" w:color="000000"/>
              <w:left w:val="single" w:sz="4" w:space="0" w:color="000000"/>
              <w:bottom w:val="single" w:sz="4" w:space="0" w:color="000000"/>
              <w:right w:val="single" w:sz="4" w:space="0" w:color="000000"/>
            </w:tcBorders>
            <w:hideMark/>
          </w:tcPr>
          <w:p w14:paraId="2993AA9F" w14:textId="77777777" w:rsidR="00841BE0" w:rsidRPr="00841BE0" w:rsidRDefault="00841BE0" w:rsidP="00412655">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Ændring</w:t>
            </w:r>
            <w:proofErr w:type="spellEnd"/>
            <w:r w:rsidRPr="00841BE0">
              <w:rPr>
                <w:rFonts w:ascii="Times New Roman" w:eastAsia="Times New Roman" w:hAnsi="Times New Roman"/>
                <w:sz w:val="22"/>
              </w:rPr>
              <w:t xml:space="preserve"> fra </w:t>
            </w:r>
            <w:r w:rsidRPr="00841BE0">
              <w:rPr>
                <w:rFonts w:ascii="Times New Roman" w:eastAsia="Times New Roman" w:hAnsi="Times New Roman"/>
                <w:i/>
                <w:sz w:val="22"/>
              </w:rPr>
              <w:t>baseline</w:t>
            </w:r>
            <w:r w:rsidRPr="00841BE0">
              <w:rPr>
                <w:rFonts w:ascii="Times New Roman" w:eastAsia="Times New Roman" w:hAnsi="Times New Roman"/>
                <w:sz w:val="22"/>
                <w:vertAlign w:val="superscript"/>
              </w:rPr>
              <w:t>1</w:t>
            </w:r>
          </w:p>
        </w:tc>
        <w:tc>
          <w:tcPr>
            <w:tcW w:w="694" w:type="pct"/>
            <w:tcBorders>
              <w:top w:val="single" w:sz="4" w:space="0" w:color="000000"/>
              <w:left w:val="single" w:sz="4" w:space="0" w:color="000000"/>
              <w:bottom w:val="single" w:sz="4" w:space="0" w:color="000000"/>
              <w:right w:val="single" w:sz="4" w:space="0" w:color="000000"/>
            </w:tcBorders>
            <w:hideMark/>
          </w:tcPr>
          <w:p w14:paraId="21056CC1"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0,08</w:t>
            </w:r>
          </w:p>
        </w:tc>
        <w:tc>
          <w:tcPr>
            <w:tcW w:w="1310" w:type="pct"/>
            <w:tcBorders>
              <w:top w:val="single" w:sz="4" w:space="0" w:color="000000"/>
              <w:left w:val="single" w:sz="4" w:space="0" w:color="000000"/>
              <w:bottom w:val="single" w:sz="4" w:space="0" w:color="000000"/>
              <w:right w:val="single" w:sz="4" w:space="0" w:color="000000"/>
            </w:tcBorders>
            <w:hideMark/>
          </w:tcPr>
          <w:p w14:paraId="6829FD88"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0,42</w:t>
            </w:r>
          </w:p>
        </w:tc>
        <w:tc>
          <w:tcPr>
            <w:tcW w:w="1310" w:type="pct"/>
            <w:tcBorders>
              <w:top w:val="single" w:sz="4" w:space="0" w:color="000000"/>
              <w:left w:val="single" w:sz="4" w:space="0" w:color="000000"/>
              <w:bottom w:val="single" w:sz="4" w:space="0" w:color="000000"/>
              <w:right w:val="single" w:sz="4" w:space="0" w:color="000000"/>
            </w:tcBorders>
            <w:hideMark/>
          </w:tcPr>
          <w:p w14:paraId="2DF026F2"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0,71</w:t>
            </w:r>
          </w:p>
        </w:tc>
      </w:tr>
      <w:tr w:rsidR="00841BE0" w:rsidRPr="00841BE0" w14:paraId="08741075" w14:textId="77777777" w:rsidTr="00412655">
        <w:trPr>
          <w:trHeight w:val="506"/>
        </w:trPr>
        <w:tc>
          <w:tcPr>
            <w:tcW w:w="1686" w:type="pct"/>
            <w:tcBorders>
              <w:top w:val="single" w:sz="4" w:space="0" w:color="000000"/>
              <w:left w:val="single" w:sz="4" w:space="0" w:color="000000"/>
              <w:bottom w:val="single" w:sz="4" w:space="0" w:color="000000"/>
              <w:right w:val="single" w:sz="4" w:space="0" w:color="000000"/>
            </w:tcBorders>
            <w:hideMark/>
          </w:tcPr>
          <w:p w14:paraId="7A0B6966" w14:textId="77777777" w:rsidR="00841BE0" w:rsidRPr="00841BE0" w:rsidRDefault="00841BE0" w:rsidP="00412655">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Forskel</w:t>
            </w:r>
            <w:proofErr w:type="spellEnd"/>
            <w:r w:rsidRPr="00841BE0">
              <w:rPr>
                <w:rFonts w:ascii="Times New Roman" w:eastAsia="Times New Roman" w:hAnsi="Times New Roman"/>
                <w:sz w:val="22"/>
              </w:rPr>
              <w:t xml:space="preserve"> </w:t>
            </w:r>
            <w:proofErr w:type="spellStart"/>
            <w:r w:rsidRPr="00841BE0">
              <w:rPr>
                <w:rFonts w:ascii="Times New Roman" w:eastAsia="Times New Roman" w:hAnsi="Times New Roman"/>
                <w:sz w:val="22"/>
              </w:rPr>
              <w:t>til</w:t>
            </w:r>
            <w:proofErr w:type="spellEnd"/>
            <w:r w:rsidRPr="00841BE0">
              <w:rPr>
                <w:rFonts w:ascii="Times New Roman" w:eastAsia="Times New Roman" w:hAnsi="Times New Roman"/>
                <w:sz w:val="22"/>
              </w:rPr>
              <w:t xml:space="preserve"> placebo</w:t>
            </w:r>
            <w:r w:rsidRPr="00841BE0">
              <w:rPr>
                <w:rFonts w:ascii="Times New Roman" w:eastAsia="Times New Roman" w:hAnsi="Times New Roman"/>
                <w:sz w:val="22"/>
                <w:vertAlign w:val="superscript"/>
              </w:rPr>
              <w:t>1</w:t>
            </w:r>
          </w:p>
          <w:p w14:paraId="22D77035"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(97,5 % CI)</w:t>
            </w:r>
          </w:p>
        </w:tc>
        <w:tc>
          <w:tcPr>
            <w:tcW w:w="694" w:type="pct"/>
            <w:tcBorders>
              <w:top w:val="single" w:sz="4" w:space="0" w:color="000000"/>
              <w:left w:val="single" w:sz="4" w:space="0" w:color="000000"/>
              <w:bottom w:val="single" w:sz="4" w:space="0" w:color="000000"/>
              <w:right w:val="single" w:sz="4" w:space="0" w:color="000000"/>
            </w:tcBorders>
          </w:tcPr>
          <w:p w14:paraId="3DF8685C" w14:textId="77777777" w:rsidR="00841BE0" w:rsidRPr="00841BE0" w:rsidRDefault="00841BE0" w:rsidP="00412655">
            <w:pPr>
              <w:widowControl/>
              <w:autoSpaceDE/>
              <w:autoSpaceDN/>
              <w:ind w:left="142"/>
              <w:rPr>
                <w:rFonts w:ascii="Times New Roman" w:eastAsia="Times New Roman" w:hAnsi="Times New Roman"/>
                <w:sz w:val="22"/>
              </w:rPr>
            </w:pPr>
          </w:p>
        </w:tc>
        <w:tc>
          <w:tcPr>
            <w:tcW w:w="1310" w:type="pct"/>
            <w:tcBorders>
              <w:top w:val="single" w:sz="4" w:space="0" w:color="000000"/>
              <w:left w:val="single" w:sz="4" w:space="0" w:color="000000"/>
              <w:bottom w:val="single" w:sz="4" w:space="0" w:color="000000"/>
              <w:right w:val="single" w:sz="4" w:space="0" w:color="000000"/>
            </w:tcBorders>
            <w:hideMark/>
          </w:tcPr>
          <w:p w14:paraId="7DC879B8"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0,34*</w:t>
            </w:r>
            <w:proofErr w:type="gramStart"/>
            <w:r w:rsidRPr="00841BE0">
              <w:rPr>
                <w:rFonts w:ascii="Times New Roman" w:eastAsia="Times New Roman" w:hAnsi="Times New Roman"/>
                <w:sz w:val="22"/>
              </w:rPr>
              <w:t>*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 xml:space="preserve">0,64; </w:t>
            </w:r>
            <w:r w:rsidRPr="00841BE0">
              <w:rPr>
                <w:rFonts w:ascii="Times New Roman" w:eastAsia="Times New Roman" w:hAnsi="Times New Roman"/>
                <w:sz w:val="22"/>
              </w:rPr>
              <w:noBreakHyphen/>
              <w:t>0,05)</w:t>
            </w:r>
          </w:p>
        </w:tc>
        <w:tc>
          <w:tcPr>
            <w:tcW w:w="1310" w:type="pct"/>
            <w:tcBorders>
              <w:top w:val="single" w:sz="4" w:space="0" w:color="000000"/>
              <w:left w:val="single" w:sz="4" w:space="0" w:color="000000"/>
              <w:bottom w:val="single" w:sz="4" w:space="0" w:color="000000"/>
              <w:right w:val="single" w:sz="4" w:space="0" w:color="000000"/>
            </w:tcBorders>
            <w:hideMark/>
          </w:tcPr>
          <w:p w14:paraId="0EF2820E"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0,63* (</w:t>
            </w:r>
            <w:r w:rsidRPr="00841BE0">
              <w:rPr>
                <w:rFonts w:ascii="Times New Roman" w:eastAsia="Times New Roman" w:hAnsi="Times New Roman"/>
                <w:sz w:val="22"/>
              </w:rPr>
              <w:noBreakHyphen/>
            </w:r>
            <w:proofErr w:type="gramStart"/>
            <w:r w:rsidRPr="00841BE0">
              <w:rPr>
                <w:rFonts w:ascii="Times New Roman" w:eastAsia="Times New Roman" w:hAnsi="Times New Roman"/>
                <w:sz w:val="22"/>
              </w:rPr>
              <w:t xml:space="preserve">0,93;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0,33)</w:t>
            </w:r>
          </w:p>
        </w:tc>
      </w:tr>
      <w:tr w:rsidR="00841BE0" w:rsidRPr="00841BE0" w14:paraId="403247F8" w14:textId="77777777" w:rsidTr="00412655">
        <w:trPr>
          <w:trHeight w:val="251"/>
        </w:trPr>
        <w:tc>
          <w:tcPr>
            <w:tcW w:w="1686" w:type="pct"/>
            <w:tcBorders>
              <w:top w:val="single" w:sz="4" w:space="0" w:color="000000"/>
              <w:left w:val="single" w:sz="4" w:space="0" w:color="000000"/>
              <w:bottom w:val="single" w:sz="4" w:space="0" w:color="000000"/>
              <w:right w:val="single" w:sz="4" w:space="0" w:color="000000"/>
            </w:tcBorders>
            <w:hideMark/>
          </w:tcPr>
          <w:p w14:paraId="67A802E9"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N</w:t>
            </w:r>
          </w:p>
        </w:tc>
        <w:tc>
          <w:tcPr>
            <w:tcW w:w="694" w:type="pct"/>
            <w:tcBorders>
              <w:top w:val="single" w:sz="4" w:space="0" w:color="000000"/>
              <w:left w:val="single" w:sz="4" w:space="0" w:color="000000"/>
              <w:bottom w:val="single" w:sz="4" w:space="0" w:color="000000"/>
              <w:right w:val="single" w:sz="4" w:space="0" w:color="000000"/>
            </w:tcBorders>
            <w:hideMark/>
          </w:tcPr>
          <w:p w14:paraId="33849D81"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89</w:t>
            </w:r>
          </w:p>
        </w:tc>
        <w:tc>
          <w:tcPr>
            <w:tcW w:w="1310" w:type="pct"/>
            <w:tcBorders>
              <w:top w:val="single" w:sz="4" w:space="0" w:color="000000"/>
              <w:left w:val="single" w:sz="4" w:space="0" w:color="000000"/>
              <w:bottom w:val="single" w:sz="4" w:space="0" w:color="000000"/>
              <w:right w:val="single" w:sz="4" w:space="0" w:color="000000"/>
            </w:tcBorders>
            <w:hideMark/>
          </w:tcPr>
          <w:p w14:paraId="019B372F"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105</w:t>
            </w:r>
          </w:p>
        </w:tc>
        <w:tc>
          <w:tcPr>
            <w:tcW w:w="1310" w:type="pct"/>
            <w:tcBorders>
              <w:top w:val="single" w:sz="4" w:space="0" w:color="000000"/>
              <w:left w:val="single" w:sz="4" w:space="0" w:color="000000"/>
              <w:bottom w:val="single" w:sz="4" w:space="0" w:color="000000"/>
              <w:right w:val="single" w:sz="4" w:space="0" w:color="000000"/>
            </w:tcBorders>
            <w:hideMark/>
          </w:tcPr>
          <w:p w14:paraId="3AA0A6F8"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94</w:t>
            </w:r>
          </w:p>
        </w:tc>
      </w:tr>
      <w:tr w:rsidR="00841BE0" w:rsidRPr="00841BE0" w14:paraId="788F482A" w14:textId="77777777" w:rsidTr="00412655">
        <w:trPr>
          <w:trHeight w:val="506"/>
        </w:trPr>
        <w:tc>
          <w:tcPr>
            <w:tcW w:w="1686" w:type="pct"/>
            <w:tcBorders>
              <w:top w:val="single" w:sz="4" w:space="0" w:color="000000"/>
              <w:left w:val="single" w:sz="4" w:space="0" w:color="000000"/>
              <w:bottom w:val="single" w:sz="4" w:space="0" w:color="000000"/>
              <w:right w:val="single" w:sz="4" w:space="0" w:color="000000"/>
            </w:tcBorders>
            <w:hideMark/>
          </w:tcPr>
          <w:p w14:paraId="63FFCC29" w14:textId="77777777" w:rsidR="00841BE0" w:rsidRPr="00841BE0" w:rsidRDefault="00841BE0" w:rsidP="00412655">
            <w:pPr>
              <w:widowControl/>
              <w:autoSpaceDE/>
              <w:autoSpaceDN/>
              <w:ind w:left="142"/>
              <w:rPr>
                <w:rFonts w:ascii="Times New Roman" w:eastAsia="Times New Roman" w:hAnsi="Times New Roman"/>
                <w:b/>
                <w:sz w:val="22"/>
                <w:lang w:val="da-DK"/>
              </w:rPr>
            </w:pPr>
            <w:r w:rsidRPr="00841BE0">
              <w:rPr>
                <w:rFonts w:ascii="Times New Roman" w:eastAsia="Times New Roman" w:hAnsi="Times New Roman"/>
                <w:b/>
                <w:sz w:val="22"/>
                <w:lang w:val="da-DK"/>
              </w:rPr>
              <w:t>Dosis af basal insulin (IE/dag) ved uge 78</w:t>
            </w:r>
          </w:p>
        </w:tc>
        <w:tc>
          <w:tcPr>
            <w:tcW w:w="694" w:type="pct"/>
            <w:tcBorders>
              <w:top w:val="single" w:sz="4" w:space="0" w:color="000000"/>
              <w:left w:val="single" w:sz="4" w:space="0" w:color="000000"/>
              <w:bottom w:val="single" w:sz="4" w:space="0" w:color="000000"/>
              <w:right w:val="single" w:sz="4" w:space="0" w:color="000000"/>
            </w:tcBorders>
          </w:tcPr>
          <w:p w14:paraId="67481D47" w14:textId="77777777" w:rsidR="00841BE0" w:rsidRPr="00841BE0" w:rsidRDefault="00841BE0" w:rsidP="00412655">
            <w:pPr>
              <w:widowControl/>
              <w:autoSpaceDE/>
              <w:autoSpaceDN/>
              <w:ind w:left="142"/>
              <w:rPr>
                <w:rFonts w:ascii="Times New Roman" w:eastAsia="Times New Roman" w:hAnsi="Times New Roman"/>
                <w:sz w:val="22"/>
                <w:lang w:val="da-DK"/>
              </w:rPr>
            </w:pPr>
          </w:p>
        </w:tc>
        <w:tc>
          <w:tcPr>
            <w:tcW w:w="1310" w:type="pct"/>
            <w:tcBorders>
              <w:top w:val="single" w:sz="4" w:space="0" w:color="000000"/>
              <w:left w:val="single" w:sz="4" w:space="0" w:color="000000"/>
              <w:bottom w:val="single" w:sz="4" w:space="0" w:color="000000"/>
              <w:right w:val="single" w:sz="4" w:space="0" w:color="000000"/>
            </w:tcBorders>
          </w:tcPr>
          <w:p w14:paraId="54982B92" w14:textId="77777777" w:rsidR="00841BE0" w:rsidRPr="00841BE0" w:rsidRDefault="00841BE0" w:rsidP="00412655">
            <w:pPr>
              <w:widowControl/>
              <w:autoSpaceDE/>
              <w:autoSpaceDN/>
              <w:ind w:left="142"/>
              <w:rPr>
                <w:rFonts w:ascii="Times New Roman" w:eastAsia="Times New Roman" w:hAnsi="Times New Roman"/>
                <w:sz w:val="22"/>
                <w:lang w:val="da-DK"/>
              </w:rPr>
            </w:pPr>
          </w:p>
        </w:tc>
        <w:tc>
          <w:tcPr>
            <w:tcW w:w="1310" w:type="pct"/>
            <w:tcBorders>
              <w:top w:val="single" w:sz="4" w:space="0" w:color="000000"/>
              <w:left w:val="single" w:sz="4" w:space="0" w:color="000000"/>
              <w:bottom w:val="single" w:sz="4" w:space="0" w:color="000000"/>
              <w:right w:val="single" w:sz="4" w:space="0" w:color="000000"/>
            </w:tcBorders>
          </w:tcPr>
          <w:p w14:paraId="6CCC66C3" w14:textId="77777777" w:rsidR="00841BE0" w:rsidRPr="00841BE0" w:rsidRDefault="00841BE0" w:rsidP="00412655">
            <w:pPr>
              <w:widowControl/>
              <w:autoSpaceDE/>
              <w:autoSpaceDN/>
              <w:ind w:left="142"/>
              <w:rPr>
                <w:rFonts w:ascii="Times New Roman" w:eastAsia="Times New Roman" w:hAnsi="Times New Roman"/>
                <w:sz w:val="22"/>
                <w:lang w:val="da-DK"/>
              </w:rPr>
            </w:pPr>
          </w:p>
        </w:tc>
      </w:tr>
      <w:tr w:rsidR="00841BE0" w:rsidRPr="00841BE0" w14:paraId="15387878" w14:textId="77777777" w:rsidTr="00412655">
        <w:trPr>
          <w:trHeight w:val="253"/>
        </w:trPr>
        <w:tc>
          <w:tcPr>
            <w:tcW w:w="1686" w:type="pct"/>
            <w:tcBorders>
              <w:top w:val="single" w:sz="4" w:space="0" w:color="000000"/>
              <w:left w:val="single" w:sz="4" w:space="0" w:color="000000"/>
              <w:bottom w:val="single" w:sz="4" w:space="0" w:color="000000"/>
              <w:right w:val="single" w:sz="4" w:space="0" w:color="000000"/>
            </w:tcBorders>
            <w:hideMark/>
          </w:tcPr>
          <w:p w14:paraId="2BD060E1"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i/>
                <w:sz w:val="22"/>
              </w:rPr>
              <w:t xml:space="preserve">Baseline </w:t>
            </w:r>
            <w:r w:rsidRPr="00841BE0">
              <w:rPr>
                <w:rFonts w:ascii="Times New Roman" w:eastAsia="Times New Roman" w:hAnsi="Times New Roman"/>
                <w:sz w:val="22"/>
              </w:rPr>
              <w:t>(</w:t>
            </w:r>
            <w:proofErr w:type="spellStart"/>
            <w:r w:rsidRPr="00841BE0">
              <w:rPr>
                <w:rFonts w:ascii="Times New Roman" w:eastAsia="Times New Roman" w:hAnsi="Times New Roman"/>
                <w:sz w:val="22"/>
              </w:rPr>
              <w:t>middelværdi</w:t>
            </w:r>
            <w:proofErr w:type="spellEnd"/>
            <w:r w:rsidRPr="00841BE0">
              <w:rPr>
                <w:rFonts w:ascii="Times New Roman" w:eastAsia="Times New Roman" w:hAnsi="Times New Roman"/>
                <w:sz w:val="22"/>
              </w:rPr>
              <w:t>)</w:t>
            </w:r>
          </w:p>
        </w:tc>
        <w:tc>
          <w:tcPr>
            <w:tcW w:w="694" w:type="pct"/>
            <w:tcBorders>
              <w:top w:val="single" w:sz="4" w:space="0" w:color="000000"/>
              <w:left w:val="single" w:sz="4" w:space="0" w:color="000000"/>
              <w:bottom w:val="single" w:sz="4" w:space="0" w:color="000000"/>
              <w:right w:val="single" w:sz="4" w:space="0" w:color="000000"/>
            </w:tcBorders>
            <w:hideMark/>
          </w:tcPr>
          <w:p w14:paraId="742167AF"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49,61</w:t>
            </w:r>
          </w:p>
        </w:tc>
        <w:tc>
          <w:tcPr>
            <w:tcW w:w="1310" w:type="pct"/>
            <w:tcBorders>
              <w:top w:val="single" w:sz="4" w:space="0" w:color="000000"/>
              <w:left w:val="single" w:sz="4" w:space="0" w:color="000000"/>
              <w:bottom w:val="single" w:sz="4" w:space="0" w:color="000000"/>
              <w:right w:val="single" w:sz="4" w:space="0" w:color="000000"/>
            </w:tcBorders>
            <w:hideMark/>
          </w:tcPr>
          <w:p w14:paraId="40939D82"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47,25</w:t>
            </w:r>
          </w:p>
        </w:tc>
        <w:tc>
          <w:tcPr>
            <w:tcW w:w="1310" w:type="pct"/>
            <w:tcBorders>
              <w:top w:val="single" w:sz="4" w:space="0" w:color="000000"/>
              <w:left w:val="single" w:sz="4" w:space="0" w:color="000000"/>
              <w:bottom w:val="single" w:sz="4" w:space="0" w:color="000000"/>
              <w:right w:val="single" w:sz="4" w:space="0" w:color="000000"/>
            </w:tcBorders>
            <w:hideMark/>
          </w:tcPr>
          <w:p w14:paraId="7A0E64A8"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49,37</w:t>
            </w:r>
          </w:p>
        </w:tc>
      </w:tr>
      <w:tr w:rsidR="00841BE0" w:rsidRPr="00841BE0" w14:paraId="0AE0C43D" w14:textId="77777777" w:rsidTr="00412655">
        <w:trPr>
          <w:trHeight w:val="254"/>
        </w:trPr>
        <w:tc>
          <w:tcPr>
            <w:tcW w:w="1686" w:type="pct"/>
            <w:tcBorders>
              <w:top w:val="single" w:sz="4" w:space="0" w:color="000000"/>
              <w:left w:val="single" w:sz="4" w:space="0" w:color="000000"/>
              <w:bottom w:val="single" w:sz="4" w:space="0" w:color="000000"/>
              <w:right w:val="single" w:sz="4" w:space="0" w:color="000000"/>
            </w:tcBorders>
            <w:hideMark/>
          </w:tcPr>
          <w:p w14:paraId="32725BC0" w14:textId="77777777" w:rsidR="00841BE0" w:rsidRPr="00841BE0" w:rsidRDefault="00841BE0" w:rsidP="00412655">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Ændring</w:t>
            </w:r>
            <w:proofErr w:type="spellEnd"/>
            <w:r w:rsidRPr="00841BE0">
              <w:rPr>
                <w:rFonts w:ascii="Times New Roman" w:eastAsia="Times New Roman" w:hAnsi="Times New Roman"/>
                <w:sz w:val="22"/>
              </w:rPr>
              <w:t xml:space="preserve"> fra </w:t>
            </w:r>
            <w:r w:rsidRPr="00841BE0">
              <w:rPr>
                <w:rFonts w:ascii="Times New Roman" w:eastAsia="Times New Roman" w:hAnsi="Times New Roman"/>
                <w:i/>
                <w:sz w:val="22"/>
              </w:rPr>
              <w:t>baseline</w:t>
            </w:r>
            <w:r w:rsidRPr="00841BE0">
              <w:rPr>
                <w:rFonts w:ascii="Times New Roman" w:eastAsia="Times New Roman" w:hAnsi="Times New Roman"/>
                <w:sz w:val="22"/>
                <w:vertAlign w:val="superscript"/>
              </w:rPr>
              <w:t>1</w:t>
            </w:r>
          </w:p>
        </w:tc>
        <w:tc>
          <w:tcPr>
            <w:tcW w:w="694" w:type="pct"/>
            <w:tcBorders>
              <w:top w:val="single" w:sz="4" w:space="0" w:color="000000"/>
              <w:left w:val="single" w:sz="4" w:space="0" w:color="000000"/>
              <w:bottom w:val="single" w:sz="4" w:space="0" w:color="000000"/>
              <w:right w:val="single" w:sz="4" w:space="0" w:color="000000"/>
            </w:tcBorders>
            <w:hideMark/>
          </w:tcPr>
          <w:p w14:paraId="6836AB84"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4,14</w:t>
            </w:r>
          </w:p>
        </w:tc>
        <w:tc>
          <w:tcPr>
            <w:tcW w:w="1310" w:type="pct"/>
            <w:tcBorders>
              <w:top w:val="single" w:sz="4" w:space="0" w:color="000000"/>
              <w:left w:val="single" w:sz="4" w:space="0" w:color="000000"/>
              <w:bottom w:val="single" w:sz="4" w:space="0" w:color="000000"/>
              <w:right w:val="single" w:sz="4" w:space="0" w:color="000000"/>
            </w:tcBorders>
            <w:hideMark/>
          </w:tcPr>
          <w:p w14:paraId="145ECDD5"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2,07</w:t>
            </w:r>
          </w:p>
        </w:tc>
        <w:tc>
          <w:tcPr>
            <w:tcW w:w="1310" w:type="pct"/>
            <w:tcBorders>
              <w:top w:val="single" w:sz="4" w:space="0" w:color="000000"/>
              <w:left w:val="single" w:sz="4" w:space="0" w:color="000000"/>
              <w:bottom w:val="single" w:sz="4" w:space="0" w:color="000000"/>
              <w:right w:val="single" w:sz="4" w:space="0" w:color="000000"/>
            </w:tcBorders>
            <w:hideMark/>
          </w:tcPr>
          <w:p w14:paraId="140B26EB"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0,28</w:t>
            </w:r>
          </w:p>
        </w:tc>
      </w:tr>
      <w:tr w:rsidR="00841BE0" w:rsidRPr="00841BE0" w14:paraId="5E50CD1E" w14:textId="77777777" w:rsidTr="00412655">
        <w:trPr>
          <w:trHeight w:val="505"/>
        </w:trPr>
        <w:tc>
          <w:tcPr>
            <w:tcW w:w="1686" w:type="pct"/>
            <w:tcBorders>
              <w:top w:val="single" w:sz="4" w:space="0" w:color="000000"/>
              <w:left w:val="single" w:sz="4" w:space="0" w:color="000000"/>
              <w:bottom w:val="single" w:sz="4" w:space="0" w:color="000000"/>
              <w:right w:val="single" w:sz="4" w:space="0" w:color="000000"/>
            </w:tcBorders>
            <w:hideMark/>
          </w:tcPr>
          <w:p w14:paraId="6BD51AD8" w14:textId="77777777" w:rsidR="00841BE0" w:rsidRPr="00841BE0" w:rsidRDefault="00841BE0" w:rsidP="00412655">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Forskel</w:t>
            </w:r>
            <w:proofErr w:type="spellEnd"/>
            <w:r w:rsidRPr="00841BE0">
              <w:rPr>
                <w:rFonts w:ascii="Times New Roman" w:eastAsia="Times New Roman" w:hAnsi="Times New Roman"/>
                <w:sz w:val="22"/>
              </w:rPr>
              <w:t xml:space="preserve"> </w:t>
            </w:r>
            <w:proofErr w:type="spellStart"/>
            <w:r w:rsidRPr="00841BE0">
              <w:rPr>
                <w:rFonts w:ascii="Times New Roman" w:eastAsia="Times New Roman" w:hAnsi="Times New Roman"/>
                <w:sz w:val="22"/>
              </w:rPr>
              <w:t>til</w:t>
            </w:r>
            <w:proofErr w:type="spellEnd"/>
            <w:r w:rsidRPr="00841BE0">
              <w:rPr>
                <w:rFonts w:ascii="Times New Roman" w:eastAsia="Times New Roman" w:hAnsi="Times New Roman"/>
                <w:sz w:val="22"/>
              </w:rPr>
              <w:t xml:space="preserve"> placebo</w:t>
            </w:r>
            <w:r w:rsidRPr="00841BE0">
              <w:rPr>
                <w:rFonts w:ascii="Times New Roman" w:eastAsia="Times New Roman" w:hAnsi="Times New Roman"/>
                <w:sz w:val="22"/>
                <w:vertAlign w:val="superscript"/>
              </w:rPr>
              <w:t>1</w:t>
            </w:r>
          </w:p>
          <w:p w14:paraId="6973C3A2"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(97,5 % CI)</w:t>
            </w:r>
          </w:p>
        </w:tc>
        <w:tc>
          <w:tcPr>
            <w:tcW w:w="694" w:type="pct"/>
            <w:tcBorders>
              <w:top w:val="single" w:sz="4" w:space="0" w:color="000000"/>
              <w:left w:val="single" w:sz="4" w:space="0" w:color="000000"/>
              <w:bottom w:val="single" w:sz="4" w:space="0" w:color="000000"/>
              <w:right w:val="single" w:sz="4" w:space="0" w:color="000000"/>
            </w:tcBorders>
          </w:tcPr>
          <w:p w14:paraId="1924FEBD" w14:textId="77777777" w:rsidR="00841BE0" w:rsidRPr="00841BE0" w:rsidRDefault="00841BE0" w:rsidP="00412655">
            <w:pPr>
              <w:widowControl/>
              <w:autoSpaceDE/>
              <w:autoSpaceDN/>
              <w:ind w:left="142"/>
              <w:rPr>
                <w:rFonts w:ascii="Times New Roman" w:eastAsia="Times New Roman" w:hAnsi="Times New Roman"/>
                <w:sz w:val="22"/>
              </w:rPr>
            </w:pPr>
          </w:p>
        </w:tc>
        <w:tc>
          <w:tcPr>
            <w:tcW w:w="1310" w:type="pct"/>
            <w:tcBorders>
              <w:top w:val="single" w:sz="4" w:space="0" w:color="000000"/>
              <w:left w:val="single" w:sz="4" w:space="0" w:color="000000"/>
              <w:bottom w:val="single" w:sz="4" w:space="0" w:color="000000"/>
              <w:right w:val="single" w:sz="4" w:space="0" w:color="000000"/>
            </w:tcBorders>
            <w:hideMark/>
          </w:tcPr>
          <w:p w14:paraId="3B4D46D1"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6,21*</w:t>
            </w:r>
            <w:proofErr w:type="gramStart"/>
            <w:r w:rsidRPr="00841BE0">
              <w:rPr>
                <w:rFonts w:ascii="Times New Roman" w:eastAsia="Times New Roman" w:hAnsi="Times New Roman"/>
                <w:sz w:val="22"/>
              </w:rPr>
              <w:t>*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 xml:space="preserve">11,81; </w:t>
            </w:r>
            <w:r w:rsidRPr="00841BE0">
              <w:rPr>
                <w:rFonts w:ascii="Times New Roman" w:eastAsia="Times New Roman" w:hAnsi="Times New Roman"/>
                <w:sz w:val="22"/>
              </w:rPr>
              <w:noBreakHyphen/>
              <w:t>0,61)</w:t>
            </w:r>
          </w:p>
        </w:tc>
        <w:tc>
          <w:tcPr>
            <w:tcW w:w="1310" w:type="pct"/>
            <w:tcBorders>
              <w:top w:val="single" w:sz="4" w:space="0" w:color="000000"/>
              <w:left w:val="single" w:sz="4" w:space="0" w:color="000000"/>
              <w:bottom w:val="single" w:sz="4" w:space="0" w:color="000000"/>
              <w:right w:val="single" w:sz="4" w:space="0" w:color="000000"/>
            </w:tcBorders>
            <w:hideMark/>
          </w:tcPr>
          <w:p w14:paraId="1EA29592" w14:textId="77777777" w:rsidR="00841BE0" w:rsidRPr="00841BE0" w:rsidRDefault="00841BE0" w:rsidP="00412655">
            <w:pPr>
              <w:widowControl/>
              <w:autoSpaceDE/>
              <w:autoSpaceDN/>
              <w:ind w:left="142"/>
              <w:rPr>
                <w:rFonts w:ascii="Times New Roman" w:eastAsia="Times New Roman" w:hAnsi="Times New Roman"/>
                <w:sz w:val="22"/>
              </w:rPr>
            </w:pPr>
            <w:proofErr w:type="gramStart"/>
            <w:r w:rsidRPr="00841BE0">
              <w:rPr>
                <w:rFonts w:ascii="Times New Roman" w:eastAsia="Times New Roman" w:hAnsi="Times New Roman"/>
                <w:sz w:val="22"/>
              </w:rPr>
              <w:noBreakHyphen/>
              <w:t>4,42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10,18; 1,34)</w:t>
            </w:r>
          </w:p>
        </w:tc>
      </w:tr>
    </w:tbl>
    <w:p w14:paraId="5CD9D1E3" w14:textId="7D63E6D3" w:rsidR="00841BE0" w:rsidRPr="00841BE0" w:rsidRDefault="00841BE0" w:rsidP="00412655">
      <w:pPr>
        <w:ind w:left="426" w:hanging="426"/>
        <w:rPr>
          <w:sz w:val="24"/>
          <w:szCs w:val="24"/>
        </w:rPr>
      </w:pPr>
      <w:r w:rsidRPr="00841BE0">
        <w:rPr>
          <w:sz w:val="24"/>
          <w:szCs w:val="24"/>
          <w:vertAlign w:val="superscript"/>
        </w:rPr>
        <w:t>a</w:t>
      </w:r>
      <w:r w:rsidRPr="00841BE0">
        <w:rPr>
          <w:sz w:val="24"/>
          <w:szCs w:val="24"/>
        </w:rPr>
        <w:t xml:space="preserve"> </w:t>
      </w:r>
      <w:r w:rsidR="00412655" w:rsidRPr="003D3B2F">
        <w:rPr>
          <w:sz w:val="24"/>
          <w:szCs w:val="24"/>
        </w:rPr>
        <w:tab/>
      </w:r>
      <w:r w:rsidRPr="00841BE0">
        <w:rPr>
          <w:sz w:val="24"/>
          <w:szCs w:val="24"/>
        </w:rPr>
        <w:t xml:space="preserve">Undergruppeanalyse af det fuldstændige analysedatasæt (FAS) for patienter, der også fik </w:t>
      </w:r>
      <w:proofErr w:type="spellStart"/>
      <w:r w:rsidRPr="00841BE0">
        <w:rPr>
          <w:sz w:val="24"/>
          <w:szCs w:val="24"/>
        </w:rPr>
        <w:t>metformin</w:t>
      </w:r>
      <w:proofErr w:type="spellEnd"/>
      <w:r w:rsidRPr="00841BE0">
        <w:rPr>
          <w:sz w:val="24"/>
          <w:szCs w:val="24"/>
        </w:rPr>
        <w:t xml:space="preserve">, ved brug af sidste observation føres videre (LOCF) før </w:t>
      </w:r>
      <w:proofErr w:type="spellStart"/>
      <w:r w:rsidRPr="00841BE0">
        <w:rPr>
          <w:sz w:val="24"/>
          <w:szCs w:val="24"/>
        </w:rPr>
        <w:t>blodglucoseregulerende</w:t>
      </w:r>
      <w:proofErr w:type="spellEnd"/>
      <w:r w:rsidRPr="00841BE0">
        <w:rPr>
          <w:sz w:val="24"/>
          <w:szCs w:val="24"/>
        </w:rPr>
        <w:t xml:space="preserve"> behovsbehandling.</w:t>
      </w:r>
    </w:p>
    <w:p w14:paraId="2B55D113" w14:textId="7C9B20CA" w:rsidR="00841BE0" w:rsidRPr="00841BE0" w:rsidRDefault="00841BE0" w:rsidP="00412655">
      <w:pPr>
        <w:ind w:left="426" w:hanging="426"/>
        <w:rPr>
          <w:sz w:val="24"/>
          <w:szCs w:val="24"/>
        </w:rPr>
      </w:pPr>
      <w:r w:rsidRPr="00841BE0">
        <w:rPr>
          <w:sz w:val="24"/>
          <w:szCs w:val="24"/>
          <w:vertAlign w:val="superscript"/>
        </w:rPr>
        <w:t>1</w:t>
      </w:r>
      <w:r w:rsidRPr="00841BE0">
        <w:rPr>
          <w:sz w:val="24"/>
          <w:szCs w:val="24"/>
        </w:rPr>
        <w:t xml:space="preserve"> </w:t>
      </w:r>
      <w:r w:rsidR="00412655" w:rsidRPr="003D3B2F">
        <w:rPr>
          <w:sz w:val="24"/>
          <w:szCs w:val="24"/>
        </w:rPr>
        <w:tab/>
      </w:r>
      <w:r w:rsidRPr="00841BE0">
        <w:rPr>
          <w:sz w:val="24"/>
          <w:szCs w:val="24"/>
        </w:rPr>
        <w:t xml:space="preserve">Middelværdi korrigeret for </w:t>
      </w:r>
      <w:r w:rsidRPr="00841BE0">
        <w:rPr>
          <w:i/>
          <w:iCs/>
          <w:sz w:val="24"/>
          <w:szCs w:val="24"/>
        </w:rPr>
        <w:t>baseline</w:t>
      </w:r>
      <w:r w:rsidRPr="00841BE0">
        <w:rPr>
          <w:sz w:val="24"/>
          <w:szCs w:val="24"/>
        </w:rPr>
        <w:t>-værdi.</w:t>
      </w:r>
    </w:p>
    <w:p w14:paraId="1642970D" w14:textId="6645D433" w:rsidR="00841BE0" w:rsidRPr="00841BE0" w:rsidRDefault="00841BE0" w:rsidP="00412655">
      <w:pPr>
        <w:ind w:left="426" w:hanging="426"/>
        <w:rPr>
          <w:sz w:val="24"/>
          <w:szCs w:val="24"/>
        </w:rPr>
      </w:pPr>
      <w:r w:rsidRPr="00841BE0">
        <w:rPr>
          <w:sz w:val="24"/>
          <w:szCs w:val="24"/>
        </w:rPr>
        <w:t xml:space="preserve">* </w:t>
      </w:r>
      <w:r w:rsidR="00412655" w:rsidRPr="003D3B2F">
        <w:rPr>
          <w:sz w:val="24"/>
          <w:szCs w:val="24"/>
        </w:rPr>
        <w:tab/>
      </w:r>
      <w:proofErr w:type="spellStart"/>
      <w:r w:rsidRPr="00841BE0">
        <w:rPr>
          <w:sz w:val="24"/>
          <w:szCs w:val="24"/>
        </w:rPr>
        <w:t>p-værdi</w:t>
      </w:r>
      <w:proofErr w:type="spellEnd"/>
      <w:r w:rsidRPr="00841BE0">
        <w:rPr>
          <w:sz w:val="24"/>
          <w:szCs w:val="24"/>
        </w:rPr>
        <w:t xml:space="preserve"> &lt; 0,0001.</w:t>
      </w:r>
    </w:p>
    <w:p w14:paraId="13A99CB3" w14:textId="1FEA9B3F" w:rsidR="00841BE0" w:rsidRPr="00841BE0" w:rsidRDefault="00841BE0" w:rsidP="00412655">
      <w:pPr>
        <w:ind w:left="426" w:hanging="426"/>
        <w:rPr>
          <w:sz w:val="24"/>
          <w:szCs w:val="24"/>
        </w:rPr>
      </w:pPr>
      <w:r w:rsidRPr="00841BE0">
        <w:rPr>
          <w:sz w:val="24"/>
          <w:szCs w:val="24"/>
        </w:rPr>
        <w:t xml:space="preserve">** </w:t>
      </w:r>
      <w:r w:rsidR="00412655" w:rsidRPr="003D3B2F">
        <w:rPr>
          <w:sz w:val="24"/>
          <w:szCs w:val="24"/>
        </w:rPr>
        <w:tab/>
      </w:r>
      <w:proofErr w:type="spellStart"/>
      <w:r w:rsidRPr="00841BE0">
        <w:rPr>
          <w:sz w:val="24"/>
          <w:szCs w:val="24"/>
        </w:rPr>
        <w:t>p-værdi</w:t>
      </w:r>
      <w:proofErr w:type="spellEnd"/>
      <w:r w:rsidRPr="00841BE0">
        <w:rPr>
          <w:sz w:val="24"/>
          <w:szCs w:val="24"/>
        </w:rPr>
        <w:t xml:space="preserve"> ≤ 0,025.</w:t>
      </w:r>
    </w:p>
    <w:p w14:paraId="6CED43BC" w14:textId="77777777" w:rsidR="00841BE0" w:rsidRPr="00841BE0" w:rsidRDefault="00841BE0" w:rsidP="00841BE0">
      <w:pPr>
        <w:tabs>
          <w:tab w:val="left" w:pos="851"/>
        </w:tabs>
        <w:ind w:left="851"/>
        <w:rPr>
          <w:sz w:val="24"/>
          <w:szCs w:val="24"/>
        </w:rPr>
      </w:pPr>
    </w:p>
    <w:p w14:paraId="654C72CA" w14:textId="77777777" w:rsidR="00841BE0" w:rsidRPr="00841BE0" w:rsidRDefault="00841BE0" w:rsidP="00412655">
      <w:pPr>
        <w:ind w:left="851"/>
        <w:rPr>
          <w:i/>
          <w:iCs/>
          <w:sz w:val="24"/>
          <w:szCs w:val="24"/>
          <w:u w:val="single"/>
        </w:rPr>
      </w:pPr>
      <w:proofErr w:type="spellStart"/>
      <w:r w:rsidRPr="00841BE0">
        <w:rPr>
          <w:i/>
          <w:iCs/>
          <w:sz w:val="24"/>
          <w:szCs w:val="24"/>
          <w:u w:val="single"/>
        </w:rPr>
        <w:t>Empagliflozin</w:t>
      </w:r>
      <w:proofErr w:type="spellEnd"/>
      <w:r w:rsidRPr="00841BE0">
        <w:rPr>
          <w:i/>
          <w:iCs/>
          <w:sz w:val="24"/>
          <w:szCs w:val="24"/>
          <w:u w:val="single"/>
        </w:rPr>
        <w:t xml:space="preserve"> og </w:t>
      </w:r>
      <w:proofErr w:type="spellStart"/>
      <w:r w:rsidRPr="00841BE0">
        <w:rPr>
          <w:i/>
          <w:iCs/>
          <w:sz w:val="24"/>
          <w:szCs w:val="24"/>
          <w:u w:val="single"/>
        </w:rPr>
        <w:t>linagliptin</w:t>
      </w:r>
      <w:proofErr w:type="spellEnd"/>
      <w:r w:rsidRPr="00841BE0">
        <w:rPr>
          <w:i/>
          <w:iCs/>
          <w:sz w:val="24"/>
          <w:szCs w:val="24"/>
          <w:u w:val="single"/>
        </w:rPr>
        <w:t xml:space="preserve"> som supplementsbehandling til </w:t>
      </w:r>
      <w:proofErr w:type="spellStart"/>
      <w:r w:rsidRPr="00841BE0">
        <w:rPr>
          <w:i/>
          <w:iCs/>
          <w:sz w:val="24"/>
          <w:szCs w:val="24"/>
          <w:u w:val="single"/>
        </w:rPr>
        <w:t>metformin</w:t>
      </w:r>
      <w:proofErr w:type="spellEnd"/>
    </w:p>
    <w:p w14:paraId="40DC9403" w14:textId="77777777" w:rsidR="00841BE0" w:rsidRPr="00841BE0" w:rsidRDefault="00841BE0" w:rsidP="00412655">
      <w:pPr>
        <w:ind w:left="851"/>
        <w:rPr>
          <w:sz w:val="24"/>
          <w:szCs w:val="24"/>
        </w:rPr>
      </w:pPr>
    </w:p>
    <w:p w14:paraId="69270EC1" w14:textId="77777777" w:rsidR="00841BE0" w:rsidRPr="00841BE0" w:rsidRDefault="00841BE0" w:rsidP="00412655">
      <w:pPr>
        <w:ind w:left="851"/>
        <w:rPr>
          <w:sz w:val="24"/>
          <w:szCs w:val="24"/>
        </w:rPr>
      </w:pPr>
      <w:r w:rsidRPr="00841BE0">
        <w:rPr>
          <w:sz w:val="24"/>
          <w:szCs w:val="24"/>
        </w:rPr>
        <w:t xml:space="preserve">I et dobbeltblindet studie med patienter med utilstrækkelig glykæmisk kontrol medførte 24 ugers behandling med begge doser </w:t>
      </w:r>
      <w:proofErr w:type="spellStart"/>
      <w:r w:rsidRPr="00841BE0">
        <w:rPr>
          <w:sz w:val="24"/>
          <w:szCs w:val="24"/>
        </w:rPr>
        <w:t>empagliflozin</w:t>
      </w:r>
      <w:proofErr w:type="spellEnd"/>
      <w:r w:rsidRPr="00841BE0">
        <w:rPr>
          <w:sz w:val="24"/>
          <w:szCs w:val="24"/>
        </w:rPr>
        <w:t xml:space="preserve"> plus </w:t>
      </w:r>
      <w:proofErr w:type="spellStart"/>
      <w:r w:rsidRPr="00841BE0">
        <w:rPr>
          <w:sz w:val="24"/>
          <w:szCs w:val="24"/>
        </w:rPr>
        <w:t>linagliptin</w:t>
      </w:r>
      <w:proofErr w:type="spellEnd"/>
      <w:r w:rsidRPr="00841BE0">
        <w:rPr>
          <w:sz w:val="24"/>
          <w:szCs w:val="24"/>
        </w:rPr>
        <w:t xml:space="preserve"> som supplement til </w:t>
      </w:r>
      <w:proofErr w:type="spellStart"/>
      <w:r w:rsidRPr="00841BE0">
        <w:rPr>
          <w:sz w:val="24"/>
          <w:szCs w:val="24"/>
        </w:rPr>
        <w:t>metforminbehandling</w:t>
      </w:r>
      <w:proofErr w:type="spellEnd"/>
      <w:r w:rsidRPr="00841BE0">
        <w:rPr>
          <w:sz w:val="24"/>
          <w:szCs w:val="24"/>
        </w:rPr>
        <w:t xml:space="preserve"> statistisk signifikante fald (p &lt; 0,0001) i HbA1c (ændring fra </w:t>
      </w:r>
      <w:r w:rsidRPr="00841BE0">
        <w:rPr>
          <w:i/>
          <w:iCs/>
          <w:sz w:val="24"/>
          <w:szCs w:val="24"/>
        </w:rPr>
        <w:t>baseline</w:t>
      </w:r>
      <w:r w:rsidRPr="00841BE0">
        <w:rPr>
          <w:sz w:val="24"/>
          <w:szCs w:val="24"/>
        </w:rPr>
        <w:t xml:space="preserve"> på </w:t>
      </w:r>
      <w:r w:rsidRPr="00841BE0">
        <w:rPr>
          <w:sz w:val="24"/>
          <w:szCs w:val="24"/>
        </w:rPr>
        <w:noBreakHyphen/>
        <w:t xml:space="preserve">1,08 % for </w:t>
      </w:r>
      <w:proofErr w:type="spellStart"/>
      <w:r w:rsidRPr="00841BE0">
        <w:rPr>
          <w:sz w:val="24"/>
          <w:szCs w:val="24"/>
        </w:rPr>
        <w:t>empagliflozin</w:t>
      </w:r>
      <w:proofErr w:type="spellEnd"/>
      <w:r w:rsidRPr="00841BE0">
        <w:rPr>
          <w:sz w:val="24"/>
          <w:szCs w:val="24"/>
        </w:rPr>
        <w:t xml:space="preserve"> 10 mg plus </w:t>
      </w:r>
      <w:proofErr w:type="spellStart"/>
      <w:r w:rsidRPr="00841BE0">
        <w:rPr>
          <w:sz w:val="24"/>
          <w:szCs w:val="24"/>
        </w:rPr>
        <w:t>linagliptin</w:t>
      </w:r>
      <w:proofErr w:type="spellEnd"/>
      <w:r w:rsidRPr="00841BE0">
        <w:rPr>
          <w:sz w:val="24"/>
          <w:szCs w:val="24"/>
        </w:rPr>
        <w:t xml:space="preserve"> 5 mg; </w:t>
      </w:r>
      <w:r w:rsidRPr="00841BE0">
        <w:rPr>
          <w:sz w:val="24"/>
          <w:szCs w:val="24"/>
        </w:rPr>
        <w:noBreakHyphen/>
        <w:t xml:space="preserve">1,19 % for </w:t>
      </w:r>
      <w:proofErr w:type="spellStart"/>
      <w:r w:rsidRPr="00841BE0">
        <w:rPr>
          <w:sz w:val="24"/>
          <w:szCs w:val="24"/>
        </w:rPr>
        <w:t>empagliflozin</w:t>
      </w:r>
      <w:proofErr w:type="spellEnd"/>
      <w:r w:rsidRPr="00841BE0">
        <w:rPr>
          <w:sz w:val="24"/>
          <w:szCs w:val="24"/>
        </w:rPr>
        <w:t xml:space="preserve"> 25 mg plus </w:t>
      </w:r>
      <w:proofErr w:type="spellStart"/>
      <w:r w:rsidRPr="00841BE0">
        <w:rPr>
          <w:sz w:val="24"/>
          <w:szCs w:val="24"/>
        </w:rPr>
        <w:t>linagliptin</w:t>
      </w:r>
      <w:proofErr w:type="spellEnd"/>
      <w:r w:rsidRPr="00841BE0">
        <w:rPr>
          <w:sz w:val="24"/>
          <w:szCs w:val="24"/>
        </w:rPr>
        <w:t xml:space="preserve"> 5 mg; </w:t>
      </w:r>
      <w:r w:rsidRPr="00841BE0">
        <w:rPr>
          <w:sz w:val="24"/>
          <w:szCs w:val="24"/>
        </w:rPr>
        <w:noBreakHyphen/>
        <w:t xml:space="preserve">0,70 % for </w:t>
      </w:r>
      <w:proofErr w:type="spellStart"/>
      <w:r w:rsidRPr="00841BE0">
        <w:rPr>
          <w:sz w:val="24"/>
          <w:szCs w:val="24"/>
        </w:rPr>
        <w:t>linagliptin</w:t>
      </w:r>
      <w:proofErr w:type="spellEnd"/>
      <w:r w:rsidRPr="00841BE0">
        <w:rPr>
          <w:sz w:val="24"/>
          <w:szCs w:val="24"/>
        </w:rPr>
        <w:t xml:space="preserve"> 5 mg). Sammenlignet med </w:t>
      </w:r>
      <w:proofErr w:type="spellStart"/>
      <w:r w:rsidRPr="00841BE0">
        <w:rPr>
          <w:sz w:val="24"/>
          <w:szCs w:val="24"/>
        </w:rPr>
        <w:t>linagliptin</w:t>
      </w:r>
      <w:proofErr w:type="spellEnd"/>
      <w:r w:rsidRPr="00841BE0">
        <w:rPr>
          <w:sz w:val="24"/>
          <w:szCs w:val="24"/>
        </w:rPr>
        <w:t xml:space="preserve"> 5 mg medførte begge doser </w:t>
      </w:r>
      <w:proofErr w:type="spellStart"/>
      <w:r w:rsidRPr="00841BE0">
        <w:rPr>
          <w:sz w:val="24"/>
          <w:szCs w:val="24"/>
        </w:rPr>
        <w:t>empagliflozin</w:t>
      </w:r>
      <w:proofErr w:type="spellEnd"/>
      <w:r w:rsidRPr="00841BE0">
        <w:rPr>
          <w:sz w:val="24"/>
          <w:szCs w:val="24"/>
        </w:rPr>
        <w:t xml:space="preserve"> plus </w:t>
      </w:r>
      <w:proofErr w:type="spellStart"/>
      <w:r w:rsidRPr="00841BE0">
        <w:rPr>
          <w:sz w:val="24"/>
          <w:szCs w:val="24"/>
        </w:rPr>
        <w:t>linagliptin</w:t>
      </w:r>
      <w:proofErr w:type="spellEnd"/>
      <w:r w:rsidRPr="00841BE0">
        <w:rPr>
          <w:sz w:val="24"/>
          <w:szCs w:val="24"/>
        </w:rPr>
        <w:t xml:space="preserve"> 5 mg statistisk signifikante fald i FPG og blodtryk. Begge doser udviste sammenlignelige statistisk signifikante reduktioner i </w:t>
      </w:r>
      <w:proofErr w:type="spellStart"/>
      <w:r w:rsidRPr="00841BE0">
        <w:rPr>
          <w:sz w:val="24"/>
          <w:szCs w:val="24"/>
        </w:rPr>
        <w:t>legemssvægt</w:t>
      </w:r>
      <w:proofErr w:type="spellEnd"/>
      <w:r w:rsidRPr="00841BE0">
        <w:rPr>
          <w:sz w:val="24"/>
          <w:szCs w:val="24"/>
        </w:rPr>
        <w:t xml:space="preserve">, udtrykt som kg og procentvis ændring. En højere andel af patienter behandlet med </w:t>
      </w:r>
      <w:proofErr w:type="spellStart"/>
      <w:r w:rsidRPr="00841BE0">
        <w:rPr>
          <w:sz w:val="24"/>
          <w:szCs w:val="24"/>
        </w:rPr>
        <w:t>empagliflozin</w:t>
      </w:r>
      <w:proofErr w:type="spellEnd"/>
      <w:r w:rsidRPr="00841BE0">
        <w:rPr>
          <w:sz w:val="24"/>
          <w:szCs w:val="24"/>
        </w:rPr>
        <w:t xml:space="preserve"> plus </w:t>
      </w:r>
      <w:proofErr w:type="spellStart"/>
      <w:r w:rsidRPr="00841BE0">
        <w:rPr>
          <w:sz w:val="24"/>
          <w:szCs w:val="24"/>
        </w:rPr>
        <w:t>linagliptin</w:t>
      </w:r>
      <w:proofErr w:type="spellEnd"/>
      <w:r w:rsidRPr="00841BE0">
        <w:rPr>
          <w:sz w:val="24"/>
          <w:szCs w:val="24"/>
        </w:rPr>
        <w:t xml:space="preserve"> og med </w:t>
      </w:r>
      <w:r w:rsidRPr="00841BE0">
        <w:rPr>
          <w:i/>
          <w:iCs/>
          <w:sz w:val="24"/>
          <w:szCs w:val="24"/>
        </w:rPr>
        <w:t>baseline</w:t>
      </w:r>
      <w:r w:rsidRPr="00841BE0">
        <w:rPr>
          <w:sz w:val="24"/>
          <w:szCs w:val="24"/>
        </w:rPr>
        <w:t xml:space="preserve">-HbA1c ≥ 7,0 % opnåede en HbA1c-målværdi på &lt; 7 % sammenlignet med </w:t>
      </w:r>
      <w:proofErr w:type="spellStart"/>
      <w:r w:rsidRPr="00841BE0">
        <w:rPr>
          <w:sz w:val="24"/>
          <w:szCs w:val="24"/>
        </w:rPr>
        <w:t>linagliptin</w:t>
      </w:r>
      <w:proofErr w:type="spellEnd"/>
      <w:r w:rsidRPr="00841BE0">
        <w:rPr>
          <w:sz w:val="24"/>
          <w:szCs w:val="24"/>
        </w:rPr>
        <w:t xml:space="preserve"> 5 mg. Klinisk betydende fald i HbA1c varede ved i 52 uger.</w:t>
      </w:r>
    </w:p>
    <w:p w14:paraId="1A6DEFE3" w14:textId="77777777" w:rsidR="00841BE0" w:rsidRPr="00841BE0" w:rsidRDefault="00841BE0" w:rsidP="00412655">
      <w:pPr>
        <w:ind w:left="851"/>
        <w:rPr>
          <w:sz w:val="24"/>
          <w:szCs w:val="24"/>
        </w:rPr>
      </w:pPr>
    </w:p>
    <w:p w14:paraId="06988EEA" w14:textId="77777777" w:rsidR="00841BE0" w:rsidRPr="00841BE0" w:rsidRDefault="00841BE0" w:rsidP="00412655">
      <w:pPr>
        <w:ind w:left="851"/>
        <w:rPr>
          <w:i/>
          <w:iCs/>
          <w:sz w:val="24"/>
          <w:szCs w:val="24"/>
          <w:u w:val="single"/>
        </w:rPr>
      </w:pPr>
      <w:proofErr w:type="spellStart"/>
      <w:r w:rsidRPr="00841BE0">
        <w:rPr>
          <w:i/>
          <w:iCs/>
          <w:sz w:val="24"/>
          <w:szCs w:val="24"/>
          <w:u w:val="single"/>
        </w:rPr>
        <w:t>Empagliflozin</w:t>
      </w:r>
      <w:proofErr w:type="spellEnd"/>
      <w:r w:rsidRPr="00841BE0">
        <w:rPr>
          <w:i/>
          <w:iCs/>
          <w:sz w:val="24"/>
          <w:szCs w:val="24"/>
          <w:u w:val="single"/>
        </w:rPr>
        <w:t xml:space="preserve"> to gange dagligt eller én gang dagligt som supplement til </w:t>
      </w:r>
      <w:proofErr w:type="spellStart"/>
      <w:r w:rsidRPr="00841BE0">
        <w:rPr>
          <w:i/>
          <w:iCs/>
          <w:sz w:val="24"/>
          <w:szCs w:val="24"/>
          <w:u w:val="single"/>
        </w:rPr>
        <w:t>metforminbehandling</w:t>
      </w:r>
      <w:proofErr w:type="spellEnd"/>
    </w:p>
    <w:p w14:paraId="25AF6A5F" w14:textId="77777777" w:rsidR="00841BE0" w:rsidRPr="00841BE0" w:rsidRDefault="00841BE0" w:rsidP="00412655">
      <w:pPr>
        <w:ind w:left="851"/>
        <w:rPr>
          <w:sz w:val="24"/>
          <w:szCs w:val="24"/>
        </w:rPr>
      </w:pPr>
    </w:p>
    <w:p w14:paraId="55907D4D" w14:textId="77777777" w:rsidR="00841BE0" w:rsidRPr="00841BE0" w:rsidRDefault="00841BE0" w:rsidP="00412655">
      <w:pPr>
        <w:ind w:left="851"/>
        <w:rPr>
          <w:sz w:val="24"/>
          <w:szCs w:val="24"/>
        </w:rPr>
      </w:pPr>
      <w:r w:rsidRPr="00841BE0">
        <w:rPr>
          <w:sz w:val="24"/>
          <w:szCs w:val="24"/>
        </w:rPr>
        <w:t xml:space="preserve">Virkningen og sikkerheden af </w:t>
      </w:r>
      <w:proofErr w:type="spellStart"/>
      <w:r w:rsidRPr="00841BE0">
        <w:rPr>
          <w:sz w:val="24"/>
          <w:szCs w:val="24"/>
        </w:rPr>
        <w:t>empagliflozin</w:t>
      </w:r>
      <w:proofErr w:type="spellEnd"/>
      <w:r w:rsidRPr="00841BE0">
        <w:rPr>
          <w:sz w:val="24"/>
          <w:szCs w:val="24"/>
        </w:rPr>
        <w:t xml:space="preserve"> to gange dagligt eller én gang dagligt (daglig dosis på 10 mg og 25 mg) som tillægsbehandling til patienter med utilstrækkelig glykæmisk kontrol på </w:t>
      </w:r>
      <w:proofErr w:type="spellStart"/>
      <w:r w:rsidRPr="00841BE0">
        <w:rPr>
          <w:sz w:val="24"/>
          <w:szCs w:val="24"/>
        </w:rPr>
        <w:t>metformin</w:t>
      </w:r>
      <w:proofErr w:type="spellEnd"/>
      <w:r w:rsidRPr="00841BE0">
        <w:rPr>
          <w:sz w:val="24"/>
          <w:szCs w:val="24"/>
        </w:rPr>
        <w:t xml:space="preserve"> alene blev undersøgt i et 16 ugers dobbeltblindet, placebokontrolleret studie. Alle behandlinger med </w:t>
      </w:r>
      <w:proofErr w:type="spellStart"/>
      <w:r w:rsidRPr="00841BE0">
        <w:rPr>
          <w:sz w:val="24"/>
          <w:szCs w:val="24"/>
        </w:rPr>
        <w:t>empagliflozin</w:t>
      </w:r>
      <w:proofErr w:type="spellEnd"/>
      <w:r w:rsidRPr="00841BE0">
        <w:rPr>
          <w:sz w:val="24"/>
          <w:szCs w:val="24"/>
        </w:rPr>
        <w:t xml:space="preserve"> medførte signifikante fald i HbA1c i forhold til </w:t>
      </w:r>
      <w:r w:rsidRPr="00841BE0">
        <w:rPr>
          <w:i/>
          <w:iCs/>
          <w:sz w:val="24"/>
          <w:szCs w:val="24"/>
        </w:rPr>
        <w:t>baseline</w:t>
      </w:r>
      <w:r w:rsidRPr="00841BE0">
        <w:rPr>
          <w:sz w:val="24"/>
          <w:szCs w:val="24"/>
        </w:rPr>
        <w:t xml:space="preserve"> (samlet middelværdi 7,8 %) efter 16 ugers behandling sammenlignet med placebo. Behandlinger med </w:t>
      </w:r>
      <w:proofErr w:type="spellStart"/>
      <w:r w:rsidRPr="00841BE0">
        <w:rPr>
          <w:sz w:val="24"/>
          <w:szCs w:val="24"/>
        </w:rPr>
        <w:t>empagliflozin</w:t>
      </w:r>
      <w:proofErr w:type="spellEnd"/>
      <w:r w:rsidRPr="00841BE0">
        <w:rPr>
          <w:sz w:val="24"/>
          <w:szCs w:val="24"/>
        </w:rPr>
        <w:t xml:space="preserve"> to gange dagligt plus </w:t>
      </w:r>
      <w:proofErr w:type="spellStart"/>
      <w:r w:rsidRPr="00841BE0">
        <w:rPr>
          <w:sz w:val="24"/>
          <w:szCs w:val="24"/>
        </w:rPr>
        <w:t>metformin</w:t>
      </w:r>
      <w:proofErr w:type="spellEnd"/>
      <w:r w:rsidRPr="00841BE0">
        <w:rPr>
          <w:sz w:val="24"/>
          <w:szCs w:val="24"/>
        </w:rPr>
        <w:t xml:space="preserve"> medførte sammenlignelige fald i HbA1c sammenlignet med dosering én gang dagligt. Forskellen mellem behandlingerne med hensyn til faldet i HbA1c fra </w:t>
      </w:r>
      <w:r w:rsidRPr="00841BE0">
        <w:rPr>
          <w:i/>
          <w:iCs/>
          <w:sz w:val="24"/>
          <w:szCs w:val="24"/>
        </w:rPr>
        <w:t>baseline</w:t>
      </w:r>
      <w:r w:rsidRPr="00841BE0">
        <w:rPr>
          <w:sz w:val="24"/>
          <w:szCs w:val="24"/>
        </w:rPr>
        <w:t xml:space="preserve"> til uge 16 var </w:t>
      </w:r>
      <w:r w:rsidRPr="00841BE0">
        <w:rPr>
          <w:sz w:val="24"/>
          <w:szCs w:val="24"/>
        </w:rPr>
        <w:noBreakHyphen/>
        <w:t xml:space="preserve">0,02 % (95 % CI </w:t>
      </w:r>
      <w:r w:rsidRPr="00841BE0">
        <w:rPr>
          <w:sz w:val="24"/>
          <w:szCs w:val="24"/>
        </w:rPr>
        <w:noBreakHyphen/>
        <w:t xml:space="preserve">0,16; 0,13) for </w:t>
      </w:r>
      <w:proofErr w:type="spellStart"/>
      <w:r w:rsidRPr="00841BE0">
        <w:rPr>
          <w:sz w:val="24"/>
          <w:szCs w:val="24"/>
        </w:rPr>
        <w:t>empagliflozin</w:t>
      </w:r>
      <w:proofErr w:type="spellEnd"/>
      <w:r w:rsidRPr="00841BE0">
        <w:rPr>
          <w:sz w:val="24"/>
          <w:szCs w:val="24"/>
        </w:rPr>
        <w:t xml:space="preserve"> 5 mg to gange dagligt sammenlignet med 10 mg én gang dagligt, og </w:t>
      </w:r>
      <w:r w:rsidRPr="00841BE0">
        <w:rPr>
          <w:sz w:val="24"/>
          <w:szCs w:val="24"/>
        </w:rPr>
        <w:noBreakHyphen/>
        <w:t xml:space="preserve">0,11 % (95 % CI </w:t>
      </w:r>
      <w:r w:rsidRPr="00841BE0">
        <w:rPr>
          <w:sz w:val="24"/>
          <w:szCs w:val="24"/>
        </w:rPr>
        <w:noBreakHyphen/>
        <w:t xml:space="preserve">0,26; 0,03) for </w:t>
      </w:r>
      <w:proofErr w:type="spellStart"/>
      <w:r w:rsidRPr="00841BE0">
        <w:rPr>
          <w:sz w:val="24"/>
          <w:szCs w:val="24"/>
        </w:rPr>
        <w:t>empagliflozin</w:t>
      </w:r>
      <w:proofErr w:type="spellEnd"/>
      <w:r w:rsidRPr="00841BE0">
        <w:rPr>
          <w:sz w:val="24"/>
          <w:szCs w:val="24"/>
        </w:rPr>
        <w:t xml:space="preserve"> 12,5 mg to gange dagligt sammenlignet med 25 mg én gang dagligt.</w:t>
      </w:r>
    </w:p>
    <w:p w14:paraId="2323D50E" w14:textId="77777777" w:rsidR="00841BE0" w:rsidRPr="00841BE0" w:rsidRDefault="00841BE0" w:rsidP="00412655">
      <w:pPr>
        <w:ind w:left="851"/>
        <w:rPr>
          <w:sz w:val="24"/>
          <w:szCs w:val="24"/>
        </w:rPr>
      </w:pPr>
    </w:p>
    <w:p w14:paraId="30B14B02" w14:textId="77777777" w:rsidR="00841BE0" w:rsidRPr="00841BE0" w:rsidRDefault="00841BE0" w:rsidP="00412655">
      <w:pPr>
        <w:ind w:left="851"/>
        <w:rPr>
          <w:i/>
          <w:iCs/>
          <w:sz w:val="24"/>
          <w:szCs w:val="24"/>
          <w:u w:val="single"/>
        </w:rPr>
      </w:pPr>
      <w:r w:rsidRPr="00841BE0">
        <w:rPr>
          <w:i/>
          <w:iCs/>
          <w:sz w:val="24"/>
          <w:szCs w:val="24"/>
          <w:u w:val="single"/>
        </w:rPr>
        <w:t>Kardiovaskulære resultater</w:t>
      </w:r>
    </w:p>
    <w:p w14:paraId="1C976C29" w14:textId="77777777" w:rsidR="00841BE0" w:rsidRPr="00841BE0" w:rsidRDefault="00841BE0" w:rsidP="00412655">
      <w:pPr>
        <w:ind w:left="851"/>
        <w:rPr>
          <w:sz w:val="24"/>
          <w:szCs w:val="24"/>
        </w:rPr>
      </w:pPr>
    </w:p>
    <w:p w14:paraId="781D31F7" w14:textId="77777777" w:rsidR="00841BE0" w:rsidRPr="00841BE0" w:rsidRDefault="00841BE0" w:rsidP="00412655">
      <w:pPr>
        <w:ind w:left="851"/>
        <w:rPr>
          <w:sz w:val="24"/>
          <w:szCs w:val="24"/>
        </w:rPr>
      </w:pPr>
      <w:r w:rsidRPr="00841BE0">
        <w:rPr>
          <w:sz w:val="24"/>
          <w:szCs w:val="24"/>
        </w:rPr>
        <w:t xml:space="preserve">Det dobbeltblinde, placebokontrollerede EMPA-REG OUTCOME-studie sammenlignede </w:t>
      </w:r>
      <w:proofErr w:type="spellStart"/>
      <w:r w:rsidRPr="00841BE0">
        <w:rPr>
          <w:sz w:val="24"/>
          <w:szCs w:val="24"/>
        </w:rPr>
        <w:t>puljede</w:t>
      </w:r>
      <w:proofErr w:type="spellEnd"/>
      <w:r w:rsidRPr="00841BE0">
        <w:rPr>
          <w:sz w:val="24"/>
          <w:szCs w:val="24"/>
        </w:rPr>
        <w:t xml:space="preserve"> doser af </w:t>
      </w:r>
      <w:proofErr w:type="spellStart"/>
      <w:r w:rsidRPr="00841BE0">
        <w:rPr>
          <w:sz w:val="24"/>
          <w:szCs w:val="24"/>
        </w:rPr>
        <w:t>empagliflozin</w:t>
      </w:r>
      <w:proofErr w:type="spellEnd"/>
      <w:r w:rsidRPr="00841BE0">
        <w:rPr>
          <w:sz w:val="24"/>
          <w:szCs w:val="24"/>
        </w:rPr>
        <w:t xml:space="preserve"> 10 mg og 25 mg med placebo som supplement til standardterapi hos patienter med type 2-diabetes og kendt kardiovaskulær sygdom. I alt 7.020 patienter blev behandlet (</w:t>
      </w:r>
      <w:proofErr w:type="spellStart"/>
      <w:r w:rsidRPr="00841BE0">
        <w:rPr>
          <w:sz w:val="24"/>
          <w:szCs w:val="24"/>
        </w:rPr>
        <w:t>empagliflozin</w:t>
      </w:r>
      <w:proofErr w:type="spellEnd"/>
      <w:r w:rsidRPr="00841BE0">
        <w:rPr>
          <w:sz w:val="24"/>
          <w:szCs w:val="24"/>
        </w:rPr>
        <w:t xml:space="preserve"> 10 mg: 2.345, </w:t>
      </w:r>
      <w:proofErr w:type="spellStart"/>
      <w:r w:rsidRPr="00841BE0">
        <w:rPr>
          <w:sz w:val="24"/>
          <w:szCs w:val="24"/>
        </w:rPr>
        <w:t>empagliflozin</w:t>
      </w:r>
      <w:proofErr w:type="spellEnd"/>
      <w:r w:rsidRPr="00841BE0">
        <w:rPr>
          <w:sz w:val="24"/>
          <w:szCs w:val="24"/>
        </w:rPr>
        <w:t xml:space="preserve"> 25 mg: 2.342, placebo: 2.333) og fulgt i en median periode på 3,1 år. Gennemsnitsalderen var 63 år, gennemsnitlig HbA1c var 8,1 %, og 71,5 % var mænd. Ved </w:t>
      </w:r>
      <w:r w:rsidRPr="00841BE0">
        <w:rPr>
          <w:i/>
          <w:iCs/>
          <w:sz w:val="24"/>
          <w:szCs w:val="24"/>
        </w:rPr>
        <w:t>baseline</w:t>
      </w:r>
      <w:r w:rsidRPr="00841BE0">
        <w:rPr>
          <w:sz w:val="24"/>
          <w:szCs w:val="24"/>
        </w:rPr>
        <w:t xml:space="preserve"> blev 74 % af patienterne behandlet med </w:t>
      </w:r>
      <w:proofErr w:type="spellStart"/>
      <w:r w:rsidRPr="00841BE0">
        <w:rPr>
          <w:sz w:val="24"/>
          <w:szCs w:val="24"/>
        </w:rPr>
        <w:t>metformin</w:t>
      </w:r>
      <w:proofErr w:type="spellEnd"/>
      <w:r w:rsidRPr="00841BE0">
        <w:rPr>
          <w:sz w:val="24"/>
          <w:szCs w:val="24"/>
        </w:rPr>
        <w:t xml:space="preserve">, 48 % med insulin og 43 % med et </w:t>
      </w:r>
      <w:proofErr w:type="spellStart"/>
      <w:r w:rsidRPr="00841BE0">
        <w:rPr>
          <w:sz w:val="24"/>
          <w:szCs w:val="24"/>
        </w:rPr>
        <w:t>sulfonylurinstof</w:t>
      </w:r>
      <w:proofErr w:type="spellEnd"/>
      <w:r w:rsidRPr="00841BE0">
        <w:rPr>
          <w:sz w:val="24"/>
          <w:szCs w:val="24"/>
        </w:rPr>
        <w:t xml:space="preserve">. Ca. halvdelen af patienterne (52,2 %) havde </w:t>
      </w:r>
      <w:proofErr w:type="spellStart"/>
      <w:r w:rsidRPr="00841BE0">
        <w:rPr>
          <w:sz w:val="24"/>
          <w:szCs w:val="24"/>
        </w:rPr>
        <w:t>eGFR</w:t>
      </w:r>
      <w:proofErr w:type="spellEnd"/>
      <w:r w:rsidRPr="00841BE0">
        <w:rPr>
          <w:sz w:val="24"/>
          <w:szCs w:val="24"/>
        </w:rPr>
        <w:t xml:space="preserve"> 60</w:t>
      </w:r>
      <w:r w:rsidRPr="00841BE0">
        <w:rPr>
          <w:sz w:val="24"/>
          <w:szCs w:val="24"/>
        </w:rPr>
        <w:noBreakHyphen/>
        <w:t>90 ml/min/1,73 m</w:t>
      </w:r>
      <w:r w:rsidRPr="00841BE0">
        <w:rPr>
          <w:sz w:val="24"/>
          <w:szCs w:val="24"/>
          <w:vertAlign w:val="superscript"/>
        </w:rPr>
        <w:t>2</w:t>
      </w:r>
      <w:r w:rsidRPr="00841BE0">
        <w:rPr>
          <w:sz w:val="24"/>
          <w:szCs w:val="24"/>
        </w:rPr>
        <w:t xml:space="preserve">, 17,8 % havde </w:t>
      </w:r>
      <w:proofErr w:type="spellStart"/>
      <w:r w:rsidRPr="00841BE0">
        <w:rPr>
          <w:sz w:val="24"/>
          <w:szCs w:val="24"/>
        </w:rPr>
        <w:t>eGFR</w:t>
      </w:r>
      <w:proofErr w:type="spellEnd"/>
      <w:r w:rsidRPr="00841BE0">
        <w:rPr>
          <w:sz w:val="24"/>
          <w:szCs w:val="24"/>
        </w:rPr>
        <w:t xml:space="preserve"> 45</w:t>
      </w:r>
      <w:r w:rsidRPr="00841BE0">
        <w:rPr>
          <w:sz w:val="24"/>
          <w:szCs w:val="24"/>
        </w:rPr>
        <w:noBreakHyphen/>
        <w:t>60 ml/min/1,73 m</w:t>
      </w:r>
      <w:r w:rsidRPr="00841BE0">
        <w:rPr>
          <w:sz w:val="24"/>
          <w:szCs w:val="24"/>
          <w:vertAlign w:val="superscript"/>
        </w:rPr>
        <w:t>2</w:t>
      </w:r>
      <w:r w:rsidRPr="00841BE0">
        <w:rPr>
          <w:sz w:val="24"/>
          <w:szCs w:val="24"/>
        </w:rPr>
        <w:t xml:space="preserve">, og 7,7 % havde </w:t>
      </w:r>
      <w:proofErr w:type="spellStart"/>
      <w:r w:rsidRPr="00841BE0">
        <w:rPr>
          <w:sz w:val="24"/>
          <w:szCs w:val="24"/>
        </w:rPr>
        <w:t>eGFR</w:t>
      </w:r>
      <w:proofErr w:type="spellEnd"/>
      <w:r w:rsidRPr="00841BE0">
        <w:rPr>
          <w:sz w:val="24"/>
          <w:szCs w:val="24"/>
        </w:rPr>
        <w:t xml:space="preserve"> 30</w:t>
      </w:r>
      <w:r w:rsidRPr="00841BE0">
        <w:rPr>
          <w:sz w:val="24"/>
          <w:szCs w:val="24"/>
        </w:rPr>
        <w:noBreakHyphen/>
        <w:t>45 ml/min/1,73 m</w:t>
      </w:r>
      <w:r w:rsidRPr="00841BE0">
        <w:rPr>
          <w:sz w:val="24"/>
          <w:szCs w:val="24"/>
          <w:vertAlign w:val="superscript"/>
        </w:rPr>
        <w:t>2</w:t>
      </w:r>
      <w:r w:rsidRPr="00841BE0">
        <w:rPr>
          <w:sz w:val="24"/>
          <w:szCs w:val="24"/>
        </w:rPr>
        <w:t>.</w:t>
      </w:r>
    </w:p>
    <w:p w14:paraId="1312BF1A" w14:textId="77777777" w:rsidR="00841BE0" w:rsidRPr="00841BE0" w:rsidRDefault="00841BE0" w:rsidP="00412655">
      <w:pPr>
        <w:ind w:left="851"/>
        <w:rPr>
          <w:sz w:val="24"/>
          <w:szCs w:val="24"/>
        </w:rPr>
      </w:pPr>
    </w:p>
    <w:p w14:paraId="513A115A" w14:textId="77777777" w:rsidR="00841BE0" w:rsidRPr="00841BE0" w:rsidRDefault="00841BE0" w:rsidP="00412655">
      <w:pPr>
        <w:ind w:left="851"/>
        <w:rPr>
          <w:sz w:val="24"/>
          <w:szCs w:val="24"/>
        </w:rPr>
      </w:pPr>
      <w:r w:rsidRPr="00841BE0">
        <w:rPr>
          <w:sz w:val="24"/>
          <w:szCs w:val="24"/>
        </w:rPr>
        <w:t xml:space="preserve">Ved uge 12 blev der observeret en justeret gennemsnitlig (SE) forbedring af HbA1c i forhold til </w:t>
      </w:r>
      <w:r w:rsidRPr="00841BE0">
        <w:rPr>
          <w:i/>
          <w:iCs/>
          <w:sz w:val="24"/>
          <w:szCs w:val="24"/>
        </w:rPr>
        <w:t>baseline</w:t>
      </w:r>
      <w:r w:rsidRPr="00841BE0">
        <w:rPr>
          <w:sz w:val="24"/>
          <w:szCs w:val="24"/>
        </w:rPr>
        <w:t xml:space="preserve"> på henholdsvis 0,65 % (0,02) og 0,71 % (0,02) i </w:t>
      </w:r>
      <w:proofErr w:type="spellStart"/>
      <w:r w:rsidRPr="00841BE0">
        <w:rPr>
          <w:sz w:val="24"/>
          <w:szCs w:val="24"/>
        </w:rPr>
        <w:t>empagliflozin</w:t>
      </w:r>
      <w:proofErr w:type="spellEnd"/>
      <w:r w:rsidRPr="00841BE0">
        <w:rPr>
          <w:sz w:val="24"/>
          <w:szCs w:val="24"/>
        </w:rPr>
        <w:t xml:space="preserve"> 10 mg</w:t>
      </w:r>
      <w:r w:rsidRPr="00841BE0">
        <w:rPr>
          <w:sz w:val="24"/>
          <w:szCs w:val="24"/>
        </w:rPr>
        <w:noBreakHyphen/>
        <w:t xml:space="preserve"> og 25 mg-grupperne sammenholdt med 0,11 % (0,02) i placebogruppen. Efter de første 12 uger var den glykæmiske kontrol optimeret, uafhængigt af den undersøgte studiebehandling. Virkningen var svækket ved uge 94 med en justeret gennemsnitlig (SE) forbedring af HbA1c på henholdsvis 0,50 % (0,02) og 0,55 % (0,02) i </w:t>
      </w:r>
      <w:proofErr w:type="spellStart"/>
      <w:r w:rsidRPr="00841BE0">
        <w:rPr>
          <w:sz w:val="24"/>
          <w:szCs w:val="24"/>
        </w:rPr>
        <w:t>empagliflozin</w:t>
      </w:r>
      <w:proofErr w:type="spellEnd"/>
      <w:r w:rsidRPr="00841BE0">
        <w:rPr>
          <w:sz w:val="24"/>
          <w:szCs w:val="24"/>
        </w:rPr>
        <w:t xml:space="preserve"> 10 mg</w:t>
      </w:r>
      <w:r w:rsidRPr="00841BE0">
        <w:rPr>
          <w:sz w:val="24"/>
          <w:szCs w:val="24"/>
        </w:rPr>
        <w:noBreakHyphen/>
        <w:t xml:space="preserve"> og 25 mg-grupperne sammenholdt med 0,08 % (0,02) i placebogruppen.</w:t>
      </w:r>
    </w:p>
    <w:p w14:paraId="3BB8796B" w14:textId="77777777" w:rsidR="00841BE0" w:rsidRPr="00841BE0" w:rsidRDefault="00841BE0" w:rsidP="00412655">
      <w:pPr>
        <w:ind w:left="851"/>
        <w:rPr>
          <w:sz w:val="24"/>
          <w:szCs w:val="24"/>
        </w:rPr>
      </w:pPr>
    </w:p>
    <w:p w14:paraId="2F16E1E7" w14:textId="77777777" w:rsidR="00841BE0" w:rsidRPr="00841BE0" w:rsidRDefault="00841BE0" w:rsidP="00412655">
      <w:pPr>
        <w:ind w:left="851"/>
        <w:rPr>
          <w:sz w:val="24"/>
          <w:szCs w:val="24"/>
        </w:rPr>
      </w:pPr>
      <w:proofErr w:type="spellStart"/>
      <w:r w:rsidRPr="00841BE0">
        <w:rPr>
          <w:sz w:val="24"/>
          <w:szCs w:val="24"/>
        </w:rPr>
        <w:t>Empagliflozin</w:t>
      </w:r>
      <w:proofErr w:type="spellEnd"/>
      <w:r w:rsidRPr="00841BE0">
        <w:rPr>
          <w:sz w:val="24"/>
          <w:szCs w:val="24"/>
        </w:rPr>
        <w:t xml:space="preserve"> var </w:t>
      </w:r>
      <w:proofErr w:type="spellStart"/>
      <w:r w:rsidRPr="00841BE0">
        <w:rPr>
          <w:sz w:val="24"/>
          <w:szCs w:val="24"/>
        </w:rPr>
        <w:t>superior</w:t>
      </w:r>
      <w:proofErr w:type="spellEnd"/>
      <w:r w:rsidRPr="00841BE0">
        <w:rPr>
          <w:sz w:val="24"/>
          <w:szCs w:val="24"/>
        </w:rPr>
        <w:t xml:space="preserve"> i forhold til placebo med hensyn til at forhindre det primære sammensatte endepunkt (kardiovaskulær død, ikke-dødeligt myokardieinfarkt eller ikke-dødelig apopleksi). Behandlingseffekten sås primært som en signifikant reduktion i kardiovaskulær død, idet der ikke sås nogen signifikant ændring, hvad angår ikke-dødeligt myokardieinfarkt og ikke-dødelig apopleksi. Reduktionen i kardiovaskulær død var omtrent den samme for </w:t>
      </w:r>
      <w:proofErr w:type="spellStart"/>
      <w:r w:rsidRPr="00841BE0">
        <w:rPr>
          <w:sz w:val="24"/>
          <w:szCs w:val="24"/>
        </w:rPr>
        <w:t>empagliflozin</w:t>
      </w:r>
      <w:proofErr w:type="spellEnd"/>
      <w:r w:rsidRPr="00841BE0">
        <w:rPr>
          <w:sz w:val="24"/>
          <w:szCs w:val="24"/>
        </w:rPr>
        <w:t xml:space="preserve"> 10 mg og 25 mg (se figur 1) og blev bekræftet af en bedre samlet overlevelse (tabel 9). Virkningen af </w:t>
      </w:r>
      <w:proofErr w:type="spellStart"/>
      <w:r w:rsidRPr="00841BE0">
        <w:rPr>
          <w:sz w:val="24"/>
          <w:szCs w:val="24"/>
        </w:rPr>
        <w:t>empagliflozin</w:t>
      </w:r>
      <w:proofErr w:type="spellEnd"/>
      <w:r w:rsidRPr="00841BE0">
        <w:rPr>
          <w:sz w:val="24"/>
          <w:szCs w:val="24"/>
        </w:rPr>
        <w:t xml:space="preserve"> på det primære sammensatte endepunkt (kardiovaskulær død, ikke-dødeligt myokardieinfarkt eller ikke-dødelig apopleksi) var stort set uafhængig af glykæmisk kontrol eller nyrefunktionen (</w:t>
      </w:r>
      <w:proofErr w:type="spellStart"/>
      <w:r w:rsidRPr="00841BE0">
        <w:rPr>
          <w:sz w:val="24"/>
          <w:szCs w:val="24"/>
        </w:rPr>
        <w:t>eGFR</w:t>
      </w:r>
      <w:proofErr w:type="spellEnd"/>
      <w:r w:rsidRPr="00841BE0">
        <w:rPr>
          <w:sz w:val="24"/>
          <w:szCs w:val="24"/>
        </w:rPr>
        <w:t xml:space="preserve">) og generelt konsistent for alle </w:t>
      </w:r>
      <w:proofErr w:type="spellStart"/>
      <w:r w:rsidRPr="00841BE0">
        <w:rPr>
          <w:sz w:val="24"/>
          <w:szCs w:val="24"/>
        </w:rPr>
        <w:t>eGFR</w:t>
      </w:r>
      <w:proofErr w:type="spellEnd"/>
      <w:r w:rsidRPr="00841BE0">
        <w:rPr>
          <w:sz w:val="24"/>
          <w:szCs w:val="24"/>
        </w:rPr>
        <w:t xml:space="preserve">-kategorier, ned til en </w:t>
      </w:r>
      <w:proofErr w:type="spellStart"/>
      <w:r w:rsidRPr="00841BE0">
        <w:rPr>
          <w:sz w:val="24"/>
          <w:szCs w:val="24"/>
        </w:rPr>
        <w:t>eGFR</w:t>
      </w:r>
      <w:proofErr w:type="spellEnd"/>
      <w:r w:rsidRPr="00841BE0">
        <w:rPr>
          <w:sz w:val="24"/>
          <w:szCs w:val="24"/>
        </w:rPr>
        <w:t xml:space="preserve"> på 30 ml/min/1,73 m</w:t>
      </w:r>
      <w:r w:rsidRPr="00841BE0">
        <w:rPr>
          <w:sz w:val="24"/>
          <w:szCs w:val="24"/>
          <w:vertAlign w:val="superscript"/>
        </w:rPr>
        <w:t>2</w:t>
      </w:r>
      <w:r w:rsidRPr="00841BE0">
        <w:rPr>
          <w:sz w:val="24"/>
          <w:szCs w:val="24"/>
        </w:rPr>
        <w:t xml:space="preserve"> i EMPA-REG OUTCOME-studiet.</w:t>
      </w:r>
    </w:p>
    <w:p w14:paraId="1BE52134" w14:textId="77777777" w:rsidR="00841BE0" w:rsidRPr="00841BE0" w:rsidRDefault="00841BE0" w:rsidP="00412655">
      <w:pPr>
        <w:ind w:left="851"/>
        <w:rPr>
          <w:sz w:val="24"/>
          <w:szCs w:val="24"/>
        </w:rPr>
      </w:pPr>
    </w:p>
    <w:p w14:paraId="403789E7" w14:textId="77777777" w:rsidR="00841BE0" w:rsidRPr="00841BE0" w:rsidRDefault="00841BE0" w:rsidP="00412655">
      <w:pPr>
        <w:ind w:left="851"/>
        <w:rPr>
          <w:sz w:val="24"/>
          <w:szCs w:val="24"/>
        </w:rPr>
      </w:pPr>
      <w:r w:rsidRPr="00841BE0">
        <w:rPr>
          <w:sz w:val="24"/>
          <w:szCs w:val="24"/>
        </w:rPr>
        <w:t xml:space="preserve">Virkningen med hensyn til forebyggelse af kardiovaskulær mortalitet er ikke blevet fastslået </w:t>
      </w:r>
      <w:proofErr w:type="spellStart"/>
      <w:r w:rsidRPr="00841BE0">
        <w:rPr>
          <w:sz w:val="24"/>
          <w:szCs w:val="24"/>
        </w:rPr>
        <w:t>konklusivt</w:t>
      </w:r>
      <w:proofErr w:type="spellEnd"/>
      <w:r w:rsidRPr="00841BE0">
        <w:rPr>
          <w:sz w:val="24"/>
          <w:szCs w:val="24"/>
        </w:rPr>
        <w:t xml:space="preserve"> for patienter, der brugte </w:t>
      </w:r>
      <w:proofErr w:type="spellStart"/>
      <w:r w:rsidRPr="00841BE0">
        <w:rPr>
          <w:sz w:val="24"/>
          <w:szCs w:val="24"/>
        </w:rPr>
        <w:t>empagliflozin</w:t>
      </w:r>
      <w:proofErr w:type="spellEnd"/>
      <w:r w:rsidRPr="00841BE0">
        <w:rPr>
          <w:sz w:val="24"/>
          <w:szCs w:val="24"/>
        </w:rPr>
        <w:t xml:space="preserve"> samtidigt med DPP-4-hæmmere, eller for sorte patienter, da disse grupper var begrænset repræsenteret i EMPA-REG OUTCOME-studiet.</w:t>
      </w:r>
    </w:p>
    <w:p w14:paraId="2DB23DBC" w14:textId="77777777" w:rsidR="00841BE0" w:rsidRPr="00841BE0" w:rsidRDefault="00841BE0" w:rsidP="00412655">
      <w:pPr>
        <w:ind w:left="851"/>
        <w:rPr>
          <w:sz w:val="24"/>
          <w:szCs w:val="24"/>
        </w:rPr>
      </w:pPr>
    </w:p>
    <w:p w14:paraId="29F70E78" w14:textId="77777777" w:rsidR="00841BE0" w:rsidRPr="00841BE0" w:rsidRDefault="00841BE0" w:rsidP="001C0D88">
      <w:pPr>
        <w:rPr>
          <w:sz w:val="24"/>
          <w:szCs w:val="24"/>
        </w:rPr>
      </w:pPr>
      <w:r w:rsidRPr="00841BE0">
        <w:rPr>
          <w:sz w:val="24"/>
          <w:szCs w:val="24"/>
        </w:rPr>
        <w:t>Tabel 9: Virkning af behandling, hvad angår det primære sammensatte endepunkt, endepunktets komponenter og mortalitet</w:t>
      </w:r>
      <w:r w:rsidRPr="00841BE0">
        <w:rPr>
          <w:sz w:val="24"/>
          <w:szCs w:val="24"/>
          <w:vertAlign w:val="superscript"/>
        </w:rPr>
        <w:t xml:space="preserve"> </w:t>
      </w:r>
    </w:p>
    <w:tbl>
      <w:tblPr>
        <w:tblStyle w:val="TableNormal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26"/>
        <w:gridCol w:w="1941"/>
        <w:gridCol w:w="2561"/>
      </w:tblGrid>
      <w:tr w:rsidR="00841BE0" w:rsidRPr="00841BE0" w14:paraId="4B0A1264" w14:textId="77777777" w:rsidTr="00412655">
        <w:trPr>
          <w:trHeight w:val="254"/>
        </w:trPr>
        <w:tc>
          <w:tcPr>
            <w:tcW w:w="2662" w:type="pct"/>
            <w:tcBorders>
              <w:top w:val="single" w:sz="4" w:space="0" w:color="000000"/>
              <w:left w:val="single" w:sz="4" w:space="0" w:color="000000"/>
              <w:bottom w:val="single" w:sz="4" w:space="0" w:color="000000"/>
              <w:right w:val="single" w:sz="4" w:space="0" w:color="000000"/>
            </w:tcBorders>
          </w:tcPr>
          <w:p w14:paraId="05F2DBC7" w14:textId="77777777" w:rsidR="00841BE0" w:rsidRPr="00841BE0" w:rsidRDefault="00841BE0" w:rsidP="00412655">
            <w:pPr>
              <w:widowControl/>
              <w:autoSpaceDE/>
              <w:autoSpaceDN/>
              <w:ind w:left="142"/>
              <w:rPr>
                <w:rFonts w:ascii="Times New Roman" w:eastAsia="Times New Roman" w:hAnsi="Times New Roman"/>
                <w:sz w:val="22"/>
                <w:lang w:val="da-DK"/>
              </w:rPr>
            </w:pPr>
          </w:p>
        </w:tc>
        <w:tc>
          <w:tcPr>
            <w:tcW w:w="1008" w:type="pct"/>
            <w:tcBorders>
              <w:top w:val="single" w:sz="4" w:space="0" w:color="000000"/>
              <w:left w:val="single" w:sz="4" w:space="0" w:color="000000"/>
              <w:bottom w:val="single" w:sz="4" w:space="0" w:color="000000"/>
              <w:right w:val="single" w:sz="4" w:space="0" w:color="000000"/>
            </w:tcBorders>
            <w:hideMark/>
          </w:tcPr>
          <w:p w14:paraId="50E60E06" w14:textId="77777777" w:rsidR="00841BE0" w:rsidRPr="00841BE0" w:rsidRDefault="00841BE0" w:rsidP="00412655">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Placebo</w:t>
            </w:r>
          </w:p>
        </w:tc>
        <w:tc>
          <w:tcPr>
            <w:tcW w:w="1330" w:type="pct"/>
            <w:tcBorders>
              <w:top w:val="single" w:sz="4" w:space="0" w:color="000000"/>
              <w:left w:val="single" w:sz="4" w:space="0" w:color="000000"/>
              <w:bottom w:val="single" w:sz="4" w:space="0" w:color="000000"/>
              <w:right w:val="single" w:sz="4" w:space="0" w:color="000000"/>
            </w:tcBorders>
            <w:hideMark/>
          </w:tcPr>
          <w:p w14:paraId="24B4E6E1" w14:textId="77777777" w:rsidR="00841BE0" w:rsidRPr="00841BE0" w:rsidRDefault="00841BE0" w:rsidP="00412655">
            <w:pPr>
              <w:widowControl/>
              <w:autoSpaceDE/>
              <w:autoSpaceDN/>
              <w:ind w:left="142"/>
              <w:rPr>
                <w:rFonts w:ascii="Times New Roman" w:eastAsia="Times New Roman" w:hAnsi="Times New Roman"/>
                <w:b/>
                <w:sz w:val="22"/>
              </w:rPr>
            </w:pPr>
            <w:proofErr w:type="spellStart"/>
            <w:r w:rsidRPr="00841BE0">
              <w:rPr>
                <w:rFonts w:ascii="Times New Roman" w:eastAsia="Times New Roman" w:hAnsi="Times New Roman"/>
                <w:b/>
                <w:sz w:val="22"/>
              </w:rPr>
              <w:t>Empagliflozin</w:t>
            </w:r>
            <w:r w:rsidRPr="00841BE0">
              <w:rPr>
                <w:rFonts w:ascii="Times New Roman" w:eastAsia="Times New Roman" w:hAnsi="Times New Roman"/>
                <w:b/>
                <w:sz w:val="22"/>
                <w:vertAlign w:val="superscript"/>
              </w:rPr>
              <w:t>b</w:t>
            </w:r>
            <w:proofErr w:type="spellEnd"/>
          </w:p>
        </w:tc>
      </w:tr>
      <w:tr w:rsidR="00841BE0" w:rsidRPr="00841BE0" w14:paraId="04389196" w14:textId="77777777" w:rsidTr="00412655">
        <w:trPr>
          <w:trHeight w:val="251"/>
        </w:trPr>
        <w:tc>
          <w:tcPr>
            <w:tcW w:w="2662" w:type="pct"/>
            <w:tcBorders>
              <w:top w:val="single" w:sz="4" w:space="0" w:color="000000"/>
              <w:left w:val="single" w:sz="4" w:space="0" w:color="000000"/>
              <w:bottom w:val="single" w:sz="4" w:space="0" w:color="000000"/>
              <w:right w:val="single" w:sz="4" w:space="0" w:color="000000"/>
            </w:tcBorders>
            <w:hideMark/>
          </w:tcPr>
          <w:p w14:paraId="5C705933"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N</w:t>
            </w:r>
          </w:p>
        </w:tc>
        <w:tc>
          <w:tcPr>
            <w:tcW w:w="1008" w:type="pct"/>
            <w:tcBorders>
              <w:top w:val="single" w:sz="4" w:space="0" w:color="000000"/>
              <w:left w:val="single" w:sz="4" w:space="0" w:color="000000"/>
              <w:bottom w:val="single" w:sz="4" w:space="0" w:color="000000"/>
              <w:right w:val="single" w:sz="4" w:space="0" w:color="000000"/>
            </w:tcBorders>
            <w:hideMark/>
          </w:tcPr>
          <w:p w14:paraId="5D1ACF52"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2.333</w:t>
            </w:r>
          </w:p>
        </w:tc>
        <w:tc>
          <w:tcPr>
            <w:tcW w:w="1330" w:type="pct"/>
            <w:tcBorders>
              <w:top w:val="single" w:sz="4" w:space="0" w:color="000000"/>
              <w:left w:val="single" w:sz="4" w:space="0" w:color="000000"/>
              <w:bottom w:val="single" w:sz="4" w:space="0" w:color="000000"/>
              <w:right w:val="single" w:sz="4" w:space="0" w:color="000000"/>
            </w:tcBorders>
            <w:hideMark/>
          </w:tcPr>
          <w:p w14:paraId="689055CD"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4.687</w:t>
            </w:r>
          </w:p>
        </w:tc>
      </w:tr>
      <w:tr w:rsidR="00841BE0" w:rsidRPr="00841BE0" w14:paraId="50A38415" w14:textId="77777777" w:rsidTr="00412655">
        <w:trPr>
          <w:trHeight w:val="497"/>
        </w:trPr>
        <w:tc>
          <w:tcPr>
            <w:tcW w:w="2662" w:type="pct"/>
            <w:tcBorders>
              <w:top w:val="single" w:sz="4" w:space="0" w:color="000000"/>
              <w:left w:val="single" w:sz="4" w:space="0" w:color="000000"/>
              <w:bottom w:val="single" w:sz="4" w:space="0" w:color="000000"/>
              <w:right w:val="single" w:sz="4" w:space="0" w:color="000000"/>
            </w:tcBorders>
            <w:hideMark/>
          </w:tcPr>
          <w:p w14:paraId="0935E17E" w14:textId="77777777" w:rsidR="00841BE0" w:rsidRPr="00841BE0" w:rsidRDefault="00841BE0" w:rsidP="00412655">
            <w:pPr>
              <w:widowControl/>
              <w:autoSpaceDE/>
              <w:autoSpaceDN/>
              <w:ind w:left="142"/>
              <w:rPr>
                <w:rFonts w:ascii="Times New Roman" w:eastAsia="Times New Roman" w:hAnsi="Times New Roman"/>
                <w:b/>
                <w:sz w:val="22"/>
                <w:lang w:val="da-DK"/>
              </w:rPr>
            </w:pPr>
            <w:r w:rsidRPr="00841BE0">
              <w:rPr>
                <w:rFonts w:ascii="Times New Roman" w:eastAsia="Times New Roman" w:hAnsi="Times New Roman"/>
                <w:b/>
                <w:sz w:val="22"/>
                <w:lang w:val="da-DK"/>
              </w:rPr>
              <w:t>Tid til første hændelse af CV-død, ikke-dødeligt MI eller ikke-dødelig apopleksi, N (%)</w:t>
            </w:r>
          </w:p>
        </w:tc>
        <w:tc>
          <w:tcPr>
            <w:tcW w:w="1008" w:type="pct"/>
            <w:tcBorders>
              <w:top w:val="single" w:sz="4" w:space="0" w:color="000000"/>
              <w:left w:val="single" w:sz="4" w:space="0" w:color="000000"/>
              <w:bottom w:val="single" w:sz="4" w:space="0" w:color="000000"/>
              <w:right w:val="single" w:sz="4" w:space="0" w:color="000000"/>
            </w:tcBorders>
            <w:hideMark/>
          </w:tcPr>
          <w:p w14:paraId="73184283"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282 (12,1)</w:t>
            </w:r>
          </w:p>
        </w:tc>
        <w:tc>
          <w:tcPr>
            <w:tcW w:w="1330" w:type="pct"/>
            <w:tcBorders>
              <w:top w:val="single" w:sz="4" w:space="0" w:color="000000"/>
              <w:left w:val="single" w:sz="4" w:space="0" w:color="000000"/>
              <w:bottom w:val="single" w:sz="4" w:space="0" w:color="000000"/>
              <w:right w:val="single" w:sz="4" w:space="0" w:color="000000"/>
            </w:tcBorders>
            <w:hideMark/>
          </w:tcPr>
          <w:p w14:paraId="04BC8E16"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490 (10,5)</w:t>
            </w:r>
          </w:p>
        </w:tc>
      </w:tr>
      <w:tr w:rsidR="00841BE0" w:rsidRPr="00841BE0" w14:paraId="7041700F" w14:textId="77777777" w:rsidTr="00412655">
        <w:trPr>
          <w:trHeight w:val="251"/>
        </w:trPr>
        <w:tc>
          <w:tcPr>
            <w:tcW w:w="2662" w:type="pct"/>
            <w:tcBorders>
              <w:top w:val="single" w:sz="4" w:space="0" w:color="000000"/>
              <w:left w:val="single" w:sz="4" w:space="0" w:color="000000"/>
              <w:bottom w:val="single" w:sz="4" w:space="0" w:color="000000"/>
              <w:right w:val="single" w:sz="4" w:space="0" w:color="000000"/>
            </w:tcBorders>
            <w:hideMark/>
          </w:tcPr>
          <w:p w14:paraId="2C0F0C45"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i/>
                <w:sz w:val="22"/>
              </w:rPr>
              <w:t>Hazard ratio vs</w:t>
            </w:r>
            <w:r w:rsidRPr="00841BE0">
              <w:rPr>
                <w:rFonts w:ascii="Times New Roman" w:eastAsia="Times New Roman" w:hAnsi="Times New Roman"/>
                <w:sz w:val="22"/>
              </w:rPr>
              <w:t xml:space="preserve">. placebo (95,02 % </w:t>
            </w:r>
            <w:proofErr w:type="gramStart"/>
            <w:r w:rsidRPr="00841BE0">
              <w:rPr>
                <w:rFonts w:ascii="Times New Roman" w:eastAsia="Times New Roman" w:hAnsi="Times New Roman"/>
                <w:sz w:val="22"/>
              </w:rPr>
              <w:t>CI)</w:t>
            </w:r>
            <w:r w:rsidRPr="00841BE0">
              <w:rPr>
                <w:rFonts w:ascii="Times New Roman" w:eastAsia="Times New Roman" w:hAnsi="Times New Roman"/>
                <w:sz w:val="22"/>
                <w:vertAlign w:val="superscript"/>
              </w:rPr>
              <w:t>*</w:t>
            </w:r>
            <w:proofErr w:type="gramEnd"/>
          </w:p>
        </w:tc>
        <w:tc>
          <w:tcPr>
            <w:tcW w:w="1008" w:type="pct"/>
            <w:tcBorders>
              <w:top w:val="single" w:sz="4" w:space="0" w:color="000000"/>
              <w:left w:val="single" w:sz="4" w:space="0" w:color="000000"/>
              <w:bottom w:val="single" w:sz="4" w:space="0" w:color="000000"/>
              <w:right w:val="single" w:sz="4" w:space="0" w:color="000000"/>
            </w:tcBorders>
          </w:tcPr>
          <w:p w14:paraId="58568975" w14:textId="77777777" w:rsidR="00841BE0" w:rsidRPr="00841BE0" w:rsidRDefault="00841BE0" w:rsidP="00412655">
            <w:pPr>
              <w:widowControl/>
              <w:autoSpaceDE/>
              <w:autoSpaceDN/>
              <w:ind w:left="142"/>
              <w:rPr>
                <w:rFonts w:ascii="Times New Roman" w:eastAsia="Times New Roman" w:hAnsi="Times New Roman"/>
                <w:sz w:val="22"/>
              </w:rPr>
            </w:pPr>
          </w:p>
        </w:tc>
        <w:tc>
          <w:tcPr>
            <w:tcW w:w="1330" w:type="pct"/>
            <w:tcBorders>
              <w:top w:val="single" w:sz="4" w:space="0" w:color="000000"/>
              <w:left w:val="single" w:sz="4" w:space="0" w:color="000000"/>
              <w:bottom w:val="single" w:sz="4" w:space="0" w:color="000000"/>
              <w:right w:val="single" w:sz="4" w:space="0" w:color="000000"/>
            </w:tcBorders>
            <w:hideMark/>
          </w:tcPr>
          <w:p w14:paraId="0AE437E8"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0,86 (0,74; 0,99)</w:t>
            </w:r>
          </w:p>
        </w:tc>
      </w:tr>
      <w:tr w:rsidR="00841BE0" w:rsidRPr="00841BE0" w14:paraId="721D9793" w14:textId="77777777" w:rsidTr="00412655">
        <w:trPr>
          <w:trHeight w:val="253"/>
        </w:trPr>
        <w:tc>
          <w:tcPr>
            <w:tcW w:w="2662" w:type="pct"/>
            <w:tcBorders>
              <w:top w:val="single" w:sz="4" w:space="0" w:color="000000"/>
              <w:left w:val="single" w:sz="4" w:space="0" w:color="000000"/>
              <w:bottom w:val="single" w:sz="4" w:space="0" w:color="000000"/>
              <w:right w:val="single" w:sz="4" w:space="0" w:color="000000"/>
            </w:tcBorders>
            <w:hideMark/>
          </w:tcPr>
          <w:p w14:paraId="1974D2CF"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p-</w:t>
            </w:r>
            <w:proofErr w:type="spellStart"/>
            <w:r w:rsidRPr="00841BE0">
              <w:rPr>
                <w:rFonts w:ascii="Times New Roman" w:eastAsia="Times New Roman" w:hAnsi="Times New Roman"/>
                <w:sz w:val="22"/>
              </w:rPr>
              <w:t>værdi</w:t>
            </w:r>
            <w:proofErr w:type="spellEnd"/>
            <w:r w:rsidRPr="00841BE0">
              <w:rPr>
                <w:rFonts w:ascii="Times New Roman" w:eastAsia="Times New Roman" w:hAnsi="Times New Roman"/>
                <w:sz w:val="22"/>
              </w:rPr>
              <w:t xml:space="preserve"> for </w:t>
            </w:r>
            <w:proofErr w:type="spellStart"/>
            <w:r w:rsidRPr="00841BE0">
              <w:rPr>
                <w:rFonts w:ascii="Times New Roman" w:eastAsia="Times New Roman" w:hAnsi="Times New Roman"/>
                <w:sz w:val="22"/>
              </w:rPr>
              <w:t>superioritet</w:t>
            </w:r>
            <w:proofErr w:type="spellEnd"/>
          </w:p>
        </w:tc>
        <w:tc>
          <w:tcPr>
            <w:tcW w:w="1008" w:type="pct"/>
            <w:tcBorders>
              <w:top w:val="single" w:sz="4" w:space="0" w:color="000000"/>
              <w:left w:val="single" w:sz="4" w:space="0" w:color="000000"/>
              <w:bottom w:val="single" w:sz="4" w:space="0" w:color="000000"/>
              <w:right w:val="single" w:sz="4" w:space="0" w:color="000000"/>
            </w:tcBorders>
          </w:tcPr>
          <w:p w14:paraId="31C7FD48" w14:textId="77777777" w:rsidR="00841BE0" w:rsidRPr="00841BE0" w:rsidRDefault="00841BE0" w:rsidP="00412655">
            <w:pPr>
              <w:widowControl/>
              <w:autoSpaceDE/>
              <w:autoSpaceDN/>
              <w:ind w:left="142"/>
              <w:rPr>
                <w:rFonts w:ascii="Times New Roman" w:eastAsia="Times New Roman" w:hAnsi="Times New Roman"/>
                <w:sz w:val="22"/>
              </w:rPr>
            </w:pPr>
          </w:p>
        </w:tc>
        <w:tc>
          <w:tcPr>
            <w:tcW w:w="1330" w:type="pct"/>
            <w:tcBorders>
              <w:top w:val="single" w:sz="4" w:space="0" w:color="000000"/>
              <w:left w:val="single" w:sz="4" w:space="0" w:color="000000"/>
              <w:bottom w:val="single" w:sz="4" w:space="0" w:color="000000"/>
              <w:right w:val="single" w:sz="4" w:space="0" w:color="000000"/>
            </w:tcBorders>
            <w:hideMark/>
          </w:tcPr>
          <w:p w14:paraId="604C81D4"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0,0382</w:t>
            </w:r>
          </w:p>
        </w:tc>
      </w:tr>
      <w:tr w:rsidR="00841BE0" w:rsidRPr="00841BE0" w14:paraId="2C95AFE4" w14:textId="77777777" w:rsidTr="00412655">
        <w:trPr>
          <w:trHeight w:val="254"/>
        </w:trPr>
        <w:tc>
          <w:tcPr>
            <w:tcW w:w="2662" w:type="pct"/>
            <w:tcBorders>
              <w:top w:val="single" w:sz="4" w:space="0" w:color="000000"/>
              <w:left w:val="single" w:sz="4" w:space="0" w:color="000000"/>
              <w:bottom w:val="single" w:sz="4" w:space="0" w:color="000000"/>
              <w:right w:val="single" w:sz="4" w:space="0" w:color="000000"/>
            </w:tcBorders>
            <w:hideMark/>
          </w:tcPr>
          <w:p w14:paraId="744CE261" w14:textId="77777777" w:rsidR="00841BE0" w:rsidRPr="00841BE0" w:rsidRDefault="00841BE0" w:rsidP="00412655">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CV-</w:t>
            </w:r>
            <w:proofErr w:type="spellStart"/>
            <w:r w:rsidRPr="00841BE0">
              <w:rPr>
                <w:rFonts w:ascii="Times New Roman" w:eastAsia="Times New Roman" w:hAnsi="Times New Roman"/>
                <w:b/>
                <w:sz w:val="22"/>
              </w:rPr>
              <w:t>død</w:t>
            </w:r>
            <w:proofErr w:type="spellEnd"/>
            <w:r w:rsidRPr="00841BE0">
              <w:rPr>
                <w:rFonts w:ascii="Times New Roman" w:eastAsia="Times New Roman" w:hAnsi="Times New Roman"/>
                <w:b/>
                <w:sz w:val="22"/>
              </w:rPr>
              <w:t>, N (%)</w:t>
            </w:r>
          </w:p>
        </w:tc>
        <w:tc>
          <w:tcPr>
            <w:tcW w:w="1008" w:type="pct"/>
            <w:tcBorders>
              <w:top w:val="single" w:sz="4" w:space="0" w:color="000000"/>
              <w:left w:val="single" w:sz="4" w:space="0" w:color="000000"/>
              <w:bottom w:val="single" w:sz="4" w:space="0" w:color="000000"/>
              <w:right w:val="single" w:sz="4" w:space="0" w:color="000000"/>
            </w:tcBorders>
            <w:hideMark/>
          </w:tcPr>
          <w:p w14:paraId="4495865E"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137 (5,9)</w:t>
            </w:r>
          </w:p>
        </w:tc>
        <w:tc>
          <w:tcPr>
            <w:tcW w:w="1330" w:type="pct"/>
            <w:tcBorders>
              <w:top w:val="single" w:sz="4" w:space="0" w:color="000000"/>
              <w:left w:val="single" w:sz="4" w:space="0" w:color="000000"/>
              <w:bottom w:val="single" w:sz="4" w:space="0" w:color="000000"/>
              <w:right w:val="single" w:sz="4" w:space="0" w:color="000000"/>
            </w:tcBorders>
            <w:hideMark/>
          </w:tcPr>
          <w:p w14:paraId="3750A9FA"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172 (3,7)</w:t>
            </w:r>
          </w:p>
        </w:tc>
      </w:tr>
      <w:tr w:rsidR="00841BE0" w:rsidRPr="00841BE0" w14:paraId="25E3D542" w14:textId="77777777" w:rsidTr="00412655">
        <w:trPr>
          <w:trHeight w:val="251"/>
        </w:trPr>
        <w:tc>
          <w:tcPr>
            <w:tcW w:w="2662" w:type="pct"/>
            <w:tcBorders>
              <w:top w:val="single" w:sz="4" w:space="0" w:color="000000"/>
              <w:left w:val="single" w:sz="4" w:space="0" w:color="000000"/>
              <w:bottom w:val="single" w:sz="4" w:space="0" w:color="000000"/>
              <w:right w:val="single" w:sz="4" w:space="0" w:color="000000"/>
            </w:tcBorders>
            <w:hideMark/>
          </w:tcPr>
          <w:p w14:paraId="05899007"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i/>
                <w:sz w:val="22"/>
              </w:rPr>
              <w:t>Hazard ratio vs</w:t>
            </w:r>
            <w:r w:rsidRPr="00841BE0">
              <w:rPr>
                <w:rFonts w:ascii="Times New Roman" w:eastAsia="Times New Roman" w:hAnsi="Times New Roman"/>
                <w:sz w:val="22"/>
              </w:rPr>
              <w:t>. placebo (95 % CI)</w:t>
            </w:r>
          </w:p>
        </w:tc>
        <w:tc>
          <w:tcPr>
            <w:tcW w:w="1008" w:type="pct"/>
            <w:tcBorders>
              <w:top w:val="single" w:sz="4" w:space="0" w:color="000000"/>
              <w:left w:val="single" w:sz="4" w:space="0" w:color="000000"/>
              <w:bottom w:val="single" w:sz="4" w:space="0" w:color="000000"/>
              <w:right w:val="single" w:sz="4" w:space="0" w:color="000000"/>
            </w:tcBorders>
          </w:tcPr>
          <w:p w14:paraId="096719FD" w14:textId="77777777" w:rsidR="00841BE0" w:rsidRPr="00841BE0" w:rsidRDefault="00841BE0" w:rsidP="00412655">
            <w:pPr>
              <w:widowControl/>
              <w:autoSpaceDE/>
              <w:autoSpaceDN/>
              <w:ind w:left="142"/>
              <w:rPr>
                <w:rFonts w:ascii="Times New Roman" w:eastAsia="Times New Roman" w:hAnsi="Times New Roman"/>
                <w:sz w:val="22"/>
              </w:rPr>
            </w:pPr>
          </w:p>
        </w:tc>
        <w:tc>
          <w:tcPr>
            <w:tcW w:w="1330" w:type="pct"/>
            <w:tcBorders>
              <w:top w:val="single" w:sz="4" w:space="0" w:color="000000"/>
              <w:left w:val="single" w:sz="4" w:space="0" w:color="000000"/>
              <w:bottom w:val="single" w:sz="4" w:space="0" w:color="000000"/>
              <w:right w:val="single" w:sz="4" w:space="0" w:color="000000"/>
            </w:tcBorders>
            <w:hideMark/>
          </w:tcPr>
          <w:p w14:paraId="535CB049"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0,62 (0,49; 0,77)</w:t>
            </w:r>
          </w:p>
        </w:tc>
      </w:tr>
      <w:tr w:rsidR="00841BE0" w:rsidRPr="00841BE0" w14:paraId="14487D48" w14:textId="77777777" w:rsidTr="00412655">
        <w:trPr>
          <w:trHeight w:val="254"/>
        </w:trPr>
        <w:tc>
          <w:tcPr>
            <w:tcW w:w="2662" w:type="pct"/>
            <w:tcBorders>
              <w:top w:val="single" w:sz="4" w:space="0" w:color="000000"/>
              <w:left w:val="single" w:sz="4" w:space="0" w:color="000000"/>
              <w:bottom w:val="single" w:sz="4" w:space="0" w:color="000000"/>
              <w:right w:val="single" w:sz="4" w:space="0" w:color="000000"/>
            </w:tcBorders>
            <w:hideMark/>
          </w:tcPr>
          <w:p w14:paraId="30791EAB"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p-</w:t>
            </w:r>
            <w:proofErr w:type="spellStart"/>
            <w:r w:rsidRPr="00841BE0">
              <w:rPr>
                <w:rFonts w:ascii="Times New Roman" w:eastAsia="Times New Roman" w:hAnsi="Times New Roman"/>
                <w:sz w:val="22"/>
              </w:rPr>
              <w:t>værdi</w:t>
            </w:r>
            <w:proofErr w:type="spellEnd"/>
          </w:p>
        </w:tc>
        <w:tc>
          <w:tcPr>
            <w:tcW w:w="1008" w:type="pct"/>
            <w:tcBorders>
              <w:top w:val="single" w:sz="4" w:space="0" w:color="000000"/>
              <w:left w:val="single" w:sz="4" w:space="0" w:color="000000"/>
              <w:bottom w:val="single" w:sz="4" w:space="0" w:color="000000"/>
              <w:right w:val="single" w:sz="4" w:space="0" w:color="000000"/>
            </w:tcBorders>
          </w:tcPr>
          <w:p w14:paraId="319A49DC" w14:textId="77777777" w:rsidR="00841BE0" w:rsidRPr="00841BE0" w:rsidRDefault="00841BE0" w:rsidP="00412655">
            <w:pPr>
              <w:widowControl/>
              <w:autoSpaceDE/>
              <w:autoSpaceDN/>
              <w:ind w:left="142"/>
              <w:rPr>
                <w:rFonts w:ascii="Times New Roman" w:eastAsia="Times New Roman" w:hAnsi="Times New Roman"/>
                <w:sz w:val="22"/>
              </w:rPr>
            </w:pPr>
          </w:p>
        </w:tc>
        <w:tc>
          <w:tcPr>
            <w:tcW w:w="1330" w:type="pct"/>
            <w:tcBorders>
              <w:top w:val="single" w:sz="4" w:space="0" w:color="000000"/>
              <w:left w:val="single" w:sz="4" w:space="0" w:color="000000"/>
              <w:bottom w:val="single" w:sz="4" w:space="0" w:color="000000"/>
              <w:right w:val="single" w:sz="4" w:space="0" w:color="000000"/>
            </w:tcBorders>
            <w:hideMark/>
          </w:tcPr>
          <w:p w14:paraId="07103832"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&lt; 0,0001</w:t>
            </w:r>
          </w:p>
        </w:tc>
      </w:tr>
      <w:tr w:rsidR="00841BE0" w:rsidRPr="00841BE0" w14:paraId="7FC2D9B3" w14:textId="77777777" w:rsidTr="00412655">
        <w:trPr>
          <w:trHeight w:val="251"/>
        </w:trPr>
        <w:tc>
          <w:tcPr>
            <w:tcW w:w="2662" w:type="pct"/>
            <w:tcBorders>
              <w:top w:val="single" w:sz="4" w:space="0" w:color="000000"/>
              <w:left w:val="single" w:sz="4" w:space="0" w:color="000000"/>
              <w:bottom w:val="single" w:sz="4" w:space="0" w:color="000000"/>
              <w:right w:val="single" w:sz="4" w:space="0" w:color="000000"/>
            </w:tcBorders>
            <w:hideMark/>
          </w:tcPr>
          <w:p w14:paraId="3BFADF97" w14:textId="77777777" w:rsidR="00841BE0" w:rsidRPr="00841BE0" w:rsidRDefault="00841BE0" w:rsidP="00412655">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Ikke-</w:t>
            </w:r>
            <w:proofErr w:type="spellStart"/>
            <w:r w:rsidRPr="00841BE0">
              <w:rPr>
                <w:rFonts w:ascii="Times New Roman" w:eastAsia="Times New Roman" w:hAnsi="Times New Roman"/>
                <w:b/>
                <w:sz w:val="22"/>
              </w:rPr>
              <w:t>dødeligt</w:t>
            </w:r>
            <w:proofErr w:type="spellEnd"/>
            <w:r w:rsidRPr="00841BE0">
              <w:rPr>
                <w:rFonts w:ascii="Times New Roman" w:eastAsia="Times New Roman" w:hAnsi="Times New Roman"/>
                <w:b/>
                <w:sz w:val="22"/>
              </w:rPr>
              <w:t xml:space="preserve"> MI, N (%)</w:t>
            </w:r>
          </w:p>
        </w:tc>
        <w:tc>
          <w:tcPr>
            <w:tcW w:w="1008" w:type="pct"/>
            <w:tcBorders>
              <w:top w:val="single" w:sz="4" w:space="0" w:color="000000"/>
              <w:left w:val="single" w:sz="4" w:space="0" w:color="000000"/>
              <w:bottom w:val="single" w:sz="4" w:space="0" w:color="000000"/>
              <w:right w:val="single" w:sz="4" w:space="0" w:color="000000"/>
            </w:tcBorders>
            <w:hideMark/>
          </w:tcPr>
          <w:p w14:paraId="226072AF"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121 (5,2)</w:t>
            </w:r>
          </w:p>
        </w:tc>
        <w:tc>
          <w:tcPr>
            <w:tcW w:w="1330" w:type="pct"/>
            <w:tcBorders>
              <w:top w:val="single" w:sz="4" w:space="0" w:color="000000"/>
              <w:left w:val="single" w:sz="4" w:space="0" w:color="000000"/>
              <w:bottom w:val="single" w:sz="4" w:space="0" w:color="000000"/>
              <w:right w:val="single" w:sz="4" w:space="0" w:color="000000"/>
            </w:tcBorders>
            <w:hideMark/>
          </w:tcPr>
          <w:p w14:paraId="691C5A58"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213 (4,5)</w:t>
            </w:r>
          </w:p>
        </w:tc>
      </w:tr>
      <w:tr w:rsidR="00841BE0" w:rsidRPr="00841BE0" w14:paraId="5438E1C2" w14:textId="77777777" w:rsidTr="00412655">
        <w:trPr>
          <w:trHeight w:val="254"/>
        </w:trPr>
        <w:tc>
          <w:tcPr>
            <w:tcW w:w="2662" w:type="pct"/>
            <w:tcBorders>
              <w:top w:val="single" w:sz="4" w:space="0" w:color="000000"/>
              <w:left w:val="single" w:sz="4" w:space="0" w:color="000000"/>
              <w:bottom w:val="single" w:sz="4" w:space="0" w:color="000000"/>
              <w:right w:val="single" w:sz="4" w:space="0" w:color="000000"/>
            </w:tcBorders>
            <w:hideMark/>
          </w:tcPr>
          <w:p w14:paraId="7126B244"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i/>
                <w:sz w:val="22"/>
              </w:rPr>
              <w:t>Hazard ratio vs</w:t>
            </w:r>
            <w:r w:rsidRPr="00841BE0">
              <w:rPr>
                <w:rFonts w:ascii="Times New Roman" w:eastAsia="Times New Roman" w:hAnsi="Times New Roman"/>
                <w:sz w:val="22"/>
              </w:rPr>
              <w:t>. placebo (95 % CI)</w:t>
            </w:r>
          </w:p>
        </w:tc>
        <w:tc>
          <w:tcPr>
            <w:tcW w:w="1008" w:type="pct"/>
            <w:tcBorders>
              <w:top w:val="single" w:sz="4" w:space="0" w:color="000000"/>
              <w:left w:val="single" w:sz="4" w:space="0" w:color="000000"/>
              <w:bottom w:val="single" w:sz="4" w:space="0" w:color="000000"/>
              <w:right w:val="single" w:sz="4" w:space="0" w:color="000000"/>
            </w:tcBorders>
          </w:tcPr>
          <w:p w14:paraId="7491DFD9" w14:textId="77777777" w:rsidR="00841BE0" w:rsidRPr="00841BE0" w:rsidRDefault="00841BE0" w:rsidP="00412655">
            <w:pPr>
              <w:widowControl/>
              <w:autoSpaceDE/>
              <w:autoSpaceDN/>
              <w:ind w:left="142"/>
              <w:rPr>
                <w:rFonts w:ascii="Times New Roman" w:eastAsia="Times New Roman" w:hAnsi="Times New Roman"/>
                <w:sz w:val="22"/>
              </w:rPr>
            </w:pPr>
          </w:p>
        </w:tc>
        <w:tc>
          <w:tcPr>
            <w:tcW w:w="1330" w:type="pct"/>
            <w:tcBorders>
              <w:top w:val="single" w:sz="4" w:space="0" w:color="000000"/>
              <w:left w:val="single" w:sz="4" w:space="0" w:color="000000"/>
              <w:bottom w:val="single" w:sz="4" w:space="0" w:color="000000"/>
              <w:right w:val="single" w:sz="4" w:space="0" w:color="000000"/>
            </w:tcBorders>
            <w:hideMark/>
          </w:tcPr>
          <w:p w14:paraId="1B457F7F"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0,87 (0,70; 1,09)</w:t>
            </w:r>
          </w:p>
        </w:tc>
      </w:tr>
      <w:tr w:rsidR="00841BE0" w:rsidRPr="00841BE0" w14:paraId="34D68D5F" w14:textId="77777777" w:rsidTr="00412655">
        <w:trPr>
          <w:trHeight w:val="252"/>
        </w:trPr>
        <w:tc>
          <w:tcPr>
            <w:tcW w:w="2662" w:type="pct"/>
            <w:tcBorders>
              <w:top w:val="single" w:sz="4" w:space="0" w:color="000000"/>
              <w:left w:val="single" w:sz="4" w:space="0" w:color="000000"/>
              <w:bottom w:val="single" w:sz="4" w:space="0" w:color="000000"/>
              <w:right w:val="single" w:sz="4" w:space="0" w:color="000000"/>
            </w:tcBorders>
            <w:hideMark/>
          </w:tcPr>
          <w:p w14:paraId="2539B947"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p-</w:t>
            </w:r>
            <w:proofErr w:type="spellStart"/>
            <w:r w:rsidRPr="00841BE0">
              <w:rPr>
                <w:rFonts w:ascii="Times New Roman" w:eastAsia="Times New Roman" w:hAnsi="Times New Roman"/>
                <w:sz w:val="22"/>
              </w:rPr>
              <w:t>værdi</w:t>
            </w:r>
            <w:proofErr w:type="spellEnd"/>
          </w:p>
        </w:tc>
        <w:tc>
          <w:tcPr>
            <w:tcW w:w="1008" w:type="pct"/>
            <w:tcBorders>
              <w:top w:val="single" w:sz="4" w:space="0" w:color="000000"/>
              <w:left w:val="single" w:sz="4" w:space="0" w:color="000000"/>
              <w:bottom w:val="single" w:sz="4" w:space="0" w:color="000000"/>
              <w:right w:val="single" w:sz="4" w:space="0" w:color="000000"/>
            </w:tcBorders>
          </w:tcPr>
          <w:p w14:paraId="32859E8D" w14:textId="77777777" w:rsidR="00841BE0" w:rsidRPr="00841BE0" w:rsidRDefault="00841BE0" w:rsidP="00412655">
            <w:pPr>
              <w:widowControl/>
              <w:autoSpaceDE/>
              <w:autoSpaceDN/>
              <w:ind w:left="142"/>
              <w:rPr>
                <w:rFonts w:ascii="Times New Roman" w:eastAsia="Times New Roman" w:hAnsi="Times New Roman"/>
                <w:sz w:val="22"/>
              </w:rPr>
            </w:pPr>
          </w:p>
        </w:tc>
        <w:tc>
          <w:tcPr>
            <w:tcW w:w="1330" w:type="pct"/>
            <w:tcBorders>
              <w:top w:val="single" w:sz="4" w:space="0" w:color="000000"/>
              <w:left w:val="single" w:sz="4" w:space="0" w:color="000000"/>
              <w:bottom w:val="single" w:sz="4" w:space="0" w:color="000000"/>
              <w:right w:val="single" w:sz="4" w:space="0" w:color="000000"/>
            </w:tcBorders>
            <w:hideMark/>
          </w:tcPr>
          <w:p w14:paraId="4B20652F"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0,2189</w:t>
            </w:r>
          </w:p>
        </w:tc>
      </w:tr>
      <w:tr w:rsidR="00841BE0" w:rsidRPr="00841BE0" w14:paraId="4875F0AC" w14:textId="77777777" w:rsidTr="00412655">
        <w:trPr>
          <w:trHeight w:val="253"/>
        </w:trPr>
        <w:tc>
          <w:tcPr>
            <w:tcW w:w="2662" w:type="pct"/>
            <w:tcBorders>
              <w:top w:val="single" w:sz="4" w:space="0" w:color="000000"/>
              <w:left w:val="single" w:sz="4" w:space="0" w:color="000000"/>
              <w:bottom w:val="single" w:sz="4" w:space="0" w:color="000000"/>
              <w:right w:val="single" w:sz="4" w:space="0" w:color="000000"/>
            </w:tcBorders>
            <w:hideMark/>
          </w:tcPr>
          <w:p w14:paraId="25FA526D" w14:textId="77777777" w:rsidR="00841BE0" w:rsidRPr="00841BE0" w:rsidRDefault="00841BE0" w:rsidP="00412655">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Ikke-</w:t>
            </w:r>
            <w:proofErr w:type="spellStart"/>
            <w:r w:rsidRPr="00841BE0">
              <w:rPr>
                <w:rFonts w:ascii="Times New Roman" w:eastAsia="Times New Roman" w:hAnsi="Times New Roman"/>
                <w:b/>
                <w:sz w:val="22"/>
              </w:rPr>
              <w:t>dødelig</w:t>
            </w:r>
            <w:proofErr w:type="spellEnd"/>
            <w:r w:rsidRPr="00841BE0">
              <w:rPr>
                <w:rFonts w:ascii="Times New Roman" w:eastAsia="Times New Roman" w:hAnsi="Times New Roman"/>
                <w:b/>
                <w:sz w:val="22"/>
              </w:rPr>
              <w:t xml:space="preserve"> </w:t>
            </w:r>
            <w:proofErr w:type="spellStart"/>
            <w:r w:rsidRPr="00841BE0">
              <w:rPr>
                <w:rFonts w:ascii="Times New Roman" w:eastAsia="Times New Roman" w:hAnsi="Times New Roman"/>
                <w:b/>
                <w:sz w:val="22"/>
              </w:rPr>
              <w:t>apopleksi</w:t>
            </w:r>
            <w:proofErr w:type="spellEnd"/>
            <w:r w:rsidRPr="00841BE0">
              <w:rPr>
                <w:rFonts w:ascii="Times New Roman" w:eastAsia="Times New Roman" w:hAnsi="Times New Roman"/>
                <w:b/>
                <w:sz w:val="22"/>
              </w:rPr>
              <w:t>, N (%)</w:t>
            </w:r>
          </w:p>
        </w:tc>
        <w:tc>
          <w:tcPr>
            <w:tcW w:w="1008" w:type="pct"/>
            <w:tcBorders>
              <w:top w:val="single" w:sz="4" w:space="0" w:color="000000"/>
              <w:left w:val="single" w:sz="4" w:space="0" w:color="000000"/>
              <w:bottom w:val="single" w:sz="4" w:space="0" w:color="000000"/>
              <w:right w:val="single" w:sz="4" w:space="0" w:color="000000"/>
            </w:tcBorders>
            <w:hideMark/>
          </w:tcPr>
          <w:p w14:paraId="0F38DC11"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60 (2,6)</w:t>
            </w:r>
          </w:p>
        </w:tc>
        <w:tc>
          <w:tcPr>
            <w:tcW w:w="1330" w:type="pct"/>
            <w:tcBorders>
              <w:top w:val="single" w:sz="4" w:space="0" w:color="000000"/>
              <w:left w:val="single" w:sz="4" w:space="0" w:color="000000"/>
              <w:bottom w:val="single" w:sz="4" w:space="0" w:color="000000"/>
              <w:right w:val="single" w:sz="4" w:space="0" w:color="000000"/>
            </w:tcBorders>
            <w:hideMark/>
          </w:tcPr>
          <w:p w14:paraId="135F420F"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150 (3,2)</w:t>
            </w:r>
          </w:p>
        </w:tc>
      </w:tr>
      <w:tr w:rsidR="00841BE0" w:rsidRPr="00841BE0" w14:paraId="527B0781" w14:textId="77777777" w:rsidTr="00412655">
        <w:trPr>
          <w:trHeight w:val="253"/>
        </w:trPr>
        <w:tc>
          <w:tcPr>
            <w:tcW w:w="2662" w:type="pct"/>
            <w:tcBorders>
              <w:top w:val="single" w:sz="4" w:space="0" w:color="000000"/>
              <w:left w:val="single" w:sz="4" w:space="0" w:color="000000"/>
              <w:bottom w:val="single" w:sz="4" w:space="0" w:color="000000"/>
              <w:right w:val="single" w:sz="4" w:space="0" w:color="000000"/>
            </w:tcBorders>
            <w:hideMark/>
          </w:tcPr>
          <w:p w14:paraId="6F9ECB4D"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i/>
                <w:sz w:val="22"/>
              </w:rPr>
              <w:t>Hazard ratio vs</w:t>
            </w:r>
            <w:r w:rsidRPr="00841BE0">
              <w:rPr>
                <w:rFonts w:ascii="Times New Roman" w:eastAsia="Times New Roman" w:hAnsi="Times New Roman"/>
                <w:sz w:val="22"/>
              </w:rPr>
              <w:t>. placebo (95 % CI)</w:t>
            </w:r>
          </w:p>
        </w:tc>
        <w:tc>
          <w:tcPr>
            <w:tcW w:w="1008" w:type="pct"/>
            <w:tcBorders>
              <w:top w:val="single" w:sz="4" w:space="0" w:color="000000"/>
              <w:left w:val="single" w:sz="4" w:space="0" w:color="000000"/>
              <w:bottom w:val="single" w:sz="4" w:space="0" w:color="000000"/>
              <w:right w:val="single" w:sz="4" w:space="0" w:color="000000"/>
            </w:tcBorders>
          </w:tcPr>
          <w:p w14:paraId="39EA3A7D" w14:textId="77777777" w:rsidR="00841BE0" w:rsidRPr="00841BE0" w:rsidRDefault="00841BE0" w:rsidP="00412655">
            <w:pPr>
              <w:widowControl/>
              <w:autoSpaceDE/>
              <w:autoSpaceDN/>
              <w:ind w:left="142"/>
              <w:rPr>
                <w:rFonts w:ascii="Times New Roman" w:eastAsia="Times New Roman" w:hAnsi="Times New Roman"/>
                <w:sz w:val="22"/>
              </w:rPr>
            </w:pPr>
          </w:p>
        </w:tc>
        <w:tc>
          <w:tcPr>
            <w:tcW w:w="1330" w:type="pct"/>
            <w:tcBorders>
              <w:top w:val="single" w:sz="4" w:space="0" w:color="000000"/>
              <w:left w:val="single" w:sz="4" w:space="0" w:color="000000"/>
              <w:bottom w:val="single" w:sz="4" w:space="0" w:color="000000"/>
              <w:right w:val="single" w:sz="4" w:space="0" w:color="000000"/>
            </w:tcBorders>
            <w:hideMark/>
          </w:tcPr>
          <w:p w14:paraId="69D2AE71"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1,24 (0,92; 1,67)</w:t>
            </w:r>
          </w:p>
        </w:tc>
      </w:tr>
      <w:tr w:rsidR="00841BE0" w:rsidRPr="00841BE0" w14:paraId="1C0CE247" w14:textId="77777777" w:rsidTr="00412655">
        <w:trPr>
          <w:trHeight w:val="251"/>
        </w:trPr>
        <w:tc>
          <w:tcPr>
            <w:tcW w:w="2662" w:type="pct"/>
            <w:tcBorders>
              <w:top w:val="single" w:sz="4" w:space="0" w:color="000000"/>
              <w:left w:val="single" w:sz="4" w:space="0" w:color="000000"/>
              <w:bottom w:val="single" w:sz="4" w:space="0" w:color="000000"/>
              <w:right w:val="single" w:sz="4" w:space="0" w:color="000000"/>
            </w:tcBorders>
            <w:hideMark/>
          </w:tcPr>
          <w:p w14:paraId="54DBD3A0"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p-</w:t>
            </w:r>
            <w:proofErr w:type="spellStart"/>
            <w:r w:rsidRPr="00841BE0">
              <w:rPr>
                <w:rFonts w:ascii="Times New Roman" w:eastAsia="Times New Roman" w:hAnsi="Times New Roman"/>
                <w:sz w:val="22"/>
              </w:rPr>
              <w:t>værdi</w:t>
            </w:r>
            <w:proofErr w:type="spellEnd"/>
          </w:p>
        </w:tc>
        <w:tc>
          <w:tcPr>
            <w:tcW w:w="1008" w:type="pct"/>
            <w:tcBorders>
              <w:top w:val="single" w:sz="4" w:space="0" w:color="000000"/>
              <w:left w:val="single" w:sz="4" w:space="0" w:color="000000"/>
              <w:bottom w:val="single" w:sz="4" w:space="0" w:color="000000"/>
              <w:right w:val="single" w:sz="4" w:space="0" w:color="000000"/>
            </w:tcBorders>
          </w:tcPr>
          <w:p w14:paraId="10529352" w14:textId="77777777" w:rsidR="00841BE0" w:rsidRPr="00841BE0" w:rsidRDefault="00841BE0" w:rsidP="00412655">
            <w:pPr>
              <w:widowControl/>
              <w:autoSpaceDE/>
              <w:autoSpaceDN/>
              <w:ind w:left="142"/>
              <w:rPr>
                <w:rFonts w:ascii="Times New Roman" w:eastAsia="Times New Roman" w:hAnsi="Times New Roman"/>
                <w:sz w:val="22"/>
              </w:rPr>
            </w:pPr>
          </w:p>
        </w:tc>
        <w:tc>
          <w:tcPr>
            <w:tcW w:w="1330" w:type="pct"/>
            <w:tcBorders>
              <w:top w:val="single" w:sz="4" w:space="0" w:color="000000"/>
              <w:left w:val="single" w:sz="4" w:space="0" w:color="000000"/>
              <w:bottom w:val="single" w:sz="4" w:space="0" w:color="000000"/>
              <w:right w:val="single" w:sz="4" w:space="0" w:color="000000"/>
            </w:tcBorders>
            <w:hideMark/>
          </w:tcPr>
          <w:p w14:paraId="4AEA5D5F"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0,1638</w:t>
            </w:r>
          </w:p>
        </w:tc>
      </w:tr>
      <w:tr w:rsidR="00841BE0" w:rsidRPr="00841BE0" w14:paraId="3F74AC91" w14:textId="77777777" w:rsidTr="00412655">
        <w:trPr>
          <w:trHeight w:val="253"/>
        </w:trPr>
        <w:tc>
          <w:tcPr>
            <w:tcW w:w="2662" w:type="pct"/>
            <w:tcBorders>
              <w:top w:val="single" w:sz="4" w:space="0" w:color="000000"/>
              <w:left w:val="single" w:sz="4" w:space="0" w:color="000000"/>
              <w:bottom w:val="single" w:sz="4" w:space="0" w:color="000000"/>
              <w:right w:val="single" w:sz="4" w:space="0" w:color="000000"/>
            </w:tcBorders>
            <w:hideMark/>
          </w:tcPr>
          <w:p w14:paraId="35516C53" w14:textId="77777777" w:rsidR="00841BE0" w:rsidRPr="00841BE0" w:rsidRDefault="00841BE0" w:rsidP="00412655">
            <w:pPr>
              <w:widowControl/>
              <w:autoSpaceDE/>
              <w:autoSpaceDN/>
              <w:ind w:left="142"/>
              <w:rPr>
                <w:rFonts w:ascii="Times New Roman" w:eastAsia="Times New Roman" w:hAnsi="Times New Roman"/>
                <w:b/>
                <w:sz w:val="22"/>
              </w:rPr>
            </w:pPr>
            <w:proofErr w:type="spellStart"/>
            <w:r w:rsidRPr="00841BE0">
              <w:rPr>
                <w:rFonts w:ascii="Times New Roman" w:eastAsia="Times New Roman" w:hAnsi="Times New Roman"/>
                <w:b/>
                <w:sz w:val="22"/>
              </w:rPr>
              <w:t>Mortalitet</w:t>
            </w:r>
            <w:proofErr w:type="spellEnd"/>
            <w:r w:rsidRPr="00841BE0">
              <w:rPr>
                <w:rFonts w:ascii="Times New Roman" w:eastAsia="Times New Roman" w:hAnsi="Times New Roman"/>
                <w:b/>
                <w:sz w:val="22"/>
              </w:rPr>
              <w:t xml:space="preserve"> </w:t>
            </w:r>
            <w:proofErr w:type="spellStart"/>
            <w:r w:rsidRPr="00841BE0">
              <w:rPr>
                <w:rFonts w:ascii="Times New Roman" w:eastAsia="Times New Roman" w:hAnsi="Times New Roman"/>
                <w:b/>
                <w:sz w:val="22"/>
              </w:rPr>
              <w:t>uanset</w:t>
            </w:r>
            <w:proofErr w:type="spellEnd"/>
            <w:r w:rsidRPr="00841BE0">
              <w:rPr>
                <w:rFonts w:ascii="Times New Roman" w:eastAsia="Times New Roman" w:hAnsi="Times New Roman"/>
                <w:b/>
                <w:sz w:val="22"/>
              </w:rPr>
              <w:t xml:space="preserve"> </w:t>
            </w:r>
            <w:proofErr w:type="spellStart"/>
            <w:r w:rsidRPr="00841BE0">
              <w:rPr>
                <w:rFonts w:ascii="Times New Roman" w:eastAsia="Times New Roman" w:hAnsi="Times New Roman"/>
                <w:b/>
                <w:sz w:val="22"/>
              </w:rPr>
              <w:t>årsag</w:t>
            </w:r>
            <w:proofErr w:type="spellEnd"/>
            <w:r w:rsidRPr="00841BE0">
              <w:rPr>
                <w:rFonts w:ascii="Times New Roman" w:eastAsia="Times New Roman" w:hAnsi="Times New Roman"/>
                <w:b/>
                <w:sz w:val="22"/>
              </w:rPr>
              <w:t>, N (%)</w:t>
            </w:r>
          </w:p>
        </w:tc>
        <w:tc>
          <w:tcPr>
            <w:tcW w:w="1008" w:type="pct"/>
            <w:tcBorders>
              <w:top w:val="single" w:sz="4" w:space="0" w:color="000000"/>
              <w:left w:val="single" w:sz="4" w:space="0" w:color="000000"/>
              <w:bottom w:val="single" w:sz="4" w:space="0" w:color="000000"/>
              <w:right w:val="single" w:sz="4" w:space="0" w:color="000000"/>
            </w:tcBorders>
            <w:hideMark/>
          </w:tcPr>
          <w:p w14:paraId="0FB57E47"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194 (8,3)</w:t>
            </w:r>
          </w:p>
        </w:tc>
        <w:tc>
          <w:tcPr>
            <w:tcW w:w="1330" w:type="pct"/>
            <w:tcBorders>
              <w:top w:val="single" w:sz="4" w:space="0" w:color="000000"/>
              <w:left w:val="single" w:sz="4" w:space="0" w:color="000000"/>
              <w:bottom w:val="single" w:sz="4" w:space="0" w:color="000000"/>
              <w:right w:val="single" w:sz="4" w:space="0" w:color="000000"/>
            </w:tcBorders>
            <w:hideMark/>
          </w:tcPr>
          <w:p w14:paraId="40BA2044"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269 (5,7)</w:t>
            </w:r>
          </w:p>
        </w:tc>
      </w:tr>
      <w:tr w:rsidR="00841BE0" w:rsidRPr="00841BE0" w14:paraId="31082E24" w14:textId="77777777" w:rsidTr="00412655">
        <w:trPr>
          <w:trHeight w:val="251"/>
        </w:trPr>
        <w:tc>
          <w:tcPr>
            <w:tcW w:w="2662" w:type="pct"/>
            <w:tcBorders>
              <w:top w:val="single" w:sz="4" w:space="0" w:color="000000"/>
              <w:left w:val="single" w:sz="4" w:space="0" w:color="000000"/>
              <w:bottom w:val="single" w:sz="4" w:space="0" w:color="000000"/>
              <w:right w:val="single" w:sz="4" w:space="0" w:color="000000"/>
            </w:tcBorders>
            <w:hideMark/>
          </w:tcPr>
          <w:p w14:paraId="7A0D04AC"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i/>
                <w:sz w:val="22"/>
              </w:rPr>
              <w:t>Hazard ratio vs</w:t>
            </w:r>
            <w:r w:rsidRPr="00841BE0">
              <w:rPr>
                <w:rFonts w:ascii="Times New Roman" w:eastAsia="Times New Roman" w:hAnsi="Times New Roman"/>
                <w:sz w:val="22"/>
              </w:rPr>
              <w:t>. placebo (95 % CI)</w:t>
            </w:r>
          </w:p>
        </w:tc>
        <w:tc>
          <w:tcPr>
            <w:tcW w:w="1008" w:type="pct"/>
            <w:tcBorders>
              <w:top w:val="single" w:sz="4" w:space="0" w:color="000000"/>
              <w:left w:val="single" w:sz="4" w:space="0" w:color="000000"/>
              <w:bottom w:val="single" w:sz="4" w:space="0" w:color="000000"/>
              <w:right w:val="single" w:sz="4" w:space="0" w:color="000000"/>
            </w:tcBorders>
          </w:tcPr>
          <w:p w14:paraId="60793E0F" w14:textId="77777777" w:rsidR="00841BE0" w:rsidRPr="00841BE0" w:rsidRDefault="00841BE0" w:rsidP="00412655">
            <w:pPr>
              <w:widowControl/>
              <w:autoSpaceDE/>
              <w:autoSpaceDN/>
              <w:ind w:left="142"/>
              <w:rPr>
                <w:rFonts w:ascii="Times New Roman" w:eastAsia="Times New Roman" w:hAnsi="Times New Roman"/>
                <w:sz w:val="22"/>
              </w:rPr>
            </w:pPr>
          </w:p>
        </w:tc>
        <w:tc>
          <w:tcPr>
            <w:tcW w:w="1330" w:type="pct"/>
            <w:tcBorders>
              <w:top w:val="single" w:sz="4" w:space="0" w:color="000000"/>
              <w:left w:val="single" w:sz="4" w:space="0" w:color="000000"/>
              <w:bottom w:val="single" w:sz="4" w:space="0" w:color="000000"/>
              <w:right w:val="single" w:sz="4" w:space="0" w:color="000000"/>
            </w:tcBorders>
            <w:hideMark/>
          </w:tcPr>
          <w:p w14:paraId="264E9DCB"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0,68 (0,57; 0,82)</w:t>
            </w:r>
          </w:p>
        </w:tc>
      </w:tr>
      <w:tr w:rsidR="00841BE0" w:rsidRPr="00841BE0" w14:paraId="776E8A62" w14:textId="77777777" w:rsidTr="00412655">
        <w:trPr>
          <w:trHeight w:val="253"/>
        </w:trPr>
        <w:tc>
          <w:tcPr>
            <w:tcW w:w="2662" w:type="pct"/>
            <w:tcBorders>
              <w:top w:val="single" w:sz="4" w:space="0" w:color="000000"/>
              <w:left w:val="single" w:sz="4" w:space="0" w:color="000000"/>
              <w:bottom w:val="single" w:sz="4" w:space="0" w:color="000000"/>
              <w:right w:val="single" w:sz="4" w:space="0" w:color="000000"/>
            </w:tcBorders>
            <w:hideMark/>
          </w:tcPr>
          <w:p w14:paraId="21DEFA2A"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p-</w:t>
            </w:r>
            <w:proofErr w:type="spellStart"/>
            <w:r w:rsidRPr="00841BE0">
              <w:rPr>
                <w:rFonts w:ascii="Times New Roman" w:eastAsia="Times New Roman" w:hAnsi="Times New Roman"/>
                <w:sz w:val="22"/>
              </w:rPr>
              <w:t>værdi</w:t>
            </w:r>
            <w:proofErr w:type="spellEnd"/>
          </w:p>
        </w:tc>
        <w:tc>
          <w:tcPr>
            <w:tcW w:w="1008" w:type="pct"/>
            <w:tcBorders>
              <w:top w:val="single" w:sz="4" w:space="0" w:color="000000"/>
              <w:left w:val="single" w:sz="4" w:space="0" w:color="000000"/>
              <w:bottom w:val="single" w:sz="4" w:space="0" w:color="000000"/>
              <w:right w:val="single" w:sz="4" w:space="0" w:color="000000"/>
            </w:tcBorders>
          </w:tcPr>
          <w:p w14:paraId="022FE3FF" w14:textId="77777777" w:rsidR="00841BE0" w:rsidRPr="00841BE0" w:rsidRDefault="00841BE0" w:rsidP="00412655">
            <w:pPr>
              <w:widowControl/>
              <w:autoSpaceDE/>
              <w:autoSpaceDN/>
              <w:ind w:left="142"/>
              <w:rPr>
                <w:rFonts w:ascii="Times New Roman" w:eastAsia="Times New Roman" w:hAnsi="Times New Roman"/>
                <w:sz w:val="22"/>
              </w:rPr>
            </w:pPr>
          </w:p>
        </w:tc>
        <w:tc>
          <w:tcPr>
            <w:tcW w:w="1330" w:type="pct"/>
            <w:tcBorders>
              <w:top w:val="single" w:sz="4" w:space="0" w:color="000000"/>
              <w:left w:val="single" w:sz="4" w:space="0" w:color="000000"/>
              <w:bottom w:val="single" w:sz="4" w:space="0" w:color="000000"/>
              <w:right w:val="single" w:sz="4" w:space="0" w:color="000000"/>
            </w:tcBorders>
            <w:hideMark/>
          </w:tcPr>
          <w:p w14:paraId="024A4CBC"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&lt; 0,0001</w:t>
            </w:r>
          </w:p>
        </w:tc>
      </w:tr>
      <w:tr w:rsidR="00841BE0" w:rsidRPr="00841BE0" w14:paraId="61C71B76" w14:textId="77777777" w:rsidTr="00412655">
        <w:trPr>
          <w:trHeight w:val="251"/>
        </w:trPr>
        <w:tc>
          <w:tcPr>
            <w:tcW w:w="2662" w:type="pct"/>
            <w:tcBorders>
              <w:top w:val="single" w:sz="4" w:space="0" w:color="000000"/>
              <w:left w:val="single" w:sz="4" w:space="0" w:color="000000"/>
              <w:bottom w:val="single" w:sz="4" w:space="0" w:color="000000"/>
              <w:right w:val="single" w:sz="4" w:space="0" w:color="000000"/>
            </w:tcBorders>
            <w:hideMark/>
          </w:tcPr>
          <w:p w14:paraId="66BFCA61" w14:textId="77777777" w:rsidR="00841BE0" w:rsidRPr="00841BE0" w:rsidRDefault="00841BE0" w:rsidP="00412655">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 xml:space="preserve">Ikke-CV </w:t>
            </w:r>
            <w:proofErr w:type="spellStart"/>
            <w:r w:rsidRPr="00841BE0">
              <w:rPr>
                <w:rFonts w:ascii="Times New Roman" w:eastAsia="Times New Roman" w:hAnsi="Times New Roman"/>
                <w:b/>
                <w:sz w:val="22"/>
              </w:rPr>
              <w:t>mortalitet</w:t>
            </w:r>
            <w:proofErr w:type="spellEnd"/>
            <w:r w:rsidRPr="00841BE0">
              <w:rPr>
                <w:rFonts w:ascii="Times New Roman" w:eastAsia="Times New Roman" w:hAnsi="Times New Roman"/>
                <w:b/>
                <w:sz w:val="22"/>
              </w:rPr>
              <w:t>, N (%)</w:t>
            </w:r>
          </w:p>
        </w:tc>
        <w:tc>
          <w:tcPr>
            <w:tcW w:w="1008" w:type="pct"/>
            <w:tcBorders>
              <w:top w:val="single" w:sz="4" w:space="0" w:color="000000"/>
              <w:left w:val="single" w:sz="4" w:space="0" w:color="000000"/>
              <w:bottom w:val="single" w:sz="4" w:space="0" w:color="000000"/>
              <w:right w:val="single" w:sz="4" w:space="0" w:color="000000"/>
            </w:tcBorders>
            <w:hideMark/>
          </w:tcPr>
          <w:p w14:paraId="66C3DC74"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57 (2,4)</w:t>
            </w:r>
          </w:p>
        </w:tc>
        <w:tc>
          <w:tcPr>
            <w:tcW w:w="1330" w:type="pct"/>
            <w:tcBorders>
              <w:top w:val="single" w:sz="4" w:space="0" w:color="000000"/>
              <w:left w:val="single" w:sz="4" w:space="0" w:color="000000"/>
              <w:bottom w:val="single" w:sz="4" w:space="0" w:color="000000"/>
              <w:right w:val="single" w:sz="4" w:space="0" w:color="000000"/>
            </w:tcBorders>
            <w:hideMark/>
          </w:tcPr>
          <w:p w14:paraId="02ED3998"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97 (2,1)</w:t>
            </w:r>
          </w:p>
        </w:tc>
      </w:tr>
      <w:tr w:rsidR="00841BE0" w:rsidRPr="00841BE0" w14:paraId="5830B3E6" w14:textId="77777777" w:rsidTr="00412655">
        <w:trPr>
          <w:trHeight w:val="253"/>
        </w:trPr>
        <w:tc>
          <w:tcPr>
            <w:tcW w:w="2662" w:type="pct"/>
            <w:tcBorders>
              <w:top w:val="single" w:sz="4" w:space="0" w:color="000000"/>
              <w:left w:val="single" w:sz="4" w:space="0" w:color="000000"/>
              <w:bottom w:val="single" w:sz="4" w:space="0" w:color="000000"/>
              <w:right w:val="single" w:sz="4" w:space="0" w:color="000000"/>
            </w:tcBorders>
            <w:hideMark/>
          </w:tcPr>
          <w:p w14:paraId="2E757442"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i/>
                <w:sz w:val="22"/>
              </w:rPr>
              <w:t>Hazard ratio vs</w:t>
            </w:r>
            <w:r w:rsidRPr="00841BE0">
              <w:rPr>
                <w:rFonts w:ascii="Times New Roman" w:eastAsia="Times New Roman" w:hAnsi="Times New Roman"/>
                <w:sz w:val="22"/>
              </w:rPr>
              <w:t>. placebo (95 % CI)</w:t>
            </w:r>
          </w:p>
        </w:tc>
        <w:tc>
          <w:tcPr>
            <w:tcW w:w="1008" w:type="pct"/>
            <w:tcBorders>
              <w:top w:val="single" w:sz="4" w:space="0" w:color="000000"/>
              <w:left w:val="single" w:sz="4" w:space="0" w:color="000000"/>
              <w:bottom w:val="single" w:sz="4" w:space="0" w:color="000000"/>
              <w:right w:val="single" w:sz="4" w:space="0" w:color="000000"/>
            </w:tcBorders>
          </w:tcPr>
          <w:p w14:paraId="6AF9D227" w14:textId="77777777" w:rsidR="00841BE0" w:rsidRPr="00841BE0" w:rsidRDefault="00841BE0" w:rsidP="00412655">
            <w:pPr>
              <w:widowControl/>
              <w:autoSpaceDE/>
              <w:autoSpaceDN/>
              <w:ind w:left="142"/>
              <w:rPr>
                <w:rFonts w:ascii="Times New Roman" w:eastAsia="Times New Roman" w:hAnsi="Times New Roman"/>
                <w:sz w:val="22"/>
              </w:rPr>
            </w:pPr>
          </w:p>
        </w:tc>
        <w:tc>
          <w:tcPr>
            <w:tcW w:w="1330" w:type="pct"/>
            <w:tcBorders>
              <w:top w:val="single" w:sz="4" w:space="0" w:color="000000"/>
              <w:left w:val="single" w:sz="4" w:space="0" w:color="000000"/>
              <w:bottom w:val="single" w:sz="4" w:space="0" w:color="000000"/>
              <w:right w:val="single" w:sz="4" w:space="0" w:color="000000"/>
            </w:tcBorders>
            <w:hideMark/>
          </w:tcPr>
          <w:p w14:paraId="0D001BA1"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0,84 (0,60; 1,16)</w:t>
            </w:r>
          </w:p>
        </w:tc>
      </w:tr>
    </w:tbl>
    <w:p w14:paraId="5F72522C" w14:textId="77777777" w:rsidR="00841BE0" w:rsidRPr="00841BE0" w:rsidRDefault="00841BE0" w:rsidP="00412655">
      <w:pPr>
        <w:ind w:left="284" w:hanging="284"/>
        <w:rPr>
          <w:sz w:val="24"/>
          <w:szCs w:val="24"/>
        </w:rPr>
      </w:pPr>
      <w:r w:rsidRPr="00841BE0">
        <w:rPr>
          <w:sz w:val="24"/>
          <w:szCs w:val="24"/>
        </w:rPr>
        <w:t>CV = kardiovaskulær, MI = myokardieinfarkt</w:t>
      </w:r>
    </w:p>
    <w:p w14:paraId="3FC75719" w14:textId="399FD45E" w:rsidR="00841BE0" w:rsidRPr="00841BE0" w:rsidRDefault="00841BE0" w:rsidP="00412655">
      <w:pPr>
        <w:ind w:left="284" w:hanging="284"/>
        <w:rPr>
          <w:sz w:val="24"/>
          <w:szCs w:val="24"/>
        </w:rPr>
      </w:pPr>
      <w:r w:rsidRPr="00841BE0">
        <w:rPr>
          <w:sz w:val="24"/>
          <w:szCs w:val="24"/>
          <w:vertAlign w:val="superscript"/>
        </w:rPr>
        <w:t>a</w:t>
      </w:r>
      <w:r w:rsidRPr="00841BE0">
        <w:rPr>
          <w:sz w:val="24"/>
          <w:szCs w:val="24"/>
        </w:rPr>
        <w:t xml:space="preserve"> </w:t>
      </w:r>
      <w:r w:rsidR="00412655" w:rsidRPr="003D3B2F">
        <w:rPr>
          <w:sz w:val="24"/>
          <w:szCs w:val="24"/>
        </w:rPr>
        <w:tab/>
      </w:r>
      <w:r w:rsidRPr="00841BE0">
        <w:rPr>
          <w:sz w:val="24"/>
          <w:szCs w:val="24"/>
        </w:rPr>
        <w:t>Behandlet sæt, dvs. patienter, der har fået mindst én dosis studielægemiddel.</w:t>
      </w:r>
    </w:p>
    <w:p w14:paraId="5D653040" w14:textId="43A2DBB6" w:rsidR="00841BE0" w:rsidRPr="00841BE0" w:rsidRDefault="00841BE0" w:rsidP="00412655">
      <w:pPr>
        <w:ind w:left="284" w:hanging="284"/>
        <w:rPr>
          <w:sz w:val="24"/>
          <w:szCs w:val="24"/>
        </w:rPr>
      </w:pPr>
      <w:r w:rsidRPr="00841BE0">
        <w:rPr>
          <w:sz w:val="24"/>
          <w:szCs w:val="24"/>
          <w:vertAlign w:val="superscript"/>
        </w:rPr>
        <w:t>b</w:t>
      </w:r>
      <w:r w:rsidRPr="00841BE0">
        <w:rPr>
          <w:sz w:val="24"/>
          <w:szCs w:val="24"/>
        </w:rPr>
        <w:t xml:space="preserve"> </w:t>
      </w:r>
      <w:r w:rsidR="00412655" w:rsidRPr="003D3B2F">
        <w:rPr>
          <w:sz w:val="24"/>
          <w:szCs w:val="24"/>
        </w:rPr>
        <w:tab/>
      </w:r>
      <w:proofErr w:type="spellStart"/>
      <w:r w:rsidRPr="00841BE0">
        <w:rPr>
          <w:sz w:val="24"/>
          <w:szCs w:val="24"/>
        </w:rPr>
        <w:t>Puljede</w:t>
      </w:r>
      <w:proofErr w:type="spellEnd"/>
      <w:r w:rsidRPr="00841BE0">
        <w:rPr>
          <w:sz w:val="24"/>
          <w:szCs w:val="24"/>
        </w:rPr>
        <w:t xml:space="preserve"> doser af </w:t>
      </w:r>
      <w:proofErr w:type="spellStart"/>
      <w:r w:rsidRPr="00841BE0">
        <w:rPr>
          <w:sz w:val="24"/>
          <w:szCs w:val="24"/>
        </w:rPr>
        <w:t>empagliflozin</w:t>
      </w:r>
      <w:proofErr w:type="spellEnd"/>
      <w:r w:rsidRPr="00841BE0">
        <w:rPr>
          <w:sz w:val="24"/>
          <w:szCs w:val="24"/>
        </w:rPr>
        <w:t xml:space="preserve"> 10 mg og 25 mg.</w:t>
      </w:r>
    </w:p>
    <w:p w14:paraId="0DF8DCBF" w14:textId="59D3AC7B" w:rsidR="00841BE0" w:rsidRPr="00841BE0" w:rsidRDefault="00841BE0" w:rsidP="00412655">
      <w:pPr>
        <w:ind w:left="284" w:hanging="284"/>
        <w:rPr>
          <w:sz w:val="24"/>
          <w:szCs w:val="24"/>
        </w:rPr>
      </w:pPr>
      <w:r w:rsidRPr="00841BE0">
        <w:rPr>
          <w:sz w:val="24"/>
          <w:szCs w:val="24"/>
        </w:rPr>
        <w:t xml:space="preserve">* </w:t>
      </w:r>
      <w:r w:rsidR="00412655" w:rsidRPr="003D3B2F">
        <w:rPr>
          <w:sz w:val="24"/>
          <w:szCs w:val="24"/>
        </w:rPr>
        <w:tab/>
      </w:r>
      <w:r w:rsidRPr="00841BE0">
        <w:rPr>
          <w:sz w:val="24"/>
          <w:szCs w:val="24"/>
        </w:rPr>
        <w:t xml:space="preserve">Da data fra studiet indgår i en </w:t>
      </w:r>
      <w:proofErr w:type="spellStart"/>
      <w:r w:rsidRPr="00841BE0">
        <w:rPr>
          <w:sz w:val="24"/>
          <w:szCs w:val="24"/>
        </w:rPr>
        <w:t>interimanalyse</w:t>
      </w:r>
      <w:proofErr w:type="spellEnd"/>
      <w:r w:rsidRPr="00841BE0">
        <w:rPr>
          <w:sz w:val="24"/>
          <w:szCs w:val="24"/>
        </w:rPr>
        <w:t>, er der anvendt et tosidet 95,02 %-konfidensinterval, hvilket svarer til p &lt; 0,0498 for signifikans.</w:t>
      </w:r>
    </w:p>
    <w:p w14:paraId="1F394888" w14:textId="77777777" w:rsidR="00841BE0" w:rsidRPr="00841BE0" w:rsidRDefault="00841BE0" w:rsidP="00841BE0">
      <w:pPr>
        <w:tabs>
          <w:tab w:val="left" w:pos="851"/>
        </w:tabs>
        <w:ind w:left="851"/>
        <w:rPr>
          <w:sz w:val="24"/>
          <w:szCs w:val="24"/>
        </w:rPr>
      </w:pPr>
    </w:p>
    <w:p w14:paraId="73A04545" w14:textId="627F29AE" w:rsidR="00841BE0" w:rsidRPr="00841BE0" w:rsidRDefault="00841BE0" w:rsidP="00412655">
      <w:pPr>
        <w:keepNext/>
        <w:rPr>
          <w:sz w:val="24"/>
          <w:szCs w:val="24"/>
          <w:lang w:val="nb-NO"/>
        </w:rPr>
      </w:pPr>
      <w:r w:rsidRPr="00841BE0">
        <w:rPr>
          <w:sz w:val="24"/>
          <w:szCs w:val="24"/>
          <w:lang w:val="nb-NO"/>
        </w:rPr>
        <w:t>Figur 1</w:t>
      </w:r>
      <w:r w:rsidR="001C0D88">
        <w:rPr>
          <w:sz w:val="24"/>
          <w:szCs w:val="24"/>
          <w:lang w:val="nb-NO"/>
        </w:rPr>
        <w:t>:</w:t>
      </w:r>
      <w:r w:rsidRPr="00841BE0">
        <w:rPr>
          <w:sz w:val="24"/>
          <w:szCs w:val="24"/>
          <w:lang w:val="nb-NO"/>
        </w:rPr>
        <w:t xml:space="preserve"> Tid til forekomst af kardiovaskulær død i EMPA-REG OUTCOME-studiet</w:t>
      </w:r>
    </w:p>
    <w:p w14:paraId="668E6D49" w14:textId="0D6DFAB3" w:rsidR="00841BE0" w:rsidRPr="00841BE0" w:rsidRDefault="00841BE0" w:rsidP="00412655">
      <w:pPr>
        <w:keepNext/>
        <w:rPr>
          <w:sz w:val="24"/>
          <w:szCs w:val="24"/>
          <w:lang w:val="nb-NO"/>
        </w:rPr>
      </w:pPr>
      <w:r w:rsidRPr="003D3B2F">
        <w:rPr>
          <w:noProof/>
          <w:sz w:val="24"/>
          <w:szCs w:val="24"/>
        </w:rPr>
        <w:drawing>
          <wp:anchor distT="0" distB="0" distL="0" distR="0" simplePos="0" relativeHeight="251660288" behindDoc="1" locked="0" layoutInCell="1" allowOverlap="1" wp14:anchorId="348BF327" wp14:editId="4D750DB1">
            <wp:simplePos x="0" y="0"/>
            <wp:positionH relativeFrom="page">
              <wp:posOffset>900430</wp:posOffset>
            </wp:positionH>
            <wp:positionV relativeFrom="paragraph">
              <wp:posOffset>167005</wp:posOffset>
            </wp:positionV>
            <wp:extent cx="5065395" cy="3291840"/>
            <wp:effectExtent l="0" t="0" r="1905" b="3810"/>
            <wp:wrapTopAndBottom/>
            <wp:docPr id="1620012051" name="Billede 4" descr="Et billede, der indeholder tekst, Font/skrifttype, diagram, linje/række&#10;&#10;AI-genereret indhold kan være ukorrek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0012051" name="Billede 4" descr="Et billede, der indeholder tekst, Font/skrifttype, diagram, linje/række&#10;&#10;AI-genereret indhold kan være ukorrekt."/>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5395" cy="3291840"/>
                    </a:xfrm>
                    <a:prstGeom prst="rect">
                      <a:avLst/>
                    </a:prstGeom>
                    <a:noFill/>
                  </pic:spPr>
                </pic:pic>
              </a:graphicData>
            </a:graphic>
            <wp14:sizeRelH relativeFrom="page">
              <wp14:pctWidth>0</wp14:pctWidth>
            </wp14:sizeRelH>
            <wp14:sizeRelV relativeFrom="page">
              <wp14:pctHeight>0</wp14:pctHeight>
            </wp14:sizeRelV>
          </wp:anchor>
        </w:drawing>
      </w:r>
    </w:p>
    <w:p w14:paraId="7F8DD276" w14:textId="77777777" w:rsidR="00841BE0" w:rsidRPr="00841BE0" w:rsidRDefault="00841BE0" w:rsidP="00412655">
      <w:pPr>
        <w:ind w:left="851"/>
        <w:rPr>
          <w:i/>
          <w:iCs/>
          <w:sz w:val="24"/>
          <w:szCs w:val="24"/>
        </w:rPr>
      </w:pPr>
      <w:r w:rsidRPr="00841BE0">
        <w:rPr>
          <w:i/>
          <w:iCs/>
          <w:sz w:val="24"/>
          <w:szCs w:val="24"/>
        </w:rPr>
        <w:t>Hjertesvigt, der krævede hospitalsindlæggelse</w:t>
      </w:r>
    </w:p>
    <w:p w14:paraId="7ECFFE50" w14:textId="77777777" w:rsidR="00841BE0" w:rsidRPr="00841BE0" w:rsidRDefault="00841BE0" w:rsidP="00412655">
      <w:pPr>
        <w:ind w:left="851"/>
        <w:rPr>
          <w:sz w:val="24"/>
          <w:szCs w:val="24"/>
        </w:rPr>
      </w:pPr>
      <w:r w:rsidRPr="00841BE0">
        <w:rPr>
          <w:sz w:val="24"/>
          <w:szCs w:val="24"/>
        </w:rPr>
        <w:t xml:space="preserve">I EMPA-REG OUTCOME-studiet reducerede </w:t>
      </w:r>
      <w:proofErr w:type="spellStart"/>
      <w:r w:rsidRPr="00841BE0">
        <w:rPr>
          <w:sz w:val="24"/>
          <w:szCs w:val="24"/>
        </w:rPr>
        <w:t>empagliflozin</w:t>
      </w:r>
      <w:proofErr w:type="spellEnd"/>
      <w:r w:rsidRPr="00841BE0">
        <w:rPr>
          <w:sz w:val="24"/>
          <w:szCs w:val="24"/>
        </w:rPr>
        <w:t xml:space="preserve"> risikoen for hjertesvigt, der krævede hospitalsindlæggelse, sammenlignet med placebo (</w:t>
      </w:r>
      <w:proofErr w:type="spellStart"/>
      <w:r w:rsidRPr="00841BE0">
        <w:rPr>
          <w:sz w:val="24"/>
          <w:szCs w:val="24"/>
        </w:rPr>
        <w:t>empagliflozin</w:t>
      </w:r>
      <w:proofErr w:type="spellEnd"/>
      <w:r w:rsidRPr="00841BE0">
        <w:rPr>
          <w:sz w:val="24"/>
          <w:szCs w:val="24"/>
        </w:rPr>
        <w:t xml:space="preserve"> 2,7 %; placebo 4,1 %; HR 0,65; 95 % CI 0,50; 0,85).</w:t>
      </w:r>
    </w:p>
    <w:p w14:paraId="0C5C3BC7" w14:textId="77777777" w:rsidR="00841BE0" w:rsidRPr="00841BE0" w:rsidRDefault="00841BE0" w:rsidP="00412655">
      <w:pPr>
        <w:ind w:left="851"/>
        <w:rPr>
          <w:sz w:val="24"/>
          <w:szCs w:val="24"/>
        </w:rPr>
      </w:pPr>
    </w:p>
    <w:p w14:paraId="496DE662" w14:textId="77777777" w:rsidR="00841BE0" w:rsidRPr="00841BE0" w:rsidRDefault="00841BE0" w:rsidP="00412655">
      <w:pPr>
        <w:ind w:left="851"/>
        <w:rPr>
          <w:i/>
          <w:iCs/>
          <w:sz w:val="24"/>
          <w:szCs w:val="24"/>
        </w:rPr>
      </w:pPr>
      <w:proofErr w:type="spellStart"/>
      <w:r w:rsidRPr="00841BE0">
        <w:rPr>
          <w:i/>
          <w:iCs/>
          <w:sz w:val="24"/>
          <w:szCs w:val="24"/>
        </w:rPr>
        <w:t>Nefropati</w:t>
      </w:r>
      <w:proofErr w:type="spellEnd"/>
    </w:p>
    <w:p w14:paraId="182C1412" w14:textId="77777777" w:rsidR="00841BE0" w:rsidRPr="00841BE0" w:rsidRDefault="00841BE0" w:rsidP="00412655">
      <w:pPr>
        <w:ind w:left="851"/>
        <w:rPr>
          <w:sz w:val="24"/>
          <w:szCs w:val="24"/>
        </w:rPr>
      </w:pPr>
      <w:r w:rsidRPr="00841BE0">
        <w:rPr>
          <w:sz w:val="24"/>
          <w:szCs w:val="24"/>
        </w:rPr>
        <w:t xml:space="preserve">I EMPA-REG OUTCOME-studiet var HR 0,61 (95 % CI 0,53; 0,70) for tiden til den første </w:t>
      </w:r>
      <w:proofErr w:type="spellStart"/>
      <w:r w:rsidRPr="00841BE0">
        <w:rPr>
          <w:sz w:val="24"/>
          <w:szCs w:val="24"/>
        </w:rPr>
        <w:t>nefropatihændelse</w:t>
      </w:r>
      <w:proofErr w:type="spellEnd"/>
      <w:r w:rsidRPr="00841BE0">
        <w:rPr>
          <w:sz w:val="24"/>
          <w:szCs w:val="24"/>
        </w:rPr>
        <w:t xml:space="preserve">, for </w:t>
      </w:r>
      <w:proofErr w:type="spellStart"/>
      <w:r w:rsidRPr="00841BE0">
        <w:rPr>
          <w:sz w:val="24"/>
          <w:szCs w:val="24"/>
        </w:rPr>
        <w:t>empagliflozin</w:t>
      </w:r>
      <w:proofErr w:type="spellEnd"/>
      <w:r w:rsidRPr="00841BE0">
        <w:rPr>
          <w:sz w:val="24"/>
          <w:szCs w:val="24"/>
        </w:rPr>
        <w:t xml:space="preserve"> (12,7 %) </w:t>
      </w:r>
      <w:r w:rsidRPr="00841BE0">
        <w:rPr>
          <w:i/>
          <w:iCs/>
          <w:sz w:val="24"/>
          <w:szCs w:val="24"/>
        </w:rPr>
        <w:t>vs.</w:t>
      </w:r>
      <w:r w:rsidRPr="00841BE0">
        <w:rPr>
          <w:sz w:val="24"/>
          <w:szCs w:val="24"/>
        </w:rPr>
        <w:t xml:space="preserve"> placebo (18,8 %).</w:t>
      </w:r>
    </w:p>
    <w:p w14:paraId="6E0AC18A" w14:textId="77777777" w:rsidR="00841BE0" w:rsidRPr="00841BE0" w:rsidRDefault="00841BE0" w:rsidP="00412655">
      <w:pPr>
        <w:ind w:left="851"/>
        <w:rPr>
          <w:sz w:val="24"/>
          <w:szCs w:val="24"/>
        </w:rPr>
      </w:pPr>
      <w:r w:rsidRPr="00841BE0">
        <w:rPr>
          <w:sz w:val="24"/>
          <w:szCs w:val="24"/>
        </w:rPr>
        <w:t xml:space="preserve">Desuden viste </w:t>
      </w:r>
      <w:proofErr w:type="spellStart"/>
      <w:r w:rsidRPr="00841BE0">
        <w:rPr>
          <w:sz w:val="24"/>
          <w:szCs w:val="24"/>
        </w:rPr>
        <w:t>empagliflozin</w:t>
      </w:r>
      <w:proofErr w:type="spellEnd"/>
      <w:r w:rsidRPr="00841BE0">
        <w:rPr>
          <w:sz w:val="24"/>
          <w:szCs w:val="24"/>
        </w:rPr>
        <w:t xml:space="preserve"> en højere (HR 1,82, 95 % CI 1,40; 2,37) forekomst af vedvarende </w:t>
      </w:r>
      <w:proofErr w:type="spellStart"/>
      <w:r w:rsidRPr="00841BE0">
        <w:rPr>
          <w:sz w:val="24"/>
          <w:szCs w:val="24"/>
        </w:rPr>
        <w:t>normo</w:t>
      </w:r>
      <w:proofErr w:type="spellEnd"/>
      <w:r w:rsidRPr="00841BE0">
        <w:rPr>
          <w:sz w:val="24"/>
          <w:szCs w:val="24"/>
        </w:rPr>
        <w:noBreakHyphen/>
        <w:t xml:space="preserve">eller </w:t>
      </w:r>
      <w:proofErr w:type="spellStart"/>
      <w:r w:rsidRPr="00841BE0">
        <w:rPr>
          <w:sz w:val="24"/>
          <w:szCs w:val="24"/>
        </w:rPr>
        <w:t>mikroalbuminuri</w:t>
      </w:r>
      <w:proofErr w:type="spellEnd"/>
      <w:r w:rsidRPr="00841BE0">
        <w:rPr>
          <w:sz w:val="24"/>
          <w:szCs w:val="24"/>
        </w:rPr>
        <w:t xml:space="preserve"> (49,7 %) hos patienter med </w:t>
      </w:r>
      <w:proofErr w:type="spellStart"/>
      <w:r w:rsidRPr="00841BE0">
        <w:rPr>
          <w:sz w:val="24"/>
          <w:szCs w:val="24"/>
        </w:rPr>
        <w:t>makroalbuminuri</w:t>
      </w:r>
      <w:proofErr w:type="spellEnd"/>
      <w:r w:rsidRPr="00841BE0">
        <w:rPr>
          <w:sz w:val="24"/>
          <w:szCs w:val="24"/>
        </w:rPr>
        <w:t xml:space="preserve"> ved </w:t>
      </w:r>
      <w:r w:rsidRPr="00841BE0">
        <w:rPr>
          <w:i/>
          <w:iCs/>
          <w:sz w:val="24"/>
          <w:szCs w:val="24"/>
        </w:rPr>
        <w:t>baseline</w:t>
      </w:r>
      <w:r w:rsidRPr="00841BE0">
        <w:rPr>
          <w:sz w:val="24"/>
          <w:szCs w:val="24"/>
        </w:rPr>
        <w:t>, sammenlignet med placebo (28,8 %).</w:t>
      </w:r>
    </w:p>
    <w:p w14:paraId="2DAFC485" w14:textId="77777777" w:rsidR="00841BE0" w:rsidRPr="00841BE0" w:rsidRDefault="00841BE0" w:rsidP="00412655">
      <w:pPr>
        <w:ind w:left="851"/>
        <w:rPr>
          <w:sz w:val="24"/>
          <w:szCs w:val="24"/>
        </w:rPr>
      </w:pPr>
    </w:p>
    <w:p w14:paraId="4B12DFAF" w14:textId="77777777" w:rsidR="00841BE0" w:rsidRPr="00841BE0" w:rsidRDefault="00841BE0" w:rsidP="00412655">
      <w:pPr>
        <w:ind w:left="851"/>
        <w:rPr>
          <w:i/>
          <w:iCs/>
          <w:sz w:val="24"/>
          <w:szCs w:val="24"/>
          <w:u w:val="single"/>
        </w:rPr>
      </w:pPr>
      <w:proofErr w:type="spellStart"/>
      <w:r w:rsidRPr="00841BE0">
        <w:rPr>
          <w:i/>
          <w:iCs/>
          <w:sz w:val="24"/>
          <w:szCs w:val="24"/>
          <w:u w:val="single"/>
        </w:rPr>
        <w:t>Postprandial</w:t>
      </w:r>
      <w:proofErr w:type="spellEnd"/>
      <w:r w:rsidRPr="00841BE0">
        <w:rPr>
          <w:i/>
          <w:iCs/>
          <w:sz w:val="24"/>
          <w:szCs w:val="24"/>
          <w:u w:val="single"/>
        </w:rPr>
        <w:t xml:space="preserve"> </w:t>
      </w:r>
      <w:proofErr w:type="spellStart"/>
      <w:r w:rsidRPr="00841BE0">
        <w:rPr>
          <w:i/>
          <w:iCs/>
          <w:sz w:val="24"/>
          <w:szCs w:val="24"/>
          <w:u w:val="single"/>
        </w:rPr>
        <w:t>glucose</w:t>
      </w:r>
      <w:proofErr w:type="spellEnd"/>
      <w:r w:rsidRPr="00841BE0">
        <w:rPr>
          <w:i/>
          <w:iCs/>
          <w:sz w:val="24"/>
          <w:szCs w:val="24"/>
          <w:u w:val="single"/>
        </w:rPr>
        <w:t xml:space="preserve"> efter 2 timer</w:t>
      </w:r>
    </w:p>
    <w:p w14:paraId="2E1C0D59" w14:textId="77777777" w:rsidR="00841BE0" w:rsidRPr="00841BE0" w:rsidRDefault="00841BE0" w:rsidP="00412655">
      <w:pPr>
        <w:ind w:left="851"/>
        <w:rPr>
          <w:sz w:val="24"/>
          <w:szCs w:val="24"/>
        </w:rPr>
      </w:pPr>
    </w:p>
    <w:p w14:paraId="0538E1D5" w14:textId="77777777" w:rsidR="00841BE0" w:rsidRPr="00841BE0" w:rsidRDefault="00841BE0" w:rsidP="00412655">
      <w:pPr>
        <w:ind w:left="851"/>
        <w:rPr>
          <w:sz w:val="24"/>
          <w:szCs w:val="24"/>
        </w:rPr>
      </w:pPr>
      <w:r w:rsidRPr="00841BE0">
        <w:rPr>
          <w:sz w:val="24"/>
          <w:szCs w:val="24"/>
        </w:rPr>
        <w:t xml:space="preserve">Behandling med </w:t>
      </w:r>
      <w:proofErr w:type="spellStart"/>
      <w:r w:rsidRPr="00841BE0">
        <w:rPr>
          <w:sz w:val="24"/>
          <w:szCs w:val="24"/>
        </w:rPr>
        <w:t>empagliflozin</w:t>
      </w:r>
      <w:proofErr w:type="spellEnd"/>
      <w:r w:rsidRPr="00841BE0">
        <w:rPr>
          <w:sz w:val="24"/>
          <w:szCs w:val="24"/>
        </w:rPr>
        <w:t xml:space="preserve"> som supplement til </w:t>
      </w:r>
      <w:proofErr w:type="spellStart"/>
      <w:r w:rsidRPr="00841BE0">
        <w:rPr>
          <w:sz w:val="24"/>
          <w:szCs w:val="24"/>
        </w:rPr>
        <w:t>metformin</w:t>
      </w:r>
      <w:proofErr w:type="spellEnd"/>
      <w:r w:rsidRPr="00841BE0">
        <w:rPr>
          <w:sz w:val="24"/>
          <w:szCs w:val="24"/>
        </w:rPr>
        <w:t xml:space="preserve"> eller </w:t>
      </w:r>
      <w:proofErr w:type="spellStart"/>
      <w:r w:rsidRPr="00841BE0">
        <w:rPr>
          <w:sz w:val="24"/>
          <w:szCs w:val="24"/>
        </w:rPr>
        <w:t>metformin</w:t>
      </w:r>
      <w:proofErr w:type="spellEnd"/>
      <w:r w:rsidRPr="00841BE0">
        <w:rPr>
          <w:sz w:val="24"/>
          <w:szCs w:val="24"/>
        </w:rPr>
        <w:t xml:space="preserve"> plus et </w:t>
      </w:r>
      <w:proofErr w:type="spellStart"/>
      <w:r w:rsidRPr="00841BE0">
        <w:rPr>
          <w:sz w:val="24"/>
          <w:szCs w:val="24"/>
        </w:rPr>
        <w:t>sulfonylurinstof</w:t>
      </w:r>
      <w:proofErr w:type="spellEnd"/>
      <w:r w:rsidRPr="00841BE0">
        <w:rPr>
          <w:sz w:val="24"/>
          <w:szCs w:val="24"/>
        </w:rPr>
        <w:t xml:space="preserve"> medførte et klinisk betydende fald i </w:t>
      </w:r>
      <w:proofErr w:type="spellStart"/>
      <w:r w:rsidRPr="00841BE0">
        <w:rPr>
          <w:sz w:val="24"/>
          <w:szCs w:val="24"/>
        </w:rPr>
        <w:t>postprandial</w:t>
      </w:r>
      <w:proofErr w:type="spellEnd"/>
      <w:r w:rsidRPr="00841BE0">
        <w:rPr>
          <w:sz w:val="24"/>
          <w:szCs w:val="24"/>
        </w:rPr>
        <w:t xml:space="preserve"> </w:t>
      </w:r>
      <w:proofErr w:type="spellStart"/>
      <w:r w:rsidRPr="00841BE0">
        <w:rPr>
          <w:sz w:val="24"/>
          <w:szCs w:val="24"/>
        </w:rPr>
        <w:t>glucose</w:t>
      </w:r>
      <w:proofErr w:type="spellEnd"/>
      <w:r w:rsidRPr="00841BE0">
        <w:rPr>
          <w:sz w:val="24"/>
          <w:szCs w:val="24"/>
        </w:rPr>
        <w:t xml:space="preserve"> efter 2 timer (måltidstolerancetest) ved 24 uger (supplement til </w:t>
      </w:r>
      <w:proofErr w:type="spellStart"/>
      <w:r w:rsidRPr="00841BE0">
        <w:rPr>
          <w:sz w:val="24"/>
          <w:szCs w:val="24"/>
        </w:rPr>
        <w:t>metformin</w:t>
      </w:r>
      <w:proofErr w:type="spellEnd"/>
      <w:r w:rsidRPr="00841BE0">
        <w:rPr>
          <w:sz w:val="24"/>
          <w:szCs w:val="24"/>
        </w:rPr>
        <w:t xml:space="preserve">, placebo: +5,9 mg/dl, </w:t>
      </w:r>
      <w:proofErr w:type="spellStart"/>
      <w:r w:rsidRPr="00841BE0">
        <w:rPr>
          <w:sz w:val="24"/>
          <w:szCs w:val="24"/>
        </w:rPr>
        <w:t>empagliflozin</w:t>
      </w:r>
      <w:proofErr w:type="spellEnd"/>
      <w:r w:rsidRPr="00841BE0">
        <w:rPr>
          <w:sz w:val="24"/>
          <w:szCs w:val="24"/>
        </w:rPr>
        <w:t xml:space="preserve"> 10 mg: </w:t>
      </w:r>
      <w:r w:rsidRPr="00841BE0">
        <w:rPr>
          <w:sz w:val="24"/>
          <w:szCs w:val="24"/>
        </w:rPr>
        <w:noBreakHyphen/>
        <w:t xml:space="preserve">46,0 mg/dl, </w:t>
      </w:r>
      <w:proofErr w:type="spellStart"/>
      <w:r w:rsidRPr="00841BE0">
        <w:rPr>
          <w:sz w:val="24"/>
          <w:szCs w:val="24"/>
        </w:rPr>
        <w:t>empagliflozin</w:t>
      </w:r>
      <w:proofErr w:type="spellEnd"/>
      <w:r w:rsidRPr="00841BE0">
        <w:rPr>
          <w:sz w:val="24"/>
          <w:szCs w:val="24"/>
        </w:rPr>
        <w:t xml:space="preserve"> 25 mg: </w:t>
      </w:r>
      <w:r w:rsidRPr="00841BE0">
        <w:rPr>
          <w:sz w:val="24"/>
          <w:szCs w:val="24"/>
        </w:rPr>
        <w:noBreakHyphen/>
        <w:t xml:space="preserve">44,6 mg/dl, supplement til </w:t>
      </w:r>
      <w:proofErr w:type="spellStart"/>
      <w:r w:rsidRPr="00841BE0">
        <w:rPr>
          <w:sz w:val="24"/>
          <w:szCs w:val="24"/>
        </w:rPr>
        <w:t>metformin</w:t>
      </w:r>
      <w:proofErr w:type="spellEnd"/>
      <w:r w:rsidRPr="00841BE0">
        <w:rPr>
          <w:sz w:val="24"/>
          <w:szCs w:val="24"/>
        </w:rPr>
        <w:t xml:space="preserve"> plus </w:t>
      </w:r>
      <w:proofErr w:type="spellStart"/>
      <w:r w:rsidRPr="00841BE0">
        <w:rPr>
          <w:sz w:val="24"/>
          <w:szCs w:val="24"/>
        </w:rPr>
        <w:t>sulfonylurinstof</w:t>
      </w:r>
      <w:proofErr w:type="spellEnd"/>
      <w:r w:rsidRPr="00841BE0">
        <w:rPr>
          <w:sz w:val="24"/>
          <w:szCs w:val="24"/>
        </w:rPr>
        <w:t xml:space="preserve">, placebo: </w:t>
      </w:r>
      <w:r w:rsidRPr="00841BE0">
        <w:rPr>
          <w:sz w:val="24"/>
          <w:szCs w:val="24"/>
        </w:rPr>
        <w:noBreakHyphen/>
        <w:t xml:space="preserve">2,3 mg/dl, </w:t>
      </w:r>
      <w:proofErr w:type="spellStart"/>
      <w:r w:rsidRPr="00841BE0">
        <w:rPr>
          <w:sz w:val="24"/>
          <w:szCs w:val="24"/>
        </w:rPr>
        <w:t>empagliflozin</w:t>
      </w:r>
      <w:proofErr w:type="spellEnd"/>
      <w:r w:rsidRPr="00841BE0">
        <w:rPr>
          <w:sz w:val="24"/>
          <w:szCs w:val="24"/>
        </w:rPr>
        <w:t xml:space="preserve"> 10 mg: </w:t>
      </w:r>
      <w:r w:rsidRPr="00841BE0">
        <w:rPr>
          <w:sz w:val="24"/>
          <w:szCs w:val="24"/>
        </w:rPr>
        <w:noBreakHyphen/>
        <w:t xml:space="preserve">35,7 mg/dl, </w:t>
      </w:r>
      <w:proofErr w:type="spellStart"/>
      <w:r w:rsidRPr="00841BE0">
        <w:rPr>
          <w:sz w:val="24"/>
          <w:szCs w:val="24"/>
        </w:rPr>
        <w:t>empagliflozin</w:t>
      </w:r>
      <w:proofErr w:type="spellEnd"/>
      <w:r w:rsidRPr="00841BE0">
        <w:rPr>
          <w:sz w:val="24"/>
          <w:szCs w:val="24"/>
        </w:rPr>
        <w:t xml:space="preserve"> 25 mg </w:t>
      </w:r>
      <w:r w:rsidRPr="00841BE0">
        <w:rPr>
          <w:sz w:val="24"/>
          <w:szCs w:val="24"/>
        </w:rPr>
        <w:noBreakHyphen/>
        <w:t>36,6 mg/dl).</w:t>
      </w:r>
    </w:p>
    <w:p w14:paraId="723C5B54" w14:textId="77777777" w:rsidR="00841BE0" w:rsidRPr="00841BE0" w:rsidRDefault="00841BE0" w:rsidP="00412655">
      <w:pPr>
        <w:ind w:left="851"/>
        <w:rPr>
          <w:sz w:val="24"/>
          <w:szCs w:val="24"/>
        </w:rPr>
      </w:pPr>
    </w:p>
    <w:p w14:paraId="10889324" w14:textId="77777777" w:rsidR="00841BE0" w:rsidRPr="00841BE0" w:rsidRDefault="00841BE0" w:rsidP="00412655">
      <w:pPr>
        <w:ind w:left="851"/>
        <w:rPr>
          <w:i/>
          <w:iCs/>
          <w:sz w:val="24"/>
          <w:szCs w:val="24"/>
          <w:u w:val="single"/>
        </w:rPr>
      </w:pPr>
      <w:r w:rsidRPr="00841BE0">
        <w:rPr>
          <w:i/>
          <w:iCs/>
          <w:sz w:val="24"/>
          <w:szCs w:val="24"/>
          <w:u w:val="single"/>
        </w:rPr>
        <w:t>Patienter med baseline-HbA1c ≥ 9 %</w:t>
      </w:r>
    </w:p>
    <w:p w14:paraId="628175A9" w14:textId="77777777" w:rsidR="00841BE0" w:rsidRPr="00841BE0" w:rsidRDefault="00841BE0" w:rsidP="00412655">
      <w:pPr>
        <w:ind w:left="851"/>
        <w:rPr>
          <w:sz w:val="24"/>
          <w:szCs w:val="24"/>
        </w:rPr>
      </w:pPr>
    </w:p>
    <w:p w14:paraId="1B8BCD55" w14:textId="77777777" w:rsidR="00841BE0" w:rsidRPr="00841BE0" w:rsidRDefault="00841BE0" w:rsidP="00412655">
      <w:pPr>
        <w:ind w:left="851"/>
        <w:rPr>
          <w:sz w:val="24"/>
          <w:szCs w:val="24"/>
        </w:rPr>
      </w:pPr>
      <w:r w:rsidRPr="00841BE0">
        <w:rPr>
          <w:sz w:val="24"/>
          <w:szCs w:val="24"/>
        </w:rPr>
        <w:t xml:space="preserve">I en præspecificeret analyse af forsøgspersoner med </w:t>
      </w:r>
      <w:r w:rsidRPr="00841BE0">
        <w:rPr>
          <w:i/>
          <w:iCs/>
          <w:sz w:val="24"/>
          <w:szCs w:val="24"/>
        </w:rPr>
        <w:t>baseline</w:t>
      </w:r>
      <w:r w:rsidRPr="00841BE0">
        <w:rPr>
          <w:sz w:val="24"/>
          <w:szCs w:val="24"/>
        </w:rPr>
        <w:t xml:space="preserve">-HbA1c ≥ 9 % medførte behandling med </w:t>
      </w:r>
      <w:proofErr w:type="spellStart"/>
      <w:r w:rsidRPr="00841BE0">
        <w:rPr>
          <w:sz w:val="24"/>
          <w:szCs w:val="24"/>
        </w:rPr>
        <w:t>empagliflozin</w:t>
      </w:r>
      <w:proofErr w:type="spellEnd"/>
      <w:r w:rsidRPr="00841BE0">
        <w:rPr>
          <w:sz w:val="24"/>
          <w:szCs w:val="24"/>
        </w:rPr>
        <w:t xml:space="preserve"> 10 mg eller 25 mg som supplement til </w:t>
      </w:r>
      <w:proofErr w:type="spellStart"/>
      <w:r w:rsidRPr="00841BE0">
        <w:rPr>
          <w:sz w:val="24"/>
          <w:szCs w:val="24"/>
        </w:rPr>
        <w:t>metformin</w:t>
      </w:r>
      <w:proofErr w:type="spellEnd"/>
      <w:r w:rsidRPr="00841BE0">
        <w:rPr>
          <w:sz w:val="24"/>
          <w:szCs w:val="24"/>
        </w:rPr>
        <w:t xml:space="preserve"> statistisk signifikante fald i HbA1c ved uge 24 (korrigeret gennemsnitlig ændring i forhold til </w:t>
      </w:r>
      <w:r w:rsidRPr="00841BE0">
        <w:rPr>
          <w:i/>
          <w:iCs/>
          <w:sz w:val="24"/>
          <w:szCs w:val="24"/>
        </w:rPr>
        <w:t>baseline</w:t>
      </w:r>
      <w:r w:rsidRPr="00841BE0">
        <w:rPr>
          <w:sz w:val="24"/>
          <w:szCs w:val="24"/>
        </w:rPr>
        <w:t xml:space="preserve"> på </w:t>
      </w:r>
      <w:r w:rsidRPr="00841BE0">
        <w:rPr>
          <w:sz w:val="24"/>
          <w:szCs w:val="24"/>
        </w:rPr>
        <w:noBreakHyphen/>
        <w:t xml:space="preserve">1,49 % for </w:t>
      </w:r>
      <w:proofErr w:type="spellStart"/>
      <w:r w:rsidRPr="00841BE0">
        <w:rPr>
          <w:sz w:val="24"/>
          <w:szCs w:val="24"/>
        </w:rPr>
        <w:t>empagliflozin</w:t>
      </w:r>
      <w:proofErr w:type="spellEnd"/>
      <w:r w:rsidRPr="00841BE0">
        <w:rPr>
          <w:sz w:val="24"/>
          <w:szCs w:val="24"/>
        </w:rPr>
        <w:t xml:space="preserve"> 25 mg, </w:t>
      </w:r>
      <w:r w:rsidRPr="00841BE0">
        <w:rPr>
          <w:sz w:val="24"/>
          <w:szCs w:val="24"/>
        </w:rPr>
        <w:noBreakHyphen/>
        <w:t xml:space="preserve">1,40 % for </w:t>
      </w:r>
      <w:proofErr w:type="spellStart"/>
      <w:r w:rsidRPr="00841BE0">
        <w:rPr>
          <w:sz w:val="24"/>
          <w:szCs w:val="24"/>
        </w:rPr>
        <w:t>empagliflozin</w:t>
      </w:r>
      <w:proofErr w:type="spellEnd"/>
      <w:r w:rsidRPr="00841BE0">
        <w:rPr>
          <w:sz w:val="24"/>
          <w:szCs w:val="24"/>
        </w:rPr>
        <w:t xml:space="preserve"> 10 mg og </w:t>
      </w:r>
      <w:r w:rsidRPr="00841BE0">
        <w:rPr>
          <w:sz w:val="24"/>
          <w:szCs w:val="24"/>
        </w:rPr>
        <w:noBreakHyphen/>
        <w:t>0,44 % for placebo).</w:t>
      </w:r>
    </w:p>
    <w:p w14:paraId="5D50EFCC" w14:textId="436EF32B" w:rsidR="001C0D88" w:rsidRDefault="001C0D88">
      <w:pPr>
        <w:rPr>
          <w:sz w:val="24"/>
          <w:szCs w:val="24"/>
        </w:rPr>
      </w:pPr>
      <w:r>
        <w:rPr>
          <w:sz w:val="24"/>
          <w:szCs w:val="24"/>
        </w:rPr>
        <w:br w:type="page"/>
      </w:r>
    </w:p>
    <w:p w14:paraId="1273953C" w14:textId="77777777" w:rsidR="00841BE0" w:rsidRPr="00841BE0" w:rsidRDefault="00841BE0" w:rsidP="00412655">
      <w:pPr>
        <w:ind w:left="851"/>
        <w:rPr>
          <w:sz w:val="24"/>
          <w:szCs w:val="24"/>
        </w:rPr>
      </w:pPr>
    </w:p>
    <w:p w14:paraId="050C4E9D" w14:textId="77777777" w:rsidR="00841BE0" w:rsidRPr="00841BE0" w:rsidRDefault="00841BE0" w:rsidP="00412655">
      <w:pPr>
        <w:ind w:left="851"/>
        <w:rPr>
          <w:i/>
          <w:iCs/>
          <w:sz w:val="24"/>
          <w:szCs w:val="24"/>
          <w:u w:val="single"/>
        </w:rPr>
      </w:pPr>
      <w:r w:rsidRPr="00841BE0">
        <w:rPr>
          <w:i/>
          <w:iCs/>
          <w:sz w:val="24"/>
          <w:szCs w:val="24"/>
          <w:u w:val="single"/>
        </w:rPr>
        <w:t>Legemsvægt</w:t>
      </w:r>
    </w:p>
    <w:p w14:paraId="443086EC" w14:textId="77777777" w:rsidR="00841BE0" w:rsidRPr="00841BE0" w:rsidRDefault="00841BE0" w:rsidP="00412655">
      <w:pPr>
        <w:ind w:left="851"/>
        <w:rPr>
          <w:sz w:val="24"/>
          <w:szCs w:val="24"/>
        </w:rPr>
      </w:pPr>
    </w:p>
    <w:p w14:paraId="14B4D3D2" w14:textId="77777777" w:rsidR="00841BE0" w:rsidRPr="00841BE0" w:rsidRDefault="00841BE0" w:rsidP="00412655">
      <w:pPr>
        <w:ind w:left="851"/>
        <w:rPr>
          <w:sz w:val="24"/>
          <w:szCs w:val="24"/>
        </w:rPr>
      </w:pPr>
      <w:r w:rsidRPr="00841BE0">
        <w:rPr>
          <w:sz w:val="24"/>
          <w:szCs w:val="24"/>
        </w:rPr>
        <w:t xml:space="preserve">I en præspecificeret samlet analyse af 4 placebokontrollerede studier medførte behandling med </w:t>
      </w:r>
      <w:proofErr w:type="spellStart"/>
      <w:r w:rsidRPr="00841BE0">
        <w:rPr>
          <w:sz w:val="24"/>
          <w:szCs w:val="24"/>
        </w:rPr>
        <w:t>empagliflozin</w:t>
      </w:r>
      <w:proofErr w:type="spellEnd"/>
      <w:r w:rsidRPr="00841BE0">
        <w:rPr>
          <w:sz w:val="24"/>
          <w:szCs w:val="24"/>
        </w:rPr>
        <w:t xml:space="preserve"> (68 % af alle patienter fik </w:t>
      </w:r>
      <w:proofErr w:type="spellStart"/>
      <w:r w:rsidRPr="00841BE0">
        <w:rPr>
          <w:sz w:val="24"/>
          <w:szCs w:val="24"/>
        </w:rPr>
        <w:t>metformin</w:t>
      </w:r>
      <w:proofErr w:type="spellEnd"/>
      <w:r w:rsidRPr="00841BE0">
        <w:rPr>
          <w:sz w:val="24"/>
          <w:szCs w:val="24"/>
        </w:rPr>
        <w:t>) et vægttab sammenlignet med placebo ved uge 24 (</w:t>
      </w:r>
      <w:r w:rsidRPr="00841BE0">
        <w:rPr>
          <w:sz w:val="24"/>
          <w:szCs w:val="24"/>
        </w:rPr>
        <w:noBreakHyphen/>
        <w:t xml:space="preserve">2,04 kg for </w:t>
      </w:r>
      <w:proofErr w:type="spellStart"/>
      <w:r w:rsidRPr="00841BE0">
        <w:rPr>
          <w:sz w:val="24"/>
          <w:szCs w:val="24"/>
        </w:rPr>
        <w:t>empagliflozin</w:t>
      </w:r>
      <w:proofErr w:type="spellEnd"/>
      <w:r w:rsidRPr="00841BE0">
        <w:rPr>
          <w:sz w:val="24"/>
          <w:szCs w:val="24"/>
        </w:rPr>
        <w:t xml:space="preserve"> 10 mg og </w:t>
      </w:r>
      <w:r w:rsidRPr="00841BE0">
        <w:rPr>
          <w:sz w:val="24"/>
          <w:szCs w:val="24"/>
        </w:rPr>
        <w:noBreakHyphen/>
        <w:t xml:space="preserve">2,26 kg for </w:t>
      </w:r>
      <w:proofErr w:type="spellStart"/>
      <w:r w:rsidRPr="00841BE0">
        <w:rPr>
          <w:sz w:val="24"/>
          <w:szCs w:val="24"/>
        </w:rPr>
        <w:t>empagliflozin</w:t>
      </w:r>
      <w:proofErr w:type="spellEnd"/>
      <w:r w:rsidRPr="00841BE0">
        <w:rPr>
          <w:sz w:val="24"/>
          <w:szCs w:val="24"/>
        </w:rPr>
        <w:t xml:space="preserve"> 25 mg og </w:t>
      </w:r>
      <w:r w:rsidRPr="00841BE0">
        <w:rPr>
          <w:sz w:val="24"/>
          <w:szCs w:val="24"/>
        </w:rPr>
        <w:noBreakHyphen/>
        <w:t>0,24 kg for placebo), som varede ved til uge 52 (</w:t>
      </w:r>
      <w:r w:rsidRPr="00841BE0">
        <w:rPr>
          <w:sz w:val="24"/>
          <w:szCs w:val="24"/>
        </w:rPr>
        <w:noBreakHyphen/>
        <w:t xml:space="preserve">1,96 kg for </w:t>
      </w:r>
      <w:proofErr w:type="spellStart"/>
      <w:r w:rsidRPr="00841BE0">
        <w:rPr>
          <w:sz w:val="24"/>
          <w:szCs w:val="24"/>
        </w:rPr>
        <w:t>empagliflozin</w:t>
      </w:r>
      <w:proofErr w:type="spellEnd"/>
      <w:r w:rsidRPr="00841BE0">
        <w:rPr>
          <w:sz w:val="24"/>
          <w:szCs w:val="24"/>
        </w:rPr>
        <w:t xml:space="preserve"> 10 mg, </w:t>
      </w:r>
      <w:r w:rsidRPr="00841BE0">
        <w:rPr>
          <w:sz w:val="24"/>
          <w:szCs w:val="24"/>
        </w:rPr>
        <w:noBreakHyphen/>
        <w:t xml:space="preserve">2,25 kg for </w:t>
      </w:r>
      <w:proofErr w:type="spellStart"/>
      <w:r w:rsidRPr="00841BE0">
        <w:rPr>
          <w:sz w:val="24"/>
          <w:szCs w:val="24"/>
        </w:rPr>
        <w:t>empagliflozin</w:t>
      </w:r>
      <w:proofErr w:type="spellEnd"/>
      <w:r w:rsidRPr="00841BE0">
        <w:rPr>
          <w:sz w:val="24"/>
          <w:szCs w:val="24"/>
        </w:rPr>
        <w:t xml:space="preserve"> 25 mg og </w:t>
      </w:r>
      <w:r w:rsidRPr="00841BE0">
        <w:rPr>
          <w:sz w:val="24"/>
          <w:szCs w:val="24"/>
        </w:rPr>
        <w:noBreakHyphen/>
        <w:t>0,16 kg for placebo).</w:t>
      </w:r>
    </w:p>
    <w:p w14:paraId="782EC8B9" w14:textId="77777777" w:rsidR="00841BE0" w:rsidRPr="00841BE0" w:rsidRDefault="00841BE0" w:rsidP="00412655">
      <w:pPr>
        <w:ind w:left="851"/>
        <w:rPr>
          <w:sz w:val="24"/>
          <w:szCs w:val="24"/>
        </w:rPr>
      </w:pPr>
    </w:p>
    <w:p w14:paraId="35D74C35" w14:textId="77777777" w:rsidR="00841BE0" w:rsidRPr="00841BE0" w:rsidRDefault="00841BE0" w:rsidP="00412655">
      <w:pPr>
        <w:ind w:left="851"/>
        <w:rPr>
          <w:i/>
          <w:iCs/>
          <w:sz w:val="24"/>
          <w:szCs w:val="24"/>
          <w:u w:val="single"/>
        </w:rPr>
      </w:pPr>
      <w:r w:rsidRPr="00841BE0">
        <w:rPr>
          <w:i/>
          <w:iCs/>
          <w:sz w:val="24"/>
          <w:szCs w:val="24"/>
          <w:u w:val="single"/>
        </w:rPr>
        <w:t>Blodtryk</w:t>
      </w:r>
    </w:p>
    <w:p w14:paraId="1F934F6B" w14:textId="77777777" w:rsidR="00841BE0" w:rsidRPr="00841BE0" w:rsidRDefault="00841BE0" w:rsidP="00412655">
      <w:pPr>
        <w:ind w:left="851"/>
        <w:rPr>
          <w:sz w:val="24"/>
          <w:szCs w:val="24"/>
        </w:rPr>
      </w:pPr>
    </w:p>
    <w:p w14:paraId="715A7E41" w14:textId="77777777" w:rsidR="00841BE0" w:rsidRPr="00841BE0" w:rsidRDefault="00841BE0" w:rsidP="00412655">
      <w:pPr>
        <w:ind w:left="851"/>
        <w:rPr>
          <w:sz w:val="24"/>
          <w:szCs w:val="24"/>
        </w:rPr>
      </w:pPr>
      <w:r w:rsidRPr="00841BE0">
        <w:rPr>
          <w:sz w:val="24"/>
          <w:szCs w:val="24"/>
        </w:rPr>
        <w:t xml:space="preserve">Virkningen og sikkerheden af </w:t>
      </w:r>
      <w:proofErr w:type="spellStart"/>
      <w:r w:rsidRPr="00841BE0">
        <w:rPr>
          <w:sz w:val="24"/>
          <w:szCs w:val="24"/>
        </w:rPr>
        <w:t>empagliflozin</w:t>
      </w:r>
      <w:proofErr w:type="spellEnd"/>
      <w:r w:rsidRPr="00841BE0">
        <w:rPr>
          <w:sz w:val="24"/>
          <w:szCs w:val="24"/>
        </w:rPr>
        <w:t xml:space="preserve"> hos patienter med type 2-diabetes og højt blodtryk og i behandling med forskellige </w:t>
      </w:r>
      <w:proofErr w:type="spellStart"/>
      <w:r w:rsidRPr="00841BE0">
        <w:rPr>
          <w:sz w:val="24"/>
          <w:szCs w:val="24"/>
        </w:rPr>
        <w:t>antidiabetika</w:t>
      </w:r>
      <w:proofErr w:type="spellEnd"/>
      <w:r w:rsidRPr="00841BE0">
        <w:rPr>
          <w:sz w:val="24"/>
          <w:szCs w:val="24"/>
        </w:rPr>
        <w:t xml:space="preserve"> og op til 2 </w:t>
      </w:r>
      <w:proofErr w:type="spellStart"/>
      <w:r w:rsidRPr="00841BE0">
        <w:rPr>
          <w:sz w:val="24"/>
          <w:szCs w:val="24"/>
        </w:rPr>
        <w:t>antihypertensive</w:t>
      </w:r>
      <w:proofErr w:type="spellEnd"/>
      <w:r w:rsidRPr="00841BE0">
        <w:rPr>
          <w:sz w:val="24"/>
          <w:szCs w:val="24"/>
        </w:rPr>
        <w:t xml:space="preserve"> behandlinger blev undersøgt i et 12 ugers dobbeltblindet, placebokontrolleret studie. Behandling med </w:t>
      </w:r>
      <w:proofErr w:type="spellStart"/>
      <w:r w:rsidRPr="00841BE0">
        <w:rPr>
          <w:sz w:val="24"/>
          <w:szCs w:val="24"/>
        </w:rPr>
        <w:t>empagliflozin</w:t>
      </w:r>
      <w:proofErr w:type="spellEnd"/>
      <w:r w:rsidRPr="00841BE0">
        <w:rPr>
          <w:sz w:val="24"/>
          <w:szCs w:val="24"/>
        </w:rPr>
        <w:t xml:space="preserve"> én gang dagligt medførte et statistisk signifikant fald i HbA1c og i 24</w:t>
      </w:r>
      <w:r w:rsidRPr="00841BE0">
        <w:rPr>
          <w:sz w:val="24"/>
          <w:szCs w:val="24"/>
        </w:rPr>
        <w:noBreakHyphen/>
        <w:t xml:space="preserve">timers gennemsnitligt systolisk og diastolisk blodtryk målt ved ambulant blodtrykskontrol (tabel 10). Behandling med </w:t>
      </w:r>
      <w:proofErr w:type="spellStart"/>
      <w:r w:rsidRPr="00841BE0">
        <w:rPr>
          <w:sz w:val="24"/>
          <w:szCs w:val="24"/>
        </w:rPr>
        <w:t>empagliflozin</w:t>
      </w:r>
      <w:proofErr w:type="spellEnd"/>
      <w:r w:rsidRPr="00841BE0">
        <w:rPr>
          <w:sz w:val="24"/>
          <w:szCs w:val="24"/>
        </w:rPr>
        <w:t xml:space="preserve"> medførte fald i siddende SBP og DBP.</w:t>
      </w:r>
    </w:p>
    <w:p w14:paraId="37AA8145" w14:textId="77777777" w:rsidR="00841BE0" w:rsidRPr="00841BE0" w:rsidRDefault="00841BE0" w:rsidP="00841BE0">
      <w:pPr>
        <w:tabs>
          <w:tab w:val="left" w:pos="851"/>
        </w:tabs>
        <w:ind w:left="851"/>
        <w:rPr>
          <w:sz w:val="24"/>
          <w:szCs w:val="24"/>
        </w:rPr>
      </w:pPr>
    </w:p>
    <w:p w14:paraId="232DFF12" w14:textId="77777777" w:rsidR="00841BE0" w:rsidRPr="00841BE0" w:rsidRDefault="00841BE0" w:rsidP="001C0D88">
      <w:pPr>
        <w:rPr>
          <w:sz w:val="24"/>
          <w:szCs w:val="24"/>
        </w:rPr>
      </w:pPr>
      <w:r w:rsidRPr="00841BE0">
        <w:rPr>
          <w:sz w:val="24"/>
          <w:szCs w:val="24"/>
        </w:rPr>
        <w:t xml:space="preserve">Tabel 10:Virkningsresultater efter 12 uger i et placebokontrolleret studie med </w:t>
      </w:r>
      <w:proofErr w:type="spellStart"/>
      <w:r w:rsidRPr="00841BE0">
        <w:rPr>
          <w:sz w:val="24"/>
          <w:szCs w:val="24"/>
        </w:rPr>
        <w:t>empagliflozin</w:t>
      </w:r>
      <w:proofErr w:type="spellEnd"/>
      <w:r w:rsidRPr="00841BE0">
        <w:rPr>
          <w:sz w:val="24"/>
          <w:szCs w:val="24"/>
        </w:rPr>
        <w:t xml:space="preserve"> til patienter med type 2-diabetes og dårligt kontrolleret </w:t>
      </w:r>
      <w:proofErr w:type="spellStart"/>
      <w:r w:rsidRPr="00841BE0">
        <w:rPr>
          <w:sz w:val="24"/>
          <w:szCs w:val="24"/>
        </w:rPr>
        <w:t>blodtryk</w:t>
      </w:r>
      <w:r w:rsidRPr="00841BE0">
        <w:rPr>
          <w:sz w:val="24"/>
          <w:szCs w:val="24"/>
          <w:vertAlign w:val="superscript"/>
        </w:rPr>
        <w:t>a</w:t>
      </w:r>
      <w:proofErr w:type="spellEnd"/>
    </w:p>
    <w:tbl>
      <w:tblPr>
        <w:tblStyle w:val="TableNormal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48"/>
        <w:gridCol w:w="2078"/>
        <w:gridCol w:w="2374"/>
        <w:gridCol w:w="2228"/>
      </w:tblGrid>
      <w:tr w:rsidR="00841BE0" w:rsidRPr="00841BE0" w14:paraId="311F6E0B" w14:textId="77777777" w:rsidTr="00412655">
        <w:trPr>
          <w:trHeight w:val="254"/>
        </w:trPr>
        <w:tc>
          <w:tcPr>
            <w:tcW w:w="1531" w:type="pct"/>
            <w:vMerge w:val="restart"/>
            <w:tcBorders>
              <w:top w:val="single" w:sz="4" w:space="0" w:color="000000"/>
              <w:left w:val="single" w:sz="4" w:space="0" w:color="000000"/>
              <w:bottom w:val="single" w:sz="4" w:space="0" w:color="000000"/>
              <w:right w:val="single" w:sz="4" w:space="0" w:color="000000"/>
            </w:tcBorders>
          </w:tcPr>
          <w:p w14:paraId="369F288F" w14:textId="77777777" w:rsidR="00841BE0" w:rsidRPr="00841BE0" w:rsidRDefault="00841BE0" w:rsidP="00412655">
            <w:pPr>
              <w:widowControl/>
              <w:autoSpaceDE/>
              <w:autoSpaceDN/>
              <w:ind w:left="142"/>
              <w:rPr>
                <w:rFonts w:ascii="Times New Roman" w:eastAsia="Times New Roman" w:hAnsi="Times New Roman"/>
                <w:sz w:val="22"/>
                <w:lang w:val="da-DK"/>
              </w:rPr>
            </w:pPr>
          </w:p>
        </w:tc>
        <w:tc>
          <w:tcPr>
            <w:tcW w:w="1079" w:type="pct"/>
            <w:vMerge w:val="restart"/>
            <w:tcBorders>
              <w:top w:val="single" w:sz="4" w:space="0" w:color="000000"/>
              <w:left w:val="single" w:sz="4" w:space="0" w:color="000000"/>
              <w:bottom w:val="single" w:sz="4" w:space="0" w:color="000000"/>
              <w:right w:val="single" w:sz="4" w:space="0" w:color="000000"/>
            </w:tcBorders>
            <w:hideMark/>
          </w:tcPr>
          <w:p w14:paraId="12E3D9AF" w14:textId="77777777" w:rsidR="00841BE0" w:rsidRPr="00841BE0" w:rsidRDefault="00841BE0" w:rsidP="00412655">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Placebo</w:t>
            </w:r>
          </w:p>
        </w:tc>
        <w:tc>
          <w:tcPr>
            <w:tcW w:w="2389" w:type="pct"/>
            <w:gridSpan w:val="2"/>
            <w:tcBorders>
              <w:top w:val="single" w:sz="4" w:space="0" w:color="000000"/>
              <w:left w:val="single" w:sz="4" w:space="0" w:color="000000"/>
              <w:bottom w:val="single" w:sz="4" w:space="0" w:color="000000"/>
              <w:right w:val="single" w:sz="4" w:space="0" w:color="000000"/>
            </w:tcBorders>
            <w:hideMark/>
          </w:tcPr>
          <w:p w14:paraId="4A22B8FC" w14:textId="77777777" w:rsidR="00841BE0" w:rsidRPr="00841BE0" w:rsidRDefault="00841BE0" w:rsidP="00412655">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Empagliflozin</w:t>
            </w:r>
          </w:p>
        </w:tc>
      </w:tr>
      <w:tr w:rsidR="00841BE0" w:rsidRPr="00841BE0" w14:paraId="26DA7892" w14:textId="77777777" w:rsidTr="00412655">
        <w:trPr>
          <w:trHeight w:val="251"/>
        </w:trPr>
        <w:tc>
          <w:tcPr>
            <w:tcW w:w="1531" w:type="pct"/>
            <w:vMerge/>
            <w:tcBorders>
              <w:top w:val="single" w:sz="4" w:space="0" w:color="000000"/>
              <w:left w:val="single" w:sz="4" w:space="0" w:color="000000"/>
              <w:bottom w:val="single" w:sz="4" w:space="0" w:color="000000"/>
              <w:right w:val="single" w:sz="4" w:space="0" w:color="000000"/>
            </w:tcBorders>
            <w:vAlign w:val="center"/>
            <w:hideMark/>
          </w:tcPr>
          <w:p w14:paraId="1DCD7550" w14:textId="77777777" w:rsidR="00841BE0" w:rsidRPr="00841BE0" w:rsidRDefault="00841BE0" w:rsidP="00412655">
            <w:pPr>
              <w:widowControl/>
              <w:autoSpaceDE/>
              <w:autoSpaceDN/>
              <w:ind w:left="142"/>
              <w:rPr>
                <w:rFonts w:ascii="Times New Roman" w:eastAsia="Times New Roman" w:hAnsi="Times New Roman"/>
                <w:sz w:val="22"/>
              </w:rPr>
            </w:pPr>
          </w:p>
        </w:tc>
        <w:tc>
          <w:tcPr>
            <w:tcW w:w="1079" w:type="pct"/>
            <w:vMerge/>
            <w:tcBorders>
              <w:top w:val="single" w:sz="4" w:space="0" w:color="000000"/>
              <w:left w:val="single" w:sz="4" w:space="0" w:color="000000"/>
              <w:bottom w:val="single" w:sz="4" w:space="0" w:color="000000"/>
              <w:right w:val="single" w:sz="4" w:space="0" w:color="000000"/>
            </w:tcBorders>
            <w:vAlign w:val="center"/>
            <w:hideMark/>
          </w:tcPr>
          <w:p w14:paraId="6E1A4551" w14:textId="77777777" w:rsidR="00841BE0" w:rsidRPr="00841BE0" w:rsidRDefault="00841BE0" w:rsidP="00412655">
            <w:pPr>
              <w:widowControl/>
              <w:autoSpaceDE/>
              <w:autoSpaceDN/>
              <w:ind w:left="142"/>
              <w:rPr>
                <w:rFonts w:ascii="Times New Roman" w:eastAsia="Times New Roman" w:hAnsi="Times New Roman"/>
                <w:b/>
                <w:sz w:val="22"/>
              </w:rPr>
            </w:pPr>
          </w:p>
        </w:tc>
        <w:tc>
          <w:tcPr>
            <w:tcW w:w="1233" w:type="pct"/>
            <w:tcBorders>
              <w:top w:val="single" w:sz="4" w:space="0" w:color="000000"/>
              <w:left w:val="single" w:sz="4" w:space="0" w:color="000000"/>
              <w:bottom w:val="single" w:sz="4" w:space="0" w:color="000000"/>
              <w:right w:val="single" w:sz="4" w:space="0" w:color="000000"/>
            </w:tcBorders>
            <w:hideMark/>
          </w:tcPr>
          <w:p w14:paraId="00E22AAB" w14:textId="77777777" w:rsidR="00841BE0" w:rsidRPr="00841BE0" w:rsidRDefault="00841BE0" w:rsidP="00412655">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10 mg</w:t>
            </w:r>
          </w:p>
        </w:tc>
        <w:tc>
          <w:tcPr>
            <w:tcW w:w="1156" w:type="pct"/>
            <w:tcBorders>
              <w:top w:val="single" w:sz="4" w:space="0" w:color="000000"/>
              <w:left w:val="single" w:sz="4" w:space="0" w:color="000000"/>
              <w:bottom w:val="single" w:sz="4" w:space="0" w:color="000000"/>
              <w:right w:val="single" w:sz="4" w:space="0" w:color="000000"/>
            </w:tcBorders>
            <w:hideMark/>
          </w:tcPr>
          <w:p w14:paraId="7F8B8782" w14:textId="77777777" w:rsidR="00841BE0" w:rsidRPr="00841BE0" w:rsidRDefault="00841BE0" w:rsidP="00412655">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25 mg</w:t>
            </w:r>
          </w:p>
        </w:tc>
      </w:tr>
      <w:tr w:rsidR="00841BE0" w:rsidRPr="00841BE0" w14:paraId="480545D8" w14:textId="77777777" w:rsidTr="00412655">
        <w:trPr>
          <w:trHeight w:val="253"/>
        </w:trPr>
        <w:tc>
          <w:tcPr>
            <w:tcW w:w="1531" w:type="pct"/>
            <w:tcBorders>
              <w:top w:val="single" w:sz="4" w:space="0" w:color="000000"/>
              <w:left w:val="single" w:sz="4" w:space="0" w:color="000000"/>
              <w:bottom w:val="single" w:sz="4" w:space="0" w:color="000000"/>
              <w:right w:val="single" w:sz="4" w:space="0" w:color="000000"/>
            </w:tcBorders>
            <w:hideMark/>
          </w:tcPr>
          <w:p w14:paraId="26503F19"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N</w:t>
            </w:r>
          </w:p>
        </w:tc>
        <w:tc>
          <w:tcPr>
            <w:tcW w:w="1079" w:type="pct"/>
            <w:tcBorders>
              <w:top w:val="single" w:sz="4" w:space="0" w:color="000000"/>
              <w:left w:val="single" w:sz="4" w:space="0" w:color="000000"/>
              <w:bottom w:val="single" w:sz="4" w:space="0" w:color="000000"/>
              <w:right w:val="single" w:sz="4" w:space="0" w:color="000000"/>
            </w:tcBorders>
            <w:hideMark/>
          </w:tcPr>
          <w:p w14:paraId="6F91758D"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271</w:t>
            </w:r>
          </w:p>
        </w:tc>
        <w:tc>
          <w:tcPr>
            <w:tcW w:w="1233" w:type="pct"/>
            <w:tcBorders>
              <w:top w:val="single" w:sz="4" w:space="0" w:color="000000"/>
              <w:left w:val="single" w:sz="4" w:space="0" w:color="000000"/>
              <w:bottom w:val="single" w:sz="4" w:space="0" w:color="000000"/>
              <w:right w:val="single" w:sz="4" w:space="0" w:color="000000"/>
            </w:tcBorders>
            <w:hideMark/>
          </w:tcPr>
          <w:p w14:paraId="3A578966"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276</w:t>
            </w:r>
          </w:p>
        </w:tc>
        <w:tc>
          <w:tcPr>
            <w:tcW w:w="1156" w:type="pct"/>
            <w:tcBorders>
              <w:top w:val="single" w:sz="4" w:space="0" w:color="000000"/>
              <w:left w:val="single" w:sz="4" w:space="0" w:color="000000"/>
              <w:bottom w:val="single" w:sz="4" w:space="0" w:color="000000"/>
              <w:right w:val="single" w:sz="4" w:space="0" w:color="000000"/>
            </w:tcBorders>
            <w:hideMark/>
          </w:tcPr>
          <w:p w14:paraId="4B3EEC8A"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276</w:t>
            </w:r>
          </w:p>
        </w:tc>
      </w:tr>
      <w:tr w:rsidR="00841BE0" w:rsidRPr="00841BE0" w14:paraId="1DCD17A6" w14:textId="77777777" w:rsidTr="00412655">
        <w:trPr>
          <w:trHeight w:val="254"/>
        </w:trPr>
        <w:tc>
          <w:tcPr>
            <w:tcW w:w="5000" w:type="pct"/>
            <w:gridSpan w:val="4"/>
            <w:tcBorders>
              <w:top w:val="single" w:sz="4" w:space="0" w:color="000000"/>
              <w:left w:val="single" w:sz="4" w:space="0" w:color="000000"/>
              <w:bottom w:val="single" w:sz="4" w:space="0" w:color="000000"/>
              <w:right w:val="single" w:sz="4" w:space="0" w:color="000000"/>
            </w:tcBorders>
            <w:hideMark/>
          </w:tcPr>
          <w:p w14:paraId="0D5555E6" w14:textId="77777777" w:rsidR="00841BE0" w:rsidRPr="00841BE0" w:rsidRDefault="00841BE0" w:rsidP="00412655">
            <w:pPr>
              <w:widowControl/>
              <w:autoSpaceDE/>
              <w:autoSpaceDN/>
              <w:ind w:left="142"/>
              <w:rPr>
                <w:rFonts w:ascii="Times New Roman" w:eastAsia="Times New Roman" w:hAnsi="Times New Roman"/>
                <w:b/>
                <w:sz w:val="22"/>
              </w:rPr>
            </w:pPr>
            <w:r w:rsidRPr="00841BE0">
              <w:rPr>
                <w:rFonts w:ascii="Times New Roman" w:eastAsia="Times New Roman" w:hAnsi="Times New Roman"/>
                <w:b/>
                <w:sz w:val="22"/>
              </w:rPr>
              <w:t xml:space="preserve">HbA1c (%) </w:t>
            </w:r>
            <w:proofErr w:type="spellStart"/>
            <w:r w:rsidRPr="00841BE0">
              <w:rPr>
                <w:rFonts w:ascii="Times New Roman" w:eastAsia="Times New Roman" w:hAnsi="Times New Roman"/>
                <w:b/>
                <w:sz w:val="22"/>
              </w:rPr>
              <w:t>ved</w:t>
            </w:r>
            <w:proofErr w:type="spellEnd"/>
            <w:r w:rsidRPr="00841BE0">
              <w:rPr>
                <w:rFonts w:ascii="Times New Roman" w:eastAsia="Times New Roman" w:hAnsi="Times New Roman"/>
                <w:b/>
                <w:sz w:val="22"/>
              </w:rPr>
              <w:t xml:space="preserve"> </w:t>
            </w:r>
            <w:proofErr w:type="spellStart"/>
            <w:r w:rsidRPr="00841BE0">
              <w:rPr>
                <w:rFonts w:ascii="Times New Roman" w:eastAsia="Times New Roman" w:hAnsi="Times New Roman"/>
                <w:b/>
                <w:sz w:val="22"/>
              </w:rPr>
              <w:t>uge</w:t>
            </w:r>
            <w:proofErr w:type="spellEnd"/>
            <w:r w:rsidRPr="00841BE0">
              <w:rPr>
                <w:rFonts w:ascii="Times New Roman" w:eastAsia="Times New Roman" w:hAnsi="Times New Roman"/>
                <w:b/>
                <w:sz w:val="22"/>
              </w:rPr>
              <w:t> 12</w:t>
            </w:r>
            <w:r w:rsidRPr="00841BE0">
              <w:rPr>
                <w:rFonts w:ascii="Times New Roman" w:eastAsia="Times New Roman" w:hAnsi="Times New Roman"/>
                <w:b/>
                <w:sz w:val="22"/>
                <w:vertAlign w:val="superscript"/>
              </w:rPr>
              <w:t>1</w:t>
            </w:r>
          </w:p>
        </w:tc>
      </w:tr>
      <w:tr w:rsidR="00841BE0" w:rsidRPr="00841BE0" w14:paraId="14607AEA" w14:textId="77777777" w:rsidTr="00412655">
        <w:trPr>
          <w:trHeight w:val="251"/>
        </w:trPr>
        <w:tc>
          <w:tcPr>
            <w:tcW w:w="1531" w:type="pct"/>
            <w:tcBorders>
              <w:top w:val="single" w:sz="4" w:space="0" w:color="000000"/>
              <w:left w:val="single" w:sz="4" w:space="0" w:color="000000"/>
              <w:bottom w:val="single" w:sz="4" w:space="0" w:color="000000"/>
              <w:right w:val="single" w:sz="4" w:space="0" w:color="000000"/>
            </w:tcBorders>
            <w:hideMark/>
          </w:tcPr>
          <w:p w14:paraId="6010EC88"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i/>
                <w:sz w:val="22"/>
              </w:rPr>
              <w:t xml:space="preserve">Baseline </w:t>
            </w:r>
            <w:r w:rsidRPr="00841BE0">
              <w:rPr>
                <w:rFonts w:ascii="Times New Roman" w:eastAsia="Times New Roman" w:hAnsi="Times New Roman"/>
                <w:sz w:val="22"/>
              </w:rPr>
              <w:t>(</w:t>
            </w:r>
            <w:proofErr w:type="spellStart"/>
            <w:r w:rsidRPr="00841BE0">
              <w:rPr>
                <w:rFonts w:ascii="Times New Roman" w:eastAsia="Times New Roman" w:hAnsi="Times New Roman"/>
                <w:sz w:val="22"/>
              </w:rPr>
              <w:t>middelværdi</w:t>
            </w:r>
            <w:proofErr w:type="spellEnd"/>
            <w:r w:rsidRPr="00841BE0">
              <w:rPr>
                <w:rFonts w:ascii="Times New Roman" w:eastAsia="Times New Roman" w:hAnsi="Times New Roman"/>
                <w:sz w:val="22"/>
              </w:rPr>
              <w:t>)</w:t>
            </w:r>
          </w:p>
        </w:tc>
        <w:tc>
          <w:tcPr>
            <w:tcW w:w="1079" w:type="pct"/>
            <w:tcBorders>
              <w:top w:val="single" w:sz="4" w:space="0" w:color="000000"/>
              <w:left w:val="single" w:sz="4" w:space="0" w:color="000000"/>
              <w:bottom w:val="single" w:sz="4" w:space="0" w:color="000000"/>
              <w:right w:val="single" w:sz="4" w:space="0" w:color="000000"/>
            </w:tcBorders>
            <w:hideMark/>
          </w:tcPr>
          <w:p w14:paraId="044F0436"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7,90</w:t>
            </w:r>
          </w:p>
        </w:tc>
        <w:tc>
          <w:tcPr>
            <w:tcW w:w="1233" w:type="pct"/>
            <w:tcBorders>
              <w:top w:val="single" w:sz="4" w:space="0" w:color="000000"/>
              <w:left w:val="single" w:sz="4" w:space="0" w:color="000000"/>
              <w:bottom w:val="single" w:sz="4" w:space="0" w:color="000000"/>
              <w:right w:val="single" w:sz="4" w:space="0" w:color="000000"/>
            </w:tcBorders>
            <w:hideMark/>
          </w:tcPr>
          <w:p w14:paraId="6661472F"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7,87</w:t>
            </w:r>
          </w:p>
        </w:tc>
        <w:tc>
          <w:tcPr>
            <w:tcW w:w="1156" w:type="pct"/>
            <w:tcBorders>
              <w:top w:val="single" w:sz="4" w:space="0" w:color="000000"/>
              <w:left w:val="single" w:sz="4" w:space="0" w:color="000000"/>
              <w:bottom w:val="single" w:sz="4" w:space="0" w:color="000000"/>
              <w:right w:val="single" w:sz="4" w:space="0" w:color="000000"/>
            </w:tcBorders>
            <w:hideMark/>
          </w:tcPr>
          <w:p w14:paraId="3CF4BF6D"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7,92</w:t>
            </w:r>
          </w:p>
        </w:tc>
      </w:tr>
      <w:tr w:rsidR="00841BE0" w:rsidRPr="00841BE0" w14:paraId="50FFB612" w14:textId="77777777" w:rsidTr="00412655">
        <w:trPr>
          <w:trHeight w:val="254"/>
        </w:trPr>
        <w:tc>
          <w:tcPr>
            <w:tcW w:w="1531" w:type="pct"/>
            <w:tcBorders>
              <w:top w:val="single" w:sz="4" w:space="0" w:color="000000"/>
              <w:left w:val="single" w:sz="4" w:space="0" w:color="000000"/>
              <w:bottom w:val="single" w:sz="4" w:space="0" w:color="000000"/>
              <w:right w:val="single" w:sz="4" w:space="0" w:color="000000"/>
            </w:tcBorders>
            <w:hideMark/>
          </w:tcPr>
          <w:p w14:paraId="54580CF7" w14:textId="77777777" w:rsidR="00841BE0" w:rsidRPr="00841BE0" w:rsidRDefault="00841BE0" w:rsidP="00412655">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Ændring</w:t>
            </w:r>
            <w:proofErr w:type="spellEnd"/>
            <w:r w:rsidRPr="00841BE0">
              <w:rPr>
                <w:rFonts w:ascii="Times New Roman" w:eastAsia="Times New Roman" w:hAnsi="Times New Roman"/>
                <w:sz w:val="22"/>
              </w:rPr>
              <w:t xml:space="preserve"> fra </w:t>
            </w:r>
            <w:r w:rsidRPr="00841BE0">
              <w:rPr>
                <w:rFonts w:ascii="Times New Roman" w:eastAsia="Times New Roman" w:hAnsi="Times New Roman"/>
                <w:i/>
                <w:sz w:val="22"/>
              </w:rPr>
              <w:t>baseline</w:t>
            </w:r>
            <w:r w:rsidRPr="00841BE0">
              <w:rPr>
                <w:rFonts w:ascii="Times New Roman" w:eastAsia="Times New Roman" w:hAnsi="Times New Roman"/>
                <w:sz w:val="22"/>
                <w:vertAlign w:val="superscript"/>
              </w:rPr>
              <w:t>2</w:t>
            </w:r>
          </w:p>
        </w:tc>
        <w:tc>
          <w:tcPr>
            <w:tcW w:w="1079" w:type="pct"/>
            <w:tcBorders>
              <w:top w:val="single" w:sz="4" w:space="0" w:color="000000"/>
              <w:left w:val="single" w:sz="4" w:space="0" w:color="000000"/>
              <w:bottom w:val="single" w:sz="4" w:space="0" w:color="000000"/>
              <w:right w:val="single" w:sz="4" w:space="0" w:color="000000"/>
            </w:tcBorders>
            <w:hideMark/>
          </w:tcPr>
          <w:p w14:paraId="50F65524"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0,03</w:t>
            </w:r>
          </w:p>
        </w:tc>
        <w:tc>
          <w:tcPr>
            <w:tcW w:w="1233" w:type="pct"/>
            <w:tcBorders>
              <w:top w:val="single" w:sz="4" w:space="0" w:color="000000"/>
              <w:left w:val="single" w:sz="4" w:space="0" w:color="000000"/>
              <w:bottom w:val="single" w:sz="4" w:space="0" w:color="000000"/>
              <w:right w:val="single" w:sz="4" w:space="0" w:color="000000"/>
            </w:tcBorders>
            <w:hideMark/>
          </w:tcPr>
          <w:p w14:paraId="152D381F"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0,59</w:t>
            </w:r>
          </w:p>
        </w:tc>
        <w:tc>
          <w:tcPr>
            <w:tcW w:w="1156" w:type="pct"/>
            <w:tcBorders>
              <w:top w:val="single" w:sz="4" w:space="0" w:color="000000"/>
              <w:left w:val="single" w:sz="4" w:space="0" w:color="000000"/>
              <w:bottom w:val="single" w:sz="4" w:space="0" w:color="000000"/>
              <w:right w:val="single" w:sz="4" w:space="0" w:color="000000"/>
            </w:tcBorders>
            <w:hideMark/>
          </w:tcPr>
          <w:p w14:paraId="02CEC246"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0,62</w:t>
            </w:r>
          </w:p>
        </w:tc>
      </w:tr>
      <w:tr w:rsidR="00841BE0" w:rsidRPr="00841BE0" w14:paraId="1371A667" w14:textId="77777777" w:rsidTr="00412655">
        <w:trPr>
          <w:trHeight w:val="505"/>
        </w:trPr>
        <w:tc>
          <w:tcPr>
            <w:tcW w:w="1531" w:type="pct"/>
            <w:tcBorders>
              <w:top w:val="single" w:sz="4" w:space="0" w:color="000000"/>
              <w:left w:val="single" w:sz="4" w:space="0" w:color="000000"/>
              <w:bottom w:val="single" w:sz="4" w:space="0" w:color="000000"/>
              <w:right w:val="single" w:sz="4" w:space="0" w:color="000000"/>
            </w:tcBorders>
            <w:hideMark/>
          </w:tcPr>
          <w:p w14:paraId="7CF8A4AF" w14:textId="77777777" w:rsidR="00841BE0" w:rsidRPr="00841BE0" w:rsidRDefault="00841BE0" w:rsidP="00412655">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Forskel</w:t>
            </w:r>
            <w:proofErr w:type="spellEnd"/>
            <w:r w:rsidRPr="00841BE0">
              <w:rPr>
                <w:rFonts w:ascii="Times New Roman" w:eastAsia="Times New Roman" w:hAnsi="Times New Roman"/>
                <w:sz w:val="22"/>
              </w:rPr>
              <w:t xml:space="preserve"> </w:t>
            </w:r>
            <w:proofErr w:type="spellStart"/>
            <w:r w:rsidRPr="00841BE0">
              <w:rPr>
                <w:rFonts w:ascii="Times New Roman" w:eastAsia="Times New Roman" w:hAnsi="Times New Roman"/>
                <w:sz w:val="22"/>
              </w:rPr>
              <w:t>til</w:t>
            </w:r>
            <w:proofErr w:type="spellEnd"/>
            <w:r w:rsidRPr="00841BE0">
              <w:rPr>
                <w:rFonts w:ascii="Times New Roman" w:eastAsia="Times New Roman" w:hAnsi="Times New Roman"/>
                <w:sz w:val="22"/>
              </w:rPr>
              <w:t xml:space="preserve"> placebo</w:t>
            </w:r>
            <w:r w:rsidRPr="00841BE0">
              <w:rPr>
                <w:rFonts w:ascii="Times New Roman" w:eastAsia="Times New Roman" w:hAnsi="Times New Roman"/>
                <w:sz w:val="22"/>
                <w:vertAlign w:val="superscript"/>
              </w:rPr>
              <w:t>1</w:t>
            </w:r>
          </w:p>
          <w:p w14:paraId="69D2BDBD"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(95 % CI)</w:t>
            </w:r>
            <w:r w:rsidRPr="00841BE0">
              <w:rPr>
                <w:rFonts w:ascii="Times New Roman" w:eastAsia="Times New Roman" w:hAnsi="Times New Roman"/>
                <w:sz w:val="22"/>
                <w:vertAlign w:val="superscript"/>
              </w:rPr>
              <w:t>2</w:t>
            </w:r>
          </w:p>
        </w:tc>
        <w:tc>
          <w:tcPr>
            <w:tcW w:w="1079" w:type="pct"/>
            <w:tcBorders>
              <w:top w:val="single" w:sz="4" w:space="0" w:color="000000"/>
              <w:left w:val="single" w:sz="4" w:space="0" w:color="000000"/>
              <w:bottom w:val="single" w:sz="4" w:space="0" w:color="000000"/>
              <w:right w:val="single" w:sz="4" w:space="0" w:color="000000"/>
            </w:tcBorders>
          </w:tcPr>
          <w:p w14:paraId="54C5F8B7" w14:textId="77777777" w:rsidR="00841BE0" w:rsidRPr="00841BE0" w:rsidRDefault="00841BE0" w:rsidP="00412655">
            <w:pPr>
              <w:widowControl/>
              <w:autoSpaceDE/>
              <w:autoSpaceDN/>
              <w:ind w:left="142"/>
              <w:rPr>
                <w:rFonts w:ascii="Times New Roman" w:eastAsia="Times New Roman" w:hAnsi="Times New Roman"/>
                <w:sz w:val="22"/>
              </w:rPr>
            </w:pPr>
          </w:p>
        </w:tc>
        <w:tc>
          <w:tcPr>
            <w:tcW w:w="1233" w:type="pct"/>
            <w:tcBorders>
              <w:top w:val="single" w:sz="4" w:space="0" w:color="000000"/>
              <w:left w:val="single" w:sz="4" w:space="0" w:color="000000"/>
              <w:bottom w:val="single" w:sz="4" w:space="0" w:color="000000"/>
              <w:right w:val="single" w:sz="4" w:space="0" w:color="000000"/>
            </w:tcBorders>
            <w:hideMark/>
          </w:tcPr>
          <w:p w14:paraId="49E36463"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0,62* (</w:t>
            </w:r>
            <w:r w:rsidRPr="00841BE0">
              <w:rPr>
                <w:rFonts w:ascii="Times New Roman" w:eastAsia="Times New Roman" w:hAnsi="Times New Roman"/>
                <w:sz w:val="22"/>
              </w:rPr>
              <w:noBreakHyphen/>
            </w:r>
            <w:proofErr w:type="gramStart"/>
            <w:r w:rsidRPr="00841BE0">
              <w:rPr>
                <w:rFonts w:ascii="Times New Roman" w:eastAsia="Times New Roman" w:hAnsi="Times New Roman"/>
                <w:sz w:val="22"/>
              </w:rPr>
              <w:t xml:space="preserve">0,72;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0,52)</w:t>
            </w:r>
          </w:p>
        </w:tc>
        <w:tc>
          <w:tcPr>
            <w:tcW w:w="1156" w:type="pct"/>
            <w:tcBorders>
              <w:top w:val="single" w:sz="4" w:space="0" w:color="000000"/>
              <w:left w:val="single" w:sz="4" w:space="0" w:color="000000"/>
              <w:bottom w:val="single" w:sz="4" w:space="0" w:color="000000"/>
              <w:right w:val="single" w:sz="4" w:space="0" w:color="000000"/>
            </w:tcBorders>
            <w:hideMark/>
          </w:tcPr>
          <w:p w14:paraId="338F16FD"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0,65* (</w:t>
            </w:r>
            <w:r w:rsidRPr="00841BE0">
              <w:rPr>
                <w:rFonts w:ascii="Times New Roman" w:eastAsia="Times New Roman" w:hAnsi="Times New Roman"/>
                <w:sz w:val="22"/>
              </w:rPr>
              <w:noBreakHyphen/>
            </w:r>
            <w:proofErr w:type="gramStart"/>
            <w:r w:rsidRPr="00841BE0">
              <w:rPr>
                <w:rFonts w:ascii="Times New Roman" w:eastAsia="Times New Roman" w:hAnsi="Times New Roman"/>
                <w:sz w:val="22"/>
              </w:rPr>
              <w:t xml:space="preserve">0,75;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0,55)</w:t>
            </w:r>
          </w:p>
        </w:tc>
      </w:tr>
      <w:tr w:rsidR="00841BE0" w:rsidRPr="00841BE0" w14:paraId="2A0B7289" w14:textId="77777777" w:rsidTr="00412655">
        <w:trPr>
          <w:trHeight w:val="251"/>
        </w:trPr>
        <w:tc>
          <w:tcPr>
            <w:tcW w:w="5000" w:type="pct"/>
            <w:gridSpan w:val="4"/>
            <w:tcBorders>
              <w:top w:val="single" w:sz="4" w:space="0" w:color="000000"/>
              <w:left w:val="single" w:sz="4" w:space="0" w:color="000000"/>
              <w:bottom w:val="single" w:sz="4" w:space="0" w:color="000000"/>
              <w:right w:val="single" w:sz="4" w:space="0" w:color="000000"/>
            </w:tcBorders>
            <w:hideMark/>
          </w:tcPr>
          <w:p w14:paraId="0A0983A1"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b/>
                <w:sz w:val="22"/>
              </w:rPr>
              <w:t xml:space="preserve">24 timers SBP </w:t>
            </w:r>
            <w:proofErr w:type="spellStart"/>
            <w:r w:rsidRPr="00841BE0">
              <w:rPr>
                <w:rFonts w:ascii="Times New Roman" w:eastAsia="Times New Roman" w:hAnsi="Times New Roman"/>
                <w:b/>
                <w:sz w:val="22"/>
              </w:rPr>
              <w:t>ved</w:t>
            </w:r>
            <w:proofErr w:type="spellEnd"/>
            <w:r w:rsidRPr="00841BE0">
              <w:rPr>
                <w:rFonts w:ascii="Times New Roman" w:eastAsia="Times New Roman" w:hAnsi="Times New Roman"/>
                <w:b/>
                <w:sz w:val="22"/>
              </w:rPr>
              <w:t xml:space="preserve"> </w:t>
            </w:r>
            <w:proofErr w:type="spellStart"/>
            <w:r w:rsidRPr="00841BE0">
              <w:rPr>
                <w:rFonts w:ascii="Times New Roman" w:eastAsia="Times New Roman" w:hAnsi="Times New Roman"/>
                <w:b/>
                <w:sz w:val="22"/>
              </w:rPr>
              <w:t>uge</w:t>
            </w:r>
            <w:proofErr w:type="spellEnd"/>
            <w:r w:rsidRPr="00841BE0">
              <w:rPr>
                <w:rFonts w:ascii="Times New Roman" w:eastAsia="Times New Roman" w:hAnsi="Times New Roman"/>
                <w:b/>
                <w:sz w:val="22"/>
              </w:rPr>
              <w:t> 12</w:t>
            </w:r>
            <w:r w:rsidRPr="00841BE0">
              <w:rPr>
                <w:rFonts w:ascii="Times New Roman" w:eastAsia="Times New Roman" w:hAnsi="Times New Roman"/>
                <w:sz w:val="22"/>
                <w:vertAlign w:val="superscript"/>
              </w:rPr>
              <w:t>3</w:t>
            </w:r>
          </w:p>
        </w:tc>
      </w:tr>
      <w:tr w:rsidR="00841BE0" w:rsidRPr="00841BE0" w14:paraId="27B5C53A" w14:textId="77777777" w:rsidTr="00412655">
        <w:trPr>
          <w:trHeight w:val="254"/>
        </w:trPr>
        <w:tc>
          <w:tcPr>
            <w:tcW w:w="1531" w:type="pct"/>
            <w:tcBorders>
              <w:top w:val="single" w:sz="4" w:space="0" w:color="000000"/>
              <w:left w:val="single" w:sz="4" w:space="0" w:color="000000"/>
              <w:bottom w:val="single" w:sz="4" w:space="0" w:color="000000"/>
              <w:right w:val="single" w:sz="4" w:space="0" w:color="000000"/>
            </w:tcBorders>
            <w:hideMark/>
          </w:tcPr>
          <w:p w14:paraId="1435AA58"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i/>
                <w:sz w:val="22"/>
              </w:rPr>
              <w:t xml:space="preserve">Baseline </w:t>
            </w:r>
            <w:r w:rsidRPr="00841BE0">
              <w:rPr>
                <w:rFonts w:ascii="Times New Roman" w:eastAsia="Times New Roman" w:hAnsi="Times New Roman"/>
                <w:sz w:val="22"/>
              </w:rPr>
              <w:t>(</w:t>
            </w:r>
            <w:proofErr w:type="spellStart"/>
            <w:r w:rsidRPr="00841BE0">
              <w:rPr>
                <w:rFonts w:ascii="Times New Roman" w:eastAsia="Times New Roman" w:hAnsi="Times New Roman"/>
                <w:sz w:val="22"/>
              </w:rPr>
              <w:t>middelværdi</w:t>
            </w:r>
            <w:proofErr w:type="spellEnd"/>
            <w:r w:rsidRPr="00841BE0">
              <w:rPr>
                <w:rFonts w:ascii="Times New Roman" w:eastAsia="Times New Roman" w:hAnsi="Times New Roman"/>
                <w:sz w:val="22"/>
              </w:rPr>
              <w:t>)</w:t>
            </w:r>
          </w:p>
        </w:tc>
        <w:tc>
          <w:tcPr>
            <w:tcW w:w="1079" w:type="pct"/>
            <w:tcBorders>
              <w:top w:val="single" w:sz="4" w:space="0" w:color="000000"/>
              <w:left w:val="single" w:sz="4" w:space="0" w:color="000000"/>
              <w:bottom w:val="single" w:sz="4" w:space="0" w:color="000000"/>
              <w:right w:val="single" w:sz="4" w:space="0" w:color="000000"/>
            </w:tcBorders>
            <w:hideMark/>
          </w:tcPr>
          <w:p w14:paraId="69D4AAC3"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131,72</w:t>
            </w:r>
          </w:p>
        </w:tc>
        <w:tc>
          <w:tcPr>
            <w:tcW w:w="1233" w:type="pct"/>
            <w:tcBorders>
              <w:top w:val="single" w:sz="4" w:space="0" w:color="000000"/>
              <w:left w:val="single" w:sz="4" w:space="0" w:color="000000"/>
              <w:bottom w:val="single" w:sz="4" w:space="0" w:color="000000"/>
              <w:right w:val="single" w:sz="4" w:space="0" w:color="000000"/>
            </w:tcBorders>
            <w:hideMark/>
          </w:tcPr>
          <w:p w14:paraId="1EA7EEE8"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131,34</w:t>
            </w:r>
          </w:p>
        </w:tc>
        <w:tc>
          <w:tcPr>
            <w:tcW w:w="1156" w:type="pct"/>
            <w:tcBorders>
              <w:top w:val="single" w:sz="4" w:space="0" w:color="000000"/>
              <w:left w:val="single" w:sz="4" w:space="0" w:color="000000"/>
              <w:bottom w:val="single" w:sz="4" w:space="0" w:color="000000"/>
              <w:right w:val="single" w:sz="4" w:space="0" w:color="000000"/>
            </w:tcBorders>
            <w:hideMark/>
          </w:tcPr>
          <w:p w14:paraId="2B84FB9F"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131,18</w:t>
            </w:r>
          </w:p>
        </w:tc>
      </w:tr>
      <w:tr w:rsidR="00841BE0" w:rsidRPr="00841BE0" w14:paraId="7CC4BCC3" w14:textId="77777777" w:rsidTr="00412655">
        <w:trPr>
          <w:trHeight w:val="251"/>
        </w:trPr>
        <w:tc>
          <w:tcPr>
            <w:tcW w:w="1531" w:type="pct"/>
            <w:tcBorders>
              <w:top w:val="single" w:sz="4" w:space="0" w:color="000000"/>
              <w:left w:val="single" w:sz="4" w:space="0" w:color="000000"/>
              <w:bottom w:val="single" w:sz="4" w:space="0" w:color="000000"/>
              <w:right w:val="single" w:sz="4" w:space="0" w:color="000000"/>
            </w:tcBorders>
            <w:hideMark/>
          </w:tcPr>
          <w:p w14:paraId="035BF9F9" w14:textId="77777777" w:rsidR="00841BE0" w:rsidRPr="00841BE0" w:rsidRDefault="00841BE0" w:rsidP="00412655">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Ændring</w:t>
            </w:r>
            <w:proofErr w:type="spellEnd"/>
            <w:r w:rsidRPr="00841BE0">
              <w:rPr>
                <w:rFonts w:ascii="Times New Roman" w:eastAsia="Times New Roman" w:hAnsi="Times New Roman"/>
                <w:sz w:val="22"/>
              </w:rPr>
              <w:t xml:space="preserve"> fra </w:t>
            </w:r>
            <w:r w:rsidRPr="00841BE0">
              <w:rPr>
                <w:rFonts w:ascii="Times New Roman" w:eastAsia="Times New Roman" w:hAnsi="Times New Roman"/>
                <w:i/>
                <w:sz w:val="22"/>
              </w:rPr>
              <w:t>baseline</w:t>
            </w:r>
            <w:r w:rsidRPr="00841BE0">
              <w:rPr>
                <w:rFonts w:ascii="Times New Roman" w:eastAsia="Times New Roman" w:hAnsi="Times New Roman"/>
                <w:sz w:val="22"/>
                <w:vertAlign w:val="superscript"/>
              </w:rPr>
              <w:t>4</w:t>
            </w:r>
          </w:p>
        </w:tc>
        <w:tc>
          <w:tcPr>
            <w:tcW w:w="1079" w:type="pct"/>
            <w:tcBorders>
              <w:top w:val="single" w:sz="4" w:space="0" w:color="000000"/>
              <w:left w:val="single" w:sz="4" w:space="0" w:color="000000"/>
              <w:bottom w:val="single" w:sz="4" w:space="0" w:color="000000"/>
              <w:right w:val="single" w:sz="4" w:space="0" w:color="000000"/>
            </w:tcBorders>
            <w:hideMark/>
          </w:tcPr>
          <w:p w14:paraId="7A9165E6"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0,48</w:t>
            </w:r>
          </w:p>
        </w:tc>
        <w:tc>
          <w:tcPr>
            <w:tcW w:w="1233" w:type="pct"/>
            <w:tcBorders>
              <w:top w:val="single" w:sz="4" w:space="0" w:color="000000"/>
              <w:left w:val="single" w:sz="4" w:space="0" w:color="000000"/>
              <w:bottom w:val="single" w:sz="4" w:space="0" w:color="000000"/>
              <w:right w:val="single" w:sz="4" w:space="0" w:color="000000"/>
            </w:tcBorders>
            <w:hideMark/>
          </w:tcPr>
          <w:p w14:paraId="36FF1B59"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2,95</w:t>
            </w:r>
          </w:p>
        </w:tc>
        <w:tc>
          <w:tcPr>
            <w:tcW w:w="1156" w:type="pct"/>
            <w:tcBorders>
              <w:top w:val="single" w:sz="4" w:space="0" w:color="000000"/>
              <w:left w:val="single" w:sz="4" w:space="0" w:color="000000"/>
              <w:bottom w:val="single" w:sz="4" w:space="0" w:color="000000"/>
              <w:right w:val="single" w:sz="4" w:space="0" w:color="000000"/>
            </w:tcBorders>
            <w:hideMark/>
          </w:tcPr>
          <w:p w14:paraId="73C8E34B"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3,68</w:t>
            </w:r>
          </w:p>
        </w:tc>
      </w:tr>
      <w:tr w:rsidR="00841BE0" w:rsidRPr="00841BE0" w14:paraId="06D1C5CE" w14:textId="77777777" w:rsidTr="00412655">
        <w:trPr>
          <w:trHeight w:val="506"/>
        </w:trPr>
        <w:tc>
          <w:tcPr>
            <w:tcW w:w="1531" w:type="pct"/>
            <w:tcBorders>
              <w:top w:val="single" w:sz="4" w:space="0" w:color="000000"/>
              <w:left w:val="single" w:sz="4" w:space="0" w:color="000000"/>
              <w:bottom w:val="single" w:sz="4" w:space="0" w:color="000000"/>
              <w:right w:val="single" w:sz="4" w:space="0" w:color="000000"/>
            </w:tcBorders>
            <w:hideMark/>
          </w:tcPr>
          <w:p w14:paraId="228A833F" w14:textId="77777777" w:rsidR="00841BE0" w:rsidRPr="00841BE0" w:rsidRDefault="00841BE0" w:rsidP="00412655">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Forskel</w:t>
            </w:r>
            <w:proofErr w:type="spellEnd"/>
            <w:r w:rsidRPr="00841BE0">
              <w:rPr>
                <w:rFonts w:ascii="Times New Roman" w:eastAsia="Times New Roman" w:hAnsi="Times New Roman"/>
                <w:sz w:val="22"/>
              </w:rPr>
              <w:t xml:space="preserve"> </w:t>
            </w:r>
            <w:proofErr w:type="spellStart"/>
            <w:r w:rsidRPr="00841BE0">
              <w:rPr>
                <w:rFonts w:ascii="Times New Roman" w:eastAsia="Times New Roman" w:hAnsi="Times New Roman"/>
                <w:sz w:val="22"/>
              </w:rPr>
              <w:t>til</w:t>
            </w:r>
            <w:proofErr w:type="spellEnd"/>
            <w:r w:rsidRPr="00841BE0">
              <w:rPr>
                <w:rFonts w:ascii="Times New Roman" w:eastAsia="Times New Roman" w:hAnsi="Times New Roman"/>
                <w:sz w:val="22"/>
              </w:rPr>
              <w:t xml:space="preserve"> placebo</w:t>
            </w:r>
            <w:r w:rsidRPr="00841BE0">
              <w:rPr>
                <w:rFonts w:ascii="Times New Roman" w:eastAsia="Times New Roman" w:hAnsi="Times New Roman"/>
                <w:sz w:val="22"/>
                <w:vertAlign w:val="superscript"/>
              </w:rPr>
              <w:t>4</w:t>
            </w:r>
          </w:p>
          <w:p w14:paraId="36D9CBD9"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(95 % CI)</w:t>
            </w:r>
          </w:p>
        </w:tc>
        <w:tc>
          <w:tcPr>
            <w:tcW w:w="1079" w:type="pct"/>
            <w:tcBorders>
              <w:top w:val="single" w:sz="4" w:space="0" w:color="000000"/>
              <w:left w:val="single" w:sz="4" w:space="0" w:color="000000"/>
              <w:bottom w:val="single" w:sz="4" w:space="0" w:color="000000"/>
              <w:right w:val="single" w:sz="4" w:space="0" w:color="000000"/>
            </w:tcBorders>
          </w:tcPr>
          <w:p w14:paraId="5C6E1401" w14:textId="77777777" w:rsidR="00841BE0" w:rsidRPr="00841BE0" w:rsidRDefault="00841BE0" w:rsidP="00412655">
            <w:pPr>
              <w:widowControl/>
              <w:autoSpaceDE/>
              <w:autoSpaceDN/>
              <w:ind w:left="142"/>
              <w:rPr>
                <w:rFonts w:ascii="Times New Roman" w:eastAsia="Times New Roman" w:hAnsi="Times New Roman"/>
                <w:sz w:val="22"/>
              </w:rPr>
            </w:pPr>
          </w:p>
        </w:tc>
        <w:tc>
          <w:tcPr>
            <w:tcW w:w="1233" w:type="pct"/>
            <w:tcBorders>
              <w:top w:val="single" w:sz="4" w:space="0" w:color="000000"/>
              <w:left w:val="single" w:sz="4" w:space="0" w:color="000000"/>
              <w:bottom w:val="single" w:sz="4" w:space="0" w:color="000000"/>
              <w:right w:val="single" w:sz="4" w:space="0" w:color="000000"/>
            </w:tcBorders>
            <w:hideMark/>
          </w:tcPr>
          <w:p w14:paraId="060251D8"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3,44* (</w:t>
            </w:r>
            <w:r w:rsidRPr="00841BE0">
              <w:rPr>
                <w:rFonts w:ascii="Times New Roman" w:eastAsia="Times New Roman" w:hAnsi="Times New Roman"/>
                <w:sz w:val="22"/>
              </w:rPr>
              <w:noBreakHyphen/>
            </w:r>
            <w:proofErr w:type="gramStart"/>
            <w:r w:rsidRPr="00841BE0">
              <w:rPr>
                <w:rFonts w:ascii="Times New Roman" w:eastAsia="Times New Roman" w:hAnsi="Times New Roman"/>
                <w:sz w:val="22"/>
              </w:rPr>
              <w:t xml:space="preserve">4,78;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2,09)</w:t>
            </w:r>
          </w:p>
        </w:tc>
        <w:tc>
          <w:tcPr>
            <w:tcW w:w="1156" w:type="pct"/>
            <w:tcBorders>
              <w:top w:val="single" w:sz="4" w:space="0" w:color="000000"/>
              <w:left w:val="single" w:sz="4" w:space="0" w:color="000000"/>
              <w:bottom w:val="single" w:sz="4" w:space="0" w:color="000000"/>
              <w:right w:val="single" w:sz="4" w:space="0" w:color="000000"/>
            </w:tcBorders>
            <w:hideMark/>
          </w:tcPr>
          <w:p w14:paraId="220A7907"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4,16* (</w:t>
            </w:r>
            <w:r w:rsidRPr="00841BE0">
              <w:rPr>
                <w:rFonts w:ascii="Times New Roman" w:eastAsia="Times New Roman" w:hAnsi="Times New Roman"/>
                <w:sz w:val="22"/>
              </w:rPr>
              <w:noBreakHyphen/>
            </w:r>
            <w:proofErr w:type="gramStart"/>
            <w:r w:rsidRPr="00841BE0">
              <w:rPr>
                <w:rFonts w:ascii="Times New Roman" w:eastAsia="Times New Roman" w:hAnsi="Times New Roman"/>
                <w:sz w:val="22"/>
              </w:rPr>
              <w:t xml:space="preserve">5,50;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2,83)</w:t>
            </w:r>
          </w:p>
        </w:tc>
      </w:tr>
      <w:tr w:rsidR="00841BE0" w:rsidRPr="00841BE0" w14:paraId="2878064F" w14:textId="77777777" w:rsidTr="00412655">
        <w:trPr>
          <w:trHeight w:val="253"/>
        </w:trPr>
        <w:tc>
          <w:tcPr>
            <w:tcW w:w="5000" w:type="pct"/>
            <w:gridSpan w:val="4"/>
            <w:tcBorders>
              <w:top w:val="single" w:sz="4" w:space="0" w:color="000000"/>
              <w:left w:val="single" w:sz="4" w:space="0" w:color="000000"/>
              <w:bottom w:val="single" w:sz="4" w:space="0" w:color="000000"/>
              <w:right w:val="single" w:sz="4" w:space="0" w:color="000000"/>
            </w:tcBorders>
            <w:hideMark/>
          </w:tcPr>
          <w:p w14:paraId="389E3585"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b/>
                <w:sz w:val="22"/>
              </w:rPr>
              <w:t xml:space="preserve">24 timers DBP </w:t>
            </w:r>
            <w:proofErr w:type="spellStart"/>
            <w:r w:rsidRPr="00841BE0">
              <w:rPr>
                <w:rFonts w:ascii="Times New Roman" w:eastAsia="Times New Roman" w:hAnsi="Times New Roman"/>
                <w:b/>
                <w:sz w:val="22"/>
              </w:rPr>
              <w:t>ved</w:t>
            </w:r>
            <w:proofErr w:type="spellEnd"/>
            <w:r w:rsidRPr="00841BE0">
              <w:rPr>
                <w:rFonts w:ascii="Times New Roman" w:eastAsia="Times New Roman" w:hAnsi="Times New Roman"/>
                <w:b/>
                <w:sz w:val="22"/>
              </w:rPr>
              <w:t xml:space="preserve"> </w:t>
            </w:r>
            <w:proofErr w:type="spellStart"/>
            <w:r w:rsidRPr="00841BE0">
              <w:rPr>
                <w:rFonts w:ascii="Times New Roman" w:eastAsia="Times New Roman" w:hAnsi="Times New Roman"/>
                <w:b/>
                <w:sz w:val="22"/>
              </w:rPr>
              <w:t>uge</w:t>
            </w:r>
            <w:proofErr w:type="spellEnd"/>
            <w:r w:rsidRPr="00841BE0">
              <w:rPr>
                <w:rFonts w:ascii="Times New Roman" w:eastAsia="Times New Roman" w:hAnsi="Times New Roman"/>
                <w:b/>
                <w:sz w:val="22"/>
              </w:rPr>
              <w:t> 12</w:t>
            </w:r>
            <w:r w:rsidRPr="00841BE0">
              <w:rPr>
                <w:rFonts w:ascii="Times New Roman" w:eastAsia="Times New Roman" w:hAnsi="Times New Roman"/>
                <w:sz w:val="22"/>
                <w:vertAlign w:val="superscript"/>
              </w:rPr>
              <w:t>3</w:t>
            </w:r>
          </w:p>
        </w:tc>
      </w:tr>
      <w:tr w:rsidR="00841BE0" w:rsidRPr="00841BE0" w14:paraId="1D3DA056" w14:textId="77777777" w:rsidTr="00412655">
        <w:trPr>
          <w:trHeight w:val="253"/>
        </w:trPr>
        <w:tc>
          <w:tcPr>
            <w:tcW w:w="1531" w:type="pct"/>
            <w:tcBorders>
              <w:top w:val="single" w:sz="4" w:space="0" w:color="000000"/>
              <w:left w:val="single" w:sz="4" w:space="0" w:color="000000"/>
              <w:bottom w:val="single" w:sz="4" w:space="0" w:color="000000"/>
              <w:right w:val="single" w:sz="4" w:space="0" w:color="000000"/>
            </w:tcBorders>
            <w:hideMark/>
          </w:tcPr>
          <w:p w14:paraId="1F96DA1F"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i/>
                <w:sz w:val="22"/>
              </w:rPr>
              <w:t xml:space="preserve">Baseline </w:t>
            </w:r>
            <w:r w:rsidRPr="00841BE0">
              <w:rPr>
                <w:rFonts w:ascii="Times New Roman" w:eastAsia="Times New Roman" w:hAnsi="Times New Roman"/>
                <w:sz w:val="22"/>
              </w:rPr>
              <w:t>(</w:t>
            </w:r>
            <w:proofErr w:type="spellStart"/>
            <w:r w:rsidRPr="00841BE0">
              <w:rPr>
                <w:rFonts w:ascii="Times New Roman" w:eastAsia="Times New Roman" w:hAnsi="Times New Roman"/>
                <w:sz w:val="22"/>
              </w:rPr>
              <w:t>middelværdi</w:t>
            </w:r>
            <w:proofErr w:type="spellEnd"/>
            <w:r w:rsidRPr="00841BE0">
              <w:rPr>
                <w:rFonts w:ascii="Times New Roman" w:eastAsia="Times New Roman" w:hAnsi="Times New Roman"/>
                <w:sz w:val="22"/>
              </w:rPr>
              <w:t>)</w:t>
            </w:r>
          </w:p>
        </w:tc>
        <w:tc>
          <w:tcPr>
            <w:tcW w:w="1079" w:type="pct"/>
            <w:tcBorders>
              <w:top w:val="single" w:sz="4" w:space="0" w:color="000000"/>
              <w:left w:val="single" w:sz="4" w:space="0" w:color="000000"/>
              <w:bottom w:val="single" w:sz="4" w:space="0" w:color="000000"/>
              <w:right w:val="single" w:sz="4" w:space="0" w:color="000000"/>
            </w:tcBorders>
            <w:hideMark/>
          </w:tcPr>
          <w:p w14:paraId="793A8D6F"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75,16</w:t>
            </w:r>
          </w:p>
        </w:tc>
        <w:tc>
          <w:tcPr>
            <w:tcW w:w="1233" w:type="pct"/>
            <w:tcBorders>
              <w:top w:val="single" w:sz="4" w:space="0" w:color="000000"/>
              <w:left w:val="single" w:sz="4" w:space="0" w:color="000000"/>
              <w:bottom w:val="single" w:sz="4" w:space="0" w:color="000000"/>
              <w:right w:val="single" w:sz="4" w:space="0" w:color="000000"/>
            </w:tcBorders>
            <w:hideMark/>
          </w:tcPr>
          <w:p w14:paraId="5650C1AD"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75,13</w:t>
            </w:r>
          </w:p>
        </w:tc>
        <w:tc>
          <w:tcPr>
            <w:tcW w:w="1156" w:type="pct"/>
            <w:tcBorders>
              <w:top w:val="single" w:sz="4" w:space="0" w:color="000000"/>
              <w:left w:val="single" w:sz="4" w:space="0" w:color="000000"/>
              <w:bottom w:val="single" w:sz="4" w:space="0" w:color="000000"/>
              <w:right w:val="single" w:sz="4" w:space="0" w:color="000000"/>
            </w:tcBorders>
            <w:hideMark/>
          </w:tcPr>
          <w:p w14:paraId="7322E87B"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74,64</w:t>
            </w:r>
          </w:p>
        </w:tc>
      </w:tr>
      <w:tr w:rsidR="00841BE0" w:rsidRPr="00841BE0" w14:paraId="201BFD0F" w14:textId="77777777" w:rsidTr="00412655">
        <w:trPr>
          <w:trHeight w:val="251"/>
        </w:trPr>
        <w:tc>
          <w:tcPr>
            <w:tcW w:w="1531" w:type="pct"/>
            <w:tcBorders>
              <w:top w:val="single" w:sz="4" w:space="0" w:color="000000"/>
              <w:left w:val="single" w:sz="4" w:space="0" w:color="000000"/>
              <w:bottom w:val="single" w:sz="4" w:space="0" w:color="000000"/>
              <w:right w:val="single" w:sz="4" w:space="0" w:color="000000"/>
            </w:tcBorders>
            <w:hideMark/>
          </w:tcPr>
          <w:p w14:paraId="603CBB36" w14:textId="77777777" w:rsidR="00841BE0" w:rsidRPr="00841BE0" w:rsidRDefault="00841BE0" w:rsidP="00412655">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Ændring</w:t>
            </w:r>
            <w:proofErr w:type="spellEnd"/>
            <w:r w:rsidRPr="00841BE0">
              <w:rPr>
                <w:rFonts w:ascii="Times New Roman" w:eastAsia="Times New Roman" w:hAnsi="Times New Roman"/>
                <w:sz w:val="22"/>
              </w:rPr>
              <w:t xml:space="preserve"> fra </w:t>
            </w:r>
            <w:r w:rsidRPr="00841BE0">
              <w:rPr>
                <w:rFonts w:ascii="Times New Roman" w:eastAsia="Times New Roman" w:hAnsi="Times New Roman"/>
                <w:i/>
                <w:sz w:val="22"/>
              </w:rPr>
              <w:t>baseline</w:t>
            </w:r>
            <w:r w:rsidRPr="00841BE0">
              <w:rPr>
                <w:rFonts w:ascii="Times New Roman" w:eastAsia="Times New Roman" w:hAnsi="Times New Roman"/>
                <w:sz w:val="22"/>
                <w:vertAlign w:val="superscript"/>
              </w:rPr>
              <w:t>5</w:t>
            </w:r>
          </w:p>
        </w:tc>
        <w:tc>
          <w:tcPr>
            <w:tcW w:w="1079" w:type="pct"/>
            <w:tcBorders>
              <w:top w:val="single" w:sz="4" w:space="0" w:color="000000"/>
              <w:left w:val="single" w:sz="4" w:space="0" w:color="000000"/>
              <w:bottom w:val="single" w:sz="4" w:space="0" w:color="000000"/>
              <w:right w:val="single" w:sz="4" w:space="0" w:color="000000"/>
            </w:tcBorders>
            <w:hideMark/>
          </w:tcPr>
          <w:p w14:paraId="14E6FAC2"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0,32</w:t>
            </w:r>
          </w:p>
        </w:tc>
        <w:tc>
          <w:tcPr>
            <w:tcW w:w="1233" w:type="pct"/>
            <w:tcBorders>
              <w:top w:val="single" w:sz="4" w:space="0" w:color="000000"/>
              <w:left w:val="single" w:sz="4" w:space="0" w:color="000000"/>
              <w:bottom w:val="single" w:sz="4" w:space="0" w:color="000000"/>
              <w:right w:val="single" w:sz="4" w:space="0" w:color="000000"/>
            </w:tcBorders>
            <w:hideMark/>
          </w:tcPr>
          <w:p w14:paraId="7C2EACC7"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1,04</w:t>
            </w:r>
          </w:p>
        </w:tc>
        <w:tc>
          <w:tcPr>
            <w:tcW w:w="1156" w:type="pct"/>
            <w:tcBorders>
              <w:top w:val="single" w:sz="4" w:space="0" w:color="000000"/>
              <w:left w:val="single" w:sz="4" w:space="0" w:color="000000"/>
              <w:bottom w:val="single" w:sz="4" w:space="0" w:color="000000"/>
              <w:right w:val="single" w:sz="4" w:space="0" w:color="000000"/>
            </w:tcBorders>
            <w:hideMark/>
          </w:tcPr>
          <w:p w14:paraId="25A7595D"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1,40</w:t>
            </w:r>
          </w:p>
        </w:tc>
      </w:tr>
      <w:tr w:rsidR="00841BE0" w:rsidRPr="00841BE0" w14:paraId="2F9010E1" w14:textId="77777777" w:rsidTr="00412655">
        <w:trPr>
          <w:trHeight w:val="506"/>
        </w:trPr>
        <w:tc>
          <w:tcPr>
            <w:tcW w:w="1531" w:type="pct"/>
            <w:tcBorders>
              <w:top w:val="single" w:sz="4" w:space="0" w:color="000000"/>
              <w:left w:val="single" w:sz="4" w:space="0" w:color="000000"/>
              <w:bottom w:val="single" w:sz="4" w:space="0" w:color="000000"/>
              <w:right w:val="single" w:sz="4" w:space="0" w:color="000000"/>
            </w:tcBorders>
            <w:hideMark/>
          </w:tcPr>
          <w:p w14:paraId="6CC7EBBB" w14:textId="77777777" w:rsidR="00841BE0" w:rsidRPr="00841BE0" w:rsidRDefault="00841BE0" w:rsidP="00412655">
            <w:pPr>
              <w:widowControl/>
              <w:autoSpaceDE/>
              <w:autoSpaceDN/>
              <w:ind w:left="142"/>
              <w:rPr>
                <w:rFonts w:ascii="Times New Roman" w:eastAsia="Times New Roman" w:hAnsi="Times New Roman"/>
                <w:sz w:val="22"/>
              </w:rPr>
            </w:pPr>
            <w:proofErr w:type="spellStart"/>
            <w:r w:rsidRPr="00841BE0">
              <w:rPr>
                <w:rFonts w:ascii="Times New Roman" w:eastAsia="Times New Roman" w:hAnsi="Times New Roman"/>
                <w:sz w:val="22"/>
              </w:rPr>
              <w:t>Forskel</w:t>
            </w:r>
            <w:proofErr w:type="spellEnd"/>
            <w:r w:rsidRPr="00841BE0">
              <w:rPr>
                <w:rFonts w:ascii="Times New Roman" w:eastAsia="Times New Roman" w:hAnsi="Times New Roman"/>
                <w:sz w:val="22"/>
              </w:rPr>
              <w:t xml:space="preserve"> </w:t>
            </w:r>
            <w:proofErr w:type="spellStart"/>
            <w:r w:rsidRPr="00841BE0">
              <w:rPr>
                <w:rFonts w:ascii="Times New Roman" w:eastAsia="Times New Roman" w:hAnsi="Times New Roman"/>
                <w:sz w:val="22"/>
              </w:rPr>
              <w:t>til</w:t>
            </w:r>
            <w:proofErr w:type="spellEnd"/>
            <w:r w:rsidRPr="00841BE0">
              <w:rPr>
                <w:rFonts w:ascii="Times New Roman" w:eastAsia="Times New Roman" w:hAnsi="Times New Roman"/>
                <w:sz w:val="22"/>
              </w:rPr>
              <w:t xml:space="preserve"> placebo</w:t>
            </w:r>
            <w:r w:rsidRPr="00841BE0">
              <w:rPr>
                <w:rFonts w:ascii="Times New Roman" w:eastAsia="Times New Roman" w:hAnsi="Times New Roman"/>
                <w:sz w:val="22"/>
                <w:vertAlign w:val="superscript"/>
              </w:rPr>
              <w:t>5</w:t>
            </w:r>
          </w:p>
          <w:p w14:paraId="4CAB697B"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t>(95 % CI)</w:t>
            </w:r>
          </w:p>
        </w:tc>
        <w:tc>
          <w:tcPr>
            <w:tcW w:w="1079" w:type="pct"/>
            <w:tcBorders>
              <w:top w:val="single" w:sz="4" w:space="0" w:color="000000"/>
              <w:left w:val="single" w:sz="4" w:space="0" w:color="000000"/>
              <w:bottom w:val="single" w:sz="4" w:space="0" w:color="000000"/>
              <w:right w:val="single" w:sz="4" w:space="0" w:color="000000"/>
            </w:tcBorders>
          </w:tcPr>
          <w:p w14:paraId="66FA79F5" w14:textId="77777777" w:rsidR="00841BE0" w:rsidRPr="00841BE0" w:rsidRDefault="00841BE0" w:rsidP="00412655">
            <w:pPr>
              <w:widowControl/>
              <w:autoSpaceDE/>
              <w:autoSpaceDN/>
              <w:ind w:left="142"/>
              <w:rPr>
                <w:rFonts w:ascii="Times New Roman" w:eastAsia="Times New Roman" w:hAnsi="Times New Roman"/>
                <w:sz w:val="22"/>
              </w:rPr>
            </w:pPr>
          </w:p>
        </w:tc>
        <w:tc>
          <w:tcPr>
            <w:tcW w:w="1233" w:type="pct"/>
            <w:tcBorders>
              <w:top w:val="single" w:sz="4" w:space="0" w:color="000000"/>
              <w:left w:val="single" w:sz="4" w:space="0" w:color="000000"/>
              <w:bottom w:val="single" w:sz="4" w:space="0" w:color="000000"/>
              <w:right w:val="single" w:sz="4" w:space="0" w:color="000000"/>
            </w:tcBorders>
            <w:hideMark/>
          </w:tcPr>
          <w:p w14:paraId="3225A9E2"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1,36*</w:t>
            </w:r>
            <w:proofErr w:type="gramStart"/>
            <w:r w:rsidRPr="00841BE0">
              <w:rPr>
                <w:rFonts w:ascii="Times New Roman" w:eastAsia="Times New Roman" w:hAnsi="Times New Roman"/>
                <w:sz w:val="22"/>
              </w:rPr>
              <w:t>*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 xml:space="preserve">2,15; </w:t>
            </w:r>
            <w:r w:rsidRPr="00841BE0">
              <w:rPr>
                <w:rFonts w:ascii="Times New Roman" w:eastAsia="Times New Roman" w:hAnsi="Times New Roman"/>
                <w:sz w:val="22"/>
              </w:rPr>
              <w:noBreakHyphen/>
              <w:t>0,56)</w:t>
            </w:r>
          </w:p>
        </w:tc>
        <w:tc>
          <w:tcPr>
            <w:tcW w:w="1156" w:type="pct"/>
            <w:tcBorders>
              <w:top w:val="single" w:sz="4" w:space="0" w:color="000000"/>
              <w:left w:val="single" w:sz="4" w:space="0" w:color="000000"/>
              <w:bottom w:val="single" w:sz="4" w:space="0" w:color="000000"/>
              <w:right w:val="single" w:sz="4" w:space="0" w:color="000000"/>
            </w:tcBorders>
            <w:hideMark/>
          </w:tcPr>
          <w:p w14:paraId="69F322EF" w14:textId="77777777" w:rsidR="00841BE0" w:rsidRPr="00841BE0" w:rsidRDefault="00841BE0" w:rsidP="00412655">
            <w:pPr>
              <w:widowControl/>
              <w:autoSpaceDE/>
              <w:autoSpaceDN/>
              <w:ind w:left="142"/>
              <w:rPr>
                <w:rFonts w:ascii="Times New Roman" w:eastAsia="Times New Roman" w:hAnsi="Times New Roman"/>
                <w:sz w:val="22"/>
              </w:rPr>
            </w:pPr>
            <w:r w:rsidRPr="00841BE0">
              <w:rPr>
                <w:rFonts w:ascii="Times New Roman" w:eastAsia="Times New Roman" w:hAnsi="Times New Roman"/>
                <w:sz w:val="22"/>
              </w:rPr>
              <w:noBreakHyphen/>
              <w:t>1,72* (</w:t>
            </w:r>
            <w:r w:rsidRPr="00841BE0">
              <w:rPr>
                <w:rFonts w:ascii="Times New Roman" w:eastAsia="Times New Roman" w:hAnsi="Times New Roman"/>
                <w:sz w:val="22"/>
              </w:rPr>
              <w:noBreakHyphen/>
            </w:r>
            <w:proofErr w:type="gramStart"/>
            <w:r w:rsidRPr="00841BE0">
              <w:rPr>
                <w:rFonts w:ascii="Times New Roman" w:eastAsia="Times New Roman" w:hAnsi="Times New Roman"/>
                <w:sz w:val="22"/>
              </w:rPr>
              <w:t xml:space="preserve">2,51; </w:t>
            </w:r>
            <w:r w:rsidRPr="00841BE0">
              <w:rPr>
                <w:rFonts w:ascii="Times New Roman" w:eastAsia="Times New Roman" w:hAnsi="Times New Roman"/>
                <w:sz w:val="22"/>
              </w:rPr>
              <w:noBreakHyphen/>
            </w:r>
            <w:proofErr w:type="gramEnd"/>
            <w:r w:rsidRPr="00841BE0">
              <w:rPr>
                <w:rFonts w:ascii="Times New Roman" w:eastAsia="Times New Roman" w:hAnsi="Times New Roman"/>
                <w:sz w:val="22"/>
              </w:rPr>
              <w:t>0,93)</w:t>
            </w:r>
          </w:p>
        </w:tc>
      </w:tr>
    </w:tbl>
    <w:p w14:paraId="44E44A59" w14:textId="7C3BC6DA" w:rsidR="00841BE0" w:rsidRPr="00841BE0" w:rsidRDefault="00841BE0" w:rsidP="00412655">
      <w:pPr>
        <w:ind w:left="426" w:hanging="426"/>
        <w:rPr>
          <w:sz w:val="24"/>
          <w:szCs w:val="24"/>
        </w:rPr>
      </w:pPr>
      <w:r w:rsidRPr="00841BE0">
        <w:rPr>
          <w:sz w:val="24"/>
          <w:szCs w:val="24"/>
          <w:vertAlign w:val="superscript"/>
        </w:rPr>
        <w:t>a</w:t>
      </w:r>
      <w:r w:rsidRPr="00841BE0">
        <w:rPr>
          <w:sz w:val="24"/>
          <w:szCs w:val="24"/>
        </w:rPr>
        <w:t xml:space="preserve"> </w:t>
      </w:r>
      <w:r w:rsidR="00412655" w:rsidRPr="003D3B2F">
        <w:rPr>
          <w:sz w:val="24"/>
          <w:szCs w:val="24"/>
        </w:rPr>
        <w:tab/>
      </w:r>
      <w:r w:rsidRPr="00841BE0">
        <w:rPr>
          <w:sz w:val="24"/>
          <w:szCs w:val="24"/>
        </w:rPr>
        <w:t>Fuldstændigt analysedatasæt (FAS).</w:t>
      </w:r>
    </w:p>
    <w:p w14:paraId="05052488" w14:textId="1C48841F" w:rsidR="00841BE0" w:rsidRPr="00841BE0" w:rsidRDefault="00841BE0" w:rsidP="00412655">
      <w:pPr>
        <w:ind w:left="426" w:hanging="426"/>
        <w:rPr>
          <w:sz w:val="24"/>
          <w:szCs w:val="24"/>
        </w:rPr>
      </w:pPr>
      <w:r w:rsidRPr="00841BE0">
        <w:rPr>
          <w:sz w:val="24"/>
          <w:szCs w:val="24"/>
          <w:vertAlign w:val="superscript"/>
        </w:rPr>
        <w:t>1</w:t>
      </w:r>
      <w:r w:rsidRPr="00841BE0">
        <w:rPr>
          <w:sz w:val="24"/>
          <w:szCs w:val="24"/>
        </w:rPr>
        <w:t xml:space="preserve"> </w:t>
      </w:r>
      <w:r w:rsidR="00412655" w:rsidRPr="003D3B2F">
        <w:rPr>
          <w:sz w:val="24"/>
          <w:szCs w:val="24"/>
        </w:rPr>
        <w:tab/>
      </w:r>
      <w:r w:rsidRPr="00841BE0">
        <w:rPr>
          <w:sz w:val="24"/>
          <w:szCs w:val="24"/>
        </w:rPr>
        <w:t xml:space="preserve">LOCF, værdier efter </w:t>
      </w:r>
      <w:proofErr w:type="spellStart"/>
      <w:r w:rsidRPr="00841BE0">
        <w:rPr>
          <w:sz w:val="24"/>
          <w:szCs w:val="24"/>
        </w:rPr>
        <w:t>blodglucoseregulerende</w:t>
      </w:r>
      <w:proofErr w:type="spellEnd"/>
      <w:r w:rsidRPr="00841BE0">
        <w:rPr>
          <w:sz w:val="24"/>
          <w:szCs w:val="24"/>
        </w:rPr>
        <w:t xml:space="preserve"> behovsbehandling er bortcensureret.</w:t>
      </w:r>
    </w:p>
    <w:p w14:paraId="315733F9" w14:textId="25015488" w:rsidR="00841BE0" w:rsidRPr="00841BE0" w:rsidRDefault="00841BE0" w:rsidP="00412655">
      <w:pPr>
        <w:ind w:left="426" w:hanging="426"/>
        <w:rPr>
          <w:sz w:val="24"/>
          <w:szCs w:val="24"/>
        </w:rPr>
      </w:pPr>
      <w:r w:rsidRPr="00841BE0">
        <w:rPr>
          <w:sz w:val="24"/>
          <w:szCs w:val="24"/>
          <w:vertAlign w:val="superscript"/>
        </w:rPr>
        <w:t>2</w:t>
      </w:r>
      <w:r w:rsidRPr="00841BE0">
        <w:rPr>
          <w:sz w:val="24"/>
          <w:szCs w:val="24"/>
        </w:rPr>
        <w:t xml:space="preserve"> </w:t>
      </w:r>
      <w:r w:rsidR="00412655" w:rsidRPr="003D3B2F">
        <w:rPr>
          <w:sz w:val="24"/>
          <w:szCs w:val="24"/>
        </w:rPr>
        <w:tab/>
      </w:r>
      <w:r w:rsidRPr="00841BE0">
        <w:rPr>
          <w:sz w:val="24"/>
          <w:szCs w:val="24"/>
        </w:rPr>
        <w:t xml:space="preserve">Middelværdi korrigeret for </w:t>
      </w:r>
      <w:r w:rsidRPr="00841BE0">
        <w:rPr>
          <w:i/>
          <w:iCs/>
          <w:sz w:val="24"/>
          <w:szCs w:val="24"/>
        </w:rPr>
        <w:t>baseline</w:t>
      </w:r>
      <w:r w:rsidRPr="00841BE0">
        <w:rPr>
          <w:sz w:val="24"/>
          <w:szCs w:val="24"/>
        </w:rPr>
        <w:t xml:space="preserve">-HbA1c, </w:t>
      </w:r>
      <w:r w:rsidRPr="00841BE0">
        <w:rPr>
          <w:i/>
          <w:iCs/>
          <w:sz w:val="24"/>
          <w:szCs w:val="24"/>
        </w:rPr>
        <w:t>baseline</w:t>
      </w:r>
      <w:r w:rsidRPr="00841BE0">
        <w:rPr>
          <w:sz w:val="24"/>
          <w:szCs w:val="24"/>
        </w:rPr>
        <w:t>-</w:t>
      </w:r>
      <w:proofErr w:type="spellStart"/>
      <w:r w:rsidRPr="00841BE0">
        <w:rPr>
          <w:sz w:val="24"/>
          <w:szCs w:val="24"/>
        </w:rPr>
        <w:t>eGFR</w:t>
      </w:r>
      <w:proofErr w:type="spellEnd"/>
      <w:r w:rsidRPr="00841BE0">
        <w:rPr>
          <w:sz w:val="24"/>
          <w:szCs w:val="24"/>
        </w:rPr>
        <w:t xml:space="preserve">, geografisk område og antal </w:t>
      </w:r>
      <w:proofErr w:type="spellStart"/>
      <w:r w:rsidRPr="00841BE0">
        <w:rPr>
          <w:sz w:val="24"/>
          <w:szCs w:val="24"/>
        </w:rPr>
        <w:t>antihypertensiva</w:t>
      </w:r>
      <w:proofErr w:type="spellEnd"/>
      <w:r w:rsidRPr="00841BE0">
        <w:rPr>
          <w:sz w:val="24"/>
          <w:szCs w:val="24"/>
        </w:rPr>
        <w:t>.</w:t>
      </w:r>
    </w:p>
    <w:p w14:paraId="7971A4A1" w14:textId="3F14B2E2" w:rsidR="00841BE0" w:rsidRPr="00841BE0" w:rsidRDefault="00841BE0" w:rsidP="00412655">
      <w:pPr>
        <w:ind w:left="426" w:hanging="426"/>
        <w:rPr>
          <w:sz w:val="24"/>
          <w:szCs w:val="24"/>
        </w:rPr>
      </w:pPr>
      <w:r w:rsidRPr="00841BE0">
        <w:rPr>
          <w:sz w:val="24"/>
          <w:szCs w:val="24"/>
          <w:vertAlign w:val="superscript"/>
        </w:rPr>
        <w:t>3</w:t>
      </w:r>
      <w:r w:rsidRPr="00841BE0">
        <w:rPr>
          <w:sz w:val="24"/>
          <w:szCs w:val="24"/>
        </w:rPr>
        <w:t xml:space="preserve"> </w:t>
      </w:r>
      <w:r w:rsidR="00412655" w:rsidRPr="003D3B2F">
        <w:rPr>
          <w:sz w:val="24"/>
          <w:szCs w:val="24"/>
        </w:rPr>
        <w:tab/>
      </w:r>
      <w:r w:rsidRPr="00841BE0">
        <w:rPr>
          <w:sz w:val="24"/>
          <w:szCs w:val="24"/>
        </w:rPr>
        <w:t xml:space="preserve">LOCF, værdier efter </w:t>
      </w:r>
      <w:proofErr w:type="spellStart"/>
      <w:r w:rsidRPr="00841BE0">
        <w:rPr>
          <w:sz w:val="24"/>
          <w:szCs w:val="24"/>
        </w:rPr>
        <w:t>blodglucoseregulerende</w:t>
      </w:r>
      <w:proofErr w:type="spellEnd"/>
      <w:r w:rsidRPr="00841BE0">
        <w:rPr>
          <w:sz w:val="24"/>
          <w:szCs w:val="24"/>
        </w:rPr>
        <w:t xml:space="preserve"> behovsbehandling eller ændret </w:t>
      </w:r>
      <w:proofErr w:type="spellStart"/>
      <w:r w:rsidRPr="00841BE0">
        <w:rPr>
          <w:sz w:val="24"/>
          <w:szCs w:val="24"/>
        </w:rPr>
        <w:t>antihypertensiv</w:t>
      </w:r>
      <w:proofErr w:type="spellEnd"/>
      <w:r w:rsidRPr="00841BE0">
        <w:rPr>
          <w:sz w:val="24"/>
          <w:szCs w:val="24"/>
        </w:rPr>
        <w:t xml:space="preserve"> behovsbehandling er bortcensureret.</w:t>
      </w:r>
    </w:p>
    <w:p w14:paraId="17C5B824" w14:textId="181F5AE6" w:rsidR="00841BE0" w:rsidRPr="00841BE0" w:rsidRDefault="00841BE0" w:rsidP="00412655">
      <w:pPr>
        <w:ind w:left="426" w:hanging="426"/>
        <w:rPr>
          <w:sz w:val="24"/>
          <w:szCs w:val="24"/>
        </w:rPr>
      </w:pPr>
      <w:r w:rsidRPr="00841BE0">
        <w:rPr>
          <w:sz w:val="24"/>
          <w:szCs w:val="24"/>
          <w:vertAlign w:val="superscript"/>
        </w:rPr>
        <w:t>4</w:t>
      </w:r>
      <w:r w:rsidRPr="00841BE0">
        <w:rPr>
          <w:sz w:val="24"/>
          <w:szCs w:val="24"/>
        </w:rPr>
        <w:t xml:space="preserve"> </w:t>
      </w:r>
      <w:r w:rsidR="00412655" w:rsidRPr="003D3B2F">
        <w:rPr>
          <w:sz w:val="24"/>
          <w:szCs w:val="24"/>
        </w:rPr>
        <w:tab/>
      </w:r>
      <w:r w:rsidRPr="00841BE0">
        <w:rPr>
          <w:sz w:val="24"/>
          <w:szCs w:val="24"/>
        </w:rPr>
        <w:t xml:space="preserve">Middelværdi korrigeret for </w:t>
      </w:r>
      <w:r w:rsidRPr="00841BE0">
        <w:rPr>
          <w:i/>
          <w:iCs/>
          <w:sz w:val="24"/>
          <w:szCs w:val="24"/>
        </w:rPr>
        <w:t>baseline</w:t>
      </w:r>
      <w:r w:rsidRPr="00841BE0">
        <w:rPr>
          <w:sz w:val="24"/>
          <w:szCs w:val="24"/>
        </w:rPr>
        <w:t xml:space="preserve">-SBP, </w:t>
      </w:r>
      <w:r w:rsidRPr="00841BE0">
        <w:rPr>
          <w:i/>
          <w:iCs/>
          <w:sz w:val="24"/>
          <w:szCs w:val="24"/>
        </w:rPr>
        <w:t>baseline</w:t>
      </w:r>
      <w:r w:rsidRPr="00841BE0">
        <w:rPr>
          <w:sz w:val="24"/>
          <w:szCs w:val="24"/>
        </w:rPr>
        <w:t xml:space="preserve">-HbA1c, </w:t>
      </w:r>
      <w:r w:rsidRPr="00841BE0">
        <w:rPr>
          <w:i/>
          <w:iCs/>
          <w:sz w:val="24"/>
          <w:szCs w:val="24"/>
        </w:rPr>
        <w:t>baseline</w:t>
      </w:r>
      <w:r w:rsidRPr="00841BE0">
        <w:rPr>
          <w:sz w:val="24"/>
          <w:szCs w:val="24"/>
        </w:rPr>
        <w:t>-</w:t>
      </w:r>
      <w:proofErr w:type="spellStart"/>
      <w:r w:rsidRPr="00841BE0">
        <w:rPr>
          <w:sz w:val="24"/>
          <w:szCs w:val="24"/>
        </w:rPr>
        <w:t>eGFR</w:t>
      </w:r>
      <w:proofErr w:type="spellEnd"/>
      <w:r w:rsidRPr="00841BE0">
        <w:rPr>
          <w:sz w:val="24"/>
          <w:szCs w:val="24"/>
        </w:rPr>
        <w:t xml:space="preserve">, geografisk område og antal </w:t>
      </w:r>
      <w:proofErr w:type="spellStart"/>
      <w:r w:rsidRPr="00841BE0">
        <w:rPr>
          <w:sz w:val="24"/>
          <w:szCs w:val="24"/>
        </w:rPr>
        <w:t>antihypertensiva</w:t>
      </w:r>
      <w:proofErr w:type="spellEnd"/>
      <w:r w:rsidRPr="00841BE0">
        <w:rPr>
          <w:sz w:val="24"/>
          <w:szCs w:val="24"/>
        </w:rPr>
        <w:t>.</w:t>
      </w:r>
    </w:p>
    <w:p w14:paraId="1735F61A" w14:textId="05EEF862" w:rsidR="00841BE0" w:rsidRPr="00841BE0" w:rsidRDefault="00841BE0" w:rsidP="00412655">
      <w:pPr>
        <w:ind w:left="426" w:hanging="426"/>
        <w:rPr>
          <w:sz w:val="24"/>
          <w:szCs w:val="24"/>
        </w:rPr>
      </w:pPr>
      <w:r w:rsidRPr="00841BE0">
        <w:rPr>
          <w:sz w:val="24"/>
          <w:szCs w:val="24"/>
          <w:vertAlign w:val="superscript"/>
        </w:rPr>
        <w:t>5</w:t>
      </w:r>
      <w:r w:rsidRPr="00841BE0">
        <w:rPr>
          <w:sz w:val="24"/>
          <w:szCs w:val="24"/>
        </w:rPr>
        <w:t xml:space="preserve"> </w:t>
      </w:r>
      <w:r w:rsidR="00412655" w:rsidRPr="003D3B2F">
        <w:rPr>
          <w:sz w:val="24"/>
          <w:szCs w:val="24"/>
        </w:rPr>
        <w:tab/>
      </w:r>
      <w:r w:rsidRPr="00841BE0">
        <w:rPr>
          <w:sz w:val="24"/>
          <w:szCs w:val="24"/>
        </w:rPr>
        <w:t xml:space="preserve">Middelværdi korrigeret for </w:t>
      </w:r>
      <w:r w:rsidRPr="00841BE0">
        <w:rPr>
          <w:i/>
          <w:iCs/>
          <w:sz w:val="24"/>
          <w:szCs w:val="24"/>
        </w:rPr>
        <w:t>baseline</w:t>
      </w:r>
      <w:r w:rsidRPr="00841BE0">
        <w:rPr>
          <w:sz w:val="24"/>
          <w:szCs w:val="24"/>
        </w:rPr>
        <w:t xml:space="preserve">-DBP, </w:t>
      </w:r>
      <w:r w:rsidRPr="00841BE0">
        <w:rPr>
          <w:i/>
          <w:iCs/>
          <w:sz w:val="24"/>
          <w:szCs w:val="24"/>
        </w:rPr>
        <w:t>baseline</w:t>
      </w:r>
      <w:r w:rsidRPr="00841BE0">
        <w:rPr>
          <w:sz w:val="24"/>
          <w:szCs w:val="24"/>
        </w:rPr>
        <w:t xml:space="preserve">-HbA1c, </w:t>
      </w:r>
      <w:r w:rsidRPr="00841BE0">
        <w:rPr>
          <w:i/>
          <w:iCs/>
          <w:sz w:val="24"/>
          <w:szCs w:val="24"/>
        </w:rPr>
        <w:t>baseline</w:t>
      </w:r>
      <w:r w:rsidRPr="00841BE0">
        <w:rPr>
          <w:sz w:val="24"/>
          <w:szCs w:val="24"/>
        </w:rPr>
        <w:t>-</w:t>
      </w:r>
      <w:proofErr w:type="spellStart"/>
      <w:r w:rsidRPr="00841BE0">
        <w:rPr>
          <w:sz w:val="24"/>
          <w:szCs w:val="24"/>
        </w:rPr>
        <w:t>eGFR</w:t>
      </w:r>
      <w:proofErr w:type="spellEnd"/>
      <w:r w:rsidRPr="00841BE0">
        <w:rPr>
          <w:sz w:val="24"/>
          <w:szCs w:val="24"/>
        </w:rPr>
        <w:t xml:space="preserve">, geografisk område og antal </w:t>
      </w:r>
      <w:proofErr w:type="spellStart"/>
      <w:r w:rsidRPr="00841BE0">
        <w:rPr>
          <w:sz w:val="24"/>
          <w:szCs w:val="24"/>
        </w:rPr>
        <w:t>antihypertensiva</w:t>
      </w:r>
      <w:proofErr w:type="spellEnd"/>
      <w:r w:rsidRPr="00841BE0">
        <w:rPr>
          <w:sz w:val="24"/>
          <w:szCs w:val="24"/>
        </w:rPr>
        <w:t>.</w:t>
      </w:r>
    </w:p>
    <w:p w14:paraId="0C2EFFB1" w14:textId="3BBB7E60" w:rsidR="00841BE0" w:rsidRPr="00841BE0" w:rsidRDefault="00841BE0" w:rsidP="00412655">
      <w:pPr>
        <w:ind w:left="426" w:hanging="426"/>
        <w:rPr>
          <w:sz w:val="24"/>
          <w:szCs w:val="24"/>
        </w:rPr>
      </w:pPr>
      <w:r w:rsidRPr="00841BE0">
        <w:rPr>
          <w:sz w:val="24"/>
          <w:szCs w:val="24"/>
        </w:rPr>
        <w:t xml:space="preserve">* </w:t>
      </w:r>
      <w:r w:rsidR="00412655" w:rsidRPr="003D3B2F">
        <w:rPr>
          <w:sz w:val="24"/>
          <w:szCs w:val="24"/>
        </w:rPr>
        <w:tab/>
      </w:r>
      <w:proofErr w:type="spellStart"/>
      <w:r w:rsidRPr="00841BE0">
        <w:rPr>
          <w:sz w:val="24"/>
          <w:szCs w:val="24"/>
        </w:rPr>
        <w:t>p-værdi</w:t>
      </w:r>
      <w:proofErr w:type="spellEnd"/>
      <w:r w:rsidRPr="00841BE0">
        <w:rPr>
          <w:sz w:val="24"/>
          <w:szCs w:val="24"/>
        </w:rPr>
        <w:t xml:space="preserve"> &lt; 0,0001.</w:t>
      </w:r>
    </w:p>
    <w:p w14:paraId="0213DE47" w14:textId="22EBFA40" w:rsidR="00841BE0" w:rsidRPr="00841BE0" w:rsidRDefault="00841BE0" w:rsidP="00412655">
      <w:pPr>
        <w:ind w:left="426" w:hanging="426"/>
        <w:rPr>
          <w:sz w:val="24"/>
          <w:szCs w:val="24"/>
        </w:rPr>
      </w:pPr>
      <w:r w:rsidRPr="00841BE0">
        <w:rPr>
          <w:sz w:val="24"/>
          <w:szCs w:val="24"/>
        </w:rPr>
        <w:t xml:space="preserve">** </w:t>
      </w:r>
      <w:r w:rsidR="00412655" w:rsidRPr="003D3B2F">
        <w:rPr>
          <w:sz w:val="24"/>
          <w:szCs w:val="24"/>
        </w:rPr>
        <w:tab/>
      </w:r>
      <w:proofErr w:type="spellStart"/>
      <w:r w:rsidRPr="00841BE0">
        <w:rPr>
          <w:sz w:val="24"/>
          <w:szCs w:val="24"/>
        </w:rPr>
        <w:t>p-værdi</w:t>
      </w:r>
      <w:proofErr w:type="spellEnd"/>
      <w:r w:rsidRPr="00841BE0">
        <w:rPr>
          <w:sz w:val="24"/>
          <w:szCs w:val="24"/>
        </w:rPr>
        <w:t xml:space="preserve"> &lt; 0,001.</w:t>
      </w:r>
    </w:p>
    <w:p w14:paraId="4F430D61" w14:textId="77777777" w:rsidR="00841BE0" w:rsidRPr="00841BE0" w:rsidRDefault="00841BE0" w:rsidP="00841BE0">
      <w:pPr>
        <w:tabs>
          <w:tab w:val="left" w:pos="851"/>
        </w:tabs>
        <w:ind w:left="851"/>
        <w:rPr>
          <w:sz w:val="24"/>
          <w:szCs w:val="24"/>
        </w:rPr>
      </w:pPr>
    </w:p>
    <w:p w14:paraId="5A6515EF" w14:textId="77777777" w:rsidR="00841BE0" w:rsidRPr="00841BE0" w:rsidRDefault="00841BE0" w:rsidP="00441803">
      <w:pPr>
        <w:ind w:left="851"/>
        <w:rPr>
          <w:sz w:val="24"/>
          <w:szCs w:val="24"/>
        </w:rPr>
      </w:pPr>
      <w:r w:rsidRPr="00841BE0">
        <w:rPr>
          <w:sz w:val="24"/>
          <w:szCs w:val="24"/>
        </w:rPr>
        <w:t xml:space="preserve">I en præspecificeret samlet analyse af 4 placebokontrollerede studier medførte behandling med </w:t>
      </w:r>
      <w:proofErr w:type="spellStart"/>
      <w:r w:rsidRPr="00841BE0">
        <w:rPr>
          <w:sz w:val="24"/>
          <w:szCs w:val="24"/>
        </w:rPr>
        <w:t>empagliflozin</w:t>
      </w:r>
      <w:proofErr w:type="spellEnd"/>
      <w:r w:rsidRPr="00841BE0">
        <w:rPr>
          <w:sz w:val="24"/>
          <w:szCs w:val="24"/>
        </w:rPr>
        <w:t xml:space="preserve"> (68 % af alle patienter fik også </w:t>
      </w:r>
      <w:proofErr w:type="spellStart"/>
      <w:r w:rsidRPr="00841BE0">
        <w:rPr>
          <w:sz w:val="24"/>
          <w:szCs w:val="24"/>
        </w:rPr>
        <w:t>metformin</w:t>
      </w:r>
      <w:proofErr w:type="spellEnd"/>
      <w:r w:rsidRPr="00841BE0">
        <w:rPr>
          <w:sz w:val="24"/>
          <w:szCs w:val="24"/>
        </w:rPr>
        <w:t>) et fald i systolisk blodtryk (</w:t>
      </w:r>
      <w:proofErr w:type="spellStart"/>
      <w:r w:rsidRPr="00841BE0">
        <w:rPr>
          <w:sz w:val="24"/>
          <w:szCs w:val="24"/>
        </w:rPr>
        <w:t>empagliflozin</w:t>
      </w:r>
      <w:proofErr w:type="spellEnd"/>
      <w:r w:rsidRPr="00841BE0">
        <w:rPr>
          <w:sz w:val="24"/>
          <w:szCs w:val="24"/>
        </w:rPr>
        <w:t xml:space="preserve"> 10 mg: </w:t>
      </w:r>
      <w:r w:rsidRPr="00841BE0">
        <w:rPr>
          <w:sz w:val="24"/>
          <w:szCs w:val="24"/>
        </w:rPr>
        <w:noBreakHyphen/>
        <w:t>3,9 </w:t>
      </w:r>
      <w:proofErr w:type="spellStart"/>
      <w:r w:rsidRPr="00841BE0">
        <w:rPr>
          <w:sz w:val="24"/>
          <w:szCs w:val="24"/>
        </w:rPr>
        <w:t>mmHg</w:t>
      </w:r>
      <w:proofErr w:type="spellEnd"/>
      <w:r w:rsidRPr="00841BE0">
        <w:rPr>
          <w:sz w:val="24"/>
          <w:szCs w:val="24"/>
        </w:rPr>
        <w:t xml:space="preserve">, </w:t>
      </w:r>
      <w:proofErr w:type="spellStart"/>
      <w:r w:rsidRPr="00841BE0">
        <w:rPr>
          <w:sz w:val="24"/>
          <w:szCs w:val="24"/>
        </w:rPr>
        <w:t>empagliflozin</w:t>
      </w:r>
      <w:proofErr w:type="spellEnd"/>
      <w:r w:rsidRPr="00841BE0">
        <w:rPr>
          <w:sz w:val="24"/>
          <w:szCs w:val="24"/>
        </w:rPr>
        <w:t xml:space="preserve"> 25 mg: </w:t>
      </w:r>
      <w:r w:rsidRPr="00841BE0">
        <w:rPr>
          <w:sz w:val="24"/>
          <w:szCs w:val="24"/>
        </w:rPr>
        <w:noBreakHyphen/>
        <w:t>4,3 </w:t>
      </w:r>
      <w:proofErr w:type="spellStart"/>
      <w:r w:rsidRPr="00841BE0">
        <w:rPr>
          <w:sz w:val="24"/>
          <w:szCs w:val="24"/>
        </w:rPr>
        <w:t>mmHg</w:t>
      </w:r>
      <w:proofErr w:type="spellEnd"/>
      <w:r w:rsidRPr="00841BE0">
        <w:rPr>
          <w:sz w:val="24"/>
          <w:szCs w:val="24"/>
        </w:rPr>
        <w:t>) sammenlignet med placebo (</w:t>
      </w:r>
      <w:r w:rsidRPr="00841BE0">
        <w:rPr>
          <w:sz w:val="24"/>
          <w:szCs w:val="24"/>
        </w:rPr>
        <w:noBreakHyphen/>
        <w:t>0,5 </w:t>
      </w:r>
      <w:proofErr w:type="spellStart"/>
      <w:r w:rsidRPr="00841BE0">
        <w:rPr>
          <w:sz w:val="24"/>
          <w:szCs w:val="24"/>
        </w:rPr>
        <w:t>mmHg</w:t>
      </w:r>
      <w:proofErr w:type="spellEnd"/>
      <w:r w:rsidRPr="00841BE0">
        <w:rPr>
          <w:sz w:val="24"/>
          <w:szCs w:val="24"/>
        </w:rPr>
        <w:t>) og i diastolisk blodtryk (</w:t>
      </w:r>
      <w:proofErr w:type="spellStart"/>
      <w:r w:rsidRPr="00841BE0">
        <w:rPr>
          <w:sz w:val="24"/>
          <w:szCs w:val="24"/>
        </w:rPr>
        <w:t>empagliflozin</w:t>
      </w:r>
      <w:proofErr w:type="spellEnd"/>
      <w:r w:rsidRPr="00841BE0">
        <w:rPr>
          <w:sz w:val="24"/>
          <w:szCs w:val="24"/>
        </w:rPr>
        <w:t xml:space="preserve"> 10 mg: </w:t>
      </w:r>
      <w:r w:rsidRPr="00841BE0">
        <w:rPr>
          <w:sz w:val="24"/>
          <w:szCs w:val="24"/>
        </w:rPr>
        <w:noBreakHyphen/>
        <w:t>1,8 </w:t>
      </w:r>
      <w:proofErr w:type="spellStart"/>
      <w:r w:rsidRPr="00841BE0">
        <w:rPr>
          <w:sz w:val="24"/>
          <w:szCs w:val="24"/>
        </w:rPr>
        <w:t>mmHg</w:t>
      </w:r>
      <w:proofErr w:type="spellEnd"/>
      <w:r w:rsidRPr="00841BE0">
        <w:rPr>
          <w:sz w:val="24"/>
          <w:szCs w:val="24"/>
        </w:rPr>
        <w:t xml:space="preserve">, </w:t>
      </w:r>
      <w:proofErr w:type="spellStart"/>
      <w:r w:rsidRPr="00841BE0">
        <w:rPr>
          <w:sz w:val="24"/>
          <w:szCs w:val="24"/>
        </w:rPr>
        <w:t>empagliflozin</w:t>
      </w:r>
      <w:proofErr w:type="spellEnd"/>
      <w:r w:rsidRPr="00841BE0">
        <w:rPr>
          <w:sz w:val="24"/>
          <w:szCs w:val="24"/>
        </w:rPr>
        <w:t xml:space="preserve"> 25 mg: </w:t>
      </w:r>
      <w:r w:rsidRPr="00841BE0">
        <w:rPr>
          <w:sz w:val="24"/>
          <w:szCs w:val="24"/>
        </w:rPr>
        <w:noBreakHyphen/>
        <w:t>2,0 </w:t>
      </w:r>
      <w:proofErr w:type="spellStart"/>
      <w:r w:rsidRPr="00841BE0">
        <w:rPr>
          <w:sz w:val="24"/>
          <w:szCs w:val="24"/>
        </w:rPr>
        <w:t>mmHg</w:t>
      </w:r>
      <w:proofErr w:type="spellEnd"/>
      <w:r w:rsidRPr="00841BE0">
        <w:rPr>
          <w:sz w:val="24"/>
          <w:szCs w:val="24"/>
        </w:rPr>
        <w:t>) sammenlignet med placebo (</w:t>
      </w:r>
      <w:r w:rsidRPr="00841BE0">
        <w:rPr>
          <w:sz w:val="24"/>
          <w:szCs w:val="24"/>
        </w:rPr>
        <w:noBreakHyphen/>
        <w:t>0,5 </w:t>
      </w:r>
      <w:proofErr w:type="spellStart"/>
      <w:r w:rsidRPr="00841BE0">
        <w:rPr>
          <w:sz w:val="24"/>
          <w:szCs w:val="24"/>
        </w:rPr>
        <w:t>mmHg</w:t>
      </w:r>
      <w:proofErr w:type="spellEnd"/>
      <w:r w:rsidRPr="00841BE0">
        <w:rPr>
          <w:sz w:val="24"/>
          <w:szCs w:val="24"/>
        </w:rPr>
        <w:t>) ved uge 24, som varede ved til uge 52.</w:t>
      </w:r>
    </w:p>
    <w:p w14:paraId="73075E8B" w14:textId="77777777" w:rsidR="00841BE0" w:rsidRPr="00841BE0" w:rsidRDefault="00841BE0" w:rsidP="00441803">
      <w:pPr>
        <w:ind w:left="851"/>
        <w:rPr>
          <w:sz w:val="24"/>
          <w:szCs w:val="24"/>
        </w:rPr>
      </w:pPr>
    </w:p>
    <w:p w14:paraId="7CC2E9D6" w14:textId="77777777" w:rsidR="00841BE0" w:rsidRPr="00841BE0" w:rsidRDefault="00841BE0" w:rsidP="00441803">
      <w:pPr>
        <w:ind w:left="851"/>
        <w:rPr>
          <w:i/>
          <w:iCs/>
          <w:sz w:val="24"/>
          <w:szCs w:val="24"/>
          <w:u w:val="single"/>
        </w:rPr>
      </w:pPr>
      <w:proofErr w:type="spellStart"/>
      <w:r w:rsidRPr="00841BE0">
        <w:rPr>
          <w:i/>
          <w:iCs/>
          <w:sz w:val="24"/>
          <w:szCs w:val="24"/>
          <w:u w:val="single"/>
        </w:rPr>
        <w:t>Metformin</w:t>
      </w:r>
      <w:proofErr w:type="spellEnd"/>
    </w:p>
    <w:p w14:paraId="5C91B3F2" w14:textId="77777777" w:rsidR="00841BE0" w:rsidRPr="00841BE0" w:rsidRDefault="00841BE0" w:rsidP="00441803">
      <w:pPr>
        <w:ind w:left="851"/>
        <w:rPr>
          <w:sz w:val="24"/>
          <w:szCs w:val="24"/>
        </w:rPr>
      </w:pPr>
    </w:p>
    <w:p w14:paraId="5CB138D5" w14:textId="77777777" w:rsidR="00841BE0" w:rsidRPr="00841BE0" w:rsidRDefault="00841BE0" w:rsidP="00441803">
      <w:pPr>
        <w:ind w:left="851"/>
        <w:rPr>
          <w:sz w:val="24"/>
          <w:szCs w:val="24"/>
        </w:rPr>
      </w:pPr>
      <w:r w:rsidRPr="00841BE0">
        <w:rPr>
          <w:sz w:val="24"/>
          <w:szCs w:val="24"/>
        </w:rPr>
        <w:t xml:space="preserve">Det prospektive, randomiserede studie (UKPDS) har påvist en positiv langtidsvirkning af tæt </w:t>
      </w:r>
      <w:proofErr w:type="spellStart"/>
      <w:r w:rsidRPr="00841BE0">
        <w:rPr>
          <w:sz w:val="24"/>
          <w:szCs w:val="24"/>
        </w:rPr>
        <w:t>blodglucose</w:t>
      </w:r>
      <w:proofErr w:type="spellEnd"/>
      <w:r w:rsidRPr="00841BE0">
        <w:rPr>
          <w:sz w:val="24"/>
          <w:szCs w:val="24"/>
        </w:rPr>
        <w:t xml:space="preserve">-kontrol ved type 2-diabetes. Analyse af resultaterne for overvægtige patienter, der blev behandlet med </w:t>
      </w:r>
      <w:proofErr w:type="spellStart"/>
      <w:r w:rsidRPr="00841BE0">
        <w:rPr>
          <w:sz w:val="24"/>
          <w:szCs w:val="24"/>
        </w:rPr>
        <w:t>metformin</w:t>
      </w:r>
      <w:proofErr w:type="spellEnd"/>
      <w:r w:rsidRPr="00841BE0">
        <w:rPr>
          <w:sz w:val="24"/>
          <w:szCs w:val="24"/>
        </w:rPr>
        <w:t xml:space="preserve"> efter manglende effekt af diæt alene, viste:</w:t>
      </w:r>
    </w:p>
    <w:p w14:paraId="15DE2F21" w14:textId="77777777" w:rsidR="00841BE0" w:rsidRPr="00841BE0" w:rsidRDefault="00841BE0" w:rsidP="00441803">
      <w:pPr>
        <w:numPr>
          <w:ilvl w:val="0"/>
          <w:numId w:val="6"/>
        </w:numPr>
        <w:ind w:left="1276" w:hanging="425"/>
        <w:rPr>
          <w:sz w:val="24"/>
          <w:szCs w:val="24"/>
        </w:rPr>
      </w:pPr>
      <w:r w:rsidRPr="00841BE0">
        <w:rPr>
          <w:sz w:val="24"/>
          <w:szCs w:val="24"/>
        </w:rPr>
        <w:t xml:space="preserve">et signifikant fald i den absolutte risiko for enhver diabetesrelateret komplikation i </w:t>
      </w:r>
      <w:proofErr w:type="spellStart"/>
      <w:r w:rsidRPr="00841BE0">
        <w:rPr>
          <w:sz w:val="24"/>
          <w:szCs w:val="24"/>
        </w:rPr>
        <w:t>metformingruppen</w:t>
      </w:r>
      <w:proofErr w:type="spellEnd"/>
      <w:r w:rsidRPr="00841BE0">
        <w:rPr>
          <w:sz w:val="24"/>
          <w:szCs w:val="24"/>
        </w:rPr>
        <w:t xml:space="preserve"> (29,8 tilfælde/1.000 </w:t>
      </w:r>
      <w:proofErr w:type="spellStart"/>
      <w:r w:rsidRPr="00841BE0">
        <w:rPr>
          <w:sz w:val="24"/>
          <w:szCs w:val="24"/>
        </w:rPr>
        <w:t>patientår</w:t>
      </w:r>
      <w:proofErr w:type="spellEnd"/>
      <w:r w:rsidRPr="00841BE0">
        <w:rPr>
          <w:sz w:val="24"/>
          <w:szCs w:val="24"/>
        </w:rPr>
        <w:t xml:space="preserve">) i forhold til diæt alene </w:t>
      </w:r>
      <w:r w:rsidRPr="00841BE0">
        <w:rPr>
          <w:sz w:val="24"/>
          <w:szCs w:val="24"/>
          <w:lang w:val="sl-SI"/>
        </w:rPr>
        <w:t>(43,3 tilfælde/1.000 patientår), p = 0,0023, og i forhold til de kombinerede grupper med sulfonylurinstof alene og insulin alene (40,1 tilfælde/1.000 patientår), p = 0,0034.</w:t>
      </w:r>
    </w:p>
    <w:p w14:paraId="07C2C01C" w14:textId="77777777" w:rsidR="00841BE0" w:rsidRPr="00841BE0" w:rsidRDefault="00841BE0" w:rsidP="00441803">
      <w:pPr>
        <w:numPr>
          <w:ilvl w:val="0"/>
          <w:numId w:val="6"/>
        </w:numPr>
        <w:ind w:left="1276" w:hanging="425"/>
        <w:rPr>
          <w:sz w:val="24"/>
          <w:szCs w:val="24"/>
        </w:rPr>
      </w:pPr>
      <w:r w:rsidRPr="00841BE0">
        <w:rPr>
          <w:sz w:val="24"/>
          <w:szCs w:val="24"/>
        </w:rPr>
        <w:t xml:space="preserve">et signifikant fald i den absolutte risiko for enhver diabetes-relateret mortalitet: </w:t>
      </w:r>
      <w:proofErr w:type="spellStart"/>
      <w:r w:rsidRPr="00841BE0">
        <w:rPr>
          <w:sz w:val="24"/>
          <w:szCs w:val="24"/>
        </w:rPr>
        <w:t>metformin</w:t>
      </w:r>
      <w:proofErr w:type="spellEnd"/>
      <w:r w:rsidRPr="00841BE0">
        <w:rPr>
          <w:sz w:val="24"/>
          <w:szCs w:val="24"/>
        </w:rPr>
        <w:t xml:space="preserve"> 7,5 tilfælde/1.000 </w:t>
      </w:r>
      <w:proofErr w:type="spellStart"/>
      <w:r w:rsidRPr="00841BE0">
        <w:rPr>
          <w:sz w:val="24"/>
          <w:szCs w:val="24"/>
        </w:rPr>
        <w:t>patientår</w:t>
      </w:r>
      <w:proofErr w:type="spellEnd"/>
      <w:r w:rsidRPr="00841BE0">
        <w:rPr>
          <w:sz w:val="24"/>
          <w:szCs w:val="24"/>
        </w:rPr>
        <w:t>, diæt alene 12,7 tilfælde/1.000 </w:t>
      </w:r>
      <w:proofErr w:type="spellStart"/>
      <w:r w:rsidRPr="00841BE0">
        <w:rPr>
          <w:sz w:val="24"/>
          <w:szCs w:val="24"/>
        </w:rPr>
        <w:t>patientår</w:t>
      </w:r>
      <w:proofErr w:type="spellEnd"/>
      <w:r w:rsidRPr="00841BE0">
        <w:rPr>
          <w:sz w:val="24"/>
          <w:szCs w:val="24"/>
        </w:rPr>
        <w:t>, p = 0,017.</w:t>
      </w:r>
    </w:p>
    <w:p w14:paraId="5550B1B6" w14:textId="77777777" w:rsidR="00841BE0" w:rsidRPr="00841BE0" w:rsidRDefault="00841BE0" w:rsidP="00441803">
      <w:pPr>
        <w:numPr>
          <w:ilvl w:val="0"/>
          <w:numId w:val="6"/>
        </w:numPr>
        <w:ind w:left="1276" w:hanging="425"/>
        <w:rPr>
          <w:sz w:val="24"/>
          <w:szCs w:val="24"/>
        </w:rPr>
      </w:pPr>
      <w:r w:rsidRPr="00841BE0">
        <w:rPr>
          <w:sz w:val="24"/>
          <w:szCs w:val="24"/>
        </w:rPr>
        <w:t xml:space="preserve">et signifikant fald i den absolutte risiko for mortalitet af alle årsager: </w:t>
      </w:r>
      <w:proofErr w:type="spellStart"/>
      <w:r w:rsidRPr="00841BE0">
        <w:rPr>
          <w:sz w:val="24"/>
          <w:szCs w:val="24"/>
        </w:rPr>
        <w:t>metformin</w:t>
      </w:r>
      <w:proofErr w:type="spellEnd"/>
      <w:r w:rsidRPr="00841BE0">
        <w:rPr>
          <w:sz w:val="24"/>
          <w:szCs w:val="24"/>
        </w:rPr>
        <w:t xml:space="preserve"> </w:t>
      </w:r>
      <w:r w:rsidRPr="00841BE0">
        <w:rPr>
          <w:sz w:val="24"/>
          <w:szCs w:val="24"/>
          <w:lang w:val="sl-SI"/>
        </w:rPr>
        <w:t>13,5 tilfælde/1.000 patientår i forhold til diæt alene 20,6 tilfælde/1.000 patientår, (p = 0,011) og i forhold til de kombinerede grupper med sulfonylurinstof alene og insulin alene 18,9 tilfælde/1.000 patientår (p = 0,021).</w:t>
      </w:r>
    </w:p>
    <w:p w14:paraId="13BE6E28" w14:textId="77777777" w:rsidR="00841BE0" w:rsidRPr="00841BE0" w:rsidRDefault="00841BE0" w:rsidP="00441803">
      <w:pPr>
        <w:numPr>
          <w:ilvl w:val="0"/>
          <w:numId w:val="6"/>
        </w:numPr>
        <w:ind w:left="1276" w:hanging="425"/>
        <w:rPr>
          <w:sz w:val="24"/>
          <w:szCs w:val="24"/>
        </w:rPr>
      </w:pPr>
      <w:r w:rsidRPr="00841BE0">
        <w:rPr>
          <w:sz w:val="24"/>
          <w:szCs w:val="24"/>
        </w:rPr>
        <w:t xml:space="preserve">et signifikant fald i den absolutte risiko for myokardieinfarkt: </w:t>
      </w:r>
      <w:proofErr w:type="spellStart"/>
      <w:r w:rsidRPr="00841BE0">
        <w:rPr>
          <w:sz w:val="24"/>
          <w:szCs w:val="24"/>
        </w:rPr>
        <w:t>metformin</w:t>
      </w:r>
      <w:proofErr w:type="spellEnd"/>
      <w:r w:rsidRPr="00841BE0">
        <w:rPr>
          <w:sz w:val="24"/>
          <w:szCs w:val="24"/>
        </w:rPr>
        <w:t xml:space="preserve"> 11 tilfælde/1.000 </w:t>
      </w:r>
      <w:proofErr w:type="spellStart"/>
      <w:r w:rsidRPr="00841BE0">
        <w:rPr>
          <w:sz w:val="24"/>
          <w:szCs w:val="24"/>
        </w:rPr>
        <w:t>patientår</w:t>
      </w:r>
      <w:proofErr w:type="spellEnd"/>
      <w:r w:rsidRPr="00841BE0">
        <w:rPr>
          <w:sz w:val="24"/>
          <w:szCs w:val="24"/>
        </w:rPr>
        <w:t>, diæt alene 18 tilfælde/1.000 </w:t>
      </w:r>
      <w:proofErr w:type="spellStart"/>
      <w:r w:rsidRPr="00841BE0">
        <w:rPr>
          <w:sz w:val="24"/>
          <w:szCs w:val="24"/>
        </w:rPr>
        <w:t>patientår</w:t>
      </w:r>
      <w:proofErr w:type="spellEnd"/>
      <w:r w:rsidRPr="00841BE0">
        <w:rPr>
          <w:sz w:val="24"/>
          <w:szCs w:val="24"/>
        </w:rPr>
        <w:t xml:space="preserve"> (p = 0,01).</w:t>
      </w:r>
    </w:p>
    <w:p w14:paraId="0B94C29C" w14:textId="77777777" w:rsidR="00841BE0" w:rsidRPr="00841BE0" w:rsidRDefault="00841BE0" w:rsidP="00441803">
      <w:pPr>
        <w:ind w:left="851"/>
        <w:rPr>
          <w:sz w:val="24"/>
          <w:szCs w:val="24"/>
        </w:rPr>
      </w:pPr>
    </w:p>
    <w:p w14:paraId="64FA987C" w14:textId="77777777" w:rsidR="00841BE0" w:rsidRPr="00841BE0" w:rsidRDefault="00841BE0" w:rsidP="00441803">
      <w:pPr>
        <w:ind w:left="851"/>
        <w:rPr>
          <w:sz w:val="24"/>
          <w:szCs w:val="24"/>
          <w:u w:val="single"/>
        </w:rPr>
      </w:pPr>
      <w:r w:rsidRPr="00841BE0">
        <w:rPr>
          <w:sz w:val="24"/>
          <w:szCs w:val="24"/>
          <w:u w:val="single"/>
        </w:rPr>
        <w:t>Pædiatrisk population</w:t>
      </w:r>
    </w:p>
    <w:p w14:paraId="7CB8C7A0" w14:textId="77777777" w:rsidR="00841BE0" w:rsidRPr="00841BE0" w:rsidRDefault="00841BE0" w:rsidP="00441803">
      <w:pPr>
        <w:ind w:left="851"/>
        <w:rPr>
          <w:sz w:val="24"/>
          <w:szCs w:val="24"/>
        </w:rPr>
      </w:pPr>
    </w:p>
    <w:p w14:paraId="57CF4B9F" w14:textId="77777777" w:rsidR="00841BE0" w:rsidRPr="00841BE0" w:rsidRDefault="00841BE0" w:rsidP="00441803">
      <w:pPr>
        <w:ind w:left="851"/>
        <w:rPr>
          <w:sz w:val="24"/>
          <w:szCs w:val="24"/>
        </w:rPr>
      </w:pPr>
      <w:r w:rsidRPr="00841BE0">
        <w:rPr>
          <w:sz w:val="24"/>
          <w:szCs w:val="24"/>
        </w:rPr>
        <w:t xml:space="preserve">Det Europæiske Lægemiddelagentur har udsat forpligtelsen til at fremlægge resultaterne af studier med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i alle undergrupper af den pædiatriske population fra fødsel til under 10 år ved type 2-diabetes (se pkt. 4.2 for oplysninger om pædiatrisk anvendelse).</w:t>
      </w:r>
    </w:p>
    <w:p w14:paraId="4694EE66" w14:textId="77777777" w:rsidR="00841BE0" w:rsidRPr="00841BE0" w:rsidRDefault="00841BE0" w:rsidP="00441803">
      <w:pPr>
        <w:ind w:left="851"/>
        <w:rPr>
          <w:sz w:val="24"/>
          <w:szCs w:val="24"/>
        </w:rPr>
      </w:pPr>
      <w:r w:rsidRPr="00841BE0">
        <w:rPr>
          <w:sz w:val="24"/>
          <w:szCs w:val="24"/>
        </w:rPr>
        <w:t xml:space="preserve">Den kliniske sikkerhed og virkning af </w:t>
      </w:r>
      <w:proofErr w:type="spellStart"/>
      <w:r w:rsidRPr="00841BE0">
        <w:rPr>
          <w:sz w:val="24"/>
          <w:szCs w:val="24"/>
        </w:rPr>
        <w:t>empagliflozin</w:t>
      </w:r>
      <w:proofErr w:type="spellEnd"/>
      <w:r w:rsidRPr="00841BE0">
        <w:rPr>
          <w:sz w:val="24"/>
          <w:szCs w:val="24"/>
        </w:rPr>
        <w:t xml:space="preserve"> (10 mg med mulig dosisforøgelse til 25 mg) og </w:t>
      </w:r>
      <w:proofErr w:type="spellStart"/>
      <w:r w:rsidRPr="00841BE0">
        <w:rPr>
          <w:sz w:val="24"/>
          <w:szCs w:val="24"/>
        </w:rPr>
        <w:t>linagliptin</w:t>
      </w:r>
      <w:proofErr w:type="spellEnd"/>
      <w:r w:rsidRPr="00841BE0">
        <w:rPr>
          <w:sz w:val="24"/>
          <w:szCs w:val="24"/>
        </w:rPr>
        <w:t xml:space="preserve"> (5 mg) én gang dagligt er blevet undersøgt hos børn og unge i alderen fra 10 til 17 år med type 2-diabetes mellitus i et placebokontrolleret studie (DINAMO) over 26 uger med en sikkerhedsforlængelsesperiode på op til 52 uger. Baggrundsbehandlinger som supplement til kost og motion omfattede </w:t>
      </w:r>
      <w:proofErr w:type="spellStart"/>
      <w:r w:rsidRPr="00841BE0">
        <w:rPr>
          <w:sz w:val="24"/>
          <w:szCs w:val="24"/>
        </w:rPr>
        <w:t>metformin</w:t>
      </w:r>
      <w:proofErr w:type="spellEnd"/>
      <w:r w:rsidRPr="00841BE0">
        <w:rPr>
          <w:sz w:val="24"/>
          <w:szCs w:val="24"/>
        </w:rPr>
        <w:t xml:space="preserve"> (51 %), en kombination af </w:t>
      </w:r>
      <w:proofErr w:type="spellStart"/>
      <w:r w:rsidRPr="00841BE0">
        <w:rPr>
          <w:sz w:val="24"/>
          <w:szCs w:val="24"/>
        </w:rPr>
        <w:t>metformin</w:t>
      </w:r>
      <w:proofErr w:type="spellEnd"/>
      <w:r w:rsidRPr="00841BE0">
        <w:rPr>
          <w:sz w:val="24"/>
          <w:szCs w:val="24"/>
        </w:rPr>
        <w:t xml:space="preserve"> og insulin (40,1 %), insulin (3,2 %) eller ingen behandling (5,7 %). Den justerede gennemsnitlige ændring i HbA1c ved uge 26 mellem </w:t>
      </w:r>
      <w:proofErr w:type="spellStart"/>
      <w:r w:rsidRPr="00841BE0">
        <w:rPr>
          <w:sz w:val="24"/>
          <w:szCs w:val="24"/>
        </w:rPr>
        <w:t>empagliflozin</w:t>
      </w:r>
      <w:proofErr w:type="spellEnd"/>
      <w:r w:rsidRPr="00841BE0">
        <w:rPr>
          <w:sz w:val="24"/>
          <w:szCs w:val="24"/>
        </w:rPr>
        <w:t xml:space="preserve"> (N = 52) og placebo (N = 53) på </w:t>
      </w:r>
      <w:r w:rsidRPr="00841BE0">
        <w:rPr>
          <w:sz w:val="24"/>
          <w:szCs w:val="24"/>
        </w:rPr>
        <w:noBreakHyphen/>
        <w:t xml:space="preserve">0,84 % var klinisk betydelig og statistisk signifikant (95 % CI: </w:t>
      </w:r>
      <w:r w:rsidRPr="00841BE0">
        <w:rPr>
          <w:sz w:val="24"/>
          <w:szCs w:val="24"/>
        </w:rPr>
        <w:noBreakHyphen/>
        <w:t xml:space="preserve">1,50; </w:t>
      </w:r>
      <w:r w:rsidRPr="00841BE0">
        <w:rPr>
          <w:sz w:val="24"/>
          <w:szCs w:val="24"/>
        </w:rPr>
        <w:noBreakHyphen/>
        <w:t xml:space="preserve">0,19, p = 0,0116). Derudover resulterede behandlingen med </w:t>
      </w:r>
      <w:proofErr w:type="spellStart"/>
      <w:r w:rsidRPr="00841BE0">
        <w:rPr>
          <w:sz w:val="24"/>
          <w:szCs w:val="24"/>
        </w:rPr>
        <w:t>empagliflozin</w:t>
      </w:r>
      <w:proofErr w:type="spellEnd"/>
      <w:r w:rsidRPr="00841BE0">
        <w:rPr>
          <w:sz w:val="24"/>
          <w:szCs w:val="24"/>
        </w:rPr>
        <w:t xml:space="preserve"> </w:t>
      </w:r>
      <w:r w:rsidRPr="00841BE0">
        <w:rPr>
          <w:i/>
          <w:iCs/>
          <w:sz w:val="24"/>
          <w:szCs w:val="24"/>
        </w:rPr>
        <w:t>versus</w:t>
      </w:r>
      <w:r w:rsidRPr="00841BE0">
        <w:rPr>
          <w:sz w:val="24"/>
          <w:szCs w:val="24"/>
        </w:rPr>
        <w:t xml:space="preserve"> placebo i en klinisk betydelig justeret gennemsnitlig ændring i FPG på </w:t>
      </w:r>
      <w:r w:rsidRPr="00841BE0">
        <w:rPr>
          <w:sz w:val="24"/>
          <w:szCs w:val="24"/>
        </w:rPr>
        <w:noBreakHyphen/>
        <w:t xml:space="preserve">35,2 mg/dl (95 % CI: </w:t>
      </w:r>
      <w:r w:rsidRPr="00841BE0">
        <w:rPr>
          <w:sz w:val="24"/>
          <w:szCs w:val="24"/>
        </w:rPr>
        <w:noBreakHyphen/>
        <w:t xml:space="preserve">58,6; </w:t>
      </w:r>
      <w:r w:rsidRPr="00841BE0">
        <w:rPr>
          <w:sz w:val="24"/>
          <w:szCs w:val="24"/>
        </w:rPr>
        <w:noBreakHyphen/>
        <w:t>11,7) [</w:t>
      </w:r>
      <w:r w:rsidRPr="00841BE0">
        <w:rPr>
          <w:sz w:val="24"/>
          <w:szCs w:val="24"/>
        </w:rPr>
        <w:noBreakHyphen/>
        <w:t>1,95 mmol/l (</w:t>
      </w:r>
      <w:r w:rsidRPr="00841BE0">
        <w:rPr>
          <w:sz w:val="24"/>
          <w:szCs w:val="24"/>
        </w:rPr>
        <w:noBreakHyphen/>
        <w:t xml:space="preserve">3,25; </w:t>
      </w:r>
      <w:r w:rsidRPr="00841BE0">
        <w:rPr>
          <w:sz w:val="24"/>
          <w:szCs w:val="24"/>
        </w:rPr>
        <w:noBreakHyphen/>
        <w:t xml:space="preserve">0,65)]. Disse var </w:t>
      </w:r>
      <w:r w:rsidRPr="00841BE0">
        <w:rPr>
          <w:sz w:val="24"/>
          <w:szCs w:val="24"/>
        </w:rPr>
        <w:noBreakHyphen/>
        <w:t xml:space="preserve">0,76 % (95 % CI </w:t>
      </w:r>
      <w:r w:rsidRPr="00841BE0">
        <w:rPr>
          <w:sz w:val="24"/>
          <w:szCs w:val="24"/>
        </w:rPr>
        <w:noBreakHyphen/>
        <w:t xml:space="preserve">1,45 %; </w:t>
      </w:r>
      <w:r w:rsidRPr="00841BE0">
        <w:rPr>
          <w:sz w:val="24"/>
          <w:szCs w:val="24"/>
        </w:rPr>
        <w:noBreakHyphen/>
        <w:t xml:space="preserve">0,08 %) for HbA1c og </w:t>
      </w:r>
      <w:r w:rsidRPr="00841BE0">
        <w:rPr>
          <w:sz w:val="24"/>
          <w:szCs w:val="24"/>
        </w:rPr>
        <w:noBreakHyphen/>
        <w:t xml:space="preserve">38,28 mg/dl (95 % CI: </w:t>
      </w:r>
      <w:r w:rsidRPr="00841BE0">
        <w:rPr>
          <w:sz w:val="24"/>
          <w:szCs w:val="24"/>
        </w:rPr>
        <w:noBreakHyphen/>
        <w:t xml:space="preserve">60,47 til </w:t>
      </w:r>
      <w:r w:rsidRPr="00841BE0">
        <w:rPr>
          <w:sz w:val="24"/>
          <w:szCs w:val="24"/>
        </w:rPr>
        <w:noBreakHyphen/>
        <w:t xml:space="preserve">16,10) for FPG i </w:t>
      </w:r>
      <w:proofErr w:type="spellStart"/>
      <w:r w:rsidRPr="00841BE0">
        <w:rPr>
          <w:sz w:val="24"/>
          <w:szCs w:val="24"/>
        </w:rPr>
        <w:t>metformin</w:t>
      </w:r>
      <w:proofErr w:type="spellEnd"/>
      <w:r w:rsidRPr="00841BE0">
        <w:rPr>
          <w:sz w:val="24"/>
          <w:szCs w:val="24"/>
        </w:rPr>
        <w:t xml:space="preserve">-undergruppen (N = 48 </w:t>
      </w:r>
      <w:proofErr w:type="spellStart"/>
      <w:r w:rsidRPr="00841BE0">
        <w:rPr>
          <w:sz w:val="24"/>
          <w:szCs w:val="24"/>
        </w:rPr>
        <w:t>empagliflozin</w:t>
      </w:r>
      <w:proofErr w:type="spellEnd"/>
      <w:r w:rsidRPr="00841BE0">
        <w:rPr>
          <w:sz w:val="24"/>
          <w:szCs w:val="24"/>
        </w:rPr>
        <w:t>, N = 47 placebo).</w:t>
      </w:r>
    </w:p>
    <w:p w14:paraId="2903269E" w14:textId="659F1D32" w:rsidR="001C0D88" w:rsidRDefault="001C0D88">
      <w:pPr>
        <w:rPr>
          <w:sz w:val="24"/>
          <w:szCs w:val="24"/>
        </w:rPr>
      </w:pPr>
      <w:r>
        <w:rPr>
          <w:sz w:val="24"/>
          <w:szCs w:val="24"/>
        </w:rPr>
        <w:br w:type="page"/>
      </w:r>
    </w:p>
    <w:p w14:paraId="242FF3D0" w14:textId="77777777" w:rsidR="009260DE" w:rsidRPr="003D3B2F" w:rsidRDefault="009260DE" w:rsidP="009260DE">
      <w:pPr>
        <w:tabs>
          <w:tab w:val="left" w:pos="851"/>
        </w:tabs>
        <w:ind w:left="851"/>
        <w:rPr>
          <w:sz w:val="24"/>
          <w:szCs w:val="24"/>
        </w:rPr>
      </w:pPr>
    </w:p>
    <w:p w14:paraId="78ED43ED" w14:textId="77777777" w:rsidR="009260DE" w:rsidRPr="003D3B2F" w:rsidRDefault="009260DE" w:rsidP="009260DE">
      <w:pPr>
        <w:tabs>
          <w:tab w:val="left" w:pos="851"/>
        </w:tabs>
        <w:ind w:left="851" w:hanging="851"/>
        <w:rPr>
          <w:b/>
          <w:sz w:val="24"/>
          <w:szCs w:val="24"/>
        </w:rPr>
      </w:pPr>
      <w:r w:rsidRPr="003D3B2F">
        <w:rPr>
          <w:b/>
          <w:sz w:val="24"/>
          <w:szCs w:val="24"/>
        </w:rPr>
        <w:t>5.2</w:t>
      </w:r>
      <w:r w:rsidRPr="003D3B2F">
        <w:rPr>
          <w:b/>
          <w:sz w:val="24"/>
          <w:szCs w:val="24"/>
        </w:rPr>
        <w:tab/>
      </w:r>
      <w:proofErr w:type="spellStart"/>
      <w:r w:rsidRPr="003D3B2F">
        <w:rPr>
          <w:b/>
          <w:sz w:val="24"/>
          <w:szCs w:val="24"/>
        </w:rPr>
        <w:t>Farmakokinetiske</w:t>
      </w:r>
      <w:proofErr w:type="spellEnd"/>
      <w:r w:rsidRPr="003D3B2F">
        <w:rPr>
          <w:b/>
          <w:sz w:val="24"/>
          <w:szCs w:val="24"/>
        </w:rPr>
        <w:t xml:space="preserve"> egenskaber</w:t>
      </w:r>
    </w:p>
    <w:p w14:paraId="0BDC791B" w14:textId="77777777" w:rsidR="008137AF" w:rsidRDefault="008137AF" w:rsidP="00F1283C">
      <w:pPr>
        <w:ind w:left="851"/>
        <w:rPr>
          <w:sz w:val="24"/>
          <w:szCs w:val="24"/>
          <w:u w:val="single"/>
        </w:rPr>
      </w:pPr>
    </w:p>
    <w:p w14:paraId="46E9BEE0" w14:textId="19F5F59E" w:rsidR="00841BE0" w:rsidRPr="00841BE0" w:rsidRDefault="00841BE0" w:rsidP="00F1283C">
      <w:pPr>
        <w:ind w:left="851"/>
        <w:rPr>
          <w:sz w:val="24"/>
          <w:szCs w:val="24"/>
          <w:u w:val="single"/>
        </w:rPr>
      </w:pPr>
      <w:proofErr w:type="spellStart"/>
      <w:r w:rsidRPr="00841BE0">
        <w:rPr>
          <w:sz w:val="24"/>
          <w:szCs w:val="24"/>
          <w:u w:val="single"/>
        </w:rPr>
        <w:t>Empagliflozin</w:t>
      </w:r>
      <w:proofErr w:type="spellEnd"/>
      <w:r w:rsidRPr="00841BE0">
        <w:rPr>
          <w:sz w:val="24"/>
          <w:szCs w:val="24"/>
          <w:u w:val="single"/>
        </w:rPr>
        <w:t>/</w:t>
      </w:r>
      <w:proofErr w:type="spellStart"/>
      <w:r w:rsidRPr="00841BE0">
        <w:rPr>
          <w:sz w:val="24"/>
          <w:szCs w:val="24"/>
          <w:u w:val="single"/>
        </w:rPr>
        <w:t>metformin</w:t>
      </w:r>
      <w:proofErr w:type="spellEnd"/>
    </w:p>
    <w:p w14:paraId="104C6CB9" w14:textId="77777777" w:rsidR="00841BE0" w:rsidRPr="00841BE0" w:rsidRDefault="00841BE0" w:rsidP="00F1283C">
      <w:pPr>
        <w:ind w:left="851"/>
        <w:rPr>
          <w:sz w:val="24"/>
          <w:szCs w:val="24"/>
        </w:rPr>
      </w:pPr>
    </w:p>
    <w:p w14:paraId="5EF3A469" w14:textId="77777777" w:rsidR="00841BE0" w:rsidRPr="00841BE0" w:rsidRDefault="00841BE0" w:rsidP="00F1283C">
      <w:pPr>
        <w:ind w:left="851"/>
        <w:rPr>
          <w:sz w:val="24"/>
          <w:szCs w:val="24"/>
        </w:rPr>
      </w:pPr>
      <w:r w:rsidRPr="00841BE0">
        <w:rPr>
          <w:sz w:val="24"/>
          <w:szCs w:val="24"/>
        </w:rPr>
        <w:t xml:space="preserve">Resultater fra bioækvivalensstudier med raske forsøgspersoner viste, at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metforminhydrochlorid</w:t>
      </w:r>
      <w:proofErr w:type="spellEnd"/>
      <w:r w:rsidRPr="00841BE0">
        <w:rPr>
          <w:sz w:val="24"/>
          <w:szCs w:val="24"/>
        </w:rPr>
        <w:t xml:space="preserve">) 5 mg/850 mg, 5 mg/1.000 mg, 12,5 mg/850 mg og 12,5 mg/1.000 mg kombinationstabletter er bioækvivalente med enkelttabletter med tilsvarende doser </w:t>
      </w:r>
      <w:proofErr w:type="spellStart"/>
      <w:r w:rsidRPr="00841BE0">
        <w:rPr>
          <w:sz w:val="24"/>
          <w:szCs w:val="24"/>
        </w:rPr>
        <w:t>empagliflozin</w:t>
      </w:r>
      <w:proofErr w:type="spellEnd"/>
      <w:r w:rsidRPr="00841BE0">
        <w:rPr>
          <w:sz w:val="24"/>
          <w:szCs w:val="24"/>
        </w:rPr>
        <w:t xml:space="preserve"> og </w:t>
      </w:r>
      <w:proofErr w:type="spellStart"/>
      <w:r w:rsidRPr="00841BE0">
        <w:rPr>
          <w:sz w:val="24"/>
          <w:szCs w:val="24"/>
        </w:rPr>
        <w:t>metformin</w:t>
      </w:r>
      <w:proofErr w:type="spellEnd"/>
      <w:r w:rsidRPr="00841BE0">
        <w:rPr>
          <w:sz w:val="24"/>
          <w:szCs w:val="24"/>
        </w:rPr>
        <w:t xml:space="preserve"> givet i kombination.</w:t>
      </w:r>
    </w:p>
    <w:p w14:paraId="43F73A9E" w14:textId="77777777" w:rsidR="00841BE0" w:rsidRPr="00841BE0" w:rsidRDefault="00841BE0" w:rsidP="00F1283C">
      <w:pPr>
        <w:ind w:left="851"/>
        <w:rPr>
          <w:sz w:val="24"/>
          <w:szCs w:val="24"/>
        </w:rPr>
      </w:pPr>
    </w:p>
    <w:p w14:paraId="7E909D81" w14:textId="08EFAC30" w:rsidR="00841BE0" w:rsidRPr="00841BE0" w:rsidRDefault="00841BE0" w:rsidP="00F1283C">
      <w:pPr>
        <w:ind w:left="851"/>
        <w:rPr>
          <w:sz w:val="24"/>
          <w:szCs w:val="24"/>
        </w:rPr>
      </w:pPr>
      <w:r w:rsidRPr="00841BE0">
        <w:rPr>
          <w:sz w:val="24"/>
          <w:szCs w:val="24"/>
        </w:rPr>
        <w:t xml:space="preserve">Administration af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12,5 mg/1.000 mg kort efter et måltid medførte et fald i AUC og </w:t>
      </w:r>
      <w:proofErr w:type="spellStart"/>
      <w:r w:rsidRPr="00841BE0">
        <w:rPr>
          <w:sz w:val="24"/>
          <w:szCs w:val="24"/>
        </w:rPr>
        <w:t>C</w:t>
      </w:r>
      <w:r w:rsidRPr="00841BE0">
        <w:rPr>
          <w:sz w:val="24"/>
          <w:szCs w:val="24"/>
          <w:vertAlign w:val="subscript"/>
        </w:rPr>
        <w:t>max</w:t>
      </w:r>
      <w:proofErr w:type="spellEnd"/>
      <w:r w:rsidRPr="00841BE0">
        <w:rPr>
          <w:sz w:val="24"/>
          <w:szCs w:val="24"/>
        </w:rPr>
        <w:t xml:space="preserve"> for </w:t>
      </w:r>
      <w:proofErr w:type="spellStart"/>
      <w:r w:rsidRPr="00841BE0">
        <w:rPr>
          <w:sz w:val="24"/>
          <w:szCs w:val="24"/>
        </w:rPr>
        <w:t>empagliflozin</w:t>
      </w:r>
      <w:proofErr w:type="spellEnd"/>
      <w:r w:rsidRPr="00841BE0">
        <w:rPr>
          <w:sz w:val="24"/>
          <w:szCs w:val="24"/>
        </w:rPr>
        <w:t xml:space="preserve"> på henholdsvis 9 % og 28 % sammenlignet med fastetilstand. </w:t>
      </w:r>
      <w:proofErr w:type="spellStart"/>
      <w:r w:rsidRPr="00841BE0">
        <w:rPr>
          <w:sz w:val="24"/>
          <w:szCs w:val="24"/>
        </w:rPr>
        <w:t>Metformin</w:t>
      </w:r>
      <w:proofErr w:type="spellEnd"/>
      <w:r w:rsidRPr="00841BE0">
        <w:rPr>
          <w:sz w:val="24"/>
          <w:szCs w:val="24"/>
        </w:rPr>
        <w:t xml:space="preserve"> medførte et fald i AUC og </w:t>
      </w:r>
      <w:proofErr w:type="spellStart"/>
      <w:r w:rsidRPr="00841BE0">
        <w:rPr>
          <w:sz w:val="24"/>
          <w:szCs w:val="24"/>
        </w:rPr>
        <w:t>C</w:t>
      </w:r>
      <w:r w:rsidRPr="00841BE0">
        <w:rPr>
          <w:sz w:val="24"/>
          <w:szCs w:val="24"/>
          <w:vertAlign w:val="subscript"/>
        </w:rPr>
        <w:t>max</w:t>
      </w:r>
      <w:proofErr w:type="spellEnd"/>
      <w:r w:rsidRPr="00841BE0">
        <w:rPr>
          <w:sz w:val="24"/>
          <w:szCs w:val="24"/>
        </w:rPr>
        <w:t xml:space="preserve"> på henholdsvis 12 % og 26 % sammenlignet med fastetilstand. Den observerede virkning af føde på </w:t>
      </w:r>
      <w:proofErr w:type="spellStart"/>
      <w:r w:rsidRPr="00841BE0">
        <w:rPr>
          <w:sz w:val="24"/>
          <w:szCs w:val="24"/>
        </w:rPr>
        <w:t>empagliflozin</w:t>
      </w:r>
      <w:proofErr w:type="spellEnd"/>
      <w:r w:rsidRPr="00841BE0">
        <w:rPr>
          <w:sz w:val="24"/>
          <w:szCs w:val="24"/>
        </w:rPr>
        <w:t xml:space="preserve"> og </w:t>
      </w:r>
      <w:proofErr w:type="spellStart"/>
      <w:r w:rsidRPr="00841BE0">
        <w:rPr>
          <w:sz w:val="24"/>
          <w:szCs w:val="24"/>
        </w:rPr>
        <w:t>metformin</w:t>
      </w:r>
      <w:proofErr w:type="spellEnd"/>
      <w:r w:rsidRPr="00841BE0">
        <w:rPr>
          <w:sz w:val="24"/>
          <w:szCs w:val="24"/>
        </w:rPr>
        <w:t xml:space="preserve"> anses ikke for værende af klinisk betydning. Da det imidlertid anbefales, at </w:t>
      </w:r>
      <w:proofErr w:type="spellStart"/>
      <w:r w:rsidRPr="00841BE0">
        <w:rPr>
          <w:sz w:val="24"/>
          <w:szCs w:val="24"/>
        </w:rPr>
        <w:t>metformin</w:t>
      </w:r>
      <w:proofErr w:type="spellEnd"/>
      <w:r w:rsidRPr="00841BE0">
        <w:rPr>
          <w:sz w:val="24"/>
          <w:szCs w:val="24"/>
        </w:rPr>
        <w:t xml:space="preserve"> tages sammen med måltider, anbefales det også, at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 xml:space="preserve"> tages sammen med mad.</w:t>
      </w:r>
    </w:p>
    <w:p w14:paraId="0CF76377" w14:textId="77777777" w:rsidR="00841BE0" w:rsidRPr="00841BE0" w:rsidRDefault="00841BE0" w:rsidP="00F1283C">
      <w:pPr>
        <w:ind w:left="851"/>
        <w:rPr>
          <w:sz w:val="24"/>
          <w:szCs w:val="24"/>
        </w:rPr>
      </w:pPr>
    </w:p>
    <w:p w14:paraId="09AF7A9D" w14:textId="61B2AA74" w:rsidR="00841BE0" w:rsidRPr="00841BE0" w:rsidRDefault="00841BE0" w:rsidP="00F1283C">
      <w:pPr>
        <w:ind w:left="851"/>
        <w:rPr>
          <w:sz w:val="24"/>
          <w:szCs w:val="24"/>
        </w:rPr>
      </w:pPr>
      <w:r w:rsidRPr="00841BE0">
        <w:rPr>
          <w:sz w:val="24"/>
          <w:szCs w:val="24"/>
        </w:rPr>
        <w:t xml:space="preserve">Nedenstående information afspejler de </w:t>
      </w:r>
      <w:proofErr w:type="spellStart"/>
      <w:r w:rsidRPr="00841BE0">
        <w:rPr>
          <w:sz w:val="24"/>
          <w:szCs w:val="24"/>
        </w:rPr>
        <w:t>farmakokinetiske</w:t>
      </w:r>
      <w:proofErr w:type="spellEnd"/>
      <w:r w:rsidRPr="00841BE0">
        <w:rPr>
          <w:sz w:val="24"/>
          <w:szCs w:val="24"/>
        </w:rPr>
        <w:t xml:space="preserve"> egenskaber for hvert af de aktive stoffer i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w:t>
      </w:r>
    </w:p>
    <w:p w14:paraId="2BFF9D39" w14:textId="77777777" w:rsidR="00841BE0" w:rsidRPr="00841BE0" w:rsidRDefault="00841BE0" w:rsidP="00F1283C">
      <w:pPr>
        <w:ind w:left="851"/>
        <w:rPr>
          <w:sz w:val="24"/>
          <w:szCs w:val="24"/>
        </w:rPr>
      </w:pPr>
    </w:p>
    <w:p w14:paraId="083F526D" w14:textId="77777777" w:rsidR="00841BE0" w:rsidRPr="00841BE0" w:rsidRDefault="00841BE0" w:rsidP="00F1283C">
      <w:pPr>
        <w:ind w:left="851"/>
        <w:rPr>
          <w:sz w:val="24"/>
          <w:szCs w:val="24"/>
          <w:u w:val="single"/>
        </w:rPr>
      </w:pPr>
      <w:proofErr w:type="spellStart"/>
      <w:r w:rsidRPr="00841BE0">
        <w:rPr>
          <w:sz w:val="24"/>
          <w:szCs w:val="24"/>
          <w:u w:val="single"/>
        </w:rPr>
        <w:t>Empagliflozin</w:t>
      </w:r>
      <w:proofErr w:type="spellEnd"/>
    </w:p>
    <w:p w14:paraId="0049D45A" w14:textId="77777777" w:rsidR="00841BE0" w:rsidRPr="00841BE0" w:rsidRDefault="00841BE0" w:rsidP="00F1283C">
      <w:pPr>
        <w:ind w:left="851"/>
        <w:rPr>
          <w:sz w:val="24"/>
          <w:szCs w:val="24"/>
        </w:rPr>
      </w:pPr>
    </w:p>
    <w:p w14:paraId="2B642F61" w14:textId="77777777" w:rsidR="00841BE0" w:rsidRPr="00841BE0" w:rsidRDefault="00841BE0" w:rsidP="00F1283C">
      <w:pPr>
        <w:ind w:left="851"/>
        <w:rPr>
          <w:i/>
          <w:iCs/>
          <w:sz w:val="24"/>
          <w:szCs w:val="24"/>
          <w:u w:val="single"/>
        </w:rPr>
      </w:pPr>
      <w:r w:rsidRPr="00841BE0">
        <w:rPr>
          <w:i/>
          <w:iCs/>
          <w:sz w:val="24"/>
          <w:szCs w:val="24"/>
          <w:u w:val="single"/>
        </w:rPr>
        <w:t>Absorption</w:t>
      </w:r>
    </w:p>
    <w:p w14:paraId="3D7A55EF" w14:textId="77777777" w:rsidR="00841BE0" w:rsidRPr="00841BE0" w:rsidRDefault="00841BE0" w:rsidP="00F1283C">
      <w:pPr>
        <w:ind w:left="851"/>
        <w:rPr>
          <w:sz w:val="24"/>
          <w:szCs w:val="24"/>
        </w:rPr>
      </w:pPr>
      <w:proofErr w:type="spellStart"/>
      <w:r w:rsidRPr="00841BE0">
        <w:rPr>
          <w:sz w:val="24"/>
          <w:szCs w:val="24"/>
        </w:rPr>
        <w:t>Empagliflozins</w:t>
      </w:r>
      <w:proofErr w:type="spellEnd"/>
      <w:r w:rsidRPr="00841BE0">
        <w:rPr>
          <w:sz w:val="24"/>
          <w:szCs w:val="24"/>
        </w:rPr>
        <w:t xml:space="preserve"> farmakokinetik er grundigt undersøgt hos raske frivillige og hos patienter med type 2-diabetes. Efter oral administration blev </w:t>
      </w:r>
      <w:proofErr w:type="spellStart"/>
      <w:r w:rsidRPr="00841BE0">
        <w:rPr>
          <w:sz w:val="24"/>
          <w:szCs w:val="24"/>
        </w:rPr>
        <w:t>empagliflozin</w:t>
      </w:r>
      <w:proofErr w:type="spellEnd"/>
      <w:r w:rsidRPr="00841BE0">
        <w:rPr>
          <w:sz w:val="24"/>
          <w:szCs w:val="24"/>
        </w:rPr>
        <w:t xml:space="preserve"> absorberet hurtigt, og de maksimale plasmakoncentrationer forekom ved en median </w:t>
      </w:r>
      <w:proofErr w:type="spellStart"/>
      <w:r w:rsidRPr="00841BE0">
        <w:rPr>
          <w:sz w:val="24"/>
          <w:szCs w:val="24"/>
        </w:rPr>
        <w:t>t</w:t>
      </w:r>
      <w:r w:rsidRPr="00841BE0">
        <w:rPr>
          <w:sz w:val="24"/>
          <w:szCs w:val="24"/>
          <w:vertAlign w:val="subscript"/>
        </w:rPr>
        <w:t>max</w:t>
      </w:r>
      <w:proofErr w:type="spellEnd"/>
      <w:r w:rsidRPr="00841BE0">
        <w:rPr>
          <w:sz w:val="24"/>
          <w:szCs w:val="24"/>
        </w:rPr>
        <w:t xml:space="preserve"> på 1,5 time efter dosering. Derefter faldt plasmakoncentrationerne på en </w:t>
      </w:r>
      <w:proofErr w:type="spellStart"/>
      <w:r w:rsidRPr="00841BE0">
        <w:rPr>
          <w:sz w:val="24"/>
          <w:szCs w:val="24"/>
        </w:rPr>
        <w:t>bifasisk</w:t>
      </w:r>
      <w:proofErr w:type="spellEnd"/>
      <w:r w:rsidRPr="00841BE0">
        <w:rPr>
          <w:sz w:val="24"/>
          <w:szCs w:val="24"/>
        </w:rPr>
        <w:t xml:space="preserve"> måde med en hurtig fordelingsfase og en relativt langsom terminalfase. Den gennemsnitlige plasma-AUC og </w:t>
      </w:r>
      <w:proofErr w:type="spellStart"/>
      <w:r w:rsidRPr="00841BE0">
        <w:rPr>
          <w:sz w:val="24"/>
          <w:szCs w:val="24"/>
        </w:rPr>
        <w:t>Cmax</w:t>
      </w:r>
      <w:proofErr w:type="spellEnd"/>
      <w:r w:rsidRPr="00841BE0">
        <w:rPr>
          <w:sz w:val="24"/>
          <w:szCs w:val="24"/>
        </w:rPr>
        <w:t xml:space="preserve"> ved </w:t>
      </w:r>
      <w:proofErr w:type="spellStart"/>
      <w:r w:rsidRPr="00841BE0">
        <w:rPr>
          <w:i/>
          <w:iCs/>
          <w:sz w:val="24"/>
          <w:szCs w:val="24"/>
        </w:rPr>
        <w:t>steady</w:t>
      </w:r>
      <w:proofErr w:type="spellEnd"/>
      <w:r w:rsidRPr="00841BE0">
        <w:rPr>
          <w:i/>
          <w:iCs/>
          <w:sz w:val="24"/>
          <w:szCs w:val="24"/>
        </w:rPr>
        <w:t xml:space="preserve"> </w:t>
      </w:r>
      <w:proofErr w:type="spellStart"/>
      <w:r w:rsidRPr="00841BE0">
        <w:rPr>
          <w:i/>
          <w:iCs/>
          <w:sz w:val="24"/>
          <w:szCs w:val="24"/>
        </w:rPr>
        <w:t>state</w:t>
      </w:r>
      <w:proofErr w:type="spellEnd"/>
      <w:r w:rsidRPr="00841BE0">
        <w:rPr>
          <w:sz w:val="24"/>
          <w:szCs w:val="24"/>
        </w:rPr>
        <w:t xml:space="preserve"> var henholdsvis 1.870 nmol x time/l og 259 nmol/l for </w:t>
      </w:r>
      <w:proofErr w:type="spellStart"/>
      <w:r w:rsidRPr="00841BE0">
        <w:rPr>
          <w:sz w:val="24"/>
          <w:szCs w:val="24"/>
        </w:rPr>
        <w:t>empagliflozin</w:t>
      </w:r>
      <w:proofErr w:type="spellEnd"/>
      <w:r w:rsidRPr="00841BE0">
        <w:rPr>
          <w:sz w:val="24"/>
          <w:szCs w:val="24"/>
        </w:rPr>
        <w:t xml:space="preserve"> 10 mg én gang dagligt og henholdsvis 4.740 nmol x time/l og 687 nmol/l for </w:t>
      </w:r>
      <w:proofErr w:type="spellStart"/>
      <w:r w:rsidRPr="00841BE0">
        <w:rPr>
          <w:sz w:val="24"/>
          <w:szCs w:val="24"/>
        </w:rPr>
        <w:t>empagliflozin</w:t>
      </w:r>
      <w:proofErr w:type="spellEnd"/>
      <w:r w:rsidRPr="00841BE0">
        <w:rPr>
          <w:sz w:val="24"/>
          <w:szCs w:val="24"/>
        </w:rPr>
        <w:t xml:space="preserve"> 25 mg én gang dagligt.</w:t>
      </w:r>
    </w:p>
    <w:p w14:paraId="193F94CF" w14:textId="77777777" w:rsidR="00841BE0" w:rsidRPr="00841BE0" w:rsidRDefault="00841BE0" w:rsidP="00F1283C">
      <w:pPr>
        <w:ind w:left="851"/>
        <w:rPr>
          <w:sz w:val="24"/>
          <w:szCs w:val="24"/>
        </w:rPr>
      </w:pPr>
    </w:p>
    <w:p w14:paraId="373C7AA7" w14:textId="77777777" w:rsidR="00841BE0" w:rsidRPr="00841BE0" w:rsidRDefault="00841BE0" w:rsidP="00F1283C">
      <w:pPr>
        <w:ind w:left="851"/>
        <w:rPr>
          <w:sz w:val="24"/>
          <w:szCs w:val="24"/>
        </w:rPr>
      </w:pPr>
      <w:r w:rsidRPr="00841BE0">
        <w:rPr>
          <w:sz w:val="24"/>
          <w:szCs w:val="24"/>
        </w:rPr>
        <w:t xml:space="preserve">Den systemiske eksponering for </w:t>
      </w:r>
      <w:proofErr w:type="spellStart"/>
      <w:r w:rsidRPr="00841BE0">
        <w:rPr>
          <w:sz w:val="24"/>
          <w:szCs w:val="24"/>
        </w:rPr>
        <w:t>empagliflozin</w:t>
      </w:r>
      <w:proofErr w:type="spellEnd"/>
      <w:r w:rsidRPr="00841BE0">
        <w:rPr>
          <w:sz w:val="24"/>
          <w:szCs w:val="24"/>
        </w:rPr>
        <w:t xml:space="preserve"> blev øget på en dosisproportional måde. De </w:t>
      </w:r>
      <w:proofErr w:type="spellStart"/>
      <w:r w:rsidRPr="00841BE0">
        <w:rPr>
          <w:sz w:val="24"/>
          <w:szCs w:val="24"/>
        </w:rPr>
        <w:t>farmakokinetiske</w:t>
      </w:r>
      <w:proofErr w:type="spellEnd"/>
      <w:r w:rsidRPr="00841BE0">
        <w:rPr>
          <w:sz w:val="24"/>
          <w:szCs w:val="24"/>
        </w:rPr>
        <w:t xml:space="preserve"> parametre for </w:t>
      </w:r>
      <w:proofErr w:type="spellStart"/>
      <w:r w:rsidRPr="00841BE0">
        <w:rPr>
          <w:sz w:val="24"/>
          <w:szCs w:val="24"/>
        </w:rPr>
        <w:t>empagliflozin</w:t>
      </w:r>
      <w:proofErr w:type="spellEnd"/>
      <w:r w:rsidRPr="00841BE0">
        <w:rPr>
          <w:sz w:val="24"/>
          <w:szCs w:val="24"/>
        </w:rPr>
        <w:t xml:space="preserve"> ved en enkeltdosis og ved </w:t>
      </w:r>
      <w:proofErr w:type="spellStart"/>
      <w:r w:rsidRPr="00841BE0">
        <w:rPr>
          <w:i/>
          <w:iCs/>
          <w:sz w:val="24"/>
          <w:szCs w:val="24"/>
        </w:rPr>
        <w:t>steady</w:t>
      </w:r>
      <w:proofErr w:type="spellEnd"/>
      <w:r w:rsidRPr="00841BE0">
        <w:rPr>
          <w:i/>
          <w:iCs/>
          <w:sz w:val="24"/>
          <w:szCs w:val="24"/>
        </w:rPr>
        <w:t xml:space="preserve"> </w:t>
      </w:r>
      <w:proofErr w:type="spellStart"/>
      <w:r w:rsidRPr="00841BE0">
        <w:rPr>
          <w:i/>
          <w:iCs/>
          <w:sz w:val="24"/>
          <w:szCs w:val="24"/>
        </w:rPr>
        <w:t>state</w:t>
      </w:r>
      <w:proofErr w:type="spellEnd"/>
      <w:r w:rsidRPr="00841BE0">
        <w:rPr>
          <w:sz w:val="24"/>
          <w:szCs w:val="24"/>
        </w:rPr>
        <w:t xml:space="preserve"> var de samme, hvilket tyder på en lineær farmakokinetik med hensyn til tiden. Der var ingen klinisk relevante forskelle i </w:t>
      </w:r>
      <w:proofErr w:type="spellStart"/>
      <w:r w:rsidRPr="00841BE0">
        <w:rPr>
          <w:sz w:val="24"/>
          <w:szCs w:val="24"/>
        </w:rPr>
        <w:t>empagliflozins</w:t>
      </w:r>
      <w:proofErr w:type="spellEnd"/>
      <w:r w:rsidRPr="00841BE0">
        <w:rPr>
          <w:sz w:val="24"/>
          <w:szCs w:val="24"/>
        </w:rPr>
        <w:t xml:space="preserve"> farmakokinetik mellem raske frivillige og patienter med type 2-diabetes.</w:t>
      </w:r>
    </w:p>
    <w:p w14:paraId="263A2E03" w14:textId="77777777" w:rsidR="00841BE0" w:rsidRPr="00841BE0" w:rsidRDefault="00841BE0" w:rsidP="00F1283C">
      <w:pPr>
        <w:ind w:left="851"/>
        <w:rPr>
          <w:sz w:val="24"/>
          <w:szCs w:val="24"/>
        </w:rPr>
      </w:pPr>
      <w:r w:rsidRPr="00841BE0">
        <w:rPr>
          <w:sz w:val="24"/>
          <w:szCs w:val="24"/>
        </w:rPr>
        <w:t xml:space="preserve">Farmakokinetikken for 5 mg </w:t>
      </w:r>
      <w:proofErr w:type="spellStart"/>
      <w:r w:rsidRPr="00841BE0">
        <w:rPr>
          <w:sz w:val="24"/>
          <w:szCs w:val="24"/>
        </w:rPr>
        <w:t>empagliflozin</w:t>
      </w:r>
      <w:proofErr w:type="spellEnd"/>
      <w:r w:rsidRPr="00841BE0">
        <w:rPr>
          <w:sz w:val="24"/>
          <w:szCs w:val="24"/>
        </w:rPr>
        <w:t xml:space="preserve"> to gange dagligt og 10 mg </w:t>
      </w:r>
      <w:proofErr w:type="spellStart"/>
      <w:r w:rsidRPr="00841BE0">
        <w:rPr>
          <w:sz w:val="24"/>
          <w:szCs w:val="24"/>
        </w:rPr>
        <w:t>empagliflozin</w:t>
      </w:r>
      <w:proofErr w:type="spellEnd"/>
      <w:r w:rsidRPr="00841BE0">
        <w:rPr>
          <w:sz w:val="24"/>
          <w:szCs w:val="24"/>
        </w:rPr>
        <w:t xml:space="preserve"> én gang dagligt blev sammenlignet hos raske forsøgspersoner. Den samlede eksponering (</w:t>
      </w:r>
      <w:proofErr w:type="spellStart"/>
      <w:r w:rsidRPr="00841BE0">
        <w:rPr>
          <w:sz w:val="24"/>
          <w:szCs w:val="24"/>
        </w:rPr>
        <w:t>AUC</w:t>
      </w:r>
      <w:r w:rsidRPr="00841BE0">
        <w:rPr>
          <w:sz w:val="24"/>
          <w:szCs w:val="24"/>
          <w:vertAlign w:val="subscript"/>
        </w:rPr>
        <w:t>ss</w:t>
      </w:r>
      <w:proofErr w:type="spellEnd"/>
      <w:r w:rsidRPr="00841BE0">
        <w:rPr>
          <w:sz w:val="24"/>
          <w:szCs w:val="24"/>
        </w:rPr>
        <w:t xml:space="preserve">) for </w:t>
      </w:r>
      <w:proofErr w:type="spellStart"/>
      <w:r w:rsidRPr="00841BE0">
        <w:rPr>
          <w:sz w:val="24"/>
          <w:szCs w:val="24"/>
        </w:rPr>
        <w:t>empagliflozin</w:t>
      </w:r>
      <w:proofErr w:type="spellEnd"/>
      <w:r w:rsidRPr="00841BE0">
        <w:rPr>
          <w:sz w:val="24"/>
          <w:szCs w:val="24"/>
        </w:rPr>
        <w:t xml:space="preserve"> i en 24</w:t>
      </w:r>
      <w:r w:rsidRPr="00841BE0">
        <w:rPr>
          <w:sz w:val="24"/>
          <w:szCs w:val="24"/>
        </w:rPr>
        <w:noBreakHyphen/>
        <w:t xml:space="preserve">timers periode ved administration af </w:t>
      </w:r>
      <w:proofErr w:type="spellStart"/>
      <w:r w:rsidRPr="00841BE0">
        <w:rPr>
          <w:sz w:val="24"/>
          <w:szCs w:val="24"/>
        </w:rPr>
        <w:t>empagliflozin</w:t>
      </w:r>
      <w:proofErr w:type="spellEnd"/>
      <w:r w:rsidRPr="00841BE0">
        <w:rPr>
          <w:sz w:val="24"/>
          <w:szCs w:val="24"/>
        </w:rPr>
        <w:t xml:space="preserve"> 5 mg to gange dagligt var den samme som ved administration af </w:t>
      </w:r>
      <w:proofErr w:type="spellStart"/>
      <w:r w:rsidRPr="00841BE0">
        <w:rPr>
          <w:sz w:val="24"/>
          <w:szCs w:val="24"/>
        </w:rPr>
        <w:t>empagliflozin</w:t>
      </w:r>
      <w:proofErr w:type="spellEnd"/>
      <w:r w:rsidRPr="00841BE0">
        <w:rPr>
          <w:sz w:val="24"/>
          <w:szCs w:val="24"/>
        </w:rPr>
        <w:t xml:space="preserve"> 10 mg én gang dagligt. Som ventet medførte </w:t>
      </w:r>
      <w:proofErr w:type="spellStart"/>
      <w:r w:rsidRPr="00841BE0">
        <w:rPr>
          <w:sz w:val="24"/>
          <w:szCs w:val="24"/>
        </w:rPr>
        <w:t>empagliflozin</w:t>
      </w:r>
      <w:proofErr w:type="spellEnd"/>
      <w:r w:rsidRPr="00841BE0">
        <w:rPr>
          <w:sz w:val="24"/>
          <w:szCs w:val="24"/>
        </w:rPr>
        <w:t xml:space="preserve"> 5 mg to gange dagligt en lavere </w:t>
      </w:r>
      <w:proofErr w:type="spellStart"/>
      <w:r w:rsidRPr="00841BE0">
        <w:rPr>
          <w:sz w:val="24"/>
          <w:szCs w:val="24"/>
        </w:rPr>
        <w:t>C</w:t>
      </w:r>
      <w:r w:rsidRPr="00841BE0">
        <w:rPr>
          <w:sz w:val="24"/>
          <w:szCs w:val="24"/>
          <w:vertAlign w:val="subscript"/>
        </w:rPr>
        <w:t>max</w:t>
      </w:r>
      <w:proofErr w:type="spellEnd"/>
      <w:r w:rsidRPr="00841BE0">
        <w:rPr>
          <w:sz w:val="24"/>
          <w:szCs w:val="24"/>
        </w:rPr>
        <w:t xml:space="preserve"> og højere dalværdier (</w:t>
      </w:r>
      <w:proofErr w:type="spellStart"/>
      <w:r w:rsidRPr="00841BE0">
        <w:rPr>
          <w:sz w:val="24"/>
          <w:szCs w:val="24"/>
        </w:rPr>
        <w:t>C</w:t>
      </w:r>
      <w:r w:rsidRPr="00841BE0">
        <w:rPr>
          <w:sz w:val="24"/>
          <w:szCs w:val="24"/>
          <w:vertAlign w:val="subscript"/>
        </w:rPr>
        <w:t>min</w:t>
      </w:r>
      <w:proofErr w:type="spellEnd"/>
      <w:r w:rsidRPr="00841BE0">
        <w:rPr>
          <w:sz w:val="24"/>
          <w:szCs w:val="24"/>
        </w:rPr>
        <w:t xml:space="preserve">) for plasmakoncentrationen af </w:t>
      </w:r>
      <w:proofErr w:type="spellStart"/>
      <w:r w:rsidRPr="00841BE0">
        <w:rPr>
          <w:sz w:val="24"/>
          <w:szCs w:val="24"/>
        </w:rPr>
        <w:t>empagliflozin</w:t>
      </w:r>
      <w:proofErr w:type="spellEnd"/>
      <w:r w:rsidRPr="00841BE0">
        <w:rPr>
          <w:sz w:val="24"/>
          <w:szCs w:val="24"/>
        </w:rPr>
        <w:t xml:space="preserve"> sammenlignet med 10 mg </w:t>
      </w:r>
      <w:proofErr w:type="spellStart"/>
      <w:r w:rsidRPr="00841BE0">
        <w:rPr>
          <w:sz w:val="24"/>
          <w:szCs w:val="24"/>
        </w:rPr>
        <w:t>empagliflozin</w:t>
      </w:r>
      <w:proofErr w:type="spellEnd"/>
      <w:r w:rsidRPr="00841BE0">
        <w:rPr>
          <w:sz w:val="24"/>
          <w:szCs w:val="24"/>
        </w:rPr>
        <w:t xml:space="preserve"> én gang dagligt.</w:t>
      </w:r>
    </w:p>
    <w:p w14:paraId="2103FEA9" w14:textId="3FADB2E7" w:rsidR="00841BE0" w:rsidRPr="00841BE0" w:rsidRDefault="00841BE0" w:rsidP="00F1283C">
      <w:pPr>
        <w:ind w:left="851"/>
        <w:rPr>
          <w:sz w:val="24"/>
          <w:szCs w:val="24"/>
        </w:rPr>
      </w:pPr>
      <w:r w:rsidRPr="00841BE0">
        <w:rPr>
          <w:sz w:val="24"/>
          <w:szCs w:val="24"/>
        </w:rPr>
        <w:t xml:space="preserve">Administration af </w:t>
      </w:r>
      <w:proofErr w:type="spellStart"/>
      <w:r w:rsidRPr="00841BE0">
        <w:rPr>
          <w:sz w:val="24"/>
          <w:szCs w:val="24"/>
        </w:rPr>
        <w:t>empagliflozin</w:t>
      </w:r>
      <w:proofErr w:type="spellEnd"/>
      <w:r w:rsidRPr="00841BE0">
        <w:rPr>
          <w:sz w:val="24"/>
          <w:szCs w:val="24"/>
        </w:rPr>
        <w:t xml:space="preserve"> 25 mg efter indtagelse af et fedt</w:t>
      </w:r>
      <w:r w:rsidRPr="00841BE0">
        <w:rPr>
          <w:sz w:val="24"/>
          <w:szCs w:val="24"/>
        </w:rPr>
        <w:noBreakHyphen/>
        <w:t xml:space="preserve"> og kalorierigt måltid medførte en lidt lavere eksponering. AUC faldt med ca. 16 % og </w:t>
      </w:r>
      <w:proofErr w:type="spellStart"/>
      <w:r w:rsidRPr="00841BE0">
        <w:rPr>
          <w:sz w:val="24"/>
          <w:szCs w:val="24"/>
        </w:rPr>
        <w:t>C</w:t>
      </w:r>
      <w:r w:rsidRPr="00841BE0">
        <w:rPr>
          <w:sz w:val="24"/>
          <w:szCs w:val="24"/>
          <w:vertAlign w:val="subscript"/>
        </w:rPr>
        <w:t>max</w:t>
      </w:r>
      <w:proofErr w:type="spellEnd"/>
      <w:r w:rsidRPr="00841BE0">
        <w:rPr>
          <w:sz w:val="24"/>
          <w:szCs w:val="24"/>
        </w:rPr>
        <w:t xml:space="preserve"> med ca. 37 % sammenlignet med fastetilstand. Den observerede virkning af mad på </w:t>
      </w:r>
      <w:proofErr w:type="spellStart"/>
      <w:r w:rsidRPr="00841BE0">
        <w:rPr>
          <w:sz w:val="24"/>
          <w:szCs w:val="24"/>
        </w:rPr>
        <w:t>empagliflozins</w:t>
      </w:r>
      <w:proofErr w:type="spellEnd"/>
      <w:r w:rsidRPr="00841BE0">
        <w:rPr>
          <w:sz w:val="24"/>
          <w:szCs w:val="24"/>
        </w:rPr>
        <w:t xml:space="preserve"> farmakokinetik blev ikke betragtet som værende af klinisk betydning, og </w:t>
      </w:r>
      <w:proofErr w:type="spellStart"/>
      <w:r w:rsidRPr="00841BE0">
        <w:rPr>
          <w:sz w:val="24"/>
          <w:szCs w:val="24"/>
        </w:rPr>
        <w:t>empagliflozin</w:t>
      </w:r>
      <w:proofErr w:type="spellEnd"/>
      <w:r w:rsidRPr="00841BE0">
        <w:rPr>
          <w:sz w:val="24"/>
          <w:szCs w:val="24"/>
        </w:rPr>
        <w:t xml:space="preserve"> kan tages med eller uden mad. Tilsvarende resultater blev opnået, når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xml:space="preserve"> </w:t>
      </w:r>
      <w:r w:rsidR="00595CFD">
        <w:rPr>
          <w:sz w:val="24"/>
          <w:szCs w:val="24"/>
        </w:rPr>
        <w:t>"</w:t>
      </w:r>
      <w:proofErr w:type="spellStart"/>
      <w:r w:rsidRPr="00841BE0">
        <w:rPr>
          <w:sz w:val="24"/>
          <w:szCs w:val="24"/>
        </w:rPr>
        <w:t>Krka</w:t>
      </w:r>
      <w:proofErr w:type="spellEnd"/>
      <w:r w:rsidR="00595CFD">
        <w:rPr>
          <w:sz w:val="24"/>
          <w:szCs w:val="24"/>
        </w:rPr>
        <w:t>"</w:t>
      </w:r>
      <w:r w:rsidRPr="00841BE0">
        <w:rPr>
          <w:sz w:val="24"/>
          <w:szCs w:val="24"/>
        </w:rPr>
        <w:t xml:space="preserve"> (</w:t>
      </w:r>
      <w:proofErr w:type="spellStart"/>
      <w:r w:rsidRPr="00841BE0">
        <w:rPr>
          <w:sz w:val="24"/>
          <w:szCs w:val="24"/>
        </w:rPr>
        <w:t>empagliflozin</w:t>
      </w:r>
      <w:proofErr w:type="spellEnd"/>
      <w:r w:rsidRPr="00841BE0">
        <w:rPr>
          <w:sz w:val="24"/>
          <w:szCs w:val="24"/>
        </w:rPr>
        <w:t>/</w:t>
      </w:r>
      <w:proofErr w:type="spellStart"/>
      <w:r w:rsidRPr="00841BE0">
        <w:rPr>
          <w:sz w:val="24"/>
          <w:szCs w:val="24"/>
        </w:rPr>
        <w:t>metformin</w:t>
      </w:r>
      <w:proofErr w:type="spellEnd"/>
      <w:r w:rsidRPr="00841BE0">
        <w:rPr>
          <w:sz w:val="24"/>
          <w:szCs w:val="24"/>
        </w:rPr>
        <w:t>) kombinationstabletter blev givet sammen med et fedt</w:t>
      </w:r>
      <w:r w:rsidRPr="00841BE0">
        <w:rPr>
          <w:sz w:val="24"/>
          <w:szCs w:val="24"/>
        </w:rPr>
        <w:noBreakHyphen/>
        <w:t xml:space="preserve"> og kalorierigt måltid.</w:t>
      </w:r>
    </w:p>
    <w:p w14:paraId="314D5D81" w14:textId="77777777" w:rsidR="00841BE0" w:rsidRPr="00841BE0" w:rsidRDefault="00841BE0" w:rsidP="00F1283C">
      <w:pPr>
        <w:ind w:left="851"/>
        <w:rPr>
          <w:sz w:val="24"/>
          <w:szCs w:val="24"/>
        </w:rPr>
      </w:pPr>
    </w:p>
    <w:p w14:paraId="0008FBFA" w14:textId="77777777" w:rsidR="00841BE0" w:rsidRPr="00841BE0" w:rsidRDefault="00841BE0" w:rsidP="00F1283C">
      <w:pPr>
        <w:ind w:left="851"/>
        <w:rPr>
          <w:i/>
          <w:iCs/>
          <w:sz w:val="24"/>
          <w:szCs w:val="24"/>
          <w:u w:val="single"/>
        </w:rPr>
      </w:pPr>
      <w:r w:rsidRPr="00841BE0">
        <w:rPr>
          <w:i/>
          <w:iCs/>
          <w:sz w:val="24"/>
          <w:szCs w:val="24"/>
          <w:u w:val="single"/>
        </w:rPr>
        <w:t>Fordeling</w:t>
      </w:r>
    </w:p>
    <w:p w14:paraId="73B75EB0" w14:textId="77777777" w:rsidR="00841BE0" w:rsidRPr="00841BE0" w:rsidRDefault="00841BE0" w:rsidP="00F1283C">
      <w:pPr>
        <w:ind w:left="851"/>
        <w:rPr>
          <w:sz w:val="24"/>
          <w:szCs w:val="24"/>
        </w:rPr>
      </w:pPr>
      <w:r w:rsidRPr="00841BE0">
        <w:rPr>
          <w:sz w:val="24"/>
          <w:szCs w:val="24"/>
        </w:rPr>
        <w:t xml:space="preserve">Ved den </w:t>
      </w:r>
      <w:proofErr w:type="spellStart"/>
      <w:r w:rsidRPr="00841BE0">
        <w:rPr>
          <w:sz w:val="24"/>
          <w:szCs w:val="24"/>
        </w:rPr>
        <w:t>populationsfarmakokinetiske</w:t>
      </w:r>
      <w:proofErr w:type="spellEnd"/>
      <w:r w:rsidRPr="00841BE0">
        <w:rPr>
          <w:sz w:val="24"/>
          <w:szCs w:val="24"/>
        </w:rPr>
        <w:t xml:space="preserve"> analyse blev det tilsyneladende fordelingsvolumen ved </w:t>
      </w:r>
      <w:proofErr w:type="spellStart"/>
      <w:r w:rsidRPr="00841BE0">
        <w:rPr>
          <w:i/>
          <w:iCs/>
          <w:sz w:val="24"/>
          <w:szCs w:val="24"/>
        </w:rPr>
        <w:t>steady</w:t>
      </w:r>
      <w:proofErr w:type="spellEnd"/>
      <w:r w:rsidRPr="00841BE0">
        <w:rPr>
          <w:i/>
          <w:iCs/>
          <w:sz w:val="24"/>
          <w:szCs w:val="24"/>
        </w:rPr>
        <w:t xml:space="preserve"> </w:t>
      </w:r>
      <w:proofErr w:type="spellStart"/>
      <w:r w:rsidRPr="00841BE0">
        <w:rPr>
          <w:i/>
          <w:iCs/>
          <w:sz w:val="24"/>
          <w:szCs w:val="24"/>
        </w:rPr>
        <w:t>state</w:t>
      </w:r>
      <w:proofErr w:type="spellEnd"/>
      <w:r w:rsidRPr="00841BE0">
        <w:rPr>
          <w:sz w:val="24"/>
          <w:szCs w:val="24"/>
        </w:rPr>
        <w:t xml:space="preserve"> estimeret til 73,8 l. Efter administration af en oral [</w:t>
      </w:r>
      <w:r w:rsidRPr="00841BE0">
        <w:rPr>
          <w:sz w:val="24"/>
          <w:szCs w:val="24"/>
          <w:vertAlign w:val="superscript"/>
        </w:rPr>
        <w:t>14</w:t>
      </w:r>
      <w:proofErr w:type="gramStart"/>
      <w:r w:rsidRPr="00841BE0">
        <w:rPr>
          <w:sz w:val="24"/>
          <w:szCs w:val="24"/>
        </w:rPr>
        <w:t>C]-</w:t>
      </w:r>
      <w:proofErr w:type="gramEnd"/>
      <w:r w:rsidRPr="00841BE0">
        <w:rPr>
          <w:sz w:val="24"/>
          <w:szCs w:val="24"/>
        </w:rPr>
        <w:t xml:space="preserve">opløsning af </w:t>
      </w:r>
      <w:proofErr w:type="spellStart"/>
      <w:r w:rsidRPr="00841BE0">
        <w:rPr>
          <w:sz w:val="24"/>
          <w:szCs w:val="24"/>
        </w:rPr>
        <w:t>empagliflozin</w:t>
      </w:r>
      <w:proofErr w:type="spellEnd"/>
      <w:r w:rsidRPr="00841BE0">
        <w:rPr>
          <w:sz w:val="24"/>
          <w:szCs w:val="24"/>
        </w:rPr>
        <w:t xml:space="preserve"> til raske frivillige var fordelingen til røde blodlegemer ca. 37 % og plasmaproteinbindingen var 86 %.</w:t>
      </w:r>
    </w:p>
    <w:p w14:paraId="5CB880F8" w14:textId="77777777" w:rsidR="00841BE0" w:rsidRPr="00841BE0" w:rsidRDefault="00841BE0" w:rsidP="00F1283C">
      <w:pPr>
        <w:ind w:left="851"/>
        <w:rPr>
          <w:sz w:val="24"/>
          <w:szCs w:val="24"/>
        </w:rPr>
      </w:pPr>
    </w:p>
    <w:p w14:paraId="2D389B76" w14:textId="77777777" w:rsidR="00841BE0" w:rsidRPr="00841BE0" w:rsidRDefault="00841BE0" w:rsidP="00F1283C">
      <w:pPr>
        <w:ind w:left="851"/>
        <w:rPr>
          <w:i/>
          <w:iCs/>
          <w:sz w:val="24"/>
          <w:szCs w:val="24"/>
          <w:u w:val="single"/>
        </w:rPr>
      </w:pPr>
      <w:r w:rsidRPr="00841BE0">
        <w:rPr>
          <w:i/>
          <w:iCs/>
          <w:sz w:val="24"/>
          <w:szCs w:val="24"/>
          <w:u w:val="single"/>
        </w:rPr>
        <w:t>Biotransformation</w:t>
      </w:r>
    </w:p>
    <w:p w14:paraId="6FB0D0E3" w14:textId="77777777" w:rsidR="00841BE0" w:rsidRPr="00841BE0" w:rsidRDefault="00841BE0" w:rsidP="00F1283C">
      <w:pPr>
        <w:ind w:left="851"/>
        <w:rPr>
          <w:sz w:val="24"/>
          <w:szCs w:val="24"/>
        </w:rPr>
      </w:pPr>
      <w:r w:rsidRPr="00841BE0">
        <w:rPr>
          <w:sz w:val="24"/>
          <w:szCs w:val="24"/>
        </w:rPr>
        <w:t xml:space="preserve">Der blev ikke påvist nogen betydende metabolitter af </w:t>
      </w:r>
      <w:proofErr w:type="spellStart"/>
      <w:r w:rsidRPr="00841BE0">
        <w:rPr>
          <w:sz w:val="24"/>
          <w:szCs w:val="24"/>
        </w:rPr>
        <w:t>empagliflozin</w:t>
      </w:r>
      <w:proofErr w:type="spellEnd"/>
      <w:r w:rsidRPr="00841BE0">
        <w:rPr>
          <w:sz w:val="24"/>
          <w:szCs w:val="24"/>
        </w:rPr>
        <w:t xml:space="preserve"> i humant plasma, defineret ved mindst 10 % af det samlede lægemiddelrelaterede materiale, og de primære metabolitter var tre </w:t>
      </w:r>
      <w:proofErr w:type="spellStart"/>
      <w:r w:rsidRPr="00841BE0">
        <w:rPr>
          <w:sz w:val="24"/>
          <w:szCs w:val="24"/>
        </w:rPr>
        <w:t>glukuronidkonjugater</w:t>
      </w:r>
      <w:proofErr w:type="spellEnd"/>
      <w:r w:rsidRPr="00841BE0">
        <w:rPr>
          <w:sz w:val="24"/>
          <w:szCs w:val="24"/>
        </w:rPr>
        <w:t xml:space="preserve"> (2</w:t>
      </w:r>
      <w:r w:rsidRPr="00841BE0">
        <w:rPr>
          <w:sz w:val="24"/>
          <w:szCs w:val="24"/>
        </w:rPr>
        <w:noBreakHyphen/>
        <w:t>, 3</w:t>
      </w:r>
      <w:r w:rsidRPr="00841BE0">
        <w:rPr>
          <w:sz w:val="24"/>
          <w:szCs w:val="24"/>
        </w:rPr>
        <w:noBreakHyphen/>
        <w:t xml:space="preserve"> og 6</w:t>
      </w:r>
      <w:r w:rsidRPr="00841BE0">
        <w:rPr>
          <w:sz w:val="24"/>
          <w:szCs w:val="24"/>
        </w:rPr>
        <w:noBreakHyphen/>
        <w:t xml:space="preserve">O-glukuronid). </w:t>
      </w:r>
      <w:r w:rsidRPr="00841BE0">
        <w:rPr>
          <w:i/>
          <w:iCs/>
          <w:sz w:val="24"/>
          <w:szCs w:val="24"/>
        </w:rPr>
        <w:t xml:space="preserve">In </w:t>
      </w:r>
      <w:proofErr w:type="spellStart"/>
      <w:r w:rsidRPr="00841BE0">
        <w:rPr>
          <w:i/>
          <w:iCs/>
          <w:sz w:val="24"/>
          <w:szCs w:val="24"/>
        </w:rPr>
        <w:t>vitro</w:t>
      </w:r>
      <w:proofErr w:type="spellEnd"/>
      <w:r w:rsidRPr="00841BE0">
        <w:rPr>
          <w:sz w:val="24"/>
          <w:szCs w:val="24"/>
        </w:rPr>
        <w:t xml:space="preserve">-studier tyder på, at den primære </w:t>
      </w:r>
      <w:proofErr w:type="spellStart"/>
      <w:r w:rsidRPr="00841BE0">
        <w:rPr>
          <w:sz w:val="24"/>
          <w:szCs w:val="24"/>
        </w:rPr>
        <w:t>metaboliseringsvej</w:t>
      </w:r>
      <w:proofErr w:type="spellEnd"/>
      <w:r w:rsidRPr="00841BE0">
        <w:rPr>
          <w:sz w:val="24"/>
          <w:szCs w:val="24"/>
        </w:rPr>
        <w:t xml:space="preserve"> for </w:t>
      </w:r>
      <w:proofErr w:type="spellStart"/>
      <w:r w:rsidRPr="00841BE0">
        <w:rPr>
          <w:sz w:val="24"/>
          <w:szCs w:val="24"/>
        </w:rPr>
        <w:t>empagliflozin</w:t>
      </w:r>
      <w:proofErr w:type="spellEnd"/>
      <w:r w:rsidRPr="00841BE0">
        <w:rPr>
          <w:sz w:val="24"/>
          <w:szCs w:val="24"/>
        </w:rPr>
        <w:t xml:space="preserve"> hos mennesker er </w:t>
      </w:r>
      <w:proofErr w:type="spellStart"/>
      <w:r w:rsidRPr="00841BE0">
        <w:rPr>
          <w:sz w:val="24"/>
          <w:szCs w:val="24"/>
        </w:rPr>
        <w:t>glukuronidering</w:t>
      </w:r>
      <w:proofErr w:type="spellEnd"/>
      <w:r w:rsidRPr="00841BE0">
        <w:rPr>
          <w:sz w:val="24"/>
          <w:szCs w:val="24"/>
        </w:rPr>
        <w:t xml:space="preserve"> ved hjælp af uridin-5'-difosfoglukuronosyltransferaserne UGT2B7, UGT1A3, UGT1A8 og UGT1A9.</w:t>
      </w:r>
    </w:p>
    <w:p w14:paraId="6D4A7831" w14:textId="77777777" w:rsidR="00841BE0" w:rsidRPr="00841BE0" w:rsidRDefault="00841BE0" w:rsidP="00F1283C">
      <w:pPr>
        <w:ind w:left="851"/>
        <w:rPr>
          <w:sz w:val="24"/>
          <w:szCs w:val="24"/>
        </w:rPr>
      </w:pPr>
    </w:p>
    <w:p w14:paraId="5CF1E703" w14:textId="77777777" w:rsidR="00841BE0" w:rsidRPr="00841BE0" w:rsidRDefault="00841BE0" w:rsidP="00F1283C">
      <w:pPr>
        <w:ind w:left="851"/>
        <w:rPr>
          <w:i/>
          <w:iCs/>
          <w:sz w:val="24"/>
          <w:szCs w:val="24"/>
          <w:u w:val="single"/>
        </w:rPr>
      </w:pPr>
      <w:r w:rsidRPr="00841BE0">
        <w:rPr>
          <w:i/>
          <w:iCs/>
          <w:sz w:val="24"/>
          <w:szCs w:val="24"/>
          <w:u w:val="single"/>
        </w:rPr>
        <w:t>Elimination</w:t>
      </w:r>
    </w:p>
    <w:p w14:paraId="473837A1" w14:textId="77777777" w:rsidR="00841BE0" w:rsidRPr="00841BE0" w:rsidRDefault="00841BE0" w:rsidP="00F1283C">
      <w:pPr>
        <w:ind w:left="851"/>
        <w:rPr>
          <w:sz w:val="24"/>
          <w:szCs w:val="24"/>
        </w:rPr>
      </w:pPr>
      <w:r w:rsidRPr="00841BE0">
        <w:rPr>
          <w:sz w:val="24"/>
          <w:szCs w:val="24"/>
        </w:rPr>
        <w:t xml:space="preserve">Ved den </w:t>
      </w:r>
      <w:proofErr w:type="spellStart"/>
      <w:r w:rsidRPr="00841BE0">
        <w:rPr>
          <w:sz w:val="24"/>
          <w:szCs w:val="24"/>
        </w:rPr>
        <w:t>populationsfarmakokinetiske</w:t>
      </w:r>
      <w:proofErr w:type="spellEnd"/>
      <w:r w:rsidRPr="00841BE0">
        <w:rPr>
          <w:sz w:val="24"/>
          <w:szCs w:val="24"/>
        </w:rPr>
        <w:t xml:space="preserve"> analyse blev den tilsyneladende terminale eliminationshalveringstid for </w:t>
      </w:r>
      <w:proofErr w:type="spellStart"/>
      <w:r w:rsidRPr="00841BE0">
        <w:rPr>
          <w:sz w:val="24"/>
          <w:szCs w:val="24"/>
        </w:rPr>
        <w:t>empagliflozin</w:t>
      </w:r>
      <w:proofErr w:type="spellEnd"/>
      <w:r w:rsidRPr="00841BE0">
        <w:rPr>
          <w:sz w:val="24"/>
          <w:szCs w:val="24"/>
        </w:rPr>
        <w:t xml:space="preserve"> estimeret til 12,4 timer, og den tilsyneladende oral </w:t>
      </w:r>
      <w:proofErr w:type="spellStart"/>
      <w:r w:rsidRPr="00841BE0">
        <w:rPr>
          <w:sz w:val="24"/>
          <w:szCs w:val="24"/>
        </w:rPr>
        <w:t>clearance</w:t>
      </w:r>
      <w:proofErr w:type="spellEnd"/>
      <w:r w:rsidRPr="00841BE0">
        <w:rPr>
          <w:sz w:val="24"/>
          <w:szCs w:val="24"/>
        </w:rPr>
        <w:t xml:space="preserve"> var 10,6 l/time. Variabiliteten mellem patienter og restvariabiliteten for oral </w:t>
      </w:r>
      <w:proofErr w:type="spellStart"/>
      <w:r w:rsidRPr="00841BE0">
        <w:rPr>
          <w:sz w:val="24"/>
          <w:szCs w:val="24"/>
        </w:rPr>
        <w:t>clearance</w:t>
      </w:r>
      <w:proofErr w:type="spellEnd"/>
      <w:r w:rsidRPr="00841BE0">
        <w:rPr>
          <w:sz w:val="24"/>
          <w:szCs w:val="24"/>
        </w:rPr>
        <w:t xml:space="preserve"> for </w:t>
      </w:r>
      <w:proofErr w:type="spellStart"/>
      <w:r w:rsidRPr="00841BE0">
        <w:rPr>
          <w:sz w:val="24"/>
          <w:szCs w:val="24"/>
        </w:rPr>
        <w:t>empagliflozin</w:t>
      </w:r>
      <w:proofErr w:type="spellEnd"/>
      <w:r w:rsidRPr="00841BE0">
        <w:rPr>
          <w:sz w:val="24"/>
          <w:szCs w:val="24"/>
        </w:rPr>
        <w:t xml:space="preserve"> var henholdsvis 39,1 % og 35,8 %. Ved dosering én gang dagligt blev </w:t>
      </w:r>
      <w:proofErr w:type="spellStart"/>
      <w:r w:rsidRPr="00841BE0">
        <w:rPr>
          <w:i/>
          <w:iCs/>
          <w:sz w:val="24"/>
          <w:szCs w:val="24"/>
        </w:rPr>
        <w:t>steady</w:t>
      </w:r>
      <w:proofErr w:type="spellEnd"/>
      <w:r w:rsidRPr="00841BE0">
        <w:rPr>
          <w:i/>
          <w:iCs/>
          <w:sz w:val="24"/>
          <w:szCs w:val="24"/>
        </w:rPr>
        <w:t xml:space="preserve"> </w:t>
      </w:r>
      <w:proofErr w:type="spellStart"/>
      <w:r w:rsidRPr="00841BE0">
        <w:rPr>
          <w:i/>
          <w:iCs/>
          <w:sz w:val="24"/>
          <w:szCs w:val="24"/>
        </w:rPr>
        <w:t>state</w:t>
      </w:r>
      <w:proofErr w:type="spellEnd"/>
      <w:r w:rsidRPr="00841BE0">
        <w:rPr>
          <w:sz w:val="24"/>
          <w:szCs w:val="24"/>
        </w:rPr>
        <w:t xml:space="preserve"> plasmakoncentrationer af </w:t>
      </w:r>
      <w:proofErr w:type="spellStart"/>
      <w:r w:rsidRPr="00841BE0">
        <w:rPr>
          <w:sz w:val="24"/>
          <w:szCs w:val="24"/>
        </w:rPr>
        <w:t>empagliflozin</w:t>
      </w:r>
      <w:proofErr w:type="spellEnd"/>
      <w:r w:rsidRPr="00841BE0">
        <w:rPr>
          <w:sz w:val="24"/>
          <w:szCs w:val="24"/>
        </w:rPr>
        <w:t xml:space="preserve"> opnået efter den femte dosis. Foreneligt med halveringstiden blev der observeret op til 22 % akkumulation med hensyn til plasma-AUC ved </w:t>
      </w:r>
      <w:proofErr w:type="spellStart"/>
      <w:r w:rsidRPr="00841BE0">
        <w:rPr>
          <w:i/>
          <w:iCs/>
          <w:sz w:val="24"/>
          <w:szCs w:val="24"/>
        </w:rPr>
        <w:t>steady</w:t>
      </w:r>
      <w:proofErr w:type="spellEnd"/>
      <w:r w:rsidRPr="00841BE0">
        <w:rPr>
          <w:i/>
          <w:iCs/>
          <w:sz w:val="24"/>
          <w:szCs w:val="24"/>
        </w:rPr>
        <w:t xml:space="preserve"> </w:t>
      </w:r>
      <w:proofErr w:type="spellStart"/>
      <w:r w:rsidRPr="00841BE0">
        <w:rPr>
          <w:i/>
          <w:iCs/>
          <w:sz w:val="24"/>
          <w:szCs w:val="24"/>
        </w:rPr>
        <w:t>state</w:t>
      </w:r>
      <w:proofErr w:type="spellEnd"/>
      <w:r w:rsidRPr="00841BE0">
        <w:rPr>
          <w:sz w:val="24"/>
          <w:szCs w:val="24"/>
        </w:rPr>
        <w:t>. Efter administration af en oral dosis [</w:t>
      </w:r>
      <w:r w:rsidRPr="00841BE0">
        <w:rPr>
          <w:sz w:val="24"/>
          <w:szCs w:val="24"/>
          <w:vertAlign w:val="superscript"/>
        </w:rPr>
        <w:t>14</w:t>
      </w:r>
      <w:proofErr w:type="gramStart"/>
      <w:r w:rsidRPr="00841BE0">
        <w:rPr>
          <w:sz w:val="24"/>
          <w:szCs w:val="24"/>
        </w:rPr>
        <w:t>C]-</w:t>
      </w:r>
      <w:proofErr w:type="spellStart"/>
      <w:proofErr w:type="gramEnd"/>
      <w:r w:rsidRPr="00841BE0">
        <w:rPr>
          <w:sz w:val="24"/>
          <w:szCs w:val="24"/>
        </w:rPr>
        <w:t>empagliflozin</w:t>
      </w:r>
      <w:proofErr w:type="spellEnd"/>
      <w:r w:rsidRPr="00841BE0">
        <w:rPr>
          <w:sz w:val="24"/>
          <w:szCs w:val="24"/>
        </w:rPr>
        <w:t xml:space="preserve"> til raske frivillige blev ca. 96 % af den lægemiddelrelaterede radioaktivitet udskilt i fæces (41 %) eller urin (54 %). Størstedelen af den lægemiddelrelaterede radioaktivitet, der blev genfundet i fæces, stammede fra </w:t>
      </w:r>
      <w:proofErr w:type="spellStart"/>
      <w:r w:rsidRPr="00841BE0">
        <w:rPr>
          <w:sz w:val="24"/>
          <w:szCs w:val="24"/>
        </w:rPr>
        <w:t>uomdannet</w:t>
      </w:r>
      <w:proofErr w:type="spellEnd"/>
      <w:r w:rsidRPr="00841BE0">
        <w:rPr>
          <w:sz w:val="24"/>
          <w:szCs w:val="24"/>
        </w:rPr>
        <w:t xml:space="preserve"> modersubstans, og ca. halvdelen af den lægemiddelrelaterede radioaktivitet, der blev genfundet i urin, var </w:t>
      </w:r>
      <w:proofErr w:type="spellStart"/>
      <w:r w:rsidRPr="00841BE0">
        <w:rPr>
          <w:sz w:val="24"/>
          <w:szCs w:val="24"/>
        </w:rPr>
        <w:t>uomdannet</w:t>
      </w:r>
      <w:proofErr w:type="spellEnd"/>
      <w:r w:rsidRPr="00841BE0">
        <w:rPr>
          <w:sz w:val="24"/>
          <w:szCs w:val="24"/>
        </w:rPr>
        <w:t xml:space="preserve"> modersubstans.</w:t>
      </w:r>
    </w:p>
    <w:p w14:paraId="52BAF7A6" w14:textId="77777777" w:rsidR="00841BE0" w:rsidRPr="00841BE0" w:rsidRDefault="00841BE0" w:rsidP="00F1283C">
      <w:pPr>
        <w:ind w:left="851"/>
        <w:rPr>
          <w:sz w:val="24"/>
          <w:szCs w:val="24"/>
        </w:rPr>
      </w:pPr>
    </w:p>
    <w:p w14:paraId="69BB852D" w14:textId="77777777" w:rsidR="00841BE0" w:rsidRPr="00841BE0" w:rsidRDefault="00841BE0" w:rsidP="00F1283C">
      <w:pPr>
        <w:ind w:left="851"/>
        <w:rPr>
          <w:i/>
          <w:iCs/>
          <w:sz w:val="24"/>
          <w:szCs w:val="24"/>
          <w:u w:val="single"/>
        </w:rPr>
      </w:pPr>
      <w:r w:rsidRPr="00841BE0">
        <w:rPr>
          <w:i/>
          <w:iCs/>
          <w:sz w:val="24"/>
          <w:szCs w:val="24"/>
          <w:u w:val="single"/>
        </w:rPr>
        <w:t>Særlige populationer</w:t>
      </w:r>
    </w:p>
    <w:p w14:paraId="59F10270" w14:textId="77777777" w:rsidR="00841BE0" w:rsidRPr="00841BE0" w:rsidRDefault="00841BE0" w:rsidP="00F1283C">
      <w:pPr>
        <w:ind w:left="851"/>
        <w:rPr>
          <w:sz w:val="24"/>
          <w:szCs w:val="24"/>
        </w:rPr>
      </w:pPr>
    </w:p>
    <w:p w14:paraId="0DF75C88" w14:textId="77777777" w:rsidR="00841BE0" w:rsidRPr="00841BE0" w:rsidRDefault="00841BE0" w:rsidP="00F1283C">
      <w:pPr>
        <w:ind w:left="851"/>
        <w:rPr>
          <w:i/>
          <w:iCs/>
          <w:sz w:val="24"/>
          <w:szCs w:val="24"/>
        </w:rPr>
      </w:pPr>
      <w:r w:rsidRPr="00841BE0">
        <w:rPr>
          <w:i/>
          <w:iCs/>
          <w:sz w:val="24"/>
          <w:szCs w:val="24"/>
        </w:rPr>
        <w:t>Nedsat nyrefunktion</w:t>
      </w:r>
    </w:p>
    <w:p w14:paraId="65A578B6" w14:textId="77777777" w:rsidR="00841BE0" w:rsidRPr="00841BE0" w:rsidRDefault="00841BE0" w:rsidP="00F1283C">
      <w:pPr>
        <w:ind w:left="851"/>
        <w:rPr>
          <w:sz w:val="24"/>
          <w:szCs w:val="24"/>
        </w:rPr>
      </w:pPr>
      <w:r w:rsidRPr="00841BE0">
        <w:rPr>
          <w:sz w:val="24"/>
          <w:szCs w:val="24"/>
        </w:rPr>
        <w:t>Hos patienter med let, moderat eller svært nedsat nyrefunktion (</w:t>
      </w:r>
      <w:proofErr w:type="spellStart"/>
      <w:r w:rsidRPr="00841BE0">
        <w:rPr>
          <w:sz w:val="24"/>
          <w:szCs w:val="24"/>
        </w:rPr>
        <w:t>kreatininclearance</w:t>
      </w:r>
      <w:proofErr w:type="spellEnd"/>
      <w:r w:rsidRPr="00841BE0">
        <w:rPr>
          <w:sz w:val="24"/>
          <w:szCs w:val="24"/>
        </w:rPr>
        <w:t xml:space="preserve"> &lt; 30</w:t>
      </w:r>
      <w:r w:rsidRPr="00841BE0">
        <w:rPr>
          <w:sz w:val="24"/>
          <w:szCs w:val="24"/>
        </w:rPr>
        <w:noBreakHyphen/>
        <w:t xml:space="preserve">&lt; 90 ml/min) og patienter med nyresvigt/terminal nyresygdom (ESRD) blev AUC for </w:t>
      </w:r>
      <w:proofErr w:type="spellStart"/>
      <w:r w:rsidRPr="00841BE0">
        <w:rPr>
          <w:sz w:val="24"/>
          <w:szCs w:val="24"/>
        </w:rPr>
        <w:t>empagliflozin</w:t>
      </w:r>
      <w:proofErr w:type="spellEnd"/>
      <w:r w:rsidRPr="00841BE0">
        <w:rPr>
          <w:sz w:val="24"/>
          <w:szCs w:val="24"/>
        </w:rPr>
        <w:t xml:space="preserve"> forøget med henholdsvis ca. 18 %, 20 %, 66 % og 48 % sammenlignet med forsøgspersoner med normal nyrefunktion. De maksimale plasmakoncentrationer af </w:t>
      </w:r>
      <w:proofErr w:type="spellStart"/>
      <w:r w:rsidRPr="00841BE0">
        <w:rPr>
          <w:sz w:val="24"/>
          <w:szCs w:val="24"/>
        </w:rPr>
        <w:t>empagliflozin</w:t>
      </w:r>
      <w:proofErr w:type="spellEnd"/>
      <w:r w:rsidRPr="00841BE0">
        <w:rPr>
          <w:sz w:val="24"/>
          <w:szCs w:val="24"/>
        </w:rPr>
        <w:t xml:space="preserve"> var de samme hos forsøgspersoner med moderat nedsat nyrefunktion og nyresvigt/ESRD sammenlignet med patienter med normal nyrefunktion. De maksimale plasmakoncentrationer af </w:t>
      </w:r>
      <w:proofErr w:type="spellStart"/>
      <w:r w:rsidRPr="00841BE0">
        <w:rPr>
          <w:sz w:val="24"/>
          <w:szCs w:val="24"/>
        </w:rPr>
        <w:t>empagliflozin</w:t>
      </w:r>
      <w:proofErr w:type="spellEnd"/>
      <w:r w:rsidRPr="00841BE0">
        <w:rPr>
          <w:sz w:val="24"/>
          <w:szCs w:val="24"/>
        </w:rPr>
        <w:t xml:space="preserve"> var omtrent 20 % højere hos forsøgspersoner med let og svært nedsat nyrefunktion sammenlignet med forsøgspersoner med normal nyrefunktion. Den </w:t>
      </w:r>
      <w:proofErr w:type="spellStart"/>
      <w:r w:rsidRPr="00841BE0">
        <w:rPr>
          <w:sz w:val="24"/>
          <w:szCs w:val="24"/>
        </w:rPr>
        <w:t>populationsfarmakokinetiske</w:t>
      </w:r>
      <w:proofErr w:type="spellEnd"/>
      <w:r w:rsidRPr="00841BE0">
        <w:rPr>
          <w:sz w:val="24"/>
          <w:szCs w:val="24"/>
        </w:rPr>
        <w:t xml:space="preserve"> analyse viste, at den tilsyneladende orale </w:t>
      </w:r>
      <w:proofErr w:type="spellStart"/>
      <w:r w:rsidRPr="00841BE0">
        <w:rPr>
          <w:sz w:val="24"/>
          <w:szCs w:val="24"/>
        </w:rPr>
        <w:t>clearance</w:t>
      </w:r>
      <w:proofErr w:type="spellEnd"/>
      <w:r w:rsidRPr="00841BE0">
        <w:rPr>
          <w:sz w:val="24"/>
          <w:szCs w:val="24"/>
        </w:rPr>
        <w:t xml:space="preserve"> for </w:t>
      </w:r>
      <w:proofErr w:type="spellStart"/>
      <w:r w:rsidRPr="00841BE0">
        <w:rPr>
          <w:sz w:val="24"/>
          <w:szCs w:val="24"/>
        </w:rPr>
        <w:t>empagliflozin</w:t>
      </w:r>
      <w:proofErr w:type="spellEnd"/>
      <w:r w:rsidRPr="00841BE0">
        <w:rPr>
          <w:sz w:val="24"/>
          <w:szCs w:val="24"/>
        </w:rPr>
        <w:t xml:space="preserve"> faldt parallelt med et fald i </w:t>
      </w:r>
      <w:proofErr w:type="spellStart"/>
      <w:r w:rsidRPr="00841BE0">
        <w:rPr>
          <w:sz w:val="24"/>
          <w:szCs w:val="24"/>
        </w:rPr>
        <w:t>kreatininclearance</w:t>
      </w:r>
      <w:proofErr w:type="spellEnd"/>
      <w:r w:rsidRPr="00841BE0">
        <w:rPr>
          <w:sz w:val="24"/>
          <w:szCs w:val="24"/>
        </w:rPr>
        <w:t>, hvilket førte til øget lægemiddeleksponering.</w:t>
      </w:r>
    </w:p>
    <w:p w14:paraId="1814DDDF" w14:textId="77777777" w:rsidR="00841BE0" w:rsidRPr="00841BE0" w:rsidRDefault="00841BE0" w:rsidP="00F1283C">
      <w:pPr>
        <w:ind w:left="851"/>
        <w:rPr>
          <w:sz w:val="24"/>
          <w:szCs w:val="24"/>
        </w:rPr>
      </w:pPr>
    </w:p>
    <w:p w14:paraId="7390823C" w14:textId="77777777" w:rsidR="00841BE0" w:rsidRPr="00841BE0" w:rsidRDefault="00841BE0" w:rsidP="00F1283C">
      <w:pPr>
        <w:ind w:left="851"/>
        <w:rPr>
          <w:i/>
          <w:iCs/>
          <w:sz w:val="24"/>
          <w:szCs w:val="24"/>
        </w:rPr>
      </w:pPr>
      <w:r w:rsidRPr="00841BE0">
        <w:rPr>
          <w:i/>
          <w:iCs/>
          <w:sz w:val="24"/>
          <w:szCs w:val="24"/>
        </w:rPr>
        <w:t>Nedsat leverfunktion</w:t>
      </w:r>
    </w:p>
    <w:p w14:paraId="09E129EB" w14:textId="77777777" w:rsidR="00841BE0" w:rsidRPr="00841BE0" w:rsidRDefault="00841BE0" w:rsidP="00F1283C">
      <w:pPr>
        <w:ind w:left="851"/>
        <w:rPr>
          <w:sz w:val="24"/>
          <w:szCs w:val="24"/>
        </w:rPr>
      </w:pPr>
      <w:r w:rsidRPr="00841BE0">
        <w:rPr>
          <w:sz w:val="24"/>
          <w:szCs w:val="24"/>
        </w:rPr>
        <w:t>Hos forsøgspersoner med let, moderat og svært nedsat leverfunktion (i henhold til Child-</w:t>
      </w:r>
      <w:proofErr w:type="spellStart"/>
      <w:r w:rsidRPr="00841BE0">
        <w:rPr>
          <w:sz w:val="24"/>
          <w:szCs w:val="24"/>
        </w:rPr>
        <w:t>Pugh</w:t>
      </w:r>
      <w:proofErr w:type="spellEnd"/>
      <w:r w:rsidRPr="00841BE0">
        <w:rPr>
          <w:sz w:val="24"/>
          <w:szCs w:val="24"/>
        </w:rPr>
        <w:t xml:space="preserve">-klassifikationen) blev AUC for </w:t>
      </w:r>
      <w:proofErr w:type="spellStart"/>
      <w:r w:rsidRPr="00841BE0">
        <w:rPr>
          <w:sz w:val="24"/>
          <w:szCs w:val="24"/>
        </w:rPr>
        <w:t>empagliflozin</w:t>
      </w:r>
      <w:proofErr w:type="spellEnd"/>
      <w:r w:rsidRPr="00841BE0">
        <w:rPr>
          <w:sz w:val="24"/>
          <w:szCs w:val="24"/>
        </w:rPr>
        <w:t xml:space="preserve"> forøget med henholdsvis ca. 23 %, 47 % og 75 %, og </w:t>
      </w:r>
      <w:proofErr w:type="spellStart"/>
      <w:r w:rsidRPr="00841BE0">
        <w:rPr>
          <w:sz w:val="24"/>
          <w:szCs w:val="24"/>
        </w:rPr>
        <w:t>C</w:t>
      </w:r>
      <w:r w:rsidRPr="00841BE0">
        <w:rPr>
          <w:sz w:val="24"/>
          <w:szCs w:val="24"/>
          <w:vertAlign w:val="subscript"/>
        </w:rPr>
        <w:t>max</w:t>
      </w:r>
      <w:proofErr w:type="spellEnd"/>
      <w:r w:rsidRPr="00841BE0">
        <w:rPr>
          <w:sz w:val="24"/>
          <w:szCs w:val="24"/>
        </w:rPr>
        <w:t xml:space="preserve"> med henholdsvis ca. 4 %, 23 % og 48 % sammenlignet med forsøgspersoner med normal leverfunktion.</w:t>
      </w:r>
    </w:p>
    <w:p w14:paraId="1E11C210" w14:textId="77777777" w:rsidR="00841BE0" w:rsidRPr="00841BE0" w:rsidRDefault="00841BE0" w:rsidP="00F1283C">
      <w:pPr>
        <w:ind w:left="851"/>
        <w:rPr>
          <w:sz w:val="24"/>
          <w:szCs w:val="24"/>
        </w:rPr>
      </w:pPr>
    </w:p>
    <w:p w14:paraId="2A4EA14D" w14:textId="77777777" w:rsidR="00841BE0" w:rsidRPr="00841BE0" w:rsidRDefault="00841BE0" w:rsidP="00F1283C">
      <w:pPr>
        <w:ind w:left="851"/>
        <w:rPr>
          <w:i/>
          <w:iCs/>
          <w:sz w:val="24"/>
          <w:szCs w:val="24"/>
        </w:rPr>
      </w:pPr>
      <w:r w:rsidRPr="00841BE0">
        <w:rPr>
          <w:i/>
          <w:iCs/>
          <w:sz w:val="24"/>
          <w:szCs w:val="24"/>
        </w:rPr>
        <w:t>Body Mass Index (BMI)</w:t>
      </w:r>
    </w:p>
    <w:p w14:paraId="258ED75F" w14:textId="77777777" w:rsidR="00841BE0" w:rsidRPr="00841BE0" w:rsidRDefault="00841BE0" w:rsidP="00F1283C">
      <w:pPr>
        <w:ind w:left="851"/>
        <w:rPr>
          <w:sz w:val="24"/>
          <w:szCs w:val="24"/>
        </w:rPr>
      </w:pPr>
      <w:r w:rsidRPr="00841BE0">
        <w:rPr>
          <w:sz w:val="24"/>
          <w:szCs w:val="24"/>
        </w:rPr>
        <w:t xml:space="preserve">Den </w:t>
      </w:r>
      <w:proofErr w:type="spellStart"/>
      <w:r w:rsidRPr="00841BE0">
        <w:rPr>
          <w:sz w:val="24"/>
          <w:szCs w:val="24"/>
        </w:rPr>
        <w:t>populationsfarmakokinetiske</w:t>
      </w:r>
      <w:proofErr w:type="spellEnd"/>
      <w:r w:rsidRPr="00841BE0">
        <w:rPr>
          <w:sz w:val="24"/>
          <w:szCs w:val="24"/>
        </w:rPr>
        <w:t xml:space="preserve"> analyse viste, at BMI ikke havde nogen klinisk betydende virkning på </w:t>
      </w:r>
      <w:proofErr w:type="spellStart"/>
      <w:r w:rsidRPr="00841BE0">
        <w:rPr>
          <w:sz w:val="24"/>
          <w:szCs w:val="24"/>
        </w:rPr>
        <w:t>empagliflozins</w:t>
      </w:r>
      <w:proofErr w:type="spellEnd"/>
      <w:r w:rsidRPr="00841BE0">
        <w:rPr>
          <w:sz w:val="24"/>
          <w:szCs w:val="24"/>
        </w:rPr>
        <w:t xml:space="preserve"> farmakokinetik. Ved denne analyse blev AUC estimeret til at være 5,82 %, 10,4 % og 17,3 % lavere hos forsøgspersoner med et BMI på henholdsvis 30, 35 og 45 kg/m</w:t>
      </w:r>
      <w:r w:rsidRPr="00841BE0">
        <w:rPr>
          <w:sz w:val="24"/>
          <w:szCs w:val="24"/>
          <w:vertAlign w:val="superscript"/>
        </w:rPr>
        <w:t>2</w:t>
      </w:r>
      <w:r w:rsidRPr="00841BE0">
        <w:rPr>
          <w:sz w:val="24"/>
          <w:szCs w:val="24"/>
        </w:rPr>
        <w:t xml:space="preserve"> sammenlignet med forsøgspersoner med et BMI på 25 kg/m</w:t>
      </w:r>
      <w:r w:rsidRPr="00841BE0">
        <w:rPr>
          <w:sz w:val="24"/>
          <w:szCs w:val="24"/>
          <w:vertAlign w:val="superscript"/>
        </w:rPr>
        <w:t>2</w:t>
      </w:r>
      <w:r w:rsidRPr="00841BE0">
        <w:rPr>
          <w:sz w:val="24"/>
          <w:szCs w:val="24"/>
        </w:rPr>
        <w:t>.</w:t>
      </w:r>
    </w:p>
    <w:p w14:paraId="73E92D87" w14:textId="77777777" w:rsidR="00841BE0" w:rsidRPr="00841BE0" w:rsidRDefault="00841BE0" w:rsidP="00F1283C">
      <w:pPr>
        <w:ind w:left="851"/>
        <w:rPr>
          <w:sz w:val="24"/>
          <w:szCs w:val="24"/>
        </w:rPr>
      </w:pPr>
    </w:p>
    <w:p w14:paraId="538481F6" w14:textId="77777777" w:rsidR="00841BE0" w:rsidRPr="00841BE0" w:rsidRDefault="00841BE0" w:rsidP="00F1283C">
      <w:pPr>
        <w:ind w:left="851"/>
        <w:rPr>
          <w:i/>
          <w:iCs/>
          <w:sz w:val="24"/>
          <w:szCs w:val="24"/>
        </w:rPr>
      </w:pPr>
      <w:r w:rsidRPr="00841BE0">
        <w:rPr>
          <w:i/>
          <w:iCs/>
          <w:sz w:val="24"/>
          <w:szCs w:val="24"/>
        </w:rPr>
        <w:t>Køn</w:t>
      </w:r>
    </w:p>
    <w:p w14:paraId="1D7AA631" w14:textId="77777777" w:rsidR="00841BE0" w:rsidRPr="00841BE0" w:rsidRDefault="00841BE0" w:rsidP="00F1283C">
      <w:pPr>
        <w:ind w:left="851"/>
        <w:rPr>
          <w:sz w:val="24"/>
          <w:szCs w:val="24"/>
        </w:rPr>
      </w:pPr>
      <w:r w:rsidRPr="00841BE0">
        <w:rPr>
          <w:sz w:val="24"/>
          <w:szCs w:val="24"/>
        </w:rPr>
        <w:t xml:space="preserve">Den </w:t>
      </w:r>
      <w:proofErr w:type="spellStart"/>
      <w:r w:rsidRPr="00841BE0">
        <w:rPr>
          <w:sz w:val="24"/>
          <w:szCs w:val="24"/>
        </w:rPr>
        <w:t>populationsfarmakokinetiske</w:t>
      </w:r>
      <w:proofErr w:type="spellEnd"/>
      <w:r w:rsidRPr="00841BE0">
        <w:rPr>
          <w:sz w:val="24"/>
          <w:szCs w:val="24"/>
        </w:rPr>
        <w:t xml:space="preserve"> analyse viste, at køn ikke havde nogen klinisk betydende virkning på </w:t>
      </w:r>
      <w:proofErr w:type="spellStart"/>
      <w:r w:rsidRPr="00841BE0">
        <w:rPr>
          <w:sz w:val="24"/>
          <w:szCs w:val="24"/>
        </w:rPr>
        <w:t>empagliflozins</w:t>
      </w:r>
      <w:proofErr w:type="spellEnd"/>
      <w:r w:rsidRPr="00841BE0">
        <w:rPr>
          <w:sz w:val="24"/>
          <w:szCs w:val="24"/>
        </w:rPr>
        <w:t xml:space="preserve"> farmakokinetik.</w:t>
      </w:r>
    </w:p>
    <w:p w14:paraId="054667E4" w14:textId="77777777" w:rsidR="00841BE0" w:rsidRPr="00841BE0" w:rsidRDefault="00841BE0" w:rsidP="00F1283C">
      <w:pPr>
        <w:ind w:left="851"/>
        <w:rPr>
          <w:sz w:val="24"/>
          <w:szCs w:val="24"/>
        </w:rPr>
      </w:pPr>
    </w:p>
    <w:p w14:paraId="790C513E" w14:textId="77777777" w:rsidR="00841BE0" w:rsidRPr="00841BE0" w:rsidRDefault="00841BE0" w:rsidP="00F1283C">
      <w:pPr>
        <w:ind w:left="851"/>
        <w:rPr>
          <w:i/>
          <w:iCs/>
          <w:sz w:val="24"/>
          <w:szCs w:val="24"/>
        </w:rPr>
      </w:pPr>
      <w:r w:rsidRPr="00841BE0">
        <w:rPr>
          <w:i/>
          <w:iCs/>
          <w:sz w:val="24"/>
          <w:szCs w:val="24"/>
        </w:rPr>
        <w:t>Race</w:t>
      </w:r>
    </w:p>
    <w:p w14:paraId="6895B94C" w14:textId="77777777" w:rsidR="00841BE0" w:rsidRPr="00841BE0" w:rsidRDefault="00841BE0" w:rsidP="00F1283C">
      <w:pPr>
        <w:ind w:left="851"/>
        <w:rPr>
          <w:sz w:val="24"/>
          <w:szCs w:val="24"/>
        </w:rPr>
      </w:pPr>
      <w:r w:rsidRPr="00841BE0">
        <w:rPr>
          <w:sz w:val="24"/>
          <w:szCs w:val="24"/>
        </w:rPr>
        <w:t xml:space="preserve">Ved den </w:t>
      </w:r>
      <w:proofErr w:type="spellStart"/>
      <w:r w:rsidRPr="00841BE0">
        <w:rPr>
          <w:sz w:val="24"/>
          <w:szCs w:val="24"/>
        </w:rPr>
        <w:t>populationsfarmakokinetiske</w:t>
      </w:r>
      <w:proofErr w:type="spellEnd"/>
      <w:r w:rsidRPr="00841BE0">
        <w:rPr>
          <w:sz w:val="24"/>
          <w:szCs w:val="24"/>
        </w:rPr>
        <w:t xml:space="preserve"> analyse blev AUC estimeret til at være 13,5 % højere hos asiater med et BMI på 25 kg/m</w:t>
      </w:r>
      <w:r w:rsidRPr="00841BE0">
        <w:rPr>
          <w:sz w:val="24"/>
          <w:szCs w:val="24"/>
          <w:vertAlign w:val="superscript"/>
        </w:rPr>
        <w:t>2</w:t>
      </w:r>
      <w:r w:rsidRPr="00841BE0">
        <w:rPr>
          <w:sz w:val="24"/>
          <w:szCs w:val="24"/>
        </w:rPr>
        <w:t xml:space="preserve"> sammenlignet med ikke-asiater med et BMI på 25 kg/m</w:t>
      </w:r>
      <w:r w:rsidRPr="00841BE0">
        <w:rPr>
          <w:sz w:val="24"/>
          <w:szCs w:val="24"/>
          <w:vertAlign w:val="superscript"/>
        </w:rPr>
        <w:t>2</w:t>
      </w:r>
      <w:r w:rsidRPr="00841BE0">
        <w:rPr>
          <w:sz w:val="24"/>
          <w:szCs w:val="24"/>
        </w:rPr>
        <w:t>.</w:t>
      </w:r>
    </w:p>
    <w:p w14:paraId="52F28987" w14:textId="77777777" w:rsidR="00841BE0" w:rsidRPr="00841BE0" w:rsidRDefault="00841BE0" w:rsidP="00F1283C">
      <w:pPr>
        <w:ind w:left="851"/>
        <w:rPr>
          <w:sz w:val="24"/>
          <w:szCs w:val="24"/>
        </w:rPr>
      </w:pPr>
    </w:p>
    <w:p w14:paraId="3D92CF9E" w14:textId="77777777" w:rsidR="00841BE0" w:rsidRPr="00841BE0" w:rsidRDefault="00841BE0" w:rsidP="00F1283C">
      <w:pPr>
        <w:ind w:left="851"/>
        <w:rPr>
          <w:i/>
          <w:iCs/>
          <w:sz w:val="24"/>
          <w:szCs w:val="24"/>
        </w:rPr>
      </w:pPr>
      <w:r w:rsidRPr="00841BE0">
        <w:rPr>
          <w:i/>
          <w:iCs/>
          <w:sz w:val="24"/>
          <w:szCs w:val="24"/>
        </w:rPr>
        <w:t>Ældre</w:t>
      </w:r>
    </w:p>
    <w:p w14:paraId="4433B67E" w14:textId="77777777" w:rsidR="00841BE0" w:rsidRPr="00841BE0" w:rsidRDefault="00841BE0" w:rsidP="00F1283C">
      <w:pPr>
        <w:ind w:left="851"/>
        <w:rPr>
          <w:sz w:val="24"/>
          <w:szCs w:val="24"/>
        </w:rPr>
      </w:pPr>
      <w:r w:rsidRPr="00841BE0">
        <w:rPr>
          <w:sz w:val="24"/>
          <w:szCs w:val="24"/>
        </w:rPr>
        <w:t xml:space="preserve">Den </w:t>
      </w:r>
      <w:proofErr w:type="spellStart"/>
      <w:r w:rsidRPr="00841BE0">
        <w:rPr>
          <w:sz w:val="24"/>
          <w:szCs w:val="24"/>
        </w:rPr>
        <w:t>populationsfarmakokinetiske</w:t>
      </w:r>
      <w:proofErr w:type="spellEnd"/>
      <w:r w:rsidRPr="00841BE0">
        <w:rPr>
          <w:sz w:val="24"/>
          <w:szCs w:val="24"/>
        </w:rPr>
        <w:t xml:space="preserve"> analyse viste, at alder ikke havde nogen klinisk betydende virkning på </w:t>
      </w:r>
      <w:proofErr w:type="spellStart"/>
      <w:r w:rsidRPr="00841BE0">
        <w:rPr>
          <w:sz w:val="24"/>
          <w:szCs w:val="24"/>
        </w:rPr>
        <w:t>empagliflozins</w:t>
      </w:r>
      <w:proofErr w:type="spellEnd"/>
      <w:r w:rsidRPr="00841BE0">
        <w:rPr>
          <w:sz w:val="24"/>
          <w:szCs w:val="24"/>
        </w:rPr>
        <w:t xml:space="preserve"> farmakokinetik.</w:t>
      </w:r>
    </w:p>
    <w:p w14:paraId="0EECCE4D" w14:textId="77777777" w:rsidR="00841BE0" w:rsidRPr="00841BE0" w:rsidRDefault="00841BE0" w:rsidP="00F1283C">
      <w:pPr>
        <w:ind w:left="851"/>
        <w:rPr>
          <w:sz w:val="24"/>
          <w:szCs w:val="24"/>
        </w:rPr>
      </w:pPr>
    </w:p>
    <w:p w14:paraId="2DB3213D" w14:textId="77777777" w:rsidR="00841BE0" w:rsidRPr="00841BE0" w:rsidRDefault="00841BE0" w:rsidP="00F1283C">
      <w:pPr>
        <w:ind w:left="851"/>
        <w:rPr>
          <w:i/>
          <w:iCs/>
          <w:sz w:val="24"/>
          <w:szCs w:val="24"/>
        </w:rPr>
      </w:pPr>
      <w:r w:rsidRPr="00841BE0">
        <w:rPr>
          <w:i/>
          <w:iCs/>
          <w:sz w:val="24"/>
          <w:szCs w:val="24"/>
        </w:rPr>
        <w:t>Pædiatrisk population</w:t>
      </w:r>
    </w:p>
    <w:p w14:paraId="4C0EDCA7" w14:textId="77777777" w:rsidR="00841BE0" w:rsidRPr="00841BE0" w:rsidRDefault="00841BE0" w:rsidP="00F1283C">
      <w:pPr>
        <w:ind w:left="851"/>
        <w:rPr>
          <w:sz w:val="24"/>
          <w:szCs w:val="24"/>
        </w:rPr>
      </w:pPr>
      <w:r w:rsidRPr="00841BE0">
        <w:rPr>
          <w:sz w:val="24"/>
          <w:szCs w:val="24"/>
        </w:rPr>
        <w:t xml:space="preserve">Et pædiatrisk fase I-studie undersøgte farmakokinetikken og </w:t>
      </w:r>
      <w:proofErr w:type="spellStart"/>
      <w:r w:rsidRPr="00841BE0">
        <w:rPr>
          <w:sz w:val="24"/>
          <w:szCs w:val="24"/>
        </w:rPr>
        <w:t>farmakodynamikken</w:t>
      </w:r>
      <w:proofErr w:type="spellEnd"/>
      <w:r w:rsidRPr="00841BE0">
        <w:rPr>
          <w:sz w:val="24"/>
          <w:szCs w:val="24"/>
        </w:rPr>
        <w:t xml:space="preserve"> for </w:t>
      </w:r>
      <w:proofErr w:type="spellStart"/>
      <w:r w:rsidRPr="00841BE0">
        <w:rPr>
          <w:sz w:val="24"/>
          <w:szCs w:val="24"/>
        </w:rPr>
        <w:t>empagliflozin</w:t>
      </w:r>
      <w:proofErr w:type="spellEnd"/>
      <w:r w:rsidRPr="00841BE0">
        <w:rPr>
          <w:sz w:val="24"/>
          <w:szCs w:val="24"/>
        </w:rPr>
        <w:t xml:space="preserve"> (5 mg, 10 mg og 25 mg) hos børn og unge i alderen ≥ 10 til &lt; 18 år med type 2 diabetes mellitus. Det observerede </w:t>
      </w:r>
      <w:proofErr w:type="spellStart"/>
      <w:r w:rsidRPr="00841BE0">
        <w:rPr>
          <w:sz w:val="24"/>
          <w:szCs w:val="24"/>
        </w:rPr>
        <w:t>farmakokinetiske</w:t>
      </w:r>
      <w:proofErr w:type="spellEnd"/>
      <w:r w:rsidRPr="00841BE0">
        <w:rPr>
          <w:sz w:val="24"/>
          <w:szCs w:val="24"/>
        </w:rPr>
        <w:t xml:space="preserve"> og </w:t>
      </w:r>
      <w:proofErr w:type="spellStart"/>
      <w:r w:rsidRPr="00841BE0">
        <w:rPr>
          <w:sz w:val="24"/>
          <w:szCs w:val="24"/>
        </w:rPr>
        <w:t>farmakodynamiske</w:t>
      </w:r>
      <w:proofErr w:type="spellEnd"/>
      <w:r w:rsidRPr="00841BE0">
        <w:rPr>
          <w:sz w:val="24"/>
          <w:szCs w:val="24"/>
        </w:rPr>
        <w:t xml:space="preserve"> respons var i overensstemmelse med responset hos voksne forsøgspersoner.</w:t>
      </w:r>
    </w:p>
    <w:p w14:paraId="7133D50C" w14:textId="77777777" w:rsidR="00841BE0" w:rsidRPr="00841BE0" w:rsidRDefault="00841BE0" w:rsidP="00F1283C">
      <w:pPr>
        <w:ind w:left="851"/>
        <w:rPr>
          <w:sz w:val="24"/>
          <w:szCs w:val="24"/>
        </w:rPr>
      </w:pPr>
      <w:r w:rsidRPr="00841BE0">
        <w:rPr>
          <w:sz w:val="24"/>
          <w:szCs w:val="24"/>
        </w:rPr>
        <w:t xml:space="preserve">Et pædiatrisk fase III-studie undersøgte farmakokinetikken og </w:t>
      </w:r>
      <w:proofErr w:type="spellStart"/>
      <w:r w:rsidRPr="00841BE0">
        <w:rPr>
          <w:sz w:val="24"/>
          <w:szCs w:val="24"/>
        </w:rPr>
        <w:t>farmakodynamikken</w:t>
      </w:r>
      <w:proofErr w:type="spellEnd"/>
      <w:r w:rsidRPr="00841BE0">
        <w:rPr>
          <w:sz w:val="24"/>
          <w:szCs w:val="24"/>
        </w:rPr>
        <w:t xml:space="preserve"> (HbA1c-ændring fra </w:t>
      </w:r>
      <w:r w:rsidRPr="00841BE0">
        <w:rPr>
          <w:i/>
          <w:iCs/>
          <w:sz w:val="24"/>
          <w:szCs w:val="24"/>
        </w:rPr>
        <w:t>baseline</w:t>
      </w:r>
      <w:r w:rsidRPr="00841BE0">
        <w:rPr>
          <w:sz w:val="24"/>
          <w:szCs w:val="24"/>
        </w:rPr>
        <w:t xml:space="preserve">) for </w:t>
      </w:r>
      <w:proofErr w:type="spellStart"/>
      <w:r w:rsidRPr="00841BE0">
        <w:rPr>
          <w:sz w:val="24"/>
          <w:szCs w:val="24"/>
        </w:rPr>
        <w:t>empagliflozin</w:t>
      </w:r>
      <w:proofErr w:type="spellEnd"/>
      <w:r w:rsidRPr="00841BE0">
        <w:rPr>
          <w:sz w:val="24"/>
          <w:szCs w:val="24"/>
        </w:rPr>
        <w:t xml:space="preserve"> 10 mg med en mulig dosisøgning til 25 mg hos børn og unge i alderen 10 til 17 år med type 2-diabetes mellitus. Samlet set var det observerede eksponering/respons-forhold sammenligneligt hos voksne og børn og unge. Oral administration af </w:t>
      </w:r>
      <w:proofErr w:type="spellStart"/>
      <w:r w:rsidRPr="00841BE0">
        <w:rPr>
          <w:sz w:val="24"/>
          <w:szCs w:val="24"/>
        </w:rPr>
        <w:t>empagliflozin</w:t>
      </w:r>
      <w:proofErr w:type="spellEnd"/>
      <w:r w:rsidRPr="00841BE0">
        <w:rPr>
          <w:sz w:val="24"/>
          <w:szCs w:val="24"/>
        </w:rPr>
        <w:t xml:space="preserve"> førte til en eksponering inden for det observerede interval hos voksne patienter.</w:t>
      </w:r>
    </w:p>
    <w:p w14:paraId="6C811A27" w14:textId="77777777" w:rsidR="00841BE0" w:rsidRPr="00841BE0" w:rsidRDefault="00841BE0" w:rsidP="00F1283C">
      <w:pPr>
        <w:ind w:left="851"/>
        <w:rPr>
          <w:sz w:val="24"/>
          <w:szCs w:val="24"/>
        </w:rPr>
      </w:pPr>
      <w:r w:rsidRPr="00841BE0">
        <w:rPr>
          <w:sz w:val="24"/>
          <w:szCs w:val="24"/>
        </w:rPr>
        <w:t xml:space="preserve">De observerede geometriske minimumskoncentrationer og geometriske gennemsnitskoncentrationer 1,5 time efter administration ved </w:t>
      </w:r>
      <w:proofErr w:type="spellStart"/>
      <w:r w:rsidRPr="00841BE0">
        <w:rPr>
          <w:i/>
          <w:iCs/>
          <w:sz w:val="24"/>
          <w:szCs w:val="24"/>
        </w:rPr>
        <w:t>steady</w:t>
      </w:r>
      <w:proofErr w:type="spellEnd"/>
      <w:r w:rsidRPr="00841BE0">
        <w:rPr>
          <w:i/>
          <w:iCs/>
          <w:sz w:val="24"/>
          <w:szCs w:val="24"/>
        </w:rPr>
        <w:t xml:space="preserve"> </w:t>
      </w:r>
      <w:proofErr w:type="spellStart"/>
      <w:r w:rsidRPr="00841BE0">
        <w:rPr>
          <w:i/>
          <w:iCs/>
          <w:sz w:val="24"/>
          <w:szCs w:val="24"/>
        </w:rPr>
        <w:t>state</w:t>
      </w:r>
      <w:proofErr w:type="spellEnd"/>
      <w:r w:rsidRPr="00841BE0">
        <w:rPr>
          <w:sz w:val="24"/>
          <w:szCs w:val="24"/>
        </w:rPr>
        <w:t xml:space="preserve"> var 26,6 nmol/l og 308 nmol/l med </w:t>
      </w:r>
      <w:proofErr w:type="spellStart"/>
      <w:r w:rsidRPr="00841BE0">
        <w:rPr>
          <w:sz w:val="24"/>
          <w:szCs w:val="24"/>
        </w:rPr>
        <w:t>empagliflozin</w:t>
      </w:r>
      <w:proofErr w:type="spellEnd"/>
      <w:r w:rsidRPr="00841BE0">
        <w:rPr>
          <w:sz w:val="24"/>
          <w:szCs w:val="24"/>
        </w:rPr>
        <w:t xml:space="preserve"> 10 mg én gang dagligt og 67,0 nmol/l og 525 nmol/l med </w:t>
      </w:r>
      <w:proofErr w:type="spellStart"/>
      <w:r w:rsidRPr="00841BE0">
        <w:rPr>
          <w:sz w:val="24"/>
          <w:szCs w:val="24"/>
        </w:rPr>
        <w:t>empagliflozin</w:t>
      </w:r>
      <w:proofErr w:type="spellEnd"/>
      <w:r w:rsidRPr="00841BE0">
        <w:rPr>
          <w:sz w:val="24"/>
          <w:szCs w:val="24"/>
        </w:rPr>
        <w:t xml:space="preserve"> 25 mg én gang dagligt.</w:t>
      </w:r>
    </w:p>
    <w:p w14:paraId="2FD5407B" w14:textId="77777777" w:rsidR="00841BE0" w:rsidRPr="00841BE0" w:rsidRDefault="00841BE0" w:rsidP="00F1283C">
      <w:pPr>
        <w:ind w:left="851"/>
        <w:rPr>
          <w:sz w:val="24"/>
          <w:szCs w:val="24"/>
        </w:rPr>
      </w:pPr>
    </w:p>
    <w:p w14:paraId="23178155" w14:textId="77777777" w:rsidR="00841BE0" w:rsidRPr="00841BE0" w:rsidRDefault="00841BE0" w:rsidP="00F1283C">
      <w:pPr>
        <w:ind w:left="851"/>
        <w:rPr>
          <w:sz w:val="24"/>
          <w:szCs w:val="24"/>
          <w:u w:val="single"/>
        </w:rPr>
      </w:pPr>
      <w:proofErr w:type="spellStart"/>
      <w:r w:rsidRPr="00841BE0">
        <w:rPr>
          <w:sz w:val="24"/>
          <w:szCs w:val="24"/>
          <w:u w:val="single"/>
        </w:rPr>
        <w:t>Metformin</w:t>
      </w:r>
      <w:proofErr w:type="spellEnd"/>
    </w:p>
    <w:p w14:paraId="57C95AC4" w14:textId="77777777" w:rsidR="00841BE0" w:rsidRPr="00841BE0" w:rsidRDefault="00841BE0" w:rsidP="00F1283C">
      <w:pPr>
        <w:ind w:left="851"/>
        <w:rPr>
          <w:sz w:val="24"/>
          <w:szCs w:val="24"/>
        </w:rPr>
      </w:pPr>
    </w:p>
    <w:p w14:paraId="62ABF694" w14:textId="77777777" w:rsidR="00841BE0" w:rsidRPr="00841BE0" w:rsidRDefault="00841BE0" w:rsidP="00F1283C">
      <w:pPr>
        <w:ind w:left="851"/>
        <w:rPr>
          <w:i/>
          <w:iCs/>
          <w:sz w:val="24"/>
          <w:szCs w:val="24"/>
          <w:u w:val="single"/>
        </w:rPr>
      </w:pPr>
      <w:r w:rsidRPr="00841BE0">
        <w:rPr>
          <w:i/>
          <w:iCs/>
          <w:sz w:val="24"/>
          <w:szCs w:val="24"/>
          <w:u w:val="single"/>
        </w:rPr>
        <w:t>Absorption</w:t>
      </w:r>
    </w:p>
    <w:p w14:paraId="7A1F82C0" w14:textId="77777777" w:rsidR="00841BE0" w:rsidRPr="00841BE0" w:rsidRDefault="00841BE0" w:rsidP="00F1283C">
      <w:pPr>
        <w:ind w:left="851"/>
        <w:rPr>
          <w:sz w:val="24"/>
          <w:szCs w:val="24"/>
        </w:rPr>
      </w:pPr>
      <w:r w:rsidRPr="00841BE0">
        <w:rPr>
          <w:sz w:val="24"/>
          <w:szCs w:val="24"/>
        </w:rPr>
        <w:t xml:space="preserve">Efter en oral dosis </w:t>
      </w:r>
      <w:proofErr w:type="spellStart"/>
      <w:r w:rsidRPr="00841BE0">
        <w:rPr>
          <w:sz w:val="24"/>
          <w:szCs w:val="24"/>
        </w:rPr>
        <w:t>metformin</w:t>
      </w:r>
      <w:proofErr w:type="spellEnd"/>
      <w:r w:rsidRPr="00841BE0">
        <w:rPr>
          <w:sz w:val="24"/>
          <w:szCs w:val="24"/>
        </w:rPr>
        <w:t xml:space="preserve"> opnås </w:t>
      </w:r>
      <w:proofErr w:type="spellStart"/>
      <w:r w:rsidRPr="00841BE0">
        <w:rPr>
          <w:sz w:val="24"/>
          <w:szCs w:val="24"/>
        </w:rPr>
        <w:t>t</w:t>
      </w:r>
      <w:r w:rsidRPr="00841BE0">
        <w:rPr>
          <w:sz w:val="24"/>
          <w:szCs w:val="24"/>
          <w:vertAlign w:val="subscript"/>
        </w:rPr>
        <w:t>max</w:t>
      </w:r>
      <w:proofErr w:type="spellEnd"/>
      <w:r w:rsidRPr="00841BE0">
        <w:rPr>
          <w:sz w:val="24"/>
          <w:szCs w:val="24"/>
        </w:rPr>
        <w:t xml:space="preserve"> efter 2,5 timer. Den absolutte biotilgængelighed af én 500 mg eller 850 mg tablet med </w:t>
      </w:r>
      <w:proofErr w:type="spellStart"/>
      <w:r w:rsidRPr="00841BE0">
        <w:rPr>
          <w:sz w:val="24"/>
          <w:szCs w:val="24"/>
        </w:rPr>
        <w:t>metforminhydrochlorid</w:t>
      </w:r>
      <w:proofErr w:type="spellEnd"/>
      <w:r w:rsidRPr="00841BE0">
        <w:rPr>
          <w:sz w:val="24"/>
          <w:szCs w:val="24"/>
        </w:rPr>
        <w:t xml:space="preserve"> er ca. 50</w:t>
      </w:r>
      <w:r w:rsidRPr="00841BE0">
        <w:rPr>
          <w:sz w:val="24"/>
          <w:szCs w:val="24"/>
        </w:rPr>
        <w:noBreakHyphen/>
        <w:t>60 % hos raske forsøgspersoner. Efter en oral dosis var den ikke-absorberede del, der blev genfundet i fæces, 20</w:t>
      </w:r>
      <w:r w:rsidRPr="00841BE0">
        <w:rPr>
          <w:sz w:val="24"/>
          <w:szCs w:val="24"/>
        </w:rPr>
        <w:noBreakHyphen/>
        <w:t xml:space="preserve">30 %. Efter oral administration kan absorptionen af </w:t>
      </w:r>
      <w:proofErr w:type="spellStart"/>
      <w:r w:rsidRPr="00841BE0">
        <w:rPr>
          <w:sz w:val="24"/>
          <w:szCs w:val="24"/>
        </w:rPr>
        <w:t>metformin</w:t>
      </w:r>
      <w:proofErr w:type="spellEnd"/>
      <w:r w:rsidRPr="00841BE0">
        <w:rPr>
          <w:sz w:val="24"/>
          <w:szCs w:val="24"/>
        </w:rPr>
        <w:t xml:space="preserve"> mættes og være ufuldstændig. Det antages, at farmakokinetikken for absorption af </w:t>
      </w:r>
      <w:proofErr w:type="spellStart"/>
      <w:r w:rsidRPr="00841BE0">
        <w:rPr>
          <w:sz w:val="24"/>
          <w:szCs w:val="24"/>
        </w:rPr>
        <w:t>metformin</w:t>
      </w:r>
      <w:proofErr w:type="spellEnd"/>
      <w:r w:rsidRPr="00841BE0">
        <w:rPr>
          <w:sz w:val="24"/>
          <w:szCs w:val="24"/>
        </w:rPr>
        <w:t xml:space="preserve"> er ikke-lineær. Ved de anbefalede </w:t>
      </w:r>
      <w:proofErr w:type="spellStart"/>
      <w:r w:rsidRPr="00841BE0">
        <w:rPr>
          <w:sz w:val="24"/>
          <w:szCs w:val="24"/>
        </w:rPr>
        <w:t>metformin</w:t>
      </w:r>
      <w:proofErr w:type="spellEnd"/>
      <w:r w:rsidRPr="00841BE0">
        <w:rPr>
          <w:sz w:val="24"/>
          <w:szCs w:val="24"/>
        </w:rPr>
        <w:t xml:space="preserve">-doser og </w:t>
      </w:r>
      <w:r w:rsidRPr="00841BE0">
        <w:rPr>
          <w:sz w:val="24"/>
          <w:szCs w:val="24"/>
        </w:rPr>
        <w:noBreakHyphen/>
        <w:t xml:space="preserve">doseringsskemaer opnås </w:t>
      </w:r>
      <w:proofErr w:type="spellStart"/>
      <w:r w:rsidRPr="00841BE0">
        <w:rPr>
          <w:i/>
          <w:iCs/>
          <w:sz w:val="24"/>
          <w:szCs w:val="24"/>
        </w:rPr>
        <w:t>steady</w:t>
      </w:r>
      <w:proofErr w:type="spellEnd"/>
      <w:r w:rsidRPr="00841BE0">
        <w:rPr>
          <w:i/>
          <w:iCs/>
          <w:sz w:val="24"/>
          <w:szCs w:val="24"/>
        </w:rPr>
        <w:t xml:space="preserve"> </w:t>
      </w:r>
      <w:proofErr w:type="spellStart"/>
      <w:r w:rsidRPr="00841BE0">
        <w:rPr>
          <w:i/>
          <w:iCs/>
          <w:sz w:val="24"/>
          <w:szCs w:val="24"/>
        </w:rPr>
        <w:t>state</w:t>
      </w:r>
      <w:proofErr w:type="spellEnd"/>
      <w:r w:rsidRPr="00841BE0">
        <w:rPr>
          <w:sz w:val="24"/>
          <w:szCs w:val="24"/>
        </w:rPr>
        <w:t xml:space="preserve"> plasmakoncentrationer inden for 24 til 48 timer, og de er generelt under 1 mikrogram/ml. I kontrollerede kliniske studier oversteg de maksimale plasmakoncentrationer af </w:t>
      </w:r>
      <w:proofErr w:type="spellStart"/>
      <w:r w:rsidRPr="00841BE0">
        <w:rPr>
          <w:sz w:val="24"/>
          <w:szCs w:val="24"/>
        </w:rPr>
        <w:t>metformin</w:t>
      </w:r>
      <w:proofErr w:type="spellEnd"/>
      <w:r w:rsidRPr="00841BE0">
        <w:rPr>
          <w:sz w:val="24"/>
          <w:szCs w:val="24"/>
        </w:rPr>
        <w:t xml:space="preserve"> (</w:t>
      </w:r>
      <w:proofErr w:type="spellStart"/>
      <w:r w:rsidRPr="00841BE0">
        <w:rPr>
          <w:sz w:val="24"/>
          <w:szCs w:val="24"/>
        </w:rPr>
        <w:t>C</w:t>
      </w:r>
      <w:r w:rsidRPr="00841BE0">
        <w:rPr>
          <w:sz w:val="24"/>
          <w:szCs w:val="24"/>
          <w:vertAlign w:val="subscript"/>
        </w:rPr>
        <w:t>max</w:t>
      </w:r>
      <w:proofErr w:type="spellEnd"/>
      <w:r w:rsidRPr="00841BE0">
        <w:rPr>
          <w:sz w:val="24"/>
          <w:szCs w:val="24"/>
        </w:rPr>
        <w:t>) ikke 5 mikrogram/ml, selv ved de højeste doser.</w:t>
      </w:r>
    </w:p>
    <w:p w14:paraId="25E7EAAD" w14:textId="77777777" w:rsidR="00841BE0" w:rsidRPr="00841BE0" w:rsidRDefault="00841BE0" w:rsidP="00F1283C">
      <w:pPr>
        <w:ind w:left="851"/>
        <w:rPr>
          <w:sz w:val="24"/>
          <w:szCs w:val="24"/>
        </w:rPr>
      </w:pPr>
      <w:r w:rsidRPr="00841BE0">
        <w:rPr>
          <w:sz w:val="24"/>
          <w:szCs w:val="24"/>
        </w:rPr>
        <w:t xml:space="preserve">Mad nedsætter absorptionen af </w:t>
      </w:r>
      <w:proofErr w:type="spellStart"/>
      <w:r w:rsidRPr="00841BE0">
        <w:rPr>
          <w:sz w:val="24"/>
          <w:szCs w:val="24"/>
        </w:rPr>
        <w:t>metformin</w:t>
      </w:r>
      <w:proofErr w:type="spellEnd"/>
      <w:r w:rsidRPr="00841BE0">
        <w:rPr>
          <w:sz w:val="24"/>
          <w:szCs w:val="24"/>
        </w:rPr>
        <w:t xml:space="preserve">, og absorptionen forsinkes også i mindre omfang. Efter administration af en dosis på 850 mg </w:t>
      </w:r>
      <w:proofErr w:type="spellStart"/>
      <w:r w:rsidRPr="00841BE0">
        <w:rPr>
          <w:sz w:val="24"/>
          <w:szCs w:val="24"/>
        </w:rPr>
        <w:t>metforminhydrochlorid</w:t>
      </w:r>
      <w:proofErr w:type="spellEnd"/>
      <w:r w:rsidRPr="00841BE0">
        <w:rPr>
          <w:sz w:val="24"/>
          <w:szCs w:val="24"/>
        </w:rPr>
        <w:t xml:space="preserve"> blev der observeret en 40 % lavere maksimal plasmakoncentration, et 25 % fald i AUC og en forlængelse af tiden til maksimal plasmakoncentration på 35 minutter. Den kliniske relevans af dette er ukendt.</w:t>
      </w:r>
    </w:p>
    <w:p w14:paraId="4D22AA1E" w14:textId="77777777" w:rsidR="00841BE0" w:rsidRPr="00841BE0" w:rsidRDefault="00841BE0" w:rsidP="00F1283C">
      <w:pPr>
        <w:ind w:left="851"/>
        <w:rPr>
          <w:sz w:val="24"/>
          <w:szCs w:val="24"/>
        </w:rPr>
      </w:pPr>
    </w:p>
    <w:p w14:paraId="45E50E60" w14:textId="77777777" w:rsidR="00841BE0" w:rsidRPr="00841BE0" w:rsidRDefault="00841BE0" w:rsidP="00F1283C">
      <w:pPr>
        <w:ind w:left="851"/>
        <w:rPr>
          <w:i/>
          <w:iCs/>
          <w:sz w:val="24"/>
          <w:szCs w:val="24"/>
          <w:u w:val="single"/>
        </w:rPr>
      </w:pPr>
      <w:r w:rsidRPr="00841BE0">
        <w:rPr>
          <w:i/>
          <w:iCs/>
          <w:sz w:val="24"/>
          <w:szCs w:val="24"/>
          <w:u w:val="single"/>
        </w:rPr>
        <w:t>Fordeling</w:t>
      </w:r>
    </w:p>
    <w:p w14:paraId="7F654BAB" w14:textId="77777777" w:rsidR="00841BE0" w:rsidRPr="00841BE0" w:rsidRDefault="00841BE0" w:rsidP="00F1283C">
      <w:pPr>
        <w:ind w:left="851"/>
        <w:rPr>
          <w:sz w:val="24"/>
          <w:szCs w:val="24"/>
        </w:rPr>
      </w:pPr>
      <w:r w:rsidRPr="00841BE0">
        <w:rPr>
          <w:sz w:val="24"/>
          <w:szCs w:val="24"/>
        </w:rPr>
        <w:t xml:space="preserve">Plasmaproteinbindingen er ubetydelig. </w:t>
      </w:r>
      <w:proofErr w:type="spellStart"/>
      <w:r w:rsidRPr="00841BE0">
        <w:rPr>
          <w:sz w:val="24"/>
          <w:szCs w:val="24"/>
        </w:rPr>
        <w:t>Metformin</w:t>
      </w:r>
      <w:proofErr w:type="spellEnd"/>
      <w:r w:rsidRPr="00841BE0">
        <w:rPr>
          <w:sz w:val="24"/>
          <w:szCs w:val="24"/>
        </w:rPr>
        <w:t xml:space="preserve"> fordeler sig i erytrocytter. Maksimum for blod er lavere end maksimum for plasma og forekommer på ca. samme tid. De røde blodlegemer udgør sandsynligvis et sekundært fordelingsrum. Det gennemsnitlige fordelingsvolumen (</w:t>
      </w:r>
      <w:proofErr w:type="spellStart"/>
      <w:r w:rsidRPr="00841BE0">
        <w:rPr>
          <w:sz w:val="24"/>
          <w:szCs w:val="24"/>
        </w:rPr>
        <w:t>Vd</w:t>
      </w:r>
      <w:proofErr w:type="spellEnd"/>
      <w:r w:rsidRPr="00841BE0">
        <w:rPr>
          <w:sz w:val="24"/>
          <w:szCs w:val="24"/>
        </w:rPr>
        <w:t>) var 63</w:t>
      </w:r>
      <w:r w:rsidRPr="00841BE0">
        <w:rPr>
          <w:sz w:val="24"/>
          <w:szCs w:val="24"/>
        </w:rPr>
        <w:noBreakHyphen/>
        <w:t>276 l.</w:t>
      </w:r>
    </w:p>
    <w:p w14:paraId="6C14D44E" w14:textId="77777777" w:rsidR="00841BE0" w:rsidRPr="00841BE0" w:rsidRDefault="00841BE0" w:rsidP="00F1283C">
      <w:pPr>
        <w:ind w:left="851"/>
        <w:rPr>
          <w:sz w:val="24"/>
          <w:szCs w:val="24"/>
        </w:rPr>
      </w:pPr>
    </w:p>
    <w:p w14:paraId="7621B7D5" w14:textId="77777777" w:rsidR="00841BE0" w:rsidRPr="00841BE0" w:rsidRDefault="00841BE0" w:rsidP="00F1283C">
      <w:pPr>
        <w:ind w:left="851"/>
        <w:rPr>
          <w:i/>
          <w:iCs/>
          <w:sz w:val="24"/>
          <w:szCs w:val="24"/>
          <w:u w:val="single"/>
        </w:rPr>
      </w:pPr>
      <w:r w:rsidRPr="00841BE0">
        <w:rPr>
          <w:i/>
          <w:iCs/>
          <w:sz w:val="24"/>
          <w:szCs w:val="24"/>
          <w:u w:val="single"/>
        </w:rPr>
        <w:t>Biotransformation</w:t>
      </w:r>
    </w:p>
    <w:p w14:paraId="06965E31" w14:textId="77777777" w:rsidR="00841BE0" w:rsidRPr="00841BE0" w:rsidRDefault="00841BE0" w:rsidP="00F1283C">
      <w:pPr>
        <w:ind w:left="851"/>
        <w:rPr>
          <w:sz w:val="24"/>
          <w:szCs w:val="24"/>
        </w:rPr>
      </w:pPr>
      <w:proofErr w:type="spellStart"/>
      <w:r w:rsidRPr="00841BE0">
        <w:rPr>
          <w:sz w:val="24"/>
          <w:szCs w:val="24"/>
        </w:rPr>
        <w:t>Metformin</w:t>
      </w:r>
      <w:proofErr w:type="spellEnd"/>
      <w:r w:rsidRPr="00841BE0">
        <w:rPr>
          <w:sz w:val="24"/>
          <w:szCs w:val="24"/>
        </w:rPr>
        <w:t xml:space="preserve"> udskilles </w:t>
      </w:r>
      <w:proofErr w:type="spellStart"/>
      <w:r w:rsidRPr="00841BE0">
        <w:rPr>
          <w:sz w:val="24"/>
          <w:szCs w:val="24"/>
        </w:rPr>
        <w:t>uomdannet</w:t>
      </w:r>
      <w:proofErr w:type="spellEnd"/>
      <w:r w:rsidRPr="00841BE0">
        <w:rPr>
          <w:sz w:val="24"/>
          <w:szCs w:val="24"/>
        </w:rPr>
        <w:t xml:space="preserve"> i urinen. Der er ikke påvist nogen metabolitter hos mennesker.</w:t>
      </w:r>
    </w:p>
    <w:p w14:paraId="51A8425C" w14:textId="77777777" w:rsidR="00841BE0" w:rsidRPr="00841BE0" w:rsidRDefault="00841BE0" w:rsidP="00F1283C">
      <w:pPr>
        <w:ind w:left="851"/>
        <w:rPr>
          <w:sz w:val="24"/>
          <w:szCs w:val="24"/>
        </w:rPr>
      </w:pPr>
    </w:p>
    <w:p w14:paraId="3F06A4FB" w14:textId="77777777" w:rsidR="00841BE0" w:rsidRPr="00841BE0" w:rsidRDefault="00841BE0" w:rsidP="00F1283C">
      <w:pPr>
        <w:ind w:left="851"/>
        <w:rPr>
          <w:i/>
          <w:iCs/>
          <w:sz w:val="24"/>
          <w:szCs w:val="24"/>
          <w:u w:val="single"/>
        </w:rPr>
      </w:pPr>
      <w:r w:rsidRPr="00841BE0">
        <w:rPr>
          <w:i/>
          <w:iCs/>
          <w:sz w:val="24"/>
          <w:szCs w:val="24"/>
          <w:u w:val="single"/>
        </w:rPr>
        <w:t>Elimination</w:t>
      </w:r>
    </w:p>
    <w:p w14:paraId="7CF3F7B0" w14:textId="77777777" w:rsidR="00841BE0" w:rsidRPr="00841BE0" w:rsidRDefault="00841BE0" w:rsidP="00F1283C">
      <w:pPr>
        <w:ind w:left="851"/>
        <w:rPr>
          <w:sz w:val="24"/>
          <w:szCs w:val="24"/>
        </w:rPr>
      </w:pPr>
      <w:r w:rsidRPr="00841BE0">
        <w:rPr>
          <w:sz w:val="24"/>
          <w:szCs w:val="24"/>
        </w:rPr>
        <w:t xml:space="preserve">Den </w:t>
      </w:r>
      <w:proofErr w:type="spellStart"/>
      <w:r w:rsidRPr="00841BE0">
        <w:rPr>
          <w:sz w:val="24"/>
          <w:szCs w:val="24"/>
        </w:rPr>
        <w:t>renale</w:t>
      </w:r>
      <w:proofErr w:type="spellEnd"/>
      <w:r w:rsidRPr="00841BE0">
        <w:rPr>
          <w:sz w:val="24"/>
          <w:szCs w:val="24"/>
        </w:rPr>
        <w:t xml:space="preserve"> </w:t>
      </w:r>
      <w:proofErr w:type="spellStart"/>
      <w:r w:rsidRPr="00841BE0">
        <w:rPr>
          <w:sz w:val="24"/>
          <w:szCs w:val="24"/>
        </w:rPr>
        <w:t>clearance</w:t>
      </w:r>
      <w:proofErr w:type="spellEnd"/>
      <w:r w:rsidRPr="00841BE0">
        <w:rPr>
          <w:sz w:val="24"/>
          <w:szCs w:val="24"/>
        </w:rPr>
        <w:t xml:space="preserve"> for </w:t>
      </w:r>
      <w:proofErr w:type="spellStart"/>
      <w:r w:rsidRPr="00841BE0">
        <w:rPr>
          <w:sz w:val="24"/>
          <w:szCs w:val="24"/>
        </w:rPr>
        <w:t>metformin</w:t>
      </w:r>
      <w:proofErr w:type="spellEnd"/>
      <w:r w:rsidRPr="00841BE0">
        <w:rPr>
          <w:sz w:val="24"/>
          <w:szCs w:val="24"/>
        </w:rPr>
        <w:t xml:space="preserve"> er &gt; 400 ml/min, hvilket tyder på, at </w:t>
      </w:r>
      <w:proofErr w:type="spellStart"/>
      <w:r w:rsidRPr="00841BE0">
        <w:rPr>
          <w:sz w:val="24"/>
          <w:szCs w:val="24"/>
        </w:rPr>
        <w:t>metformin</w:t>
      </w:r>
      <w:proofErr w:type="spellEnd"/>
      <w:r w:rsidRPr="00841BE0">
        <w:rPr>
          <w:sz w:val="24"/>
          <w:szCs w:val="24"/>
        </w:rPr>
        <w:t xml:space="preserve"> elimineres ved </w:t>
      </w:r>
      <w:proofErr w:type="spellStart"/>
      <w:r w:rsidRPr="00841BE0">
        <w:rPr>
          <w:sz w:val="24"/>
          <w:szCs w:val="24"/>
        </w:rPr>
        <w:t>glomerulær</w:t>
      </w:r>
      <w:proofErr w:type="spellEnd"/>
      <w:r w:rsidRPr="00841BE0">
        <w:rPr>
          <w:sz w:val="24"/>
          <w:szCs w:val="24"/>
        </w:rPr>
        <w:t xml:space="preserve"> filtration og </w:t>
      </w:r>
      <w:proofErr w:type="spellStart"/>
      <w:r w:rsidRPr="00841BE0">
        <w:rPr>
          <w:sz w:val="24"/>
          <w:szCs w:val="24"/>
        </w:rPr>
        <w:t>tubulær</w:t>
      </w:r>
      <w:proofErr w:type="spellEnd"/>
      <w:r w:rsidRPr="00841BE0">
        <w:rPr>
          <w:sz w:val="24"/>
          <w:szCs w:val="24"/>
        </w:rPr>
        <w:t xml:space="preserve"> sekretion. Efter en oral dosis er den tilsyneladende, terminale eliminationshalveringstid ca. 6,5 timer.</w:t>
      </w:r>
    </w:p>
    <w:p w14:paraId="36721838" w14:textId="77777777" w:rsidR="00841BE0" w:rsidRPr="00841BE0" w:rsidRDefault="00841BE0" w:rsidP="00F1283C">
      <w:pPr>
        <w:ind w:left="851"/>
        <w:rPr>
          <w:sz w:val="24"/>
          <w:szCs w:val="24"/>
        </w:rPr>
      </w:pPr>
    </w:p>
    <w:p w14:paraId="5217EACB" w14:textId="77777777" w:rsidR="00841BE0" w:rsidRPr="00841BE0" w:rsidRDefault="00841BE0" w:rsidP="00F1283C">
      <w:pPr>
        <w:ind w:left="851"/>
        <w:rPr>
          <w:sz w:val="24"/>
          <w:szCs w:val="24"/>
          <w:u w:val="single"/>
        </w:rPr>
      </w:pPr>
      <w:r w:rsidRPr="00841BE0">
        <w:rPr>
          <w:sz w:val="24"/>
          <w:szCs w:val="24"/>
          <w:u w:val="single"/>
        </w:rPr>
        <w:t>Nedsat nyrefunktion</w:t>
      </w:r>
    </w:p>
    <w:p w14:paraId="7A974E66" w14:textId="77777777" w:rsidR="00841BE0" w:rsidRPr="00841BE0" w:rsidRDefault="00841BE0" w:rsidP="00F1283C">
      <w:pPr>
        <w:ind w:left="851"/>
        <w:rPr>
          <w:sz w:val="24"/>
          <w:szCs w:val="24"/>
        </w:rPr>
      </w:pPr>
      <w:r w:rsidRPr="00841BE0">
        <w:rPr>
          <w:sz w:val="24"/>
          <w:szCs w:val="24"/>
        </w:rPr>
        <w:t xml:space="preserve">Ved nedsat nyrefunktion falder den </w:t>
      </w:r>
      <w:proofErr w:type="spellStart"/>
      <w:r w:rsidRPr="00841BE0">
        <w:rPr>
          <w:sz w:val="24"/>
          <w:szCs w:val="24"/>
        </w:rPr>
        <w:t>renale</w:t>
      </w:r>
      <w:proofErr w:type="spellEnd"/>
      <w:r w:rsidRPr="00841BE0">
        <w:rPr>
          <w:sz w:val="24"/>
          <w:szCs w:val="24"/>
        </w:rPr>
        <w:t xml:space="preserve"> </w:t>
      </w:r>
      <w:proofErr w:type="spellStart"/>
      <w:r w:rsidRPr="00841BE0">
        <w:rPr>
          <w:sz w:val="24"/>
          <w:szCs w:val="24"/>
        </w:rPr>
        <w:t>clearance</w:t>
      </w:r>
      <w:proofErr w:type="spellEnd"/>
      <w:r w:rsidRPr="00841BE0">
        <w:rPr>
          <w:sz w:val="24"/>
          <w:szCs w:val="24"/>
        </w:rPr>
        <w:t xml:space="preserve"> proportionalt med </w:t>
      </w:r>
      <w:proofErr w:type="spellStart"/>
      <w:r w:rsidRPr="00841BE0">
        <w:rPr>
          <w:sz w:val="24"/>
          <w:szCs w:val="24"/>
        </w:rPr>
        <w:t>kreatininclearance</w:t>
      </w:r>
      <w:proofErr w:type="spellEnd"/>
      <w:r w:rsidRPr="00841BE0">
        <w:rPr>
          <w:sz w:val="24"/>
          <w:szCs w:val="24"/>
        </w:rPr>
        <w:t xml:space="preserve">. Derved forlænges eliminationshalveringstiden, hvilket medfører øgede koncentrationer af </w:t>
      </w:r>
      <w:proofErr w:type="spellStart"/>
      <w:r w:rsidRPr="00841BE0">
        <w:rPr>
          <w:sz w:val="24"/>
          <w:szCs w:val="24"/>
        </w:rPr>
        <w:t>metformin</w:t>
      </w:r>
      <w:proofErr w:type="spellEnd"/>
      <w:r w:rsidRPr="00841BE0">
        <w:rPr>
          <w:sz w:val="24"/>
          <w:szCs w:val="24"/>
        </w:rPr>
        <w:t xml:space="preserve"> i plasma.</w:t>
      </w:r>
    </w:p>
    <w:p w14:paraId="19A7AB66" w14:textId="77777777" w:rsidR="00841BE0" w:rsidRPr="00841BE0" w:rsidRDefault="00841BE0" w:rsidP="00F1283C">
      <w:pPr>
        <w:ind w:left="851"/>
        <w:rPr>
          <w:sz w:val="24"/>
          <w:szCs w:val="24"/>
        </w:rPr>
      </w:pPr>
    </w:p>
    <w:p w14:paraId="506723C6" w14:textId="77777777" w:rsidR="00841BE0" w:rsidRPr="00841BE0" w:rsidRDefault="00841BE0" w:rsidP="00F1283C">
      <w:pPr>
        <w:ind w:left="851"/>
        <w:rPr>
          <w:sz w:val="24"/>
          <w:szCs w:val="24"/>
          <w:u w:val="single"/>
        </w:rPr>
      </w:pPr>
      <w:r w:rsidRPr="00841BE0">
        <w:rPr>
          <w:sz w:val="24"/>
          <w:szCs w:val="24"/>
          <w:u w:val="single"/>
        </w:rPr>
        <w:t>Særlige populationer</w:t>
      </w:r>
    </w:p>
    <w:p w14:paraId="1FD433DB" w14:textId="77777777" w:rsidR="00841BE0" w:rsidRPr="00841BE0" w:rsidRDefault="00841BE0" w:rsidP="00F1283C">
      <w:pPr>
        <w:ind w:left="851"/>
        <w:rPr>
          <w:sz w:val="24"/>
          <w:szCs w:val="24"/>
        </w:rPr>
      </w:pPr>
    </w:p>
    <w:p w14:paraId="2AD612A1" w14:textId="77777777" w:rsidR="00841BE0" w:rsidRPr="00841BE0" w:rsidRDefault="00841BE0" w:rsidP="00F1283C">
      <w:pPr>
        <w:ind w:left="851"/>
        <w:rPr>
          <w:sz w:val="24"/>
          <w:szCs w:val="24"/>
          <w:u w:val="single"/>
        </w:rPr>
      </w:pPr>
      <w:r w:rsidRPr="00841BE0">
        <w:rPr>
          <w:sz w:val="24"/>
          <w:szCs w:val="24"/>
          <w:u w:val="single"/>
        </w:rPr>
        <w:t>Pædiatrisk population</w:t>
      </w:r>
    </w:p>
    <w:p w14:paraId="71957B8F" w14:textId="77777777" w:rsidR="00841BE0" w:rsidRPr="00841BE0" w:rsidRDefault="00841BE0" w:rsidP="00F1283C">
      <w:pPr>
        <w:ind w:left="851"/>
        <w:rPr>
          <w:sz w:val="24"/>
          <w:szCs w:val="24"/>
        </w:rPr>
      </w:pPr>
      <w:r w:rsidRPr="00841BE0">
        <w:rPr>
          <w:sz w:val="24"/>
          <w:szCs w:val="24"/>
        </w:rPr>
        <w:t xml:space="preserve">Enkeltdosisstudie: Efter administration af enkeltdoser på 500 mg </w:t>
      </w:r>
      <w:proofErr w:type="spellStart"/>
      <w:r w:rsidRPr="00841BE0">
        <w:rPr>
          <w:sz w:val="24"/>
          <w:szCs w:val="24"/>
        </w:rPr>
        <w:t>metforminhydrochlorid</w:t>
      </w:r>
      <w:proofErr w:type="spellEnd"/>
      <w:r w:rsidRPr="00841BE0">
        <w:rPr>
          <w:sz w:val="24"/>
          <w:szCs w:val="24"/>
        </w:rPr>
        <w:t xml:space="preserve"> til pædiatriske patienter har den </w:t>
      </w:r>
      <w:proofErr w:type="spellStart"/>
      <w:r w:rsidRPr="00841BE0">
        <w:rPr>
          <w:sz w:val="24"/>
          <w:szCs w:val="24"/>
        </w:rPr>
        <w:t>farmakokinetiske</w:t>
      </w:r>
      <w:proofErr w:type="spellEnd"/>
      <w:r w:rsidRPr="00841BE0">
        <w:rPr>
          <w:sz w:val="24"/>
          <w:szCs w:val="24"/>
        </w:rPr>
        <w:t xml:space="preserve"> profil vist sig at være den samme, som den der er observeret hos raske voksne.</w:t>
      </w:r>
    </w:p>
    <w:p w14:paraId="0EB20B52" w14:textId="77777777" w:rsidR="00841BE0" w:rsidRPr="00841BE0" w:rsidRDefault="00841BE0" w:rsidP="00F1283C">
      <w:pPr>
        <w:ind w:left="851"/>
        <w:rPr>
          <w:sz w:val="24"/>
          <w:szCs w:val="24"/>
        </w:rPr>
      </w:pPr>
      <w:r w:rsidRPr="00841BE0">
        <w:rPr>
          <w:sz w:val="24"/>
          <w:szCs w:val="24"/>
        </w:rPr>
        <w:t>Flerdosisstudie: Efter gentagne doser på 500 mg to gange dagligt i 7 dage til pædiatriske patienter var den maksimale plasmakoncentration (</w:t>
      </w:r>
      <w:proofErr w:type="spellStart"/>
      <w:r w:rsidRPr="00841BE0">
        <w:rPr>
          <w:sz w:val="24"/>
          <w:szCs w:val="24"/>
        </w:rPr>
        <w:t>C</w:t>
      </w:r>
      <w:r w:rsidRPr="00841BE0">
        <w:rPr>
          <w:sz w:val="24"/>
          <w:szCs w:val="24"/>
          <w:vertAlign w:val="subscript"/>
        </w:rPr>
        <w:t>max</w:t>
      </w:r>
      <w:proofErr w:type="spellEnd"/>
      <w:r w:rsidRPr="00841BE0">
        <w:rPr>
          <w:sz w:val="24"/>
          <w:szCs w:val="24"/>
        </w:rPr>
        <w:t>) og den systemiske eksponering (AUC</w:t>
      </w:r>
      <w:r w:rsidRPr="00841BE0">
        <w:rPr>
          <w:sz w:val="24"/>
          <w:szCs w:val="24"/>
          <w:vertAlign w:val="subscript"/>
        </w:rPr>
        <w:t>0-t</w:t>
      </w:r>
      <w:r w:rsidRPr="00841BE0">
        <w:rPr>
          <w:sz w:val="24"/>
          <w:szCs w:val="24"/>
        </w:rPr>
        <w:t>) henholdsvis ca. 33 % og 40 % lavere sammenlignet med voksne diabetikere, der fik gentagne doser på 500 mg to gange dagligt i 14 dage. Dette er af begrænset klinisk betydning, da doseringen titreres individuelt på grundlag af glykæmisk kontrol.</w:t>
      </w:r>
    </w:p>
    <w:p w14:paraId="4813F61A" w14:textId="77777777" w:rsidR="009260DE" w:rsidRPr="003D3B2F" w:rsidRDefault="009260DE" w:rsidP="009260DE">
      <w:pPr>
        <w:tabs>
          <w:tab w:val="left" w:pos="851"/>
        </w:tabs>
        <w:ind w:left="851"/>
        <w:rPr>
          <w:sz w:val="24"/>
          <w:szCs w:val="24"/>
        </w:rPr>
      </w:pPr>
    </w:p>
    <w:p w14:paraId="40D50ED3" w14:textId="77777777" w:rsidR="009260DE" w:rsidRPr="003D3B2F" w:rsidRDefault="009260DE" w:rsidP="009260DE">
      <w:pPr>
        <w:tabs>
          <w:tab w:val="left" w:pos="851"/>
        </w:tabs>
        <w:ind w:left="851" w:hanging="851"/>
        <w:rPr>
          <w:b/>
          <w:sz w:val="24"/>
          <w:szCs w:val="24"/>
        </w:rPr>
      </w:pPr>
      <w:r w:rsidRPr="003D3B2F">
        <w:rPr>
          <w:b/>
          <w:sz w:val="24"/>
          <w:szCs w:val="24"/>
        </w:rPr>
        <w:t>5.3</w:t>
      </w:r>
      <w:r w:rsidRPr="003D3B2F">
        <w:rPr>
          <w:b/>
          <w:sz w:val="24"/>
          <w:szCs w:val="24"/>
        </w:rPr>
        <w:tab/>
      </w:r>
      <w:r w:rsidR="00BD7931" w:rsidRPr="003D3B2F">
        <w:rPr>
          <w:b/>
          <w:sz w:val="24"/>
          <w:szCs w:val="24"/>
        </w:rPr>
        <w:t>Non-</w:t>
      </w:r>
      <w:r w:rsidRPr="003D3B2F">
        <w:rPr>
          <w:b/>
          <w:sz w:val="24"/>
          <w:szCs w:val="24"/>
        </w:rPr>
        <w:t>kliniske sikkerhedsdata</w:t>
      </w:r>
    </w:p>
    <w:p w14:paraId="4983FFDB" w14:textId="77777777" w:rsidR="008137AF" w:rsidRDefault="008137AF" w:rsidP="00F1283C">
      <w:pPr>
        <w:ind w:left="851"/>
        <w:rPr>
          <w:sz w:val="24"/>
          <w:szCs w:val="24"/>
          <w:u w:val="single"/>
        </w:rPr>
      </w:pPr>
    </w:p>
    <w:p w14:paraId="53605C31" w14:textId="241EB7F5" w:rsidR="00841BE0" w:rsidRPr="00841BE0" w:rsidRDefault="00841BE0" w:rsidP="00F1283C">
      <w:pPr>
        <w:ind w:left="851"/>
        <w:rPr>
          <w:sz w:val="24"/>
          <w:szCs w:val="24"/>
          <w:u w:val="single"/>
        </w:rPr>
      </w:pPr>
      <w:proofErr w:type="spellStart"/>
      <w:r w:rsidRPr="00841BE0">
        <w:rPr>
          <w:sz w:val="24"/>
          <w:szCs w:val="24"/>
          <w:u w:val="single"/>
        </w:rPr>
        <w:t>Empagliflozin</w:t>
      </w:r>
      <w:proofErr w:type="spellEnd"/>
      <w:r w:rsidRPr="00841BE0">
        <w:rPr>
          <w:sz w:val="24"/>
          <w:szCs w:val="24"/>
          <w:u w:val="single"/>
        </w:rPr>
        <w:t xml:space="preserve"> plus </w:t>
      </w:r>
      <w:proofErr w:type="spellStart"/>
      <w:r w:rsidRPr="00841BE0">
        <w:rPr>
          <w:sz w:val="24"/>
          <w:szCs w:val="24"/>
          <w:u w:val="single"/>
        </w:rPr>
        <w:t>metformin</w:t>
      </w:r>
      <w:proofErr w:type="spellEnd"/>
    </w:p>
    <w:p w14:paraId="32BD989F" w14:textId="77777777" w:rsidR="00841BE0" w:rsidRPr="00841BE0" w:rsidRDefault="00841BE0" w:rsidP="00F1283C">
      <w:pPr>
        <w:ind w:left="851"/>
        <w:rPr>
          <w:sz w:val="24"/>
          <w:szCs w:val="24"/>
        </w:rPr>
      </w:pPr>
    </w:p>
    <w:p w14:paraId="2E94D6EB" w14:textId="77777777" w:rsidR="00841BE0" w:rsidRPr="00841BE0" w:rsidRDefault="00841BE0" w:rsidP="00F1283C">
      <w:pPr>
        <w:ind w:left="851"/>
        <w:rPr>
          <w:sz w:val="24"/>
          <w:szCs w:val="24"/>
        </w:rPr>
      </w:pPr>
      <w:r w:rsidRPr="00841BE0">
        <w:rPr>
          <w:sz w:val="24"/>
          <w:szCs w:val="24"/>
        </w:rPr>
        <w:t xml:space="preserve">Der er udført generelle toksicitetsstudier hos rotter, der varede op til 13 uger, med kombinationen af </w:t>
      </w:r>
      <w:proofErr w:type="spellStart"/>
      <w:r w:rsidRPr="00841BE0">
        <w:rPr>
          <w:sz w:val="24"/>
          <w:szCs w:val="24"/>
        </w:rPr>
        <w:t>empagliflozin</w:t>
      </w:r>
      <w:proofErr w:type="spellEnd"/>
      <w:r w:rsidRPr="00841BE0">
        <w:rPr>
          <w:sz w:val="24"/>
          <w:szCs w:val="24"/>
        </w:rPr>
        <w:t xml:space="preserve"> og </w:t>
      </w:r>
      <w:proofErr w:type="spellStart"/>
      <w:r w:rsidRPr="00841BE0">
        <w:rPr>
          <w:sz w:val="24"/>
          <w:szCs w:val="24"/>
        </w:rPr>
        <w:t>metformin</w:t>
      </w:r>
      <w:proofErr w:type="spellEnd"/>
      <w:r w:rsidRPr="00841BE0">
        <w:rPr>
          <w:sz w:val="24"/>
          <w:szCs w:val="24"/>
        </w:rPr>
        <w:t xml:space="preserve">, og de påviste ingen yderligere målorganer ved sammenligning med </w:t>
      </w:r>
      <w:proofErr w:type="spellStart"/>
      <w:r w:rsidRPr="00841BE0">
        <w:rPr>
          <w:sz w:val="24"/>
          <w:szCs w:val="24"/>
        </w:rPr>
        <w:t>empagliflozin</w:t>
      </w:r>
      <w:proofErr w:type="spellEnd"/>
      <w:r w:rsidRPr="00841BE0">
        <w:rPr>
          <w:sz w:val="24"/>
          <w:szCs w:val="24"/>
        </w:rPr>
        <w:t xml:space="preserve"> eller </w:t>
      </w:r>
      <w:proofErr w:type="spellStart"/>
      <w:r w:rsidRPr="00841BE0">
        <w:rPr>
          <w:sz w:val="24"/>
          <w:szCs w:val="24"/>
        </w:rPr>
        <w:t>metformin</w:t>
      </w:r>
      <w:proofErr w:type="spellEnd"/>
      <w:r w:rsidRPr="00841BE0">
        <w:rPr>
          <w:sz w:val="24"/>
          <w:szCs w:val="24"/>
        </w:rPr>
        <w:t xml:space="preserve"> alene. Visse former for respons blev øget ved kombinationsbehandlingen, f.eks. på nyrefysiologi, elektrolytbalance og syre/base-tilstand. Det var imidlertid udelukkende </w:t>
      </w:r>
      <w:proofErr w:type="spellStart"/>
      <w:r w:rsidRPr="00841BE0">
        <w:rPr>
          <w:sz w:val="24"/>
          <w:szCs w:val="24"/>
        </w:rPr>
        <w:t>hypochloræmi</w:t>
      </w:r>
      <w:proofErr w:type="spellEnd"/>
      <w:r w:rsidRPr="00841BE0">
        <w:rPr>
          <w:sz w:val="24"/>
          <w:szCs w:val="24"/>
        </w:rPr>
        <w:t xml:space="preserve">, der blev set ved eksponeringer på ca. 9 og 3 gange den kliniske AUC-eksponering ved den maksimalt anbefalede dosis af henholdsvis </w:t>
      </w:r>
      <w:proofErr w:type="spellStart"/>
      <w:r w:rsidRPr="00841BE0">
        <w:rPr>
          <w:sz w:val="24"/>
          <w:szCs w:val="24"/>
        </w:rPr>
        <w:t>empagliflozin</w:t>
      </w:r>
      <w:proofErr w:type="spellEnd"/>
      <w:r w:rsidRPr="00841BE0">
        <w:rPr>
          <w:sz w:val="24"/>
          <w:szCs w:val="24"/>
        </w:rPr>
        <w:t xml:space="preserve"> og </w:t>
      </w:r>
      <w:proofErr w:type="spellStart"/>
      <w:r w:rsidRPr="00841BE0">
        <w:rPr>
          <w:sz w:val="24"/>
          <w:szCs w:val="24"/>
        </w:rPr>
        <w:t>metformin</w:t>
      </w:r>
      <w:proofErr w:type="spellEnd"/>
      <w:r w:rsidRPr="00841BE0">
        <w:rPr>
          <w:sz w:val="24"/>
          <w:szCs w:val="24"/>
        </w:rPr>
        <w:t>.</w:t>
      </w:r>
    </w:p>
    <w:p w14:paraId="1F05AFF8" w14:textId="77777777" w:rsidR="00841BE0" w:rsidRPr="00841BE0" w:rsidRDefault="00841BE0" w:rsidP="00F1283C">
      <w:pPr>
        <w:ind w:left="851"/>
        <w:rPr>
          <w:sz w:val="24"/>
          <w:szCs w:val="24"/>
        </w:rPr>
      </w:pPr>
    </w:p>
    <w:p w14:paraId="383C7238" w14:textId="77777777" w:rsidR="00841BE0" w:rsidRPr="00841BE0" w:rsidRDefault="00841BE0" w:rsidP="00F1283C">
      <w:pPr>
        <w:ind w:left="851"/>
        <w:rPr>
          <w:sz w:val="24"/>
          <w:szCs w:val="24"/>
        </w:rPr>
      </w:pPr>
      <w:r w:rsidRPr="00841BE0">
        <w:rPr>
          <w:sz w:val="24"/>
          <w:szCs w:val="24"/>
        </w:rPr>
        <w:t xml:space="preserve">Et studie af den </w:t>
      </w:r>
      <w:proofErr w:type="spellStart"/>
      <w:r w:rsidRPr="00841BE0">
        <w:rPr>
          <w:sz w:val="24"/>
          <w:szCs w:val="24"/>
        </w:rPr>
        <w:t>embryoføtale</w:t>
      </w:r>
      <w:proofErr w:type="spellEnd"/>
      <w:r w:rsidRPr="00841BE0">
        <w:rPr>
          <w:sz w:val="24"/>
          <w:szCs w:val="24"/>
        </w:rPr>
        <w:t xml:space="preserve"> udvikling hos drægtige rotter tydede ikke på nogen </w:t>
      </w:r>
      <w:proofErr w:type="spellStart"/>
      <w:r w:rsidRPr="00841BE0">
        <w:rPr>
          <w:sz w:val="24"/>
          <w:szCs w:val="24"/>
        </w:rPr>
        <w:t>teratogene</w:t>
      </w:r>
      <w:proofErr w:type="spellEnd"/>
      <w:r w:rsidRPr="00841BE0">
        <w:rPr>
          <w:sz w:val="24"/>
          <w:szCs w:val="24"/>
        </w:rPr>
        <w:t xml:space="preserve"> virkninger, der kan tilskrives den samtidige administration af </w:t>
      </w:r>
      <w:proofErr w:type="spellStart"/>
      <w:r w:rsidRPr="00841BE0">
        <w:rPr>
          <w:sz w:val="24"/>
          <w:szCs w:val="24"/>
        </w:rPr>
        <w:t>empagliflozin</w:t>
      </w:r>
      <w:proofErr w:type="spellEnd"/>
      <w:r w:rsidRPr="00841BE0">
        <w:rPr>
          <w:sz w:val="24"/>
          <w:szCs w:val="24"/>
        </w:rPr>
        <w:t xml:space="preserve"> og </w:t>
      </w:r>
      <w:proofErr w:type="spellStart"/>
      <w:r w:rsidRPr="00841BE0">
        <w:rPr>
          <w:sz w:val="24"/>
          <w:szCs w:val="24"/>
        </w:rPr>
        <w:t>metformin</w:t>
      </w:r>
      <w:proofErr w:type="spellEnd"/>
      <w:r w:rsidRPr="00841BE0">
        <w:rPr>
          <w:sz w:val="24"/>
          <w:szCs w:val="24"/>
        </w:rPr>
        <w:t xml:space="preserve"> ved eksponeringer på ca. 14 gange den kliniske AUC-eksponering for </w:t>
      </w:r>
      <w:proofErr w:type="spellStart"/>
      <w:r w:rsidRPr="00841BE0">
        <w:rPr>
          <w:sz w:val="24"/>
          <w:szCs w:val="24"/>
        </w:rPr>
        <w:t>empagliflozin</w:t>
      </w:r>
      <w:proofErr w:type="spellEnd"/>
      <w:r w:rsidRPr="00841BE0">
        <w:rPr>
          <w:sz w:val="24"/>
          <w:szCs w:val="24"/>
        </w:rPr>
        <w:t xml:space="preserve">, der er forbundet med den højeste dosis, og 4 gange den kliniske AUC-eksponering for </w:t>
      </w:r>
      <w:proofErr w:type="spellStart"/>
      <w:r w:rsidRPr="00841BE0">
        <w:rPr>
          <w:sz w:val="24"/>
          <w:szCs w:val="24"/>
        </w:rPr>
        <w:t>metformin</w:t>
      </w:r>
      <w:proofErr w:type="spellEnd"/>
      <w:r w:rsidRPr="00841BE0">
        <w:rPr>
          <w:sz w:val="24"/>
          <w:szCs w:val="24"/>
        </w:rPr>
        <w:t>, der forbundet med en dosis på 2.000 mg.</w:t>
      </w:r>
    </w:p>
    <w:p w14:paraId="01F69FDF" w14:textId="77777777" w:rsidR="00841BE0" w:rsidRPr="00841BE0" w:rsidRDefault="00841BE0" w:rsidP="00F1283C">
      <w:pPr>
        <w:ind w:left="851"/>
        <w:rPr>
          <w:sz w:val="24"/>
          <w:szCs w:val="24"/>
        </w:rPr>
      </w:pPr>
    </w:p>
    <w:p w14:paraId="6D5FD319" w14:textId="77777777" w:rsidR="00841BE0" w:rsidRPr="00841BE0" w:rsidRDefault="00841BE0" w:rsidP="00F1283C">
      <w:pPr>
        <w:ind w:left="851"/>
        <w:rPr>
          <w:sz w:val="24"/>
          <w:szCs w:val="24"/>
          <w:u w:val="single"/>
        </w:rPr>
      </w:pPr>
      <w:proofErr w:type="spellStart"/>
      <w:r w:rsidRPr="00841BE0">
        <w:rPr>
          <w:sz w:val="24"/>
          <w:szCs w:val="24"/>
          <w:u w:val="single"/>
        </w:rPr>
        <w:t>Empagliflozin</w:t>
      </w:r>
      <w:proofErr w:type="spellEnd"/>
    </w:p>
    <w:p w14:paraId="103262EB" w14:textId="77777777" w:rsidR="00841BE0" w:rsidRPr="00841BE0" w:rsidRDefault="00841BE0" w:rsidP="00F1283C">
      <w:pPr>
        <w:ind w:left="851"/>
        <w:rPr>
          <w:sz w:val="24"/>
          <w:szCs w:val="24"/>
        </w:rPr>
      </w:pPr>
    </w:p>
    <w:p w14:paraId="78098D16" w14:textId="77777777" w:rsidR="00841BE0" w:rsidRPr="00841BE0" w:rsidRDefault="00841BE0" w:rsidP="00F1283C">
      <w:pPr>
        <w:ind w:left="851"/>
        <w:rPr>
          <w:sz w:val="24"/>
          <w:szCs w:val="24"/>
        </w:rPr>
      </w:pPr>
      <w:r w:rsidRPr="00841BE0">
        <w:rPr>
          <w:sz w:val="24"/>
          <w:szCs w:val="24"/>
        </w:rPr>
        <w:t>Non-kliniske data viser ingen speciel risiko for mennesker vurderet ud fra konventionelle studier af sikkerhedsfarmakologi, genotoksicitet, fertilitet og tidlig fosterudvikling.</w:t>
      </w:r>
    </w:p>
    <w:p w14:paraId="21767C48" w14:textId="77777777" w:rsidR="00841BE0" w:rsidRPr="00841BE0" w:rsidRDefault="00841BE0" w:rsidP="00F1283C">
      <w:pPr>
        <w:ind w:left="851"/>
        <w:rPr>
          <w:sz w:val="24"/>
          <w:szCs w:val="24"/>
        </w:rPr>
      </w:pPr>
      <w:r w:rsidRPr="00841BE0">
        <w:rPr>
          <w:sz w:val="24"/>
          <w:szCs w:val="24"/>
        </w:rPr>
        <w:t xml:space="preserve">I langtidstoksicitetsstudier med gnavere og hunde blev der observeret tegn på toksicitet ved eksponeringer, der var ≥ 10 gange den kliniske dosis </w:t>
      </w:r>
      <w:proofErr w:type="spellStart"/>
      <w:r w:rsidRPr="00841BE0">
        <w:rPr>
          <w:sz w:val="24"/>
          <w:szCs w:val="24"/>
        </w:rPr>
        <w:t>empagliflozin</w:t>
      </w:r>
      <w:proofErr w:type="spellEnd"/>
      <w:r w:rsidRPr="00841BE0">
        <w:rPr>
          <w:sz w:val="24"/>
          <w:szCs w:val="24"/>
        </w:rPr>
        <w:t xml:space="preserve">. Toksiciteten var for det meste forenelig med en sekundær farmakologisk virkning med relation til tab af </w:t>
      </w:r>
      <w:proofErr w:type="spellStart"/>
      <w:r w:rsidRPr="00841BE0">
        <w:rPr>
          <w:sz w:val="24"/>
          <w:szCs w:val="24"/>
        </w:rPr>
        <w:t>glucose</w:t>
      </w:r>
      <w:proofErr w:type="spellEnd"/>
      <w:r w:rsidRPr="00841BE0">
        <w:rPr>
          <w:sz w:val="24"/>
          <w:szCs w:val="24"/>
        </w:rPr>
        <w:t xml:space="preserve"> via urinen og elektrolytforstyrrelser, herunder nedsat legemsvægt og kropsfedt, øget fødeindtagelse, diarré, dehydrering, nedsat </w:t>
      </w:r>
      <w:proofErr w:type="spellStart"/>
      <w:r w:rsidRPr="00841BE0">
        <w:rPr>
          <w:sz w:val="24"/>
          <w:szCs w:val="24"/>
        </w:rPr>
        <w:t>serumglucose</w:t>
      </w:r>
      <w:proofErr w:type="spellEnd"/>
      <w:r w:rsidRPr="00841BE0">
        <w:rPr>
          <w:sz w:val="24"/>
          <w:szCs w:val="24"/>
        </w:rPr>
        <w:t xml:space="preserve"> og stigninger i andre serumparametre, der afspejler øget proteinmetabolisme og </w:t>
      </w:r>
      <w:proofErr w:type="spellStart"/>
      <w:r w:rsidRPr="00841BE0">
        <w:rPr>
          <w:sz w:val="24"/>
          <w:szCs w:val="24"/>
        </w:rPr>
        <w:t>glukoneogenese</w:t>
      </w:r>
      <w:proofErr w:type="spellEnd"/>
      <w:r w:rsidRPr="00841BE0">
        <w:rPr>
          <w:sz w:val="24"/>
          <w:szCs w:val="24"/>
        </w:rPr>
        <w:t xml:space="preserve">, ændringer i vandladningen (f.eks. </w:t>
      </w:r>
      <w:proofErr w:type="spellStart"/>
      <w:r w:rsidRPr="00841BE0">
        <w:rPr>
          <w:sz w:val="24"/>
          <w:szCs w:val="24"/>
        </w:rPr>
        <w:t>polyuri</w:t>
      </w:r>
      <w:proofErr w:type="spellEnd"/>
      <w:r w:rsidRPr="00841BE0">
        <w:rPr>
          <w:sz w:val="24"/>
          <w:szCs w:val="24"/>
        </w:rPr>
        <w:t xml:space="preserve">) og i urinen (f.eks. </w:t>
      </w:r>
      <w:proofErr w:type="spellStart"/>
      <w:r w:rsidRPr="00841BE0">
        <w:rPr>
          <w:sz w:val="24"/>
          <w:szCs w:val="24"/>
        </w:rPr>
        <w:t>glukosuri</w:t>
      </w:r>
      <w:proofErr w:type="spellEnd"/>
      <w:r w:rsidRPr="00841BE0">
        <w:rPr>
          <w:sz w:val="24"/>
          <w:szCs w:val="24"/>
        </w:rPr>
        <w:t xml:space="preserve">) og mikroskopiske forandringer, herunder </w:t>
      </w:r>
      <w:proofErr w:type="spellStart"/>
      <w:r w:rsidRPr="00841BE0">
        <w:rPr>
          <w:sz w:val="24"/>
          <w:szCs w:val="24"/>
        </w:rPr>
        <w:t>mineralisering</w:t>
      </w:r>
      <w:proofErr w:type="spellEnd"/>
      <w:r w:rsidRPr="00841BE0">
        <w:rPr>
          <w:sz w:val="24"/>
          <w:szCs w:val="24"/>
        </w:rPr>
        <w:t xml:space="preserve"> i nyrerne og visse bløddele og vaskulære væv. Den mikroskopiske evidens for virkningerne af en øget farmakologisk virkning på nyrerne, der blev observeret hos visse arter, omfattede </w:t>
      </w:r>
      <w:proofErr w:type="spellStart"/>
      <w:r w:rsidRPr="00841BE0">
        <w:rPr>
          <w:sz w:val="24"/>
          <w:szCs w:val="24"/>
        </w:rPr>
        <w:t>tubulær</w:t>
      </w:r>
      <w:proofErr w:type="spellEnd"/>
      <w:r w:rsidRPr="00841BE0">
        <w:rPr>
          <w:sz w:val="24"/>
          <w:szCs w:val="24"/>
        </w:rPr>
        <w:t xml:space="preserve"> dilatation og </w:t>
      </w:r>
      <w:proofErr w:type="spellStart"/>
      <w:r w:rsidRPr="00841BE0">
        <w:rPr>
          <w:sz w:val="24"/>
          <w:szCs w:val="24"/>
        </w:rPr>
        <w:t>mineralisering</w:t>
      </w:r>
      <w:proofErr w:type="spellEnd"/>
      <w:r w:rsidRPr="00841BE0">
        <w:rPr>
          <w:sz w:val="24"/>
          <w:szCs w:val="24"/>
        </w:rPr>
        <w:t xml:space="preserve"> i </w:t>
      </w:r>
      <w:proofErr w:type="spellStart"/>
      <w:r w:rsidRPr="00841BE0">
        <w:rPr>
          <w:sz w:val="24"/>
          <w:szCs w:val="24"/>
        </w:rPr>
        <w:t>tubuli</w:t>
      </w:r>
      <w:proofErr w:type="spellEnd"/>
      <w:r w:rsidRPr="00841BE0">
        <w:rPr>
          <w:sz w:val="24"/>
          <w:szCs w:val="24"/>
        </w:rPr>
        <w:t xml:space="preserve"> og nyrebækken ved ca. 4 gange den kliniske AUC-eksponering for </w:t>
      </w:r>
      <w:proofErr w:type="spellStart"/>
      <w:r w:rsidRPr="00841BE0">
        <w:rPr>
          <w:sz w:val="24"/>
          <w:szCs w:val="24"/>
        </w:rPr>
        <w:t>empagliflozin</w:t>
      </w:r>
      <w:proofErr w:type="spellEnd"/>
      <w:r w:rsidRPr="00841BE0">
        <w:rPr>
          <w:sz w:val="24"/>
          <w:szCs w:val="24"/>
        </w:rPr>
        <w:t>, der er forbundet med en dosis på 25 mg.</w:t>
      </w:r>
    </w:p>
    <w:p w14:paraId="598A9039" w14:textId="77777777" w:rsidR="00841BE0" w:rsidRPr="00841BE0" w:rsidRDefault="00841BE0" w:rsidP="00F1283C">
      <w:pPr>
        <w:ind w:left="851"/>
        <w:rPr>
          <w:sz w:val="24"/>
          <w:szCs w:val="24"/>
        </w:rPr>
      </w:pPr>
    </w:p>
    <w:p w14:paraId="33CBD225" w14:textId="77777777" w:rsidR="00841BE0" w:rsidRPr="00841BE0" w:rsidRDefault="00841BE0" w:rsidP="00F1283C">
      <w:pPr>
        <w:ind w:left="851"/>
        <w:rPr>
          <w:sz w:val="24"/>
          <w:szCs w:val="24"/>
        </w:rPr>
      </w:pPr>
      <w:proofErr w:type="spellStart"/>
      <w:r w:rsidRPr="00841BE0">
        <w:rPr>
          <w:sz w:val="24"/>
          <w:szCs w:val="24"/>
        </w:rPr>
        <w:t>Empagliflozin</w:t>
      </w:r>
      <w:proofErr w:type="spellEnd"/>
      <w:r w:rsidRPr="00841BE0">
        <w:rPr>
          <w:sz w:val="24"/>
          <w:szCs w:val="24"/>
        </w:rPr>
        <w:t xml:space="preserve"> er ikke genotoksisk.</w:t>
      </w:r>
    </w:p>
    <w:p w14:paraId="2D499D73" w14:textId="77777777" w:rsidR="00841BE0" w:rsidRPr="00841BE0" w:rsidRDefault="00841BE0" w:rsidP="00F1283C">
      <w:pPr>
        <w:ind w:left="851"/>
        <w:rPr>
          <w:sz w:val="24"/>
          <w:szCs w:val="24"/>
        </w:rPr>
      </w:pPr>
    </w:p>
    <w:p w14:paraId="7C2A0D9B" w14:textId="77777777" w:rsidR="00841BE0" w:rsidRPr="00841BE0" w:rsidRDefault="00841BE0" w:rsidP="00F1283C">
      <w:pPr>
        <w:ind w:left="851"/>
        <w:rPr>
          <w:sz w:val="24"/>
          <w:szCs w:val="24"/>
        </w:rPr>
      </w:pPr>
      <w:r w:rsidRPr="00841BE0">
        <w:rPr>
          <w:sz w:val="24"/>
          <w:szCs w:val="24"/>
        </w:rPr>
        <w:t>I et 2</w:t>
      </w:r>
      <w:r w:rsidRPr="00841BE0">
        <w:rPr>
          <w:sz w:val="24"/>
          <w:szCs w:val="24"/>
        </w:rPr>
        <w:noBreakHyphen/>
        <w:t xml:space="preserve">årigt </w:t>
      </w:r>
      <w:proofErr w:type="spellStart"/>
      <w:r w:rsidRPr="00841BE0">
        <w:rPr>
          <w:sz w:val="24"/>
          <w:szCs w:val="24"/>
        </w:rPr>
        <w:t>karcinogenicitetsstudie</w:t>
      </w:r>
      <w:proofErr w:type="spellEnd"/>
      <w:r w:rsidRPr="00841BE0">
        <w:rPr>
          <w:sz w:val="24"/>
          <w:szCs w:val="24"/>
        </w:rPr>
        <w:t xml:space="preserve"> øgede </w:t>
      </w:r>
      <w:proofErr w:type="spellStart"/>
      <w:r w:rsidRPr="00841BE0">
        <w:rPr>
          <w:sz w:val="24"/>
          <w:szCs w:val="24"/>
        </w:rPr>
        <w:t>empagliflozin</w:t>
      </w:r>
      <w:proofErr w:type="spellEnd"/>
      <w:r w:rsidRPr="00841BE0">
        <w:rPr>
          <w:sz w:val="24"/>
          <w:szCs w:val="24"/>
        </w:rPr>
        <w:t xml:space="preserve"> ikke forekomsten af tumorer hos hunrotter op til den højeste dosis på 700 mg/kg/dag, hvilket svarer til ca. 72 gange den maksimale kliniske AUC-eksponering for </w:t>
      </w:r>
      <w:proofErr w:type="spellStart"/>
      <w:r w:rsidRPr="00841BE0">
        <w:rPr>
          <w:sz w:val="24"/>
          <w:szCs w:val="24"/>
        </w:rPr>
        <w:t>empagliflozin</w:t>
      </w:r>
      <w:proofErr w:type="spellEnd"/>
      <w:r w:rsidRPr="00841BE0">
        <w:rPr>
          <w:sz w:val="24"/>
          <w:szCs w:val="24"/>
        </w:rPr>
        <w:t xml:space="preserve">. Hos hanrotter blev der observeret behandlingsrelaterede benigne vaskulære </w:t>
      </w:r>
      <w:proofErr w:type="spellStart"/>
      <w:r w:rsidRPr="00841BE0">
        <w:rPr>
          <w:sz w:val="24"/>
          <w:szCs w:val="24"/>
        </w:rPr>
        <w:t>proliferative</w:t>
      </w:r>
      <w:proofErr w:type="spellEnd"/>
      <w:r w:rsidRPr="00841BE0">
        <w:rPr>
          <w:sz w:val="24"/>
          <w:szCs w:val="24"/>
        </w:rPr>
        <w:t xml:space="preserve"> læsioner (</w:t>
      </w:r>
      <w:proofErr w:type="spellStart"/>
      <w:r w:rsidRPr="00841BE0">
        <w:rPr>
          <w:sz w:val="24"/>
          <w:szCs w:val="24"/>
        </w:rPr>
        <w:t>hæmangiomer</w:t>
      </w:r>
      <w:proofErr w:type="spellEnd"/>
      <w:r w:rsidRPr="00841BE0">
        <w:rPr>
          <w:sz w:val="24"/>
          <w:szCs w:val="24"/>
        </w:rPr>
        <w:t xml:space="preserve">) i de </w:t>
      </w:r>
      <w:proofErr w:type="spellStart"/>
      <w:r w:rsidRPr="00841BE0">
        <w:rPr>
          <w:sz w:val="24"/>
          <w:szCs w:val="24"/>
        </w:rPr>
        <w:t>mesenteriale</w:t>
      </w:r>
      <w:proofErr w:type="spellEnd"/>
      <w:r w:rsidRPr="00841BE0">
        <w:rPr>
          <w:sz w:val="24"/>
          <w:szCs w:val="24"/>
        </w:rPr>
        <w:t xml:space="preserve"> lymfeknuder ved den højeste dosis, men ikke ved 300 mg/kg/dag, hvilket svarer til ca. 26 gange den maksimale kliniske eksponering for </w:t>
      </w:r>
      <w:proofErr w:type="spellStart"/>
      <w:r w:rsidRPr="00841BE0">
        <w:rPr>
          <w:sz w:val="24"/>
          <w:szCs w:val="24"/>
        </w:rPr>
        <w:t>empagliflozin</w:t>
      </w:r>
      <w:proofErr w:type="spellEnd"/>
      <w:r w:rsidRPr="00841BE0">
        <w:rPr>
          <w:sz w:val="24"/>
          <w:szCs w:val="24"/>
        </w:rPr>
        <w:t xml:space="preserve">. </w:t>
      </w:r>
      <w:proofErr w:type="spellStart"/>
      <w:r w:rsidRPr="00841BE0">
        <w:rPr>
          <w:sz w:val="24"/>
          <w:szCs w:val="24"/>
        </w:rPr>
        <w:t>Interstitielle</w:t>
      </w:r>
      <w:proofErr w:type="spellEnd"/>
      <w:r w:rsidRPr="00841BE0">
        <w:rPr>
          <w:sz w:val="24"/>
          <w:szCs w:val="24"/>
        </w:rPr>
        <w:t xml:space="preserve"> celletumorer i testiklerne blev observeret med en højere incidens hos rotter ved 300 mg/kg/dag og derover, men ikke ved 100 mg/kg/dag, hvilket svarer til ca. 18 gange den maksimale, kliniske eksponering for </w:t>
      </w:r>
      <w:proofErr w:type="spellStart"/>
      <w:r w:rsidRPr="00841BE0">
        <w:rPr>
          <w:sz w:val="24"/>
          <w:szCs w:val="24"/>
        </w:rPr>
        <w:t>empagliflozin</w:t>
      </w:r>
      <w:proofErr w:type="spellEnd"/>
      <w:r w:rsidRPr="00841BE0">
        <w:rPr>
          <w:sz w:val="24"/>
          <w:szCs w:val="24"/>
        </w:rPr>
        <w:t>. Begge tumorer er almindelige hos rotter, og det er ikke sandsynligt, at dette fund har betydning for mennesker.</w:t>
      </w:r>
    </w:p>
    <w:p w14:paraId="7458E26D" w14:textId="77777777" w:rsidR="00841BE0" w:rsidRPr="00841BE0" w:rsidRDefault="00841BE0" w:rsidP="00F1283C">
      <w:pPr>
        <w:ind w:left="851"/>
        <w:rPr>
          <w:sz w:val="24"/>
          <w:szCs w:val="24"/>
        </w:rPr>
      </w:pPr>
    </w:p>
    <w:p w14:paraId="10F357D3" w14:textId="77777777" w:rsidR="00841BE0" w:rsidRPr="00841BE0" w:rsidRDefault="00841BE0" w:rsidP="00F1283C">
      <w:pPr>
        <w:ind w:left="851"/>
        <w:rPr>
          <w:sz w:val="24"/>
          <w:szCs w:val="24"/>
        </w:rPr>
      </w:pPr>
      <w:proofErr w:type="spellStart"/>
      <w:r w:rsidRPr="00841BE0">
        <w:rPr>
          <w:sz w:val="24"/>
          <w:szCs w:val="24"/>
        </w:rPr>
        <w:t>Empagliflozin</w:t>
      </w:r>
      <w:proofErr w:type="spellEnd"/>
      <w:r w:rsidRPr="00841BE0">
        <w:rPr>
          <w:sz w:val="24"/>
          <w:szCs w:val="24"/>
        </w:rPr>
        <w:t xml:space="preserve"> øgede ikke incidensen af tumorer hos </w:t>
      </w:r>
      <w:proofErr w:type="spellStart"/>
      <w:r w:rsidRPr="00841BE0">
        <w:rPr>
          <w:sz w:val="24"/>
          <w:szCs w:val="24"/>
        </w:rPr>
        <w:t>hunmus</w:t>
      </w:r>
      <w:proofErr w:type="spellEnd"/>
      <w:r w:rsidRPr="00841BE0">
        <w:rPr>
          <w:sz w:val="24"/>
          <w:szCs w:val="24"/>
        </w:rPr>
        <w:t xml:space="preserve"> i doser på op til 1.000 mg/kg/dag, hvilket svarer til ca. 62 gange den maksimale kliniske eksponering for </w:t>
      </w:r>
      <w:proofErr w:type="spellStart"/>
      <w:r w:rsidRPr="00841BE0">
        <w:rPr>
          <w:sz w:val="24"/>
          <w:szCs w:val="24"/>
        </w:rPr>
        <w:t>empagliflozin</w:t>
      </w:r>
      <w:proofErr w:type="spellEnd"/>
      <w:r w:rsidRPr="00841BE0">
        <w:rPr>
          <w:sz w:val="24"/>
          <w:szCs w:val="24"/>
        </w:rPr>
        <w:t xml:space="preserve">. </w:t>
      </w:r>
      <w:proofErr w:type="spellStart"/>
      <w:r w:rsidRPr="00841BE0">
        <w:rPr>
          <w:sz w:val="24"/>
          <w:szCs w:val="24"/>
        </w:rPr>
        <w:t>Empagliflozin</w:t>
      </w:r>
      <w:proofErr w:type="spellEnd"/>
      <w:r w:rsidRPr="00841BE0">
        <w:rPr>
          <w:sz w:val="24"/>
          <w:szCs w:val="24"/>
        </w:rPr>
        <w:t xml:space="preserve"> inducerede nyretumorer hos </w:t>
      </w:r>
      <w:proofErr w:type="spellStart"/>
      <w:r w:rsidRPr="00841BE0">
        <w:rPr>
          <w:sz w:val="24"/>
          <w:szCs w:val="24"/>
        </w:rPr>
        <w:t>hanmus</w:t>
      </w:r>
      <w:proofErr w:type="spellEnd"/>
      <w:r w:rsidRPr="00841BE0">
        <w:rPr>
          <w:sz w:val="24"/>
          <w:szCs w:val="24"/>
        </w:rPr>
        <w:t xml:space="preserve"> ved 1.000 mg/kg/dag, men ikke ved 300 mg/kg/dag, hvilket svarer til ca. 11 gange den maksimale kliniske eksponering for </w:t>
      </w:r>
      <w:proofErr w:type="spellStart"/>
      <w:r w:rsidRPr="00841BE0">
        <w:rPr>
          <w:sz w:val="24"/>
          <w:szCs w:val="24"/>
        </w:rPr>
        <w:t>empagliflozin</w:t>
      </w:r>
      <w:proofErr w:type="spellEnd"/>
      <w:r w:rsidRPr="00841BE0">
        <w:rPr>
          <w:sz w:val="24"/>
          <w:szCs w:val="24"/>
        </w:rPr>
        <w:t xml:space="preserve">. Virkningsmekanismen for forekomst af disse tumorer afhænger af hanmusens naturlige prædisposition for nyrepatologi og en metabolisk reaktionsvej, der ikke afspejler menneskers. Forekomst af nyretumorer hos </w:t>
      </w:r>
      <w:proofErr w:type="spellStart"/>
      <w:r w:rsidRPr="00841BE0">
        <w:rPr>
          <w:sz w:val="24"/>
          <w:szCs w:val="24"/>
        </w:rPr>
        <w:t>hanmus</w:t>
      </w:r>
      <w:proofErr w:type="spellEnd"/>
      <w:r w:rsidRPr="00841BE0">
        <w:rPr>
          <w:sz w:val="24"/>
          <w:szCs w:val="24"/>
        </w:rPr>
        <w:t xml:space="preserve"> anses ikke for at være relevant for mennesker.</w:t>
      </w:r>
    </w:p>
    <w:p w14:paraId="627D069A" w14:textId="77777777" w:rsidR="00841BE0" w:rsidRPr="00841BE0" w:rsidRDefault="00841BE0" w:rsidP="00F1283C">
      <w:pPr>
        <w:ind w:left="851"/>
        <w:rPr>
          <w:sz w:val="24"/>
          <w:szCs w:val="24"/>
        </w:rPr>
      </w:pPr>
    </w:p>
    <w:p w14:paraId="717330B0" w14:textId="77777777" w:rsidR="00841BE0" w:rsidRPr="00841BE0" w:rsidRDefault="00841BE0" w:rsidP="00F1283C">
      <w:pPr>
        <w:ind w:left="851"/>
        <w:rPr>
          <w:sz w:val="24"/>
          <w:szCs w:val="24"/>
        </w:rPr>
      </w:pPr>
      <w:r w:rsidRPr="00841BE0">
        <w:rPr>
          <w:sz w:val="24"/>
          <w:szCs w:val="24"/>
        </w:rPr>
        <w:t xml:space="preserve">Ved eksponeringer, der i væsentlig grad oversteg eksponeringen hos mennesker efter terapeutiske doser, havde </w:t>
      </w:r>
      <w:proofErr w:type="spellStart"/>
      <w:r w:rsidRPr="00841BE0">
        <w:rPr>
          <w:sz w:val="24"/>
          <w:szCs w:val="24"/>
        </w:rPr>
        <w:t>empagliflozin</w:t>
      </w:r>
      <w:proofErr w:type="spellEnd"/>
      <w:r w:rsidRPr="00841BE0">
        <w:rPr>
          <w:sz w:val="24"/>
          <w:szCs w:val="24"/>
        </w:rPr>
        <w:t xml:space="preserve"> ingen utilsigtede virkninger på fertilitet eller tidlig fosterudvikling. </w:t>
      </w:r>
      <w:proofErr w:type="spellStart"/>
      <w:r w:rsidRPr="00841BE0">
        <w:rPr>
          <w:sz w:val="24"/>
          <w:szCs w:val="24"/>
        </w:rPr>
        <w:t>Empagliflozin</w:t>
      </w:r>
      <w:proofErr w:type="spellEnd"/>
      <w:r w:rsidRPr="00841BE0">
        <w:rPr>
          <w:sz w:val="24"/>
          <w:szCs w:val="24"/>
        </w:rPr>
        <w:t xml:space="preserve"> givet under </w:t>
      </w:r>
      <w:proofErr w:type="spellStart"/>
      <w:r w:rsidRPr="00841BE0">
        <w:rPr>
          <w:sz w:val="24"/>
          <w:szCs w:val="24"/>
        </w:rPr>
        <w:t>organogenesen</w:t>
      </w:r>
      <w:proofErr w:type="spellEnd"/>
      <w:r w:rsidRPr="00841BE0">
        <w:rPr>
          <w:sz w:val="24"/>
          <w:szCs w:val="24"/>
        </w:rPr>
        <w:t xml:space="preserve"> var ikke </w:t>
      </w:r>
      <w:proofErr w:type="spellStart"/>
      <w:r w:rsidRPr="00841BE0">
        <w:rPr>
          <w:sz w:val="24"/>
          <w:szCs w:val="24"/>
        </w:rPr>
        <w:t>teratogent</w:t>
      </w:r>
      <w:proofErr w:type="spellEnd"/>
      <w:r w:rsidRPr="00841BE0">
        <w:rPr>
          <w:sz w:val="24"/>
          <w:szCs w:val="24"/>
        </w:rPr>
        <w:t xml:space="preserve">. Kun ved </w:t>
      </w:r>
      <w:proofErr w:type="spellStart"/>
      <w:r w:rsidRPr="00841BE0">
        <w:rPr>
          <w:sz w:val="24"/>
          <w:szCs w:val="24"/>
        </w:rPr>
        <w:t>maternelt</w:t>
      </w:r>
      <w:proofErr w:type="spellEnd"/>
      <w:r w:rsidRPr="00841BE0">
        <w:rPr>
          <w:sz w:val="24"/>
          <w:szCs w:val="24"/>
        </w:rPr>
        <w:t xml:space="preserve"> toksiske doser forårsagede </w:t>
      </w:r>
      <w:proofErr w:type="spellStart"/>
      <w:r w:rsidRPr="00841BE0">
        <w:rPr>
          <w:sz w:val="24"/>
          <w:szCs w:val="24"/>
        </w:rPr>
        <w:t>empagliflozin</w:t>
      </w:r>
      <w:proofErr w:type="spellEnd"/>
      <w:r w:rsidRPr="00841BE0">
        <w:rPr>
          <w:sz w:val="24"/>
          <w:szCs w:val="24"/>
        </w:rPr>
        <w:t xml:space="preserve"> bøjede ekstremitetsknogler hos rotter og hyppigere </w:t>
      </w:r>
      <w:proofErr w:type="spellStart"/>
      <w:r w:rsidRPr="00841BE0">
        <w:rPr>
          <w:sz w:val="24"/>
          <w:szCs w:val="24"/>
        </w:rPr>
        <w:t>embryoføtalt</w:t>
      </w:r>
      <w:proofErr w:type="spellEnd"/>
      <w:r w:rsidRPr="00841BE0">
        <w:rPr>
          <w:sz w:val="24"/>
          <w:szCs w:val="24"/>
        </w:rPr>
        <w:t xml:space="preserve"> tab hos kaniner.</w:t>
      </w:r>
    </w:p>
    <w:p w14:paraId="6B1FBB9B" w14:textId="77777777" w:rsidR="00841BE0" w:rsidRPr="00841BE0" w:rsidRDefault="00841BE0" w:rsidP="00F1283C">
      <w:pPr>
        <w:ind w:left="851"/>
        <w:rPr>
          <w:sz w:val="24"/>
          <w:szCs w:val="24"/>
        </w:rPr>
      </w:pPr>
    </w:p>
    <w:p w14:paraId="3B6D2A43" w14:textId="77777777" w:rsidR="00841BE0" w:rsidRPr="00841BE0" w:rsidRDefault="00841BE0" w:rsidP="00F1283C">
      <w:pPr>
        <w:ind w:left="851"/>
        <w:rPr>
          <w:sz w:val="24"/>
          <w:szCs w:val="24"/>
        </w:rPr>
      </w:pPr>
      <w:r w:rsidRPr="00841BE0">
        <w:rPr>
          <w:sz w:val="24"/>
          <w:szCs w:val="24"/>
        </w:rPr>
        <w:t>I præ</w:t>
      </w:r>
      <w:r w:rsidRPr="00841BE0">
        <w:rPr>
          <w:sz w:val="24"/>
          <w:szCs w:val="24"/>
        </w:rPr>
        <w:noBreakHyphen/>
        <w:t xml:space="preserve"> og </w:t>
      </w:r>
      <w:proofErr w:type="spellStart"/>
      <w:r w:rsidRPr="00841BE0">
        <w:rPr>
          <w:sz w:val="24"/>
          <w:szCs w:val="24"/>
        </w:rPr>
        <w:t>postnatale</w:t>
      </w:r>
      <w:proofErr w:type="spellEnd"/>
      <w:r w:rsidRPr="00841BE0">
        <w:rPr>
          <w:sz w:val="24"/>
          <w:szCs w:val="24"/>
        </w:rPr>
        <w:t xml:space="preserve"> toksicitetsstudier hos rotter blev der observeret en nedsat vægtøgning hos afkommet ved </w:t>
      </w:r>
      <w:proofErr w:type="spellStart"/>
      <w:r w:rsidRPr="00841BE0">
        <w:rPr>
          <w:sz w:val="24"/>
          <w:szCs w:val="24"/>
        </w:rPr>
        <w:t>maternelle</w:t>
      </w:r>
      <w:proofErr w:type="spellEnd"/>
      <w:r w:rsidRPr="00841BE0">
        <w:rPr>
          <w:sz w:val="24"/>
          <w:szCs w:val="24"/>
        </w:rPr>
        <w:t xml:space="preserve"> eksponeringer på ca. 4 gange den maksimale kliniske eksponering for </w:t>
      </w:r>
      <w:proofErr w:type="spellStart"/>
      <w:r w:rsidRPr="00841BE0">
        <w:rPr>
          <w:sz w:val="24"/>
          <w:szCs w:val="24"/>
        </w:rPr>
        <w:t>empagliflozin</w:t>
      </w:r>
      <w:proofErr w:type="spellEnd"/>
      <w:r w:rsidRPr="00841BE0">
        <w:rPr>
          <w:sz w:val="24"/>
          <w:szCs w:val="24"/>
        </w:rPr>
        <w:t xml:space="preserve">. En sådan virkning blev ikke observeret ved en systemisk eksponering, der svarede til den maksimale kliniske eksponering for </w:t>
      </w:r>
      <w:proofErr w:type="spellStart"/>
      <w:r w:rsidRPr="00841BE0">
        <w:rPr>
          <w:sz w:val="24"/>
          <w:szCs w:val="24"/>
        </w:rPr>
        <w:t>empagliflozin</w:t>
      </w:r>
      <w:proofErr w:type="spellEnd"/>
      <w:r w:rsidRPr="00841BE0">
        <w:rPr>
          <w:sz w:val="24"/>
          <w:szCs w:val="24"/>
        </w:rPr>
        <w:t>. Det vides ikke, hvilken relevans dette fund har for mennesker.</w:t>
      </w:r>
    </w:p>
    <w:p w14:paraId="65FB170B" w14:textId="77777777" w:rsidR="00841BE0" w:rsidRPr="00841BE0" w:rsidRDefault="00841BE0" w:rsidP="00F1283C">
      <w:pPr>
        <w:ind w:left="851"/>
        <w:rPr>
          <w:sz w:val="24"/>
          <w:szCs w:val="24"/>
        </w:rPr>
      </w:pPr>
    </w:p>
    <w:p w14:paraId="6CAFDE81" w14:textId="77777777" w:rsidR="00841BE0" w:rsidRPr="00841BE0" w:rsidRDefault="00841BE0" w:rsidP="00F1283C">
      <w:pPr>
        <w:ind w:left="851"/>
        <w:rPr>
          <w:sz w:val="24"/>
          <w:szCs w:val="24"/>
        </w:rPr>
      </w:pPr>
      <w:r w:rsidRPr="00841BE0">
        <w:rPr>
          <w:sz w:val="24"/>
          <w:szCs w:val="24"/>
        </w:rPr>
        <w:t xml:space="preserve">I et toksicitetsstudie hos unge rotter, hvor </w:t>
      </w:r>
      <w:proofErr w:type="spellStart"/>
      <w:r w:rsidRPr="00841BE0">
        <w:rPr>
          <w:sz w:val="24"/>
          <w:szCs w:val="24"/>
        </w:rPr>
        <w:t>empagliflozin</w:t>
      </w:r>
      <w:proofErr w:type="spellEnd"/>
      <w:r w:rsidRPr="00841BE0">
        <w:rPr>
          <w:sz w:val="24"/>
          <w:szCs w:val="24"/>
        </w:rPr>
        <w:t xml:space="preserve"> blev administreret fra dag 21 til dag 90 </w:t>
      </w:r>
      <w:proofErr w:type="spellStart"/>
      <w:r w:rsidRPr="00841BE0">
        <w:rPr>
          <w:sz w:val="24"/>
          <w:szCs w:val="24"/>
        </w:rPr>
        <w:t>postnatalt</w:t>
      </w:r>
      <w:proofErr w:type="spellEnd"/>
      <w:r w:rsidRPr="00841BE0">
        <w:rPr>
          <w:sz w:val="24"/>
          <w:szCs w:val="24"/>
        </w:rPr>
        <w:t xml:space="preserve">, sås der kun minimal til let dilatation af </w:t>
      </w:r>
      <w:proofErr w:type="spellStart"/>
      <w:r w:rsidRPr="00841BE0">
        <w:rPr>
          <w:sz w:val="24"/>
          <w:szCs w:val="24"/>
        </w:rPr>
        <w:t>nyretubuli</w:t>
      </w:r>
      <w:proofErr w:type="spellEnd"/>
      <w:r w:rsidRPr="00841BE0">
        <w:rPr>
          <w:sz w:val="24"/>
          <w:szCs w:val="24"/>
        </w:rPr>
        <w:t xml:space="preserve"> og </w:t>
      </w:r>
      <w:proofErr w:type="spellStart"/>
      <w:r w:rsidRPr="00841BE0">
        <w:rPr>
          <w:sz w:val="24"/>
          <w:szCs w:val="24"/>
        </w:rPr>
        <w:t>nyrepelvis</w:t>
      </w:r>
      <w:proofErr w:type="spellEnd"/>
      <w:r w:rsidRPr="00841BE0">
        <w:rPr>
          <w:sz w:val="24"/>
          <w:szCs w:val="24"/>
        </w:rPr>
        <w:t xml:space="preserve"> ved en dosis på 100 mg/kg/dag, hvilket svarer til ca. 11 gange den maksimale kliniske dosis på 25 mg. Disse fund var ikke til stede efter en behandlingsfri restitutionsperiode på 13 uger.</w:t>
      </w:r>
    </w:p>
    <w:p w14:paraId="31F7EF14" w14:textId="77777777" w:rsidR="00841BE0" w:rsidRPr="00841BE0" w:rsidRDefault="00841BE0" w:rsidP="00F1283C">
      <w:pPr>
        <w:ind w:left="851"/>
        <w:rPr>
          <w:sz w:val="24"/>
          <w:szCs w:val="24"/>
        </w:rPr>
      </w:pPr>
    </w:p>
    <w:p w14:paraId="0F9BA19E" w14:textId="77777777" w:rsidR="00841BE0" w:rsidRPr="00841BE0" w:rsidRDefault="00841BE0" w:rsidP="00F1283C">
      <w:pPr>
        <w:ind w:left="851"/>
        <w:rPr>
          <w:sz w:val="24"/>
          <w:szCs w:val="24"/>
          <w:u w:val="single"/>
        </w:rPr>
      </w:pPr>
      <w:proofErr w:type="spellStart"/>
      <w:r w:rsidRPr="00841BE0">
        <w:rPr>
          <w:sz w:val="24"/>
          <w:szCs w:val="24"/>
          <w:u w:val="single"/>
        </w:rPr>
        <w:t>Metformin</w:t>
      </w:r>
      <w:proofErr w:type="spellEnd"/>
    </w:p>
    <w:p w14:paraId="6093EB96" w14:textId="77777777" w:rsidR="00841BE0" w:rsidRPr="00841BE0" w:rsidRDefault="00841BE0" w:rsidP="00F1283C">
      <w:pPr>
        <w:ind w:left="851"/>
        <w:rPr>
          <w:sz w:val="24"/>
          <w:szCs w:val="24"/>
        </w:rPr>
      </w:pPr>
    </w:p>
    <w:p w14:paraId="25C1B462" w14:textId="77777777" w:rsidR="00841BE0" w:rsidRPr="00841BE0" w:rsidRDefault="00841BE0" w:rsidP="00F1283C">
      <w:pPr>
        <w:ind w:left="851"/>
        <w:rPr>
          <w:sz w:val="24"/>
          <w:szCs w:val="24"/>
        </w:rPr>
      </w:pPr>
      <w:r w:rsidRPr="00841BE0">
        <w:rPr>
          <w:sz w:val="24"/>
          <w:szCs w:val="24"/>
        </w:rPr>
        <w:t xml:space="preserve">Non-kliniske data for </w:t>
      </w:r>
      <w:proofErr w:type="spellStart"/>
      <w:r w:rsidRPr="00841BE0">
        <w:rPr>
          <w:sz w:val="24"/>
          <w:szCs w:val="24"/>
        </w:rPr>
        <w:t>metformin</w:t>
      </w:r>
      <w:proofErr w:type="spellEnd"/>
      <w:r w:rsidRPr="00841BE0">
        <w:rPr>
          <w:sz w:val="24"/>
          <w:szCs w:val="24"/>
        </w:rPr>
        <w:t xml:space="preserve"> viser ingen speciel risiko for mennesker vurderet ud fra konventionelle studier af sikkerhedsfarmakologi, toksicitet efter gentagne doser, genotoksicitet, </w:t>
      </w:r>
      <w:proofErr w:type="spellStart"/>
      <w:r w:rsidRPr="00841BE0">
        <w:rPr>
          <w:sz w:val="24"/>
          <w:szCs w:val="24"/>
        </w:rPr>
        <w:t>karcinogent</w:t>
      </w:r>
      <w:proofErr w:type="spellEnd"/>
      <w:r w:rsidRPr="00841BE0">
        <w:rPr>
          <w:sz w:val="24"/>
          <w:szCs w:val="24"/>
        </w:rPr>
        <w:t xml:space="preserve"> potentiale samt reproduktionstoksicitet. Ved doser på 500 mg/kg/dag, der svarer til 7 gange den maksimalt anbefalede dosis </w:t>
      </w:r>
      <w:proofErr w:type="spellStart"/>
      <w:r w:rsidRPr="00841BE0">
        <w:rPr>
          <w:sz w:val="24"/>
          <w:szCs w:val="24"/>
        </w:rPr>
        <w:t>metformin</w:t>
      </w:r>
      <w:proofErr w:type="spellEnd"/>
      <w:r w:rsidRPr="00841BE0">
        <w:rPr>
          <w:sz w:val="24"/>
          <w:szCs w:val="24"/>
        </w:rPr>
        <w:t xml:space="preserve"> til mennesker (MRHD), blev der observeret </w:t>
      </w:r>
      <w:proofErr w:type="spellStart"/>
      <w:r w:rsidRPr="00841BE0">
        <w:rPr>
          <w:sz w:val="24"/>
          <w:szCs w:val="24"/>
        </w:rPr>
        <w:t>teratogenicitet</w:t>
      </w:r>
      <w:proofErr w:type="spellEnd"/>
      <w:r w:rsidRPr="00841BE0">
        <w:rPr>
          <w:sz w:val="24"/>
          <w:szCs w:val="24"/>
        </w:rPr>
        <w:t xml:space="preserve"> af </w:t>
      </w:r>
      <w:proofErr w:type="spellStart"/>
      <w:r w:rsidRPr="00841BE0">
        <w:rPr>
          <w:sz w:val="24"/>
          <w:szCs w:val="24"/>
        </w:rPr>
        <w:t>metformin</w:t>
      </w:r>
      <w:proofErr w:type="spellEnd"/>
      <w:r w:rsidRPr="00841BE0">
        <w:rPr>
          <w:sz w:val="24"/>
          <w:szCs w:val="24"/>
        </w:rPr>
        <w:t xml:space="preserve"> hos </w:t>
      </w:r>
      <w:proofErr w:type="spellStart"/>
      <w:r w:rsidRPr="00841BE0">
        <w:rPr>
          <w:sz w:val="24"/>
          <w:szCs w:val="24"/>
        </w:rPr>
        <w:t>Wistar</w:t>
      </w:r>
      <w:proofErr w:type="spellEnd"/>
      <w:r w:rsidRPr="00841BE0">
        <w:rPr>
          <w:sz w:val="24"/>
          <w:szCs w:val="24"/>
        </w:rPr>
        <w:t xml:space="preserve"> Hannover-rotter i form af et øget antal skeletmisdannelser.</w:t>
      </w:r>
    </w:p>
    <w:p w14:paraId="37289B4B" w14:textId="77777777" w:rsidR="009260DE" w:rsidRPr="003D3B2F" w:rsidRDefault="009260DE" w:rsidP="009260DE">
      <w:pPr>
        <w:tabs>
          <w:tab w:val="left" w:pos="851"/>
        </w:tabs>
        <w:ind w:left="851"/>
        <w:rPr>
          <w:sz w:val="24"/>
          <w:szCs w:val="24"/>
        </w:rPr>
      </w:pPr>
    </w:p>
    <w:p w14:paraId="2BDA5EE5" w14:textId="77777777" w:rsidR="009260DE" w:rsidRPr="003D3B2F" w:rsidRDefault="009260DE" w:rsidP="009260DE">
      <w:pPr>
        <w:tabs>
          <w:tab w:val="left" w:pos="851"/>
        </w:tabs>
        <w:ind w:left="851"/>
        <w:rPr>
          <w:sz w:val="24"/>
          <w:szCs w:val="24"/>
        </w:rPr>
      </w:pPr>
    </w:p>
    <w:p w14:paraId="73773814" w14:textId="77777777" w:rsidR="009260DE" w:rsidRPr="003D3B2F" w:rsidRDefault="009260DE" w:rsidP="009260DE">
      <w:pPr>
        <w:tabs>
          <w:tab w:val="left" w:pos="851"/>
        </w:tabs>
        <w:ind w:left="851" w:hanging="851"/>
        <w:rPr>
          <w:b/>
          <w:sz w:val="24"/>
          <w:szCs w:val="24"/>
        </w:rPr>
      </w:pPr>
      <w:r w:rsidRPr="003D3B2F">
        <w:rPr>
          <w:b/>
          <w:sz w:val="24"/>
          <w:szCs w:val="24"/>
        </w:rPr>
        <w:t>6.</w:t>
      </w:r>
      <w:r w:rsidRPr="003D3B2F">
        <w:rPr>
          <w:b/>
          <w:sz w:val="24"/>
          <w:szCs w:val="24"/>
        </w:rPr>
        <w:tab/>
        <w:t>FARMACEUTISKE OPLYSNINGER</w:t>
      </w:r>
    </w:p>
    <w:p w14:paraId="3FAF3CA5" w14:textId="77777777" w:rsidR="009260DE" w:rsidRPr="003D3B2F" w:rsidRDefault="009260DE" w:rsidP="009260DE">
      <w:pPr>
        <w:tabs>
          <w:tab w:val="left" w:pos="851"/>
        </w:tabs>
        <w:ind w:left="851"/>
        <w:rPr>
          <w:sz w:val="24"/>
          <w:szCs w:val="24"/>
        </w:rPr>
      </w:pPr>
    </w:p>
    <w:p w14:paraId="40B656A4" w14:textId="77777777" w:rsidR="009260DE" w:rsidRPr="003D3B2F" w:rsidRDefault="009260DE" w:rsidP="009260DE">
      <w:pPr>
        <w:tabs>
          <w:tab w:val="left" w:pos="851"/>
        </w:tabs>
        <w:ind w:left="851" w:hanging="851"/>
        <w:rPr>
          <w:b/>
          <w:sz w:val="24"/>
          <w:szCs w:val="24"/>
        </w:rPr>
      </w:pPr>
      <w:r w:rsidRPr="003D3B2F">
        <w:rPr>
          <w:b/>
          <w:sz w:val="24"/>
          <w:szCs w:val="24"/>
        </w:rPr>
        <w:t>6.1</w:t>
      </w:r>
      <w:r w:rsidRPr="003D3B2F">
        <w:rPr>
          <w:b/>
          <w:sz w:val="24"/>
          <w:szCs w:val="24"/>
        </w:rPr>
        <w:tab/>
        <w:t>Hjælpestoffer</w:t>
      </w:r>
    </w:p>
    <w:p w14:paraId="2D6622F7" w14:textId="77777777" w:rsidR="008137AF" w:rsidRDefault="008137AF" w:rsidP="00F1283C">
      <w:pPr>
        <w:ind w:left="851"/>
        <w:rPr>
          <w:sz w:val="24"/>
          <w:szCs w:val="24"/>
          <w:u w:val="single"/>
        </w:rPr>
      </w:pPr>
    </w:p>
    <w:p w14:paraId="01F12DAD" w14:textId="67FB43D5" w:rsidR="00841BE0" w:rsidRPr="00841BE0" w:rsidRDefault="00841BE0" w:rsidP="00F1283C">
      <w:pPr>
        <w:ind w:left="851"/>
        <w:rPr>
          <w:sz w:val="24"/>
          <w:szCs w:val="24"/>
          <w:u w:val="single"/>
        </w:rPr>
      </w:pPr>
      <w:r w:rsidRPr="00841BE0">
        <w:rPr>
          <w:sz w:val="24"/>
          <w:szCs w:val="24"/>
          <w:u w:val="single"/>
        </w:rPr>
        <w:t>Tabletkerne</w:t>
      </w:r>
    </w:p>
    <w:p w14:paraId="1C71E52C" w14:textId="77777777" w:rsidR="00841BE0" w:rsidRPr="00841BE0" w:rsidRDefault="00841BE0" w:rsidP="00F1283C">
      <w:pPr>
        <w:ind w:left="851"/>
        <w:rPr>
          <w:sz w:val="24"/>
          <w:szCs w:val="24"/>
        </w:rPr>
      </w:pPr>
      <w:proofErr w:type="spellStart"/>
      <w:r w:rsidRPr="00841BE0">
        <w:rPr>
          <w:sz w:val="24"/>
          <w:szCs w:val="24"/>
        </w:rPr>
        <w:t>Hydroxypropylcellulose</w:t>
      </w:r>
      <w:proofErr w:type="spellEnd"/>
    </w:p>
    <w:p w14:paraId="5871799D" w14:textId="77777777" w:rsidR="00841BE0" w:rsidRPr="00841BE0" w:rsidRDefault="00841BE0" w:rsidP="00F1283C">
      <w:pPr>
        <w:ind w:left="851"/>
        <w:rPr>
          <w:sz w:val="24"/>
          <w:szCs w:val="24"/>
        </w:rPr>
      </w:pPr>
      <w:proofErr w:type="spellStart"/>
      <w:r w:rsidRPr="00841BE0">
        <w:rPr>
          <w:sz w:val="24"/>
          <w:szCs w:val="24"/>
        </w:rPr>
        <w:t>Hydroxypropylcellulose</w:t>
      </w:r>
      <w:proofErr w:type="spellEnd"/>
      <w:r w:rsidRPr="00841BE0">
        <w:rPr>
          <w:sz w:val="24"/>
          <w:szCs w:val="24"/>
        </w:rPr>
        <w:t>, lavsubstitueret</w:t>
      </w:r>
    </w:p>
    <w:p w14:paraId="14536876" w14:textId="77777777" w:rsidR="00841BE0" w:rsidRPr="00841BE0" w:rsidRDefault="00841BE0" w:rsidP="00F1283C">
      <w:pPr>
        <w:ind w:left="851"/>
        <w:rPr>
          <w:sz w:val="24"/>
          <w:szCs w:val="24"/>
        </w:rPr>
      </w:pPr>
      <w:proofErr w:type="spellStart"/>
      <w:r w:rsidRPr="00841BE0">
        <w:rPr>
          <w:sz w:val="24"/>
          <w:szCs w:val="24"/>
        </w:rPr>
        <w:t>Magnesiumstearat</w:t>
      </w:r>
      <w:proofErr w:type="spellEnd"/>
    </w:p>
    <w:p w14:paraId="5EDB23F9" w14:textId="77777777" w:rsidR="00841BE0" w:rsidRPr="00841BE0" w:rsidRDefault="00841BE0" w:rsidP="00F1283C">
      <w:pPr>
        <w:ind w:left="851"/>
        <w:rPr>
          <w:sz w:val="24"/>
          <w:szCs w:val="24"/>
        </w:rPr>
      </w:pPr>
    </w:p>
    <w:p w14:paraId="17FFEEA3" w14:textId="77777777" w:rsidR="00841BE0" w:rsidRPr="00841BE0" w:rsidRDefault="00841BE0" w:rsidP="00F1283C">
      <w:pPr>
        <w:ind w:left="851"/>
        <w:rPr>
          <w:sz w:val="24"/>
          <w:szCs w:val="24"/>
          <w:u w:val="single"/>
        </w:rPr>
      </w:pPr>
      <w:r w:rsidRPr="00841BE0">
        <w:rPr>
          <w:sz w:val="24"/>
          <w:szCs w:val="24"/>
          <w:u w:val="single"/>
        </w:rPr>
        <w:t>Filmovertræk</w:t>
      </w:r>
    </w:p>
    <w:p w14:paraId="50729B43" w14:textId="77777777" w:rsidR="00841BE0" w:rsidRPr="00841BE0" w:rsidRDefault="00841BE0" w:rsidP="00F1283C">
      <w:pPr>
        <w:ind w:left="851"/>
        <w:rPr>
          <w:sz w:val="24"/>
          <w:szCs w:val="24"/>
        </w:rPr>
      </w:pPr>
      <w:r w:rsidRPr="00841BE0">
        <w:rPr>
          <w:sz w:val="24"/>
          <w:szCs w:val="24"/>
        </w:rPr>
        <w:t>Polyvinylalkohol</w:t>
      </w:r>
    </w:p>
    <w:p w14:paraId="57BB2E15" w14:textId="77777777" w:rsidR="00841BE0" w:rsidRPr="00841BE0" w:rsidRDefault="00841BE0" w:rsidP="00F1283C">
      <w:pPr>
        <w:ind w:left="851"/>
        <w:rPr>
          <w:sz w:val="24"/>
          <w:szCs w:val="24"/>
        </w:rPr>
      </w:pPr>
      <w:proofErr w:type="spellStart"/>
      <w:r w:rsidRPr="00841BE0">
        <w:rPr>
          <w:sz w:val="24"/>
          <w:szCs w:val="24"/>
        </w:rPr>
        <w:t>Calciumcarbonat</w:t>
      </w:r>
      <w:proofErr w:type="spellEnd"/>
    </w:p>
    <w:p w14:paraId="42E3C62D" w14:textId="77777777" w:rsidR="00841BE0" w:rsidRPr="00841BE0" w:rsidRDefault="00841BE0" w:rsidP="00F1283C">
      <w:pPr>
        <w:ind w:left="851"/>
        <w:rPr>
          <w:sz w:val="24"/>
          <w:szCs w:val="24"/>
        </w:rPr>
      </w:pPr>
      <w:proofErr w:type="spellStart"/>
      <w:r w:rsidRPr="00841BE0">
        <w:rPr>
          <w:sz w:val="24"/>
          <w:szCs w:val="24"/>
        </w:rPr>
        <w:t>Macrogol</w:t>
      </w:r>
      <w:proofErr w:type="spellEnd"/>
    </w:p>
    <w:p w14:paraId="3736916D" w14:textId="77777777" w:rsidR="00841BE0" w:rsidRPr="00841BE0" w:rsidRDefault="00841BE0" w:rsidP="00F1283C">
      <w:pPr>
        <w:ind w:left="851"/>
        <w:rPr>
          <w:sz w:val="24"/>
          <w:szCs w:val="24"/>
        </w:rPr>
      </w:pPr>
      <w:proofErr w:type="spellStart"/>
      <w:r w:rsidRPr="00841BE0">
        <w:rPr>
          <w:sz w:val="24"/>
          <w:szCs w:val="24"/>
        </w:rPr>
        <w:t>Talcum</w:t>
      </w:r>
      <w:proofErr w:type="spellEnd"/>
    </w:p>
    <w:p w14:paraId="4375DDB6" w14:textId="77777777" w:rsidR="00841BE0" w:rsidRPr="00841BE0" w:rsidRDefault="00841BE0" w:rsidP="00F1283C">
      <w:pPr>
        <w:ind w:left="851"/>
        <w:rPr>
          <w:sz w:val="24"/>
          <w:szCs w:val="24"/>
        </w:rPr>
      </w:pPr>
      <w:r w:rsidRPr="00841BE0">
        <w:rPr>
          <w:sz w:val="24"/>
          <w:szCs w:val="24"/>
        </w:rPr>
        <w:t xml:space="preserve">Gul jernoxid (E 172) – </w:t>
      </w:r>
      <w:r w:rsidRPr="00841BE0">
        <w:rPr>
          <w:i/>
          <w:iCs/>
          <w:sz w:val="24"/>
          <w:szCs w:val="24"/>
        </w:rPr>
        <w:t>kun i 5 mg/850 mg og 5 mg/1.000 mg filmovertrukne tabletter</w:t>
      </w:r>
    </w:p>
    <w:p w14:paraId="1BC7642A" w14:textId="77777777" w:rsidR="00841BE0" w:rsidRPr="00841BE0" w:rsidRDefault="00841BE0" w:rsidP="00F1283C">
      <w:pPr>
        <w:ind w:left="851"/>
        <w:rPr>
          <w:sz w:val="24"/>
          <w:szCs w:val="24"/>
        </w:rPr>
      </w:pPr>
      <w:r w:rsidRPr="00841BE0">
        <w:rPr>
          <w:sz w:val="24"/>
          <w:szCs w:val="24"/>
        </w:rPr>
        <w:t xml:space="preserve">Rød jernoxid (E 172) – </w:t>
      </w:r>
      <w:r w:rsidRPr="00841BE0">
        <w:rPr>
          <w:i/>
          <w:iCs/>
          <w:sz w:val="24"/>
          <w:szCs w:val="24"/>
        </w:rPr>
        <w:t>kun i 12,5 mg/850 mg og 12,5 mg/1.000 mg filmovertrukne tabletter</w:t>
      </w:r>
    </w:p>
    <w:p w14:paraId="4B5A58F4" w14:textId="77777777" w:rsidR="00841BE0" w:rsidRPr="00841BE0" w:rsidRDefault="00841BE0" w:rsidP="00F1283C">
      <w:pPr>
        <w:ind w:left="851"/>
        <w:rPr>
          <w:sz w:val="24"/>
          <w:szCs w:val="24"/>
        </w:rPr>
      </w:pPr>
      <w:r w:rsidRPr="00841BE0">
        <w:rPr>
          <w:sz w:val="24"/>
          <w:szCs w:val="24"/>
        </w:rPr>
        <w:t xml:space="preserve">Sort jernoxid (E 172) – </w:t>
      </w:r>
      <w:r w:rsidRPr="00841BE0">
        <w:rPr>
          <w:i/>
          <w:iCs/>
          <w:sz w:val="24"/>
          <w:szCs w:val="24"/>
        </w:rPr>
        <w:t>kun i 12,5 mg/850 mg og 12,5 mg/1.000 mg filmovertrukne tabletter</w:t>
      </w:r>
    </w:p>
    <w:p w14:paraId="1A65F23F" w14:textId="77777777" w:rsidR="009260DE" w:rsidRPr="003D3B2F" w:rsidRDefault="009260DE" w:rsidP="009260DE">
      <w:pPr>
        <w:tabs>
          <w:tab w:val="left" w:pos="851"/>
        </w:tabs>
        <w:ind w:left="851"/>
        <w:rPr>
          <w:sz w:val="24"/>
          <w:szCs w:val="24"/>
        </w:rPr>
      </w:pPr>
    </w:p>
    <w:p w14:paraId="540B21C5" w14:textId="77777777" w:rsidR="009260DE" w:rsidRPr="003D3B2F" w:rsidRDefault="009260DE" w:rsidP="009260DE">
      <w:pPr>
        <w:tabs>
          <w:tab w:val="left" w:pos="851"/>
        </w:tabs>
        <w:ind w:left="851" w:hanging="851"/>
        <w:rPr>
          <w:b/>
          <w:sz w:val="24"/>
          <w:szCs w:val="24"/>
        </w:rPr>
      </w:pPr>
      <w:r w:rsidRPr="003D3B2F">
        <w:rPr>
          <w:b/>
          <w:sz w:val="24"/>
          <w:szCs w:val="24"/>
        </w:rPr>
        <w:t>6.2</w:t>
      </w:r>
      <w:r w:rsidRPr="003D3B2F">
        <w:rPr>
          <w:b/>
          <w:sz w:val="24"/>
          <w:szCs w:val="24"/>
        </w:rPr>
        <w:tab/>
        <w:t>Uforligeligheder</w:t>
      </w:r>
    </w:p>
    <w:p w14:paraId="6CB36C7C" w14:textId="77777777" w:rsidR="00841BE0" w:rsidRPr="00841BE0" w:rsidRDefault="00841BE0" w:rsidP="00F1283C">
      <w:pPr>
        <w:ind w:left="851"/>
        <w:rPr>
          <w:sz w:val="24"/>
          <w:szCs w:val="24"/>
        </w:rPr>
      </w:pPr>
      <w:r w:rsidRPr="00841BE0">
        <w:rPr>
          <w:sz w:val="24"/>
          <w:szCs w:val="24"/>
        </w:rPr>
        <w:t>Ikke relevant.</w:t>
      </w:r>
    </w:p>
    <w:p w14:paraId="15BD9E94" w14:textId="77777777" w:rsidR="009260DE" w:rsidRPr="003D3B2F" w:rsidRDefault="009260DE" w:rsidP="009260DE">
      <w:pPr>
        <w:tabs>
          <w:tab w:val="left" w:pos="851"/>
        </w:tabs>
        <w:ind w:left="851"/>
        <w:rPr>
          <w:sz w:val="24"/>
          <w:szCs w:val="24"/>
        </w:rPr>
      </w:pPr>
    </w:p>
    <w:p w14:paraId="26794FEF" w14:textId="77777777" w:rsidR="009260DE" w:rsidRPr="003D3B2F" w:rsidRDefault="009260DE" w:rsidP="009260DE">
      <w:pPr>
        <w:tabs>
          <w:tab w:val="left" w:pos="851"/>
        </w:tabs>
        <w:ind w:left="851" w:hanging="851"/>
        <w:rPr>
          <w:b/>
          <w:sz w:val="24"/>
          <w:szCs w:val="24"/>
        </w:rPr>
      </w:pPr>
      <w:r w:rsidRPr="003D3B2F">
        <w:rPr>
          <w:b/>
          <w:sz w:val="24"/>
          <w:szCs w:val="24"/>
        </w:rPr>
        <w:t>6.3</w:t>
      </w:r>
      <w:r w:rsidRPr="003D3B2F">
        <w:rPr>
          <w:b/>
          <w:sz w:val="24"/>
          <w:szCs w:val="24"/>
        </w:rPr>
        <w:tab/>
        <w:t>Opbevaringstid</w:t>
      </w:r>
    </w:p>
    <w:p w14:paraId="05B1B599" w14:textId="77777777" w:rsidR="00841BE0" w:rsidRPr="00841BE0" w:rsidRDefault="00841BE0" w:rsidP="00F1283C">
      <w:pPr>
        <w:ind w:left="851"/>
        <w:rPr>
          <w:sz w:val="24"/>
          <w:szCs w:val="24"/>
        </w:rPr>
      </w:pPr>
      <w:r w:rsidRPr="00841BE0">
        <w:rPr>
          <w:sz w:val="24"/>
          <w:szCs w:val="24"/>
        </w:rPr>
        <w:t>2 år</w:t>
      </w:r>
    </w:p>
    <w:p w14:paraId="69D03DDE" w14:textId="77777777" w:rsidR="009260DE" w:rsidRPr="003D3B2F" w:rsidRDefault="009260DE" w:rsidP="009260DE">
      <w:pPr>
        <w:tabs>
          <w:tab w:val="left" w:pos="851"/>
        </w:tabs>
        <w:ind w:left="851"/>
        <w:rPr>
          <w:sz w:val="24"/>
          <w:szCs w:val="24"/>
        </w:rPr>
      </w:pPr>
    </w:p>
    <w:p w14:paraId="74E26754" w14:textId="77777777" w:rsidR="009260DE" w:rsidRPr="003D3B2F" w:rsidRDefault="009260DE" w:rsidP="009260DE">
      <w:pPr>
        <w:tabs>
          <w:tab w:val="left" w:pos="851"/>
        </w:tabs>
        <w:ind w:left="851" w:hanging="851"/>
        <w:rPr>
          <w:b/>
          <w:sz w:val="24"/>
          <w:szCs w:val="24"/>
        </w:rPr>
      </w:pPr>
      <w:r w:rsidRPr="003D3B2F">
        <w:rPr>
          <w:b/>
          <w:sz w:val="24"/>
          <w:szCs w:val="24"/>
        </w:rPr>
        <w:t>6.4</w:t>
      </w:r>
      <w:r w:rsidRPr="003D3B2F">
        <w:rPr>
          <w:b/>
          <w:sz w:val="24"/>
          <w:szCs w:val="24"/>
        </w:rPr>
        <w:tab/>
        <w:t>Særlige opbevaringsforhold</w:t>
      </w:r>
    </w:p>
    <w:p w14:paraId="154A1F87" w14:textId="77777777" w:rsidR="00841BE0" w:rsidRPr="00841BE0" w:rsidRDefault="00841BE0" w:rsidP="00F1283C">
      <w:pPr>
        <w:ind w:left="851"/>
        <w:rPr>
          <w:sz w:val="24"/>
          <w:szCs w:val="24"/>
        </w:rPr>
      </w:pPr>
      <w:r w:rsidRPr="00841BE0">
        <w:rPr>
          <w:sz w:val="24"/>
          <w:szCs w:val="24"/>
        </w:rPr>
        <w:t>Dette lægemiddel kræver ingen særlige forholdsregler vedrørende opbevaringen.</w:t>
      </w:r>
    </w:p>
    <w:p w14:paraId="046EC2A1" w14:textId="77777777" w:rsidR="009260DE" w:rsidRPr="003D3B2F" w:rsidRDefault="009260DE" w:rsidP="009260DE">
      <w:pPr>
        <w:tabs>
          <w:tab w:val="left" w:pos="851"/>
        </w:tabs>
        <w:ind w:left="851"/>
        <w:rPr>
          <w:sz w:val="24"/>
          <w:szCs w:val="24"/>
        </w:rPr>
      </w:pPr>
    </w:p>
    <w:p w14:paraId="282D4F17" w14:textId="77777777" w:rsidR="009260DE" w:rsidRPr="003D3B2F" w:rsidRDefault="009260DE" w:rsidP="009260DE">
      <w:pPr>
        <w:tabs>
          <w:tab w:val="left" w:pos="851"/>
        </w:tabs>
        <w:ind w:left="851" w:hanging="851"/>
        <w:rPr>
          <w:b/>
          <w:sz w:val="24"/>
          <w:szCs w:val="24"/>
        </w:rPr>
      </w:pPr>
      <w:r w:rsidRPr="003D3B2F">
        <w:rPr>
          <w:b/>
          <w:sz w:val="24"/>
          <w:szCs w:val="24"/>
        </w:rPr>
        <w:t>6.5</w:t>
      </w:r>
      <w:r w:rsidRPr="003D3B2F">
        <w:rPr>
          <w:b/>
          <w:sz w:val="24"/>
          <w:szCs w:val="24"/>
        </w:rPr>
        <w:tab/>
        <w:t>Emballagetype og pakningsstørrelser</w:t>
      </w:r>
    </w:p>
    <w:p w14:paraId="11314F4C" w14:textId="77777777" w:rsidR="00841BE0" w:rsidRPr="00841BE0" w:rsidRDefault="00841BE0" w:rsidP="00F1283C">
      <w:pPr>
        <w:ind w:left="851"/>
        <w:rPr>
          <w:sz w:val="24"/>
          <w:szCs w:val="24"/>
        </w:rPr>
      </w:pPr>
      <w:r w:rsidRPr="00841BE0">
        <w:rPr>
          <w:sz w:val="24"/>
          <w:szCs w:val="24"/>
        </w:rPr>
        <w:t>Blister (PVC/PVDCPVC hvid//</w:t>
      </w:r>
      <w:proofErr w:type="spellStart"/>
      <w:r w:rsidRPr="00841BE0">
        <w:rPr>
          <w:sz w:val="24"/>
          <w:szCs w:val="24"/>
        </w:rPr>
        <w:t>alu</w:t>
      </w:r>
      <w:proofErr w:type="spellEnd"/>
      <w:r w:rsidRPr="00841BE0">
        <w:rPr>
          <w:sz w:val="24"/>
          <w:szCs w:val="24"/>
        </w:rPr>
        <w:t xml:space="preserve"> med sol/måne-symboler): 14, 28, 56, 60, 196 og multipakning indeholdende 180 (3 pakker med 60) og 180 (2 pakker med 90) filmovertrukne tabletter, i en æske.</w:t>
      </w:r>
    </w:p>
    <w:p w14:paraId="2BBBCC2F" w14:textId="77777777" w:rsidR="00841BE0" w:rsidRPr="00841BE0" w:rsidRDefault="00841BE0" w:rsidP="00F1283C">
      <w:pPr>
        <w:ind w:left="851"/>
        <w:rPr>
          <w:sz w:val="24"/>
          <w:szCs w:val="24"/>
        </w:rPr>
      </w:pPr>
    </w:p>
    <w:p w14:paraId="5E94FC0B" w14:textId="77777777" w:rsidR="00841BE0" w:rsidRPr="00841BE0" w:rsidRDefault="00841BE0" w:rsidP="00F1283C">
      <w:pPr>
        <w:ind w:left="851"/>
        <w:rPr>
          <w:sz w:val="24"/>
          <w:szCs w:val="24"/>
        </w:rPr>
      </w:pPr>
      <w:r w:rsidRPr="00841BE0">
        <w:rPr>
          <w:sz w:val="24"/>
          <w:szCs w:val="24"/>
        </w:rPr>
        <w:t>Ikke alle pakningsstørrelser er nødvendigvis markedsført.</w:t>
      </w:r>
    </w:p>
    <w:p w14:paraId="485F532B" w14:textId="77777777" w:rsidR="009260DE" w:rsidRPr="003D3B2F" w:rsidRDefault="009260DE" w:rsidP="009260DE">
      <w:pPr>
        <w:tabs>
          <w:tab w:val="left" w:pos="851"/>
        </w:tabs>
        <w:ind w:left="851"/>
        <w:rPr>
          <w:sz w:val="24"/>
          <w:szCs w:val="24"/>
        </w:rPr>
      </w:pPr>
    </w:p>
    <w:p w14:paraId="0C066C78" w14:textId="77777777" w:rsidR="009260DE" w:rsidRPr="003D3B2F" w:rsidRDefault="009260DE" w:rsidP="009260DE">
      <w:pPr>
        <w:tabs>
          <w:tab w:val="left" w:pos="851"/>
        </w:tabs>
        <w:ind w:left="851" w:hanging="851"/>
        <w:rPr>
          <w:b/>
          <w:sz w:val="24"/>
          <w:szCs w:val="24"/>
        </w:rPr>
      </w:pPr>
      <w:r w:rsidRPr="003D3B2F">
        <w:rPr>
          <w:b/>
          <w:sz w:val="24"/>
          <w:szCs w:val="24"/>
        </w:rPr>
        <w:t>6.6</w:t>
      </w:r>
      <w:r w:rsidRPr="003D3B2F">
        <w:rPr>
          <w:b/>
          <w:sz w:val="24"/>
          <w:szCs w:val="24"/>
        </w:rPr>
        <w:tab/>
        <w:t xml:space="preserve">Regler for </w:t>
      </w:r>
      <w:r w:rsidR="00BD7931" w:rsidRPr="003D3B2F">
        <w:rPr>
          <w:b/>
          <w:sz w:val="24"/>
          <w:szCs w:val="24"/>
        </w:rPr>
        <w:t>bortskaffelse</w:t>
      </w:r>
      <w:r w:rsidRPr="003D3B2F">
        <w:rPr>
          <w:b/>
          <w:sz w:val="24"/>
          <w:szCs w:val="24"/>
        </w:rPr>
        <w:t xml:space="preserve"> og anden håndtering</w:t>
      </w:r>
    </w:p>
    <w:p w14:paraId="4BBD02F3" w14:textId="77777777" w:rsidR="00841BE0" w:rsidRPr="00841BE0" w:rsidRDefault="00841BE0" w:rsidP="00F1283C">
      <w:pPr>
        <w:ind w:left="851"/>
        <w:rPr>
          <w:sz w:val="24"/>
          <w:szCs w:val="24"/>
          <w:u w:val="single"/>
        </w:rPr>
      </w:pPr>
      <w:r w:rsidRPr="00841BE0">
        <w:rPr>
          <w:sz w:val="24"/>
          <w:szCs w:val="24"/>
        </w:rPr>
        <w:t>Ikke anvendt lægemiddel samt affald heraf skal bortskaffes i henhold til lokale retningslinjer.</w:t>
      </w:r>
    </w:p>
    <w:p w14:paraId="476E7245" w14:textId="77777777" w:rsidR="009260DE" w:rsidRPr="003D3B2F" w:rsidRDefault="009260DE" w:rsidP="000730CA">
      <w:pPr>
        <w:tabs>
          <w:tab w:val="left" w:pos="851"/>
        </w:tabs>
        <w:ind w:left="851"/>
        <w:rPr>
          <w:sz w:val="24"/>
          <w:szCs w:val="24"/>
        </w:rPr>
      </w:pPr>
    </w:p>
    <w:p w14:paraId="732297C1" w14:textId="77777777" w:rsidR="009260DE" w:rsidRPr="003D3B2F" w:rsidRDefault="009260DE" w:rsidP="009260DE">
      <w:pPr>
        <w:tabs>
          <w:tab w:val="left" w:pos="851"/>
        </w:tabs>
        <w:ind w:left="851" w:hanging="851"/>
        <w:rPr>
          <w:b/>
          <w:sz w:val="24"/>
          <w:szCs w:val="24"/>
        </w:rPr>
      </w:pPr>
      <w:r w:rsidRPr="003D3B2F">
        <w:rPr>
          <w:b/>
          <w:sz w:val="24"/>
          <w:szCs w:val="24"/>
        </w:rPr>
        <w:t>7.</w:t>
      </w:r>
      <w:r w:rsidRPr="003D3B2F">
        <w:rPr>
          <w:b/>
          <w:sz w:val="24"/>
          <w:szCs w:val="24"/>
        </w:rPr>
        <w:tab/>
        <w:t>INDEHAVER AF MARKEDSFØRINGSTILLADELSEN</w:t>
      </w:r>
    </w:p>
    <w:p w14:paraId="0C03F627" w14:textId="77777777" w:rsidR="00841BE0" w:rsidRPr="00841BE0" w:rsidRDefault="00841BE0" w:rsidP="00F1283C">
      <w:pPr>
        <w:ind w:left="851"/>
        <w:rPr>
          <w:sz w:val="24"/>
          <w:szCs w:val="24"/>
        </w:rPr>
      </w:pPr>
      <w:r w:rsidRPr="00841BE0">
        <w:rPr>
          <w:sz w:val="24"/>
          <w:szCs w:val="24"/>
        </w:rPr>
        <w:t xml:space="preserve">KRKA, d.d., Novo </w:t>
      </w:r>
      <w:proofErr w:type="spellStart"/>
      <w:r w:rsidRPr="00841BE0">
        <w:rPr>
          <w:sz w:val="24"/>
          <w:szCs w:val="24"/>
        </w:rPr>
        <w:t>mesto</w:t>
      </w:r>
      <w:proofErr w:type="spellEnd"/>
    </w:p>
    <w:p w14:paraId="0F06E334" w14:textId="77777777" w:rsidR="00841BE0" w:rsidRPr="00841BE0" w:rsidRDefault="00841BE0" w:rsidP="00F1283C">
      <w:pPr>
        <w:ind w:left="851"/>
        <w:rPr>
          <w:sz w:val="24"/>
          <w:szCs w:val="24"/>
        </w:rPr>
      </w:pPr>
      <w:proofErr w:type="spellStart"/>
      <w:r w:rsidRPr="00841BE0">
        <w:rPr>
          <w:sz w:val="24"/>
          <w:szCs w:val="24"/>
        </w:rPr>
        <w:t>Šmarješka</w:t>
      </w:r>
      <w:proofErr w:type="spellEnd"/>
      <w:r w:rsidRPr="00841BE0">
        <w:rPr>
          <w:sz w:val="24"/>
          <w:szCs w:val="24"/>
        </w:rPr>
        <w:t xml:space="preserve"> </w:t>
      </w:r>
      <w:proofErr w:type="spellStart"/>
      <w:r w:rsidRPr="00841BE0">
        <w:rPr>
          <w:sz w:val="24"/>
          <w:szCs w:val="24"/>
        </w:rPr>
        <w:t>cesta</w:t>
      </w:r>
      <w:proofErr w:type="spellEnd"/>
      <w:r w:rsidRPr="00841BE0">
        <w:rPr>
          <w:sz w:val="24"/>
          <w:szCs w:val="24"/>
        </w:rPr>
        <w:t xml:space="preserve"> 6</w:t>
      </w:r>
    </w:p>
    <w:p w14:paraId="1646FBBD" w14:textId="77777777" w:rsidR="00841BE0" w:rsidRPr="00841BE0" w:rsidRDefault="00841BE0" w:rsidP="00F1283C">
      <w:pPr>
        <w:ind w:left="851"/>
        <w:rPr>
          <w:sz w:val="24"/>
          <w:szCs w:val="24"/>
        </w:rPr>
      </w:pPr>
      <w:r w:rsidRPr="00841BE0">
        <w:rPr>
          <w:sz w:val="24"/>
          <w:szCs w:val="24"/>
        </w:rPr>
        <w:t xml:space="preserve">8501 Novo </w:t>
      </w:r>
      <w:proofErr w:type="spellStart"/>
      <w:r w:rsidRPr="00841BE0">
        <w:rPr>
          <w:sz w:val="24"/>
          <w:szCs w:val="24"/>
        </w:rPr>
        <w:t>mesto</w:t>
      </w:r>
      <w:proofErr w:type="spellEnd"/>
    </w:p>
    <w:p w14:paraId="3C343DD4" w14:textId="77777777" w:rsidR="00841BE0" w:rsidRPr="00841BE0" w:rsidRDefault="00841BE0" w:rsidP="00F1283C">
      <w:pPr>
        <w:ind w:left="851"/>
        <w:rPr>
          <w:sz w:val="24"/>
          <w:szCs w:val="24"/>
        </w:rPr>
      </w:pPr>
      <w:r w:rsidRPr="00841BE0">
        <w:rPr>
          <w:sz w:val="24"/>
          <w:szCs w:val="24"/>
        </w:rPr>
        <w:t>Slovenien</w:t>
      </w:r>
    </w:p>
    <w:p w14:paraId="4BE8159F" w14:textId="77777777" w:rsidR="009260DE" w:rsidRPr="003D3B2F" w:rsidRDefault="009260DE" w:rsidP="00F1283C">
      <w:pPr>
        <w:ind w:left="851"/>
        <w:rPr>
          <w:sz w:val="24"/>
          <w:szCs w:val="24"/>
        </w:rPr>
      </w:pPr>
    </w:p>
    <w:p w14:paraId="2192599E" w14:textId="77777777" w:rsidR="00641C65" w:rsidRPr="003D3B2F" w:rsidRDefault="00641C65" w:rsidP="00F1283C">
      <w:pPr>
        <w:ind w:left="851"/>
        <w:rPr>
          <w:sz w:val="24"/>
          <w:szCs w:val="24"/>
        </w:rPr>
      </w:pPr>
      <w:r w:rsidRPr="003D3B2F">
        <w:rPr>
          <w:b/>
          <w:sz w:val="24"/>
          <w:szCs w:val="24"/>
        </w:rPr>
        <w:t>Repræsentant</w:t>
      </w:r>
    </w:p>
    <w:p w14:paraId="3EB65885" w14:textId="77777777" w:rsidR="00841BE0" w:rsidRPr="00841BE0" w:rsidRDefault="00841BE0" w:rsidP="00F1283C">
      <w:pPr>
        <w:ind w:left="851"/>
        <w:rPr>
          <w:sz w:val="24"/>
          <w:szCs w:val="24"/>
          <w:lang w:val="sv-SE"/>
        </w:rPr>
      </w:pPr>
      <w:r w:rsidRPr="00841BE0">
        <w:rPr>
          <w:sz w:val="24"/>
          <w:szCs w:val="24"/>
          <w:lang w:val="sv-SE"/>
        </w:rPr>
        <w:t>KRKA Sverige AB</w:t>
      </w:r>
    </w:p>
    <w:p w14:paraId="746EC5D9" w14:textId="77777777" w:rsidR="00841BE0" w:rsidRPr="00841BE0" w:rsidRDefault="00841BE0" w:rsidP="00F1283C">
      <w:pPr>
        <w:ind w:left="851"/>
        <w:rPr>
          <w:sz w:val="24"/>
          <w:szCs w:val="24"/>
          <w:lang w:val="sv-SE"/>
        </w:rPr>
      </w:pPr>
      <w:r w:rsidRPr="00841BE0">
        <w:rPr>
          <w:sz w:val="24"/>
          <w:szCs w:val="24"/>
          <w:lang w:val="sv-SE"/>
        </w:rPr>
        <w:t>Götgatan 78, box 24</w:t>
      </w:r>
    </w:p>
    <w:p w14:paraId="58A90660" w14:textId="77777777" w:rsidR="00841BE0" w:rsidRPr="00841BE0" w:rsidRDefault="00841BE0" w:rsidP="00F1283C">
      <w:pPr>
        <w:ind w:left="851"/>
        <w:rPr>
          <w:sz w:val="24"/>
          <w:szCs w:val="24"/>
        </w:rPr>
      </w:pPr>
      <w:r w:rsidRPr="00841BE0">
        <w:rPr>
          <w:sz w:val="24"/>
          <w:szCs w:val="24"/>
        </w:rPr>
        <w:t>118 30 Stockholm</w:t>
      </w:r>
    </w:p>
    <w:p w14:paraId="6766641E" w14:textId="77777777" w:rsidR="00841BE0" w:rsidRPr="00841BE0" w:rsidRDefault="00841BE0" w:rsidP="00F1283C">
      <w:pPr>
        <w:ind w:left="851"/>
        <w:rPr>
          <w:sz w:val="24"/>
          <w:szCs w:val="24"/>
        </w:rPr>
      </w:pPr>
      <w:r w:rsidRPr="00841BE0">
        <w:rPr>
          <w:sz w:val="24"/>
          <w:szCs w:val="24"/>
        </w:rPr>
        <w:t>Sverige</w:t>
      </w:r>
    </w:p>
    <w:p w14:paraId="2F10C3B7" w14:textId="77777777" w:rsidR="00641C65" w:rsidRPr="003D3B2F" w:rsidRDefault="00641C65" w:rsidP="009260DE">
      <w:pPr>
        <w:tabs>
          <w:tab w:val="left" w:pos="851"/>
        </w:tabs>
        <w:ind w:left="851"/>
        <w:rPr>
          <w:sz w:val="24"/>
          <w:szCs w:val="24"/>
        </w:rPr>
      </w:pPr>
    </w:p>
    <w:p w14:paraId="3131226A" w14:textId="77777777" w:rsidR="009260DE" w:rsidRPr="003D3B2F" w:rsidRDefault="009260DE" w:rsidP="009260DE">
      <w:pPr>
        <w:tabs>
          <w:tab w:val="left" w:pos="851"/>
        </w:tabs>
        <w:ind w:left="851" w:hanging="851"/>
        <w:rPr>
          <w:b/>
          <w:sz w:val="24"/>
          <w:szCs w:val="24"/>
        </w:rPr>
      </w:pPr>
      <w:r w:rsidRPr="003D3B2F">
        <w:rPr>
          <w:b/>
          <w:sz w:val="24"/>
          <w:szCs w:val="24"/>
        </w:rPr>
        <w:t>8.</w:t>
      </w:r>
      <w:r w:rsidRPr="003D3B2F">
        <w:rPr>
          <w:b/>
          <w:sz w:val="24"/>
          <w:szCs w:val="24"/>
        </w:rPr>
        <w:tab/>
        <w:t>MARKEDSFØRINGSTILLADELSESNUMMER (</w:t>
      </w:r>
      <w:r w:rsidR="00BF6243" w:rsidRPr="003D3B2F">
        <w:rPr>
          <w:b/>
          <w:sz w:val="24"/>
          <w:szCs w:val="24"/>
        </w:rPr>
        <w:t>-</w:t>
      </w:r>
      <w:r w:rsidRPr="003D3B2F">
        <w:rPr>
          <w:b/>
          <w:sz w:val="24"/>
          <w:szCs w:val="24"/>
        </w:rPr>
        <w:t>NUMRE)</w:t>
      </w:r>
    </w:p>
    <w:p w14:paraId="543C8BC7" w14:textId="4B65F1FD" w:rsidR="00841BE0" w:rsidRPr="00841BE0" w:rsidRDefault="00841BE0" w:rsidP="00F1283C">
      <w:pPr>
        <w:tabs>
          <w:tab w:val="left" w:pos="851"/>
          <w:tab w:val="left" w:pos="2977"/>
        </w:tabs>
        <w:ind w:left="851"/>
        <w:jc w:val="both"/>
        <w:rPr>
          <w:sz w:val="24"/>
          <w:szCs w:val="24"/>
        </w:rPr>
      </w:pPr>
      <w:r w:rsidRPr="00841BE0">
        <w:rPr>
          <w:sz w:val="24"/>
          <w:szCs w:val="24"/>
        </w:rPr>
        <w:t>5 mg/850 mg</w:t>
      </w:r>
      <w:r w:rsidRPr="003D3B2F">
        <w:rPr>
          <w:sz w:val="24"/>
          <w:szCs w:val="24"/>
        </w:rPr>
        <w:t xml:space="preserve">: </w:t>
      </w:r>
      <w:r w:rsidR="00F1283C" w:rsidRPr="003D3B2F">
        <w:rPr>
          <w:sz w:val="24"/>
          <w:szCs w:val="24"/>
        </w:rPr>
        <w:tab/>
      </w:r>
      <w:r w:rsidRPr="003D3B2F">
        <w:rPr>
          <w:sz w:val="24"/>
          <w:szCs w:val="24"/>
        </w:rPr>
        <w:t>73278</w:t>
      </w:r>
    </w:p>
    <w:p w14:paraId="31CB3C38" w14:textId="210155EB" w:rsidR="00841BE0" w:rsidRPr="00841BE0" w:rsidRDefault="00841BE0" w:rsidP="00F1283C">
      <w:pPr>
        <w:tabs>
          <w:tab w:val="left" w:pos="851"/>
          <w:tab w:val="left" w:pos="2977"/>
        </w:tabs>
        <w:ind w:left="851"/>
        <w:jc w:val="both"/>
        <w:rPr>
          <w:sz w:val="24"/>
          <w:szCs w:val="24"/>
        </w:rPr>
      </w:pPr>
      <w:r w:rsidRPr="00841BE0">
        <w:rPr>
          <w:sz w:val="24"/>
          <w:szCs w:val="24"/>
        </w:rPr>
        <w:t>5 mg/1000 mg</w:t>
      </w:r>
      <w:r w:rsidRPr="003D3B2F">
        <w:rPr>
          <w:sz w:val="24"/>
          <w:szCs w:val="24"/>
        </w:rPr>
        <w:t xml:space="preserve">: </w:t>
      </w:r>
      <w:r w:rsidR="00F1283C" w:rsidRPr="003D3B2F">
        <w:rPr>
          <w:sz w:val="24"/>
          <w:szCs w:val="24"/>
        </w:rPr>
        <w:tab/>
      </w:r>
      <w:r w:rsidRPr="003D3B2F">
        <w:rPr>
          <w:sz w:val="24"/>
          <w:szCs w:val="24"/>
        </w:rPr>
        <w:t>73280</w:t>
      </w:r>
    </w:p>
    <w:p w14:paraId="5CD1EB89" w14:textId="4B49D07E" w:rsidR="00841BE0" w:rsidRPr="00841BE0" w:rsidRDefault="00841BE0" w:rsidP="00F1283C">
      <w:pPr>
        <w:tabs>
          <w:tab w:val="left" w:pos="851"/>
          <w:tab w:val="left" w:pos="2977"/>
        </w:tabs>
        <w:ind w:left="851"/>
        <w:jc w:val="both"/>
        <w:rPr>
          <w:sz w:val="24"/>
          <w:szCs w:val="24"/>
        </w:rPr>
      </w:pPr>
      <w:r w:rsidRPr="00841BE0">
        <w:rPr>
          <w:sz w:val="24"/>
          <w:szCs w:val="24"/>
        </w:rPr>
        <w:t>12,5 mg/850 mg</w:t>
      </w:r>
      <w:r w:rsidRPr="003D3B2F">
        <w:rPr>
          <w:sz w:val="24"/>
          <w:szCs w:val="24"/>
        </w:rPr>
        <w:t xml:space="preserve">: </w:t>
      </w:r>
      <w:r w:rsidR="00F1283C" w:rsidRPr="003D3B2F">
        <w:rPr>
          <w:sz w:val="24"/>
          <w:szCs w:val="24"/>
        </w:rPr>
        <w:tab/>
      </w:r>
      <w:r w:rsidRPr="003D3B2F">
        <w:rPr>
          <w:sz w:val="24"/>
          <w:szCs w:val="24"/>
        </w:rPr>
        <w:t>73281</w:t>
      </w:r>
    </w:p>
    <w:p w14:paraId="7C45D3A3" w14:textId="69D04D7C" w:rsidR="00841BE0" w:rsidRPr="00841BE0" w:rsidRDefault="00841BE0" w:rsidP="00F1283C">
      <w:pPr>
        <w:tabs>
          <w:tab w:val="left" w:pos="851"/>
          <w:tab w:val="left" w:pos="2977"/>
        </w:tabs>
        <w:ind w:left="851"/>
        <w:jc w:val="both"/>
        <w:rPr>
          <w:sz w:val="24"/>
          <w:szCs w:val="24"/>
        </w:rPr>
      </w:pPr>
      <w:r w:rsidRPr="00841BE0">
        <w:rPr>
          <w:sz w:val="24"/>
          <w:szCs w:val="24"/>
        </w:rPr>
        <w:t>12,5 mg/1000 mg</w:t>
      </w:r>
      <w:r w:rsidRPr="003D3B2F">
        <w:rPr>
          <w:sz w:val="24"/>
          <w:szCs w:val="24"/>
        </w:rPr>
        <w:t xml:space="preserve">: </w:t>
      </w:r>
      <w:r w:rsidR="00F1283C" w:rsidRPr="003D3B2F">
        <w:rPr>
          <w:sz w:val="24"/>
          <w:szCs w:val="24"/>
        </w:rPr>
        <w:tab/>
      </w:r>
      <w:r w:rsidRPr="003D3B2F">
        <w:rPr>
          <w:sz w:val="24"/>
          <w:szCs w:val="24"/>
        </w:rPr>
        <w:t>73282</w:t>
      </w:r>
    </w:p>
    <w:p w14:paraId="7CEC3CD1" w14:textId="77777777" w:rsidR="009260DE" w:rsidRPr="003D3B2F" w:rsidRDefault="009260DE" w:rsidP="009260DE">
      <w:pPr>
        <w:tabs>
          <w:tab w:val="left" w:pos="851"/>
        </w:tabs>
        <w:ind w:left="851"/>
        <w:jc w:val="both"/>
        <w:rPr>
          <w:sz w:val="24"/>
          <w:szCs w:val="24"/>
        </w:rPr>
      </w:pPr>
    </w:p>
    <w:p w14:paraId="0DE62BFE" w14:textId="77777777" w:rsidR="009260DE" w:rsidRPr="003D3B2F" w:rsidRDefault="009260DE" w:rsidP="009260DE">
      <w:pPr>
        <w:tabs>
          <w:tab w:val="left" w:pos="851"/>
        </w:tabs>
        <w:ind w:left="851" w:hanging="851"/>
        <w:rPr>
          <w:b/>
          <w:sz w:val="24"/>
          <w:szCs w:val="24"/>
        </w:rPr>
      </w:pPr>
      <w:r w:rsidRPr="003D3B2F">
        <w:rPr>
          <w:b/>
          <w:sz w:val="24"/>
          <w:szCs w:val="24"/>
        </w:rPr>
        <w:t>9.</w:t>
      </w:r>
      <w:r w:rsidRPr="003D3B2F">
        <w:rPr>
          <w:b/>
          <w:sz w:val="24"/>
          <w:szCs w:val="24"/>
        </w:rPr>
        <w:tab/>
        <w:t>DATO FOR FØRSTE MARKEDSFØRINGSTILLADELSE</w:t>
      </w:r>
    </w:p>
    <w:p w14:paraId="523271BC" w14:textId="6D5BACD9" w:rsidR="009260DE" w:rsidRPr="003D3B2F" w:rsidRDefault="00BD4844" w:rsidP="009260DE">
      <w:pPr>
        <w:tabs>
          <w:tab w:val="left" w:pos="851"/>
        </w:tabs>
        <w:ind w:left="851"/>
        <w:rPr>
          <w:sz w:val="24"/>
          <w:szCs w:val="24"/>
        </w:rPr>
      </w:pPr>
      <w:r>
        <w:rPr>
          <w:sz w:val="24"/>
          <w:szCs w:val="24"/>
        </w:rPr>
        <w:t>24. april 2026</w:t>
      </w:r>
    </w:p>
    <w:p w14:paraId="7442178E" w14:textId="77777777" w:rsidR="009260DE" w:rsidRPr="003D3B2F" w:rsidRDefault="009260DE" w:rsidP="009260DE">
      <w:pPr>
        <w:tabs>
          <w:tab w:val="left" w:pos="851"/>
        </w:tabs>
        <w:ind w:left="851"/>
        <w:rPr>
          <w:sz w:val="24"/>
          <w:szCs w:val="24"/>
        </w:rPr>
      </w:pPr>
    </w:p>
    <w:p w14:paraId="268E8FC2" w14:textId="77777777" w:rsidR="009260DE" w:rsidRPr="003D3B2F" w:rsidRDefault="009260DE" w:rsidP="009260DE">
      <w:pPr>
        <w:tabs>
          <w:tab w:val="left" w:pos="851"/>
        </w:tabs>
        <w:ind w:left="851" w:hanging="851"/>
        <w:rPr>
          <w:b/>
          <w:sz w:val="24"/>
          <w:szCs w:val="24"/>
        </w:rPr>
      </w:pPr>
      <w:r w:rsidRPr="003D3B2F">
        <w:rPr>
          <w:b/>
          <w:sz w:val="24"/>
          <w:szCs w:val="24"/>
        </w:rPr>
        <w:t>10.</w:t>
      </w:r>
      <w:r w:rsidRPr="003D3B2F">
        <w:rPr>
          <w:b/>
          <w:sz w:val="24"/>
          <w:szCs w:val="24"/>
        </w:rPr>
        <w:tab/>
        <w:t>DATO FOR ÆNDRING AF TEKSTEN</w:t>
      </w:r>
    </w:p>
    <w:p w14:paraId="462DD1FA" w14:textId="75B26005" w:rsidR="009260DE" w:rsidRPr="003D3B2F" w:rsidRDefault="00841BE0" w:rsidP="009260DE">
      <w:pPr>
        <w:tabs>
          <w:tab w:val="left" w:pos="851"/>
        </w:tabs>
        <w:ind w:left="851"/>
        <w:rPr>
          <w:sz w:val="24"/>
          <w:szCs w:val="24"/>
        </w:rPr>
      </w:pPr>
      <w:r w:rsidRPr="003D3B2F">
        <w:rPr>
          <w:sz w:val="24"/>
          <w:szCs w:val="24"/>
        </w:rPr>
        <w:t>-</w:t>
      </w:r>
    </w:p>
    <w:sectPr w:rsidR="009260DE" w:rsidRPr="003D3B2F"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C462C" w14:textId="77777777" w:rsidR="00E37330" w:rsidRDefault="00E37330">
      <w:r>
        <w:separator/>
      </w:r>
    </w:p>
  </w:endnote>
  <w:endnote w:type="continuationSeparator" w:id="0">
    <w:p w14:paraId="4DAA768A" w14:textId="77777777" w:rsidR="00E37330" w:rsidRDefault="00E3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B205" w14:textId="77777777" w:rsidR="000259B9" w:rsidRDefault="000259B9">
    <w:pPr>
      <w:pStyle w:val="Sidefod"/>
      <w:pBdr>
        <w:bottom w:val="single" w:sz="6" w:space="1" w:color="auto"/>
      </w:pBdr>
    </w:pPr>
  </w:p>
  <w:p w14:paraId="6D405663" w14:textId="77777777" w:rsidR="000259B9" w:rsidRDefault="000259B9" w:rsidP="00C42586">
    <w:pPr>
      <w:pStyle w:val="Sidefod"/>
      <w:tabs>
        <w:tab w:val="clear" w:pos="4819"/>
        <w:tab w:val="left" w:pos="8505"/>
      </w:tabs>
      <w:rPr>
        <w:i/>
        <w:sz w:val="18"/>
        <w:szCs w:val="18"/>
      </w:rPr>
    </w:pPr>
  </w:p>
  <w:p w14:paraId="583EF55F" w14:textId="33452655"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6D1466">
      <w:rPr>
        <w:i/>
        <w:noProof/>
        <w:sz w:val="18"/>
        <w:szCs w:val="18"/>
      </w:rPr>
      <w:t>Empagliflozin-Metformin Krka, filmovertrukne tabletter 5+850 mg, 5+1000 mg, 12,5+850 mg og 12,5+1000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4A9A" w14:textId="77777777" w:rsidR="00E37330" w:rsidRDefault="00E37330">
      <w:r>
        <w:separator/>
      </w:r>
    </w:p>
  </w:footnote>
  <w:footnote w:type="continuationSeparator" w:id="0">
    <w:p w14:paraId="27FD0296" w14:textId="77777777" w:rsidR="00E37330" w:rsidRDefault="00E37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6E19152A"/>
    <w:multiLevelType w:val="hybridMultilevel"/>
    <w:tmpl w:val="270C5EE0"/>
    <w:lvl w:ilvl="0" w:tplc="F1A621C6">
      <w:start w:val="4"/>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5276460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574311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8407228">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5264903">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445232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6118522">
    <w:abstractNumId w:val="5"/>
  </w:num>
  <w:num w:numId="7" w16cid:durableId="1991589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30"/>
    <w:rsid w:val="000259B9"/>
    <w:rsid w:val="00041491"/>
    <w:rsid w:val="00050D16"/>
    <w:rsid w:val="000730CA"/>
    <w:rsid w:val="00074F2A"/>
    <w:rsid w:val="000A1CA8"/>
    <w:rsid w:val="000A466B"/>
    <w:rsid w:val="000B058C"/>
    <w:rsid w:val="000D68B0"/>
    <w:rsid w:val="000E4EE6"/>
    <w:rsid w:val="001276F0"/>
    <w:rsid w:val="001454E2"/>
    <w:rsid w:val="001C0D88"/>
    <w:rsid w:val="00206CE8"/>
    <w:rsid w:val="00210533"/>
    <w:rsid w:val="0021526C"/>
    <w:rsid w:val="00283A2B"/>
    <w:rsid w:val="002B30AD"/>
    <w:rsid w:val="002C1EC0"/>
    <w:rsid w:val="002C2C01"/>
    <w:rsid w:val="002D5A2A"/>
    <w:rsid w:val="0031748F"/>
    <w:rsid w:val="003A29AE"/>
    <w:rsid w:val="003A32D7"/>
    <w:rsid w:val="003B4074"/>
    <w:rsid w:val="003C769A"/>
    <w:rsid w:val="003D3A90"/>
    <w:rsid w:val="003D3B2F"/>
    <w:rsid w:val="003F1838"/>
    <w:rsid w:val="00412655"/>
    <w:rsid w:val="004251C1"/>
    <w:rsid w:val="00441803"/>
    <w:rsid w:val="0045746C"/>
    <w:rsid w:val="0049104B"/>
    <w:rsid w:val="004E3B12"/>
    <w:rsid w:val="00503DFB"/>
    <w:rsid w:val="00532310"/>
    <w:rsid w:val="00565F0F"/>
    <w:rsid w:val="0057441C"/>
    <w:rsid w:val="00594A86"/>
    <w:rsid w:val="00595CFD"/>
    <w:rsid w:val="00596D86"/>
    <w:rsid w:val="00637F5A"/>
    <w:rsid w:val="00641C65"/>
    <w:rsid w:val="006560B1"/>
    <w:rsid w:val="006756DD"/>
    <w:rsid w:val="006D1466"/>
    <w:rsid w:val="0071241E"/>
    <w:rsid w:val="00737275"/>
    <w:rsid w:val="00740EEC"/>
    <w:rsid w:val="0078011A"/>
    <w:rsid w:val="00782AF4"/>
    <w:rsid w:val="00790EE7"/>
    <w:rsid w:val="007A3130"/>
    <w:rsid w:val="007B6649"/>
    <w:rsid w:val="008137AF"/>
    <w:rsid w:val="0082576E"/>
    <w:rsid w:val="00841BE0"/>
    <w:rsid w:val="0089346F"/>
    <w:rsid w:val="00907F75"/>
    <w:rsid w:val="009260DE"/>
    <w:rsid w:val="0093258A"/>
    <w:rsid w:val="009C7BA3"/>
    <w:rsid w:val="009D1F5A"/>
    <w:rsid w:val="00A10294"/>
    <w:rsid w:val="00A3510F"/>
    <w:rsid w:val="00B003BF"/>
    <w:rsid w:val="00B14EC7"/>
    <w:rsid w:val="00B373D7"/>
    <w:rsid w:val="00B42A17"/>
    <w:rsid w:val="00B55271"/>
    <w:rsid w:val="00BD4844"/>
    <w:rsid w:val="00BD7931"/>
    <w:rsid w:val="00BF6243"/>
    <w:rsid w:val="00C36276"/>
    <w:rsid w:val="00C42586"/>
    <w:rsid w:val="00C45F6B"/>
    <w:rsid w:val="00C60CCD"/>
    <w:rsid w:val="00C84483"/>
    <w:rsid w:val="00C91B4E"/>
    <w:rsid w:val="00C95551"/>
    <w:rsid w:val="00CB20D7"/>
    <w:rsid w:val="00D020B0"/>
    <w:rsid w:val="00D11748"/>
    <w:rsid w:val="00D237F6"/>
    <w:rsid w:val="00D34D98"/>
    <w:rsid w:val="00D366CF"/>
    <w:rsid w:val="00D93992"/>
    <w:rsid w:val="00E108AA"/>
    <w:rsid w:val="00E37330"/>
    <w:rsid w:val="00E3749A"/>
    <w:rsid w:val="00E7437F"/>
    <w:rsid w:val="00E865B8"/>
    <w:rsid w:val="00EC0B9B"/>
    <w:rsid w:val="00ED5E9F"/>
    <w:rsid w:val="00F1283C"/>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76525"/>
  <w15:chartTrackingRefBased/>
  <w15:docId w15:val="{F739A852-BE7F-4C96-8AFF-CF73EF2C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qFormat/>
    <w:rsid w:val="00FB6D01"/>
    <w:pPr>
      <w:keepNext/>
      <w:spacing w:before="240" w:after="60"/>
      <w:outlineLvl w:val="0"/>
    </w:pPr>
    <w:rPr>
      <w:rFonts w:ascii="Arial" w:hAnsi="Arial"/>
      <w:b/>
      <w:kern w:val="28"/>
      <w:sz w:val="28"/>
    </w:rPr>
  </w:style>
  <w:style w:type="paragraph" w:styleId="Overskrift2">
    <w:name w:val="heading 2"/>
    <w:basedOn w:val="Normal"/>
    <w:next w:val="Normal"/>
    <w:link w:val="Overskrift2Tegn"/>
    <w:semiHidden/>
    <w:unhideWhenUsed/>
    <w:qFormat/>
    <w:rsid w:val="00841BE0"/>
    <w:pPr>
      <w:keepNext/>
      <w:tabs>
        <w:tab w:val="left" w:pos="-720"/>
        <w:tab w:val="left" w:pos="567"/>
      </w:tabs>
      <w:suppressAutoHyphens/>
      <w:ind w:left="567" w:hanging="567"/>
      <w:outlineLvl w:val="1"/>
    </w:pPr>
    <w:rPr>
      <w:b/>
      <w:noProof/>
      <w:sz w:val="22"/>
    </w:rPr>
  </w:style>
  <w:style w:type="paragraph" w:styleId="Overskrift3">
    <w:name w:val="heading 3"/>
    <w:basedOn w:val="Normal"/>
    <w:next w:val="Normal"/>
    <w:link w:val="Overskrift3Tegn"/>
    <w:qFormat/>
    <w:rsid w:val="00FB6D01"/>
    <w:pPr>
      <w:keepNext/>
      <w:spacing w:before="240" w:after="60"/>
      <w:outlineLvl w:val="2"/>
    </w:pPr>
    <w:rPr>
      <w:rFonts w:ascii="Arial" w:hAnsi="Arial"/>
      <w:sz w:val="24"/>
    </w:rPr>
  </w:style>
  <w:style w:type="paragraph" w:styleId="Overskrift4">
    <w:name w:val="heading 4"/>
    <w:basedOn w:val="Normal"/>
    <w:next w:val="Normal"/>
    <w:link w:val="Overskrift4Tegn"/>
    <w:semiHidden/>
    <w:unhideWhenUsed/>
    <w:qFormat/>
    <w:rsid w:val="00841BE0"/>
    <w:pPr>
      <w:keepNext/>
      <w:tabs>
        <w:tab w:val="left" w:pos="567"/>
      </w:tabs>
      <w:spacing w:line="260" w:lineRule="exact"/>
      <w:jc w:val="both"/>
      <w:outlineLvl w:val="3"/>
    </w:pPr>
    <w:rPr>
      <w:b/>
      <w:noProof/>
      <w:sz w:val="22"/>
    </w:rPr>
  </w:style>
  <w:style w:type="paragraph" w:styleId="Overskrift5">
    <w:name w:val="heading 5"/>
    <w:basedOn w:val="Normal"/>
    <w:next w:val="Normal"/>
    <w:link w:val="Overskrift5Tegn"/>
    <w:semiHidden/>
    <w:unhideWhenUsed/>
    <w:qFormat/>
    <w:rsid w:val="00841BE0"/>
    <w:pPr>
      <w:keepNext/>
      <w:tabs>
        <w:tab w:val="left" w:pos="-720"/>
      </w:tabs>
      <w:suppressAutoHyphens/>
      <w:jc w:val="center"/>
      <w:outlineLvl w:val="4"/>
    </w:pPr>
    <w:rPr>
      <w:b/>
      <w:sz w:val="22"/>
    </w:rPr>
  </w:style>
  <w:style w:type="paragraph" w:styleId="Overskrift6">
    <w:name w:val="heading 6"/>
    <w:basedOn w:val="Normal"/>
    <w:next w:val="Normal"/>
    <w:link w:val="Overskrift6Tegn"/>
    <w:semiHidden/>
    <w:unhideWhenUsed/>
    <w:qFormat/>
    <w:rsid w:val="00841BE0"/>
    <w:pPr>
      <w:keepNext/>
      <w:tabs>
        <w:tab w:val="left" w:pos="-720"/>
        <w:tab w:val="left" w:pos="567"/>
        <w:tab w:val="left" w:pos="4536"/>
      </w:tabs>
      <w:suppressAutoHyphens/>
      <w:spacing w:line="260" w:lineRule="exact"/>
      <w:outlineLvl w:val="5"/>
    </w:pPr>
    <w:rPr>
      <w:i/>
      <w:sz w:val="22"/>
      <w:lang w:val="en-GB"/>
    </w:rPr>
  </w:style>
  <w:style w:type="paragraph" w:styleId="Overskrift7">
    <w:name w:val="heading 7"/>
    <w:basedOn w:val="Normal"/>
    <w:next w:val="Normal"/>
    <w:link w:val="Overskrift7Tegn"/>
    <w:semiHidden/>
    <w:unhideWhenUsed/>
    <w:qFormat/>
    <w:rsid w:val="00841BE0"/>
    <w:pPr>
      <w:keepNext/>
      <w:tabs>
        <w:tab w:val="left" w:pos="-720"/>
        <w:tab w:val="left" w:pos="567"/>
        <w:tab w:val="left" w:pos="4536"/>
      </w:tabs>
      <w:suppressAutoHyphens/>
      <w:spacing w:line="260" w:lineRule="exact"/>
      <w:jc w:val="both"/>
      <w:outlineLvl w:val="6"/>
    </w:pPr>
    <w:rPr>
      <w:i/>
      <w:sz w:val="22"/>
      <w:lang w:val="en-GB"/>
    </w:rPr>
  </w:style>
  <w:style w:type="paragraph" w:styleId="Overskrift8">
    <w:name w:val="heading 8"/>
    <w:basedOn w:val="Normal"/>
    <w:next w:val="Normal"/>
    <w:link w:val="Overskrift8Tegn"/>
    <w:semiHidden/>
    <w:unhideWhenUsed/>
    <w:qFormat/>
    <w:rsid w:val="00841BE0"/>
    <w:pPr>
      <w:keepNext/>
      <w:ind w:left="1701" w:hanging="567"/>
      <w:outlineLvl w:val="7"/>
    </w:pPr>
    <w:rPr>
      <w:b/>
      <w:sz w:val="22"/>
    </w:rPr>
  </w:style>
  <w:style w:type="paragraph" w:styleId="Overskrift9">
    <w:name w:val="heading 9"/>
    <w:basedOn w:val="Normal"/>
    <w:next w:val="Normal"/>
    <w:link w:val="Overskrift9Tegn"/>
    <w:semiHidden/>
    <w:unhideWhenUsed/>
    <w:qFormat/>
    <w:rsid w:val="00841BE0"/>
    <w:pPr>
      <w:keepNext/>
      <w:suppressAutoHyphens/>
      <w:outlineLvl w:val="8"/>
    </w:pPr>
    <w:rPr>
      <w:b/>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semiHidden/>
    <w:rsid w:val="00790EE7"/>
    <w:rPr>
      <w:rFonts w:ascii="Tahoma" w:hAnsi="Tahoma" w:cs="Tahoma"/>
      <w:sz w:val="16"/>
      <w:szCs w:val="16"/>
    </w:rPr>
  </w:style>
  <w:style w:type="paragraph" w:styleId="Sidefod">
    <w:name w:val="footer"/>
    <w:basedOn w:val="Normal"/>
    <w:link w:val="SidefodTegn"/>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semiHidden/>
    <w:unhideWhenUsed/>
    <w:rsid w:val="009260DE"/>
    <w:rPr>
      <w:b/>
      <w:bCs/>
      <w:lang w:eastAsia="en-US"/>
    </w:rPr>
  </w:style>
  <w:style w:type="character" w:customStyle="1" w:styleId="KommentaremneTegn">
    <w:name w:val="Kommentaremne Tegn"/>
    <w:basedOn w:val="KommentartekstTegn"/>
    <w:link w:val="Kommentaremne"/>
    <w:semiHidden/>
    <w:rsid w:val="009260DE"/>
    <w:rPr>
      <w:b/>
      <w:bCs/>
      <w:lang w:eastAsia="en-US"/>
    </w:rPr>
  </w:style>
  <w:style w:type="character" w:styleId="Hyperlink">
    <w:name w:val="Hyperlink"/>
    <w:basedOn w:val="Standardskrifttypeiafsnit"/>
    <w:uiPriority w:val="99"/>
    <w:unhideWhenUsed/>
    <w:rsid w:val="00841BE0"/>
    <w:rPr>
      <w:color w:val="0563C1" w:themeColor="hyperlink"/>
      <w:u w:val="single"/>
    </w:rPr>
  </w:style>
  <w:style w:type="character" w:styleId="Ulstomtale">
    <w:name w:val="Unresolved Mention"/>
    <w:basedOn w:val="Standardskrifttypeiafsnit"/>
    <w:uiPriority w:val="99"/>
    <w:semiHidden/>
    <w:unhideWhenUsed/>
    <w:rsid w:val="00841BE0"/>
    <w:rPr>
      <w:color w:val="605E5C"/>
      <w:shd w:val="clear" w:color="auto" w:fill="E1DFDD"/>
    </w:rPr>
  </w:style>
  <w:style w:type="character" w:customStyle="1" w:styleId="Overskrift2Tegn">
    <w:name w:val="Overskrift 2 Tegn"/>
    <w:basedOn w:val="Standardskrifttypeiafsnit"/>
    <w:link w:val="Overskrift2"/>
    <w:semiHidden/>
    <w:rsid w:val="00841BE0"/>
    <w:rPr>
      <w:b/>
      <w:noProof/>
      <w:sz w:val="22"/>
      <w:lang w:eastAsia="en-US"/>
    </w:rPr>
  </w:style>
  <w:style w:type="character" w:customStyle="1" w:styleId="Overskrift4Tegn">
    <w:name w:val="Overskrift 4 Tegn"/>
    <w:basedOn w:val="Standardskrifttypeiafsnit"/>
    <w:link w:val="Overskrift4"/>
    <w:semiHidden/>
    <w:rsid w:val="00841BE0"/>
    <w:rPr>
      <w:b/>
      <w:noProof/>
      <w:sz w:val="22"/>
      <w:lang w:eastAsia="en-US"/>
    </w:rPr>
  </w:style>
  <w:style w:type="character" w:customStyle="1" w:styleId="Overskrift5Tegn">
    <w:name w:val="Overskrift 5 Tegn"/>
    <w:basedOn w:val="Standardskrifttypeiafsnit"/>
    <w:link w:val="Overskrift5"/>
    <w:semiHidden/>
    <w:rsid w:val="00841BE0"/>
    <w:rPr>
      <w:b/>
      <w:sz w:val="22"/>
      <w:lang w:eastAsia="en-US"/>
    </w:rPr>
  </w:style>
  <w:style w:type="character" w:customStyle="1" w:styleId="Overskrift6Tegn">
    <w:name w:val="Overskrift 6 Tegn"/>
    <w:basedOn w:val="Standardskrifttypeiafsnit"/>
    <w:link w:val="Overskrift6"/>
    <w:semiHidden/>
    <w:rsid w:val="00841BE0"/>
    <w:rPr>
      <w:i/>
      <w:sz w:val="22"/>
      <w:lang w:val="en-GB" w:eastAsia="en-US"/>
    </w:rPr>
  </w:style>
  <w:style w:type="character" w:customStyle="1" w:styleId="Overskrift7Tegn">
    <w:name w:val="Overskrift 7 Tegn"/>
    <w:basedOn w:val="Standardskrifttypeiafsnit"/>
    <w:link w:val="Overskrift7"/>
    <w:semiHidden/>
    <w:rsid w:val="00841BE0"/>
    <w:rPr>
      <w:i/>
      <w:sz w:val="22"/>
      <w:lang w:val="en-GB" w:eastAsia="en-US"/>
    </w:rPr>
  </w:style>
  <w:style w:type="character" w:customStyle="1" w:styleId="Overskrift8Tegn">
    <w:name w:val="Overskrift 8 Tegn"/>
    <w:basedOn w:val="Standardskrifttypeiafsnit"/>
    <w:link w:val="Overskrift8"/>
    <w:semiHidden/>
    <w:rsid w:val="00841BE0"/>
    <w:rPr>
      <w:b/>
      <w:sz w:val="22"/>
      <w:lang w:eastAsia="en-US"/>
    </w:rPr>
  </w:style>
  <w:style w:type="character" w:customStyle="1" w:styleId="Overskrift9Tegn">
    <w:name w:val="Overskrift 9 Tegn"/>
    <w:basedOn w:val="Standardskrifttypeiafsnit"/>
    <w:link w:val="Overskrift9"/>
    <w:semiHidden/>
    <w:rsid w:val="00841BE0"/>
    <w:rPr>
      <w:b/>
      <w:sz w:val="22"/>
      <w:lang w:eastAsia="en-US"/>
    </w:rPr>
  </w:style>
  <w:style w:type="character" w:customStyle="1" w:styleId="Overskrift1Tegn">
    <w:name w:val="Overskrift 1 Tegn"/>
    <w:basedOn w:val="Standardskrifttypeiafsnit"/>
    <w:link w:val="Overskrift1"/>
    <w:rsid w:val="00841BE0"/>
    <w:rPr>
      <w:rFonts w:ascii="Arial" w:hAnsi="Arial"/>
      <w:b/>
      <w:kern w:val="28"/>
      <w:sz w:val="28"/>
      <w:lang w:eastAsia="en-US"/>
    </w:rPr>
  </w:style>
  <w:style w:type="character" w:customStyle="1" w:styleId="Overskrift3Tegn">
    <w:name w:val="Overskrift 3 Tegn"/>
    <w:basedOn w:val="Standardskrifttypeiafsnit"/>
    <w:link w:val="Overskrift3"/>
    <w:rsid w:val="00841BE0"/>
    <w:rPr>
      <w:rFonts w:ascii="Arial" w:hAnsi="Arial"/>
      <w:sz w:val="24"/>
      <w:lang w:eastAsia="en-US"/>
    </w:rPr>
  </w:style>
  <w:style w:type="character" w:styleId="BesgtLink">
    <w:name w:val="FollowedHyperlink"/>
    <w:semiHidden/>
    <w:unhideWhenUsed/>
    <w:rsid w:val="00841BE0"/>
    <w:rPr>
      <w:color w:val="800080"/>
      <w:u w:val="single"/>
    </w:rPr>
  </w:style>
  <w:style w:type="paragraph" w:customStyle="1" w:styleId="msonormal0">
    <w:name w:val="msonormal"/>
    <w:basedOn w:val="Normal"/>
    <w:rsid w:val="00841BE0"/>
    <w:pPr>
      <w:spacing w:before="100" w:beforeAutospacing="1" w:after="100" w:afterAutospacing="1"/>
    </w:pPr>
    <w:rPr>
      <w:sz w:val="24"/>
      <w:szCs w:val="24"/>
      <w:lang w:eastAsia="da-DK"/>
    </w:rPr>
  </w:style>
  <w:style w:type="character" w:customStyle="1" w:styleId="SidefodTegn">
    <w:name w:val="Sidefod Tegn"/>
    <w:basedOn w:val="Standardskrifttypeiafsnit"/>
    <w:link w:val="Sidefod"/>
    <w:rsid w:val="00841BE0"/>
    <w:rPr>
      <w:sz w:val="23"/>
      <w:lang w:eastAsia="en-US"/>
    </w:rPr>
  </w:style>
  <w:style w:type="character" w:customStyle="1" w:styleId="MarkeringsbobletekstTegn">
    <w:name w:val="Markeringsbobletekst Tegn"/>
    <w:basedOn w:val="Standardskrifttypeiafsnit"/>
    <w:link w:val="Markeringsbobletekst"/>
    <w:semiHidden/>
    <w:rsid w:val="00841BE0"/>
    <w:rPr>
      <w:rFonts w:ascii="Tahoma" w:hAnsi="Tahoma" w:cs="Tahoma"/>
      <w:sz w:val="16"/>
      <w:szCs w:val="16"/>
      <w:lang w:eastAsia="en-US"/>
    </w:rPr>
  </w:style>
  <w:style w:type="paragraph" w:styleId="Korrektur">
    <w:name w:val="Revision"/>
    <w:uiPriority w:val="99"/>
    <w:semiHidden/>
    <w:rsid w:val="00841BE0"/>
    <w:rPr>
      <w:sz w:val="22"/>
      <w:lang w:eastAsia="en-US"/>
    </w:rPr>
  </w:style>
  <w:style w:type="paragraph" w:styleId="Listeafsnit">
    <w:name w:val="List Paragraph"/>
    <w:basedOn w:val="Normal"/>
    <w:uiPriority w:val="34"/>
    <w:qFormat/>
    <w:rsid w:val="00841BE0"/>
    <w:pPr>
      <w:ind w:left="720"/>
      <w:contextualSpacing/>
    </w:pPr>
    <w:rPr>
      <w:sz w:val="24"/>
      <w:lang w:val="sl-SI" w:eastAsia="sl-SI"/>
    </w:rPr>
  </w:style>
  <w:style w:type="paragraph" w:customStyle="1" w:styleId="EMEAEnBodyText">
    <w:name w:val="EMEA En Body Text"/>
    <w:basedOn w:val="Normal"/>
    <w:rsid w:val="00841BE0"/>
    <w:pPr>
      <w:spacing w:before="120" w:after="120"/>
      <w:jc w:val="both"/>
    </w:pPr>
    <w:rPr>
      <w:sz w:val="22"/>
      <w:lang w:val="en-US"/>
    </w:rPr>
  </w:style>
  <w:style w:type="paragraph" w:customStyle="1" w:styleId="TableParagraph">
    <w:name w:val="Table Paragraph"/>
    <w:basedOn w:val="Normal"/>
    <w:uiPriority w:val="1"/>
    <w:qFormat/>
    <w:rsid w:val="00841BE0"/>
    <w:pPr>
      <w:widowControl w:val="0"/>
      <w:autoSpaceDE w:val="0"/>
      <w:autoSpaceDN w:val="0"/>
      <w:ind w:left="13"/>
    </w:pPr>
    <w:rPr>
      <w:sz w:val="22"/>
      <w:szCs w:val="22"/>
      <w:lang w:val="nn-NO"/>
    </w:rPr>
  </w:style>
  <w:style w:type="table" w:customStyle="1" w:styleId="TableNormal">
    <w:name w:val="Table Normal"/>
    <w:uiPriority w:val="2"/>
    <w:semiHidden/>
    <w:qFormat/>
    <w:rsid w:val="00841BE0"/>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qFormat/>
    <w:rsid w:val="00841BE0"/>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qFormat/>
    <w:rsid w:val="00841BE0"/>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leNormal3">
    <w:name w:val="Table Normal3"/>
    <w:uiPriority w:val="2"/>
    <w:semiHidden/>
    <w:qFormat/>
    <w:rsid w:val="00841BE0"/>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4">
    <w:name w:val="Table Normal4"/>
    <w:uiPriority w:val="2"/>
    <w:semiHidden/>
    <w:qFormat/>
    <w:rsid w:val="00841BE0"/>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5">
    <w:name w:val="Table Normal5"/>
    <w:uiPriority w:val="2"/>
    <w:semiHidden/>
    <w:qFormat/>
    <w:rsid w:val="00841BE0"/>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6">
    <w:name w:val="Table Normal6"/>
    <w:uiPriority w:val="2"/>
    <w:semiHidden/>
    <w:qFormat/>
    <w:rsid w:val="00841BE0"/>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7">
    <w:name w:val="Table Normal7"/>
    <w:uiPriority w:val="2"/>
    <w:semiHidden/>
    <w:qFormat/>
    <w:rsid w:val="00841BE0"/>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8">
    <w:name w:val="Table Normal8"/>
    <w:uiPriority w:val="2"/>
    <w:semiHidden/>
    <w:qFormat/>
    <w:rsid w:val="00841BE0"/>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9">
    <w:name w:val="Table Normal9"/>
    <w:uiPriority w:val="2"/>
    <w:semiHidden/>
    <w:qFormat/>
    <w:rsid w:val="00841BE0"/>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567">
      <w:bodyDiv w:val="1"/>
      <w:marLeft w:val="0"/>
      <w:marRight w:val="0"/>
      <w:marTop w:val="0"/>
      <w:marBottom w:val="0"/>
      <w:divBdr>
        <w:top w:val="none" w:sz="0" w:space="0" w:color="auto"/>
        <w:left w:val="none" w:sz="0" w:space="0" w:color="auto"/>
        <w:bottom w:val="none" w:sz="0" w:space="0" w:color="auto"/>
        <w:right w:val="none" w:sz="0" w:space="0" w:color="auto"/>
      </w:divBdr>
    </w:div>
    <w:div w:id="74784855">
      <w:bodyDiv w:val="1"/>
      <w:marLeft w:val="0"/>
      <w:marRight w:val="0"/>
      <w:marTop w:val="0"/>
      <w:marBottom w:val="0"/>
      <w:divBdr>
        <w:top w:val="none" w:sz="0" w:space="0" w:color="auto"/>
        <w:left w:val="none" w:sz="0" w:space="0" w:color="auto"/>
        <w:bottom w:val="none" w:sz="0" w:space="0" w:color="auto"/>
        <w:right w:val="none" w:sz="0" w:space="0" w:color="auto"/>
      </w:divBdr>
    </w:div>
    <w:div w:id="114830008">
      <w:bodyDiv w:val="1"/>
      <w:marLeft w:val="0"/>
      <w:marRight w:val="0"/>
      <w:marTop w:val="0"/>
      <w:marBottom w:val="0"/>
      <w:divBdr>
        <w:top w:val="none" w:sz="0" w:space="0" w:color="auto"/>
        <w:left w:val="none" w:sz="0" w:space="0" w:color="auto"/>
        <w:bottom w:val="none" w:sz="0" w:space="0" w:color="auto"/>
        <w:right w:val="none" w:sz="0" w:space="0" w:color="auto"/>
      </w:divBdr>
    </w:div>
    <w:div w:id="116146111">
      <w:bodyDiv w:val="1"/>
      <w:marLeft w:val="0"/>
      <w:marRight w:val="0"/>
      <w:marTop w:val="0"/>
      <w:marBottom w:val="0"/>
      <w:divBdr>
        <w:top w:val="none" w:sz="0" w:space="0" w:color="auto"/>
        <w:left w:val="none" w:sz="0" w:space="0" w:color="auto"/>
        <w:bottom w:val="none" w:sz="0" w:space="0" w:color="auto"/>
        <w:right w:val="none" w:sz="0" w:space="0" w:color="auto"/>
      </w:divBdr>
    </w:div>
    <w:div w:id="118569728">
      <w:bodyDiv w:val="1"/>
      <w:marLeft w:val="0"/>
      <w:marRight w:val="0"/>
      <w:marTop w:val="0"/>
      <w:marBottom w:val="0"/>
      <w:divBdr>
        <w:top w:val="none" w:sz="0" w:space="0" w:color="auto"/>
        <w:left w:val="none" w:sz="0" w:space="0" w:color="auto"/>
        <w:bottom w:val="none" w:sz="0" w:space="0" w:color="auto"/>
        <w:right w:val="none" w:sz="0" w:space="0" w:color="auto"/>
      </w:divBdr>
    </w:div>
    <w:div w:id="13071078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2399919">
      <w:bodyDiv w:val="1"/>
      <w:marLeft w:val="0"/>
      <w:marRight w:val="0"/>
      <w:marTop w:val="0"/>
      <w:marBottom w:val="0"/>
      <w:divBdr>
        <w:top w:val="none" w:sz="0" w:space="0" w:color="auto"/>
        <w:left w:val="none" w:sz="0" w:space="0" w:color="auto"/>
        <w:bottom w:val="none" w:sz="0" w:space="0" w:color="auto"/>
        <w:right w:val="none" w:sz="0" w:space="0" w:color="auto"/>
      </w:divBdr>
    </w:div>
    <w:div w:id="239026927">
      <w:bodyDiv w:val="1"/>
      <w:marLeft w:val="0"/>
      <w:marRight w:val="0"/>
      <w:marTop w:val="0"/>
      <w:marBottom w:val="0"/>
      <w:divBdr>
        <w:top w:val="none" w:sz="0" w:space="0" w:color="auto"/>
        <w:left w:val="none" w:sz="0" w:space="0" w:color="auto"/>
        <w:bottom w:val="none" w:sz="0" w:space="0" w:color="auto"/>
        <w:right w:val="none" w:sz="0" w:space="0" w:color="auto"/>
      </w:divBdr>
    </w:div>
    <w:div w:id="277030439">
      <w:bodyDiv w:val="1"/>
      <w:marLeft w:val="0"/>
      <w:marRight w:val="0"/>
      <w:marTop w:val="0"/>
      <w:marBottom w:val="0"/>
      <w:divBdr>
        <w:top w:val="none" w:sz="0" w:space="0" w:color="auto"/>
        <w:left w:val="none" w:sz="0" w:space="0" w:color="auto"/>
        <w:bottom w:val="none" w:sz="0" w:space="0" w:color="auto"/>
        <w:right w:val="none" w:sz="0" w:space="0" w:color="auto"/>
      </w:divBdr>
    </w:div>
    <w:div w:id="285936957">
      <w:bodyDiv w:val="1"/>
      <w:marLeft w:val="0"/>
      <w:marRight w:val="0"/>
      <w:marTop w:val="0"/>
      <w:marBottom w:val="0"/>
      <w:divBdr>
        <w:top w:val="none" w:sz="0" w:space="0" w:color="auto"/>
        <w:left w:val="none" w:sz="0" w:space="0" w:color="auto"/>
        <w:bottom w:val="none" w:sz="0" w:space="0" w:color="auto"/>
        <w:right w:val="none" w:sz="0" w:space="0" w:color="auto"/>
      </w:divBdr>
    </w:div>
    <w:div w:id="307707803">
      <w:bodyDiv w:val="1"/>
      <w:marLeft w:val="0"/>
      <w:marRight w:val="0"/>
      <w:marTop w:val="0"/>
      <w:marBottom w:val="0"/>
      <w:divBdr>
        <w:top w:val="none" w:sz="0" w:space="0" w:color="auto"/>
        <w:left w:val="none" w:sz="0" w:space="0" w:color="auto"/>
        <w:bottom w:val="none" w:sz="0" w:space="0" w:color="auto"/>
        <w:right w:val="none" w:sz="0" w:space="0" w:color="auto"/>
      </w:divBdr>
    </w:div>
    <w:div w:id="348414138">
      <w:bodyDiv w:val="1"/>
      <w:marLeft w:val="0"/>
      <w:marRight w:val="0"/>
      <w:marTop w:val="0"/>
      <w:marBottom w:val="0"/>
      <w:divBdr>
        <w:top w:val="none" w:sz="0" w:space="0" w:color="auto"/>
        <w:left w:val="none" w:sz="0" w:space="0" w:color="auto"/>
        <w:bottom w:val="none" w:sz="0" w:space="0" w:color="auto"/>
        <w:right w:val="none" w:sz="0" w:space="0" w:color="auto"/>
      </w:divBdr>
    </w:div>
    <w:div w:id="396048516">
      <w:bodyDiv w:val="1"/>
      <w:marLeft w:val="0"/>
      <w:marRight w:val="0"/>
      <w:marTop w:val="0"/>
      <w:marBottom w:val="0"/>
      <w:divBdr>
        <w:top w:val="none" w:sz="0" w:space="0" w:color="auto"/>
        <w:left w:val="none" w:sz="0" w:space="0" w:color="auto"/>
        <w:bottom w:val="none" w:sz="0" w:space="0" w:color="auto"/>
        <w:right w:val="none" w:sz="0" w:space="0" w:color="auto"/>
      </w:divBdr>
    </w:div>
    <w:div w:id="514079596">
      <w:bodyDiv w:val="1"/>
      <w:marLeft w:val="0"/>
      <w:marRight w:val="0"/>
      <w:marTop w:val="0"/>
      <w:marBottom w:val="0"/>
      <w:divBdr>
        <w:top w:val="none" w:sz="0" w:space="0" w:color="auto"/>
        <w:left w:val="none" w:sz="0" w:space="0" w:color="auto"/>
        <w:bottom w:val="none" w:sz="0" w:space="0" w:color="auto"/>
        <w:right w:val="none" w:sz="0" w:space="0" w:color="auto"/>
      </w:divBdr>
    </w:div>
    <w:div w:id="750081754">
      <w:bodyDiv w:val="1"/>
      <w:marLeft w:val="0"/>
      <w:marRight w:val="0"/>
      <w:marTop w:val="0"/>
      <w:marBottom w:val="0"/>
      <w:divBdr>
        <w:top w:val="none" w:sz="0" w:space="0" w:color="auto"/>
        <w:left w:val="none" w:sz="0" w:space="0" w:color="auto"/>
        <w:bottom w:val="none" w:sz="0" w:space="0" w:color="auto"/>
        <w:right w:val="none" w:sz="0" w:space="0" w:color="auto"/>
      </w:divBdr>
    </w:div>
    <w:div w:id="767576867">
      <w:bodyDiv w:val="1"/>
      <w:marLeft w:val="0"/>
      <w:marRight w:val="0"/>
      <w:marTop w:val="0"/>
      <w:marBottom w:val="0"/>
      <w:divBdr>
        <w:top w:val="none" w:sz="0" w:space="0" w:color="auto"/>
        <w:left w:val="none" w:sz="0" w:space="0" w:color="auto"/>
        <w:bottom w:val="none" w:sz="0" w:space="0" w:color="auto"/>
        <w:right w:val="none" w:sz="0" w:space="0" w:color="auto"/>
      </w:divBdr>
    </w:div>
    <w:div w:id="825365963">
      <w:bodyDiv w:val="1"/>
      <w:marLeft w:val="0"/>
      <w:marRight w:val="0"/>
      <w:marTop w:val="0"/>
      <w:marBottom w:val="0"/>
      <w:divBdr>
        <w:top w:val="none" w:sz="0" w:space="0" w:color="auto"/>
        <w:left w:val="none" w:sz="0" w:space="0" w:color="auto"/>
        <w:bottom w:val="none" w:sz="0" w:space="0" w:color="auto"/>
        <w:right w:val="none" w:sz="0" w:space="0" w:color="auto"/>
      </w:divBdr>
    </w:div>
    <w:div w:id="876744575">
      <w:bodyDiv w:val="1"/>
      <w:marLeft w:val="0"/>
      <w:marRight w:val="0"/>
      <w:marTop w:val="0"/>
      <w:marBottom w:val="0"/>
      <w:divBdr>
        <w:top w:val="none" w:sz="0" w:space="0" w:color="auto"/>
        <w:left w:val="none" w:sz="0" w:space="0" w:color="auto"/>
        <w:bottom w:val="none" w:sz="0" w:space="0" w:color="auto"/>
        <w:right w:val="none" w:sz="0" w:space="0" w:color="auto"/>
      </w:divBdr>
    </w:div>
    <w:div w:id="910429399">
      <w:bodyDiv w:val="1"/>
      <w:marLeft w:val="0"/>
      <w:marRight w:val="0"/>
      <w:marTop w:val="0"/>
      <w:marBottom w:val="0"/>
      <w:divBdr>
        <w:top w:val="none" w:sz="0" w:space="0" w:color="auto"/>
        <w:left w:val="none" w:sz="0" w:space="0" w:color="auto"/>
        <w:bottom w:val="none" w:sz="0" w:space="0" w:color="auto"/>
        <w:right w:val="none" w:sz="0" w:space="0" w:color="auto"/>
      </w:divBdr>
    </w:div>
    <w:div w:id="964655077">
      <w:bodyDiv w:val="1"/>
      <w:marLeft w:val="0"/>
      <w:marRight w:val="0"/>
      <w:marTop w:val="0"/>
      <w:marBottom w:val="0"/>
      <w:divBdr>
        <w:top w:val="none" w:sz="0" w:space="0" w:color="auto"/>
        <w:left w:val="none" w:sz="0" w:space="0" w:color="auto"/>
        <w:bottom w:val="none" w:sz="0" w:space="0" w:color="auto"/>
        <w:right w:val="none" w:sz="0" w:space="0" w:color="auto"/>
      </w:divBdr>
    </w:div>
    <w:div w:id="1047795297">
      <w:bodyDiv w:val="1"/>
      <w:marLeft w:val="0"/>
      <w:marRight w:val="0"/>
      <w:marTop w:val="0"/>
      <w:marBottom w:val="0"/>
      <w:divBdr>
        <w:top w:val="none" w:sz="0" w:space="0" w:color="auto"/>
        <w:left w:val="none" w:sz="0" w:space="0" w:color="auto"/>
        <w:bottom w:val="none" w:sz="0" w:space="0" w:color="auto"/>
        <w:right w:val="none" w:sz="0" w:space="0" w:color="auto"/>
      </w:divBdr>
    </w:div>
    <w:div w:id="1068384559">
      <w:bodyDiv w:val="1"/>
      <w:marLeft w:val="0"/>
      <w:marRight w:val="0"/>
      <w:marTop w:val="0"/>
      <w:marBottom w:val="0"/>
      <w:divBdr>
        <w:top w:val="none" w:sz="0" w:space="0" w:color="auto"/>
        <w:left w:val="none" w:sz="0" w:space="0" w:color="auto"/>
        <w:bottom w:val="none" w:sz="0" w:space="0" w:color="auto"/>
        <w:right w:val="none" w:sz="0" w:space="0" w:color="auto"/>
      </w:divBdr>
    </w:div>
    <w:div w:id="1102265684">
      <w:bodyDiv w:val="1"/>
      <w:marLeft w:val="0"/>
      <w:marRight w:val="0"/>
      <w:marTop w:val="0"/>
      <w:marBottom w:val="0"/>
      <w:divBdr>
        <w:top w:val="none" w:sz="0" w:space="0" w:color="auto"/>
        <w:left w:val="none" w:sz="0" w:space="0" w:color="auto"/>
        <w:bottom w:val="none" w:sz="0" w:space="0" w:color="auto"/>
        <w:right w:val="none" w:sz="0" w:space="0" w:color="auto"/>
      </w:divBdr>
    </w:div>
    <w:div w:id="1141272509">
      <w:bodyDiv w:val="1"/>
      <w:marLeft w:val="0"/>
      <w:marRight w:val="0"/>
      <w:marTop w:val="0"/>
      <w:marBottom w:val="0"/>
      <w:divBdr>
        <w:top w:val="none" w:sz="0" w:space="0" w:color="auto"/>
        <w:left w:val="none" w:sz="0" w:space="0" w:color="auto"/>
        <w:bottom w:val="none" w:sz="0" w:space="0" w:color="auto"/>
        <w:right w:val="none" w:sz="0" w:space="0" w:color="auto"/>
      </w:divBdr>
    </w:div>
    <w:div w:id="1224677852">
      <w:bodyDiv w:val="1"/>
      <w:marLeft w:val="0"/>
      <w:marRight w:val="0"/>
      <w:marTop w:val="0"/>
      <w:marBottom w:val="0"/>
      <w:divBdr>
        <w:top w:val="none" w:sz="0" w:space="0" w:color="auto"/>
        <w:left w:val="none" w:sz="0" w:space="0" w:color="auto"/>
        <w:bottom w:val="none" w:sz="0" w:space="0" w:color="auto"/>
        <w:right w:val="none" w:sz="0" w:space="0" w:color="auto"/>
      </w:divBdr>
    </w:div>
    <w:div w:id="1253585605">
      <w:bodyDiv w:val="1"/>
      <w:marLeft w:val="0"/>
      <w:marRight w:val="0"/>
      <w:marTop w:val="0"/>
      <w:marBottom w:val="0"/>
      <w:divBdr>
        <w:top w:val="none" w:sz="0" w:space="0" w:color="auto"/>
        <w:left w:val="none" w:sz="0" w:space="0" w:color="auto"/>
        <w:bottom w:val="none" w:sz="0" w:space="0" w:color="auto"/>
        <w:right w:val="none" w:sz="0" w:space="0" w:color="auto"/>
      </w:divBdr>
    </w:div>
    <w:div w:id="1265966009">
      <w:bodyDiv w:val="1"/>
      <w:marLeft w:val="0"/>
      <w:marRight w:val="0"/>
      <w:marTop w:val="0"/>
      <w:marBottom w:val="0"/>
      <w:divBdr>
        <w:top w:val="none" w:sz="0" w:space="0" w:color="auto"/>
        <w:left w:val="none" w:sz="0" w:space="0" w:color="auto"/>
        <w:bottom w:val="none" w:sz="0" w:space="0" w:color="auto"/>
        <w:right w:val="none" w:sz="0" w:space="0" w:color="auto"/>
      </w:divBdr>
    </w:div>
    <w:div w:id="1285039260">
      <w:bodyDiv w:val="1"/>
      <w:marLeft w:val="0"/>
      <w:marRight w:val="0"/>
      <w:marTop w:val="0"/>
      <w:marBottom w:val="0"/>
      <w:divBdr>
        <w:top w:val="none" w:sz="0" w:space="0" w:color="auto"/>
        <w:left w:val="none" w:sz="0" w:space="0" w:color="auto"/>
        <w:bottom w:val="none" w:sz="0" w:space="0" w:color="auto"/>
        <w:right w:val="none" w:sz="0" w:space="0" w:color="auto"/>
      </w:divBdr>
    </w:div>
    <w:div w:id="1354651739">
      <w:bodyDiv w:val="1"/>
      <w:marLeft w:val="0"/>
      <w:marRight w:val="0"/>
      <w:marTop w:val="0"/>
      <w:marBottom w:val="0"/>
      <w:divBdr>
        <w:top w:val="none" w:sz="0" w:space="0" w:color="auto"/>
        <w:left w:val="none" w:sz="0" w:space="0" w:color="auto"/>
        <w:bottom w:val="none" w:sz="0" w:space="0" w:color="auto"/>
        <w:right w:val="none" w:sz="0" w:space="0" w:color="auto"/>
      </w:divBdr>
    </w:div>
    <w:div w:id="1461267919">
      <w:bodyDiv w:val="1"/>
      <w:marLeft w:val="0"/>
      <w:marRight w:val="0"/>
      <w:marTop w:val="0"/>
      <w:marBottom w:val="0"/>
      <w:divBdr>
        <w:top w:val="none" w:sz="0" w:space="0" w:color="auto"/>
        <w:left w:val="none" w:sz="0" w:space="0" w:color="auto"/>
        <w:bottom w:val="none" w:sz="0" w:space="0" w:color="auto"/>
        <w:right w:val="none" w:sz="0" w:space="0" w:color="auto"/>
      </w:divBdr>
    </w:div>
    <w:div w:id="1461338211">
      <w:bodyDiv w:val="1"/>
      <w:marLeft w:val="0"/>
      <w:marRight w:val="0"/>
      <w:marTop w:val="0"/>
      <w:marBottom w:val="0"/>
      <w:divBdr>
        <w:top w:val="none" w:sz="0" w:space="0" w:color="auto"/>
        <w:left w:val="none" w:sz="0" w:space="0" w:color="auto"/>
        <w:bottom w:val="none" w:sz="0" w:space="0" w:color="auto"/>
        <w:right w:val="none" w:sz="0" w:space="0" w:color="auto"/>
      </w:divBdr>
    </w:div>
    <w:div w:id="1481190730">
      <w:bodyDiv w:val="1"/>
      <w:marLeft w:val="0"/>
      <w:marRight w:val="0"/>
      <w:marTop w:val="0"/>
      <w:marBottom w:val="0"/>
      <w:divBdr>
        <w:top w:val="none" w:sz="0" w:space="0" w:color="auto"/>
        <w:left w:val="none" w:sz="0" w:space="0" w:color="auto"/>
        <w:bottom w:val="none" w:sz="0" w:space="0" w:color="auto"/>
        <w:right w:val="none" w:sz="0" w:space="0" w:color="auto"/>
      </w:divBdr>
    </w:div>
    <w:div w:id="1522276321">
      <w:bodyDiv w:val="1"/>
      <w:marLeft w:val="0"/>
      <w:marRight w:val="0"/>
      <w:marTop w:val="0"/>
      <w:marBottom w:val="0"/>
      <w:divBdr>
        <w:top w:val="none" w:sz="0" w:space="0" w:color="auto"/>
        <w:left w:val="none" w:sz="0" w:space="0" w:color="auto"/>
        <w:bottom w:val="none" w:sz="0" w:space="0" w:color="auto"/>
        <w:right w:val="none" w:sz="0" w:space="0" w:color="auto"/>
      </w:divBdr>
    </w:div>
    <w:div w:id="1522741213">
      <w:bodyDiv w:val="1"/>
      <w:marLeft w:val="0"/>
      <w:marRight w:val="0"/>
      <w:marTop w:val="0"/>
      <w:marBottom w:val="0"/>
      <w:divBdr>
        <w:top w:val="none" w:sz="0" w:space="0" w:color="auto"/>
        <w:left w:val="none" w:sz="0" w:space="0" w:color="auto"/>
        <w:bottom w:val="none" w:sz="0" w:space="0" w:color="auto"/>
        <w:right w:val="none" w:sz="0" w:space="0" w:color="auto"/>
      </w:divBdr>
    </w:div>
    <w:div w:id="1523397222">
      <w:bodyDiv w:val="1"/>
      <w:marLeft w:val="0"/>
      <w:marRight w:val="0"/>
      <w:marTop w:val="0"/>
      <w:marBottom w:val="0"/>
      <w:divBdr>
        <w:top w:val="none" w:sz="0" w:space="0" w:color="auto"/>
        <w:left w:val="none" w:sz="0" w:space="0" w:color="auto"/>
        <w:bottom w:val="none" w:sz="0" w:space="0" w:color="auto"/>
        <w:right w:val="none" w:sz="0" w:space="0" w:color="auto"/>
      </w:divBdr>
    </w:div>
    <w:div w:id="1536388528">
      <w:bodyDiv w:val="1"/>
      <w:marLeft w:val="0"/>
      <w:marRight w:val="0"/>
      <w:marTop w:val="0"/>
      <w:marBottom w:val="0"/>
      <w:divBdr>
        <w:top w:val="none" w:sz="0" w:space="0" w:color="auto"/>
        <w:left w:val="none" w:sz="0" w:space="0" w:color="auto"/>
        <w:bottom w:val="none" w:sz="0" w:space="0" w:color="auto"/>
        <w:right w:val="none" w:sz="0" w:space="0" w:color="auto"/>
      </w:divBdr>
    </w:div>
    <w:div w:id="1557005351">
      <w:bodyDiv w:val="1"/>
      <w:marLeft w:val="0"/>
      <w:marRight w:val="0"/>
      <w:marTop w:val="0"/>
      <w:marBottom w:val="0"/>
      <w:divBdr>
        <w:top w:val="none" w:sz="0" w:space="0" w:color="auto"/>
        <w:left w:val="none" w:sz="0" w:space="0" w:color="auto"/>
        <w:bottom w:val="none" w:sz="0" w:space="0" w:color="auto"/>
        <w:right w:val="none" w:sz="0" w:space="0" w:color="auto"/>
      </w:divBdr>
    </w:div>
    <w:div w:id="1568415649">
      <w:bodyDiv w:val="1"/>
      <w:marLeft w:val="0"/>
      <w:marRight w:val="0"/>
      <w:marTop w:val="0"/>
      <w:marBottom w:val="0"/>
      <w:divBdr>
        <w:top w:val="none" w:sz="0" w:space="0" w:color="auto"/>
        <w:left w:val="none" w:sz="0" w:space="0" w:color="auto"/>
        <w:bottom w:val="none" w:sz="0" w:space="0" w:color="auto"/>
        <w:right w:val="none" w:sz="0" w:space="0" w:color="auto"/>
      </w:divBdr>
    </w:div>
    <w:div w:id="1589803863">
      <w:bodyDiv w:val="1"/>
      <w:marLeft w:val="0"/>
      <w:marRight w:val="0"/>
      <w:marTop w:val="0"/>
      <w:marBottom w:val="0"/>
      <w:divBdr>
        <w:top w:val="none" w:sz="0" w:space="0" w:color="auto"/>
        <w:left w:val="none" w:sz="0" w:space="0" w:color="auto"/>
        <w:bottom w:val="none" w:sz="0" w:space="0" w:color="auto"/>
        <w:right w:val="none" w:sz="0" w:space="0" w:color="auto"/>
      </w:divBdr>
    </w:div>
    <w:div w:id="1618566641">
      <w:bodyDiv w:val="1"/>
      <w:marLeft w:val="0"/>
      <w:marRight w:val="0"/>
      <w:marTop w:val="0"/>
      <w:marBottom w:val="0"/>
      <w:divBdr>
        <w:top w:val="none" w:sz="0" w:space="0" w:color="auto"/>
        <w:left w:val="none" w:sz="0" w:space="0" w:color="auto"/>
        <w:bottom w:val="none" w:sz="0" w:space="0" w:color="auto"/>
        <w:right w:val="none" w:sz="0" w:space="0" w:color="auto"/>
      </w:divBdr>
    </w:div>
    <w:div w:id="1691758156">
      <w:bodyDiv w:val="1"/>
      <w:marLeft w:val="0"/>
      <w:marRight w:val="0"/>
      <w:marTop w:val="0"/>
      <w:marBottom w:val="0"/>
      <w:divBdr>
        <w:top w:val="none" w:sz="0" w:space="0" w:color="auto"/>
        <w:left w:val="none" w:sz="0" w:space="0" w:color="auto"/>
        <w:bottom w:val="none" w:sz="0" w:space="0" w:color="auto"/>
        <w:right w:val="none" w:sz="0" w:space="0" w:color="auto"/>
      </w:divBdr>
    </w:div>
    <w:div w:id="1777675546">
      <w:bodyDiv w:val="1"/>
      <w:marLeft w:val="0"/>
      <w:marRight w:val="0"/>
      <w:marTop w:val="0"/>
      <w:marBottom w:val="0"/>
      <w:divBdr>
        <w:top w:val="none" w:sz="0" w:space="0" w:color="auto"/>
        <w:left w:val="none" w:sz="0" w:space="0" w:color="auto"/>
        <w:bottom w:val="none" w:sz="0" w:space="0" w:color="auto"/>
        <w:right w:val="none" w:sz="0" w:space="0" w:color="auto"/>
      </w:divBdr>
    </w:div>
    <w:div w:id="1794975953">
      <w:bodyDiv w:val="1"/>
      <w:marLeft w:val="0"/>
      <w:marRight w:val="0"/>
      <w:marTop w:val="0"/>
      <w:marBottom w:val="0"/>
      <w:divBdr>
        <w:top w:val="none" w:sz="0" w:space="0" w:color="auto"/>
        <w:left w:val="none" w:sz="0" w:space="0" w:color="auto"/>
        <w:bottom w:val="none" w:sz="0" w:space="0" w:color="auto"/>
        <w:right w:val="none" w:sz="0" w:space="0" w:color="auto"/>
      </w:divBdr>
    </w:div>
    <w:div w:id="1889342036">
      <w:bodyDiv w:val="1"/>
      <w:marLeft w:val="0"/>
      <w:marRight w:val="0"/>
      <w:marTop w:val="0"/>
      <w:marBottom w:val="0"/>
      <w:divBdr>
        <w:top w:val="none" w:sz="0" w:space="0" w:color="auto"/>
        <w:left w:val="none" w:sz="0" w:space="0" w:color="auto"/>
        <w:bottom w:val="none" w:sz="0" w:space="0" w:color="auto"/>
        <w:right w:val="none" w:sz="0" w:space="0" w:color="auto"/>
      </w:divBdr>
    </w:div>
    <w:div w:id="1958178458">
      <w:bodyDiv w:val="1"/>
      <w:marLeft w:val="0"/>
      <w:marRight w:val="0"/>
      <w:marTop w:val="0"/>
      <w:marBottom w:val="0"/>
      <w:divBdr>
        <w:top w:val="none" w:sz="0" w:space="0" w:color="auto"/>
        <w:left w:val="none" w:sz="0" w:space="0" w:color="auto"/>
        <w:bottom w:val="none" w:sz="0" w:space="0" w:color="auto"/>
        <w:right w:val="none" w:sz="0" w:space="0" w:color="auto"/>
      </w:divBdr>
    </w:div>
    <w:div w:id="213046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39</TotalTime>
  <Pages>36</Pages>
  <Words>12725</Words>
  <Characters>79309</Characters>
  <Application>Microsoft Office Word</Application>
  <DocSecurity>0</DocSecurity>
  <Lines>660</Lines>
  <Paragraphs>183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2025015179, MT</dc:description>
  <cp:lastModifiedBy>Gitte Jørgensen</cp:lastModifiedBy>
  <cp:revision>19</cp:revision>
  <cp:lastPrinted>2012-08-22T08:53:00Z</cp:lastPrinted>
  <dcterms:created xsi:type="dcterms:W3CDTF">2026-04-23T08:47:00Z</dcterms:created>
  <dcterms:modified xsi:type="dcterms:W3CDTF">2026-04-24T13:48:00Z</dcterms:modified>
</cp:coreProperties>
</file>