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2AA553" w14:textId="77777777" w:rsidR="009260DE" w:rsidRPr="00F2263F" w:rsidRDefault="0021526C" w:rsidP="009260DE">
      <w:pPr>
        <w:rPr>
          <w:sz w:val="24"/>
          <w:szCs w:val="24"/>
        </w:rPr>
      </w:pPr>
      <w:bookmarkStart w:id="0" w:name="_GoBack"/>
      <w:bookmarkEnd w:id="0"/>
      <w:r w:rsidRPr="00F2263F">
        <w:rPr>
          <w:noProof/>
          <w:sz w:val="24"/>
          <w:szCs w:val="24"/>
          <w:lang w:eastAsia="da-DK"/>
        </w:rPr>
        <w:drawing>
          <wp:anchor distT="0" distB="0" distL="114300" distR="114300" simplePos="0" relativeHeight="251658240" behindDoc="0" locked="0" layoutInCell="1" allowOverlap="1" wp14:anchorId="4033E8BE" wp14:editId="2274AA26">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F2263F">
        <w:rPr>
          <w:sz w:val="24"/>
          <w:szCs w:val="24"/>
        </w:rPr>
        <w:br w:type="textWrapping" w:clear="all"/>
      </w:r>
    </w:p>
    <w:p w14:paraId="708FF10C" w14:textId="01226479" w:rsidR="009260DE" w:rsidRPr="00F2263F" w:rsidRDefault="009260DE" w:rsidP="009260DE">
      <w:pPr>
        <w:pStyle w:val="Titel"/>
        <w:tabs>
          <w:tab w:val="right" w:pos="9356"/>
        </w:tabs>
        <w:jc w:val="left"/>
        <w:rPr>
          <w:b w:val="0"/>
          <w:szCs w:val="24"/>
          <w:lang w:eastAsia="en-US"/>
        </w:rPr>
      </w:pPr>
      <w:r w:rsidRPr="00F2263F">
        <w:rPr>
          <w:b w:val="0"/>
          <w:szCs w:val="24"/>
          <w:lang w:eastAsia="en-US"/>
        </w:rPr>
        <w:tab/>
      </w:r>
      <w:r w:rsidR="008C6C21">
        <w:rPr>
          <w:szCs w:val="24"/>
        </w:rPr>
        <w:t>13. oktober 2025</w:t>
      </w:r>
    </w:p>
    <w:p w14:paraId="5D1F3C7D" w14:textId="77777777" w:rsidR="009260DE" w:rsidRPr="00F2263F" w:rsidRDefault="009260DE" w:rsidP="009260DE">
      <w:pPr>
        <w:pStyle w:val="Titel"/>
        <w:tabs>
          <w:tab w:val="left" w:pos="8222"/>
        </w:tabs>
        <w:jc w:val="left"/>
        <w:rPr>
          <w:b w:val="0"/>
          <w:szCs w:val="24"/>
        </w:rPr>
      </w:pPr>
    </w:p>
    <w:p w14:paraId="12606D3E" w14:textId="77777777" w:rsidR="009260DE" w:rsidRPr="00F2263F" w:rsidRDefault="009260DE" w:rsidP="009260DE">
      <w:pPr>
        <w:pStyle w:val="Titel"/>
        <w:jc w:val="left"/>
        <w:rPr>
          <w:b w:val="0"/>
          <w:szCs w:val="24"/>
        </w:rPr>
      </w:pPr>
    </w:p>
    <w:p w14:paraId="184B913C" w14:textId="77777777" w:rsidR="009260DE" w:rsidRPr="00F2263F" w:rsidRDefault="009260DE" w:rsidP="009260DE">
      <w:pPr>
        <w:pStyle w:val="Titel"/>
        <w:jc w:val="left"/>
        <w:rPr>
          <w:b w:val="0"/>
          <w:szCs w:val="24"/>
        </w:rPr>
      </w:pPr>
    </w:p>
    <w:p w14:paraId="260F56A2" w14:textId="77777777" w:rsidR="009260DE" w:rsidRPr="00FC122F" w:rsidRDefault="009260DE" w:rsidP="009260DE">
      <w:pPr>
        <w:jc w:val="center"/>
        <w:rPr>
          <w:b/>
          <w:sz w:val="24"/>
          <w:szCs w:val="24"/>
        </w:rPr>
      </w:pPr>
      <w:r w:rsidRPr="00FC122F">
        <w:rPr>
          <w:b/>
          <w:sz w:val="24"/>
          <w:szCs w:val="24"/>
        </w:rPr>
        <w:t>PRODUKTRESUMÉ</w:t>
      </w:r>
    </w:p>
    <w:p w14:paraId="357B424B" w14:textId="77777777" w:rsidR="009260DE" w:rsidRPr="00FC122F" w:rsidRDefault="009260DE" w:rsidP="009260DE">
      <w:pPr>
        <w:jc w:val="center"/>
        <w:rPr>
          <w:b/>
          <w:sz w:val="24"/>
          <w:szCs w:val="24"/>
        </w:rPr>
      </w:pPr>
    </w:p>
    <w:p w14:paraId="54AB0EFC" w14:textId="77777777" w:rsidR="009260DE" w:rsidRPr="00FC122F" w:rsidRDefault="009260DE" w:rsidP="009260DE">
      <w:pPr>
        <w:jc w:val="center"/>
        <w:rPr>
          <w:b/>
          <w:sz w:val="24"/>
          <w:szCs w:val="24"/>
        </w:rPr>
      </w:pPr>
      <w:r w:rsidRPr="00FC122F">
        <w:rPr>
          <w:b/>
          <w:sz w:val="24"/>
          <w:szCs w:val="24"/>
        </w:rPr>
        <w:t>for</w:t>
      </w:r>
    </w:p>
    <w:p w14:paraId="416ACE49" w14:textId="77777777" w:rsidR="000B058C" w:rsidRPr="00FC122F" w:rsidRDefault="000B058C" w:rsidP="009260DE">
      <w:pPr>
        <w:jc w:val="center"/>
        <w:rPr>
          <w:b/>
          <w:sz w:val="24"/>
          <w:szCs w:val="24"/>
        </w:rPr>
      </w:pPr>
    </w:p>
    <w:p w14:paraId="3978A036" w14:textId="62750656" w:rsidR="009260DE" w:rsidRPr="00FC122F" w:rsidRDefault="00DA07FE" w:rsidP="009260DE">
      <w:pPr>
        <w:jc w:val="center"/>
        <w:rPr>
          <w:b/>
          <w:sz w:val="24"/>
          <w:szCs w:val="24"/>
        </w:rPr>
      </w:pPr>
      <w:r w:rsidRPr="00FC122F">
        <w:rPr>
          <w:b/>
          <w:sz w:val="24"/>
          <w:szCs w:val="24"/>
        </w:rPr>
        <w:t xml:space="preserve">Emtricitabine/Tenofovir alafenamide </w:t>
      </w:r>
      <w:r w:rsidR="008D5A42" w:rsidRPr="00FC122F">
        <w:rPr>
          <w:b/>
          <w:sz w:val="24"/>
          <w:szCs w:val="24"/>
        </w:rPr>
        <w:t>"</w:t>
      </w:r>
      <w:r w:rsidRPr="00FC122F">
        <w:rPr>
          <w:b/>
          <w:sz w:val="24"/>
          <w:szCs w:val="24"/>
        </w:rPr>
        <w:t>Zentiva</w:t>
      </w:r>
      <w:r w:rsidR="008D5A42" w:rsidRPr="00FC122F">
        <w:rPr>
          <w:b/>
          <w:sz w:val="24"/>
          <w:szCs w:val="24"/>
        </w:rPr>
        <w:t>"</w:t>
      </w:r>
      <w:r w:rsidRPr="00FC122F">
        <w:rPr>
          <w:b/>
          <w:sz w:val="24"/>
          <w:szCs w:val="24"/>
        </w:rPr>
        <w:t>, filmovertrukne tabletter</w:t>
      </w:r>
    </w:p>
    <w:p w14:paraId="63A6FB5A" w14:textId="77777777" w:rsidR="009260DE" w:rsidRPr="00FC122F" w:rsidRDefault="009260DE" w:rsidP="009260DE">
      <w:pPr>
        <w:jc w:val="both"/>
        <w:rPr>
          <w:sz w:val="24"/>
          <w:szCs w:val="24"/>
        </w:rPr>
      </w:pPr>
    </w:p>
    <w:p w14:paraId="18058D54" w14:textId="77777777" w:rsidR="009260DE" w:rsidRPr="00FC122F" w:rsidRDefault="009260DE" w:rsidP="009260DE">
      <w:pPr>
        <w:jc w:val="both"/>
        <w:rPr>
          <w:sz w:val="24"/>
          <w:szCs w:val="24"/>
        </w:rPr>
      </w:pPr>
    </w:p>
    <w:p w14:paraId="280B9CFE" w14:textId="77777777" w:rsidR="009260DE" w:rsidRPr="00F2263F" w:rsidRDefault="009260DE" w:rsidP="009260DE">
      <w:pPr>
        <w:tabs>
          <w:tab w:val="left" w:pos="851"/>
        </w:tabs>
        <w:ind w:left="851" w:hanging="851"/>
        <w:rPr>
          <w:b/>
          <w:sz w:val="24"/>
          <w:szCs w:val="24"/>
        </w:rPr>
      </w:pPr>
      <w:r w:rsidRPr="00F2263F">
        <w:rPr>
          <w:b/>
          <w:sz w:val="24"/>
          <w:szCs w:val="24"/>
        </w:rPr>
        <w:t>0.</w:t>
      </w:r>
      <w:r w:rsidRPr="00F2263F">
        <w:rPr>
          <w:b/>
          <w:sz w:val="24"/>
          <w:szCs w:val="24"/>
        </w:rPr>
        <w:tab/>
        <w:t>D.SP.NR.</w:t>
      </w:r>
    </w:p>
    <w:p w14:paraId="60928F11" w14:textId="6B41FB62" w:rsidR="009260DE" w:rsidRPr="00F2263F" w:rsidRDefault="00DB1C4E" w:rsidP="009260DE">
      <w:pPr>
        <w:tabs>
          <w:tab w:val="left" w:pos="851"/>
        </w:tabs>
        <w:ind w:left="851"/>
        <w:rPr>
          <w:sz w:val="24"/>
          <w:szCs w:val="24"/>
        </w:rPr>
      </w:pPr>
      <w:r w:rsidRPr="00F2263F">
        <w:rPr>
          <w:sz w:val="24"/>
          <w:szCs w:val="24"/>
        </w:rPr>
        <w:t>34193</w:t>
      </w:r>
    </w:p>
    <w:p w14:paraId="7187745C" w14:textId="77777777" w:rsidR="009260DE" w:rsidRPr="00F2263F" w:rsidRDefault="009260DE" w:rsidP="009260DE">
      <w:pPr>
        <w:tabs>
          <w:tab w:val="left" w:pos="851"/>
        </w:tabs>
        <w:ind w:left="851"/>
        <w:rPr>
          <w:sz w:val="24"/>
          <w:szCs w:val="24"/>
        </w:rPr>
      </w:pPr>
    </w:p>
    <w:p w14:paraId="7487F0EB" w14:textId="77777777" w:rsidR="009260DE" w:rsidRPr="00F2263F" w:rsidRDefault="009260DE" w:rsidP="009260DE">
      <w:pPr>
        <w:tabs>
          <w:tab w:val="left" w:pos="851"/>
        </w:tabs>
        <w:ind w:left="851" w:hanging="851"/>
        <w:rPr>
          <w:b/>
          <w:sz w:val="24"/>
          <w:szCs w:val="24"/>
        </w:rPr>
      </w:pPr>
      <w:r w:rsidRPr="00F2263F">
        <w:rPr>
          <w:b/>
          <w:sz w:val="24"/>
          <w:szCs w:val="24"/>
        </w:rPr>
        <w:t>1.</w:t>
      </w:r>
      <w:r w:rsidRPr="00F2263F">
        <w:rPr>
          <w:b/>
          <w:sz w:val="24"/>
          <w:szCs w:val="24"/>
        </w:rPr>
        <w:tab/>
        <w:t>LÆGEMIDLETS NAVN</w:t>
      </w:r>
    </w:p>
    <w:p w14:paraId="1E325F2F" w14:textId="614BC744" w:rsidR="009260DE" w:rsidRPr="00F2263F" w:rsidRDefault="00DA07FE" w:rsidP="009260DE">
      <w:pPr>
        <w:tabs>
          <w:tab w:val="left" w:pos="851"/>
        </w:tabs>
        <w:ind w:left="851"/>
        <w:rPr>
          <w:sz w:val="24"/>
          <w:szCs w:val="24"/>
        </w:rPr>
      </w:pPr>
      <w:r w:rsidRPr="00F2263F">
        <w:rPr>
          <w:sz w:val="24"/>
          <w:szCs w:val="24"/>
        </w:rPr>
        <w:t xml:space="preserve">Emtricitabine/Tenofovir alafenamide </w:t>
      </w:r>
      <w:r w:rsidR="008D5A42">
        <w:rPr>
          <w:sz w:val="24"/>
          <w:szCs w:val="24"/>
        </w:rPr>
        <w:t>"</w:t>
      </w:r>
      <w:r w:rsidRPr="00F2263F">
        <w:rPr>
          <w:sz w:val="24"/>
          <w:szCs w:val="24"/>
        </w:rPr>
        <w:t>Zentiva</w:t>
      </w:r>
      <w:r w:rsidR="008D5A42">
        <w:rPr>
          <w:sz w:val="24"/>
          <w:szCs w:val="24"/>
        </w:rPr>
        <w:t>"</w:t>
      </w:r>
    </w:p>
    <w:p w14:paraId="0D7A52A3" w14:textId="77777777" w:rsidR="009260DE" w:rsidRPr="00F2263F" w:rsidRDefault="009260DE" w:rsidP="009260DE">
      <w:pPr>
        <w:tabs>
          <w:tab w:val="left" w:pos="851"/>
        </w:tabs>
        <w:ind w:left="851"/>
        <w:rPr>
          <w:sz w:val="24"/>
          <w:szCs w:val="24"/>
        </w:rPr>
      </w:pPr>
    </w:p>
    <w:p w14:paraId="28C0F269" w14:textId="77777777" w:rsidR="009260DE" w:rsidRPr="00F2263F" w:rsidRDefault="009260DE" w:rsidP="009260DE">
      <w:pPr>
        <w:tabs>
          <w:tab w:val="left" w:pos="851"/>
        </w:tabs>
        <w:ind w:left="851" w:hanging="851"/>
        <w:rPr>
          <w:b/>
          <w:sz w:val="24"/>
          <w:szCs w:val="24"/>
        </w:rPr>
      </w:pPr>
      <w:r w:rsidRPr="00F2263F">
        <w:rPr>
          <w:b/>
          <w:sz w:val="24"/>
          <w:szCs w:val="24"/>
        </w:rPr>
        <w:t>2.</w:t>
      </w:r>
      <w:r w:rsidRPr="00F2263F">
        <w:rPr>
          <w:b/>
          <w:sz w:val="24"/>
          <w:szCs w:val="24"/>
        </w:rPr>
        <w:tab/>
        <w:t>KVALITATIV OG KVANTITATIV SAMMENSÆTNING</w:t>
      </w:r>
    </w:p>
    <w:p w14:paraId="3DE1B8F4" w14:textId="420E3ADC" w:rsidR="00DB1C4E" w:rsidRPr="004574DA" w:rsidRDefault="00FC122F" w:rsidP="00FC122F">
      <w:pPr>
        <w:ind w:left="851"/>
        <w:rPr>
          <w:sz w:val="24"/>
          <w:szCs w:val="24"/>
        </w:rPr>
      </w:pPr>
      <w:r w:rsidRPr="004574DA">
        <w:rPr>
          <w:sz w:val="24"/>
          <w:szCs w:val="24"/>
        </w:rPr>
        <w:t xml:space="preserve">200 mg/10 mg: </w:t>
      </w:r>
      <w:r w:rsidR="00DB1C4E" w:rsidRPr="004574DA">
        <w:rPr>
          <w:sz w:val="24"/>
          <w:szCs w:val="24"/>
        </w:rPr>
        <w:t xml:space="preserve">Hver tablet indeholder 200 mg emtricitabin og 10 mg </w:t>
      </w:r>
      <w:r w:rsidR="00202D86" w:rsidRPr="004574DA">
        <w:rPr>
          <w:sz w:val="24"/>
          <w:szCs w:val="24"/>
        </w:rPr>
        <w:t>tenofovir alafenamid</w:t>
      </w:r>
      <w:r w:rsidR="00DB1C4E" w:rsidRPr="004574DA">
        <w:rPr>
          <w:sz w:val="24"/>
          <w:szCs w:val="24"/>
        </w:rPr>
        <w:t>.</w:t>
      </w:r>
    </w:p>
    <w:p w14:paraId="54AA27A3" w14:textId="68B08597" w:rsidR="00FC122F" w:rsidRPr="004574DA" w:rsidRDefault="00FC122F" w:rsidP="00FC122F">
      <w:pPr>
        <w:ind w:left="851"/>
        <w:rPr>
          <w:sz w:val="24"/>
          <w:szCs w:val="24"/>
        </w:rPr>
      </w:pPr>
      <w:bookmarkStart w:id="1" w:name="_Hlk209185269"/>
      <w:r w:rsidRPr="004574DA">
        <w:rPr>
          <w:sz w:val="24"/>
          <w:szCs w:val="24"/>
        </w:rPr>
        <w:t xml:space="preserve">200 mg/25 mg: Hver tablet indeholder 200 mg emtricitabin og 25 mg </w:t>
      </w:r>
      <w:r w:rsidR="00202D86" w:rsidRPr="004574DA">
        <w:rPr>
          <w:sz w:val="24"/>
          <w:szCs w:val="24"/>
        </w:rPr>
        <w:t>tenofovir alafenamid</w:t>
      </w:r>
      <w:r w:rsidRPr="004574DA">
        <w:rPr>
          <w:sz w:val="24"/>
          <w:szCs w:val="24"/>
        </w:rPr>
        <w:t>.</w:t>
      </w:r>
      <w:bookmarkEnd w:id="1"/>
    </w:p>
    <w:p w14:paraId="1781361F" w14:textId="77777777" w:rsidR="00DB1C4E" w:rsidRPr="004574DA" w:rsidRDefault="00DB1C4E" w:rsidP="00FC122F">
      <w:pPr>
        <w:ind w:left="851"/>
        <w:rPr>
          <w:sz w:val="24"/>
          <w:szCs w:val="24"/>
        </w:rPr>
      </w:pPr>
    </w:p>
    <w:p w14:paraId="5305EFB2" w14:textId="77777777" w:rsidR="00DB1C4E" w:rsidRPr="004574DA" w:rsidRDefault="00DB1C4E" w:rsidP="00FC122F">
      <w:pPr>
        <w:ind w:left="851"/>
        <w:rPr>
          <w:sz w:val="24"/>
          <w:szCs w:val="24"/>
          <w:lang w:eastAsia="da-DK"/>
        </w:rPr>
      </w:pPr>
      <w:r w:rsidRPr="004574DA">
        <w:rPr>
          <w:sz w:val="24"/>
          <w:szCs w:val="24"/>
        </w:rPr>
        <w:t>Alle hjælpestoffer er anført under pkt. 6.1.</w:t>
      </w:r>
    </w:p>
    <w:p w14:paraId="2FF51996" w14:textId="77777777" w:rsidR="009260DE" w:rsidRPr="004574DA" w:rsidRDefault="009260DE" w:rsidP="009260DE">
      <w:pPr>
        <w:tabs>
          <w:tab w:val="left" w:pos="851"/>
        </w:tabs>
        <w:ind w:left="851"/>
        <w:rPr>
          <w:sz w:val="24"/>
          <w:szCs w:val="24"/>
        </w:rPr>
      </w:pPr>
    </w:p>
    <w:p w14:paraId="68E35DF1" w14:textId="77777777" w:rsidR="009260DE" w:rsidRPr="00F2263F" w:rsidRDefault="009260DE" w:rsidP="009260DE">
      <w:pPr>
        <w:tabs>
          <w:tab w:val="left" w:pos="851"/>
        </w:tabs>
        <w:ind w:left="851" w:hanging="851"/>
        <w:rPr>
          <w:b/>
          <w:sz w:val="24"/>
          <w:szCs w:val="24"/>
        </w:rPr>
      </w:pPr>
      <w:r w:rsidRPr="00F2263F">
        <w:rPr>
          <w:b/>
          <w:sz w:val="24"/>
          <w:szCs w:val="24"/>
        </w:rPr>
        <w:t>3.</w:t>
      </w:r>
      <w:r w:rsidRPr="00F2263F">
        <w:rPr>
          <w:b/>
          <w:sz w:val="24"/>
          <w:szCs w:val="24"/>
        </w:rPr>
        <w:tab/>
        <w:t>LÆGEMIDDELFORM</w:t>
      </w:r>
    </w:p>
    <w:p w14:paraId="54B1F245" w14:textId="433CC9D7" w:rsidR="00DB1C4E" w:rsidRPr="004574DA" w:rsidRDefault="00DB1C4E" w:rsidP="00053DFA">
      <w:pPr>
        <w:ind w:left="851"/>
        <w:rPr>
          <w:sz w:val="24"/>
          <w:szCs w:val="24"/>
          <w:lang w:eastAsia="da-DK"/>
        </w:rPr>
      </w:pPr>
      <w:r w:rsidRPr="004574DA">
        <w:rPr>
          <w:sz w:val="24"/>
          <w:szCs w:val="24"/>
        </w:rPr>
        <w:t>Filmovertruk</w:t>
      </w:r>
      <w:r w:rsidR="00F2263F" w:rsidRPr="004574DA">
        <w:rPr>
          <w:sz w:val="24"/>
          <w:szCs w:val="24"/>
        </w:rPr>
        <w:t>ne</w:t>
      </w:r>
      <w:r w:rsidRPr="004574DA">
        <w:rPr>
          <w:sz w:val="24"/>
          <w:szCs w:val="24"/>
        </w:rPr>
        <w:t xml:space="preserve"> tablet</w:t>
      </w:r>
      <w:r w:rsidR="00B23088" w:rsidRPr="004574DA">
        <w:rPr>
          <w:sz w:val="24"/>
          <w:szCs w:val="24"/>
        </w:rPr>
        <w:t>ter</w:t>
      </w:r>
    </w:p>
    <w:p w14:paraId="49A836C7" w14:textId="77777777" w:rsidR="00DB1C4E" w:rsidRPr="004574DA" w:rsidRDefault="00DB1C4E" w:rsidP="00053DFA">
      <w:pPr>
        <w:ind w:left="851"/>
        <w:rPr>
          <w:sz w:val="24"/>
          <w:szCs w:val="24"/>
        </w:rPr>
      </w:pPr>
    </w:p>
    <w:p w14:paraId="554A57D8" w14:textId="6B07B174" w:rsidR="00DB1C4E" w:rsidRPr="004574DA" w:rsidRDefault="00FC122F" w:rsidP="00FC122F">
      <w:pPr>
        <w:ind w:left="851"/>
        <w:rPr>
          <w:sz w:val="24"/>
          <w:szCs w:val="24"/>
        </w:rPr>
      </w:pPr>
      <w:r w:rsidRPr="004574DA">
        <w:rPr>
          <w:sz w:val="24"/>
          <w:szCs w:val="24"/>
        </w:rPr>
        <w:t xml:space="preserve">200 mg/10 mg: </w:t>
      </w:r>
      <w:r w:rsidR="00DB1C4E" w:rsidRPr="004574DA">
        <w:rPr>
          <w:sz w:val="24"/>
          <w:szCs w:val="24"/>
        </w:rPr>
        <w:t>Grå oval filmovertrukke</w:t>
      </w:r>
      <w:r w:rsidR="00B23088" w:rsidRPr="004574DA">
        <w:rPr>
          <w:sz w:val="24"/>
          <w:szCs w:val="24"/>
        </w:rPr>
        <w:t>t</w:t>
      </w:r>
      <w:r w:rsidR="00DB1C4E" w:rsidRPr="004574DA">
        <w:rPr>
          <w:sz w:val="24"/>
          <w:szCs w:val="24"/>
        </w:rPr>
        <w:t xml:space="preserve"> tablet med dimensionerne 12,5 × 6,4 mm.</w:t>
      </w:r>
    </w:p>
    <w:p w14:paraId="6703BF10" w14:textId="77777777" w:rsidR="00FC122F" w:rsidRPr="004574DA" w:rsidRDefault="00FC122F" w:rsidP="00FC122F">
      <w:pPr>
        <w:ind w:left="851"/>
        <w:rPr>
          <w:sz w:val="24"/>
          <w:szCs w:val="24"/>
        </w:rPr>
      </w:pPr>
    </w:p>
    <w:p w14:paraId="536950C4" w14:textId="6E7AFDF2" w:rsidR="00FC122F" w:rsidRPr="004574DA" w:rsidRDefault="00FC122F" w:rsidP="00FC122F">
      <w:pPr>
        <w:ind w:left="851"/>
        <w:rPr>
          <w:bCs/>
          <w:color w:val="000000" w:themeColor="text1"/>
          <w:sz w:val="24"/>
          <w:szCs w:val="24"/>
        </w:rPr>
      </w:pPr>
      <w:r w:rsidRPr="004574DA">
        <w:rPr>
          <w:sz w:val="24"/>
          <w:szCs w:val="24"/>
        </w:rPr>
        <w:t xml:space="preserve">200 mg/25 mg: </w:t>
      </w:r>
      <w:r w:rsidRPr="004574DA">
        <w:rPr>
          <w:bCs/>
          <w:color w:val="000000" w:themeColor="text1"/>
          <w:sz w:val="24"/>
          <w:szCs w:val="24"/>
        </w:rPr>
        <w:t>Hvid oval filmovertrukket tablet med en dekorativ delekærv på den ene side og med dimensionerne 2,5 × 6,4 mm.</w:t>
      </w:r>
    </w:p>
    <w:p w14:paraId="7F6D19A2" w14:textId="177D56D0" w:rsidR="00202D86" w:rsidRPr="004574DA" w:rsidRDefault="00202D86" w:rsidP="00FC122F">
      <w:pPr>
        <w:ind w:left="851"/>
        <w:rPr>
          <w:bCs/>
          <w:color w:val="000000" w:themeColor="text1"/>
          <w:sz w:val="24"/>
          <w:szCs w:val="24"/>
          <w:lang w:eastAsia="da-DK"/>
        </w:rPr>
      </w:pPr>
      <w:r w:rsidRPr="004574DA">
        <w:rPr>
          <w:bCs/>
          <w:color w:val="000000" w:themeColor="text1"/>
          <w:sz w:val="24"/>
          <w:szCs w:val="24"/>
        </w:rPr>
        <w:t>Delekærven er ikke beregnet til at dele tabletten.</w:t>
      </w:r>
    </w:p>
    <w:p w14:paraId="5AC2223B" w14:textId="77777777" w:rsidR="009260DE" w:rsidRPr="004574DA" w:rsidRDefault="009260DE" w:rsidP="009260DE">
      <w:pPr>
        <w:tabs>
          <w:tab w:val="left" w:pos="851"/>
        </w:tabs>
        <w:ind w:left="851"/>
        <w:rPr>
          <w:sz w:val="24"/>
          <w:szCs w:val="24"/>
        </w:rPr>
      </w:pPr>
    </w:p>
    <w:p w14:paraId="64A81383" w14:textId="77777777" w:rsidR="009260DE" w:rsidRPr="004574DA" w:rsidRDefault="009260DE" w:rsidP="009260DE">
      <w:pPr>
        <w:tabs>
          <w:tab w:val="left" w:pos="851"/>
        </w:tabs>
        <w:ind w:left="851"/>
        <w:rPr>
          <w:sz w:val="24"/>
          <w:szCs w:val="24"/>
        </w:rPr>
      </w:pPr>
    </w:p>
    <w:p w14:paraId="1F017FE1" w14:textId="77777777" w:rsidR="009260DE" w:rsidRPr="00F2263F" w:rsidRDefault="009260DE" w:rsidP="009260DE">
      <w:pPr>
        <w:tabs>
          <w:tab w:val="left" w:pos="851"/>
        </w:tabs>
        <w:ind w:left="851" w:hanging="851"/>
        <w:rPr>
          <w:b/>
          <w:sz w:val="24"/>
          <w:szCs w:val="24"/>
        </w:rPr>
      </w:pPr>
      <w:r w:rsidRPr="00F2263F">
        <w:rPr>
          <w:b/>
          <w:sz w:val="24"/>
          <w:szCs w:val="24"/>
        </w:rPr>
        <w:t>4.</w:t>
      </w:r>
      <w:r w:rsidRPr="00F2263F">
        <w:rPr>
          <w:b/>
          <w:sz w:val="24"/>
          <w:szCs w:val="24"/>
        </w:rPr>
        <w:tab/>
        <w:t>KLINISKE OPLYSNINGER</w:t>
      </w:r>
    </w:p>
    <w:p w14:paraId="179394CF" w14:textId="77777777" w:rsidR="009260DE" w:rsidRPr="00F2263F" w:rsidRDefault="009260DE" w:rsidP="009260DE">
      <w:pPr>
        <w:tabs>
          <w:tab w:val="left" w:pos="851"/>
        </w:tabs>
        <w:ind w:left="851"/>
        <w:rPr>
          <w:b/>
          <w:sz w:val="24"/>
          <w:szCs w:val="24"/>
        </w:rPr>
      </w:pPr>
    </w:p>
    <w:p w14:paraId="13C09A46" w14:textId="77777777" w:rsidR="009260DE" w:rsidRPr="00F2263F" w:rsidRDefault="009260DE" w:rsidP="009260DE">
      <w:pPr>
        <w:tabs>
          <w:tab w:val="left" w:pos="851"/>
        </w:tabs>
        <w:ind w:left="851" w:hanging="851"/>
        <w:rPr>
          <w:b/>
          <w:sz w:val="24"/>
          <w:szCs w:val="24"/>
          <w:u w:val="single"/>
        </w:rPr>
      </w:pPr>
      <w:r w:rsidRPr="00F2263F">
        <w:rPr>
          <w:b/>
          <w:sz w:val="24"/>
          <w:szCs w:val="24"/>
        </w:rPr>
        <w:t>4.1</w:t>
      </w:r>
      <w:r w:rsidRPr="00F2263F">
        <w:rPr>
          <w:b/>
          <w:sz w:val="24"/>
          <w:szCs w:val="24"/>
        </w:rPr>
        <w:tab/>
        <w:t>Terapeutiske indikationer</w:t>
      </w:r>
    </w:p>
    <w:p w14:paraId="152B302F" w14:textId="41936B72" w:rsidR="00DB1C4E" w:rsidRPr="00F2263F" w:rsidRDefault="00DB1C4E" w:rsidP="00053DFA">
      <w:pPr>
        <w:ind w:left="851"/>
        <w:rPr>
          <w:bCs/>
          <w:sz w:val="24"/>
          <w:szCs w:val="24"/>
          <w:lang w:eastAsia="da-DK"/>
        </w:rPr>
      </w:pPr>
      <w:r w:rsidRPr="00F2263F">
        <w:rPr>
          <w:bCs/>
          <w:sz w:val="24"/>
          <w:szCs w:val="24"/>
        </w:rPr>
        <w:t xml:space="preserve">Emtricitabine/Tenofovir alafenamide </w:t>
      </w:r>
      <w:r w:rsidR="008D5A42">
        <w:rPr>
          <w:bCs/>
          <w:sz w:val="24"/>
          <w:szCs w:val="24"/>
        </w:rPr>
        <w:t>"</w:t>
      </w:r>
      <w:r w:rsidRPr="00F2263F">
        <w:rPr>
          <w:bCs/>
          <w:sz w:val="24"/>
          <w:szCs w:val="24"/>
        </w:rPr>
        <w:t>Zentiva</w:t>
      </w:r>
      <w:r w:rsidR="008D5A42">
        <w:rPr>
          <w:bCs/>
          <w:sz w:val="24"/>
          <w:szCs w:val="24"/>
        </w:rPr>
        <w:t>"</w:t>
      </w:r>
      <w:r w:rsidRPr="00F2263F">
        <w:rPr>
          <w:bCs/>
          <w:sz w:val="24"/>
          <w:szCs w:val="24"/>
        </w:rPr>
        <w:t xml:space="preserve"> </w:t>
      </w:r>
      <w:r w:rsidRPr="00F2263F">
        <w:rPr>
          <w:sz w:val="24"/>
          <w:szCs w:val="24"/>
        </w:rPr>
        <w:t>er indiceret i kombination med andre antiretrovirale stoffer til behandling af voksne og unge (i alderen 12 år og ældre, med en legemsvægt på mindst 35 kg), som er inficerede med humant immundefekt virus type 1 (hiv 1) (se pkt. 4.2 og 5.1).</w:t>
      </w:r>
    </w:p>
    <w:p w14:paraId="00BA8C86" w14:textId="77777777" w:rsidR="009260DE" w:rsidRPr="00F2263F" w:rsidRDefault="009260DE" w:rsidP="009260DE">
      <w:pPr>
        <w:tabs>
          <w:tab w:val="left" w:pos="851"/>
        </w:tabs>
        <w:ind w:left="851"/>
        <w:rPr>
          <w:sz w:val="24"/>
          <w:szCs w:val="24"/>
        </w:rPr>
      </w:pPr>
    </w:p>
    <w:p w14:paraId="0FAD9313" w14:textId="77777777" w:rsidR="009260DE" w:rsidRPr="00F2263F" w:rsidRDefault="009260DE" w:rsidP="009260DE">
      <w:pPr>
        <w:tabs>
          <w:tab w:val="left" w:pos="851"/>
        </w:tabs>
        <w:ind w:left="851" w:hanging="851"/>
        <w:rPr>
          <w:b/>
          <w:sz w:val="24"/>
          <w:szCs w:val="24"/>
        </w:rPr>
      </w:pPr>
      <w:r w:rsidRPr="00F2263F">
        <w:rPr>
          <w:b/>
          <w:sz w:val="24"/>
          <w:szCs w:val="24"/>
        </w:rPr>
        <w:t>4.2</w:t>
      </w:r>
      <w:r w:rsidRPr="00F2263F">
        <w:rPr>
          <w:b/>
          <w:sz w:val="24"/>
          <w:szCs w:val="24"/>
        </w:rPr>
        <w:tab/>
        <w:t xml:space="preserve">Dosering og </w:t>
      </w:r>
      <w:r w:rsidR="002C1EC0" w:rsidRPr="00F2263F">
        <w:rPr>
          <w:b/>
          <w:sz w:val="24"/>
          <w:szCs w:val="24"/>
        </w:rPr>
        <w:t>administration</w:t>
      </w:r>
    </w:p>
    <w:p w14:paraId="6794CA95" w14:textId="77777777" w:rsidR="00DB1C4E" w:rsidRPr="00F2263F" w:rsidRDefault="00DB1C4E" w:rsidP="00053DFA">
      <w:pPr>
        <w:ind w:left="851"/>
        <w:rPr>
          <w:rFonts w:eastAsia="MS Mincho"/>
          <w:sz w:val="24"/>
          <w:szCs w:val="24"/>
          <w:lang w:eastAsia="fr-FR"/>
        </w:rPr>
      </w:pPr>
      <w:r w:rsidRPr="00F2263F">
        <w:rPr>
          <w:rFonts w:eastAsia="MS Mincho"/>
          <w:sz w:val="24"/>
          <w:szCs w:val="24"/>
          <w:lang w:eastAsia="fr-FR"/>
        </w:rPr>
        <w:t>Behandlingen skal påbegyndes af en læge med erfaring i behandlingen af hiv-infektion.</w:t>
      </w:r>
    </w:p>
    <w:p w14:paraId="522CA373" w14:textId="7406112F" w:rsidR="004574DA" w:rsidRDefault="004574DA">
      <w:pPr>
        <w:rPr>
          <w:rFonts w:eastAsia="MS Mincho"/>
          <w:sz w:val="24"/>
          <w:szCs w:val="24"/>
          <w:lang w:eastAsia="fr-FR"/>
        </w:rPr>
      </w:pPr>
      <w:r>
        <w:rPr>
          <w:rFonts w:eastAsia="MS Mincho"/>
          <w:sz w:val="24"/>
          <w:szCs w:val="24"/>
          <w:lang w:eastAsia="fr-FR"/>
        </w:rPr>
        <w:br w:type="page"/>
      </w:r>
    </w:p>
    <w:p w14:paraId="27CE3E0C" w14:textId="77777777" w:rsidR="00DB1C4E" w:rsidRPr="00F2263F" w:rsidRDefault="00DB1C4E" w:rsidP="00053DFA">
      <w:pPr>
        <w:ind w:left="851"/>
        <w:rPr>
          <w:rFonts w:eastAsia="MS Mincho"/>
          <w:sz w:val="24"/>
          <w:szCs w:val="24"/>
          <w:lang w:eastAsia="fr-FR"/>
        </w:rPr>
      </w:pPr>
    </w:p>
    <w:p w14:paraId="15874D25" w14:textId="77777777" w:rsidR="00DB1C4E" w:rsidRPr="00F2263F" w:rsidRDefault="00DB1C4E" w:rsidP="00053DFA">
      <w:pPr>
        <w:ind w:left="851"/>
        <w:rPr>
          <w:rFonts w:eastAsia="MS Mincho"/>
          <w:sz w:val="24"/>
          <w:szCs w:val="24"/>
          <w:u w:val="single"/>
          <w:lang w:eastAsia="fr-FR"/>
        </w:rPr>
      </w:pPr>
      <w:r w:rsidRPr="00F2263F">
        <w:rPr>
          <w:rFonts w:eastAsia="MS Mincho"/>
          <w:sz w:val="24"/>
          <w:szCs w:val="24"/>
          <w:u w:val="single"/>
          <w:lang w:eastAsia="fr-FR"/>
        </w:rPr>
        <w:t>Dosering</w:t>
      </w:r>
    </w:p>
    <w:p w14:paraId="02A73A2B" w14:textId="77777777" w:rsidR="00DB1C4E" w:rsidRPr="00F2263F" w:rsidRDefault="00DB1C4E" w:rsidP="00053DFA">
      <w:pPr>
        <w:ind w:left="851"/>
        <w:rPr>
          <w:rFonts w:eastAsia="MS Mincho"/>
          <w:sz w:val="24"/>
          <w:szCs w:val="24"/>
          <w:lang w:eastAsia="fr-FR"/>
        </w:rPr>
      </w:pPr>
    </w:p>
    <w:p w14:paraId="646F4029" w14:textId="0E00675C" w:rsidR="00DB1C4E" w:rsidRPr="00F2263F" w:rsidRDefault="00DB1C4E" w:rsidP="00053DFA">
      <w:pPr>
        <w:ind w:left="851"/>
        <w:rPr>
          <w:rFonts w:eastAsia="MS Mincho"/>
          <w:sz w:val="24"/>
          <w:szCs w:val="24"/>
          <w:lang w:eastAsia="fr-FR"/>
        </w:rPr>
      </w:pPr>
      <w:r w:rsidRPr="00F2263F">
        <w:rPr>
          <w:bCs/>
          <w:sz w:val="24"/>
          <w:szCs w:val="24"/>
        </w:rPr>
        <w:t xml:space="preserve">Emtricitabine/Tenofovir alafenamide </w:t>
      </w:r>
      <w:r w:rsidR="008D5A42">
        <w:rPr>
          <w:bCs/>
          <w:sz w:val="24"/>
          <w:szCs w:val="24"/>
        </w:rPr>
        <w:t>"</w:t>
      </w:r>
      <w:r w:rsidRPr="00F2263F">
        <w:rPr>
          <w:bCs/>
          <w:sz w:val="24"/>
          <w:szCs w:val="24"/>
        </w:rPr>
        <w:t>Zentiva</w:t>
      </w:r>
      <w:r w:rsidR="008D5A42">
        <w:rPr>
          <w:bCs/>
          <w:sz w:val="24"/>
          <w:szCs w:val="24"/>
        </w:rPr>
        <w:t>"</w:t>
      </w:r>
      <w:r w:rsidRPr="00F2263F">
        <w:rPr>
          <w:bCs/>
          <w:sz w:val="24"/>
          <w:szCs w:val="24"/>
        </w:rPr>
        <w:t xml:space="preserve"> </w:t>
      </w:r>
      <w:r w:rsidRPr="00F2263F">
        <w:rPr>
          <w:rFonts w:eastAsia="MS Mincho"/>
          <w:sz w:val="24"/>
          <w:szCs w:val="24"/>
          <w:lang w:eastAsia="fr-FR"/>
        </w:rPr>
        <w:t>skal administreres som vist i tabel 1.</w:t>
      </w:r>
    </w:p>
    <w:p w14:paraId="1AFD5C1C" w14:textId="77777777" w:rsidR="00DB1C4E" w:rsidRPr="00F2263F" w:rsidRDefault="00DB1C4E" w:rsidP="00053DFA">
      <w:pPr>
        <w:ind w:left="851"/>
        <w:rPr>
          <w:rFonts w:eastAsia="MS Mincho"/>
          <w:sz w:val="24"/>
          <w:szCs w:val="24"/>
          <w:lang w:eastAsia="fr-FR"/>
        </w:rPr>
      </w:pPr>
    </w:p>
    <w:p w14:paraId="04C36848" w14:textId="03E307A1" w:rsidR="00DB1C4E" w:rsidRPr="00F2263F" w:rsidRDefault="00DB1C4E" w:rsidP="00DB1C4E">
      <w:pPr>
        <w:keepNext/>
        <w:suppressAutoHyphens/>
        <w:rPr>
          <w:rFonts w:eastAsia="MS Mincho"/>
          <w:b/>
          <w:bCs/>
          <w:color w:val="000000" w:themeColor="text1"/>
          <w:sz w:val="24"/>
          <w:szCs w:val="24"/>
          <w:lang w:eastAsia="fr-FR"/>
        </w:rPr>
      </w:pPr>
      <w:r w:rsidRPr="00F2263F">
        <w:rPr>
          <w:rFonts w:eastAsia="MS Mincho"/>
          <w:b/>
          <w:bCs/>
          <w:color w:val="000000" w:themeColor="text1"/>
          <w:sz w:val="24"/>
          <w:szCs w:val="24"/>
          <w:lang w:eastAsia="fr-FR"/>
        </w:rPr>
        <w:t xml:space="preserve">Tabel 1: Dosis af </w:t>
      </w:r>
      <w:r w:rsidRPr="00F2263F">
        <w:rPr>
          <w:b/>
          <w:bCs/>
          <w:sz w:val="24"/>
          <w:szCs w:val="24"/>
        </w:rPr>
        <w:t xml:space="preserve">Emtricitabine/Tenofovir alafenamide </w:t>
      </w:r>
      <w:r w:rsidR="008D5A42">
        <w:rPr>
          <w:b/>
          <w:bCs/>
          <w:sz w:val="24"/>
          <w:szCs w:val="24"/>
        </w:rPr>
        <w:t>"</w:t>
      </w:r>
      <w:r w:rsidRPr="00F2263F">
        <w:rPr>
          <w:b/>
          <w:bCs/>
          <w:sz w:val="24"/>
          <w:szCs w:val="24"/>
        </w:rPr>
        <w:t>Zentiva</w:t>
      </w:r>
      <w:r w:rsidR="008D5A42">
        <w:rPr>
          <w:b/>
          <w:bCs/>
          <w:sz w:val="24"/>
          <w:szCs w:val="24"/>
        </w:rPr>
        <w:t>"</w:t>
      </w:r>
      <w:r w:rsidRPr="00F2263F">
        <w:rPr>
          <w:b/>
          <w:bCs/>
          <w:sz w:val="24"/>
          <w:szCs w:val="24"/>
        </w:rPr>
        <w:t xml:space="preserve"> </w:t>
      </w:r>
      <w:r w:rsidRPr="00F2263F">
        <w:rPr>
          <w:rFonts w:eastAsia="MS Mincho"/>
          <w:b/>
          <w:bCs/>
          <w:color w:val="000000" w:themeColor="text1"/>
          <w:sz w:val="24"/>
          <w:szCs w:val="24"/>
          <w:lang w:eastAsia="fr-FR"/>
        </w:rPr>
        <w:t>i henhold til behandlingsregime for hiv med et tredje stof</w:t>
      </w:r>
    </w:p>
    <w:p w14:paraId="578437EB" w14:textId="77777777" w:rsidR="00DB1C4E" w:rsidRPr="00F2263F" w:rsidRDefault="00DB1C4E" w:rsidP="00DB1C4E">
      <w:pPr>
        <w:pStyle w:val="Brdtekst"/>
        <w:keepNext/>
        <w:widowControl/>
        <w:suppressAutoHyphens/>
        <w:kinsoku w:val="0"/>
        <w:overflowPunct w:val="0"/>
        <w:ind w:left="0"/>
        <w:rPr>
          <w:color w:val="000000" w:themeColor="text1"/>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698"/>
        <w:gridCol w:w="4930"/>
      </w:tblGrid>
      <w:tr w:rsidR="00DB1C4E" w:rsidRPr="00EF0A4B" w14:paraId="439B6181" w14:textId="77777777" w:rsidTr="00053DFA">
        <w:trPr>
          <w:cantSplit/>
          <w:trHeight w:val="440"/>
        </w:trPr>
        <w:tc>
          <w:tcPr>
            <w:tcW w:w="2440" w:type="pct"/>
            <w:tcBorders>
              <w:top w:val="single" w:sz="4" w:space="0" w:color="000000"/>
              <w:left w:val="single" w:sz="4" w:space="0" w:color="000000"/>
              <w:bottom w:val="single" w:sz="4" w:space="0" w:color="000000"/>
              <w:right w:val="single" w:sz="4" w:space="0" w:color="000000"/>
            </w:tcBorders>
            <w:hideMark/>
          </w:tcPr>
          <w:p w14:paraId="06622132" w14:textId="712E784D" w:rsidR="00DB1C4E" w:rsidRPr="00EF0A4B" w:rsidRDefault="00DB1C4E">
            <w:pPr>
              <w:pStyle w:val="TableParagraph"/>
              <w:keepNext/>
              <w:widowControl/>
              <w:ind w:left="142"/>
              <w:rPr>
                <w:b/>
                <w:sz w:val="22"/>
                <w:szCs w:val="22"/>
                <w:lang w:val="ru-RU" w:eastAsia="ru-RU"/>
              </w:rPr>
            </w:pPr>
            <w:r w:rsidRPr="00EF0A4B">
              <w:rPr>
                <w:b/>
                <w:sz w:val="22"/>
                <w:szCs w:val="22"/>
                <w:lang w:val="ru-RU" w:eastAsia="ru-RU"/>
              </w:rPr>
              <w:t xml:space="preserve">Dosis af Emtricitabine/Tenofovir alafenamide </w:t>
            </w:r>
            <w:r w:rsidR="008D5A42" w:rsidRPr="00EF0A4B">
              <w:rPr>
                <w:b/>
                <w:sz w:val="22"/>
                <w:szCs w:val="22"/>
                <w:lang w:val="ru-RU" w:eastAsia="ru-RU"/>
              </w:rPr>
              <w:t>"</w:t>
            </w:r>
            <w:r w:rsidRPr="00EF0A4B">
              <w:rPr>
                <w:b/>
                <w:sz w:val="22"/>
                <w:szCs w:val="22"/>
                <w:lang w:val="ru-RU" w:eastAsia="ru-RU"/>
              </w:rPr>
              <w:t>Zentiva</w:t>
            </w:r>
            <w:r w:rsidR="008D5A42" w:rsidRPr="00EF0A4B">
              <w:rPr>
                <w:b/>
                <w:sz w:val="22"/>
                <w:szCs w:val="22"/>
                <w:lang w:val="ru-RU" w:eastAsia="ru-RU"/>
              </w:rPr>
              <w:t>"</w:t>
            </w:r>
          </w:p>
        </w:tc>
        <w:tc>
          <w:tcPr>
            <w:tcW w:w="2560" w:type="pct"/>
            <w:tcBorders>
              <w:top w:val="single" w:sz="4" w:space="0" w:color="000000"/>
              <w:left w:val="single" w:sz="4" w:space="0" w:color="000000"/>
              <w:bottom w:val="single" w:sz="4" w:space="0" w:color="000000"/>
              <w:right w:val="single" w:sz="4" w:space="0" w:color="000000"/>
            </w:tcBorders>
            <w:hideMark/>
          </w:tcPr>
          <w:p w14:paraId="7DA02113" w14:textId="77777777" w:rsidR="00DB1C4E" w:rsidRPr="00EF0A4B" w:rsidRDefault="00DB1C4E">
            <w:pPr>
              <w:pStyle w:val="TableParagraph"/>
              <w:keepNext/>
              <w:widowControl/>
              <w:ind w:left="142"/>
              <w:rPr>
                <w:b/>
                <w:sz w:val="22"/>
                <w:szCs w:val="22"/>
                <w:lang w:val="ru-RU" w:eastAsia="ru-RU"/>
              </w:rPr>
            </w:pPr>
            <w:r w:rsidRPr="00EF0A4B">
              <w:rPr>
                <w:b/>
                <w:sz w:val="22"/>
                <w:szCs w:val="22"/>
                <w:lang w:val="ru-RU" w:eastAsia="ru-RU"/>
              </w:rPr>
              <w:t>Tredje stof i behandlingsregime for hiv</w:t>
            </w:r>
          </w:p>
          <w:p w14:paraId="0321D2A9" w14:textId="77777777" w:rsidR="00DB1C4E" w:rsidRPr="00EF0A4B" w:rsidRDefault="00DB1C4E">
            <w:pPr>
              <w:pStyle w:val="TableParagraph"/>
              <w:keepNext/>
              <w:widowControl/>
              <w:ind w:left="142"/>
              <w:rPr>
                <w:bCs/>
                <w:sz w:val="22"/>
                <w:szCs w:val="22"/>
                <w:lang w:val="ru-RU" w:eastAsia="ru-RU"/>
              </w:rPr>
            </w:pPr>
            <w:r w:rsidRPr="00EF0A4B">
              <w:rPr>
                <w:bCs/>
                <w:sz w:val="22"/>
                <w:szCs w:val="22"/>
                <w:lang w:val="ru-RU" w:eastAsia="ru-RU"/>
              </w:rPr>
              <w:t>(se pkt. 4.5)</w:t>
            </w:r>
          </w:p>
        </w:tc>
      </w:tr>
      <w:tr w:rsidR="00DB1C4E" w:rsidRPr="00EF0A4B" w14:paraId="574DCAEF" w14:textId="77777777" w:rsidTr="00053DFA">
        <w:trPr>
          <w:cantSplit/>
          <w:trHeight w:val="680"/>
        </w:trPr>
        <w:tc>
          <w:tcPr>
            <w:tcW w:w="2440" w:type="pct"/>
            <w:tcBorders>
              <w:top w:val="single" w:sz="4" w:space="0" w:color="000000"/>
              <w:left w:val="single" w:sz="4" w:space="0" w:color="000000"/>
              <w:bottom w:val="single" w:sz="4" w:space="0" w:color="000000"/>
              <w:right w:val="single" w:sz="4" w:space="0" w:color="000000"/>
            </w:tcBorders>
            <w:hideMark/>
          </w:tcPr>
          <w:p w14:paraId="3AF86FFA" w14:textId="51E574AD" w:rsidR="00DB1C4E" w:rsidRPr="00EF0A4B" w:rsidRDefault="00DB1C4E">
            <w:pPr>
              <w:pStyle w:val="TableParagraph"/>
              <w:keepNext/>
              <w:widowControl/>
              <w:ind w:left="142"/>
              <w:rPr>
                <w:sz w:val="22"/>
                <w:szCs w:val="22"/>
                <w:lang w:val="ru-RU" w:eastAsia="ru-RU"/>
              </w:rPr>
            </w:pPr>
            <w:r w:rsidRPr="00EF0A4B">
              <w:rPr>
                <w:sz w:val="22"/>
                <w:szCs w:val="22"/>
                <w:lang w:val="ru-RU" w:eastAsia="ru-RU"/>
              </w:rPr>
              <w:t xml:space="preserve">Emtricitabine/Tenofovir alafenamide </w:t>
            </w:r>
            <w:r w:rsidR="008D5A42" w:rsidRPr="00EF0A4B">
              <w:rPr>
                <w:sz w:val="22"/>
                <w:szCs w:val="22"/>
                <w:lang w:val="ru-RU" w:eastAsia="ru-RU"/>
              </w:rPr>
              <w:t>"</w:t>
            </w:r>
            <w:r w:rsidRPr="00EF0A4B">
              <w:rPr>
                <w:sz w:val="22"/>
                <w:szCs w:val="22"/>
                <w:lang w:val="ru-RU" w:eastAsia="ru-RU"/>
              </w:rPr>
              <w:t>Zentiva</w:t>
            </w:r>
            <w:r w:rsidR="008D5A42" w:rsidRPr="00EF0A4B">
              <w:rPr>
                <w:sz w:val="22"/>
                <w:szCs w:val="22"/>
                <w:lang w:val="ru-RU" w:eastAsia="ru-RU"/>
              </w:rPr>
              <w:t>"</w:t>
            </w:r>
            <w:r w:rsidRPr="00EF0A4B">
              <w:rPr>
                <w:sz w:val="22"/>
                <w:szCs w:val="22"/>
                <w:lang w:val="ru-RU" w:eastAsia="ru-RU"/>
              </w:rPr>
              <w:t xml:space="preserve"> 200/10 mg én gang dagligt</w:t>
            </w:r>
          </w:p>
        </w:tc>
        <w:tc>
          <w:tcPr>
            <w:tcW w:w="2560" w:type="pct"/>
            <w:tcBorders>
              <w:top w:val="single" w:sz="4" w:space="0" w:color="000000"/>
              <w:left w:val="single" w:sz="4" w:space="0" w:color="000000"/>
              <w:bottom w:val="single" w:sz="4" w:space="0" w:color="000000"/>
              <w:right w:val="single" w:sz="4" w:space="0" w:color="000000"/>
            </w:tcBorders>
            <w:hideMark/>
          </w:tcPr>
          <w:p w14:paraId="67EC99B1" w14:textId="77777777" w:rsidR="00DB1C4E" w:rsidRPr="00EF0A4B" w:rsidRDefault="00DB1C4E">
            <w:pPr>
              <w:pStyle w:val="TableParagraph"/>
              <w:keepNext/>
              <w:widowControl/>
              <w:ind w:left="142"/>
              <w:rPr>
                <w:sz w:val="22"/>
                <w:szCs w:val="22"/>
                <w:lang w:val="ru-RU" w:eastAsia="ru-RU"/>
              </w:rPr>
            </w:pPr>
            <w:r w:rsidRPr="00EF0A4B">
              <w:rPr>
                <w:sz w:val="22"/>
                <w:szCs w:val="22"/>
                <w:lang w:val="ru-RU" w:eastAsia="ru-RU"/>
              </w:rPr>
              <w:t>Atazanavir sammen med ritonavir eller cobicistat</w:t>
            </w:r>
          </w:p>
          <w:p w14:paraId="7AD10D43" w14:textId="77777777" w:rsidR="00DB1C4E" w:rsidRPr="00EF0A4B" w:rsidRDefault="00DB1C4E">
            <w:pPr>
              <w:pStyle w:val="TableParagraph"/>
              <w:keepNext/>
              <w:widowControl/>
              <w:ind w:left="142"/>
              <w:rPr>
                <w:sz w:val="22"/>
                <w:szCs w:val="22"/>
                <w:lang w:val="ru-RU" w:eastAsia="ru-RU"/>
              </w:rPr>
            </w:pPr>
            <w:r w:rsidRPr="00EF0A4B">
              <w:rPr>
                <w:sz w:val="22"/>
                <w:szCs w:val="22"/>
                <w:lang w:val="ru-RU" w:eastAsia="ru-RU"/>
              </w:rPr>
              <w:t>Darunavir sammen med ritonavir eller cobicistat</w:t>
            </w:r>
            <w:r w:rsidRPr="00EF0A4B">
              <w:rPr>
                <w:sz w:val="22"/>
                <w:szCs w:val="22"/>
                <w:vertAlign w:val="superscript"/>
                <w:lang w:val="ru-RU" w:eastAsia="ru-RU"/>
              </w:rPr>
              <w:t>1</w:t>
            </w:r>
          </w:p>
          <w:p w14:paraId="40F6CE1B" w14:textId="77777777" w:rsidR="00DB1C4E" w:rsidRPr="00EF0A4B" w:rsidRDefault="00DB1C4E">
            <w:pPr>
              <w:pStyle w:val="TableParagraph"/>
              <w:keepNext/>
              <w:widowControl/>
              <w:ind w:left="142"/>
              <w:rPr>
                <w:sz w:val="22"/>
                <w:szCs w:val="22"/>
                <w:lang w:val="ru-RU" w:eastAsia="ru-RU"/>
              </w:rPr>
            </w:pPr>
            <w:r w:rsidRPr="00EF0A4B">
              <w:rPr>
                <w:sz w:val="22"/>
                <w:szCs w:val="22"/>
                <w:lang w:val="ru-RU" w:eastAsia="ru-RU"/>
              </w:rPr>
              <w:t>Lopinavir sammen med ritonavir</w:t>
            </w:r>
          </w:p>
        </w:tc>
      </w:tr>
      <w:tr w:rsidR="00DB1C4E" w:rsidRPr="008C6C21" w14:paraId="57ED7F35" w14:textId="77777777" w:rsidTr="00053DFA">
        <w:trPr>
          <w:cantSplit/>
          <w:trHeight w:val="457"/>
        </w:trPr>
        <w:tc>
          <w:tcPr>
            <w:tcW w:w="2440" w:type="pct"/>
            <w:tcBorders>
              <w:top w:val="single" w:sz="4" w:space="0" w:color="000000"/>
              <w:left w:val="single" w:sz="4" w:space="0" w:color="000000"/>
              <w:bottom w:val="single" w:sz="4" w:space="0" w:color="000000"/>
              <w:right w:val="single" w:sz="4" w:space="0" w:color="000000"/>
            </w:tcBorders>
            <w:hideMark/>
          </w:tcPr>
          <w:p w14:paraId="5E6F0698" w14:textId="7BBD58F7" w:rsidR="00DB1C4E" w:rsidRPr="00EF0A4B" w:rsidRDefault="00DB1C4E">
            <w:pPr>
              <w:pStyle w:val="TableParagraph"/>
              <w:ind w:left="142"/>
              <w:rPr>
                <w:sz w:val="22"/>
                <w:szCs w:val="22"/>
                <w:lang w:val="ru-RU" w:eastAsia="ru-RU"/>
              </w:rPr>
            </w:pPr>
            <w:r w:rsidRPr="00EF0A4B">
              <w:rPr>
                <w:sz w:val="22"/>
                <w:szCs w:val="22"/>
                <w:lang w:val="ru-RU" w:eastAsia="ru-RU"/>
              </w:rPr>
              <w:t xml:space="preserve">Emtricitabine/Tenofovir alafenamide </w:t>
            </w:r>
            <w:r w:rsidR="008D5A42" w:rsidRPr="00EF0A4B">
              <w:rPr>
                <w:sz w:val="22"/>
                <w:szCs w:val="22"/>
                <w:lang w:val="ru-RU" w:eastAsia="ru-RU"/>
              </w:rPr>
              <w:t>"</w:t>
            </w:r>
            <w:r w:rsidRPr="00EF0A4B">
              <w:rPr>
                <w:sz w:val="22"/>
                <w:szCs w:val="22"/>
                <w:lang w:val="ru-RU" w:eastAsia="ru-RU"/>
              </w:rPr>
              <w:t>Zentiva</w:t>
            </w:r>
            <w:r w:rsidR="008D5A42" w:rsidRPr="00EF0A4B">
              <w:rPr>
                <w:sz w:val="22"/>
                <w:szCs w:val="22"/>
                <w:lang w:val="ru-RU" w:eastAsia="ru-RU"/>
              </w:rPr>
              <w:t>"</w:t>
            </w:r>
            <w:r w:rsidRPr="00EF0A4B">
              <w:rPr>
                <w:sz w:val="22"/>
                <w:szCs w:val="22"/>
                <w:lang w:val="ru-RU" w:eastAsia="ru-RU"/>
              </w:rPr>
              <w:t xml:space="preserve"> 200/25 mg én gang dagligt</w:t>
            </w:r>
          </w:p>
        </w:tc>
        <w:tc>
          <w:tcPr>
            <w:tcW w:w="2560" w:type="pct"/>
            <w:tcBorders>
              <w:top w:val="single" w:sz="4" w:space="0" w:color="000000"/>
              <w:left w:val="single" w:sz="4" w:space="0" w:color="000000"/>
              <w:bottom w:val="single" w:sz="4" w:space="0" w:color="000000"/>
              <w:right w:val="single" w:sz="4" w:space="0" w:color="000000"/>
            </w:tcBorders>
            <w:hideMark/>
          </w:tcPr>
          <w:p w14:paraId="645CD1E7" w14:textId="77777777" w:rsidR="00DB1C4E" w:rsidRPr="00EF0A4B" w:rsidRDefault="00DB1C4E">
            <w:pPr>
              <w:pStyle w:val="TableParagraph"/>
              <w:ind w:left="142"/>
              <w:rPr>
                <w:sz w:val="22"/>
                <w:szCs w:val="22"/>
                <w:lang w:val="en-US" w:eastAsia="ru-RU"/>
              </w:rPr>
            </w:pPr>
            <w:r w:rsidRPr="00EF0A4B">
              <w:rPr>
                <w:sz w:val="22"/>
                <w:szCs w:val="22"/>
                <w:lang w:val="en-US" w:eastAsia="ru-RU"/>
              </w:rPr>
              <w:t>Dolutegravir, efavirenz, maraviroc, nevirapin, rilpivirin, raltegravir</w:t>
            </w:r>
          </w:p>
        </w:tc>
      </w:tr>
    </w:tbl>
    <w:p w14:paraId="4D35EA7F" w14:textId="01A0DAE3" w:rsidR="00DB1C4E" w:rsidRPr="00B23088" w:rsidRDefault="00DB1C4E" w:rsidP="00B23088">
      <w:pPr>
        <w:ind w:left="284" w:hanging="284"/>
        <w:rPr>
          <w:sz w:val="20"/>
        </w:rPr>
      </w:pPr>
      <w:r w:rsidRPr="00B23088">
        <w:rPr>
          <w:sz w:val="20"/>
          <w:vertAlign w:val="superscript"/>
        </w:rPr>
        <w:t>1</w:t>
      </w:r>
      <w:r w:rsidRPr="00B23088">
        <w:rPr>
          <w:sz w:val="20"/>
        </w:rPr>
        <w:t xml:space="preserve"> </w:t>
      </w:r>
      <w:r w:rsidR="00B23088">
        <w:rPr>
          <w:sz w:val="20"/>
        </w:rPr>
        <w:tab/>
      </w:r>
      <w:r w:rsidRPr="00B23088">
        <w:rPr>
          <w:sz w:val="20"/>
        </w:rPr>
        <w:t xml:space="preserve">Emtricitabine/Tenofovir alafenamide </w:t>
      </w:r>
      <w:r w:rsidR="008D5A42">
        <w:rPr>
          <w:sz w:val="20"/>
        </w:rPr>
        <w:t>"</w:t>
      </w:r>
      <w:r w:rsidRPr="00B23088">
        <w:rPr>
          <w:sz w:val="20"/>
        </w:rPr>
        <w:t>Zentiva</w:t>
      </w:r>
      <w:r w:rsidR="008D5A42">
        <w:rPr>
          <w:sz w:val="20"/>
        </w:rPr>
        <w:t>"</w:t>
      </w:r>
      <w:r w:rsidRPr="00B23088">
        <w:rPr>
          <w:sz w:val="20"/>
        </w:rPr>
        <w:t xml:space="preserve"> 200/10 mg i kombination med darunavir 800 mg og cobicistat 150 mg, administreret som en fastdosis kombinationstablet, blev undersøgt hos behandlingsnaive personer, se pkt. 5.1.</w:t>
      </w:r>
    </w:p>
    <w:p w14:paraId="2871E69A" w14:textId="77777777" w:rsidR="00DB1C4E" w:rsidRPr="00F2263F" w:rsidRDefault="00DB1C4E" w:rsidP="00132A6A">
      <w:pPr>
        <w:ind w:left="851"/>
        <w:rPr>
          <w:sz w:val="24"/>
          <w:szCs w:val="24"/>
        </w:rPr>
      </w:pPr>
    </w:p>
    <w:p w14:paraId="34A85AF7" w14:textId="77777777" w:rsidR="00DB1C4E" w:rsidRPr="00F2263F" w:rsidRDefault="00DB1C4E" w:rsidP="00132A6A">
      <w:pPr>
        <w:ind w:left="851"/>
        <w:rPr>
          <w:i/>
          <w:iCs/>
          <w:sz w:val="24"/>
          <w:szCs w:val="24"/>
        </w:rPr>
      </w:pPr>
      <w:r w:rsidRPr="00F2263F">
        <w:rPr>
          <w:i/>
          <w:iCs/>
          <w:sz w:val="24"/>
          <w:szCs w:val="24"/>
        </w:rPr>
        <w:t>Glemte doser</w:t>
      </w:r>
    </w:p>
    <w:p w14:paraId="39B69856" w14:textId="08053DC4" w:rsidR="00DB1C4E" w:rsidRPr="00F2263F" w:rsidRDefault="00DB1C4E" w:rsidP="00132A6A">
      <w:pPr>
        <w:ind w:left="851"/>
        <w:rPr>
          <w:sz w:val="24"/>
          <w:szCs w:val="24"/>
        </w:rPr>
      </w:pPr>
      <w:r w:rsidRPr="00F2263F">
        <w:rPr>
          <w:sz w:val="24"/>
          <w:szCs w:val="24"/>
        </w:rPr>
        <w:t xml:space="preserve">Hvis patienten glemmer at tage en dosis Emtricitabine/Tenofovir alafenamide </w:t>
      </w:r>
      <w:r w:rsidR="008D5A42">
        <w:rPr>
          <w:sz w:val="24"/>
          <w:szCs w:val="24"/>
        </w:rPr>
        <w:t>"</w:t>
      </w:r>
      <w:r w:rsidRPr="00F2263F">
        <w:rPr>
          <w:sz w:val="24"/>
          <w:szCs w:val="24"/>
        </w:rPr>
        <w:t>Zentiva</w:t>
      </w:r>
      <w:r w:rsidR="008D5A42">
        <w:rPr>
          <w:sz w:val="24"/>
          <w:szCs w:val="24"/>
        </w:rPr>
        <w:t>"</w:t>
      </w:r>
      <w:r w:rsidRPr="00F2263F">
        <w:rPr>
          <w:sz w:val="24"/>
          <w:szCs w:val="24"/>
        </w:rPr>
        <w:t xml:space="preserve"> inden for 18 timer efter tidspunktet, hvor patienten normalt tager dosen, skal patienten tage Emtricitabine/Tenofovir alafenamide </w:t>
      </w:r>
      <w:r w:rsidR="008D5A42">
        <w:rPr>
          <w:sz w:val="24"/>
          <w:szCs w:val="24"/>
        </w:rPr>
        <w:t>"</w:t>
      </w:r>
      <w:r w:rsidRPr="00F2263F">
        <w:rPr>
          <w:sz w:val="24"/>
          <w:szCs w:val="24"/>
        </w:rPr>
        <w:t>Zentiva</w:t>
      </w:r>
      <w:r w:rsidR="008D5A42">
        <w:rPr>
          <w:sz w:val="24"/>
          <w:szCs w:val="24"/>
        </w:rPr>
        <w:t>"</w:t>
      </w:r>
      <w:r w:rsidRPr="00F2263F">
        <w:rPr>
          <w:sz w:val="24"/>
          <w:szCs w:val="24"/>
        </w:rPr>
        <w:t xml:space="preserve"> så snart som muligt og derefter fortsætte med den normale doseringsplan. Hvis patienten glemmer at tage en dosis Emtricitabine/Tenofovir alafenamide </w:t>
      </w:r>
      <w:r w:rsidR="008D5A42">
        <w:rPr>
          <w:sz w:val="24"/>
          <w:szCs w:val="24"/>
        </w:rPr>
        <w:t>"</w:t>
      </w:r>
      <w:r w:rsidRPr="00F2263F">
        <w:rPr>
          <w:sz w:val="24"/>
          <w:szCs w:val="24"/>
        </w:rPr>
        <w:t>Zentiva</w:t>
      </w:r>
      <w:r w:rsidR="008D5A42">
        <w:rPr>
          <w:sz w:val="24"/>
          <w:szCs w:val="24"/>
        </w:rPr>
        <w:t>"</w:t>
      </w:r>
      <w:r w:rsidRPr="00F2263F">
        <w:rPr>
          <w:sz w:val="24"/>
          <w:szCs w:val="24"/>
        </w:rPr>
        <w:t xml:space="preserve"> i mere end 18 timer, skal patienten ikke tage den manglende dosis, men blot fortsætte med den normale doseringsplan.</w:t>
      </w:r>
    </w:p>
    <w:p w14:paraId="2CFEF695" w14:textId="77777777" w:rsidR="00DB1C4E" w:rsidRPr="00F2263F" w:rsidRDefault="00DB1C4E" w:rsidP="00132A6A">
      <w:pPr>
        <w:ind w:left="851"/>
        <w:rPr>
          <w:sz w:val="24"/>
          <w:szCs w:val="24"/>
        </w:rPr>
      </w:pPr>
    </w:p>
    <w:p w14:paraId="4C4675B7" w14:textId="6618EA2E" w:rsidR="00DB1C4E" w:rsidRPr="00F2263F" w:rsidRDefault="00DB1C4E" w:rsidP="00132A6A">
      <w:pPr>
        <w:ind w:left="851"/>
        <w:rPr>
          <w:sz w:val="24"/>
          <w:szCs w:val="24"/>
        </w:rPr>
      </w:pPr>
      <w:r w:rsidRPr="00F2263F">
        <w:rPr>
          <w:sz w:val="24"/>
          <w:szCs w:val="24"/>
        </w:rPr>
        <w:t xml:space="preserve">Hvis patienten kaster op inden for 1 time efter at have taget Emtricitabine/Tenofovir alafenamide </w:t>
      </w:r>
      <w:r w:rsidR="008D5A42">
        <w:rPr>
          <w:sz w:val="24"/>
          <w:szCs w:val="24"/>
        </w:rPr>
        <w:t>"</w:t>
      </w:r>
      <w:r w:rsidRPr="00F2263F">
        <w:rPr>
          <w:sz w:val="24"/>
          <w:szCs w:val="24"/>
        </w:rPr>
        <w:t>Zentiva</w:t>
      </w:r>
      <w:r w:rsidR="008D5A42">
        <w:rPr>
          <w:sz w:val="24"/>
          <w:szCs w:val="24"/>
        </w:rPr>
        <w:t>"</w:t>
      </w:r>
      <w:r w:rsidRPr="00F2263F">
        <w:rPr>
          <w:sz w:val="24"/>
          <w:szCs w:val="24"/>
        </w:rPr>
        <w:t>, skal der tages en ny tablet.</w:t>
      </w:r>
    </w:p>
    <w:p w14:paraId="461EC12D" w14:textId="77777777" w:rsidR="00DB1C4E" w:rsidRPr="00F2263F" w:rsidRDefault="00DB1C4E" w:rsidP="00132A6A">
      <w:pPr>
        <w:ind w:left="851"/>
        <w:rPr>
          <w:sz w:val="24"/>
          <w:szCs w:val="24"/>
        </w:rPr>
      </w:pPr>
    </w:p>
    <w:p w14:paraId="24E5B111" w14:textId="77777777" w:rsidR="00DB1C4E" w:rsidRPr="00F2263F" w:rsidRDefault="00DB1C4E" w:rsidP="00132A6A">
      <w:pPr>
        <w:ind w:left="851"/>
        <w:rPr>
          <w:i/>
          <w:iCs/>
          <w:sz w:val="24"/>
          <w:szCs w:val="24"/>
        </w:rPr>
      </w:pPr>
      <w:r w:rsidRPr="00F2263F">
        <w:rPr>
          <w:i/>
          <w:iCs/>
          <w:sz w:val="24"/>
          <w:szCs w:val="24"/>
        </w:rPr>
        <w:t>Ældre</w:t>
      </w:r>
    </w:p>
    <w:p w14:paraId="1AC6AB3A" w14:textId="092ED536" w:rsidR="00DB1C4E" w:rsidRPr="00F2263F" w:rsidRDefault="00DB1C4E" w:rsidP="00132A6A">
      <w:pPr>
        <w:ind w:left="851"/>
        <w:rPr>
          <w:sz w:val="24"/>
          <w:szCs w:val="24"/>
        </w:rPr>
      </w:pPr>
      <w:r w:rsidRPr="00F2263F">
        <w:rPr>
          <w:sz w:val="24"/>
          <w:szCs w:val="24"/>
        </w:rPr>
        <w:t xml:space="preserve">Dosisjustering af Emtricitabine/Tenofovir alafenamide </w:t>
      </w:r>
      <w:r w:rsidR="008D5A42">
        <w:rPr>
          <w:sz w:val="24"/>
          <w:szCs w:val="24"/>
        </w:rPr>
        <w:t>"</w:t>
      </w:r>
      <w:r w:rsidRPr="00F2263F">
        <w:rPr>
          <w:sz w:val="24"/>
          <w:szCs w:val="24"/>
        </w:rPr>
        <w:t>Zentiva</w:t>
      </w:r>
      <w:r w:rsidR="008D5A42">
        <w:rPr>
          <w:sz w:val="24"/>
          <w:szCs w:val="24"/>
        </w:rPr>
        <w:t>"</w:t>
      </w:r>
      <w:r w:rsidRPr="00F2263F">
        <w:rPr>
          <w:sz w:val="24"/>
          <w:szCs w:val="24"/>
        </w:rPr>
        <w:t xml:space="preserve"> er ikke nødvendig hos ældre patienter (se pkt. 5.1 og 5.2).</w:t>
      </w:r>
    </w:p>
    <w:p w14:paraId="52A37F93" w14:textId="77777777" w:rsidR="00DB1C4E" w:rsidRPr="00F2263F" w:rsidRDefault="00DB1C4E" w:rsidP="00132A6A">
      <w:pPr>
        <w:ind w:left="851"/>
        <w:rPr>
          <w:sz w:val="24"/>
          <w:szCs w:val="24"/>
        </w:rPr>
      </w:pPr>
    </w:p>
    <w:p w14:paraId="65620A62" w14:textId="77777777" w:rsidR="00DB1C4E" w:rsidRPr="00F2263F" w:rsidRDefault="00DB1C4E" w:rsidP="00132A6A">
      <w:pPr>
        <w:ind w:left="851"/>
        <w:rPr>
          <w:i/>
          <w:iCs/>
          <w:sz w:val="24"/>
          <w:szCs w:val="24"/>
        </w:rPr>
      </w:pPr>
      <w:r w:rsidRPr="00F2263F">
        <w:rPr>
          <w:i/>
          <w:iCs/>
          <w:sz w:val="24"/>
          <w:szCs w:val="24"/>
        </w:rPr>
        <w:t>Nedsat nyrefunktion</w:t>
      </w:r>
    </w:p>
    <w:p w14:paraId="7D354596" w14:textId="0E04E740" w:rsidR="00DB1C4E" w:rsidRPr="00F2263F" w:rsidRDefault="00DB1C4E" w:rsidP="00132A6A">
      <w:pPr>
        <w:ind w:left="851"/>
        <w:rPr>
          <w:sz w:val="24"/>
          <w:szCs w:val="24"/>
        </w:rPr>
      </w:pPr>
      <w:r w:rsidRPr="00F2263F">
        <w:rPr>
          <w:sz w:val="24"/>
          <w:szCs w:val="24"/>
        </w:rPr>
        <w:t xml:space="preserve">Dosisjustering af Emtricitabine/Tenofovir alafenamide </w:t>
      </w:r>
      <w:r w:rsidR="008D5A42">
        <w:rPr>
          <w:sz w:val="24"/>
          <w:szCs w:val="24"/>
        </w:rPr>
        <w:t>"</w:t>
      </w:r>
      <w:r w:rsidRPr="00F2263F">
        <w:rPr>
          <w:sz w:val="24"/>
          <w:szCs w:val="24"/>
        </w:rPr>
        <w:t>Zentiva</w:t>
      </w:r>
      <w:r w:rsidR="008D5A42">
        <w:rPr>
          <w:sz w:val="24"/>
          <w:szCs w:val="24"/>
        </w:rPr>
        <w:t>"</w:t>
      </w:r>
      <w:r w:rsidRPr="00F2263F">
        <w:rPr>
          <w:sz w:val="24"/>
          <w:szCs w:val="24"/>
        </w:rPr>
        <w:t xml:space="preserve"> er ikke nødvendig hos voksne og unge (i alderen mindst 12 år og med en legemsvægt på mindst 35 kg) med en estimeret kreatininclearance (CrCl) ≥ 30 ml/min. Emtricitabine/Tenofovir alafenamide </w:t>
      </w:r>
      <w:r w:rsidR="008D5A42">
        <w:rPr>
          <w:sz w:val="24"/>
          <w:szCs w:val="24"/>
        </w:rPr>
        <w:t>"</w:t>
      </w:r>
      <w:r w:rsidRPr="00F2263F">
        <w:rPr>
          <w:sz w:val="24"/>
          <w:szCs w:val="24"/>
        </w:rPr>
        <w:t>Zentiva</w:t>
      </w:r>
      <w:r w:rsidR="008D5A42">
        <w:rPr>
          <w:sz w:val="24"/>
          <w:szCs w:val="24"/>
        </w:rPr>
        <w:t>"</w:t>
      </w:r>
      <w:r w:rsidRPr="00F2263F">
        <w:rPr>
          <w:sz w:val="24"/>
          <w:szCs w:val="24"/>
        </w:rPr>
        <w:t xml:space="preserve"> bør seponeres hos patienter med en estimeret CrCl, der falder til under 30</w:t>
      </w:r>
      <w:r w:rsidR="00EF0A4B">
        <w:rPr>
          <w:sz w:val="24"/>
          <w:szCs w:val="24"/>
        </w:rPr>
        <w:t> </w:t>
      </w:r>
      <w:r w:rsidRPr="00F2263F">
        <w:rPr>
          <w:sz w:val="24"/>
          <w:szCs w:val="24"/>
        </w:rPr>
        <w:t>ml/min under behandling (se pkt. 5.2).</w:t>
      </w:r>
    </w:p>
    <w:p w14:paraId="7FBB9296" w14:textId="77777777" w:rsidR="00DB1C4E" w:rsidRPr="00F2263F" w:rsidRDefault="00DB1C4E" w:rsidP="00132A6A">
      <w:pPr>
        <w:ind w:left="851"/>
        <w:rPr>
          <w:sz w:val="24"/>
          <w:szCs w:val="24"/>
        </w:rPr>
      </w:pPr>
    </w:p>
    <w:p w14:paraId="59F37183" w14:textId="2C549596" w:rsidR="00DB1C4E" w:rsidRPr="00F2263F" w:rsidRDefault="00DB1C4E" w:rsidP="00132A6A">
      <w:pPr>
        <w:ind w:left="851"/>
        <w:rPr>
          <w:sz w:val="24"/>
          <w:szCs w:val="24"/>
        </w:rPr>
      </w:pPr>
      <w:r w:rsidRPr="00F2263F">
        <w:rPr>
          <w:sz w:val="24"/>
          <w:szCs w:val="24"/>
        </w:rPr>
        <w:t xml:space="preserve">Dosisjustering af Emtricitabine/Tenofovir alafenamide </w:t>
      </w:r>
      <w:r w:rsidR="008D5A42">
        <w:rPr>
          <w:sz w:val="24"/>
          <w:szCs w:val="24"/>
        </w:rPr>
        <w:t>"</w:t>
      </w:r>
      <w:r w:rsidRPr="00F2263F">
        <w:rPr>
          <w:sz w:val="24"/>
          <w:szCs w:val="24"/>
        </w:rPr>
        <w:t>Zentiva</w:t>
      </w:r>
      <w:r w:rsidR="008D5A42">
        <w:rPr>
          <w:sz w:val="24"/>
          <w:szCs w:val="24"/>
        </w:rPr>
        <w:t>"</w:t>
      </w:r>
      <w:r w:rsidRPr="00F2263F">
        <w:rPr>
          <w:sz w:val="24"/>
          <w:szCs w:val="24"/>
        </w:rPr>
        <w:t xml:space="preserve"> er ikke nødvendig hos voksne med nyresygdom i slutstadiet (estimeret CrCl &lt; 15 ml/min) i kronisk hæmodialyse. Emtricitabine/Tenofovir alafenamide </w:t>
      </w:r>
      <w:r w:rsidR="008D5A42">
        <w:rPr>
          <w:sz w:val="24"/>
          <w:szCs w:val="24"/>
        </w:rPr>
        <w:t>"</w:t>
      </w:r>
      <w:r w:rsidRPr="00F2263F">
        <w:rPr>
          <w:sz w:val="24"/>
          <w:szCs w:val="24"/>
        </w:rPr>
        <w:t>Zentiva</w:t>
      </w:r>
      <w:r w:rsidR="008D5A42">
        <w:rPr>
          <w:sz w:val="24"/>
          <w:szCs w:val="24"/>
        </w:rPr>
        <w:t>"</w:t>
      </w:r>
      <w:r w:rsidRPr="00F2263F">
        <w:rPr>
          <w:sz w:val="24"/>
          <w:szCs w:val="24"/>
        </w:rPr>
        <w:t xml:space="preserve"> bør generelt undgås, men kan dog anvendes til patienter, hos hvem de potentielle fordele vurderes at opveje de potentielle risici (se pkt. 4.4 og 5.2). På dage med hæmodialyse, skal Emtricitabine/Tenofovir alafenamide </w:t>
      </w:r>
      <w:r w:rsidR="008D5A42">
        <w:rPr>
          <w:sz w:val="24"/>
          <w:szCs w:val="24"/>
        </w:rPr>
        <w:t>"</w:t>
      </w:r>
      <w:r w:rsidRPr="00F2263F">
        <w:rPr>
          <w:sz w:val="24"/>
          <w:szCs w:val="24"/>
        </w:rPr>
        <w:t>Zentiva</w:t>
      </w:r>
      <w:r w:rsidR="008D5A42">
        <w:rPr>
          <w:sz w:val="24"/>
          <w:szCs w:val="24"/>
        </w:rPr>
        <w:t>"</w:t>
      </w:r>
      <w:r w:rsidRPr="00F2263F">
        <w:rPr>
          <w:sz w:val="24"/>
          <w:szCs w:val="24"/>
        </w:rPr>
        <w:t xml:space="preserve"> administreres efter fuldført hæmodialysebehandling.</w:t>
      </w:r>
    </w:p>
    <w:p w14:paraId="6B569384" w14:textId="77777777" w:rsidR="00DB1C4E" w:rsidRPr="00F2263F" w:rsidRDefault="00DB1C4E" w:rsidP="00132A6A">
      <w:pPr>
        <w:ind w:left="851"/>
        <w:rPr>
          <w:sz w:val="24"/>
          <w:szCs w:val="24"/>
        </w:rPr>
      </w:pPr>
    </w:p>
    <w:p w14:paraId="7366227D" w14:textId="445BFF7B" w:rsidR="00DB1C4E" w:rsidRPr="00F2263F" w:rsidRDefault="00DB1C4E" w:rsidP="00132A6A">
      <w:pPr>
        <w:ind w:left="851"/>
        <w:rPr>
          <w:sz w:val="24"/>
          <w:szCs w:val="24"/>
        </w:rPr>
      </w:pPr>
      <w:r w:rsidRPr="00F2263F">
        <w:rPr>
          <w:sz w:val="24"/>
          <w:szCs w:val="24"/>
        </w:rPr>
        <w:t xml:space="preserve">Emtricitabine/Tenofovir alafenamide </w:t>
      </w:r>
      <w:r w:rsidR="008D5A42">
        <w:rPr>
          <w:sz w:val="24"/>
          <w:szCs w:val="24"/>
        </w:rPr>
        <w:t>"</w:t>
      </w:r>
      <w:r w:rsidRPr="00F2263F">
        <w:rPr>
          <w:sz w:val="24"/>
          <w:szCs w:val="24"/>
        </w:rPr>
        <w:t>Zentiva</w:t>
      </w:r>
      <w:r w:rsidR="008D5A42">
        <w:rPr>
          <w:sz w:val="24"/>
          <w:szCs w:val="24"/>
        </w:rPr>
        <w:t>"</w:t>
      </w:r>
      <w:r w:rsidRPr="00F2263F">
        <w:rPr>
          <w:sz w:val="24"/>
          <w:szCs w:val="24"/>
        </w:rPr>
        <w:t xml:space="preserve"> anbefales ikke til patienter med en estimeret CrCl ≥ 15 ml/min og &lt; 30 ml/min, eller &lt; 15 ml/min, som ikke er i kronisk hæmodialyse, da emtricitabin og </w:t>
      </w:r>
      <w:r w:rsidR="00202D86">
        <w:rPr>
          <w:sz w:val="24"/>
          <w:szCs w:val="24"/>
        </w:rPr>
        <w:t>tenofovir alafenamid</w:t>
      </w:r>
      <w:r w:rsidRPr="00F2263F">
        <w:rPr>
          <w:sz w:val="24"/>
          <w:szCs w:val="24"/>
        </w:rPr>
        <w:t xml:space="preserve"> kombinationens sikkerhed hos disse populationer ikke er klarlagt.</w:t>
      </w:r>
    </w:p>
    <w:p w14:paraId="30461936" w14:textId="77777777" w:rsidR="00DB1C4E" w:rsidRPr="00F2263F" w:rsidRDefault="00DB1C4E" w:rsidP="00132A6A">
      <w:pPr>
        <w:ind w:left="851"/>
        <w:rPr>
          <w:sz w:val="24"/>
          <w:szCs w:val="24"/>
        </w:rPr>
      </w:pPr>
    </w:p>
    <w:p w14:paraId="0C41F394" w14:textId="77777777" w:rsidR="00DB1C4E" w:rsidRPr="00F2263F" w:rsidRDefault="00DB1C4E" w:rsidP="00132A6A">
      <w:pPr>
        <w:ind w:left="851"/>
        <w:rPr>
          <w:sz w:val="24"/>
          <w:szCs w:val="24"/>
        </w:rPr>
      </w:pPr>
      <w:r w:rsidRPr="00F2263F">
        <w:rPr>
          <w:sz w:val="24"/>
          <w:szCs w:val="24"/>
        </w:rPr>
        <w:lastRenderedPageBreak/>
        <w:t>Der er ingen tilgængelige data til at lave dosisanbefalinger hos børn under 18 år med nyresygdom i slutstadiet.</w:t>
      </w:r>
    </w:p>
    <w:p w14:paraId="3909C49B" w14:textId="77777777" w:rsidR="00DB1C4E" w:rsidRPr="00F2263F" w:rsidRDefault="00DB1C4E" w:rsidP="00132A6A">
      <w:pPr>
        <w:ind w:left="851"/>
        <w:rPr>
          <w:sz w:val="24"/>
          <w:szCs w:val="24"/>
        </w:rPr>
      </w:pPr>
    </w:p>
    <w:p w14:paraId="416AC34A" w14:textId="77777777" w:rsidR="00DB1C4E" w:rsidRPr="00F2263F" w:rsidRDefault="00DB1C4E" w:rsidP="00132A6A">
      <w:pPr>
        <w:ind w:left="851"/>
        <w:rPr>
          <w:i/>
          <w:iCs/>
          <w:sz w:val="24"/>
          <w:szCs w:val="24"/>
        </w:rPr>
      </w:pPr>
      <w:r w:rsidRPr="00F2263F">
        <w:rPr>
          <w:i/>
          <w:iCs/>
          <w:sz w:val="24"/>
          <w:szCs w:val="24"/>
        </w:rPr>
        <w:t>Nedsat leverfunktion</w:t>
      </w:r>
    </w:p>
    <w:p w14:paraId="37D2D0CA" w14:textId="48374DDB" w:rsidR="00DB1C4E" w:rsidRPr="00F2263F" w:rsidRDefault="00DB1C4E" w:rsidP="00132A6A">
      <w:pPr>
        <w:ind w:left="851"/>
        <w:rPr>
          <w:sz w:val="24"/>
          <w:szCs w:val="24"/>
        </w:rPr>
      </w:pPr>
      <w:r w:rsidRPr="00F2263F">
        <w:rPr>
          <w:sz w:val="24"/>
          <w:szCs w:val="24"/>
        </w:rPr>
        <w:t xml:space="preserve">Dosisjustering af Emtricitabine/Tenofovir alafenamide </w:t>
      </w:r>
      <w:r w:rsidR="008D5A42">
        <w:rPr>
          <w:sz w:val="24"/>
          <w:szCs w:val="24"/>
        </w:rPr>
        <w:t>"</w:t>
      </w:r>
      <w:r w:rsidRPr="00F2263F">
        <w:rPr>
          <w:sz w:val="24"/>
          <w:szCs w:val="24"/>
        </w:rPr>
        <w:t>Zentiva</w:t>
      </w:r>
      <w:r w:rsidR="008D5A42">
        <w:rPr>
          <w:sz w:val="24"/>
          <w:szCs w:val="24"/>
        </w:rPr>
        <w:t>"</w:t>
      </w:r>
      <w:r w:rsidRPr="00F2263F">
        <w:rPr>
          <w:sz w:val="24"/>
          <w:szCs w:val="24"/>
        </w:rPr>
        <w:t xml:space="preserve"> er ikke nødvendig hos patienter med nedsat leverfunktion.</w:t>
      </w:r>
    </w:p>
    <w:p w14:paraId="2DA0A63B" w14:textId="77777777" w:rsidR="00DB1C4E" w:rsidRPr="00F2263F" w:rsidRDefault="00DB1C4E" w:rsidP="00132A6A">
      <w:pPr>
        <w:ind w:left="851"/>
        <w:rPr>
          <w:sz w:val="24"/>
          <w:szCs w:val="24"/>
        </w:rPr>
      </w:pPr>
    </w:p>
    <w:p w14:paraId="0715FEE7" w14:textId="77777777" w:rsidR="00DB1C4E" w:rsidRPr="00F2263F" w:rsidRDefault="00DB1C4E" w:rsidP="00132A6A">
      <w:pPr>
        <w:ind w:left="851"/>
        <w:rPr>
          <w:i/>
          <w:iCs/>
          <w:sz w:val="24"/>
          <w:szCs w:val="24"/>
        </w:rPr>
      </w:pPr>
      <w:r w:rsidRPr="00F2263F">
        <w:rPr>
          <w:i/>
          <w:iCs/>
          <w:sz w:val="24"/>
          <w:szCs w:val="24"/>
        </w:rPr>
        <w:t>Pædiatrisk population</w:t>
      </w:r>
    </w:p>
    <w:p w14:paraId="71E092BF" w14:textId="743613A2" w:rsidR="00DB1C4E" w:rsidRPr="00F2263F" w:rsidRDefault="00DB1C4E" w:rsidP="00132A6A">
      <w:pPr>
        <w:ind w:left="851"/>
        <w:rPr>
          <w:sz w:val="24"/>
          <w:szCs w:val="24"/>
        </w:rPr>
      </w:pPr>
      <w:r w:rsidRPr="00F2263F">
        <w:rPr>
          <w:sz w:val="24"/>
          <w:szCs w:val="24"/>
        </w:rPr>
        <w:t xml:space="preserve">Emtricitabin og </w:t>
      </w:r>
      <w:r w:rsidR="00202D86">
        <w:rPr>
          <w:sz w:val="24"/>
          <w:szCs w:val="24"/>
        </w:rPr>
        <w:t>tenofovir alafenamid</w:t>
      </w:r>
      <w:r w:rsidRPr="00F2263F">
        <w:rPr>
          <w:sz w:val="24"/>
          <w:szCs w:val="24"/>
        </w:rPr>
        <w:t xml:space="preserve"> kombinationens sikkerhed og virkning hos børn under 12 år, eller der vejer &lt; 35 kg, er endnu ikke klarlagt. Der foreligger ingen data.</w:t>
      </w:r>
    </w:p>
    <w:p w14:paraId="4F6A9761" w14:textId="77777777" w:rsidR="00DB1C4E" w:rsidRPr="00F2263F" w:rsidRDefault="00DB1C4E" w:rsidP="00132A6A">
      <w:pPr>
        <w:ind w:left="851"/>
        <w:rPr>
          <w:sz w:val="24"/>
          <w:szCs w:val="24"/>
        </w:rPr>
      </w:pPr>
    </w:p>
    <w:p w14:paraId="473E56F4" w14:textId="77777777" w:rsidR="00DB1C4E" w:rsidRPr="00F2263F" w:rsidRDefault="00DB1C4E" w:rsidP="00132A6A">
      <w:pPr>
        <w:ind w:left="851"/>
        <w:rPr>
          <w:sz w:val="24"/>
          <w:szCs w:val="24"/>
          <w:u w:val="single"/>
        </w:rPr>
      </w:pPr>
      <w:r w:rsidRPr="00F2263F">
        <w:rPr>
          <w:sz w:val="24"/>
          <w:szCs w:val="24"/>
          <w:u w:val="single"/>
        </w:rPr>
        <w:t>Administration</w:t>
      </w:r>
    </w:p>
    <w:p w14:paraId="71C56246" w14:textId="77777777" w:rsidR="00DB1C4E" w:rsidRPr="00F2263F" w:rsidRDefault="00DB1C4E" w:rsidP="00132A6A">
      <w:pPr>
        <w:ind w:left="851"/>
        <w:rPr>
          <w:sz w:val="24"/>
          <w:szCs w:val="24"/>
        </w:rPr>
      </w:pPr>
      <w:r w:rsidRPr="00F2263F">
        <w:rPr>
          <w:sz w:val="24"/>
          <w:szCs w:val="24"/>
        </w:rPr>
        <w:t>Oral anvendelse.</w:t>
      </w:r>
    </w:p>
    <w:p w14:paraId="3C58154F" w14:textId="77777777" w:rsidR="00DB1C4E" w:rsidRPr="00F2263F" w:rsidRDefault="00DB1C4E" w:rsidP="00132A6A">
      <w:pPr>
        <w:ind w:left="851"/>
        <w:rPr>
          <w:sz w:val="24"/>
          <w:szCs w:val="24"/>
        </w:rPr>
      </w:pPr>
    </w:p>
    <w:p w14:paraId="1A365789" w14:textId="3B4B7AE2" w:rsidR="00DB1C4E" w:rsidRPr="00F2263F" w:rsidRDefault="00DB1C4E" w:rsidP="00132A6A">
      <w:pPr>
        <w:ind w:left="851"/>
        <w:rPr>
          <w:sz w:val="24"/>
          <w:szCs w:val="24"/>
        </w:rPr>
      </w:pPr>
      <w:r w:rsidRPr="00F2263F">
        <w:rPr>
          <w:sz w:val="24"/>
          <w:szCs w:val="24"/>
        </w:rPr>
        <w:t xml:space="preserve">Emtricitabine/Tenofovir alafenamide </w:t>
      </w:r>
      <w:r w:rsidR="008D5A42">
        <w:rPr>
          <w:sz w:val="24"/>
          <w:szCs w:val="24"/>
        </w:rPr>
        <w:t>"</w:t>
      </w:r>
      <w:r w:rsidRPr="00F2263F">
        <w:rPr>
          <w:sz w:val="24"/>
          <w:szCs w:val="24"/>
        </w:rPr>
        <w:t>Zentiva</w:t>
      </w:r>
      <w:r w:rsidR="008D5A42">
        <w:rPr>
          <w:sz w:val="24"/>
          <w:szCs w:val="24"/>
        </w:rPr>
        <w:t>"</w:t>
      </w:r>
      <w:r w:rsidRPr="00F2263F">
        <w:rPr>
          <w:sz w:val="24"/>
          <w:szCs w:val="24"/>
        </w:rPr>
        <w:t xml:space="preserve"> skal tages én gang dagligt, sammen med eller uden mad (se pkt. 5.2). Det anbefales, at den filmovertrukne tablet ikke tygges eller knuses på grund af den bitre smag.</w:t>
      </w:r>
    </w:p>
    <w:p w14:paraId="627DB4B5" w14:textId="77777777" w:rsidR="009260DE" w:rsidRPr="00F2263F" w:rsidRDefault="009260DE" w:rsidP="009260DE">
      <w:pPr>
        <w:tabs>
          <w:tab w:val="left" w:pos="851"/>
        </w:tabs>
        <w:ind w:left="851"/>
        <w:rPr>
          <w:sz w:val="24"/>
          <w:szCs w:val="24"/>
        </w:rPr>
      </w:pPr>
    </w:p>
    <w:p w14:paraId="0B8A7E4D" w14:textId="77777777" w:rsidR="009260DE" w:rsidRPr="00F2263F" w:rsidRDefault="009260DE" w:rsidP="009260DE">
      <w:pPr>
        <w:tabs>
          <w:tab w:val="left" w:pos="851"/>
        </w:tabs>
        <w:ind w:left="851" w:hanging="851"/>
        <w:rPr>
          <w:b/>
          <w:sz w:val="24"/>
          <w:szCs w:val="24"/>
        </w:rPr>
      </w:pPr>
      <w:r w:rsidRPr="00F2263F">
        <w:rPr>
          <w:b/>
          <w:sz w:val="24"/>
          <w:szCs w:val="24"/>
        </w:rPr>
        <w:t>4.3</w:t>
      </w:r>
      <w:r w:rsidRPr="00F2263F">
        <w:rPr>
          <w:b/>
          <w:sz w:val="24"/>
          <w:szCs w:val="24"/>
        </w:rPr>
        <w:tab/>
        <w:t>Kontraindikationer</w:t>
      </w:r>
    </w:p>
    <w:p w14:paraId="55E57A02" w14:textId="77777777" w:rsidR="00DB1C4E" w:rsidRPr="00F2263F" w:rsidRDefault="00DB1C4E" w:rsidP="00132A6A">
      <w:pPr>
        <w:ind w:left="851"/>
        <w:rPr>
          <w:sz w:val="24"/>
          <w:szCs w:val="24"/>
        </w:rPr>
      </w:pPr>
      <w:r w:rsidRPr="00F2263F">
        <w:rPr>
          <w:sz w:val="24"/>
          <w:szCs w:val="24"/>
        </w:rPr>
        <w:t>Overfølsomhed over for de aktive stoffer eller over for et eller flere af hjælpestofferne anført i pkt. 6.1.</w:t>
      </w:r>
    </w:p>
    <w:p w14:paraId="60075E8E" w14:textId="77777777" w:rsidR="009260DE" w:rsidRPr="00F2263F" w:rsidRDefault="009260DE" w:rsidP="009260DE">
      <w:pPr>
        <w:tabs>
          <w:tab w:val="left" w:pos="851"/>
        </w:tabs>
        <w:ind w:left="851"/>
        <w:rPr>
          <w:sz w:val="24"/>
          <w:szCs w:val="24"/>
        </w:rPr>
      </w:pPr>
    </w:p>
    <w:p w14:paraId="15C35B22" w14:textId="77777777" w:rsidR="009260DE" w:rsidRPr="00F2263F" w:rsidRDefault="009260DE" w:rsidP="009260DE">
      <w:pPr>
        <w:tabs>
          <w:tab w:val="left" w:pos="851"/>
        </w:tabs>
        <w:ind w:left="851" w:hanging="851"/>
        <w:rPr>
          <w:b/>
          <w:sz w:val="24"/>
          <w:szCs w:val="24"/>
        </w:rPr>
      </w:pPr>
      <w:r w:rsidRPr="00F2263F">
        <w:rPr>
          <w:b/>
          <w:sz w:val="24"/>
          <w:szCs w:val="24"/>
        </w:rPr>
        <w:t>4.4</w:t>
      </w:r>
      <w:r w:rsidRPr="00F2263F">
        <w:rPr>
          <w:b/>
          <w:sz w:val="24"/>
          <w:szCs w:val="24"/>
        </w:rPr>
        <w:tab/>
        <w:t>Særlige advarsler og forsigtighedsregler vedrørende brugen</w:t>
      </w:r>
    </w:p>
    <w:p w14:paraId="7C4F82F6" w14:textId="77777777" w:rsidR="00B23088" w:rsidRDefault="00B23088" w:rsidP="00132A6A">
      <w:pPr>
        <w:ind w:left="851"/>
        <w:rPr>
          <w:sz w:val="24"/>
          <w:szCs w:val="24"/>
        </w:rPr>
      </w:pPr>
    </w:p>
    <w:p w14:paraId="5658A468" w14:textId="234DD776" w:rsidR="00DB1C4E" w:rsidRPr="00B23088" w:rsidRDefault="00DB1C4E" w:rsidP="00132A6A">
      <w:pPr>
        <w:ind w:left="851"/>
        <w:rPr>
          <w:sz w:val="24"/>
          <w:szCs w:val="24"/>
          <w:u w:val="single"/>
        </w:rPr>
      </w:pPr>
      <w:r w:rsidRPr="00B23088">
        <w:rPr>
          <w:sz w:val="24"/>
          <w:szCs w:val="24"/>
          <w:u w:val="single"/>
        </w:rPr>
        <w:t>Patienter, som samtidig er inficerede med hiv- og hepatitis B- eller C-virus</w:t>
      </w:r>
    </w:p>
    <w:p w14:paraId="21A80B44" w14:textId="77777777" w:rsidR="00DB1C4E" w:rsidRPr="00F2263F" w:rsidRDefault="00DB1C4E" w:rsidP="00132A6A">
      <w:pPr>
        <w:ind w:left="851"/>
        <w:rPr>
          <w:sz w:val="24"/>
          <w:szCs w:val="24"/>
        </w:rPr>
      </w:pPr>
    </w:p>
    <w:p w14:paraId="46C4EF3E" w14:textId="77777777" w:rsidR="00DB1C4E" w:rsidRPr="00F2263F" w:rsidRDefault="00DB1C4E" w:rsidP="00132A6A">
      <w:pPr>
        <w:ind w:left="851"/>
        <w:rPr>
          <w:sz w:val="24"/>
          <w:szCs w:val="24"/>
        </w:rPr>
      </w:pPr>
      <w:r w:rsidRPr="00F2263F">
        <w:rPr>
          <w:sz w:val="24"/>
          <w:szCs w:val="24"/>
        </w:rPr>
        <w:t>Hos patienter med kronisk hepatitis B eller C, som er i antiretroviral behandling, er der en øget risiko for svære og potentielt letale, hepatiske bivirkninger.</w:t>
      </w:r>
    </w:p>
    <w:p w14:paraId="0C1AF891" w14:textId="77777777" w:rsidR="00DB1C4E" w:rsidRPr="00F2263F" w:rsidRDefault="00DB1C4E" w:rsidP="00132A6A">
      <w:pPr>
        <w:ind w:left="851"/>
        <w:rPr>
          <w:sz w:val="24"/>
          <w:szCs w:val="24"/>
        </w:rPr>
      </w:pPr>
    </w:p>
    <w:p w14:paraId="01BE7A64" w14:textId="536F7125" w:rsidR="00DB1C4E" w:rsidRPr="00F2263F" w:rsidRDefault="00DB1C4E" w:rsidP="00132A6A">
      <w:pPr>
        <w:ind w:left="851"/>
        <w:rPr>
          <w:sz w:val="24"/>
          <w:szCs w:val="24"/>
        </w:rPr>
      </w:pPr>
      <w:r w:rsidRPr="00F2263F">
        <w:rPr>
          <w:sz w:val="24"/>
          <w:szCs w:val="24"/>
        </w:rPr>
        <w:t xml:space="preserve">Emtricitabin og </w:t>
      </w:r>
      <w:r w:rsidR="00202D86">
        <w:rPr>
          <w:sz w:val="24"/>
          <w:szCs w:val="24"/>
        </w:rPr>
        <w:t>tenofovir alafenamid</w:t>
      </w:r>
      <w:r w:rsidRPr="00F2263F">
        <w:rPr>
          <w:sz w:val="24"/>
          <w:szCs w:val="24"/>
        </w:rPr>
        <w:t xml:space="preserve"> kombinationens sikkerhed og virkning hos patienter, som samtidig er inficerede med hiv 1- og hepatitis C-virus (HCV) er ikke klarlagt.</w:t>
      </w:r>
    </w:p>
    <w:p w14:paraId="036A0C26" w14:textId="77777777" w:rsidR="00DB1C4E" w:rsidRPr="00F2263F" w:rsidRDefault="00DB1C4E" w:rsidP="00132A6A">
      <w:pPr>
        <w:ind w:left="851"/>
        <w:rPr>
          <w:sz w:val="24"/>
          <w:szCs w:val="24"/>
        </w:rPr>
      </w:pPr>
    </w:p>
    <w:p w14:paraId="1660BBAA" w14:textId="461B0A06" w:rsidR="00DB1C4E" w:rsidRPr="00F2263F" w:rsidRDefault="00202D86" w:rsidP="00132A6A">
      <w:pPr>
        <w:ind w:left="851"/>
        <w:rPr>
          <w:sz w:val="24"/>
          <w:szCs w:val="24"/>
        </w:rPr>
      </w:pPr>
      <w:r>
        <w:rPr>
          <w:sz w:val="24"/>
          <w:szCs w:val="24"/>
        </w:rPr>
        <w:t>Tenofovir alafenamid</w:t>
      </w:r>
      <w:r w:rsidR="00DB1C4E" w:rsidRPr="00F2263F">
        <w:rPr>
          <w:sz w:val="24"/>
          <w:szCs w:val="24"/>
        </w:rPr>
        <w:t xml:space="preserve"> er aktiv mod hepatitis B-virus (HBV). Seponering af behandlingen med Emtricitabine/Tenofovir alafenamide </w:t>
      </w:r>
      <w:r w:rsidR="008D5A42">
        <w:rPr>
          <w:sz w:val="24"/>
          <w:szCs w:val="24"/>
        </w:rPr>
        <w:t>"</w:t>
      </w:r>
      <w:r w:rsidR="00DB1C4E" w:rsidRPr="00F2263F">
        <w:rPr>
          <w:sz w:val="24"/>
          <w:szCs w:val="24"/>
        </w:rPr>
        <w:t>Zentiva</w:t>
      </w:r>
      <w:r w:rsidR="008D5A42">
        <w:rPr>
          <w:sz w:val="24"/>
          <w:szCs w:val="24"/>
        </w:rPr>
        <w:t>"</w:t>
      </w:r>
      <w:r w:rsidR="00DB1C4E" w:rsidRPr="00F2263F">
        <w:rPr>
          <w:sz w:val="24"/>
          <w:szCs w:val="24"/>
        </w:rPr>
        <w:t xml:space="preserve"> hos patienter, som samtidig er inficerede med hiv og HBV, kan forekomme i forbindelse med svær, akut eksacerbation af hepatitis. Patienter med hiv-infektion, som samtidig er inficerede med HBV, og som ophører med Emtricitabine/Tenofovir alafenamide </w:t>
      </w:r>
      <w:r w:rsidR="008D5A42">
        <w:rPr>
          <w:sz w:val="24"/>
          <w:szCs w:val="24"/>
        </w:rPr>
        <w:t>"</w:t>
      </w:r>
      <w:r w:rsidR="00DB1C4E" w:rsidRPr="00F2263F">
        <w:rPr>
          <w:sz w:val="24"/>
          <w:szCs w:val="24"/>
        </w:rPr>
        <w:t>Zentiva</w:t>
      </w:r>
      <w:r w:rsidR="008D5A42">
        <w:rPr>
          <w:sz w:val="24"/>
          <w:szCs w:val="24"/>
        </w:rPr>
        <w:t>"</w:t>
      </w:r>
      <w:r w:rsidR="00DB1C4E" w:rsidRPr="00F2263F">
        <w:rPr>
          <w:sz w:val="24"/>
          <w:szCs w:val="24"/>
        </w:rPr>
        <w:t xml:space="preserve">, bør monitoreres tæt med opfølgning både klinisk og i laboratoriet i mindst adskillige måneder efter, behandlingen med Emtricitabine/Tenofovir alafenamide </w:t>
      </w:r>
      <w:r w:rsidR="008D5A42">
        <w:rPr>
          <w:sz w:val="24"/>
          <w:szCs w:val="24"/>
        </w:rPr>
        <w:t>"</w:t>
      </w:r>
      <w:r w:rsidR="00DB1C4E" w:rsidRPr="00F2263F">
        <w:rPr>
          <w:sz w:val="24"/>
          <w:szCs w:val="24"/>
        </w:rPr>
        <w:t>Zentiva</w:t>
      </w:r>
      <w:r w:rsidR="008D5A42">
        <w:rPr>
          <w:sz w:val="24"/>
          <w:szCs w:val="24"/>
        </w:rPr>
        <w:t>"</w:t>
      </w:r>
      <w:r w:rsidR="00DB1C4E" w:rsidRPr="00F2263F">
        <w:rPr>
          <w:sz w:val="24"/>
          <w:szCs w:val="24"/>
        </w:rPr>
        <w:t xml:space="preserve"> ophører.</w:t>
      </w:r>
    </w:p>
    <w:p w14:paraId="180C3986" w14:textId="77777777" w:rsidR="00DB1C4E" w:rsidRPr="00F2263F" w:rsidRDefault="00DB1C4E" w:rsidP="00132A6A">
      <w:pPr>
        <w:ind w:left="851"/>
        <w:rPr>
          <w:sz w:val="24"/>
          <w:szCs w:val="24"/>
        </w:rPr>
      </w:pPr>
    </w:p>
    <w:p w14:paraId="28078CEE" w14:textId="77777777" w:rsidR="00DB1C4E" w:rsidRPr="00B23088" w:rsidRDefault="00DB1C4E" w:rsidP="00132A6A">
      <w:pPr>
        <w:ind w:left="851"/>
        <w:rPr>
          <w:sz w:val="24"/>
          <w:szCs w:val="24"/>
          <w:u w:val="single"/>
        </w:rPr>
      </w:pPr>
      <w:r w:rsidRPr="00B23088">
        <w:rPr>
          <w:sz w:val="24"/>
          <w:szCs w:val="24"/>
          <w:u w:val="single"/>
        </w:rPr>
        <w:t>Leversygdom</w:t>
      </w:r>
    </w:p>
    <w:p w14:paraId="44B64DFB" w14:textId="77777777" w:rsidR="00DB1C4E" w:rsidRPr="00F2263F" w:rsidRDefault="00DB1C4E" w:rsidP="00132A6A">
      <w:pPr>
        <w:ind w:left="851"/>
        <w:rPr>
          <w:sz w:val="24"/>
          <w:szCs w:val="24"/>
        </w:rPr>
      </w:pPr>
    </w:p>
    <w:p w14:paraId="20DA6B44" w14:textId="708DF278" w:rsidR="00DB1C4E" w:rsidRPr="00F2263F" w:rsidRDefault="00DB1C4E" w:rsidP="00132A6A">
      <w:pPr>
        <w:ind w:left="851"/>
        <w:rPr>
          <w:sz w:val="24"/>
          <w:szCs w:val="24"/>
        </w:rPr>
      </w:pPr>
      <w:r w:rsidRPr="00F2263F">
        <w:rPr>
          <w:sz w:val="24"/>
          <w:szCs w:val="24"/>
        </w:rPr>
        <w:t xml:space="preserve">Emtricitabin og </w:t>
      </w:r>
      <w:r w:rsidR="00202D86">
        <w:rPr>
          <w:sz w:val="24"/>
          <w:szCs w:val="24"/>
        </w:rPr>
        <w:t>tenofovir alafenamid</w:t>
      </w:r>
      <w:r w:rsidRPr="00F2263F">
        <w:rPr>
          <w:sz w:val="24"/>
          <w:szCs w:val="24"/>
        </w:rPr>
        <w:t xml:space="preserve"> kombinationens sikkerhed og virkning hos patienter med signifikant underliggende leversygdom er ikke klarlagt (se pkt. 4.2 og 5.2). </w:t>
      </w:r>
    </w:p>
    <w:p w14:paraId="7651E006" w14:textId="77777777" w:rsidR="00DB1C4E" w:rsidRPr="00F2263F" w:rsidRDefault="00DB1C4E" w:rsidP="00132A6A">
      <w:pPr>
        <w:ind w:left="851"/>
        <w:rPr>
          <w:sz w:val="24"/>
          <w:szCs w:val="24"/>
        </w:rPr>
      </w:pPr>
    </w:p>
    <w:p w14:paraId="765701F8" w14:textId="61720133" w:rsidR="00EF0A4B" w:rsidRDefault="00DB1C4E" w:rsidP="004574DA">
      <w:pPr>
        <w:ind w:left="851"/>
        <w:rPr>
          <w:sz w:val="24"/>
          <w:szCs w:val="24"/>
        </w:rPr>
      </w:pPr>
      <w:r w:rsidRPr="00F2263F">
        <w:rPr>
          <w:sz w:val="24"/>
          <w:szCs w:val="24"/>
        </w:rPr>
        <w:t>Hos patienter med tidligere tilfælde af leverdysfunktion, herunder kronisk aktiv hepatitis, er der en forhøjet forekomst af unormal leverfunktion under antiretroviral kombinations</w:t>
      </w:r>
      <w:r w:rsidR="00B23088">
        <w:rPr>
          <w:sz w:val="24"/>
          <w:szCs w:val="24"/>
        </w:rPr>
        <w:softHyphen/>
      </w:r>
      <w:r w:rsidRPr="00F2263F">
        <w:rPr>
          <w:sz w:val="24"/>
          <w:szCs w:val="24"/>
        </w:rPr>
        <w:t xml:space="preserve">behandling (CART, </w:t>
      </w:r>
      <w:r w:rsidRPr="00F2263F">
        <w:rPr>
          <w:i/>
          <w:iCs/>
          <w:sz w:val="24"/>
          <w:szCs w:val="24"/>
        </w:rPr>
        <w:t>combination antiretroviral therapy</w:t>
      </w:r>
      <w:r w:rsidRPr="00F2263F">
        <w:rPr>
          <w:sz w:val="24"/>
          <w:szCs w:val="24"/>
        </w:rPr>
        <w:t xml:space="preserve">), og disse patienter bør monitoreres i henhold til standardprocedurer. Hvis der er tegn på, at leversygdommen forværres hos sådanne patienter, skal seponering overvejes eller at foretage et ophold i behandlingen. </w:t>
      </w:r>
      <w:r w:rsidR="00EF0A4B">
        <w:rPr>
          <w:sz w:val="24"/>
          <w:szCs w:val="24"/>
        </w:rPr>
        <w:br w:type="page"/>
      </w:r>
    </w:p>
    <w:p w14:paraId="0DE91B72" w14:textId="77777777" w:rsidR="00DB1C4E" w:rsidRPr="00F2263F" w:rsidRDefault="00DB1C4E" w:rsidP="00132A6A">
      <w:pPr>
        <w:ind w:left="851"/>
        <w:rPr>
          <w:sz w:val="24"/>
          <w:szCs w:val="24"/>
        </w:rPr>
      </w:pPr>
    </w:p>
    <w:p w14:paraId="02F37970" w14:textId="77777777" w:rsidR="00DB1C4E" w:rsidRPr="00B23088" w:rsidRDefault="00DB1C4E" w:rsidP="00132A6A">
      <w:pPr>
        <w:ind w:left="851"/>
        <w:rPr>
          <w:sz w:val="24"/>
          <w:szCs w:val="24"/>
          <w:u w:val="single"/>
        </w:rPr>
      </w:pPr>
      <w:r w:rsidRPr="00B23088">
        <w:rPr>
          <w:sz w:val="24"/>
          <w:szCs w:val="24"/>
          <w:u w:val="single"/>
        </w:rPr>
        <w:t>Vægt og metaboliske parametre</w:t>
      </w:r>
    </w:p>
    <w:p w14:paraId="5186785B" w14:textId="77777777" w:rsidR="00DB1C4E" w:rsidRPr="00F2263F" w:rsidRDefault="00DB1C4E" w:rsidP="00132A6A">
      <w:pPr>
        <w:ind w:left="851"/>
        <w:rPr>
          <w:sz w:val="24"/>
          <w:szCs w:val="24"/>
        </w:rPr>
      </w:pPr>
    </w:p>
    <w:p w14:paraId="2EC41D85" w14:textId="77777777" w:rsidR="00DB1C4E" w:rsidRPr="00F2263F" w:rsidRDefault="00DB1C4E" w:rsidP="00132A6A">
      <w:pPr>
        <w:ind w:left="851"/>
        <w:rPr>
          <w:sz w:val="24"/>
          <w:szCs w:val="24"/>
        </w:rPr>
      </w:pPr>
      <w:r w:rsidRPr="00F2263F">
        <w:rPr>
          <w:sz w:val="24"/>
          <w:szCs w:val="24"/>
        </w:rPr>
        <w:t>Vægtstigning og forhøjede lipider og glucose i blodet kan forekomme under antiretroviral behandling. Sådanne forandringer kan til dels være forbundet med sygdomskontrol og livsstil. For lipider er der i visse tilfælde fundet evidens for en behandlingseffekt, mens der ikke er tydelig evidens for relation mellem vægtstigning og en specifik behandling. Med hensyn til monitorering af lipider og glucose i blodet refereres til eksisterende behandlingsguidelines for hiv. Tilstande med forhøjet lipid skal behandles som klinisk indiceret.</w:t>
      </w:r>
    </w:p>
    <w:p w14:paraId="34AD355C" w14:textId="77777777" w:rsidR="00DB1C4E" w:rsidRPr="00F2263F" w:rsidRDefault="00DB1C4E" w:rsidP="00132A6A">
      <w:pPr>
        <w:ind w:left="851"/>
        <w:rPr>
          <w:sz w:val="24"/>
          <w:szCs w:val="24"/>
        </w:rPr>
      </w:pPr>
    </w:p>
    <w:p w14:paraId="73E4CD2E" w14:textId="77777777" w:rsidR="00DB1C4E" w:rsidRPr="00B23088" w:rsidRDefault="00DB1C4E" w:rsidP="00132A6A">
      <w:pPr>
        <w:ind w:left="851"/>
        <w:rPr>
          <w:sz w:val="24"/>
          <w:szCs w:val="24"/>
          <w:u w:val="single"/>
        </w:rPr>
      </w:pPr>
      <w:r w:rsidRPr="00B23088">
        <w:rPr>
          <w:sz w:val="24"/>
          <w:szCs w:val="24"/>
          <w:u w:val="single"/>
        </w:rPr>
        <w:t xml:space="preserve">Mitokondriel dysfunktion efter eksponering </w:t>
      </w:r>
      <w:r w:rsidRPr="00B23088">
        <w:rPr>
          <w:i/>
          <w:iCs/>
          <w:sz w:val="24"/>
          <w:szCs w:val="24"/>
          <w:u w:val="single"/>
        </w:rPr>
        <w:t>in utero</w:t>
      </w:r>
    </w:p>
    <w:p w14:paraId="2BA057D8" w14:textId="77777777" w:rsidR="00DB1C4E" w:rsidRPr="00F2263F" w:rsidRDefault="00DB1C4E" w:rsidP="00132A6A">
      <w:pPr>
        <w:ind w:left="851"/>
        <w:rPr>
          <w:sz w:val="24"/>
          <w:szCs w:val="24"/>
        </w:rPr>
      </w:pPr>
    </w:p>
    <w:p w14:paraId="4156D64E" w14:textId="77777777" w:rsidR="00DB1C4E" w:rsidRPr="00F2263F" w:rsidRDefault="00DB1C4E" w:rsidP="00132A6A">
      <w:pPr>
        <w:ind w:left="851"/>
        <w:rPr>
          <w:sz w:val="24"/>
          <w:szCs w:val="24"/>
        </w:rPr>
      </w:pPr>
      <w:r w:rsidRPr="00F2263F">
        <w:rPr>
          <w:sz w:val="24"/>
          <w:szCs w:val="24"/>
        </w:rPr>
        <w:t xml:space="preserve">Nukleosid-/nukleotid-analoger kan påvirke mitokondriefunktionen i varierende grad; dette er mest udtalt for stavudin, didanosin og zidovudin. Der er rapporteret om mitokondriel dysfunktion hos hiv-negative spædbørn, som har været eksponeret for nukleosidanaloger </w:t>
      </w:r>
      <w:r w:rsidRPr="00F2263F">
        <w:rPr>
          <w:i/>
          <w:iCs/>
          <w:sz w:val="24"/>
          <w:szCs w:val="24"/>
        </w:rPr>
        <w:t xml:space="preserve">in utero </w:t>
      </w:r>
      <w:r w:rsidRPr="00F2263F">
        <w:rPr>
          <w:sz w:val="24"/>
          <w:szCs w:val="24"/>
        </w:rPr>
        <w:t xml:space="preserve">og/eller postnatalt. Det har hovedsageligt drejet sig om behandling med regimer indeholdende zidovudin. De hyppigst rapporterede manifestationer er hæmatologiske forstyrrelser (anæmi, neutropeni) og metaboliske forstyrrelser (hyperlaktatæmi, hyperlipasæmi). Reaktionerne har ofte været forbigående. Sent forekommende neurologiske forstyrrelser er i sjældne tilfælde blevet rapporteret (hypertoni, kramper, unormal adfærd). Hvorvidt sådanne neurologiske forstyrrelser er forbigående eller permanente er p.t. ikke kendt. Mitokondriel dysfunktion bør overvejes hos alle børn med svære kliniske symptomer af ukendt ætiologi, især neurologiske symptomer, der har været eksponeret for nukleosid-/nukleotid-analoger </w:t>
      </w:r>
      <w:r w:rsidRPr="00F2263F">
        <w:rPr>
          <w:i/>
          <w:iCs/>
          <w:sz w:val="24"/>
          <w:szCs w:val="24"/>
        </w:rPr>
        <w:t>in utero</w:t>
      </w:r>
      <w:r w:rsidRPr="00F2263F">
        <w:rPr>
          <w:sz w:val="24"/>
          <w:szCs w:val="24"/>
        </w:rPr>
        <w:t>. Disse fund påvirker ikke de aktuelle nationale anbefalinger vedrørende antiretroviral behandling hos gravide med henblik på at undgå vertikal hiv-overførsel.</w:t>
      </w:r>
    </w:p>
    <w:p w14:paraId="3B684A33" w14:textId="77777777" w:rsidR="00DB1C4E" w:rsidRPr="00F2263F" w:rsidRDefault="00DB1C4E" w:rsidP="00132A6A">
      <w:pPr>
        <w:ind w:left="851"/>
        <w:rPr>
          <w:sz w:val="24"/>
          <w:szCs w:val="24"/>
        </w:rPr>
      </w:pPr>
    </w:p>
    <w:p w14:paraId="2AF35488" w14:textId="77777777" w:rsidR="00DB1C4E" w:rsidRPr="00B23088" w:rsidRDefault="00DB1C4E" w:rsidP="00132A6A">
      <w:pPr>
        <w:ind w:left="851"/>
        <w:rPr>
          <w:sz w:val="24"/>
          <w:szCs w:val="24"/>
          <w:u w:val="single"/>
        </w:rPr>
      </w:pPr>
      <w:r w:rsidRPr="00B23088">
        <w:rPr>
          <w:sz w:val="24"/>
          <w:szCs w:val="24"/>
          <w:u w:val="single"/>
        </w:rPr>
        <w:t>Immunreaktiveringssyndrom</w:t>
      </w:r>
    </w:p>
    <w:p w14:paraId="53FE9C41" w14:textId="77777777" w:rsidR="00DB1C4E" w:rsidRPr="00F2263F" w:rsidRDefault="00DB1C4E" w:rsidP="00132A6A">
      <w:pPr>
        <w:ind w:left="851"/>
        <w:rPr>
          <w:sz w:val="24"/>
          <w:szCs w:val="24"/>
        </w:rPr>
      </w:pPr>
    </w:p>
    <w:p w14:paraId="69BD41F4" w14:textId="77777777" w:rsidR="00DB1C4E" w:rsidRPr="00F2263F" w:rsidRDefault="00DB1C4E" w:rsidP="00132A6A">
      <w:pPr>
        <w:ind w:left="851"/>
        <w:rPr>
          <w:sz w:val="24"/>
          <w:szCs w:val="24"/>
        </w:rPr>
      </w:pPr>
      <w:r w:rsidRPr="00F2263F">
        <w:rPr>
          <w:sz w:val="24"/>
          <w:szCs w:val="24"/>
        </w:rPr>
        <w:t xml:space="preserve">Hos hiv-inficerede patienter med svær immuninsufficiens kan der ved påbegyndelse af CART opstå en inflammatorisk reaktion på asymptomatiske eller residuale opportunistiske patogener, som kan forårsage alvorlige kliniske tilstande eller forværring af symptomer. Typisk er sådanne reaktioner observeret inden for de første få uger eller måneder efter påbegyndelsen af CART. Relevante eksempler omfatter cytomegalovirus retinitis, generaliserede og/eller fokale mykobakterielle infektioner og </w:t>
      </w:r>
      <w:r w:rsidRPr="00F2263F">
        <w:rPr>
          <w:i/>
          <w:iCs/>
          <w:sz w:val="24"/>
          <w:szCs w:val="24"/>
        </w:rPr>
        <w:t xml:space="preserve">Pneumocystis jirovecii </w:t>
      </w:r>
      <w:r w:rsidRPr="00F2263F">
        <w:rPr>
          <w:sz w:val="24"/>
          <w:szCs w:val="24"/>
        </w:rPr>
        <w:t>pneumoni. Alle inflammatoriske symptomer bør vurderes og behandling påbegyndes efter behov.</w:t>
      </w:r>
    </w:p>
    <w:p w14:paraId="1C980D67" w14:textId="77777777" w:rsidR="00DB1C4E" w:rsidRPr="00F2263F" w:rsidRDefault="00DB1C4E" w:rsidP="00132A6A">
      <w:pPr>
        <w:ind w:left="851"/>
        <w:rPr>
          <w:sz w:val="24"/>
          <w:szCs w:val="24"/>
        </w:rPr>
      </w:pPr>
    </w:p>
    <w:p w14:paraId="1046E124" w14:textId="77777777" w:rsidR="00DB1C4E" w:rsidRPr="00F2263F" w:rsidRDefault="00DB1C4E" w:rsidP="00132A6A">
      <w:pPr>
        <w:ind w:left="851"/>
        <w:rPr>
          <w:sz w:val="24"/>
          <w:szCs w:val="24"/>
        </w:rPr>
      </w:pPr>
      <w:r w:rsidRPr="00F2263F">
        <w:rPr>
          <w:sz w:val="24"/>
          <w:szCs w:val="24"/>
        </w:rPr>
        <w:t>Autoimmunsygdomme (som Graves sygdom og autoimmun hepatitis) er også rapporteret i tilfælde af immunreaktivering. Den rapporterede tidsperiode før sådanne opstår, er imidlertid variabel, og kan opstå mange måneder efter påbegyndelse af behandlingen.</w:t>
      </w:r>
    </w:p>
    <w:p w14:paraId="0A37E8D0" w14:textId="77777777" w:rsidR="00DB1C4E" w:rsidRPr="00F2263F" w:rsidRDefault="00DB1C4E" w:rsidP="00132A6A">
      <w:pPr>
        <w:ind w:left="851"/>
        <w:rPr>
          <w:sz w:val="24"/>
          <w:szCs w:val="24"/>
        </w:rPr>
      </w:pPr>
    </w:p>
    <w:p w14:paraId="1DEB3906" w14:textId="77777777" w:rsidR="00DB1C4E" w:rsidRPr="00B23088" w:rsidRDefault="00DB1C4E" w:rsidP="00132A6A">
      <w:pPr>
        <w:ind w:left="851"/>
        <w:rPr>
          <w:sz w:val="24"/>
          <w:szCs w:val="24"/>
          <w:u w:val="single"/>
        </w:rPr>
      </w:pPr>
      <w:r w:rsidRPr="00B23088">
        <w:rPr>
          <w:sz w:val="24"/>
          <w:szCs w:val="24"/>
          <w:u w:val="single"/>
        </w:rPr>
        <w:t>Patienter med hiv 1, der indeholder mutationer</w:t>
      </w:r>
    </w:p>
    <w:p w14:paraId="63F75D44" w14:textId="77777777" w:rsidR="00DB1C4E" w:rsidRPr="00F2263F" w:rsidRDefault="00DB1C4E" w:rsidP="00132A6A">
      <w:pPr>
        <w:ind w:left="851"/>
        <w:rPr>
          <w:sz w:val="24"/>
          <w:szCs w:val="24"/>
        </w:rPr>
      </w:pPr>
    </w:p>
    <w:p w14:paraId="23C1DB7D" w14:textId="5B2215DE" w:rsidR="00DB1C4E" w:rsidRPr="00F2263F" w:rsidRDefault="00DB1C4E" w:rsidP="00132A6A">
      <w:pPr>
        <w:ind w:left="851"/>
        <w:rPr>
          <w:sz w:val="24"/>
          <w:szCs w:val="24"/>
        </w:rPr>
      </w:pPr>
      <w:r w:rsidRPr="00F2263F">
        <w:rPr>
          <w:sz w:val="24"/>
          <w:szCs w:val="24"/>
        </w:rPr>
        <w:t xml:space="preserve">Emtricitabine/Tenofovir alafenamide </w:t>
      </w:r>
      <w:r w:rsidR="008D5A42">
        <w:rPr>
          <w:sz w:val="24"/>
          <w:szCs w:val="24"/>
        </w:rPr>
        <w:t>"</w:t>
      </w:r>
      <w:r w:rsidRPr="00F2263F">
        <w:rPr>
          <w:sz w:val="24"/>
          <w:szCs w:val="24"/>
        </w:rPr>
        <w:t>Zentiva</w:t>
      </w:r>
      <w:r w:rsidR="008D5A42">
        <w:rPr>
          <w:sz w:val="24"/>
          <w:szCs w:val="24"/>
        </w:rPr>
        <w:t>"</w:t>
      </w:r>
      <w:r w:rsidRPr="00F2263F">
        <w:rPr>
          <w:sz w:val="24"/>
          <w:szCs w:val="24"/>
        </w:rPr>
        <w:t xml:space="preserve"> bør undgås hos behandlingserfarne patienter, hvor hiv 1 indeholder K65R-mutationen (se pkt. 5.1).</w:t>
      </w:r>
    </w:p>
    <w:p w14:paraId="08BD2D7D" w14:textId="6B159913" w:rsidR="004574DA" w:rsidRDefault="004574DA">
      <w:pPr>
        <w:rPr>
          <w:sz w:val="24"/>
          <w:szCs w:val="24"/>
        </w:rPr>
      </w:pPr>
      <w:r>
        <w:rPr>
          <w:sz w:val="24"/>
          <w:szCs w:val="24"/>
        </w:rPr>
        <w:br w:type="page"/>
      </w:r>
    </w:p>
    <w:p w14:paraId="369E5288" w14:textId="77777777" w:rsidR="00DB1C4E" w:rsidRPr="00F2263F" w:rsidRDefault="00DB1C4E" w:rsidP="00132A6A">
      <w:pPr>
        <w:ind w:left="851"/>
        <w:rPr>
          <w:sz w:val="24"/>
          <w:szCs w:val="24"/>
        </w:rPr>
      </w:pPr>
    </w:p>
    <w:p w14:paraId="370E1C6C" w14:textId="77777777" w:rsidR="00DB1C4E" w:rsidRPr="00B23088" w:rsidRDefault="00DB1C4E" w:rsidP="00132A6A">
      <w:pPr>
        <w:ind w:left="851"/>
        <w:rPr>
          <w:sz w:val="24"/>
          <w:szCs w:val="24"/>
          <w:u w:val="single"/>
        </w:rPr>
      </w:pPr>
      <w:r w:rsidRPr="00B23088">
        <w:rPr>
          <w:sz w:val="24"/>
          <w:szCs w:val="24"/>
          <w:u w:val="single"/>
        </w:rPr>
        <w:t>Trippel nukleosidbehandling</w:t>
      </w:r>
    </w:p>
    <w:p w14:paraId="33652ACF" w14:textId="77777777" w:rsidR="00DB1C4E" w:rsidRPr="00F2263F" w:rsidRDefault="00DB1C4E" w:rsidP="00132A6A">
      <w:pPr>
        <w:ind w:left="851"/>
        <w:rPr>
          <w:sz w:val="24"/>
          <w:szCs w:val="24"/>
        </w:rPr>
      </w:pPr>
    </w:p>
    <w:p w14:paraId="4B281D4B" w14:textId="4B124CEF" w:rsidR="00DB1C4E" w:rsidRPr="00F2263F" w:rsidRDefault="00DB1C4E" w:rsidP="00132A6A">
      <w:pPr>
        <w:ind w:left="851"/>
        <w:rPr>
          <w:sz w:val="24"/>
          <w:szCs w:val="24"/>
        </w:rPr>
      </w:pPr>
      <w:r w:rsidRPr="00F2263F">
        <w:rPr>
          <w:sz w:val="24"/>
          <w:szCs w:val="24"/>
        </w:rPr>
        <w:t xml:space="preserve">Der har været rapporter om en stor hyppighed af virologiske svigt og fremkomst af resistens på et tidligt stadium, når </w:t>
      </w:r>
      <w:r w:rsidR="00202D86">
        <w:rPr>
          <w:sz w:val="24"/>
          <w:szCs w:val="24"/>
        </w:rPr>
        <w:t>tenofovir disoproxil</w:t>
      </w:r>
      <w:r w:rsidRPr="00F2263F">
        <w:rPr>
          <w:sz w:val="24"/>
          <w:szCs w:val="24"/>
        </w:rPr>
        <w:t xml:space="preserve"> blev kombineret med lamivudin og abacavir samt lamivudin og didanosin som et regime med behandling én gang dagligt. Derfor er det muligt, at de samme problemer vil ses, når Emtricitabine/Tenofovir alafenamide </w:t>
      </w:r>
      <w:r w:rsidR="008D5A42">
        <w:rPr>
          <w:sz w:val="24"/>
          <w:szCs w:val="24"/>
        </w:rPr>
        <w:t>"</w:t>
      </w:r>
      <w:r w:rsidRPr="00F2263F">
        <w:rPr>
          <w:sz w:val="24"/>
          <w:szCs w:val="24"/>
        </w:rPr>
        <w:t>Zentiva</w:t>
      </w:r>
      <w:r w:rsidR="008D5A42">
        <w:rPr>
          <w:sz w:val="24"/>
          <w:szCs w:val="24"/>
        </w:rPr>
        <w:t>"</w:t>
      </w:r>
      <w:r w:rsidRPr="00F2263F">
        <w:rPr>
          <w:sz w:val="24"/>
          <w:szCs w:val="24"/>
        </w:rPr>
        <w:t xml:space="preserve"> administreres sammen med en tredje nukleosidanalog.</w:t>
      </w:r>
    </w:p>
    <w:p w14:paraId="5CF894C5" w14:textId="77777777" w:rsidR="00DB1C4E" w:rsidRPr="00F2263F" w:rsidRDefault="00DB1C4E" w:rsidP="00132A6A">
      <w:pPr>
        <w:ind w:left="851"/>
        <w:rPr>
          <w:sz w:val="24"/>
          <w:szCs w:val="24"/>
        </w:rPr>
      </w:pPr>
    </w:p>
    <w:p w14:paraId="47703131" w14:textId="77777777" w:rsidR="00DB1C4E" w:rsidRPr="00B23088" w:rsidRDefault="00DB1C4E" w:rsidP="00132A6A">
      <w:pPr>
        <w:ind w:left="851"/>
        <w:rPr>
          <w:sz w:val="24"/>
          <w:szCs w:val="24"/>
          <w:u w:val="single"/>
        </w:rPr>
      </w:pPr>
      <w:r w:rsidRPr="00B23088">
        <w:rPr>
          <w:sz w:val="24"/>
          <w:szCs w:val="24"/>
          <w:u w:val="single"/>
        </w:rPr>
        <w:t>Opportunistiske infektioner</w:t>
      </w:r>
    </w:p>
    <w:p w14:paraId="361C06A8" w14:textId="77777777" w:rsidR="00DB1C4E" w:rsidRPr="00F2263F" w:rsidRDefault="00DB1C4E" w:rsidP="00132A6A">
      <w:pPr>
        <w:ind w:left="851"/>
        <w:rPr>
          <w:sz w:val="24"/>
          <w:szCs w:val="24"/>
        </w:rPr>
      </w:pPr>
    </w:p>
    <w:p w14:paraId="6C383D69" w14:textId="052FE784" w:rsidR="00DB1C4E" w:rsidRPr="00F2263F" w:rsidRDefault="00DB1C4E" w:rsidP="00132A6A">
      <w:pPr>
        <w:ind w:left="851"/>
        <w:rPr>
          <w:sz w:val="24"/>
          <w:szCs w:val="24"/>
        </w:rPr>
      </w:pPr>
      <w:r w:rsidRPr="00F2263F">
        <w:rPr>
          <w:sz w:val="24"/>
          <w:szCs w:val="24"/>
        </w:rPr>
        <w:t xml:space="preserve">Patienter, som får Emtricitabine/Tenofovir alafenamide </w:t>
      </w:r>
      <w:r w:rsidR="008D5A42">
        <w:rPr>
          <w:sz w:val="24"/>
          <w:szCs w:val="24"/>
        </w:rPr>
        <w:t>"</w:t>
      </w:r>
      <w:r w:rsidRPr="00F2263F">
        <w:rPr>
          <w:sz w:val="24"/>
          <w:szCs w:val="24"/>
        </w:rPr>
        <w:t>Zentiva</w:t>
      </w:r>
      <w:r w:rsidR="008D5A42">
        <w:rPr>
          <w:sz w:val="24"/>
          <w:szCs w:val="24"/>
        </w:rPr>
        <w:t>"</w:t>
      </w:r>
      <w:r w:rsidRPr="00F2263F">
        <w:rPr>
          <w:sz w:val="24"/>
          <w:szCs w:val="24"/>
        </w:rPr>
        <w:t xml:space="preserve"> eller anden antiretroviral behandling, har fortsat risiko for opportunistiske infektioner eller andre hiv-relaterede komplikationer, og bør derfor følges nøje af læger med erfaring i behandlingen af patienter med hiv-associerede sygdomme.</w:t>
      </w:r>
    </w:p>
    <w:p w14:paraId="4498D1F1" w14:textId="77777777" w:rsidR="00DB1C4E" w:rsidRPr="00F2263F" w:rsidRDefault="00DB1C4E" w:rsidP="00132A6A">
      <w:pPr>
        <w:ind w:left="851"/>
        <w:rPr>
          <w:sz w:val="24"/>
          <w:szCs w:val="24"/>
        </w:rPr>
      </w:pPr>
    </w:p>
    <w:p w14:paraId="35BADA80" w14:textId="77777777" w:rsidR="00DB1C4E" w:rsidRPr="00B23088" w:rsidRDefault="00DB1C4E" w:rsidP="00132A6A">
      <w:pPr>
        <w:ind w:left="851"/>
        <w:rPr>
          <w:sz w:val="24"/>
          <w:szCs w:val="24"/>
          <w:u w:val="single"/>
        </w:rPr>
      </w:pPr>
      <w:r w:rsidRPr="00B23088">
        <w:rPr>
          <w:sz w:val="24"/>
          <w:szCs w:val="24"/>
          <w:u w:val="single"/>
        </w:rPr>
        <w:t>Osteonekrose</w:t>
      </w:r>
    </w:p>
    <w:p w14:paraId="5C5D3312" w14:textId="77777777" w:rsidR="00DB1C4E" w:rsidRPr="00F2263F" w:rsidRDefault="00DB1C4E" w:rsidP="00132A6A">
      <w:pPr>
        <w:ind w:left="851"/>
        <w:rPr>
          <w:sz w:val="24"/>
          <w:szCs w:val="24"/>
        </w:rPr>
      </w:pPr>
    </w:p>
    <w:p w14:paraId="7E7D19D2" w14:textId="77777777" w:rsidR="00DB1C4E" w:rsidRPr="00F2263F" w:rsidRDefault="00DB1C4E" w:rsidP="00132A6A">
      <w:pPr>
        <w:ind w:left="851"/>
        <w:rPr>
          <w:sz w:val="24"/>
          <w:szCs w:val="24"/>
        </w:rPr>
      </w:pPr>
      <w:r w:rsidRPr="00F2263F">
        <w:rPr>
          <w:sz w:val="24"/>
          <w:szCs w:val="24"/>
        </w:rPr>
        <w:t>Der er rapporteret om tilfælde af osteonekrose især hos patienter, der har fremskreden hiv-sygdom og/eller hos patienter med langvarig eksponering over for CART. Ætiologien anses dog for at være multifaktoriel (herunder anvendelse af kortikosteroider, alkoholforbrug, svær immunosuppression, højere Body Mass Index (BMI)). Patienter, der oplever ømme og smertende led, ledstivhed eller bevægelsesbesvær bør rådes til at søge læge.</w:t>
      </w:r>
    </w:p>
    <w:p w14:paraId="205476CA" w14:textId="77777777" w:rsidR="00DB1C4E" w:rsidRPr="00F2263F" w:rsidRDefault="00DB1C4E" w:rsidP="00132A6A">
      <w:pPr>
        <w:ind w:left="851"/>
        <w:rPr>
          <w:sz w:val="24"/>
          <w:szCs w:val="24"/>
        </w:rPr>
      </w:pPr>
    </w:p>
    <w:p w14:paraId="635DF3A1" w14:textId="77777777" w:rsidR="00DB1C4E" w:rsidRPr="00855B0B" w:rsidRDefault="00DB1C4E" w:rsidP="00132A6A">
      <w:pPr>
        <w:ind w:left="851"/>
        <w:rPr>
          <w:sz w:val="24"/>
          <w:szCs w:val="24"/>
          <w:u w:val="single"/>
        </w:rPr>
      </w:pPr>
      <w:r w:rsidRPr="00855B0B">
        <w:rPr>
          <w:sz w:val="24"/>
          <w:szCs w:val="24"/>
          <w:u w:val="single"/>
        </w:rPr>
        <w:t>Nefrotoksicitet</w:t>
      </w:r>
    </w:p>
    <w:p w14:paraId="265855EF" w14:textId="77777777" w:rsidR="00DB1C4E" w:rsidRPr="00F2263F" w:rsidRDefault="00DB1C4E" w:rsidP="00132A6A">
      <w:pPr>
        <w:ind w:left="851"/>
        <w:rPr>
          <w:sz w:val="24"/>
          <w:szCs w:val="24"/>
        </w:rPr>
      </w:pPr>
    </w:p>
    <w:p w14:paraId="25E581A0" w14:textId="75F8AC93" w:rsidR="00DB1C4E" w:rsidRPr="00F2263F" w:rsidRDefault="00DB1C4E" w:rsidP="00132A6A">
      <w:pPr>
        <w:ind w:left="851"/>
        <w:rPr>
          <w:sz w:val="24"/>
          <w:szCs w:val="24"/>
        </w:rPr>
      </w:pPr>
      <w:r w:rsidRPr="00F2263F">
        <w:rPr>
          <w:sz w:val="24"/>
          <w:szCs w:val="24"/>
        </w:rPr>
        <w:t xml:space="preserve">Tilfælde af nedsat nyrefunktion, herunder akut nyresvigt og proksimal renal tubulopati er blevet rapporteret med produkter indeholdende </w:t>
      </w:r>
      <w:r w:rsidR="00202D86">
        <w:rPr>
          <w:sz w:val="24"/>
          <w:szCs w:val="24"/>
        </w:rPr>
        <w:t>tenofovir alafenamid</w:t>
      </w:r>
      <w:r w:rsidRPr="00F2263F">
        <w:rPr>
          <w:sz w:val="24"/>
          <w:szCs w:val="24"/>
        </w:rPr>
        <w:t xml:space="preserve"> efter markedsføring. En mulig risiko for nefrotoksicitet som følge af kronisk eksponering over for lave niveauer af tenofovir fra doseringen med </w:t>
      </w:r>
      <w:r w:rsidR="00202D86">
        <w:rPr>
          <w:sz w:val="24"/>
          <w:szCs w:val="24"/>
        </w:rPr>
        <w:t>tenofovir alafenamid</w:t>
      </w:r>
      <w:r w:rsidRPr="00F2263F">
        <w:rPr>
          <w:sz w:val="24"/>
          <w:szCs w:val="24"/>
        </w:rPr>
        <w:t xml:space="preserve"> kan ikke udelukkes (se pkt. 5.3).</w:t>
      </w:r>
    </w:p>
    <w:p w14:paraId="70AA9BC2" w14:textId="77777777" w:rsidR="00DB1C4E" w:rsidRPr="00F2263F" w:rsidRDefault="00DB1C4E" w:rsidP="00132A6A">
      <w:pPr>
        <w:ind w:left="851"/>
        <w:rPr>
          <w:sz w:val="24"/>
          <w:szCs w:val="24"/>
        </w:rPr>
      </w:pPr>
    </w:p>
    <w:p w14:paraId="5C264A00" w14:textId="351BC79A" w:rsidR="00DB1C4E" w:rsidRPr="00F2263F" w:rsidRDefault="00DB1C4E" w:rsidP="00132A6A">
      <w:pPr>
        <w:ind w:left="851"/>
        <w:rPr>
          <w:sz w:val="24"/>
          <w:szCs w:val="24"/>
        </w:rPr>
      </w:pPr>
      <w:r w:rsidRPr="00F2263F">
        <w:rPr>
          <w:sz w:val="24"/>
          <w:szCs w:val="24"/>
        </w:rPr>
        <w:t xml:space="preserve">Det anbefales at evaluere nyrefunktionen hos alle patienter før eller ved påbegyndelse af behandling med emtricitabin og </w:t>
      </w:r>
      <w:r w:rsidR="00202D86">
        <w:rPr>
          <w:sz w:val="24"/>
          <w:szCs w:val="24"/>
        </w:rPr>
        <w:t>tenofovir alafenamid</w:t>
      </w:r>
      <w:r w:rsidRPr="00F2263F">
        <w:rPr>
          <w:sz w:val="24"/>
          <w:szCs w:val="24"/>
        </w:rPr>
        <w:t xml:space="preserve"> kombinationen, samt at monitorere denne under behandlingen hos alle patienter, hvis det er klinisk hensigtsmæssigt. Hos patienter, som udvikler klinisk signifikant nedsættelse af nyrefunktionen eller evidens for proksimal renal tubulopati, bør seponering af emtricitabin og </w:t>
      </w:r>
      <w:r w:rsidR="00202D86">
        <w:rPr>
          <w:sz w:val="24"/>
          <w:szCs w:val="24"/>
        </w:rPr>
        <w:t>tenofovir alafenamid</w:t>
      </w:r>
      <w:r w:rsidRPr="00F2263F">
        <w:rPr>
          <w:sz w:val="24"/>
          <w:szCs w:val="24"/>
        </w:rPr>
        <w:t xml:space="preserve"> overvejes. </w:t>
      </w:r>
    </w:p>
    <w:p w14:paraId="43F1CAD3" w14:textId="77777777" w:rsidR="00DB1C4E" w:rsidRPr="00F2263F" w:rsidRDefault="00DB1C4E" w:rsidP="00132A6A">
      <w:pPr>
        <w:ind w:left="851"/>
        <w:rPr>
          <w:sz w:val="24"/>
          <w:szCs w:val="24"/>
        </w:rPr>
      </w:pPr>
    </w:p>
    <w:p w14:paraId="2DFEDEEA" w14:textId="77777777" w:rsidR="00DB1C4E" w:rsidRPr="00855B0B" w:rsidRDefault="00DB1C4E" w:rsidP="00132A6A">
      <w:pPr>
        <w:ind w:left="851"/>
        <w:rPr>
          <w:sz w:val="24"/>
          <w:szCs w:val="24"/>
          <w:u w:val="single"/>
        </w:rPr>
      </w:pPr>
      <w:r w:rsidRPr="00855B0B">
        <w:rPr>
          <w:sz w:val="24"/>
          <w:szCs w:val="24"/>
          <w:u w:val="single"/>
        </w:rPr>
        <w:t>Patienter med nyresygdom i slutstadiet i kronisk hæmodialyse</w:t>
      </w:r>
    </w:p>
    <w:p w14:paraId="25BA7DD1" w14:textId="77777777" w:rsidR="00DB1C4E" w:rsidRPr="00F2263F" w:rsidRDefault="00DB1C4E" w:rsidP="00132A6A">
      <w:pPr>
        <w:ind w:left="851"/>
        <w:rPr>
          <w:sz w:val="24"/>
          <w:szCs w:val="24"/>
        </w:rPr>
      </w:pPr>
    </w:p>
    <w:p w14:paraId="7E798759" w14:textId="77154BBC" w:rsidR="00DB1C4E" w:rsidRPr="00F2263F" w:rsidRDefault="00DB1C4E" w:rsidP="00132A6A">
      <w:pPr>
        <w:ind w:left="851"/>
        <w:rPr>
          <w:sz w:val="24"/>
          <w:szCs w:val="24"/>
        </w:rPr>
      </w:pPr>
      <w:r w:rsidRPr="00F2263F">
        <w:rPr>
          <w:sz w:val="24"/>
          <w:szCs w:val="24"/>
        </w:rPr>
        <w:t xml:space="preserve">Emtricitabine/Tenofovir alafenamide </w:t>
      </w:r>
      <w:r w:rsidR="008D5A42">
        <w:rPr>
          <w:sz w:val="24"/>
          <w:szCs w:val="24"/>
        </w:rPr>
        <w:t>"</w:t>
      </w:r>
      <w:r w:rsidRPr="00F2263F">
        <w:rPr>
          <w:sz w:val="24"/>
          <w:szCs w:val="24"/>
        </w:rPr>
        <w:t>Zentiva</w:t>
      </w:r>
      <w:r w:rsidR="008D5A42">
        <w:rPr>
          <w:sz w:val="24"/>
          <w:szCs w:val="24"/>
        </w:rPr>
        <w:t>"</w:t>
      </w:r>
      <w:r w:rsidRPr="00F2263F">
        <w:rPr>
          <w:sz w:val="24"/>
          <w:szCs w:val="24"/>
        </w:rPr>
        <w:t xml:space="preserve"> bør generelt undgås, men kan anvendes hos voksne med nyresygdom i slutstadiet (estimeret CrCl &lt; 15 ml/min) i kronisk hæmodialyse, hvis de potentielle fordele opvejer de potentielle risici (se pkt. 4.2). I et studie med emtricitabin + </w:t>
      </w:r>
      <w:r w:rsidR="00202D86">
        <w:rPr>
          <w:sz w:val="24"/>
          <w:szCs w:val="24"/>
        </w:rPr>
        <w:t>tenofovir alafenamid</w:t>
      </w:r>
      <w:r w:rsidRPr="00F2263F">
        <w:rPr>
          <w:sz w:val="24"/>
          <w:szCs w:val="24"/>
        </w:rPr>
        <w:t xml:space="preserve"> kombineret med elvitegravir + cobicistat som fastdosis kombinationstablet (E/C/F/TAF) hos hiv 1-inficerede voksne med nyresygdom i slutstadiet (estimeret CrCl &lt; 15 ml/min) i kronisk hæmodialyse opretholdtes effekten til og med 48 uger, men eksponering for emtricitabin var signifikant højere end hos patienter med normal nyrefunktion. Skønt der ikke identificeredes nye sikkerhedsproblemer, er implikationerne af øget eksponering for emtricitabin stadig usikre (se pkt. 4.8 og 5.2).</w:t>
      </w:r>
    </w:p>
    <w:p w14:paraId="174A6C07" w14:textId="77777777" w:rsidR="00DB1C4E" w:rsidRPr="00F2263F" w:rsidRDefault="00DB1C4E" w:rsidP="00132A6A">
      <w:pPr>
        <w:ind w:left="851"/>
        <w:rPr>
          <w:sz w:val="24"/>
          <w:szCs w:val="24"/>
        </w:rPr>
      </w:pPr>
    </w:p>
    <w:p w14:paraId="1D1F046A" w14:textId="77777777" w:rsidR="00DB1C4E" w:rsidRPr="00855B0B" w:rsidRDefault="00DB1C4E" w:rsidP="00132A6A">
      <w:pPr>
        <w:ind w:left="851"/>
        <w:rPr>
          <w:sz w:val="24"/>
          <w:szCs w:val="24"/>
          <w:u w:val="single"/>
        </w:rPr>
      </w:pPr>
      <w:r w:rsidRPr="00855B0B">
        <w:rPr>
          <w:sz w:val="24"/>
          <w:szCs w:val="24"/>
          <w:u w:val="single"/>
        </w:rPr>
        <w:t>Samtidig administration af andre lægemidler</w:t>
      </w:r>
    </w:p>
    <w:p w14:paraId="49F90F01" w14:textId="77777777" w:rsidR="00DB1C4E" w:rsidRPr="00F2263F" w:rsidRDefault="00DB1C4E" w:rsidP="00132A6A">
      <w:pPr>
        <w:ind w:left="851"/>
        <w:rPr>
          <w:sz w:val="24"/>
          <w:szCs w:val="24"/>
        </w:rPr>
      </w:pPr>
    </w:p>
    <w:p w14:paraId="72C1718D" w14:textId="2AE7B647" w:rsidR="00DB1C4E" w:rsidRPr="00F2263F" w:rsidRDefault="00DB1C4E" w:rsidP="00132A6A">
      <w:pPr>
        <w:ind w:left="851"/>
        <w:rPr>
          <w:sz w:val="24"/>
          <w:szCs w:val="24"/>
        </w:rPr>
      </w:pPr>
      <w:r w:rsidRPr="00F2263F">
        <w:rPr>
          <w:sz w:val="24"/>
          <w:szCs w:val="24"/>
        </w:rPr>
        <w:t xml:space="preserve">Den samtidige administration af Emtricitabine/Tenofovir alafenamide </w:t>
      </w:r>
      <w:r w:rsidR="008D5A42">
        <w:rPr>
          <w:sz w:val="24"/>
          <w:szCs w:val="24"/>
        </w:rPr>
        <w:t>"</w:t>
      </w:r>
      <w:r w:rsidRPr="00F2263F">
        <w:rPr>
          <w:sz w:val="24"/>
          <w:szCs w:val="24"/>
        </w:rPr>
        <w:t>Zentiva</w:t>
      </w:r>
      <w:r w:rsidR="008D5A42">
        <w:rPr>
          <w:sz w:val="24"/>
          <w:szCs w:val="24"/>
        </w:rPr>
        <w:t>"</w:t>
      </w:r>
      <w:r w:rsidRPr="00F2263F">
        <w:rPr>
          <w:sz w:val="24"/>
          <w:szCs w:val="24"/>
        </w:rPr>
        <w:t xml:space="preserve"> anbefales ikke sammen med visse antikonvulsiva (f.eks. carbamazepin, oxcarbazepin, phenobarbital og phenytoin), antimykobakterielle lægemidler (f.eks. rifampicin, rifabutin, rifapentin), prikbladet perikum og andre hiv proteasehæmmere (PI’er) end atazanavir, lopinavir og darunavir (se pkt. 4.5).</w:t>
      </w:r>
    </w:p>
    <w:p w14:paraId="022E2669" w14:textId="77777777" w:rsidR="00DB1C4E" w:rsidRPr="00F2263F" w:rsidRDefault="00DB1C4E" w:rsidP="00132A6A">
      <w:pPr>
        <w:ind w:left="851"/>
        <w:rPr>
          <w:sz w:val="24"/>
          <w:szCs w:val="24"/>
        </w:rPr>
      </w:pPr>
    </w:p>
    <w:p w14:paraId="3F844B1C" w14:textId="5B78A5B7" w:rsidR="00DB1C4E" w:rsidRPr="00F2263F" w:rsidRDefault="00DB1C4E" w:rsidP="00132A6A">
      <w:pPr>
        <w:ind w:left="851"/>
        <w:rPr>
          <w:sz w:val="24"/>
          <w:szCs w:val="24"/>
        </w:rPr>
      </w:pPr>
      <w:r w:rsidRPr="00F2263F">
        <w:rPr>
          <w:sz w:val="24"/>
          <w:szCs w:val="24"/>
        </w:rPr>
        <w:t xml:space="preserve">Emtricitabine/Tenofovir alafenamide </w:t>
      </w:r>
      <w:r w:rsidR="008D5A42">
        <w:rPr>
          <w:sz w:val="24"/>
          <w:szCs w:val="24"/>
        </w:rPr>
        <w:t>"</w:t>
      </w:r>
      <w:r w:rsidRPr="00F2263F">
        <w:rPr>
          <w:sz w:val="24"/>
          <w:szCs w:val="24"/>
        </w:rPr>
        <w:t>Zentiva</w:t>
      </w:r>
      <w:r w:rsidR="008D5A42">
        <w:rPr>
          <w:sz w:val="24"/>
          <w:szCs w:val="24"/>
        </w:rPr>
        <w:t>"</w:t>
      </w:r>
      <w:r w:rsidRPr="00F2263F">
        <w:rPr>
          <w:sz w:val="24"/>
          <w:szCs w:val="24"/>
        </w:rPr>
        <w:t xml:space="preserve"> bør ikke indgives samtidigt med lægemidler, som indeholder </w:t>
      </w:r>
      <w:r w:rsidR="00202D86">
        <w:rPr>
          <w:sz w:val="24"/>
          <w:szCs w:val="24"/>
        </w:rPr>
        <w:t>tenofovir alafenamid</w:t>
      </w:r>
      <w:r w:rsidRPr="00F2263F">
        <w:rPr>
          <w:sz w:val="24"/>
          <w:szCs w:val="24"/>
        </w:rPr>
        <w:t xml:space="preserve">, </w:t>
      </w:r>
      <w:r w:rsidR="00202D86">
        <w:rPr>
          <w:sz w:val="24"/>
          <w:szCs w:val="24"/>
        </w:rPr>
        <w:t>tenofovir disoproxil</w:t>
      </w:r>
      <w:r w:rsidRPr="00F2263F">
        <w:rPr>
          <w:sz w:val="24"/>
          <w:szCs w:val="24"/>
        </w:rPr>
        <w:t>, emtricitabin, lamivudin eller adefovirdipivoxil.</w:t>
      </w:r>
    </w:p>
    <w:p w14:paraId="51423728" w14:textId="77777777" w:rsidR="00DB1C4E" w:rsidRPr="00F2263F" w:rsidRDefault="00DB1C4E" w:rsidP="00132A6A">
      <w:pPr>
        <w:ind w:left="851"/>
        <w:rPr>
          <w:sz w:val="24"/>
          <w:szCs w:val="24"/>
        </w:rPr>
      </w:pPr>
    </w:p>
    <w:p w14:paraId="744ADD08" w14:textId="77777777" w:rsidR="00DB1C4E" w:rsidRPr="00855B0B" w:rsidRDefault="00DB1C4E" w:rsidP="00132A6A">
      <w:pPr>
        <w:ind w:left="851"/>
        <w:rPr>
          <w:sz w:val="24"/>
          <w:szCs w:val="24"/>
          <w:u w:val="single"/>
        </w:rPr>
      </w:pPr>
      <w:r w:rsidRPr="00855B0B">
        <w:rPr>
          <w:sz w:val="24"/>
          <w:szCs w:val="24"/>
          <w:u w:val="single"/>
        </w:rPr>
        <w:t>Hjælpestoffer</w:t>
      </w:r>
    </w:p>
    <w:p w14:paraId="770E847F" w14:textId="77777777" w:rsidR="00DB1C4E" w:rsidRPr="00F2263F" w:rsidRDefault="00DB1C4E" w:rsidP="00132A6A">
      <w:pPr>
        <w:ind w:left="851"/>
        <w:rPr>
          <w:sz w:val="24"/>
          <w:szCs w:val="24"/>
        </w:rPr>
      </w:pPr>
    </w:p>
    <w:p w14:paraId="02FE0170" w14:textId="77777777" w:rsidR="00DB1C4E" w:rsidRPr="00F2263F" w:rsidRDefault="00DB1C4E" w:rsidP="00132A6A">
      <w:pPr>
        <w:ind w:left="851"/>
        <w:rPr>
          <w:sz w:val="24"/>
          <w:szCs w:val="24"/>
        </w:rPr>
      </w:pPr>
      <w:r w:rsidRPr="00F2263F">
        <w:rPr>
          <w:sz w:val="24"/>
          <w:szCs w:val="24"/>
        </w:rPr>
        <w:t>Dette lægemiddel indeholder mindre end 1 mmol (23 mg) natrium pr. tablet, dvs. det er i det væsentlige natriumfrit.</w:t>
      </w:r>
    </w:p>
    <w:p w14:paraId="4D8CE3B3" w14:textId="77777777" w:rsidR="009260DE" w:rsidRPr="00F2263F" w:rsidRDefault="009260DE" w:rsidP="009260DE">
      <w:pPr>
        <w:tabs>
          <w:tab w:val="left" w:pos="851"/>
        </w:tabs>
        <w:ind w:left="851"/>
        <w:rPr>
          <w:sz w:val="24"/>
          <w:szCs w:val="24"/>
        </w:rPr>
      </w:pPr>
    </w:p>
    <w:p w14:paraId="31082E0F" w14:textId="77777777" w:rsidR="009260DE" w:rsidRPr="00F2263F" w:rsidRDefault="009260DE" w:rsidP="009260DE">
      <w:pPr>
        <w:tabs>
          <w:tab w:val="left" w:pos="851"/>
        </w:tabs>
        <w:ind w:left="851" w:hanging="851"/>
        <w:rPr>
          <w:b/>
          <w:sz w:val="24"/>
          <w:szCs w:val="24"/>
        </w:rPr>
      </w:pPr>
      <w:r w:rsidRPr="00F2263F">
        <w:rPr>
          <w:b/>
          <w:sz w:val="24"/>
          <w:szCs w:val="24"/>
        </w:rPr>
        <w:t>4.5</w:t>
      </w:r>
      <w:r w:rsidRPr="00F2263F">
        <w:rPr>
          <w:b/>
          <w:sz w:val="24"/>
          <w:szCs w:val="24"/>
        </w:rPr>
        <w:tab/>
        <w:t>Interaktion med andre lægemidler og andre former for interaktion</w:t>
      </w:r>
    </w:p>
    <w:p w14:paraId="08E10E43" w14:textId="77777777" w:rsidR="00DB1C4E" w:rsidRPr="00F2263F" w:rsidRDefault="00DB1C4E" w:rsidP="00132A6A">
      <w:pPr>
        <w:ind w:left="851"/>
        <w:rPr>
          <w:sz w:val="24"/>
          <w:szCs w:val="24"/>
        </w:rPr>
      </w:pPr>
      <w:r w:rsidRPr="00F2263F">
        <w:rPr>
          <w:sz w:val="24"/>
          <w:szCs w:val="24"/>
        </w:rPr>
        <w:t>Interaktionsstudier er kun udført hos voksne.</w:t>
      </w:r>
    </w:p>
    <w:p w14:paraId="3CECC521" w14:textId="77777777" w:rsidR="00DB1C4E" w:rsidRPr="00F2263F" w:rsidRDefault="00DB1C4E" w:rsidP="00132A6A">
      <w:pPr>
        <w:ind w:left="851"/>
        <w:rPr>
          <w:sz w:val="24"/>
          <w:szCs w:val="24"/>
        </w:rPr>
      </w:pPr>
    </w:p>
    <w:p w14:paraId="625363F2" w14:textId="72C5A9A8" w:rsidR="00DB1C4E" w:rsidRPr="00F2263F" w:rsidRDefault="00DB1C4E" w:rsidP="00132A6A">
      <w:pPr>
        <w:ind w:left="851"/>
        <w:rPr>
          <w:sz w:val="24"/>
          <w:szCs w:val="24"/>
        </w:rPr>
      </w:pPr>
      <w:r w:rsidRPr="00F2263F">
        <w:rPr>
          <w:sz w:val="24"/>
          <w:szCs w:val="24"/>
        </w:rPr>
        <w:t xml:space="preserve">Emtricitabine/Tenofovir alafenamide </w:t>
      </w:r>
      <w:r w:rsidR="008D5A42">
        <w:rPr>
          <w:sz w:val="24"/>
          <w:szCs w:val="24"/>
        </w:rPr>
        <w:t>"</w:t>
      </w:r>
      <w:r w:rsidRPr="00F2263F">
        <w:rPr>
          <w:sz w:val="24"/>
          <w:szCs w:val="24"/>
        </w:rPr>
        <w:t>Zentiva</w:t>
      </w:r>
      <w:r w:rsidR="008D5A42">
        <w:rPr>
          <w:sz w:val="24"/>
          <w:szCs w:val="24"/>
        </w:rPr>
        <w:t>"</w:t>
      </w:r>
      <w:r w:rsidRPr="00F2263F">
        <w:rPr>
          <w:sz w:val="24"/>
          <w:szCs w:val="24"/>
        </w:rPr>
        <w:t xml:space="preserve"> bør ikke indgives samtidigt med lægemidler, som indeholder </w:t>
      </w:r>
      <w:r w:rsidR="00202D86">
        <w:rPr>
          <w:sz w:val="24"/>
          <w:szCs w:val="24"/>
        </w:rPr>
        <w:t>tenofovir alafenamid</w:t>
      </w:r>
      <w:r w:rsidRPr="00F2263F">
        <w:rPr>
          <w:sz w:val="24"/>
          <w:szCs w:val="24"/>
        </w:rPr>
        <w:t xml:space="preserve">, </w:t>
      </w:r>
      <w:r w:rsidR="00202D86">
        <w:rPr>
          <w:sz w:val="24"/>
          <w:szCs w:val="24"/>
        </w:rPr>
        <w:t>tenofovir disoproxil</w:t>
      </w:r>
      <w:r w:rsidRPr="00F2263F">
        <w:rPr>
          <w:sz w:val="24"/>
          <w:szCs w:val="24"/>
        </w:rPr>
        <w:t>, emtricitabin, lamivudin eller adefovirdipivoxil.</w:t>
      </w:r>
    </w:p>
    <w:p w14:paraId="342E1667" w14:textId="77777777" w:rsidR="00DB1C4E" w:rsidRPr="00F2263F" w:rsidRDefault="00DB1C4E" w:rsidP="00132A6A">
      <w:pPr>
        <w:ind w:left="851"/>
        <w:rPr>
          <w:sz w:val="24"/>
          <w:szCs w:val="24"/>
        </w:rPr>
      </w:pPr>
    </w:p>
    <w:p w14:paraId="671E3EF0" w14:textId="77777777" w:rsidR="00DB1C4E" w:rsidRPr="00F2263F" w:rsidRDefault="00DB1C4E" w:rsidP="00132A6A">
      <w:pPr>
        <w:ind w:left="851"/>
        <w:rPr>
          <w:sz w:val="24"/>
          <w:szCs w:val="24"/>
          <w:u w:val="single"/>
        </w:rPr>
      </w:pPr>
      <w:r w:rsidRPr="00F2263F">
        <w:rPr>
          <w:sz w:val="24"/>
          <w:szCs w:val="24"/>
          <w:u w:val="single"/>
        </w:rPr>
        <w:t>Emtricitabin</w:t>
      </w:r>
    </w:p>
    <w:p w14:paraId="0E616F02" w14:textId="77777777" w:rsidR="00DB1C4E" w:rsidRPr="00F2263F" w:rsidRDefault="00DB1C4E" w:rsidP="00132A6A">
      <w:pPr>
        <w:ind w:left="851"/>
        <w:rPr>
          <w:sz w:val="24"/>
          <w:szCs w:val="24"/>
          <w:u w:val="single"/>
        </w:rPr>
      </w:pPr>
    </w:p>
    <w:p w14:paraId="4AEC4FD5" w14:textId="77777777" w:rsidR="00DB1C4E" w:rsidRPr="00F2263F" w:rsidRDefault="00DB1C4E" w:rsidP="00132A6A">
      <w:pPr>
        <w:ind w:left="851"/>
        <w:rPr>
          <w:sz w:val="24"/>
          <w:szCs w:val="24"/>
        </w:rPr>
      </w:pPr>
      <w:r w:rsidRPr="00F2263F">
        <w:rPr>
          <w:i/>
          <w:iCs/>
          <w:sz w:val="24"/>
          <w:szCs w:val="24"/>
        </w:rPr>
        <w:t xml:space="preserve">In vitro- </w:t>
      </w:r>
      <w:r w:rsidRPr="00F2263F">
        <w:rPr>
          <w:sz w:val="24"/>
          <w:szCs w:val="24"/>
        </w:rPr>
        <w:t>og kliniske farmakokinetiske lægemiddelinteraktionsstudier har vist, at risikoen for CYP-medierede interaktioner, der involverer emtricitabin og andre lægemidler, er lav. Samtidig administration af emtricitabin og lægemidler, der elimineres ved aktiv tubulær sekretion, kan øge koncentrationerne af emtricitabin og/eller det samtidigt administrerede lægemiddel. Lægemidler, der nedsætter nyrefunktionen, kan øge koncentrationerne af emtricitabin.</w:t>
      </w:r>
    </w:p>
    <w:p w14:paraId="66BF6961" w14:textId="77777777" w:rsidR="00DB1C4E" w:rsidRPr="00F2263F" w:rsidRDefault="00DB1C4E" w:rsidP="00132A6A">
      <w:pPr>
        <w:ind w:left="851"/>
        <w:rPr>
          <w:sz w:val="24"/>
          <w:szCs w:val="24"/>
        </w:rPr>
      </w:pPr>
    </w:p>
    <w:p w14:paraId="583AA79F" w14:textId="5CCD88EF" w:rsidR="00DB1C4E" w:rsidRPr="00F2263F" w:rsidRDefault="00202D86" w:rsidP="00132A6A">
      <w:pPr>
        <w:ind w:left="851"/>
        <w:rPr>
          <w:sz w:val="24"/>
          <w:szCs w:val="24"/>
          <w:u w:val="single"/>
        </w:rPr>
      </w:pPr>
      <w:r>
        <w:rPr>
          <w:sz w:val="24"/>
          <w:szCs w:val="24"/>
          <w:u w:val="single"/>
        </w:rPr>
        <w:t>Tenofovir alafenamid</w:t>
      </w:r>
    </w:p>
    <w:p w14:paraId="5D3D627D" w14:textId="77777777" w:rsidR="00DB1C4E" w:rsidRPr="00F2263F" w:rsidRDefault="00DB1C4E" w:rsidP="00132A6A">
      <w:pPr>
        <w:ind w:left="851"/>
        <w:rPr>
          <w:sz w:val="24"/>
          <w:szCs w:val="24"/>
          <w:u w:val="single"/>
        </w:rPr>
      </w:pPr>
    </w:p>
    <w:p w14:paraId="16F84C8D" w14:textId="1A669144" w:rsidR="00DB1C4E" w:rsidRPr="00F2263F" w:rsidRDefault="00202D86" w:rsidP="00132A6A">
      <w:pPr>
        <w:ind w:left="851"/>
        <w:rPr>
          <w:sz w:val="24"/>
          <w:szCs w:val="24"/>
        </w:rPr>
      </w:pPr>
      <w:r>
        <w:rPr>
          <w:sz w:val="24"/>
          <w:szCs w:val="24"/>
        </w:rPr>
        <w:t>Tenofovir alafenamid</w:t>
      </w:r>
      <w:r w:rsidR="00DB1C4E" w:rsidRPr="00F2263F">
        <w:rPr>
          <w:sz w:val="24"/>
          <w:szCs w:val="24"/>
        </w:rPr>
        <w:t xml:space="preserve"> transporteres af P-glykoprotein (P-gp) og brystcancer-resistens</w:t>
      </w:r>
      <w:r w:rsidR="00EF0A4B">
        <w:rPr>
          <w:sz w:val="24"/>
          <w:szCs w:val="24"/>
        </w:rPr>
        <w:softHyphen/>
      </w:r>
      <w:r w:rsidR="00DB1C4E" w:rsidRPr="00F2263F">
        <w:rPr>
          <w:sz w:val="24"/>
          <w:szCs w:val="24"/>
        </w:rPr>
        <w:t xml:space="preserve">protein (BCRP). Lægemidler, der påvirker P-gp- og BCRP-aktiviteten kraftigt, kan føre til ændringer i </w:t>
      </w:r>
      <w:r>
        <w:rPr>
          <w:sz w:val="24"/>
          <w:szCs w:val="24"/>
        </w:rPr>
        <w:t>tenofovir alafenamid</w:t>
      </w:r>
      <w:r w:rsidR="00DB1C4E" w:rsidRPr="00F2263F">
        <w:rPr>
          <w:sz w:val="24"/>
          <w:szCs w:val="24"/>
        </w:rPr>
        <w:t xml:space="preserve">s absorption. Lægemidler, der inducerer P-gp-aktivitet (f.eks. rifampicin, rifabutin, carbamazepin, phenobarbital) forventes at nedsætte absorptionen af </w:t>
      </w:r>
      <w:r>
        <w:rPr>
          <w:sz w:val="24"/>
          <w:szCs w:val="24"/>
        </w:rPr>
        <w:t>tenofovir alafenamid</w:t>
      </w:r>
      <w:r w:rsidR="00DB1C4E" w:rsidRPr="00F2263F">
        <w:rPr>
          <w:sz w:val="24"/>
          <w:szCs w:val="24"/>
        </w:rPr>
        <w:t xml:space="preserve">, hvilket fører til en nedsat plasmakoncentration af </w:t>
      </w:r>
      <w:r>
        <w:rPr>
          <w:sz w:val="24"/>
          <w:szCs w:val="24"/>
        </w:rPr>
        <w:t>tenofovir alafenamid</w:t>
      </w:r>
      <w:r w:rsidR="00DB1C4E" w:rsidRPr="00F2263F">
        <w:rPr>
          <w:sz w:val="24"/>
          <w:szCs w:val="24"/>
        </w:rPr>
        <w:t xml:space="preserve">, hvilket kan forårsage en svigtende terapeutisk virkning af Emtricitabine/Tenofovir alafenamide </w:t>
      </w:r>
      <w:r w:rsidR="008D5A42">
        <w:rPr>
          <w:sz w:val="24"/>
          <w:szCs w:val="24"/>
        </w:rPr>
        <w:t>"</w:t>
      </w:r>
      <w:r w:rsidR="00DB1C4E" w:rsidRPr="00F2263F">
        <w:rPr>
          <w:sz w:val="24"/>
          <w:szCs w:val="24"/>
        </w:rPr>
        <w:t>Zentiva</w:t>
      </w:r>
      <w:r w:rsidR="008D5A42">
        <w:rPr>
          <w:sz w:val="24"/>
          <w:szCs w:val="24"/>
        </w:rPr>
        <w:t>"</w:t>
      </w:r>
      <w:r w:rsidR="00DB1C4E" w:rsidRPr="00F2263F">
        <w:rPr>
          <w:sz w:val="24"/>
          <w:szCs w:val="24"/>
        </w:rPr>
        <w:t xml:space="preserve"> samt udvikling af resistens. Samtidig administration af Emtricitabine/Tenofovir alafenamide </w:t>
      </w:r>
      <w:r w:rsidR="008D5A42">
        <w:rPr>
          <w:sz w:val="24"/>
          <w:szCs w:val="24"/>
        </w:rPr>
        <w:t>"</w:t>
      </w:r>
      <w:r w:rsidR="00DB1C4E" w:rsidRPr="00F2263F">
        <w:rPr>
          <w:sz w:val="24"/>
          <w:szCs w:val="24"/>
        </w:rPr>
        <w:t>Zentiva</w:t>
      </w:r>
      <w:r w:rsidR="008D5A42">
        <w:rPr>
          <w:sz w:val="24"/>
          <w:szCs w:val="24"/>
        </w:rPr>
        <w:t>"</w:t>
      </w:r>
      <w:r w:rsidR="00DB1C4E" w:rsidRPr="00F2263F">
        <w:rPr>
          <w:sz w:val="24"/>
          <w:szCs w:val="24"/>
        </w:rPr>
        <w:t xml:space="preserve"> med andre lægemidler, der hæmmer P-gp- og BCRP-aktiviteten (f.eks. cobicistat, ritonavir, ciclosporin) forventes at øge absorptionen og plasmakoncentrationen af </w:t>
      </w:r>
      <w:r>
        <w:rPr>
          <w:sz w:val="24"/>
          <w:szCs w:val="24"/>
        </w:rPr>
        <w:t>tenofovir alafenamid</w:t>
      </w:r>
      <w:r w:rsidR="00DB1C4E" w:rsidRPr="00F2263F">
        <w:rPr>
          <w:sz w:val="24"/>
          <w:szCs w:val="24"/>
        </w:rPr>
        <w:t xml:space="preserve">. Baseret på data fra et </w:t>
      </w:r>
      <w:r w:rsidR="00DB1C4E" w:rsidRPr="00F2263F">
        <w:rPr>
          <w:i/>
          <w:iCs/>
          <w:sz w:val="24"/>
          <w:szCs w:val="24"/>
        </w:rPr>
        <w:t>in vitro</w:t>
      </w:r>
      <w:r w:rsidR="00DB1C4E" w:rsidRPr="00F2263F">
        <w:rPr>
          <w:sz w:val="24"/>
          <w:szCs w:val="24"/>
        </w:rPr>
        <w:t xml:space="preserve">-studie forventes samtidig administration af </w:t>
      </w:r>
      <w:r>
        <w:rPr>
          <w:sz w:val="24"/>
          <w:szCs w:val="24"/>
        </w:rPr>
        <w:t>tenofovir alafenamid</w:t>
      </w:r>
      <w:r w:rsidR="00DB1C4E" w:rsidRPr="00F2263F">
        <w:rPr>
          <w:sz w:val="24"/>
          <w:szCs w:val="24"/>
        </w:rPr>
        <w:t xml:space="preserve"> og xanthinoxidasehæmmere (f.eks. febuxostat) ikke at øge den systemiske eksponering over for tenofovir </w:t>
      </w:r>
      <w:r w:rsidR="00DB1C4E" w:rsidRPr="00F2263F">
        <w:rPr>
          <w:i/>
          <w:iCs/>
          <w:sz w:val="24"/>
          <w:szCs w:val="24"/>
        </w:rPr>
        <w:t>in vivo</w:t>
      </w:r>
      <w:r w:rsidR="00DB1C4E" w:rsidRPr="00F2263F">
        <w:rPr>
          <w:sz w:val="24"/>
          <w:szCs w:val="24"/>
        </w:rPr>
        <w:t>.</w:t>
      </w:r>
    </w:p>
    <w:p w14:paraId="4E9D695B" w14:textId="77777777" w:rsidR="00DB1C4E" w:rsidRPr="00F2263F" w:rsidRDefault="00DB1C4E" w:rsidP="00132A6A">
      <w:pPr>
        <w:ind w:left="851"/>
        <w:rPr>
          <w:sz w:val="24"/>
          <w:szCs w:val="24"/>
        </w:rPr>
      </w:pPr>
    </w:p>
    <w:p w14:paraId="07DFA160" w14:textId="36589E4B" w:rsidR="00DB1C4E" w:rsidRPr="00F2263F" w:rsidRDefault="00202D86" w:rsidP="00132A6A">
      <w:pPr>
        <w:ind w:left="851"/>
        <w:rPr>
          <w:sz w:val="24"/>
          <w:szCs w:val="24"/>
        </w:rPr>
      </w:pPr>
      <w:r>
        <w:rPr>
          <w:sz w:val="24"/>
          <w:szCs w:val="24"/>
        </w:rPr>
        <w:lastRenderedPageBreak/>
        <w:t>Tenofovir alafenamid</w:t>
      </w:r>
      <w:r w:rsidR="00DB1C4E" w:rsidRPr="00F2263F">
        <w:rPr>
          <w:sz w:val="24"/>
          <w:szCs w:val="24"/>
        </w:rPr>
        <w:t xml:space="preserve"> er ikke en hæmmer af CYP1A2, CYP2B6, CYP2C8, CYP2C9, CYP2C19 eller CYP2D6 </w:t>
      </w:r>
      <w:r w:rsidR="00DB1C4E" w:rsidRPr="00F2263F">
        <w:rPr>
          <w:i/>
          <w:iCs/>
          <w:sz w:val="24"/>
          <w:szCs w:val="24"/>
        </w:rPr>
        <w:t>in vitro</w:t>
      </w:r>
      <w:r w:rsidR="00DB1C4E" w:rsidRPr="00F2263F">
        <w:rPr>
          <w:sz w:val="24"/>
          <w:szCs w:val="24"/>
        </w:rPr>
        <w:t xml:space="preserve">. Det er ikke en hæmmer eller inducer af CYP3A </w:t>
      </w:r>
      <w:r w:rsidR="00DB1C4E" w:rsidRPr="00F2263F">
        <w:rPr>
          <w:i/>
          <w:iCs/>
          <w:sz w:val="24"/>
          <w:szCs w:val="24"/>
        </w:rPr>
        <w:t>in vivo</w:t>
      </w:r>
      <w:r w:rsidR="00DB1C4E" w:rsidRPr="00F2263F">
        <w:rPr>
          <w:sz w:val="24"/>
          <w:szCs w:val="24"/>
        </w:rPr>
        <w:t xml:space="preserve">. </w:t>
      </w:r>
      <w:r>
        <w:rPr>
          <w:sz w:val="24"/>
          <w:szCs w:val="24"/>
        </w:rPr>
        <w:t>Tenofovir alafenamid</w:t>
      </w:r>
      <w:r w:rsidR="00DB1C4E" w:rsidRPr="00F2263F">
        <w:rPr>
          <w:sz w:val="24"/>
          <w:szCs w:val="24"/>
        </w:rPr>
        <w:t xml:space="preserve"> er et substrat for OATP1B1 og OATP1B3 </w:t>
      </w:r>
      <w:r w:rsidR="00DB1C4E" w:rsidRPr="00F2263F">
        <w:rPr>
          <w:i/>
          <w:iCs/>
          <w:sz w:val="24"/>
          <w:szCs w:val="24"/>
        </w:rPr>
        <w:t>in vitro</w:t>
      </w:r>
      <w:r w:rsidR="00DB1C4E" w:rsidRPr="00F2263F">
        <w:rPr>
          <w:sz w:val="24"/>
          <w:szCs w:val="24"/>
        </w:rPr>
        <w:t xml:space="preserve">. Fordelingen af </w:t>
      </w:r>
      <w:r>
        <w:rPr>
          <w:sz w:val="24"/>
          <w:szCs w:val="24"/>
        </w:rPr>
        <w:t>tenofovir alafenamid</w:t>
      </w:r>
      <w:r w:rsidR="00DB1C4E" w:rsidRPr="00F2263F">
        <w:rPr>
          <w:sz w:val="24"/>
          <w:szCs w:val="24"/>
        </w:rPr>
        <w:t xml:space="preserve"> i kroppen kan påvirkes af aktiviteten af OATP1B1 og OATP1B3.</w:t>
      </w:r>
    </w:p>
    <w:p w14:paraId="293EA722" w14:textId="77777777" w:rsidR="00DB1C4E" w:rsidRPr="00F2263F" w:rsidRDefault="00DB1C4E" w:rsidP="00132A6A">
      <w:pPr>
        <w:ind w:left="851"/>
        <w:rPr>
          <w:sz w:val="24"/>
          <w:szCs w:val="24"/>
        </w:rPr>
      </w:pPr>
    </w:p>
    <w:p w14:paraId="639E9339" w14:textId="77777777" w:rsidR="00DB1C4E" w:rsidRPr="00F2263F" w:rsidRDefault="00DB1C4E" w:rsidP="00132A6A">
      <w:pPr>
        <w:ind w:left="851"/>
        <w:rPr>
          <w:sz w:val="24"/>
          <w:szCs w:val="24"/>
          <w:u w:val="single"/>
        </w:rPr>
      </w:pPr>
      <w:r w:rsidRPr="00F2263F">
        <w:rPr>
          <w:sz w:val="24"/>
          <w:szCs w:val="24"/>
          <w:u w:val="single"/>
        </w:rPr>
        <w:t>Andre interaktioner</w:t>
      </w:r>
    </w:p>
    <w:p w14:paraId="5582E3AC" w14:textId="77777777" w:rsidR="00DB1C4E" w:rsidRPr="00F2263F" w:rsidRDefault="00DB1C4E" w:rsidP="00132A6A">
      <w:pPr>
        <w:ind w:left="851"/>
        <w:rPr>
          <w:sz w:val="24"/>
          <w:szCs w:val="24"/>
          <w:u w:val="single"/>
        </w:rPr>
      </w:pPr>
    </w:p>
    <w:p w14:paraId="196521E4" w14:textId="628056CC" w:rsidR="00DB1C4E" w:rsidRPr="00F2263F" w:rsidRDefault="00202D86" w:rsidP="00132A6A">
      <w:pPr>
        <w:ind w:left="851"/>
        <w:rPr>
          <w:sz w:val="24"/>
          <w:szCs w:val="24"/>
        </w:rPr>
      </w:pPr>
      <w:r>
        <w:rPr>
          <w:sz w:val="24"/>
          <w:szCs w:val="24"/>
        </w:rPr>
        <w:t>Tenofovir alafenamid</w:t>
      </w:r>
      <w:r w:rsidR="00DB1C4E" w:rsidRPr="00F2263F">
        <w:rPr>
          <w:sz w:val="24"/>
          <w:szCs w:val="24"/>
        </w:rPr>
        <w:t xml:space="preserve"> er ikke en hæmmer af humant uridindiphosphat-glucoronosyl</w:t>
      </w:r>
      <w:r w:rsidR="00EF0A4B">
        <w:rPr>
          <w:sz w:val="24"/>
          <w:szCs w:val="24"/>
        </w:rPr>
        <w:softHyphen/>
      </w:r>
      <w:r w:rsidR="00DB1C4E" w:rsidRPr="00F2263F">
        <w:rPr>
          <w:sz w:val="24"/>
          <w:szCs w:val="24"/>
        </w:rPr>
        <w:t xml:space="preserve">transferase (UGT) 1A1 </w:t>
      </w:r>
      <w:r w:rsidR="00DB1C4E" w:rsidRPr="00F2263F">
        <w:rPr>
          <w:i/>
          <w:iCs/>
          <w:sz w:val="24"/>
          <w:szCs w:val="24"/>
        </w:rPr>
        <w:t>in vitro</w:t>
      </w:r>
      <w:r w:rsidR="00DB1C4E" w:rsidRPr="00F2263F">
        <w:rPr>
          <w:sz w:val="24"/>
          <w:szCs w:val="24"/>
        </w:rPr>
        <w:t xml:space="preserve">. Det er ukendt, om </w:t>
      </w:r>
      <w:r>
        <w:rPr>
          <w:sz w:val="24"/>
          <w:szCs w:val="24"/>
        </w:rPr>
        <w:t>tenofovir alafenamid</w:t>
      </w:r>
      <w:r w:rsidR="00DB1C4E" w:rsidRPr="00F2263F">
        <w:rPr>
          <w:sz w:val="24"/>
          <w:szCs w:val="24"/>
        </w:rPr>
        <w:t xml:space="preserve"> er en hæmmer af andre UGT-enzymer. Emtricitabin hæmmede ikke glucuronidationsreaktionen af et non-specifikt UGT-substrat </w:t>
      </w:r>
      <w:r w:rsidR="00DB1C4E" w:rsidRPr="00F2263F">
        <w:rPr>
          <w:i/>
          <w:iCs/>
          <w:sz w:val="24"/>
          <w:szCs w:val="24"/>
        </w:rPr>
        <w:t>in vitro</w:t>
      </w:r>
      <w:r w:rsidR="00DB1C4E" w:rsidRPr="00F2263F">
        <w:rPr>
          <w:sz w:val="24"/>
          <w:szCs w:val="24"/>
        </w:rPr>
        <w:t>.</w:t>
      </w:r>
    </w:p>
    <w:p w14:paraId="57D1EA97" w14:textId="77777777" w:rsidR="00DB1C4E" w:rsidRPr="00F2263F" w:rsidRDefault="00DB1C4E" w:rsidP="00132A6A">
      <w:pPr>
        <w:ind w:left="851"/>
        <w:rPr>
          <w:sz w:val="24"/>
          <w:szCs w:val="24"/>
        </w:rPr>
      </w:pPr>
    </w:p>
    <w:p w14:paraId="2B2176A0" w14:textId="49C78480" w:rsidR="00DB1C4E" w:rsidRPr="00F2263F" w:rsidRDefault="00DB1C4E" w:rsidP="00132A6A">
      <w:pPr>
        <w:ind w:left="851"/>
        <w:rPr>
          <w:sz w:val="24"/>
          <w:szCs w:val="24"/>
        </w:rPr>
      </w:pPr>
      <w:r w:rsidRPr="00F2263F">
        <w:rPr>
          <w:sz w:val="24"/>
          <w:szCs w:val="24"/>
        </w:rPr>
        <w:t xml:space="preserve">Interaktioner mellem Emtricitabine/Tenofovir alafenamide </w:t>
      </w:r>
      <w:r w:rsidR="008D5A42">
        <w:rPr>
          <w:sz w:val="24"/>
          <w:szCs w:val="24"/>
        </w:rPr>
        <w:t>"</w:t>
      </w:r>
      <w:r w:rsidRPr="00F2263F">
        <w:rPr>
          <w:sz w:val="24"/>
          <w:szCs w:val="24"/>
        </w:rPr>
        <w:t>Zentiva</w:t>
      </w:r>
      <w:r w:rsidR="008D5A42">
        <w:rPr>
          <w:sz w:val="24"/>
          <w:szCs w:val="24"/>
        </w:rPr>
        <w:t>"</w:t>
      </w:r>
      <w:r w:rsidRPr="00F2263F">
        <w:rPr>
          <w:sz w:val="24"/>
          <w:szCs w:val="24"/>
        </w:rPr>
        <w:t xml:space="preserve">-komponenterne og mulige samtidigt administrerede lægemidler ses i tabel 2 (stigning er angivet som </w:t>
      </w:r>
      <w:r w:rsidR="008D5A42">
        <w:rPr>
          <w:sz w:val="24"/>
          <w:szCs w:val="24"/>
        </w:rPr>
        <w:t>"</w:t>
      </w:r>
      <w:r w:rsidRPr="00F2263F">
        <w:rPr>
          <w:sz w:val="24"/>
          <w:szCs w:val="24"/>
        </w:rPr>
        <w:t>↑</w:t>
      </w:r>
      <w:r w:rsidR="008D5A42">
        <w:rPr>
          <w:sz w:val="24"/>
          <w:szCs w:val="24"/>
        </w:rPr>
        <w:t>"</w:t>
      </w:r>
      <w:r w:rsidRPr="00F2263F">
        <w:rPr>
          <w:sz w:val="24"/>
          <w:szCs w:val="24"/>
        </w:rPr>
        <w:t xml:space="preserve">, fald som </w:t>
      </w:r>
      <w:r w:rsidR="008D5A42">
        <w:rPr>
          <w:sz w:val="24"/>
          <w:szCs w:val="24"/>
        </w:rPr>
        <w:t>"</w:t>
      </w:r>
      <w:r w:rsidRPr="00F2263F">
        <w:rPr>
          <w:sz w:val="24"/>
          <w:szCs w:val="24"/>
        </w:rPr>
        <w:t>↓</w:t>
      </w:r>
      <w:r w:rsidR="008D5A42">
        <w:rPr>
          <w:sz w:val="24"/>
          <w:szCs w:val="24"/>
        </w:rPr>
        <w:t>"</w:t>
      </w:r>
      <w:r w:rsidRPr="00F2263F">
        <w:rPr>
          <w:sz w:val="24"/>
          <w:szCs w:val="24"/>
        </w:rPr>
        <w:t xml:space="preserve">, ingen ændring som </w:t>
      </w:r>
      <w:r w:rsidR="008D5A42">
        <w:rPr>
          <w:sz w:val="24"/>
          <w:szCs w:val="24"/>
        </w:rPr>
        <w:t>"</w:t>
      </w:r>
      <w:r w:rsidRPr="00F2263F">
        <w:rPr>
          <w:sz w:val="24"/>
          <w:szCs w:val="24"/>
        </w:rPr>
        <w:t>↔</w:t>
      </w:r>
      <w:r w:rsidR="008D5A42">
        <w:rPr>
          <w:sz w:val="24"/>
          <w:szCs w:val="24"/>
        </w:rPr>
        <w:t>"</w:t>
      </w:r>
      <w:r w:rsidRPr="00F2263F">
        <w:rPr>
          <w:sz w:val="24"/>
          <w:szCs w:val="24"/>
        </w:rPr>
        <w:t xml:space="preserve">). De beskrevne interaktioner er baseret på studier udført med emtricitabin og </w:t>
      </w:r>
      <w:r w:rsidR="00202D86">
        <w:rPr>
          <w:sz w:val="24"/>
          <w:szCs w:val="24"/>
        </w:rPr>
        <w:t>tenofovir alafenamid fumarat</w:t>
      </w:r>
      <w:r w:rsidRPr="00F2263F">
        <w:rPr>
          <w:sz w:val="24"/>
          <w:szCs w:val="24"/>
        </w:rPr>
        <w:t xml:space="preserve"> kombinationen eller med komponenterne som individuelle stoffer og/eller i kombination, eller de mulige lægemiddelinteraktioner, der kan forekomme med Emtricitabine/Tenofovir alafenamide </w:t>
      </w:r>
      <w:r w:rsidR="008D5A42">
        <w:rPr>
          <w:sz w:val="24"/>
          <w:szCs w:val="24"/>
        </w:rPr>
        <w:t>"</w:t>
      </w:r>
      <w:r w:rsidRPr="00F2263F">
        <w:rPr>
          <w:sz w:val="24"/>
          <w:szCs w:val="24"/>
        </w:rPr>
        <w:t>Zentiva</w:t>
      </w:r>
      <w:r w:rsidR="008D5A42">
        <w:rPr>
          <w:sz w:val="24"/>
          <w:szCs w:val="24"/>
        </w:rPr>
        <w:t>"</w:t>
      </w:r>
      <w:r w:rsidRPr="00F2263F">
        <w:rPr>
          <w:sz w:val="24"/>
          <w:szCs w:val="24"/>
        </w:rPr>
        <w:t>.</w:t>
      </w:r>
    </w:p>
    <w:p w14:paraId="3DD0B4D0" w14:textId="77777777" w:rsidR="00DB1C4E" w:rsidRPr="00F2263F" w:rsidRDefault="00DB1C4E" w:rsidP="00DB1C4E">
      <w:pPr>
        <w:pStyle w:val="Brdtekst"/>
        <w:widowControl/>
        <w:suppressAutoHyphens/>
        <w:kinsoku w:val="0"/>
        <w:overflowPunct w:val="0"/>
        <w:ind w:left="0"/>
        <w:rPr>
          <w:color w:val="000000" w:themeColor="text1"/>
        </w:rPr>
      </w:pPr>
    </w:p>
    <w:p w14:paraId="0AB55D7E" w14:textId="317FAAA5" w:rsidR="00DB1C4E" w:rsidRPr="00F2263F" w:rsidRDefault="00DB1C4E" w:rsidP="00DB1C4E">
      <w:pPr>
        <w:pStyle w:val="Brdtekst"/>
        <w:widowControl/>
        <w:suppressAutoHyphens/>
        <w:kinsoku w:val="0"/>
        <w:overflowPunct w:val="0"/>
        <w:ind w:left="0"/>
        <w:rPr>
          <w:b/>
          <w:bCs/>
          <w:color w:val="000000" w:themeColor="text1"/>
        </w:rPr>
      </w:pPr>
      <w:r w:rsidRPr="00F2263F">
        <w:rPr>
          <w:b/>
          <w:bCs/>
          <w:color w:val="000000" w:themeColor="text1"/>
        </w:rPr>
        <w:t xml:space="preserve">Tabel 2: Interaktion mellem Emtricitabine/Tenofovir alafenamide </w:t>
      </w:r>
      <w:r w:rsidR="008D5A42">
        <w:rPr>
          <w:b/>
          <w:bCs/>
          <w:color w:val="000000" w:themeColor="text1"/>
        </w:rPr>
        <w:t>"</w:t>
      </w:r>
      <w:r w:rsidRPr="00F2263F">
        <w:rPr>
          <w:b/>
          <w:bCs/>
          <w:color w:val="000000" w:themeColor="text1"/>
        </w:rPr>
        <w:t>Zentiva</w:t>
      </w:r>
      <w:r w:rsidR="008D5A42">
        <w:rPr>
          <w:b/>
          <w:bCs/>
          <w:color w:val="000000" w:themeColor="text1"/>
        </w:rPr>
        <w:t>"</w:t>
      </w:r>
      <w:r w:rsidRPr="00F2263F">
        <w:rPr>
          <w:b/>
          <w:bCs/>
          <w:color w:val="000000" w:themeColor="text1"/>
        </w:rPr>
        <w:t>s individuelle komponenter og andre lægemidler</w:t>
      </w:r>
    </w:p>
    <w:p w14:paraId="6AD05AA6" w14:textId="77777777" w:rsidR="00DB1C4E" w:rsidRPr="00F2263F" w:rsidRDefault="00DB1C4E" w:rsidP="00DB1C4E">
      <w:pPr>
        <w:pStyle w:val="Brdtekst"/>
        <w:widowControl/>
        <w:suppressAutoHyphens/>
        <w:kinsoku w:val="0"/>
        <w:overflowPunct w:val="0"/>
        <w:ind w:left="0"/>
        <w:rPr>
          <w:color w:val="000000" w:themeColor="text1"/>
        </w:rPr>
      </w:pPr>
    </w:p>
    <w:tbl>
      <w:tblPr>
        <w:tblStyle w:val="Tabel-Gitter"/>
        <w:tblW w:w="5000" w:type="pct"/>
        <w:tblInd w:w="0" w:type="dxa"/>
        <w:tblLook w:val="04A0" w:firstRow="1" w:lastRow="0" w:firstColumn="1" w:lastColumn="0" w:noHBand="0" w:noVBand="1"/>
      </w:tblPr>
      <w:tblGrid>
        <w:gridCol w:w="3420"/>
        <w:gridCol w:w="3042"/>
        <w:gridCol w:w="3166"/>
      </w:tblGrid>
      <w:tr w:rsidR="00DB1C4E" w:rsidRPr="00EF0A4B" w14:paraId="086C0AE5" w14:textId="77777777" w:rsidTr="00132A6A">
        <w:trPr>
          <w:cantSplit/>
          <w:tblHeader/>
        </w:trPr>
        <w:tc>
          <w:tcPr>
            <w:tcW w:w="1776" w:type="pct"/>
            <w:tcBorders>
              <w:top w:val="single" w:sz="4" w:space="0" w:color="auto"/>
              <w:left w:val="single" w:sz="4" w:space="0" w:color="auto"/>
              <w:bottom w:val="single" w:sz="4" w:space="0" w:color="auto"/>
              <w:right w:val="single" w:sz="4" w:space="0" w:color="auto"/>
            </w:tcBorders>
            <w:hideMark/>
          </w:tcPr>
          <w:p w14:paraId="56329521" w14:textId="77777777" w:rsidR="00DB1C4E" w:rsidRPr="00EF0A4B" w:rsidRDefault="00DB1C4E">
            <w:pPr>
              <w:rPr>
                <w:rFonts w:ascii="Times New Roman" w:hAnsi="Times New Roman" w:cs="Times New Roman"/>
                <w:b/>
                <w:bCs/>
                <w:sz w:val="22"/>
                <w:lang w:val="da-DK"/>
              </w:rPr>
            </w:pPr>
            <w:r w:rsidRPr="00EF0A4B">
              <w:rPr>
                <w:rFonts w:ascii="Times New Roman" w:hAnsi="Times New Roman" w:cs="Times New Roman"/>
                <w:b/>
                <w:bCs/>
                <w:sz w:val="22"/>
                <w:lang w:val="da-DK"/>
              </w:rPr>
              <w:t>Lægemiddel i henhold til terapeutiske områder</w:t>
            </w:r>
            <w:r w:rsidRPr="00EF0A4B">
              <w:rPr>
                <w:rFonts w:ascii="Times New Roman" w:hAnsi="Times New Roman" w:cs="Times New Roman"/>
                <w:b/>
                <w:bCs/>
                <w:sz w:val="22"/>
                <w:vertAlign w:val="superscript"/>
                <w:lang w:val="da-DK"/>
              </w:rPr>
              <w:t>1</w:t>
            </w:r>
          </w:p>
        </w:tc>
        <w:tc>
          <w:tcPr>
            <w:tcW w:w="1580" w:type="pct"/>
            <w:tcBorders>
              <w:top w:val="single" w:sz="4" w:space="0" w:color="auto"/>
              <w:left w:val="single" w:sz="4" w:space="0" w:color="auto"/>
              <w:bottom w:val="single" w:sz="4" w:space="0" w:color="auto"/>
              <w:right w:val="single" w:sz="4" w:space="0" w:color="auto"/>
            </w:tcBorders>
            <w:hideMark/>
          </w:tcPr>
          <w:p w14:paraId="6D8FF285" w14:textId="77777777" w:rsidR="00DB1C4E" w:rsidRPr="00EF0A4B" w:rsidRDefault="00DB1C4E">
            <w:pPr>
              <w:jc w:val="center"/>
              <w:rPr>
                <w:rFonts w:ascii="Times New Roman" w:hAnsi="Times New Roman" w:cs="Times New Roman"/>
                <w:b/>
                <w:bCs/>
                <w:sz w:val="22"/>
                <w:lang w:val="da-DK"/>
              </w:rPr>
            </w:pPr>
            <w:r w:rsidRPr="00EF0A4B">
              <w:rPr>
                <w:rFonts w:ascii="Times New Roman" w:hAnsi="Times New Roman" w:cs="Times New Roman"/>
                <w:b/>
                <w:bCs/>
                <w:sz w:val="22"/>
                <w:lang w:val="da-DK"/>
              </w:rPr>
              <w:t>Virkning på lægemiddelniveauer.</w:t>
            </w:r>
          </w:p>
          <w:p w14:paraId="4657C8DC" w14:textId="77777777" w:rsidR="00DB1C4E" w:rsidRPr="00EF0A4B" w:rsidRDefault="00DB1C4E">
            <w:pPr>
              <w:jc w:val="center"/>
              <w:rPr>
                <w:rFonts w:ascii="Times New Roman" w:hAnsi="Times New Roman" w:cs="Times New Roman"/>
                <w:b/>
                <w:bCs/>
                <w:sz w:val="22"/>
                <w:lang w:val="da-DK"/>
              </w:rPr>
            </w:pPr>
            <w:r w:rsidRPr="00EF0A4B">
              <w:rPr>
                <w:rFonts w:ascii="Times New Roman" w:hAnsi="Times New Roman" w:cs="Times New Roman"/>
                <w:b/>
                <w:bCs/>
                <w:sz w:val="22"/>
                <w:lang w:val="da-DK"/>
              </w:rPr>
              <w:t>Gennemsnitlig procentvis ændring i AUC, C</w:t>
            </w:r>
            <w:r w:rsidRPr="00EF0A4B">
              <w:rPr>
                <w:rFonts w:ascii="Times New Roman" w:hAnsi="Times New Roman" w:cs="Times New Roman"/>
                <w:b/>
                <w:bCs/>
                <w:sz w:val="22"/>
                <w:vertAlign w:val="subscript"/>
                <w:lang w:val="da-DK"/>
              </w:rPr>
              <w:t>max</w:t>
            </w:r>
            <w:r w:rsidRPr="00EF0A4B">
              <w:rPr>
                <w:rFonts w:ascii="Times New Roman" w:hAnsi="Times New Roman" w:cs="Times New Roman"/>
                <w:b/>
                <w:bCs/>
                <w:sz w:val="22"/>
                <w:lang w:val="da-DK"/>
              </w:rPr>
              <w:t>, C</w:t>
            </w:r>
            <w:r w:rsidRPr="00EF0A4B">
              <w:rPr>
                <w:rFonts w:ascii="Times New Roman" w:hAnsi="Times New Roman" w:cs="Times New Roman"/>
                <w:b/>
                <w:bCs/>
                <w:sz w:val="22"/>
                <w:vertAlign w:val="subscript"/>
                <w:lang w:val="da-DK"/>
              </w:rPr>
              <w:t>min</w:t>
            </w:r>
            <w:r w:rsidRPr="008C6C21">
              <w:rPr>
                <w:rFonts w:ascii="Times New Roman" w:hAnsi="Times New Roman" w:cs="Times New Roman"/>
                <w:sz w:val="22"/>
                <w:vertAlign w:val="superscript"/>
                <w:lang w:val="da-DK"/>
              </w:rPr>
              <w:t>2</w:t>
            </w:r>
          </w:p>
        </w:tc>
        <w:tc>
          <w:tcPr>
            <w:tcW w:w="1644" w:type="pct"/>
            <w:tcBorders>
              <w:top w:val="single" w:sz="4" w:space="0" w:color="auto"/>
              <w:left w:val="single" w:sz="4" w:space="0" w:color="auto"/>
              <w:bottom w:val="single" w:sz="4" w:space="0" w:color="auto"/>
              <w:right w:val="single" w:sz="4" w:space="0" w:color="auto"/>
            </w:tcBorders>
            <w:hideMark/>
          </w:tcPr>
          <w:p w14:paraId="30C1732B" w14:textId="7F89E984" w:rsidR="00DB1C4E" w:rsidRPr="00EF0A4B" w:rsidRDefault="00DB1C4E">
            <w:pPr>
              <w:jc w:val="center"/>
              <w:rPr>
                <w:rFonts w:ascii="Times New Roman" w:hAnsi="Times New Roman" w:cs="Times New Roman"/>
                <w:b/>
                <w:bCs/>
                <w:sz w:val="22"/>
                <w:lang w:val="da-DK"/>
              </w:rPr>
            </w:pPr>
            <w:r w:rsidRPr="00EF0A4B">
              <w:rPr>
                <w:rFonts w:ascii="Times New Roman" w:hAnsi="Times New Roman" w:cs="Times New Roman"/>
                <w:b/>
                <w:bCs/>
                <w:sz w:val="22"/>
                <w:lang w:val="da-DK"/>
              </w:rPr>
              <w:t xml:space="preserve">Anbefalinger vedrørende samtidig administration med Emtricitabine/Tenofovir alafenamide </w:t>
            </w:r>
            <w:r w:rsidR="008D5A42" w:rsidRPr="00EF0A4B">
              <w:rPr>
                <w:rFonts w:ascii="Times New Roman" w:hAnsi="Times New Roman" w:cs="Times New Roman"/>
                <w:b/>
                <w:bCs/>
                <w:sz w:val="22"/>
                <w:lang w:val="da-DK"/>
              </w:rPr>
              <w:t>"</w:t>
            </w:r>
            <w:r w:rsidRPr="00EF0A4B">
              <w:rPr>
                <w:rFonts w:ascii="Times New Roman" w:hAnsi="Times New Roman" w:cs="Times New Roman"/>
                <w:b/>
                <w:bCs/>
                <w:sz w:val="22"/>
                <w:lang w:val="da-DK"/>
              </w:rPr>
              <w:t>Zentiva</w:t>
            </w:r>
            <w:r w:rsidR="008D5A42" w:rsidRPr="00EF0A4B">
              <w:rPr>
                <w:rFonts w:ascii="Times New Roman" w:hAnsi="Times New Roman" w:cs="Times New Roman"/>
                <w:b/>
                <w:bCs/>
                <w:sz w:val="22"/>
                <w:lang w:val="da-DK"/>
              </w:rPr>
              <w:t>"</w:t>
            </w:r>
          </w:p>
        </w:tc>
      </w:tr>
      <w:tr w:rsidR="00DB1C4E" w:rsidRPr="00EF0A4B" w14:paraId="4E926291" w14:textId="77777777" w:rsidTr="00132A6A">
        <w:trPr>
          <w:cantSplit/>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33EAB79A" w14:textId="77777777" w:rsidR="00DB1C4E" w:rsidRPr="00EF0A4B" w:rsidRDefault="00DB1C4E">
            <w:pPr>
              <w:rPr>
                <w:rFonts w:ascii="Times New Roman" w:hAnsi="Times New Roman" w:cs="Times New Roman"/>
                <w:b/>
                <w:bCs/>
                <w:i/>
                <w:iCs/>
                <w:sz w:val="22"/>
              </w:rPr>
            </w:pPr>
            <w:r w:rsidRPr="00EF0A4B">
              <w:rPr>
                <w:rFonts w:ascii="Times New Roman" w:hAnsi="Times New Roman" w:cs="Times New Roman"/>
                <w:b/>
                <w:bCs/>
                <w:i/>
                <w:iCs/>
                <w:sz w:val="22"/>
              </w:rPr>
              <w:t>ANTIINFEKTIVA</w:t>
            </w:r>
          </w:p>
        </w:tc>
      </w:tr>
      <w:tr w:rsidR="00DB1C4E" w:rsidRPr="00EF0A4B" w14:paraId="7847E2C3" w14:textId="77777777" w:rsidTr="00132A6A">
        <w:trPr>
          <w:cantSplit/>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60DC236C" w14:textId="77777777" w:rsidR="00DB1C4E" w:rsidRPr="00EF0A4B" w:rsidRDefault="00DB1C4E">
            <w:pPr>
              <w:rPr>
                <w:rFonts w:ascii="Times New Roman" w:hAnsi="Times New Roman" w:cs="Times New Roman"/>
                <w:b/>
                <w:bCs/>
                <w:sz w:val="22"/>
              </w:rPr>
            </w:pPr>
            <w:r w:rsidRPr="00EF0A4B">
              <w:rPr>
                <w:rFonts w:ascii="Times New Roman" w:hAnsi="Times New Roman" w:cs="Times New Roman"/>
                <w:b/>
                <w:bCs/>
                <w:sz w:val="22"/>
              </w:rPr>
              <w:t>Antimykotika</w:t>
            </w:r>
          </w:p>
        </w:tc>
      </w:tr>
      <w:tr w:rsidR="00DB1C4E" w:rsidRPr="00EF0A4B" w14:paraId="00FC8583" w14:textId="77777777" w:rsidTr="00132A6A">
        <w:trPr>
          <w:cantSplit/>
        </w:trPr>
        <w:tc>
          <w:tcPr>
            <w:tcW w:w="1776" w:type="pct"/>
            <w:tcBorders>
              <w:top w:val="single" w:sz="4" w:space="0" w:color="auto"/>
              <w:left w:val="single" w:sz="4" w:space="0" w:color="auto"/>
              <w:bottom w:val="single" w:sz="4" w:space="0" w:color="auto"/>
              <w:right w:val="single" w:sz="4" w:space="0" w:color="auto"/>
            </w:tcBorders>
            <w:hideMark/>
          </w:tcPr>
          <w:p w14:paraId="78D34EB1" w14:textId="77777777" w:rsidR="00DB1C4E" w:rsidRPr="00EF0A4B" w:rsidRDefault="00DB1C4E">
            <w:pPr>
              <w:rPr>
                <w:rFonts w:ascii="Times New Roman" w:hAnsi="Times New Roman" w:cs="Times New Roman"/>
                <w:sz w:val="22"/>
              </w:rPr>
            </w:pPr>
            <w:r w:rsidRPr="00EF0A4B">
              <w:rPr>
                <w:rFonts w:ascii="Times New Roman" w:hAnsi="Times New Roman" w:cs="Times New Roman"/>
                <w:sz w:val="22"/>
              </w:rPr>
              <w:t>Ketoconazol</w:t>
            </w:r>
          </w:p>
          <w:p w14:paraId="5D7EE63E" w14:textId="77777777" w:rsidR="00DB1C4E" w:rsidRPr="00EF0A4B" w:rsidRDefault="00DB1C4E">
            <w:pPr>
              <w:rPr>
                <w:rFonts w:ascii="Times New Roman" w:hAnsi="Times New Roman" w:cs="Times New Roman"/>
                <w:sz w:val="22"/>
              </w:rPr>
            </w:pPr>
            <w:r w:rsidRPr="00EF0A4B">
              <w:rPr>
                <w:rFonts w:ascii="Times New Roman" w:hAnsi="Times New Roman" w:cs="Times New Roman"/>
                <w:sz w:val="22"/>
              </w:rPr>
              <w:t>Itraconazol</w:t>
            </w:r>
          </w:p>
        </w:tc>
        <w:tc>
          <w:tcPr>
            <w:tcW w:w="1580" w:type="pct"/>
            <w:tcBorders>
              <w:top w:val="single" w:sz="4" w:space="0" w:color="auto"/>
              <w:left w:val="single" w:sz="4" w:space="0" w:color="auto"/>
              <w:bottom w:val="single" w:sz="4" w:space="0" w:color="auto"/>
              <w:right w:val="single" w:sz="4" w:space="0" w:color="auto"/>
            </w:tcBorders>
          </w:tcPr>
          <w:p w14:paraId="6853C1CC" w14:textId="1C018B6C" w:rsidR="00DB1C4E" w:rsidRPr="00EF0A4B" w:rsidRDefault="00DB1C4E">
            <w:pPr>
              <w:rPr>
                <w:rFonts w:ascii="Times New Roman" w:hAnsi="Times New Roman" w:cs="Times New Roman"/>
                <w:sz w:val="22"/>
                <w:lang w:val="da-DK"/>
              </w:rPr>
            </w:pPr>
            <w:r w:rsidRPr="00EF0A4B">
              <w:rPr>
                <w:rFonts w:ascii="Times New Roman" w:hAnsi="Times New Roman" w:cs="Times New Roman"/>
                <w:sz w:val="22"/>
                <w:lang w:val="da-DK"/>
              </w:rPr>
              <w:t xml:space="preserve">Interaktion er ikke undersøgt med nogle af komponenterne i Emtricitabine/Tenofovir alafenamide </w:t>
            </w:r>
            <w:r w:rsidR="008D5A42" w:rsidRPr="00EF0A4B">
              <w:rPr>
                <w:rFonts w:ascii="Times New Roman" w:hAnsi="Times New Roman" w:cs="Times New Roman"/>
                <w:sz w:val="22"/>
                <w:lang w:val="da-DK"/>
              </w:rPr>
              <w:t>"</w:t>
            </w:r>
            <w:r w:rsidRPr="00EF0A4B">
              <w:rPr>
                <w:rFonts w:ascii="Times New Roman" w:hAnsi="Times New Roman" w:cs="Times New Roman"/>
                <w:sz w:val="22"/>
                <w:lang w:val="da-DK"/>
              </w:rPr>
              <w:t>Zentiva</w:t>
            </w:r>
            <w:r w:rsidR="008D5A42" w:rsidRPr="00EF0A4B">
              <w:rPr>
                <w:rFonts w:ascii="Times New Roman" w:hAnsi="Times New Roman" w:cs="Times New Roman"/>
                <w:sz w:val="22"/>
                <w:lang w:val="da-DK"/>
              </w:rPr>
              <w:t>"</w:t>
            </w:r>
            <w:r w:rsidRPr="00EF0A4B">
              <w:rPr>
                <w:rFonts w:ascii="Times New Roman" w:hAnsi="Times New Roman" w:cs="Times New Roman"/>
                <w:sz w:val="22"/>
                <w:lang w:val="da-DK"/>
              </w:rPr>
              <w:t>.</w:t>
            </w:r>
          </w:p>
          <w:p w14:paraId="703E90D0" w14:textId="77777777" w:rsidR="00DB1C4E" w:rsidRPr="00EF0A4B" w:rsidRDefault="00DB1C4E">
            <w:pPr>
              <w:rPr>
                <w:rFonts w:ascii="Times New Roman" w:hAnsi="Times New Roman" w:cs="Times New Roman"/>
                <w:sz w:val="22"/>
                <w:lang w:val="da-DK"/>
              </w:rPr>
            </w:pPr>
          </w:p>
          <w:p w14:paraId="2B46765F" w14:textId="2A170F0B" w:rsidR="00DB1C4E" w:rsidRPr="00EF0A4B" w:rsidRDefault="00DB1C4E">
            <w:pPr>
              <w:rPr>
                <w:rFonts w:ascii="Times New Roman" w:hAnsi="Times New Roman" w:cs="Times New Roman"/>
                <w:sz w:val="22"/>
                <w:lang w:val="da-DK"/>
              </w:rPr>
            </w:pPr>
            <w:r w:rsidRPr="00EF0A4B">
              <w:rPr>
                <w:rFonts w:ascii="Times New Roman" w:hAnsi="Times New Roman" w:cs="Times New Roman"/>
                <w:sz w:val="22"/>
                <w:lang w:val="da-DK"/>
              </w:rPr>
              <w:t xml:space="preserve">Samtidig administration af ketoconazol eller itraconazol, som er kraftige P-gp-hæmmere, forventes at øge plasmakoncentrationerne af </w:t>
            </w:r>
            <w:r w:rsidR="00202D86">
              <w:rPr>
                <w:rFonts w:ascii="Times New Roman" w:hAnsi="Times New Roman" w:cs="Times New Roman"/>
                <w:sz w:val="22"/>
                <w:lang w:val="da-DK"/>
              </w:rPr>
              <w:t>tenofovir alafenamid</w:t>
            </w:r>
            <w:r w:rsidRPr="00EF0A4B">
              <w:rPr>
                <w:rFonts w:ascii="Times New Roman" w:hAnsi="Times New Roman" w:cs="Times New Roman"/>
                <w:sz w:val="22"/>
                <w:lang w:val="da-DK"/>
              </w:rPr>
              <w:t>.</w:t>
            </w:r>
          </w:p>
        </w:tc>
        <w:tc>
          <w:tcPr>
            <w:tcW w:w="1644" w:type="pct"/>
            <w:tcBorders>
              <w:top w:val="single" w:sz="4" w:space="0" w:color="auto"/>
              <w:left w:val="single" w:sz="4" w:space="0" w:color="auto"/>
              <w:bottom w:val="single" w:sz="4" w:space="0" w:color="auto"/>
              <w:right w:val="single" w:sz="4" w:space="0" w:color="auto"/>
            </w:tcBorders>
            <w:hideMark/>
          </w:tcPr>
          <w:p w14:paraId="4937E943" w14:textId="4B4D5FF2" w:rsidR="00DB1C4E" w:rsidRPr="00EF0A4B" w:rsidRDefault="00DB1C4E">
            <w:pPr>
              <w:rPr>
                <w:rFonts w:ascii="Times New Roman" w:hAnsi="Times New Roman" w:cs="Times New Roman"/>
                <w:sz w:val="22"/>
                <w:lang w:val="da-DK"/>
              </w:rPr>
            </w:pPr>
            <w:r w:rsidRPr="00EF0A4B">
              <w:rPr>
                <w:rFonts w:ascii="Times New Roman" w:hAnsi="Times New Roman" w:cs="Times New Roman"/>
                <w:sz w:val="22"/>
                <w:lang w:val="da-DK"/>
              </w:rPr>
              <w:t xml:space="preserve">Den anbefalede dosis af Emtricitabine/Tenofovir alafenamide </w:t>
            </w:r>
            <w:r w:rsidR="008D5A42" w:rsidRPr="00EF0A4B">
              <w:rPr>
                <w:rFonts w:ascii="Times New Roman" w:hAnsi="Times New Roman" w:cs="Times New Roman"/>
                <w:sz w:val="22"/>
                <w:lang w:val="da-DK"/>
              </w:rPr>
              <w:t>"</w:t>
            </w:r>
            <w:r w:rsidRPr="00EF0A4B">
              <w:rPr>
                <w:rFonts w:ascii="Times New Roman" w:hAnsi="Times New Roman" w:cs="Times New Roman"/>
                <w:sz w:val="22"/>
                <w:lang w:val="da-DK"/>
              </w:rPr>
              <w:t>Zentiva</w:t>
            </w:r>
            <w:r w:rsidR="008D5A42" w:rsidRPr="00EF0A4B">
              <w:rPr>
                <w:rFonts w:ascii="Times New Roman" w:hAnsi="Times New Roman" w:cs="Times New Roman"/>
                <w:sz w:val="22"/>
                <w:lang w:val="da-DK"/>
              </w:rPr>
              <w:t>"</w:t>
            </w:r>
            <w:r w:rsidRPr="00EF0A4B">
              <w:rPr>
                <w:rFonts w:ascii="Times New Roman" w:hAnsi="Times New Roman" w:cs="Times New Roman"/>
                <w:sz w:val="22"/>
                <w:lang w:val="da-DK"/>
              </w:rPr>
              <w:t xml:space="preserve"> er 200/10</w:t>
            </w:r>
            <w:r w:rsidR="00EF0A4B">
              <w:rPr>
                <w:rFonts w:ascii="Times New Roman" w:hAnsi="Times New Roman" w:cs="Times New Roman"/>
                <w:sz w:val="22"/>
                <w:lang w:val="da-DK"/>
              </w:rPr>
              <w:t> </w:t>
            </w:r>
            <w:r w:rsidRPr="00EF0A4B">
              <w:rPr>
                <w:rFonts w:ascii="Times New Roman" w:hAnsi="Times New Roman" w:cs="Times New Roman"/>
                <w:sz w:val="22"/>
                <w:lang w:val="da-DK"/>
              </w:rPr>
              <w:t>mg én gang dagligt.</w:t>
            </w:r>
          </w:p>
        </w:tc>
      </w:tr>
      <w:tr w:rsidR="00DB1C4E" w:rsidRPr="00EF0A4B" w14:paraId="70BE15C5" w14:textId="77777777" w:rsidTr="00132A6A">
        <w:trPr>
          <w:cantSplit/>
        </w:trPr>
        <w:tc>
          <w:tcPr>
            <w:tcW w:w="1776" w:type="pct"/>
            <w:tcBorders>
              <w:top w:val="single" w:sz="4" w:space="0" w:color="auto"/>
              <w:left w:val="single" w:sz="4" w:space="0" w:color="auto"/>
              <w:bottom w:val="single" w:sz="4" w:space="0" w:color="auto"/>
              <w:right w:val="single" w:sz="4" w:space="0" w:color="auto"/>
            </w:tcBorders>
            <w:hideMark/>
          </w:tcPr>
          <w:p w14:paraId="729AA1B8" w14:textId="77777777" w:rsidR="00DB1C4E" w:rsidRPr="00EF0A4B" w:rsidRDefault="00DB1C4E">
            <w:pPr>
              <w:rPr>
                <w:rFonts w:ascii="Times New Roman" w:hAnsi="Times New Roman" w:cs="Times New Roman"/>
                <w:sz w:val="22"/>
              </w:rPr>
            </w:pPr>
            <w:r w:rsidRPr="00EF0A4B">
              <w:rPr>
                <w:rFonts w:ascii="Times New Roman" w:hAnsi="Times New Roman" w:cs="Times New Roman"/>
                <w:sz w:val="22"/>
              </w:rPr>
              <w:t>Fluconazol</w:t>
            </w:r>
          </w:p>
          <w:p w14:paraId="313AF35A" w14:textId="77777777" w:rsidR="00DB1C4E" w:rsidRPr="00EF0A4B" w:rsidRDefault="00DB1C4E">
            <w:pPr>
              <w:rPr>
                <w:rFonts w:ascii="Times New Roman" w:hAnsi="Times New Roman" w:cs="Times New Roman"/>
                <w:sz w:val="22"/>
              </w:rPr>
            </w:pPr>
            <w:r w:rsidRPr="00EF0A4B">
              <w:rPr>
                <w:rFonts w:ascii="Times New Roman" w:hAnsi="Times New Roman" w:cs="Times New Roman"/>
                <w:sz w:val="22"/>
              </w:rPr>
              <w:t>Isavuconazol</w:t>
            </w:r>
          </w:p>
        </w:tc>
        <w:tc>
          <w:tcPr>
            <w:tcW w:w="1580" w:type="pct"/>
            <w:tcBorders>
              <w:top w:val="single" w:sz="4" w:space="0" w:color="auto"/>
              <w:left w:val="single" w:sz="4" w:space="0" w:color="auto"/>
              <w:bottom w:val="single" w:sz="4" w:space="0" w:color="auto"/>
              <w:right w:val="single" w:sz="4" w:space="0" w:color="auto"/>
            </w:tcBorders>
          </w:tcPr>
          <w:p w14:paraId="3D968B1A" w14:textId="7B33B6F4" w:rsidR="00DB1C4E" w:rsidRPr="00EF0A4B" w:rsidRDefault="00DB1C4E">
            <w:pPr>
              <w:rPr>
                <w:rFonts w:ascii="Times New Roman" w:hAnsi="Times New Roman" w:cs="Times New Roman"/>
                <w:sz w:val="22"/>
                <w:lang w:val="da-DK"/>
              </w:rPr>
            </w:pPr>
            <w:r w:rsidRPr="00EF0A4B">
              <w:rPr>
                <w:rFonts w:ascii="Times New Roman" w:hAnsi="Times New Roman" w:cs="Times New Roman"/>
                <w:sz w:val="22"/>
                <w:lang w:val="da-DK"/>
              </w:rPr>
              <w:t xml:space="preserve">Interaktion er ikke undersøgt med nogle af komponenterne i Emtricitabine/Tenofovir alafenamide </w:t>
            </w:r>
            <w:r w:rsidR="008D5A42" w:rsidRPr="00EF0A4B">
              <w:rPr>
                <w:rFonts w:ascii="Times New Roman" w:hAnsi="Times New Roman" w:cs="Times New Roman"/>
                <w:sz w:val="22"/>
                <w:lang w:val="da-DK"/>
              </w:rPr>
              <w:t>"</w:t>
            </w:r>
            <w:r w:rsidRPr="00EF0A4B">
              <w:rPr>
                <w:rFonts w:ascii="Times New Roman" w:hAnsi="Times New Roman" w:cs="Times New Roman"/>
                <w:sz w:val="22"/>
                <w:lang w:val="da-DK"/>
              </w:rPr>
              <w:t>Zentiva</w:t>
            </w:r>
            <w:r w:rsidR="008D5A42" w:rsidRPr="00EF0A4B">
              <w:rPr>
                <w:rFonts w:ascii="Times New Roman" w:hAnsi="Times New Roman" w:cs="Times New Roman"/>
                <w:sz w:val="22"/>
                <w:lang w:val="da-DK"/>
              </w:rPr>
              <w:t>"</w:t>
            </w:r>
            <w:r w:rsidRPr="00EF0A4B">
              <w:rPr>
                <w:rFonts w:ascii="Times New Roman" w:hAnsi="Times New Roman" w:cs="Times New Roman"/>
                <w:sz w:val="22"/>
                <w:lang w:val="da-DK"/>
              </w:rPr>
              <w:t>.</w:t>
            </w:r>
          </w:p>
          <w:p w14:paraId="53634241" w14:textId="77777777" w:rsidR="00DB1C4E" w:rsidRPr="00EF0A4B" w:rsidRDefault="00DB1C4E">
            <w:pPr>
              <w:rPr>
                <w:rFonts w:ascii="Times New Roman" w:hAnsi="Times New Roman" w:cs="Times New Roman"/>
                <w:sz w:val="22"/>
                <w:lang w:val="da-DK"/>
              </w:rPr>
            </w:pPr>
          </w:p>
          <w:p w14:paraId="21F1A157" w14:textId="58A9D6B9" w:rsidR="00DB1C4E" w:rsidRPr="00EF0A4B" w:rsidRDefault="00DB1C4E">
            <w:pPr>
              <w:rPr>
                <w:rFonts w:ascii="Times New Roman" w:hAnsi="Times New Roman" w:cs="Times New Roman"/>
                <w:sz w:val="22"/>
                <w:lang w:val="da-DK"/>
              </w:rPr>
            </w:pPr>
            <w:r w:rsidRPr="00EF0A4B">
              <w:rPr>
                <w:rFonts w:ascii="Times New Roman" w:hAnsi="Times New Roman" w:cs="Times New Roman"/>
                <w:sz w:val="22"/>
                <w:lang w:val="da-DK"/>
              </w:rPr>
              <w:t xml:space="preserve">Samtidig administration af fluconazol eller isavuconazol kan øge plasmakoncentrationerne af </w:t>
            </w:r>
            <w:r w:rsidR="00202D86">
              <w:rPr>
                <w:rFonts w:ascii="Times New Roman" w:hAnsi="Times New Roman" w:cs="Times New Roman"/>
                <w:sz w:val="22"/>
                <w:lang w:val="da-DK"/>
              </w:rPr>
              <w:t>tenofovir alafenamid</w:t>
            </w:r>
            <w:r w:rsidRPr="00EF0A4B">
              <w:rPr>
                <w:rFonts w:ascii="Times New Roman" w:hAnsi="Times New Roman" w:cs="Times New Roman"/>
                <w:sz w:val="22"/>
                <w:lang w:val="da-DK"/>
              </w:rPr>
              <w:t>.</w:t>
            </w:r>
          </w:p>
        </w:tc>
        <w:tc>
          <w:tcPr>
            <w:tcW w:w="1644" w:type="pct"/>
            <w:tcBorders>
              <w:top w:val="single" w:sz="4" w:space="0" w:color="auto"/>
              <w:left w:val="single" w:sz="4" w:space="0" w:color="auto"/>
              <w:bottom w:val="single" w:sz="4" w:space="0" w:color="auto"/>
              <w:right w:val="single" w:sz="4" w:space="0" w:color="auto"/>
            </w:tcBorders>
            <w:hideMark/>
          </w:tcPr>
          <w:p w14:paraId="4DC74565" w14:textId="77777777" w:rsidR="00DB1C4E" w:rsidRPr="00EF0A4B" w:rsidRDefault="00DB1C4E">
            <w:pPr>
              <w:rPr>
                <w:rFonts w:ascii="Times New Roman" w:hAnsi="Times New Roman" w:cs="Times New Roman"/>
                <w:sz w:val="22"/>
                <w:lang w:val="da-DK"/>
              </w:rPr>
            </w:pPr>
            <w:r w:rsidRPr="00EF0A4B">
              <w:rPr>
                <w:rFonts w:ascii="Times New Roman" w:hAnsi="Times New Roman" w:cs="Times New Roman"/>
                <w:sz w:val="22"/>
                <w:lang w:val="da-DK"/>
              </w:rPr>
              <w:t>Dosering i henhold til den samtidige antiretrovirale behandling (se pkt. 4.2).</w:t>
            </w:r>
          </w:p>
        </w:tc>
      </w:tr>
      <w:tr w:rsidR="00DB1C4E" w:rsidRPr="00EF0A4B" w14:paraId="4DC414A1" w14:textId="77777777" w:rsidTr="00132A6A">
        <w:trPr>
          <w:cantSplit/>
        </w:trPr>
        <w:tc>
          <w:tcPr>
            <w:tcW w:w="5000" w:type="pct"/>
            <w:gridSpan w:val="3"/>
            <w:tcBorders>
              <w:top w:val="single" w:sz="4" w:space="0" w:color="auto"/>
              <w:left w:val="single" w:sz="4" w:space="0" w:color="auto"/>
              <w:bottom w:val="single" w:sz="4" w:space="0" w:color="auto"/>
              <w:right w:val="single" w:sz="4" w:space="0" w:color="auto"/>
            </w:tcBorders>
            <w:hideMark/>
          </w:tcPr>
          <w:p w14:paraId="47561DDA" w14:textId="77777777" w:rsidR="00DB1C4E" w:rsidRPr="00EF0A4B" w:rsidRDefault="00DB1C4E">
            <w:pPr>
              <w:keepNext/>
              <w:widowControl/>
              <w:rPr>
                <w:rFonts w:ascii="Times New Roman" w:hAnsi="Times New Roman" w:cs="Times New Roman"/>
                <w:b/>
                <w:bCs/>
                <w:sz w:val="22"/>
              </w:rPr>
            </w:pPr>
            <w:r w:rsidRPr="00EF0A4B">
              <w:rPr>
                <w:rFonts w:ascii="Times New Roman" w:hAnsi="Times New Roman" w:cs="Times New Roman"/>
                <w:b/>
                <w:bCs/>
                <w:sz w:val="22"/>
              </w:rPr>
              <w:lastRenderedPageBreak/>
              <w:t>Antimykobakterielle lægemidler</w:t>
            </w:r>
          </w:p>
        </w:tc>
      </w:tr>
      <w:tr w:rsidR="00DB1C4E" w:rsidRPr="00EF0A4B" w14:paraId="62AB30F0" w14:textId="77777777" w:rsidTr="00132A6A">
        <w:trPr>
          <w:cantSplit/>
        </w:trPr>
        <w:tc>
          <w:tcPr>
            <w:tcW w:w="1776" w:type="pct"/>
            <w:tcBorders>
              <w:top w:val="single" w:sz="4" w:space="0" w:color="auto"/>
              <w:left w:val="single" w:sz="4" w:space="0" w:color="auto"/>
              <w:bottom w:val="single" w:sz="4" w:space="0" w:color="auto"/>
              <w:right w:val="single" w:sz="4" w:space="0" w:color="auto"/>
            </w:tcBorders>
            <w:hideMark/>
          </w:tcPr>
          <w:p w14:paraId="7658358F" w14:textId="77777777" w:rsidR="00DB1C4E" w:rsidRPr="00EF0A4B" w:rsidRDefault="00DB1C4E">
            <w:pPr>
              <w:rPr>
                <w:rFonts w:ascii="Times New Roman" w:hAnsi="Times New Roman" w:cs="Times New Roman"/>
                <w:sz w:val="22"/>
              </w:rPr>
            </w:pPr>
            <w:r w:rsidRPr="00EF0A4B">
              <w:rPr>
                <w:rFonts w:ascii="Times New Roman" w:hAnsi="Times New Roman" w:cs="Times New Roman"/>
                <w:sz w:val="22"/>
              </w:rPr>
              <w:t>Rifabutin</w:t>
            </w:r>
          </w:p>
          <w:p w14:paraId="310B9D52" w14:textId="77777777" w:rsidR="00DB1C4E" w:rsidRPr="00EF0A4B" w:rsidRDefault="00DB1C4E">
            <w:pPr>
              <w:rPr>
                <w:rFonts w:ascii="Times New Roman" w:hAnsi="Times New Roman" w:cs="Times New Roman"/>
                <w:sz w:val="22"/>
              </w:rPr>
            </w:pPr>
            <w:r w:rsidRPr="00EF0A4B">
              <w:rPr>
                <w:rFonts w:ascii="Times New Roman" w:hAnsi="Times New Roman" w:cs="Times New Roman"/>
                <w:sz w:val="22"/>
              </w:rPr>
              <w:t>Rifampicin</w:t>
            </w:r>
          </w:p>
          <w:p w14:paraId="259F1BB2" w14:textId="77777777" w:rsidR="00DB1C4E" w:rsidRPr="00EF0A4B" w:rsidRDefault="00DB1C4E">
            <w:pPr>
              <w:rPr>
                <w:rFonts w:ascii="Times New Roman" w:hAnsi="Times New Roman" w:cs="Times New Roman"/>
                <w:sz w:val="22"/>
              </w:rPr>
            </w:pPr>
            <w:r w:rsidRPr="00EF0A4B">
              <w:rPr>
                <w:rFonts w:ascii="Times New Roman" w:hAnsi="Times New Roman" w:cs="Times New Roman"/>
                <w:sz w:val="22"/>
              </w:rPr>
              <w:t>Rifapentin</w:t>
            </w:r>
          </w:p>
        </w:tc>
        <w:tc>
          <w:tcPr>
            <w:tcW w:w="1580" w:type="pct"/>
            <w:tcBorders>
              <w:top w:val="single" w:sz="4" w:space="0" w:color="auto"/>
              <w:left w:val="single" w:sz="4" w:space="0" w:color="auto"/>
              <w:bottom w:val="single" w:sz="4" w:space="0" w:color="auto"/>
              <w:right w:val="single" w:sz="4" w:space="0" w:color="auto"/>
            </w:tcBorders>
          </w:tcPr>
          <w:p w14:paraId="63F64B63" w14:textId="078F885C" w:rsidR="00DB1C4E" w:rsidRPr="00EF0A4B" w:rsidRDefault="00DB1C4E">
            <w:pPr>
              <w:keepNext/>
              <w:widowControl/>
              <w:rPr>
                <w:rFonts w:ascii="Times New Roman" w:hAnsi="Times New Roman" w:cs="Times New Roman"/>
                <w:sz w:val="22"/>
                <w:lang w:val="da-DK"/>
              </w:rPr>
            </w:pPr>
            <w:r w:rsidRPr="00EF0A4B">
              <w:rPr>
                <w:rFonts w:ascii="Times New Roman" w:hAnsi="Times New Roman" w:cs="Times New Roman"/>
                <w:sz w:val="22"/>
                <w:lang w:val="da-DK"/>
              </w:rPr>
              <w:t xml:space="preserve">Interaktion er ikke undersøgt med nogle af komponenterne i Emtricitabine/Tenofovir alafenamide </w:t>
            </w:r>
            <w:r w:rsidR="008D5A42" w:rsidRPr="00EF0A4B">
              <w:rPr>
                <w:rFonts w:ascii="Times New Roman" w:hAnsi="Times New Roman" w:cs="Times New Roman"/>
                <w:sz w:val="22"/>
                <w:lang w:val="da-DK"/>
              </w:rPr>
              <w:t>"</w:t>
            </w:r>
            <w:r w:rsidRPr="00EF0A4B">
              <w:rPr>
                <w:rFonts w:ascii="Times New Roman" w:hAnsi="Times New Roman" w:cs="Times New Roman"/>
                <w:sz w:val="22"/>
                <w:lang w:val="da-DK"/>
              </w:rPr>
              <w:t>Zentiva</w:t>
            </w:r>
            <w:r w:rsidR="008D5A42" w:rsidRPr="00EF0A4B">
              <w:rPr>
                <w:rFonts w:ascii="Times New Roman" w:hAnsi="Times New Roman" w:cs="Times New Roman"/>
                <w:sz w:val="22"/>
                <w:lang w:val="da-DK"/>
              </w:rPr>
              <w:t>"</w:t>
            </w:r>
            <w:r w:rsidRPr="00EF0A4B">
              <w:rPr>
                <w:rFonts w:ascii="Times New Roman" w:hAnsi="Times New Roman" w:cs="Times New Roman"/>
                <w:sz w:val="22"/>
                <w:lang w:val="da-DK"/>
              </w:rPr>
              <w:t>.</w:t>
            </w:r>
          </w:p>
          <w:p w14:paraId="7AB6F8FE" w14:textId="77777777" w:rsidR="00DB1C4E" w:rsidRPr="00EF0A4B" w:rsidRDefault="00DB1C4E">
            <w:pPr>
              <w:keepNext/>
              <w:widowControl/>
              <w:rPr>
                <w:rFonts w:ascii="Times New Roman" w:hAnsi="Times New Roman" w:cs="Times New Roman"/>
                <w:sz w:val="22"/>
                <w:lang w:val="da-DK"/>
              </w:rPr>
            </w:pPr>
          </w:p>
          <w:p w14:paraId="587B14EB" w14:textId="2D1C9B2F" w:rsidR="00DB1C4E" w:rsidRPr="00EF0A4B" w:rsidRDefault="00DB1C4E">
            <w:pPr>
              <w:keepNext/>
              <w:widowControl/>
              <w:rPr>
                <w:rFonts w:ascii="Times New Roman" w:hAnsi="Times New Roman" w:cs="Times New Roman"/>
                <w:sz w:val="22"/>
                <w:lang w:val="da-DK"/>
              </w:rPr>
            </w:pPr>
            <w:r w:rsidRPr="00EF0A4B">
              <w:rPr>
                <w:rFonts w:ascii="Times New Roman" w:hAnsi="Times New Roman" w:cs="Times New Roman"/>
                <w:sz w:val="22"/>
                <w:lang w:val="da-DK"/>
              </w:rPr>
              <w:t xml:space="preserve">Samtidig administration af rifampicin, rifabutin og rifapentin, som alle er P-gp-inducere, kan reducere plasmakoncentrationerne af </w:t>
            </w:r>
            <w:r w:rsidR="00202D86">
              <w:rPr>
                <w:rFonts w:ascii="Times New Roman" w:hAnsi="Times New Roman" w:cs="Times New Roman"/>
                <w:sz w:val="22"/>
                <w:lang w:val="da-DK"/>
              </w:rPr>
              <w:t>tenofovir alafenamid</w:t>
            </w:r>
            <w:r w:rsidRPr="00EF0A4B">
              <w:rPr>
                <w:rFonts w:ascii="Times New Roman" w:hAnsi="Times New Roman" w:cs="Times New Roman"/>
                <w:sz w:val="22"/>
                <w:lang w:val="da-DK"/>
              </w:rPr>
              <w:t>, hvilket kan forårsage svigtende terapeutisk virkning og udvikling af resistens.</w:t>
            </w:r>
          </w:p>
        </w:tc>
        <w:tc>
          <w:tcPr>
            <w:tcW w:w="1644" w:type="pct"/>
            <w:tcBorders>
              <w:top w:val="single" w:sz="4" w:space="0" w:color="auto"/>
              <w:left w:val="single" w:sz="4" w:space="0" w:color="auto"/>
              <w:bottom w:val="single" w:sz="4" w:space="0" w:color="auto"/>
              <w:right w:val="single" w:sz="4" w:space="0" w:color="auto"/>
            </w:tcBorders>
            <w:hideMark/>
          </w:tcPr>
          <w:p w14:paraId="04DE63E6" w14:textId="445B1A2E" w:rsidR="00DB1C4E" w:rsidRPr="00EF0A4B" w:rsidRDefault="00DB1C4E">
            <w:pPr>
              <w:keepNext/>
              <w:widowControl/>
              <w:rPr>
                <w:rFonts w:ascii="Times New Roman" w:hAnsi="Times New Roman" w:cs="Times New Roman"/>
                <w:sz w:val="22"/>
                <w:lang w:val="da-DK"/>
              </w:rPr>
            </w:pPr>
            <w:r w:rsidRPr="00EF0A4B">
              <w:rPr>
                <w:rFonts w:ascii="Times New Roman" w:hAnsi="Times New Roman" w:cs="Times New Roman"/>
                <w:sz w:val="22"/>
                <w:lang w:val="da-DK"/>
              </w:rPr>
              <w:t xml:space="preserve">Samtidig administration af Emtricitabine/Tenofovir alafenamide </w:t>
            </w:r>
            <w:r w:rsidR="008D5A42" w:rsidRPr="00EF0A4B">
              <w:rPr>
                <w:rFonts w:ascii="Times New Roman" w:hAnsi="Times New Roman" w:cs="Times New Roman"/>
                <w:sz w:val="22"/>
                <w:lang w:val="da-DK"/>
              </w:rPr>
              <w:t>"</w:t>
            </w:r>
            <w:r w:rsidRPr="00EF0A4B">
              <w:rPr>
                <w:rFonts w:ascii="Times New Roman" w:hAnsi="Times New Roman" w:cs="Times New Roman"/>
                <w:sz w:val="22"/>
                <w:lang w:val="da-DK"/>
              </w:rPr>
              <w:t>Zentiva</w:t>
            </w:r>
            <w:r w:rsidR="008D5A42" w:rsidRPr="00EF0A4B">
              <w:rPr>
                <w:rFonts w:ascii="Times New Roman" w:hAnsi="Times New Roman" w:cs="Times New Roman"/>
                <w:sz w:val="22"/>
                <w:lang w:val="da-DK"/>
              </w:rPr>
              <w:t>"</w:t>
            </w:r>
            <w:r w:rsidRPr="00EF0A4B">
              <w:rPr>
                <w:rFonts w:ascii="Times New Roman" w:hAnsi="Times New Roman" w:cs="Times New Roman"/>
                <w:sz w:val="22"/>
                <w:lang w:val="da-DK"/>
              </w:rPr>
              <w:t xml:space="preserve"> og rifabutin, rifampicin eller rifapentin anbefales ikke.</w:t>
            </w:r>
          </w:p>
        </w:tc>
      </w:tr>
      <w:tr w:rsidR="00DB1C4E" w:rsidRPr="00EF0A4B" w14:paraId="6B067D65" w14:textId="77777777" w:rsidTr="00132A6A">
        <w:trPr>
          <w:cantSplit/>
        </w:trPr>
        <w:tc>
          <w:tcPr>
            <w:tcW w:w="5000" w:type="pct"/>
            <w:gridSpan w:val="3"/>
            <w:tcBorders>
              <w:top w:val="single" w:sz="4" w:space="0" w:color="auto"/>
              <w:left w:val="single" w:sz="4" w:space="0" w:color="auto"/>
              <w:bottom w:val="single" w:sz="4" w:space="0" w:color="auto"/>
              <w:right w:val="single" w:sz="4" w:space="0" w:color="auto"/>
            </w:tcBorders>
            <w:hideMark/>
          </w:tcPr>
          <w:p w14:paraId="5C8164D7" w14:textId="77777777" w:rsidR="00DB1C4E" w:rsidRPr="00EF0A4B" w:rsidRDefault="00DB1C4E">
            <w:pPr>
              <w:keepNext/>
              <w:keepLines/>
              <w:rPr>
                <w:rFonts w:ascii="Times New Roman" w:hAnsi="Times New Roman" w:cs="Times New Roman"/>
                <w:b/>
                <w:bCs/>
                <w:sz w:val="22"/>
                <w:lang w:val="da-DK"/>
              </w:rPr>
            </w:pPr>
            <w:r w:rsidRPr="00EF0A4B">
              <w:rPr>
                <w:rFonts w:ascii="Times New Roman" w:hAnsi="Times New Roman" w:cs="Times New Roman"/>
                <w:b/>
                <w:bCs/>
                <w:sz w:val="22"/>
                <w:lang w:val="da-DK"/>
              </w:rPr>
              <w:t>Lægemidler mod hepatitis C-virus</w:t>
            </w:r>
          </w:p>
        </w:tc>
      </w:tr>
      <w:tr w:rsidR="00DB1C4E" w:rsidRPr="00EF0A4B" w14:paraId="169939E1" w14:textId="77777777" w:rsidTr="00132A6A">
        <w:trPr>
          <w:cantSplit/>
        </w:trPr>
        <w:tc>
          <w:tcPr>
            <w:tcW w:w="1776" w:type="pct"/>
            <w:tcBorders>
              <w:top w:val="single" w:sz="4" w:space="0" w:color="auto"/>
              <w:left w:val="single" w:sz="4" w:space="0" w:color="auto"/>
              <w:bottom w:val="single" w:sz="4" w:space="0" w:color="auto"/>
              <w:right w:val="single" w:sz="4" w:space="0" w:color="auto"/>
            </w:tcBorders>
            <w:hideMark/>
          </w:tcPr>
          <w:p w14:paraId="73057E1B" w14:textId="0FCB1BDD" w:rsidR="00DB1C4E" w:rsidRPr="00EF0A4B" w:rsidRDefault="00DB1C4E">
            <w:pPr>
              <w:rPr>
                <w:rFonts w:ascii="Times New Roman" w:hAnsi="Times New Roman" w:cs="Times New Roman"/>
                <w:sz w:val="22"/>
                <w:lang w:val="da-DK"/>
              </w:rPr>
            </w:pPr>
            <w:r w:rsidRPr="00EF0A4B">
              <w:rPr>
                <w:rFonts w:ascii="Times New Roman" w:hAnsi="Times New Roman" w:cs="Times New Roman"/>
                <w:sz w:val="22"/>
                <w:lang w:val="da-DK"/>
              </w:rPr>
              <w:t xml:space="preserve">Ledipasvir (90 mg én gang </w:t>
            </w:r>
            <w:proofErr w:type="gramStart"/>
            <w:r w:rsidRPr="00EF0A4B">
              <w:rPr>
                <w:rFonts w:ascii="Times New Roman" w:hAnsi="Times New Roman" w:cs="Times New Roman"/>
                <w:sz w:val="22"/>
                <w:lang w:val="da-DK"/>
              </w:rPr>
              <w:t>dagligt)/</w:t>
            </w:r>
            <w:proofErr w:type="gramEnd"/>
            <w:r w:rsidRPr="00EF0A4B">
              <w:rPr>
                <w:rFonts w:ascii="Times New Roman" w:hAnsi="Times New Roman" w:cs="Times New Roman"/>
                <w:sz w:val="22"/>
                <w:lang w:val="da-DK"/>
              </w:rPr>
              <w:t xml:space="preserve"> sofosbuvir (400 mg én gang dagligt), emtricitabin </w:t>
            </w:r>
            <w:r w:rsidRPr="00EF0A4B">
              <w:rPr>
                <w:rFonts w:ascii="Times New Roman" w:hAnsi="Times New Roman" w:cs="Times New Roman"/>
                <w:sz w:val="22"/>
                <w:lang w:val="da-DK"/>
              </w:rPr>
              <w:br/>
              <w:t xml:space="preserve">(200 mg én gang dagligt)/ </w:t>
            </w:r>
            <w:r w:rsidR="00202D86">
              <w:rPr>
                <w:rFonts w:ascii="Times New Roman" w:hAnsi="Times New Roman" w:cs="Times New Roman"/>
                <w:sz w:val="22"/>
                <w:lang w:val="da-DK"/>
              </w:rPr>
              <w:t>tenofovir alafenamid</w:t>
            </w:r>
            <w:r w:rsidRPr="00EF0A4B">
              <w:rPr>
                <w:rFonts w:ascii="Times New Roman" w:hAnsi="Times New Roman" w:cs="Times New Roman"/>
                <w:sz w:val="22"/>
                <w:lang w:val="da-DK"/>
              </w:rPr>
              <w:t xml:space="preserve"> (10 mg én gang dagligt)</w:t>
            </w:r>
            <w:r w:rsidRPr="00EF0A4B">
              <w:rPr>
                <w:rFonts w:ascii="Times New Roman" w:hAnsi="Times New Roman" w:cs="Times New Roman"/>
                <w:sz w:val="22"/>
                <w:vertAlign w:val="superscript"/>
                <w:lang w:val="da-DK"/>
              </w:rPr>
              <w:t>3</w:t>
            </w:r>
          </w:p>
        </w:tc>
        <w:tc>
          <w:tcPr>
            <w:tcW w:w="1580" w:type="pct"/>
            <w:tcBorders>
              <w:top w:val="single" w:sz="4" w:space="0" w:color="auto"/>
              <w:left w:val="single" w:sz="4" w:space="0" w:color="auto"/>
              <w:bottom w:val="single" w:sz="4" w:space="0" w:color="auto"/>
              <w:right w:val="single" w:sz="4" w:space="0" w:color="auto"/>
            </w:tcBorders>
          </w:tcPr>
          <w:p w14:paraId="34C3B9BC" w14:textId="77777777" w:rsidR="00DB1C4E" w:rsidRPr="00EF0A4B" w:rsidRDefault="00DB1C4E">
            <w:pPr>
              <w:keepNext/>
              <w:keepLines/>
              <w:rPr>
                <w:rFonts w:ascii="Times New Roman" w:hAnsi="Times New Roman" w:cs="Times New Roman"/>
                <w:sz w:val="22"/>
                <w:lang w:val="da-DK"/>
              </w:rPr>
            </w:pPr>
            <w:r w:rsidRPr="00EF0A4B">
              <w:rPr>
                <w:rFonts w:ascii="Times New Roman" w:hAnsi="Times New Roman" w:cs="Times New Roman"/>
                <w:sz w:val="22"/>
                <w:lang w:val="da-DK"/>
              </w:rPr>
              <w:t>Ledipasvir:</w:t>
            </w:r>
          </w:p>
          <w:p w14:paraId="53B938BD" w14:textId="77777777" w:rsidR="00DB1C4E" w:rsidRPr="00EF0A4B" w:rsidRDefault="00DB1C4E">
            <w:pPr>
              <w:keepNext/>
              <w:keepLines/>
              <w:rPr>
                <w:rFonts w:ascii="Times New Roman" w:hAnsi="Times New Roman" w:cs="Times New Roman"/>
                <w:sz w:val="22"/>
                <w:lang w:val="da-DK"/>
              </w:rPr>
            </w:pPr>
            <w:r w:rsidRPr="00EF0A4B">
              <w:rPr>
                <w:rFonts w:ascii="Times New Roman" w:hAnsi="Times New Roman" w:cs="Times New Roman"/>
                <w:sz w:val="22"/>
                <w:lang w:val="da-DK"/>
              </w:rPr>
              <w:t>AUC: ↑ 79%</w:t>
            </w:r>
          </w:p>
          <w:p w14:paraId="03C28387" w14:textId="77777777" w:rsidR="00DB1C4E" w:rsidRPr="00EF0A4B" w:rsidRDefault="00DB1C4E">
            <w:pPr>
              <w:keepNext/>
              <w:keepLines/>
              <w:rPr>
                <w:rFonts w:ascii="Times New Roman" w:hAnsi="Times New Roman" w:cs="Times New Roman"/>
                <w:sz w:val="22"/>
                <w:lang w:val="da-DK"/>
              </w:rPr>
            </w:pPr>
            <w:r w:rsidRPr="00EF0A4B">
              <w:rPr>
                <w:rFonts w:ascii="Times New Roman" w:hAnsi="Times New Roman" w:cs="Times New Roman"/>
                <w:sz w:val="22"/>
                <w:lang w:val="da-DK"/>
              </w:rPr>
              <w:t>C</w:t>
            </w:r>
            <w:r w:rsidRPr="00EF0A4B">
              <w:rPr>
                <w:rFonts w:ascii="Times New Roman" w:hAnsi="Times New Roman" w:cs="Times New Roman"/>
                <w:sz w:val="22"/>
                <w:vertAlign w:val="subscript"/>
                <w:lang w:val="da-DK"/>
              </w:rPr>
              <w:t>max</w:t>
            </w:r>
            <w:r w:rsidRPr="00EF0A4B">
              <w:rPr>
                <w:rFonts w:ascii="Times New Roman" w:hAnsi="Times New Roman" w:cs="Times New Roman"/>
                <w:sz w:val="22"/>
                <w:lang w:val="da-DK"/>
              </w:rPr>
              <w:t>: ↑ 65%</w:t>
            </w:r>
          </w:p>
          <w:p w14:paraId="583C95DA" w14:textId="77777777" w:rsidR="00DB1C4E" w:rsidRPr="00EF0A4B" w:rsidRDefault="00DB1C4E">
            <w:pPr>
              <w:keepNext/>
              <w:keepLines/>
              <w:rPr>
                <w:rFonts w:ascii="Times New Roman" w:hAnsi="Times New Roman" w:cs="Times New Roman"/>
                <w:sz w:val="22"/>
                <w:lang w:val="da-DK"/>
              </w:rPr>
            </w:pPr>
            <w:r w:rsidRPr="00EF0A4B">
              <w:rPr>
                <w:rFonts w:ascii="Times New Roman" w:hAnsi="Times New Roman" w:cs="Times New Roman"/>
                <w:sz w:val="22"/>
                <w:lang w:val="da-DK"/>
              </w:rPr>
              <w:t>C</w:t>
            </w:r>
            <w:r w:rsidRPr="00EF0A4B">
              <w:rPr>
                <w:rFonts w:ascii="Times New Roman" w:hAnsi="Times New Roman" w:cs="Times New Roman"/>
                <w:sz w:val="22"/>
                <w:vertAlign w:val="subscript"/>
                <w:lang w:val="da-DK"/>
              </w:rPr>
              <w:t>min</w:t>
            </w:r>
            <w:r w:rsidRPr="00EF0A4B">
              <w:rPr>
                <w:rFonts w:ascii="Times New Roman" w:hAnsi="Times New Roman" w:cs="Times New Roman"/>
                <w:sz w:val="22"/>
                <w:lang w:val="da-DK"/>
              </w:rPr>
              <w:t>: ↑ 93%</w:t>
            </w:r>
          </w:p>
          <w:p w14:paraId="274DB4CC" w14:textId="77777777" w:rsidR="00DB1C4E" w:rsidRPr="00EF0A4B" w:rsidRDefault="00DB1C4E">
            <w:pPr>
              <w:keepNext/>
              <w:keepLines/>
              <w:rPr>
                <w:rFonts w:ascii="Times New Roman" w:hAnsi="Times New Roman" w:cs="Times New Roman"/>
                <w:sz w:val="22"/>
                <w:lang w:val="da-DK"/>
              </w:rPr>
            </w:pPr>
          </w:p>
          <w:p w14:paraId="6B1DBF76" w14:textId="77777777" w:rsidR="00DB1C4E" w:rsidRPr="00EF0A4B" w:rsidRDefault="00DB1C4E">
            <w:pPr>
              <w:keepNext/>
              <w:keepLines/>
              <w:rPr>
                <w:rFonts w:ascii="Times New Roman" w:hAnsi="Times New Roman" w:cs="Times New Roman"/>
                <w:sz w:val="22"/>
                <w:lang w:val="da-DK"/>
              </w:rPr>
            </w:pPr>
            <w:r w:rsidRPr="00EF0A4B">
              <w:rPr>
                <w:rFonts w:ascii="Times New Roman" w:hAnsi="Times New Roman" w:cs="Times New Roman"/>
                <w:sz w:val="22"/>
                <w:lang w:val="da-DK"/>
              </w:rPr>
              <w:t xml:space="preserve">Sofosbuvir: </w:t>
            </w:r>
          </w:p>
          <w:p w14:paraId="6F470B66" w14:textId="77777777" w:rsidR="00DB1C4E" w:rsidRPr="00EF0A4B" w:rsidRDefault="00DB1C4E">
            <w:pPr>
              <w:keepNext/>
              <w:keepLines/>
              <w:rPr>
                <w:rFonts w:ascii="Times New Roman" w:hAnsi="Times New Roman" w:cs="Times New Roman"/>
                <w:sz w:val="22"/>
                <w:lang w:val="da-DK"/>
              </w:rPr>
            </w:pPr>
            <w:r w:rsidRPr="00EF0A4B">
              <w:rPr>
                <w:rFonts w:ascii="Times New Roman" w:hAnsi="Times New Roman" w:cs="Times New Roman"/>
                <w:sz w:val="22"/>
                <w:lang w:val="da-DK"/>
              </w:rPr>
              <w:t>AUC:  ↑ 47%</w:t>
            </w:r>
          </w:p>
          <w:p w14:paraId="138D39E0" w14:textId="77777777" w:rsidR="00DB1C4E" w:rsidRPr="00EF0A4B" w:rsidRDefault="00DB1C4E">
            <w:pPr>
              <w:keepNext/>
              <w:keepLines/>
              <w:rPr>
                <w:rFonts w:ascii="Times New Roman" w:hAnsi="Times New Roman" w:cs="Times New Roman"/>
                <w:sz w:val="22"/>
                <w:lang w:val="da-DK"/>
              </w:rPr>
            </w:pPr>
            <w:r w:rsidRPr="00EF0A4B">
              <w:rPr>
                <w:rFonts w:ascii="Times New Roman" w:hAnsi="Times New Roman" w:cs="Times New Roman"/>
                <w:sz w:val="22"/>
                <w:lang w:val="da-DK"/>
              </w:rPr>
              <w:t>C</w:t>
            </w:r>
            <w:r w:rsidRPr="00EF0A4B">
              <w:rPr>
                <w:rFonts w:ascii="Times New Roman" w:hAnsi="Times New Roman" w:cs="Times New Roman"/>
                <w:sz w:val="22"/>
                <w:vertAlign w:val="subscript"/>
                <w:lang w:val="da-DK"/>
              </w:rPr>
              <w:t>max</w:t>
            </w:r>
            <w:r w:rsidRPr="00EF0A4B">
              <w:rPr>
                <w:rFonts w:ascii="Times New Roman" w:hAnsi="Times New Roman" w:cs="Times New Roman"/>
                <w:sz w:val="22"/>
                <w:lang w:val="da-DK"/>
              </w:rPr>
              <w:t>: ↑ 29%</w:t>
            </w:r>
          </w:p>
          <w:p w14:paraId="2BF1F68E" w14:textId="77777777" w:rsidR="00DB1C4E" w:rsidRPr="00EF0A4B" w:rsidRDefault="00DB1C4E">
            <w:pPr>
              <w:keepNext/>
              <w:keepLines/>
              <w:rPr>
                <w:rFonts w:ascii="Times New Roman" w:hAnsi="Times New Roman" w:cs="Times New Roman"/>
                <w:sz w:val="22"/>
                <w:lang w:val="da-DK"/>
              </w:rPr>
            </w:pPr>
          </w:p>
          <w:p w14:paraId="7C8C778E" w14:textId="77777777" w:rsidR="00DB1C4E" w:rsidRPr="00EF0A4B" w:rsidRDefault="00DB1C4E">
            <w:pPr>
              <w:keepNext/>
              <w:keepLines/>
              <w:rPr>
                <w:rFonts w:ascii="Times New Roman" w:hAnsi="Times New Roman" w:cs="Times New Roman"/>
                <w:sz w:val="22"/>
                <w:lang w:val="da-DK"/>
              </w:rPr>
            </w:pPr>
            <w:r w:rsidRPr="00EF0A4B">
              <w:rPr>
                <w:rFonts w:ascii="Times New Roman" w:hAnsi="Times New Roman" w:cs="Times New Roman"/>
                <w:sz w:val="22"/>
                <w:lang w:val="da-DK"/>
              </w:rPr>
              <w:t>Sofosbuvirmetabolit GS-331007:</w:t>
            </w:r>
          </w:p>
          <w:p w14:paraId="33D377DA" w14:textId="77777777" w:rsidR="00DB1C4E" w:rsidRPr="00EF0A4B" w:rsidRDefault="00DB1C4E">
            <w:pPr>
              <w:keepNext/>
              <w:keepLines/>
              <w:rPr>
                <w:rFonts w:ascii="Times New Roman" w:hAnsi="Times New Roman" w:cs="Times New Roman"/>
                <w:sz w:val="22"/>
                <w:lang w:val="da-DK"/>
              </w:rPr>
            </w:pPr>
            <w:r w:rsidRPr="00EF0A4B">
              <w:rPr>
                <w:rFonts w:ascii="Times New Roman" w:hAnsi="Times New Roman" w:cs="Times New Roman"/>
                <w:sz w:val="22"/>
                <w:lang w:val="da-DK"/>
              </w:rPr>
              <w:t>AUC: ↑ 48%</w:t>
            </w:r>
          </w:p>
          <w:p w14:paraId="52A9A403" w14:textId="77777777" w:rsidR="00DB1C4E" w:rsidRPr="00EF0A4B" w:rsidRDefault="00DB1C4E">
            <w:pPr>
              <w:keepNext/>
              <w:keepLines/>
              <w:rPr>
                <w:rFonts w:ascii="Times New Roman" w:hAnsi="Times New Roman" w:cs="Times New Roman"/>
                <w:sz w:val="22"/>
                <w:lang w:val="da-DK"/>
              </w:rPr>
            </w:pPr>
            <w:r w:rsidRPr="00EF0A4B">
              <w:rPr>
                <w:rFonts w:ascii="Times New Roman" w:hAnsi="Times New Roman" w:cs="Times New Roman"/>
                <w:sz w:val="22"/>
                <w:lang w:val="da-DK"/>
              </w:rPr>
              <w:t>C</w:t>
            </w:r>
            <w:r w:rsidRPr="00EF0A4B">
              <w:rPr>
                <w:rFonts w:ascii="Times New Roman" w:hAnsi="Times New Roman" w:cs="Times New Roman"/>
                <w:sz w:val="22"/>
                <w:vertAlign w:val="subscript"/>
                <w:lang w:val="da-DK"/>
              </w:rPr>
              <w:t>max</w:t>
            </w:r>
            <w:r w:rsidRPr="00EF0A4B">
              <w:rPr>
                <w:rFonts w:ascii="Times New Roman" w:hAnsi="Times New Roman" w:cs="Times New Roman"/>
                <w:sz w:val="22"/>
                <w:lang w:val="da-DK"/>
              </w:rPr>
              <w:t>: ↔</w:t>
            </w:r>
          </w:p>
          <w:p w14:paraId="5105DB4F" w14:textId="77777777" w:rsidR="00DB1C4E" w:rsidRPr="00EF0A4B" w:rsidRDefault="00DB1C4E">
            <w:pPr>
              <w:keepNext/>
              <w:keepLines/>
              <w:rPr>
                <w:rFonts w:ascii="Times New Roman" w:hAnsi="Times New Roman" w:cs="Times New Roman"/>
                <w:sz w:val="22"/>
                <w:lang w:val="da-DK"/>
              </w:rPr>
            </w:pPr>
            <w:r w:rsidRPr="00EF0A4B">
              <w:rPr>
                <w:rFonts w:ascii="Times New Roman" w:hAnsi="Times New Roman" w:cs="Times New Roman"/>
                <w:sz w:val="22"/>
                <w:lang w:val="da-DK"/>
              </w:rPr>
              <w:t>C</w:t>
            </w:r>
            <w:r w:rsidRPr="00EF0A4B">
              <w:rPr>
                <w:rFonts w:ascii="Times New Roman" w:hAnsi="Times New Roman" w:cs="Times New Roman"/>
                <w:sz w:val="22"/>
                <w:vertAlign w:val="subscript"/>
                <w:lang w:val="da-DK"/>
              </w:rPr>
              <w:t>min</w:t>
            </w:r>
            <w:r w:rsidRPr="00EF0A4B">
              <w:rPr>
                <w:rFonts w:ascii="Times New Roman" w:hAnsi="Times New Roman" w:cs="Times New Roman"/>
                <w:sz w:val="22"/>
                <w:lang w:val="da-DK"/>
              </w:rPr>
              <w:t>: ↑ 66%</w:t>
            </w:r>
          </w:p>
          <w:p w14:paraId="68BB45D4" w14:textId="77777777" w:rsidR="00DB1C4E" w:rsidRPr="00EF0A4B" w:rsidRDefault="00DB1C4E">
            <w:pPr>
              <w:keepNext/>
              <w:keepLines/>
              <w:rPr>
                <w:rFonts w:ascii="Times New Roman" w:hAnsi="Times New Roman" w:cs="Times New Roman"/>
                <w:sz w:val="22"/>
                <w:lang w:val="da-DK"/>
              </w:rPr>
            </w:pPr>
          </w:p>
          <w:p w14:paraId="7372D7F0" w14:textId="77777777" w:rsidR="00DB1C4E" w:rsidRPr="00EF0A4B" w:rsidRDefault="00DB1C4E">
            <w:pPr>
              <w:keepNext/>
              <w:keepLines/>
              <w:rPr>
                <w:rFonts w:ascii="Times New Roman" w:hAnsi="Times New Roman" w:cs="Times New Roman"/>
                <w:sz w:val="22"/>
                <w:lang w:val="da-DK"/>
              </w:rPr>
            </w:pPr>
            <w:r w:rsidRPr="00EF0A4B">
              <w:rPr>
                <w:rFonts w:ascii="Times New Roman" w:hAnsi="Times New Roman" w:cs="Times New Roman"/>
                <w:sz w:val="22"/>
                <w:lang w:val="da-DK"/>
              </w:rPr>
              <w:t>Emtricitabin:</w:t>
            </w:r>
          </w:p>
          <w:p w14:paraId="17D3110B" w14:textId="77777777" w:rsidR="00DB1C4E" w:rsidRPr="00EF0A4B" w:rsidRDefault="00DB1C4E">
            <w:pPr>
              <w:keepNext/>
              <w:keepLines/>
              <w:rPr>
                <w:rFonts w:ascii="Times New Roman" w:hAnsi="Times New Roman" w:cs="Times New Roman"/>
                <w:sz w:val="22"/>
                <w:lang w:val="da-DK"/>
              </w:rPr>
            </w:pPr>
            <w:r w:rsidRPr="00EF0A4B">
              <w:rPr>
                <w:rFonts w:ascii="Times New Roman" w:hAnsi="Times New Roman" w:cs="Times New Roman"/>
                <w:sz w:val="22"/>
                <w:lang w:val="da-DK"/>
              </w:rPr>
              <w:t>AUC: ↔</w:t>
            </w:r>
          </w:p>
          <w:p w14:paraId="17419A68" w14:textId="77777777" w:rsidR="00DB1C4E" w:rsidRPr="00EF0A4B" w:rsidRDefault="00DB1C4E">
            <w:pPr>
              <w:keepNext/>
              <w:keepLines/>
              <w:rPr>
                <w:rFonts w:ascii="Times New Roman" w:hAnsi="Times New Roman" w:cs="Times New Roman"/>
                <w:sz w:val="22"/>
                <w:lang w:val="da-DK"/>
              </w:rPr>
            </w:pPr>
            <w:r w:rsidRPr="00EF0A4B">
              <w:rPr>
                <w:rFonts w:ascii="Times New Roman" w:hAnsi="Times New Roman" w:cs="Times New Roman"/>
                <w:sz w:val="22"/>
                <w:lang w:val="da-DK"/>
              </w:rPr>
              <w:t>C</w:t>
            </w:r>
            <w:r w:rsidRPr="00EF0A4B">
              <w:rPr>
                <w:rFonts w:ascii="Times New Roman" w:hAnsi="Times New Roman" w:cs="Times New Roman"/>
                <w:sz w:val="22"/>
                <w:vertAlign w:val="subscript"/>
                <w:lang w:val="da-DK"/>
              </w:rPr>
              <w:t>max</w:t>
            </w:r>
            <w:r w:rsidRPr="00EF0A4B">
              <w:rPr>
                <w:rFonts w:ascii="Times New Roman" w:hAnsi="Times New Roman" w:cs="Times New Roman"/>
                <w:sz w:val="22"/>
                <w:lang w:val="da-DK"/>
              </w:rPr>
              <w:t>: ↔</w:t>
            </w:r>
          </w:p>
          <w:p w14:paraId="4ACD3F3A" w14:textId="77777777" w:rsidR="00DB1C4E" w:rsidRPr="00202D86" w:rsidRDefault="00DB1C4E">
            <w:pPr>
              <w:keepNext/>
              <w:keepLines/>
              <w:rPr>
                <w:rFonts w:ascii="Times New Roman" w:hAnsi="Times New Roman" w:cs="Times New Roman"/>
                <w:sz w:val="22"/>
                <w:lang w:val="da-DK"/>
              </w:rPr>
            </w:pPr>
            <w:r w:rsidRPr="00202D86">
              <w:rPr>
                <w:rFonts w:ascii="Times New Roman" w:hAnsi="Times New Roman" w:cs="Times New Roman"/>
                <w:sz w:val="22"/>
                <w:lang w:val="da-DK"/>
              </w:rPr>
              <w:t>C</w:t>
            </w:r>
            <w:r w:rsidRPr="00202D86">
              <w:rPr>
                <w:rFonts w:ascii="Times New Roman" w:hAnsi="Times New Roman" w:cs="Times New Roman"/>
                <w:sz w:val="22"/>
                <w:vertAlign w:val="subscript"/>
                <w:lang w:val="da-DK"/>
              </w:rPr>
              <w:t>min</w:t>
            </w:r>
            <w:r w:rsidRPr="00202D86">
              <w:rPr>
                <w:rFonts w:ascii="Times New Roman" w:hAnsi="Times New Roman" w:cs="Times New Roman"/>
                <w:sz w:val="22"/>
                <w:lang w:val="da-DK"/>
              </w:rPr>
              <w:t>: ↔</w:t>
            </w:r>
          </w:p>
          <w:p w14:paraId="3EFF7DCB" w14:textId="77777777" w:rsidR="00DB1C4E" w:rsidRPr="00202D86" w:rsidRDefault="00DB1C4E">
            <w:pPr>
              <w:keepNext/>
              <w:keepLines/>
              <w:rPr>
                <w:rFonts w:ascii="Times New Roman" w:hAnsi="Times New Roman" w:cs="Times New Roman"/>
                <w:sz w:val="22"/>
                <w:lang w:val="da-DK"/>
              </w:rPr>
            </w:pPr>
          </w:p>
          <w:p w14:paraId="6A89B9E6" w14:textId="4453807F" w:rsidR="00DB1C4E" w:rsidRPr="00202D86" w:rsidRDefault="00202D86">
            <w:pPr>
              <w:keepNext/>
              <w:keepLines/>
              <w:rPr>
                <w:rFonts w:ascii="Times New Roman" w:hAnsi="Times New Roman" w:cs="Times New Roman"/>
                <w:sz w:val="22"/>
                <w:lang w:val="da-DK"/>
              </w:rPr>
            </w:pPr>
            <w:r w:rsidRPr="00202D86">
              <w:rPr>
                <w:rFonts w:ascii="Times New Roman" w:hAnsi="Times New Roman" w:cs="Times New Roman"/>
                <w:sz w:val="22"/>
                <w:lang w:val="da-DK"/>
              </w:rPr>
              <w:t>Tenofovir alafenamid</w:t>
            </w:r>
            <w:r w:rsidR="00DB1C4E" w:rsidRPr="00202D86">
              <w:rPr>
                <w:rFonts w:ascii="Times New Roman" w:hAnsi="Times New Roman" w:cs="Times New Roman"/>
                <w:sz w:val="22"/>
                <w:lang w:val="da-DK"/>
              </w:rPr>
              <w:t>:</w:t>
            </w:r>
          </w:p>
          <w:p w14:paraId="40AD8EA3" w14:textId="77777777" w:rsidR="00DB1C4E" w:rsidRPr="00202D86" w:rsidRDefault="00DB1C4E">
            <w:pPr>
              <w:keepNext/>
              <w:keepLines/>
              <w:rPr>
                <w:rFonts w:ascii="Times New Roman" w:hAnsi="Times New Roman" w:cs="Times New Roman"/>
                <w:sz w:val="22"/>
                <w:lang w:val="da-DK"/>
              </w:rPr>
            </w:pPr>
            <w:r w:rsidRPr="00202D86">
              <w:rPr>
                <w:rFonts w:ascii="Times New Roman" w:hAnsi="Times New Roman" w:cs="Times New Roman"/>
                <w:sz w:val="22"/>
                <w:lang w:val="da-DK"/>
              </w:rPr>
              <w:t>AUC: ↔</w:t>
            </w:r>
          </w:p>
          <w:p w14:paraId="5D45D423" w14:textId="77777777" w:rsidR="00DB1C4E" w:rsidRPr="00202D86" w:rsidRDefault="00DB1C4E">
            <w:pPr>
              <w:keepNext/>
              <w:keepLines/>
              <w:rPr>
                <w:rFonts w:ascii="Times New Roman" w:hAnsi="Times New Roman" w:cs="Times New Roman"/>
                <w:sz w:val="22"/>
                <w:lang w:val="da-DK"/>
              </w:rPr>
            </w:pPr>
            <w:r w:rsidRPr="00202D86">
              <w:rPr>
                <w:rFonts w:ascii="Times New Roman" w:hAnsi="Times New Roman" w:cs="Times New Roman"/>
                <w:sz w:val="22"/>
                <w:lang w:val="da-DK"/>
              </w:rPr>
              <w:t>C</w:t>
            </w:r>
            <w:r w:rsidRPr="00202D86">
              <w:rPr>
                <w:rFonts w:ascii="Times New Roman" w:hAnsi="Times New Roman" w:cs="Times New Roman"/>
                <w:sz w:val="22"/>
                <w:vertAlign w:val="subscript"/>
                <w:lang w:val="da-DK"/>
              </w:rPr>
              <w:t>max</w:t>
            </w:r>
            <w:r w:rsidRPr="00202D86">
              <w:rPr>
                <w:rFonts w:ascii="Times New Roman" w:hAnsi="Times New Roman" w:cs="Times New Roman"/>
                <w:sz w:val="22"/>
                <w:lang w:val="da-DK"/>
              </w:rPr>
              <w:t>: ↔</w:t>
            </w:r>
          </w:p>
        </w:tc>
        <w:tc>
          <w:tcPr>
            <w:tcW w:w="1644" w:type="pct"/>
            <w:tcBorders>
              <w:top w:val="single" w:sz="4" w:space="0" w:color="auto"/>
              <w:left w:val="single" w:sz="4" w:space="0" w:color="auto"/>
              <w:bottom w:val="single" w:sz="4" w:space="0" w:color="auto"/>
              <w:right w:val="single" w:sz="4" w:space="0" w:color="auto"/>
            </w:tcBorders>
            <w:hideMark/>
          </w:tcPr>
          <w:p w14:paraId="5AE82325" w14:textId="77777777" w:rsidR="00DB1C4E" w:rsidRPr="00EF0A4B" w:rsidRDefault="00DB1C4E">
            <w:pPr>
              <w:keepNext/>
              <w:keepLines/>
              <w:rPr>
                <w:rFonts w:ascii="Times New Roman" w:hAnsi="Times New Roman" w:cs="Times New Roman"/>
                <w:sz w:val="22"/>
                <w:lang w:val="da-DK"/>
              </w:rPr>
            </w:pPr>
            <w:r w:rsidRPr="00EF0A4B">
              <w:rPr>
                <w:rFonts w:ascii="Times New Roman" w:hAnsi="Times New Roman" w:cs="Times New Roman"/>
                <w:sz w:val="22"/>
                <w:lang w:val="da-DK"/>
              </w:rPr>
              <w:t>Dosisjustering af ledipasvir eller sofosbuvir er ikke nødvendig. Dosering i henhold til den samtidige antiretrovirale behandling (se pkt. 4.2).</w:t>
            </w:r>
          </w:p>
        </w:tc>
      </w:tr>
      <w:tr w:rsidR="00DB1C4E" w:rsidRPr="00EF0A4B" w14:paraId="3A4D0AAC" w14:textId="77777777" w:rsidTr="00132A6A">
        <w:trPr>
          <w:cantSplit/>
        </w:trPr>
        <w:tc>
          <w:tcPr>
            <w:tcW w:w="1776" w:type="pct"/>
            <w:tcBorders>
              <w:top w:val="single" w:sz="4" w:space="0" w:color="auto"/>
              <w:left w:val="single" w:sz="4" w:space="0" w:color="auto"/>
              <w:bottom w:val="single" w:sz="4" w:space="0" w:color="auto"/>
              <w:right w:val="single" w:sz="4" w:space="0" w:color="auto"/>
            </w:tcBorders>
            <w:hideMark/>
          </w:tcPr>
          <w:p w14:paraId="0F4E34BF" w14:textId="7DAC74EF" w:rsidR="00DB1C4E" w:rsidRPr="00EF0A4B" w:rsidRDefault="00DB1C4E">
            <w:pPr>
              <w:rPr>
                <w:rFonts w:ascii="Times New Roman" w:hAnsi="Times New Roman" w:cs="Times New Roman"/>
                <w:sz w:val="22"/>
                <w:lang w:val="da-DK"/>
              </w:rPr>
            </w:pPr>
            <w:r w:rsidRPr="00EF0A4B">
              <w:rPr>
                <w:rFonts w:ascii="Times New Roman" w:hAnsi="Times New Roman" w:cs="Times New Roman"/>
                <w:sz w:val="22"/>
                <w:lang w:val="da-DK"/>
              </w:rPr>
              <w:lastRenderedPageBreak/>
              <w:t xml:space="preserve">Ledipasvir (90 mg én gang </w:t>
            </w:r>
            <w:proofErr w:type="gramStart"/>
            <w:r w:rsidRPr="00EF0A4B">
              <w:rPr>
                <w:rFonts w:ascii="Times New Roman" w:hAnsi="Times New Roman" w:cs="Times New Roman"/>
                <w:sz w:val="22"/>
                <w:lang w:val="da-DK"/>
              </w:rPr>
              <w:t>dagligt)/</w:t>
            </w:r>
            <w:proofErr w:type="gramEnd"/>
            <w:r w:rsidRPr="00EF0A4B">
              <w:rPr>
                <w:rFonts w:ascii="Times New Roman" w:hAnsi="Times New Roman" w:cs="Times New Roman"/>
                <w:sz w:val="22"/>
                <w:lang w:val="da-DK"/>
              </w:rPr>
              <w:t xml:space="preserve"> sofosbuvir (400 mg én gang dagligt), emtricitabin (200 mg én gang dagligt)/ </w:t>
            </w:r>
            <w:r w:rsidR="00202D86">
              <w:rPr>
                <w:rFonts w:ascii="Times New Roman" w:hAnsi="Times New Roman" w:cs="Times New Roman"/>
                <w:sz w:val="22"/>
                <w:lang w:val="da-DK"/>
              </w:rPr>
              <w:t>tenofovir alafenamid</w:t>
            </w:r>
            <w:r w:rsidRPr="00EF0A4B">
              <w:rPr>
                <w:rFonts w:ascii="Times New Roman" w:hAnsi="Times New Roman" w:cs="Times New Roman"/>
                <w:sz w:val="22"/>
                <w:lang w:val="da-DK"/>
              </w:rPr>
              <w:t xml:space="preserve"> (25 mg én gang dagligt)</w:t>
            </w:r>
            <w:r w:rsidRPr="00EF0A4B">
              <w:rPr>
                <w:rFonts w:ascii="Times New Roman" w:hAnsi="Times New Roman" w:cs="Times New Roman"/>
                <w:sz w:val="22"/>
                <w:vertAlign w:val="superscript"/>
                <w:lang w:val="da-DK"/>
              </w:rPr>
              <w:t>4</w:t>
            </w:r>
          </w:p>
        </w:tc>
        <w:tc>
          <w:tcPr>
            <w:tcW w:w="1580" w:type="pct"/>
            <w:tcBorders>
              <w:top w:val="single" w:sz="4" w:space="0" w:color="auto"/>
              <w:left w:val="single" w:sz="4" w:space="0" w:color="auto"/>
              <w:bottom w:val="single" w:sz="4" w:space="0" w:color="auto"/>
              <w:right w:val="single" w:sz="4" w:space="0" w:color="auto"/>
            </w:tcBorders>
          </w:tcPr>
          <w:p w14:paraId="464A4C38" w14:textId="77777777" w:rsidR="00DB1C4E" w:rsidRPr="00EF0A4B" w:rsidRDefault="00DB1C4E">
            <w:pPr>
              <w:rPr>
                <w:rFonts w:ascii="Times New Roman" w:hAnsi="Times New Roman" w:cs="Times New Roman"/>
                <w:sz w:val="22"/>
                <w:lang w:val="da-DK"/>
              </w:rPr>
            </w:pPr>
            <w:r w:rsidRPr="00EF0A4B">
              <w:rPr>
                <w:rFonts w:ascii="Times New Roman" w:hAnsi="Times New Roman" w:cs="Times New Roman"/>
                <w:sz w:val="22"/>
                <w:lang w:val="da-DK"/>
              </w:rPr>
              <w:t>Ledipasvir:</w:t>
            </w:r>
          </w:p>
          <w:p w14:paraId="2B5AC91A" w14:textId="77777777" w:rsidR="00DB1C4E" w:rsidRPr="00EF0A4B" w:rsidRDefault="00DB1C4E">
            <w:pPr>
              <w:rPr>
                <w:rFonts w:ascii="Times New Roman" w:hAnsi="Times New Roman" w:cs="Times New Roman"/>
                <w:sz w:val="22"/>
                <w:lang w:val="da-DK"/>
              </w:rPr>
            </w:pPr>
            <w:r w:rsidRPr="00EF0A4B">
              <w:rPr>
                <w:rFonts w:ascii="Times New Roman" w:hAnsi="Times New Roman" w:cs="Times New Roman"/>
                <w:sz w:val="22"/>
                <w:lang w:val="da-DK"/>
              </w:rPr>
              <w:t>AUC: ↔</w:t>
            </w:r>
          </w:p>
          <w:p w14:paraId="54E1AC3B" w14:textId="77777777" w:rsidR="00DB1C4E" w:rsidRPr="00EF0A4B" w:rsidRDefault="00DB1C4E">
            <w:pPr>
              <w:rPr>
                <w:rFonts w:ascii="Times New Roman" w:hAnsi="Times New Roman" w:cs="Times New Roman"/>
                <w:sz w:val="22"/>
                <w:lang w:val="da-DK"/>
              </w:rPr>
            </w:pPr>
            <w:r w:rsidRPr="00EF0A4B">
              <w:rPr>
                <w:rFonts w:ascii="Times New Roman" w:hAnsi="Times New Roman" w:cs="Times New Roman"/>
                <w:sz w:val="22"/>
                <w:lang w:val="da-DK"/>
              </w:rPr>
              <w:t>C</w:t>
            </w:r>
            <w:r w:rsidRPr="00EF0A4B">
              <w:rPr>
                <w:rFonts w:ascii="Times New Roman" w:hAnsi="Times New Roman" w:cs="Times New Roman"/>
                <w:sz w:val="22"/>
                <w:vertAlign w:val="subscript"/>
                <w:lang w:val="da-DK"/>
              </w:rPr>
              <w:t>max</w:t>
            </w:r>
            <w:r w:rsidRPr="00EF0A4B">
              <w:rPr>
                <w:rFonts w:ascii="Times New Roman" w:hAnsi="Times New Roman" w:cs="Times New Roman"/>
                <w:sz w:val="22"/>
                <w:lang w:val="da-DK"/>
              </w:rPr>
              <w:t>: ↔</w:t>
            </w:r>
          </w:p>
          <w:p w14:paraId="70993FB4" w14:textId="77777777" w:rsidR="00DB1C4E" w:rsidRPr="00EF0A4B" w:rsidRDefault="00DB1C4E">
            <w:pPr>
              <w:rPr>
                <w:rFonts w:ascii="Times New Roman" w:hAnsi="Times New Roman" w:cs="Times New Roman"/>
                <w:sz w:val="22"/>
                <w:lang w:val="da-DK"/>
              </w:rPr>
            </w:pPr>
            <w:r w:rsidRPr="00EF0A4B">
              <w:rPr>
                <w:rFonts w:ascii="Times New Roman" w:hAnsi="Times New Roman" w:cs="Times New Roman"/>
                <w:sz w:val="22"/>
                <w:lang w:val="da-DK"/>
              </w:rPr>
              <w:t>C</w:t>
            </w:r>
            <w:r w:rsidRPr="00EF0A4B">
              <w:rPr>
                <w:rFonts w:ascii="Times New Roman" w:hAnsi="Times New Roman" w:cs="Times New Roman"/>
                <w:sz w:val="22"/>
                <w:vertAlign w:val="subscript"/>
                <w:lang w:val="da-DK"/>
              </w:rPr>
              <w:t>min</w:t>
            </w:r>
            <w:r w:rsidRPr="00EF0A4B">
              <w:rPr>
                <w:rFonts w:ascii="Times New Roman" w:hAnsi="Times New Roman" w:cs="Times New Roman"/>
                <w:sz w:val="22"/>
                <w:lang w:val="da-DK"/>
              </w:rPr>
              <w:t>: ↔</w:t>
            </w:r>
          </w:p>
          <w:p w14:paraId="422DC84A" w14:textId="77777777" w:rsidR="00DB1C4E" w:rsidRPr="00EF0A4B" w:rsidRDefault="00DB1C4E">
            <w:pPr>
              <w:rPr>
                <w:rFonts w:ascii="Times New Roman" w:hAnsi="Times New Roman" w:cs="Times New Roman"/>
                <w:sz w:val="22"/>
                <w:lang w:val="da-DK"/>
              </w:rPr>
            </w:pPr>
          </w:p>
          <w:p w14:paraId="716987EF" w14:textId="77777777" w:rsidR="00DB1C4E" w:rsidRPr="00EF0A4B" w:rsidRDefault="00DB1C4E">
            <w:pPr>
              <w:rPr>
                <w:rFonts w:ascii="Times New Roman" w:hAnsi="Times New Roman" w:cs="Times New Roman"/>
                <w:sz w:val="22"/>
                <w:lang w:val="da-DK"/>
              </w:rPr>
            </w:pPr>
            <w:r w:rsidRPr="00EF0A4B">
              <w:rPr>
                <w:rFonts w:ascii="Times New Roman" w:hAnsi="Times New Roman" w:cs="Times New Roman"/>
                <w:sz w:val="22"/>
                <w:lang w:val="da-DK"/>
              </w:rPr>
              <w:t>Sofosbuvir:</w:t>
            </w:r>
          </w:p>
          <w:p w14:paraId="7890DFD8" w14:textId="77777777" w:rsidR="00DB1C4E" w:rsidRPr="00EF0A4B" w:rsidRDefault="00DB1C4E">
            <w:pPr>
              <w:rPr>
                <w:rFonts w:ascii="Times New Roman" w:hAnsi="Times New Roman" w:cs="Times New Roman"/>
                <w:sz w:val="22"/>
                <w:lang w:val="da-DK"/>
              </w:rPr>
            </w:pPr>
            <w:r w:rsidRPr="00EF0A4B">
              <w:rPr>
                <w:rFonts w:ascii="Times New Roman" w:hAnsi="Times New Roman" w:cs="Times New Roman"/>
                <w:sz w:val="22"/>
                <w:lang w:val="da-DK"/>
              </w:rPr>
              <w:t>AUC: ↔</w:t>
            </w:r>
          </w:p>
          <w:p w14:paraId="68E863C4" w14:textId="77777777" w:rsidR="00DB1C4E" w:rsidRPr="00EF0A4B" w:rsidRDefault="00DB1C4E">
            <w:pPr>
              <w:rPr>
                <w:rFonts w:ascii="Times New Roman" w:hAnsi="Times New Roman" w:cs="Times New Roman"/>
                <w:sz w:val="22"/>
                <w:lang w:val="da-DK"/>
              </w:rPr>
            </w:pPr>
            <w:r w:rsidRPr="00EF0A4B">
              <w:rPr>
                <w:rFonts w:ascii="Times New Roman" w:hAnsi="Times New Roman" w:cs="Times New Roman"/>
                <w:sz w:val="22"/>
                <w:lang w:val="da-DK"/>
              </w:rPr>
              <w:t>C</w:t>
            </w:r>
            <w:r w:rsidRPr="00EF0A4B">
              <w:rPr>
                <w:rFonts w:ascii="Times New Roman" w:hAnsi="Times New Roman" w:cs="Times New Roman"/>
                <w:sz w:val="22"/>
                <w:vertAlign w:val="subscript"/>
                <w:lang w:val="da-DK"/>
              </w:rPr>
              <w:t>max</w:t>
            </w:r>
            <w:r w:rsidRPr="00EF0A4B">
              <w:rPr>
                <w:rFonts w:ascii="Times New Roman" w:hAnsi="Times New Roman" w:cs="Times New Roman"/>
                <w:sz w:val="22"/>
                <w:lang w:val="da-DK"/>
              </w:rPr>
              <w:t>: ↔</w:t>
            </w:r>
          </w:p>
          <w:p w14:paraId="3648519C" w14:textId="77777777" w:rsidR="00DB1C4E" w:rsidRPr="00EF0A4B" w:rsidRDefault="00DB1C4E">
            <w:pPr>
              <w:rPr>
                <w:rFonts w:ascii="Times New Roman" w:hAnsi="Times New Roman" w:cs="Times New Roman"/>
                <w:sz w:val="22"/>
                <w:lang w:val="da-DK"/>
              </w:rPr>
            </w:pPr>
          </w:p>
          <w:p w14:paraId="0F6FADBC" w14:textId="77777777" w:rsidR="00DB1C4E" w:rsidRPr="00EF0A4B" w:rsidRDefault="00DB1C4E">
            <w:pPr>
              <w:rPr>
                <w:rFonts w:ascii="Times New Roman" w:hAnsi="Times New Roman" w:cs="Times New Roman"/>
                <w:sz w:val="22"/>
                <w:lang w:val="da-DK"/>
              </w:rPr>
            </w:pPr>
            <w:r w:rsidRPr="00EF0A4B">
              <w:rPr>
                <w:rFonts w:ascii="Times New Roman" w:hAnsi="Times New Roman" w:cs="Times New Roman"/>
                <w:sz w:val="22"/>
                <w:lang w:val="da-DK"/>
              </w:rPr>
              <w:t>Sofosbuvirmetabolit GS-331007:</w:t>
            </w:r>
          </w:p>
          <w:p w14:paraId="4A68B387" w14:textId="77777777" w:rsidR="00DB1C4E" w:rsidRPr="00EF0A4B" w:rsidRDefault="00DB1C4E">
            <w:pPr>
              <w:rPr>
                <w:rFonts w:ascii="Times New Roman" w:hAnsi="Times New Roman" w:cs="Times New Roman"/>
                <w:sz w:val="22"/>
                <w:lang w:val="da-DK"/>
              </w:rPr>
            </w:pPr>
            <w:r w:rsidRPr="00EF0A4B">
              <w:rPr>
                <w:rFonts w:ascii="Times New Roman" w:hAnsi="Times New Roman" w:cs="Times New Roman"/>
                <w:sz w:val="22"/>
                <w:lang w:val="da-DK"/>
              </w:rPr>
              <w:t>AUC: ↔</w:t>
            </w:r>
          </w:p>
          <w:p w14:paraId="2DBC1EA8" w14:textId="77777777" w:rsidR="00DB1C4E" w:rsidRPr="00EF0A4B" w:rsidRDefault="00DB1C4E">
            <w:pPr>
              <w:rPr>
                <w:rFonts w:ascii="Times New Roman" w:hAnsi="Times New Roman" w:cs="Times New Roman"/>
                <w:sz w:val="22"/>
                <w:lang w:val="da-DK"/>
              </w:rPr>
            </w:pPr>
            <w:r w:rsidRPr="00EF0A4B">
              <w:rPr>
                <w:rFonts w:ascii="Times New Roman" w:hAnsi="Times New Roman" w:cs="Times New Roman"/>
                <w:sz w:val="22"/>
                <w:lang w:val="da-DK"/>
              </w:rPr>
              <w:t>C</w:t>
            </w:r>
            <w:r w:rsidRPr="00EF0A4B">
              <w:rPr>
                <w:rFonts w:ascii="Times New Roman" w:hAnsi="Times New Roman" w:cs="Times New Roman"/>
                <w:sz w:val="22"/>
                <w:vertAlign w:val="subscript"/>
                <w:lang w:val="da-DK"/>
              </w:rPr>
              <w:t>max</w:t>
            </w:r>
            <w:r w:rsidRPr="00EF0A4B">
              <w:rPr>
                <w:rFonts w:ascii="Times New Roman" w:hAnsi="Times New Roman" w:cs="Times New Roman"/>
                <w:sz w:val="22"/>
                <w:lang w:val="da-DK"/>
              </w:rPr>
              <w:t>: ↔</w:t>
            </w:r>
          </w:p>
          <w:p w14:paraId="24F0D9FE" w14:textId="77777777" w:rsidR="00DB1C4E" w:rsidRPr="00EF0A4B" w:rsidRDefault="00DB1C4E">
            <w:pPr>
              <w:rPr>
                <w:rFonts w:ascii="Times New Roman" w:hAnsi="Times New Roman" w:cs="Times New Roman"/>
                <w:sz w:val="22"/>
                <w:lang w:val="da-DK"/>
              </w:rPr>
            </w:pPr>
            <w:r w:rsidRPr="00EF0A4B">
              <w:rPr>
                <w:rFonts w:ascii="Times New Roman" w:hAnsi="Times New Roman" w:cs="Times New Roman"/>
                <w:sz w:val="22"/>
                <w:lang w:val="da-DK"/>
              </w:rPr>
              <w:t>C</w:t>
            </w:r>
            <w:r w:rsidRPr="00EF0A4B">
              <w:rPr>
                <w:rFonts w:ascii="Times New Roman" w:hAnsi="Times New Roman" w:cs="Times New Roman"/>
                <w:sz w:val="22"/>
                <w:vertAlign w:val="subscript"/>
                <w:lang w:val="da-DK"/>
              </w:rPr>
              <w:t>min</w:t>
            </w:r>
            <w:r w:rsidRPr="00EF0A4B">
              <w:rPr>
                <w:rFonts w:ascii="Times New Roman" w:hAnsi="Times New Roman" w:cs="Times New Roman"/>
                <w:sz w:val="22"/>
                <w:lang w:val="da-DK"/>
              </w:rPr>
              <w:t>: ↔</w:t>
            </w:r>
          </w:p>
          <w:p w14:paraId="46E79946" w14:textId="77777777" w:rsidR="00DB1C4E" w:rsidRPr="00EF0A4B" w:rsidRDefault="00DB1C4E">
            <w:pPr>
              <w:rPr>
                <w:rFonts w:ascii="Times New Roman" w:hAnsi="Times New Roman" w:cs="Times New Roman"/>
                <w:sz w:val="22"/>
                <w:lang w:val="da-DK"/>
              </w:rPr>
            </w:pPr>
          </w:p>
          <w:p w14:paraId="3DEFEE84" w14:textId="77777777" w:rsidR="00DB1C4E" w:rsidRPr="00EF0A4B" w:rsidRDefault="00DB1C4E">
            <w:pPr>
              <w:rPr>
                <w:rFonts w:ascii="Times New Roman" w:hAnsi="Times New Roman" w:cs="Times New Roman"/>
                <w:sz w:val="22"/>
                <w:lang w:val="da-DK"/>
              </w:rPr>
            </w:pPr>
            <w:r w:rsidRPr="00EF0A4B">
              <w:rPr>
                <w:rFonts w:ascii="Times New Roman" w:hAnsi="Times New Roman" w:cs="Times New Roman"/>
                <w:sz w:val="22"/>
                <w:lang w:val="da-DK"/>
              </w:rPr>
              <w:t>Emtricitabin:</w:t>
            </w:r>
          </w:p>
          <w:p w14:paraId="389E20DC" w14:textId="77777777" w:rsidR="00DB1C4E" w:rsidRPr="00EF0A4B" w:rsidRDefault="00DB1C4E">
            <w:pPr>
              <w:rPr>
                <w:rFonts w:ascii="Times New Roman" w:hAnsi="Times New Roman" w:cs="Times New Roman"/>
                <w:sz w:val="22"/>
                <w:lang w:val="da-DK"/>
              </w:rPr>
            </w:pPr>
            <w:r w:rsidRPr="00EF0A4B">
              <w:rPr>
                <w:rFonts w:ascii="Times New Roman" w:hAnsi="Times New Roman" w:cs="Times New Roman"/>
                <w:sz w:val="22"/>
                <w:lang w:val="da-DK"/>
              </w:rPr>
              <w:t>AUC: ↔</w:t>
            </w:r>
          </w:p>
          <w:p w14:paraId="255F68C5" w14:textId="77777777" w:rsidR="00DB1C4E" w:rsidRPr="00EF0A4B" w:rsidRDefault="00DB1C4E">
            <w:pPr>
              <w:rPr>
                <w:rFonts w:ascii="Times New Roman" w:hAnsi="Times New Roman" w:cs="Times New Roman"/>
                <w:sz w:val="22"/>
                <w:lang w:val="da-DK"/>
              </w:rPr>
            </w:pPr>
            <w:r w:rsidRPr="00EF0A4B">
              <w:rPr>
                <w:rFonts w:ascii="Times New Roman" w:hAnsi="Times New Roman" w:cs="Times New Roman"/>
                <w:sz w:val="22"/>
                <w:lang w:val="da-DK"/>
              </w:rPr>
              <w:t>C</w:t>
            </w:r>
            <w:r w:rsidRPr="00EF0A4B">
              <w:rPr>
                <w:rFonts w:ascii="Times New Roman" w:hAnsi="Times New Roman" w:cs="Times New Roman"/>
                <w:sz w:val="22"/>
                <w:vertAlign w:val="subscript"/>
                <w:lang w:val="da-DK"/>
              </w:rPr>
              <w:t>max</w:t>
            </w:r>
            <w:r w:rsidRPr="00EF0A4B">
              <w:rPr>
                <w:rFonts w:ascii="Times New Roman" w:hAnsi="Times New Roman" w:cs="Times New Roman"/>
                <w:sz w:val="22"/>
                <w:lang w:val="da-DK"/>
              </w:rPr>
              <w:t>: ↔</w:t>
            </w:r>
          </w:p>
          <w:p w14:paraId="58432708" w14:textId="77777777" w:rsidR="00DB1C4E" w:rsidRPr="00202D86" w:rsidRDefault="00DB1C4E">
            <w:pPr>
              <w:rPr>
                <w:rFonts w:ascii="Times New Roman" w:hAnsi="Times New Roman" w:cs="Times New Roman"/>
                <w:sz w:val="22"/>
                <w:lang w:val="da-DK"/>
              </w:rPr>
            </w:pPr>
            <w:r w:rsidRPr="00202D86">
              <w:rPr>
                <w:rFonts w:ascii="Times New Roman" w:hAnsi="Times New Roman" w:cs="Times New Roman"/>
                <w:sz w:val="22"/>
                <w:lang w:val="da-DK"/>
              </w:rPr>
              <w:t>C</w:t>
            </w:r>
            <w:r w:rsidRPr="00202D86">
              <w:rPr>
                <w:rFonts w:ascii="Times New Roman" w:hAnsi="Times New Roman" w:cs="Times New Roman"/>
                <w:sz w:val="22"/>
                <w:vertAlign w:val="subscript"/>
                <w:lang w:val="da-DK"/>
              </w:rPr>
              <w:t>min</w:t>
            </w:r>
            <w:r w:rsidRPr="00202D86">
              <w:rPr>
                <w:rFonts w:ascii="Times New Roman" w:hAnsi="Times New Roman" w:cs="Times New Roman"/>
                <w:sz w:val="22"/>
                <w:lang w:val="da-DK"/>
              </w:rPr>
              <w:t>: ↔</w:t>
            </w:r>
          </w:p>
          <w:p w14:paraId="233D331A" w14:textId="77777777" w:rsidR="00DB1C4E" w:rsidRPr="00202D86" w:rsidRDefault="00DB1C4E">
            <w:pPr>
              <w:rPr>
                <w:rFonts w:ascii="Times New Roman" w:hAnsi="Times New Roman" w:cs="Times New Roman"/>
                <w:sz w:val="22"/>
                <w:lang w:val="da-DK"/>
              </w:rPr>
            </w:pPr>
          </w:p>
          <w:p w14:paraId="7DDE3413" w14:textId="46398F83" w:rsidR="00DB1C4E" w:rsidRPr="00202D86" w:rsidRDefault="00202D86">
            <w:pPr>
              <w:rPr>
                <w:rFonts w:ascii="Times New Roman" w:hAnsi="Times New Roman" w:cs="Times New Roman"/>
                <w:sz w:val="22"/>
                <w:lang w:val="da-DK"/>
              </w:rPr>
            </w:pPr>
            <w:r w:rsidRPr="00202D86">
              <w:rPr>
                <w:rFonts w:ascii="Times New Roman" w:hAnsi="Times New Roman" w:cs="Times New Roman"/>
                <w:sz w:val="22"/>
                <w:lang w:val="da-DK"/>
              </w:rPr>
              <w:t>Tenofovir alafenamid</w:t>
            </w:r>
            <w:r w:rsidR="00DB1C4E" w:rsidRPr="00202D86">
              <w:rPr>
                <w:rFonts w:ascii="Times New Roman" w:hAnsi="Times New Roman" w:cs="Times New Roman"/>
                <w:sz w:val="22"/>
                <w:lang w:val="da-DK"/>
              </w:rPr>
              <w:t>:</w:t>
            </w:r>
          </w:p>
          <w:p w14:paraId="5080AF9E" w14:textId="77777777" w:rsidR="00DB1C4E" w:rsidRPr="00202D86" w:rsidRDefault="00DB1C4E">
            <w:pPr>
              <w:rPr>
                <w:rFonts w:ascii="Times New Roman" w:hAnsi="Times New Roman" w:cs="Times New Roman"/>
                <w:sz w:val="22"/>
                <w:lang w:val="da-DK"/>
              </w:rPr>
            </w:pPr>
            <w:r w:rsidRPr="00202D86">
              <w:rPr>
                <w:rFonts w:ascii="Times New Roman" w:hAnsi="Times New Roman" w:cs="Times New Roman"/>
                <w:sz w:val="22"/>
                <w:lang w:val="da-DK"/>
              </w:rPr>
              <w:t>AUC: ↑ 32%</w:t>
            </w:r>
          </w:p>
          <w:p w14:paraId="73DE1DD5" w14:textId="77777777" w:rsidR="00DB1C4E" w:rsidRPr="00202D86" w:rsidRDefault="00DB1C4E">
            <w:pPr>
              <w:rPr>
                <w:rFonts w:ascii="Times New Roman" w:hAnsi="Times New Roman" w:cs="Times New Roman"/>
                <w:sz w:val="22"/>
                <w:lang w:val="da-DK"/>
              </w:rPr>
            </w:pPr>
            <w:r w:rsidRPr="00202D86">
              <w:rPr>
                <w:rFonts w:ascii="Times New Roman" w:hAnsi="Times New Roman" w:cs="Times New Roman"/>
                <w:sz w:val="22"/>
                <w:lang w:val="da-DK"/>
              </w:rPr>
              <w:t>C</w:t>
            </w:r>
            <w:r w:rsidRPr="00202D86">
              <w:rPr>
                <w:rFonts w:ascii="Times New Roman" w:hAnsi="Times New Roman" w:cs="Times New Roman"/>
                <w:sz w:val="22"/>
                <w:vertAlign w:val="subscript"/>
                <w:lang w:val="da-DK"/>
              </w:rPr>
              <w:t>max</w:t>
            </w:r>
            <w:r w:rsidRPr="00202D86">
              <w:rPr>
                <w:rFonts w:ascii="Times New Roman" w:hAnsi="Times New Roman" w:cs="Times New Roman"/>
                <w:sz w:val="22"/>
                <w:lang w:val="da-DK"/>
              </w:rPr>
              <w:t>: ↔</w:t>
            </w:r>
          </w:p>
        </w:tc>
        <w:tc>
          <w:tcPr>
            <w:tcW w:w="1644" w:type="pct"/>
            <w:tcBorders>
              <w:top w:val="single" w:sz="4" w:space="0" w:color="auto"/>
              <w:left w:val="single" w:sz="4" w:space="0" w:color="auto"/>
              <w:bottom w:val="single" w:sz="4" w:space="0" w:color="auto"/>
              <w:right w:val="single" w:sz="4" w:space="0" w:color="auto"/>
            </w:tcBorders>
            <w:hideMark/>
          </w:tcPr>
          <w:p w14:paraId="2B2B61A0" w14:textId="32864B0B" w:rsidR="00DB1C4E" w:rsidRPr="00EF0A4B" w:rsidRDefault="00DB1C4E">
            <w:pPr>
              <w:rPr>
                <w:rFonts w:ascii="Times New Roman" w:hAnsi="Times New Roman" w:cs="Times New Roman"/>
                <w:sz w:val="22"/>
                <w:lang w:val="da-DK"/>
              </w:rPr>
            </w:pPr>
            <w:r w:rsidRPr="00EF0A4B">
              <w:rPr>
                <w:rFonts w:ascii="Times New Roman" w:hAnsi="Times New Roman" w:cs="Times New Roman"/>
                <w:sz w:val="22"/>
                <w:lang w:val="da-DK"/>
              </w:rPr>
              <w:t xml:space="preserve">Dosisjustering af ledipasvir eller sofosbuvir er ikke nødvendig. Dosering af Emtricitabine/Tenofovir alafenamide </w:t>
            </w:r>
            <w:r w:rsidR="008D5A42" w:rsidRPr="00EF0A4B">
              <w:rPr>
                <w:rFonts w:ascii="Times New Roman" w:hAnsi="Times New Roman" w:cs="Times New Roman"/>
                <w:sz w:val="22"/>
                <w:lang w:val="da-DK"/>
              </w:rPr>
              <w:t>"</w:t>
            </w:r>
            <w:r w:rsidRPr="00EF0A4B">
              <w:rPr>
                <w:rFonts w:ascii="Times New Roman" w:hAnsi="Times New Roman" w:cs="Times New Roman"/>
                <w:sz w:val="22"/>
                <w:lang w:val="da-DK"/>
              </w:rPr>
              <w:t>Zentiva</w:t>
            </w:r>
            <w:r w:rsidR="008D5A42" w:rsidRPr="00EF0A4B">
              <w:rPr>
                <w:rFonts w:ascii="Times New Roman" w:hAnsi="Times New Roman" w:cs="Times New Roman"/>
                <w:sz w:val="22"/>
                <w:lang w:val="da-DK"/>
              </w:rPr>
              <w:t>"</w:t>
            </w:r>
            <w:r w:rsidRPr="00EF0A4B">
              <w:rPr>
                <w:rFonts w:ascii="Times New Roman" w:hAnsi="Times New Roman" w:cs="Times New Roman"/>
                <w:sz w:val="22"/>
                <w:lang w:val="da-DK"/>
              </w:rPr>
              <w:t xml:space="preserve"> i henhold til den samtidige antiretrovirale behandling (se pkt. 4.2).</w:t>
            </w:r>
          </w:p>
        </w:tc>
      </w:tr>
      <w:tr w:rsidR="00DB1C4E" w:rsidRPr="00EF0A4B" w14:paraId="3028FF43" w14:textId="77777777" w:rsidTr="00132A6A">
        <w:trPr>
          <w:cantSplit/>
        </w:trPr>
        <w:tc>
          <w:tcPr>
            <w:tcW w:w="1776" w:type="pct"/>
            <w:tcBorders>
              <w:top w:val="single" w:sz="4" w:space="0" w:color="auto"/>
              <w:left w:val="single" w:sz="4" w:space="0" w:color="auto"/>
              <w:bottom w:val="single" w:sz="4" w:space="0" w:color="auto"/>
              <w:right w:val="single" w:sz="4" w:space="0" w:color="auto"/>
            </w:tcBorders>
            <w:hideMark/>
          </w:tcPr>
          <w:p w14:paraId="389F3044" w14:textId="1B4F1F5E" w:rsidR="00DB1C4E" w:rsidRPr="00EF0A4B" w:rsidRDefault="00DB1C4E">
            <w:pPr>
              <w:rPr>
                <w:rFonts w:ascii="Times New Roman" w:hAnsi="Times New Roman" w:cs="Times New Roman"/>
                <w:sz w:val="22"/>
                <w:lang w:val="da-DK"/>
              </w:rPr>
            </w:pPr>
            <w:r w:rsidRPr="00EF0A4B">
              <w:rPr>
                <w:rFonts w:ascii="Times New Roman" w:hAnsi="Times New Roman" w:cs="Times New Roman"/>
                <w:sz w:val="22"/>
                <w:lang w:val="da-DK"/>
              </w:rPr>
              <w:t xml:space="preserve">Sofosbuvir (400 mg én gang </w:t>
            </w:r>
            <w:proofErr w:type="gramStart"/>
            <w:r w:rsidRPr="00EF0A4B">
              <w:rPr>
                <w:rFonts w:ascii="Times New Roman" w:hAnsi="Times New Roman" w:cs="Times New Roman"/>
                <w:sz w:val="22"/>
                <w:lang w:val="da-DK"/>
              </w:rPr>
              <w:t>dagligt)/</w:t>
            </w:r>
            <w:proofErr w:type="gramEnd"/>
            <w:r w:rsidRPr="00EF0A4B">
              <w:rPr>
                <w:rFonts w:ascii="Times New Roman" w:hAnsi="Times New Roman" w:cs="Times New Roman"/>
                <w:sz w:val="22"/>
                <w:lang w:val="da-DK"/>
              </w:rPr>
              <w:t xml:space="preserve"> velpatasvir (100 mg én gang dagligt), emtricitabin (200 mg én gang dagligt)/ </w:t>
            </w:r>
            <w:r w:rsidR="00202D86">
              <w:rPr>
                <w:rFonts w:ascii="Times New Roman" w:hAnsi="Times New Roman" w:cs="Times New Roman"/>
                <w:sz w:val="22"/>
                <w:lang w:val="da-DK"/>
              </w:rPr>
              <w:t>tenofovir alafenamid</w:t>
            </w:r>
          </w:p>
          <w:p w14:paraId="4E0B7AFE" w14:textId="77777777" w:rsidR="00DB1C4E" w:rsidRPr="00EF0A4B" w:rsidRDefault="00DB1C4E">
            <w:pPr>
              <w:rPr>
                <w:rFonts w:ascii="Times New Roman" w:hAnsi="Times New Roman" w:cs="Times New Roman"/>
                <w:sz w:val="22"/>
              </w:rPr>
            </w:pPr>
            <w:r w:rsidRPr="00EF0A4B">
              <w:rPr>
                <w:rFonts w:ascii="Times New Roman" w:hAnsi="Times New Roman" w:cs="Times New Roman"/>
                <w:sz w:val="22"/>
              </w:rPr>
              <w:t>(10 mg én gang dagligt)</w:t>
            </w:r>
            <w:r w:rsidRPr="00EF0A4B">
              <w:rPr>
                <w:rFonts w:ascii="Times New Roman" w:hAnsi="Times New Roman" w:cs="Times New Roman"/>
                <w:sz w:val="22"/>
                <w:vertAlign w:val="superscript"/>
              </w:rPr>
              <w:t>3</w:t>
            </w:r>
          </w:p>
        </w:tc>
        <w:tc>
          <w:tcPr>
            <w:tcW w:w="1580" w:type="pct"/>
            <w:tcBorders>
              <w:top w:val="single" w:sz="4" w:space="0" w:color="auto"/>
              <w:left w:val="single" w:sz="4" w:space="0" w:color="auto"/>
              <w:bottom w:val="single" w:sz="4" w:space="0" w:color="auto"/>
              <w:right w:val="single" w:sz="4" w:space="0" w:color="auto"/>
            </w:tcBorders>
          </w:tcPr>
          <w:p w14:paraId="297A3765" w14:textId="77777777" w:rsidR="00DB1C4E" w:rsidRPr="00EF0A4B" w:rsidRDefault="00DB1C4E">
            <w:pPr>
              <w:rPr>
                <w:rFonts w:ascii="Times New Roman" w:hAnsi="Times New Roman" w:cs="Times New Roman"/>
                <w:sz w:val="22"/>
              </w:rPr>
            </w:pPr>
            <w:r w:rsidRPr="00EF0A4B">
              <w:rPr>
                <w:rFonts w:ascii="Times New Roman" w:hAnsi="Times New Roman" w:cs="Times New Roman"/>
                <w:sz w:val="22"/>
              </w:rPr>
              <w:t>Sofosbuvir:</w:t>
            </w:r>
          </w:p>
          <w:p w14:paraId="50ABDE5B" w14:textId="77777777" w:rsidR="00DB1C4E" w:rsidRPr="00EF0A4B" w:rsidRDefault="00DB1C4E">
            <w:pPr>
              <w:rPr>
                <w:rFonts w:ascii="Times New Roman" w:hAnsi="Times New Roman" w:cs="Times New Roman"/>
                <w:sz w:val="22"/>
              </w:rPr>
            </w:pPr>
            <w:r w:rsidRPr="00EF0A4B">
              <w:rPr>
                <w:rFonts w:ascii="Times New Roman" w:hAnsi="Times New Roman" w:cs="Times New Roman"/>
                <w:sz w:val="22"/>
              </w:rPr>
              <w:t>AUC: ↑ 37%</w:t>
            </w:r>
          </w:p>
          <w:p w14:paraId="6C7E1987" w14:textId="77777777" w:rsidR="00DB1C4E" w:rsidRPr="00EF0A4B" w:rsidRDefault="00DB1C4E">
            <w:pPr>
              <w:rPr>
                <w:rFonts w:ascii="Times New Roman" w:hAnsi="Times New Roman" w:cs="Times New Roman"/>
                <w:sz w:val="22"/>
              </w:rPr>
            </w:pPr>
            <w:r w:rsidRPr="00EF0A4B">
              <w:rPr>
                <w:rFonts w:ascii="Times New Roman" w:hAnsi="Times New Roman" w:cs="Times New Roman"/>
                <w:sz w:val="22"/>
              </w:rPr>
              <w:t>C</w:t>
            </w:r>
            <w:r w:rsidRPr="00EF0A4B">
              <w:rPr>
                <w:rFonts w:ascii="Times New Roman" w:hAnsi="Times New Roman" w:cs="Times New Roman"/>
                <w:sz w:val="22"/>
                <w:vertAlign w:val="subscript"/>
              </w:rPr>
              <w:t>max</w:t>
            </w:r>
            <w:r w:rsidRPr="00EF0A4B">
              <w:rPr>
                <w:rFonts w:ascii="Times New Roman" w:hAnsi="Times New Roman" w:cs="Times New Roman"/>
                <w:sz w:val="22"/>
              </w:rPr>
              <w:t>: ↔</w:t>
            </w:r>
          </w:p>
          <w:p w14:paraId="3CA65365" w14:textId="77777777" w:rsidR="00DB1C4E" w:rsidRPr="00EF0A4B" w:rsidRDefault="00DB1C4E">
            <w:pPr>
              <w:rPr>
                <w:rFonts w:ascii="Times New Roman" w:hAnsi="Times New Roman" w:cs="Times New Roman"/>
                <w:sz w:val="22"/>
              </w:rPr>
            </w:pPr>
          </w:p>
          <w:p w14:paraId="53DA0D33" w14:textId="77777777" w:rsidR="00DB1C4E" w:rsidRPr="00EF0A4B" w:rsidRDefault="00DB1C4E">
            <w:pPr>
              <w:rPr>
                <w:rFonts w:ascii="Times New Roman" w:hAnsi="Times New Roman" w:cs="Times New Roman"/>
                <w:sz w:val="22"/>
              </w:rPr>
            </w:pPr>
            <w:r w:rsidRPr="00EF0A4B">
              <w:rPr>
                <w:rFonts w:ascii="Times New Roman" w:hAnsi="Times New Roman" w:cs="Times New Roman"/>
                <w:sz w:val="22"/>
              </w:rPr>
              <w:t>Sofosbuvirmetabolit GS-331007:</w:t>
            </w:r>
          </w:p>
          <w:p w14:paraId="6F39509D" w14:textId="77777777" w:rsidR="00DB1C4E" w:rsidRPr="00EF0A4B" w:rsidRDefault="00DB1C4E">
            <w:pPr>
              <w:rPr>
                <w:rFonts w:ascii="Times New Roman" w:hAnsi="Times New Roman" w:cs="Times New Roman"/>
                <w:sz w:val="22"/>
              </w:rPr>
            </w:pPr>
            <w:r w:rsidRPr="00EF0A4B">
              <w:rPr>
                <w:rFonts w:ascii="Times New Roman" w:hAnsi="Times New Roman" w:cs="Times New Roman"/>
                <w:sz w:val="22"/>
              </w:rPr>
              <w:t>AUC: ↑ 48%</w:t>
            </w:r>
          </w:p>
          <w:p w14:paraId="04D6973E" w14:textId="77777777" w:rsidR="00DB1C4E" w:rsidRPr="00EF0A4B" w:rsidRDefault="00DB1C4E">
            <w:pPr>
              <w:rPr>
                <w:rFonts w:ascii="Times New Roman" w:hAnsi="Times New Roman" w:cs="Times New Roman"/>
                <w:sz w:val="22"/>
              </w:rPr>
            </w:pPr>
            <w:r w:rsidRPr="00EF0A4B">
              <w:rPr>
                <w:rFonts w:ascii="Times New Roman" w:hAnsi="Times New Roman" w:cs="Times New Roman"/>
                <w:sz w:val="22"/>
              </w:rPr>
              <w:t>C</w:t>
            </w:r>
            <w:r w:rsidRPr="00EF0A4B">
              <w:rPr>
                <w:rFonts w:ascii="Times New Roman" w:hAnsi="Times New Roman" w:cs="Times New Roman"/>
                <w:sz w:val="22"/>
                <w:vertAlign w:val="subscript"/>
              </w:rPr>
              <w:t>max</w:t>
            </w:r>
            <w:r w:rsidRPr="00EF0A4B">
              <w:rPr>
                <w:rFonts w:ascii="Times New Roman" w:hAnsi="Times New Roman" w:cs="Times New Roman"/>
                <w:sz w:val="22"/>
              </w:rPr>
              <w:t>: ↔</w:t>
            </w:r>
          </w:p>
          <w:p w14:paraId="3774D0E8" w14:textId="77777777" w:rsidR="00DB1C4E" w:rsidRPr="00EF0A4B" w:rsidRDefault="00DB1C4E">
            <w:pPr>
              <w:rPr>
                <w:rFonts w:ascii="Times New Roman" w:hAnsi="Times New Roman" w:cs="Times New Roman"/>
                <w:sz w:val="22"/>
              </w:rPr>
            </w:pPr>
            <w:r w:rsidRPr="00EF0A4B">
              <w:rPr>
                <w:rFonts w:ascii="Times New Roman" w:hAnsi="Times New Roman" w:cs="Times New Roman"/>
                <w:sz w:val="22"/>
              </w:rPr>
              <w:t>C</w:t>
            </w:r>
            <w:r w:rsidRPr="00EF0A4B">
              <w:rPr>
                <w:rFonts w:ascii="Times New Roman" w:hAnsi="Times New Roman" w:cs="Times New Roman"/>
                <w:sz w:val="22"/>
                <w:vertAlign w:val="subscript"/>
              </w:rPr>
              <w:t>min</w:t>
            </w:r>
            <w:r w:rsidRPr="00EF0A4B">
              <w:rPr>
                <w:rFonts w:ascii="Times New Roman" w:hAnsi="Times New Roman" w:cs="Times New Roman"/>
                <w:sz w:val="22"/>
              </w:rPr>
              <w:t>: ↑ 58%</w:t>
            </w:r>
          </w:p>
          <w:p w14:paraId="177F34A4" w14:textId="77777777" w:rsidR="00DB1C4E" w:rsidRPr="00EF0A4B" w:rsidRDefault="00DB1C4E">
            <w:pPr>
              <w:rPr>
                <w:rFonts w:ascii="Times New Roman" w:hAnsi="Times New Roman" w:cs="Times New Roman"/>
                <w:sz w:val="22"/>
              </w:rPr>
            </w:pPr>
          </w:p>
          <w:p w14:paraId="061341B0" w14:textId="77777777" w:rsidR="00DB1C4E" w:rsidRPr="00EF0A4B" w:rsidRDefault="00DB1C4E">
            <w:pPr>
              <w:rPr>
                <w:rFonts w:ascii="Times New Roman" w:hAnsi="Times New Roman" w:cs="Times New Roman"/>
                <w:sz w:val="22"/>
              </w:rPr>
            </w:pPr>
            <w:r w:rsidRPr="00EF0A4B">
              <w:rPr>
                <w:rFonts w:ascii="Times New Roman" w:hAnsi="Times New Roman" w:cs="Times New Roman"/>
                <w:sz w:val="22"/>
              </w:rPr>
              <w:t>Velpatasvir:</w:t>
            </w:r>
          </w:p>
          <w:p w14:paraId="2BCBA2B4" w14:textId="77777777" w:rsidR="00DB1C4E" w:rsidRPr="00EF0A4B" w:rsidRDefault="00DB1C4E">
            <w:pPr>
              <w:rPr>
                <w:rFonts w:ascii="Times New Roman" w:hAnsi="Times New Roman" w:cs="Times New Roman"/>
                <w:sz w:val="22"/>
              </w:rPr>
            </w:pPr>
            <w:r w:rsidRPr="00EF0A4B">
              <w:rPr>
                <w:rFonts w:ascii="Times New Roman" w:hAnsi="Times New Roman" w:cs="Times New Roman"/>
                <w:sz w:val="22"/>
              </w:rPr>
              <w:t>AUC: ↑ 50%</w:t>
            </w:r>
          </w:p>
          <w:p w14:paraId="3E2D9BD9" w14:textId="77777777" w:rsidR="00DB1C4E" w:rsidRPr="00EF0A4B" w:rsidRDefault="00DB1C4E">
            <w:pPr>
              <w:rPr>
                <w:rFonts w:ascii="Times New Roman" w:hAnsi="Times New Roman" w:cs="Times New Roman"/>
                <w:sz w:val="22"/>
              </w:rPr>
            </w:pPr>
            <w:r w:rsidRPr="00EF0A4B">
              <w:rPr>
                <w:rFonts w:ascii="Times New Roman" w:hAnsi="Times New Roman" w:cs="Times New Roman"/>
                <w:sz w:val="22"/>
              </w:rPr>
              <w:t>C</w:t>
            </w:r>
            <w:r w:rsidRPr="00EF0A4B">
              <w:rPr>
                <w:rFonts w:ascii="Times New Roman" w:hAnsi="Times New Roman" w:cs="Times New Roman"/>
                <w:sz w:val="22"/>
                <w:vertAlign w:val="subscript"/>
              </w:rPr>
              <w:t>max</w:t>
            </w:r>
            <w:r w:rsidRPr="00EF0A4B">
              <w:rPr>
                <w:rFonts w:ascii="Times New Roman" w:hAnsi="Times New Roman" w:cs="Times New Roman"/>
                <w:sz w:val="22"/>
              </w:rPr>
              <w:t>: ↑ 30%</w:t>
            </w:r>
          </w:p>
          <w:p w14:paraId="76C0A01B" w14:textId="77777777" w:rsidR="00DB1C4E" w:rsidRPr="00EF0A4B" w:rsidRDefault="00DB1C4E">
            <w:pPr>
              <w:rPr>
                <w:rFonts w:ascii="Times New Roman" w:hAnsi="Times New Roman" w:cs="Times New Roman"/>
                <w:sz w:val="22"/>
              </w:rPr>
            </w:pPr>
            <w:r w:rsidRPr="00EF0A4B">
              <w:rPr>
                <w:rFonts w:ascii="Times New Roman" w:hAnsi="Times New Roman" w:cs="Times New Roman"/>
                <w:sz w:val="22"/>
              </w:rPr>
              <w:t>C</w:t>
            </w:r>
            <w:r w:rsidRPr="00EF0A4B">
              <w:rPr>
                <w:rFonts w:ascii="Times New Roman" w:hAnsi="Times New Roman" w:cs="Times New Roman"/>
                <w:sz w:val="22"/>
                <w:vertAlign w:val="subscript"/>
              </w:rPr>
              <w:t>min</w:t>
            </w:r>
            <w:r w:rsidRPr="00EF0A4B">
              <w:rPr>
                <w:rFonts w:ascii="Times New Roman" w:hAnsi="Times New Roman" w:cs="Times New Roman"/>
                <w:sz w:val="22"/>
              </w:rPr>
              <w:t>: ↑ 60%</w:t>
            </w:r>
          </w:p>
          <w:p w14:paraId="56CB2890" w14:textId="77777777" w:rsidR="00DB1C4E" w:rsidRPr="00EF0A4B" w:rsidRDefault="00DB1C4E">
            <w:pPr>
              <w:rPr>
                <w:rFonts w:ascii="Times New Roman" w:hAnsi="Times New Roman" w:cs="Times New Roman"/>
                <w:sz w:val="22"/>
              </w:rPr>
            </w:pPr>
          </w:p>
          <w:p w14:paraId="4AE006C9" w14:textId="77777777" w:rsidR="00DB1C4E" w:rsidRPr="00EF0A4B" w:rsidRDefault="00DB1C4E">
            <w:pPr>
              <w:rPr>
                <w:rFonts w:ascii="Times New Roman" w:hAnsi="Times New Roman" w:cs="Times New Roman"/>
                <w:sz w:val="22"/>
              </w:rPr>
            </w:pPr>
            <w:r w:rsidRPr="00EF0A4B">
              <w:rPr>
                <w:rFonts w:ascii="Times New Roman" w:hAnsi="Times New Roman" w:cs="Times New Roman"/>
                <w:sz w:val="22"/>
              </w:rPr>
              <w:t>Emtricitabin:</w:t>
            </w:r>
          </w:p>
          <w:p w14:paraId="0F712B22" w14:textId="77777777" w:rsidR="00DB1C4E" w:rsidRPr="00EF0A4B" w:rsidRDefault="00DB1C4E">
            <w:pPr>
              <w:rPr>
                <w:rFonts w:ascii="Times New Roman" w:hAnsi="Times New Roman" w:cs="Times New Roman"/>
                <w:sz w:val="22"/>
              </w:rPr>
            </w:pPr>
            <w:r w:rsidRPr="00EF0A4B">
              <w:rPr>
                <w:rFonts w:ascii="Times New Roman" w:hAnsi="Times New Roman" w:cs="Times New Roman"/>
                <w:sz w:val="22"/>
              </w:rPr>
              <w:t>AUC: ↔</w:t>
            </w:r>
          </w:p>
          <w:p w14:paraId="0390703A" w14:textId="77777777" w:rsidR="00DB1C4E" w:rsidRPr="00EF0A4B" w:rsidRDefault="00DB1C4E">
            <w:pPr>
              <w:rPr>
                <w:rFonts w:ascii="Times New Roman" w:hAnsi="Times New Roman" w:cs="Times New Roman"/>
                <w:sz w:val="22"/>
              </w:rPr>
            </w:pPr>
            <w:r w:rsidRPr="00EF0A4B">
              <w:rPr>
                <w:rFonts w:ascii="Times New Roman" w:hAnsi="Times New Roman" w:cs="Times New Roman"/>
                <w:sz w:val="22"/>
              </w:rPr>
              <w:t>C</w:t>
            </w:r>
            <w:r w:rsidRPr="00EF0A4B">
              <w:rPr>
                <w:rFonts w:ascii="Times New Roman" w:hAnsi="Times New Roman" w:cs="Times New Roman"/>
                <w:sz w:val="22"/>
                <w:vertAlign w:val="subscript"/>
              </w:rPr>
              <w:t>max</w:t>
            </w:r>
            <w:r w:rsidRPr="00EF0A4B">
              <w:rPr>
                <w:rFonts w:ascii="Times New Roman" w:hAnsi="Times New Roman" w:cs="Times New Roman"/>
                <w:sz w:val="22"/>
              </w:rPr>
              <w:t>: ↔</w:t>
            </w:r>
          </w:p>
          <w:p w14:paraId="572E0F60" w14:textId="77777777" w:rsidR="00DB1C4E" w:rsidRPr="00EF0A4B" w:rsidRDefault="00DB1C4E">
            <w:pPr>
              <w:rPr>
                <w:rFonts w:ascii="Times New Roman" w:hAnsi="Times New Roman" w:cs="Times New Roman"/>
                <w:sz w:val="22"/>
              </w:rPr>
            </w:pPr>
            <w:r w:rsidRPr="00EF0A4B">
              <w:rPr>
                <w:rFonts w:ascii="Times New Roman" w:hAnsi="Times New Roman" w:cs="Times New Roman"/>
                <w:sz w:val="22"/>
              </w:rPr>
              <w:t>C</w:t>
            </w:r>
            <w:r w:rsidRPr="00EF0A4B">
              <w:rPr>
                <w:rFonts w:ascii="Times New Roman" w:hAnsi="Times New Roman" w:cs="Times New Roman"/>
                <w:sz w:val="22"/>
                <w:vertAlign w:val="subscript"/>
              </w:rPr>
              <w:t>min</w:t>
            </w:r>
            <w:r w:rsidRPr="00EF0A4B">
              <w:rPr>
                <w:rFonts w:ascii="Times New Roman" w:hAnsi="Times New Roman" w:cs="Times New Roman"/>
                <w:sz w:val="22"/>
              </w:rPr>
              <w:t>: ↔</w:t>
            </w:r>
          </w:p>
          <w:p w14:paraId="1D10B975" w14:textId="77777777" w:rsidR="00DB1C4E" w:rsidRPr="00EF0A4B" w:rsidRDefault="00DB1C4E">
            <w:pPr>
              <w:rPr>
                <w:rFonts w:ascii="Times New Roman" w:hAnsi="Times New Roman" w:cs="Times New Roman"/>
                <w:sz w:val="22"/>
              </w:rPr>
            </w:pPr>
          </w:p>
          <w:p w14:paraId="25A78058" w14:textId="6C44AA70" w:rsidR="00DB1C4E" w:rsidRPr="00EF0A4B" w:rsidRDefault="00202D86">
            <w:pPr>
              <w:rPr>
                <w:rFonts w:ascii="Times New Roman" w:hAnsi="Times New Roman" w:cs="Times New Roman"/>
                <w:sz w:val="22"/>
              </w:rPr>
            </w:pPr>
            <w:r>
              <w:rPr>
                <w:rFonts w:ascii="Times New Roman" w:hAnsi="Times New Roman" w:cs="Times New Roman"/>
                <w:sz w:val="22"/>
              </w:rPr>
              <w:t>Tenofovir alafenamid</w:t>
            </w:r>
            <w:r w:rsidR="00DB1C4E" w:rsidRPr="00EF0A4B">
              <w:rPr>
                <w:rFonts w:ascii="Times New Roman" w:hAnsi="Times New Roman" w:cs="Times New Roman"/>
                <w:sz w:val="22"/>
              </w:rPr>
              <w:t>:</w:t>
            </w:r>
          </w:p>
          <w:p w14:paraId="25F36458" w14:textId="77777777" w:rsidR="00DB1C4E" w:rsidRPr="00EF0A4B" w:rsidRDefault="00DB1C4E">
            <w:pPr>
              <w:rPr>
                <w:rFonts w:ascii="Times New Roman" w:hAnsi="Times New Roman" w:cs="Times New Roman"/>
                <w:sz w:val="22"/>
              </w:rPr>
            </w:pPr>
            <w:r w:rsidRPr="00EF0A4B">
              <w:rPr>
                <w:rFonts w:ascii="Times New Roman" w:hAnsi="Times New Roman" w:cs="Times New Roman"/>
                <w:sz w:val="22"/>
              </w:rPr>
              <w:t>AUC: ↔</w:t>
            </w:r>
          </w:p>
          <w:p w14:paraId="055D5C8A" w14:textId="77777777" w:rsidR="00DB1C4E" w:rsidRPr="00EF0A4B" w:rsidRDefault="00DB1C4E">
            <w:pPr>
              <w:rPr>
                <w:rFonts w:ascii="Times New Roman" w:hAnsi="Times New Roman" w:cs="Times New Roman"/>
                <w:sz w:val="22"/>
              </w:rPr>
            </w:pPr>
            <w:r w:rsidRPr="00EF0A4B">
              <w:rPr>
                <w:rFonts w:ascii="Times New Roman" w:hAnsi="Times New Roman" w:cs="Times New Roman"/>
                <w:sz w:val="22"/>
              </w:rPr>
              <w:t>C</w:t>
            </w:r>
            <w:r w:rsidRPr="00EF0A4B">
              <w:rPr>
                <w:rFonts w:ascii="Times New Roman" w:hAnsi="Times New Roman" w:cs="Times New Roman"/>
                <w:sz w:val="22"/>
                <w:vertAlign w:val="subscript"/>
              </w:rPr>
              <w:t>max</w:t>
            </w:r>
            <w:r w:rsidRPr="00EF0A4B">
              <w:rPr>
                <w:rFonts w:ascii="Times New Roman" w:hAnsi="Times New Roman" w:cs="Times New Roman"/>
                <w:sz w:val="22"/>
              </w:rPr>
              <w:t>: ↓ 20%</w:t>
            </w:r>
          </w:p>
        </w:tc>
        <w:tc>
          <w:tcPr>
            <w:tcW w:w="1644" w:type="pct"/>
            <w:tcBorders>
              <w:top w:val="single" w:sz="4" w:space="0" w:color="auto"/>
              <w:left w:val="single" w:sz="4" w:space="0" w:color="auto"/>
              <w:bottom w:val="single" w:sz="4" w:space="0" w:color="auto"/>
              <w:right w:val="single" w:sz="4" w:space="0" w:color="auto"/>
            </w:tcBorders>
            <w:hideMark/>
          </w:tcPr>
          <w:p w14:paraId="69B3C211" w14:textId="5AB67973" w:rsidR="00DB1C4E" w:rsidRPr="00EF0A4B" w:rsidRDefault="00DB1C4E">
            <w:pPr>
              <w:rPr>
                <w:rFonts w:ascii="Times New Roman" w:hAnsi="Times New Roman" w:cs="Times New Roman"/>
                <w:sz w:val="22"/>
                <w:lang w:val="da-DK"/>
              </w:rPr>
            </w:pPr>
            <w:r w:rsidRPr="00EF0A4B">
              <w:rPr>
                <w:rFonts w:ascii="Times New Roman" w:hAnsi="Times New Roman" w:cs="Times New Roman"/>
                <w:sz w:val="22"/>
                <w:lang w:val="da-DK"/>
              </w:rPr>
              <w:t xml:space="preserve">Dosisjustering af sofosbuvir, velpatasvir eller voxilaprevir er ikke nødvendig. Dosering af Emtricitabine/Tenofovir alafenamide </w:t>
            </w:r>
            <w:r w:rsidR="008D5A42" w:rsidRPr="00EF0A4B">
              <w:rPr>
                <w:rFonts w:ascii="Times New Roman" w:hAnsi="Times New Roman" w:cs="Times New Roman"/>
                <w:sz w:val="22"/>
                <w:lang w:val="da-DK"/>
              </w:rPr>
              <w:t>"</w:t>
            </w:r>
            <w:r w:rsidRPr="00EF0A4B">
              <w:rPr>
                <w:rFonts w:ascii="Times New Roman" w:hAnsi="Times New Roman" w:cs="Times New Roman"/>
                <w:sz w:val="22"/>
                <w:lang w:val="da-DK"/>
              </w:rPr>
              <w:t>Zentiva</w:t>
            </w:r>
            <w:r w:rsidR="008D5A42" w:rsidRPr="00EF0A4B">
              <w:rPr>
                <w:rFonts w:ascii="Times New Roman" w:hAnsi="Times New Roman" w:cs="Times New Roman"/>
                <w:sz w:val="22"/>
                <w:lang w:val="da-DK"/>
              </w:rPr>
              <w:t>"</w:t>
            </w:r>
            <w:r w:rsidRPr="00EF0A4B">
              <w:rPr>
                <w:rFonts w:ascii="Times New Roman" w:hAnsi="Times New Roman" w:cs="Times New Roman"/>
                <w:sz w:val="22"/>
                <w:lang w:val="da-DK"/>
              </w:rPr>
              <w:t xml:space="preserve"> i henhold til den samtidige antiretrovirale behandling (se pkt. 4.2).</w:t>
            </w:r>
          </w:p>
        </w:tc>
      </w:tr>
      <w:tr w:rsidR="00DB1C4E" w:rsidRPr="00EF0A4B" w14:paraId="4FFD57A6" w14:textId="77777777" w:rsidTr="00132A6A">
        <w:trPr>
          <w:cantSplit/>
        </w:trPr>
        <w:tc>
          <w:tcPr>
            <w:tcW w:w="1776" w:type="pct"/>
            <w:tcBorders>
              <w:top w:val="single" w:sz="4" w:space="0" w:color="auto"/>
              <w:left w:val="single" w:sz="4" w:space="0" w:color="auto"/>
              <w:bottom w:val="single" w:sz="4" w:space="0" w:color="auto"/>
              <w:right w:val="single" w:sz="4" w:space="0" w:color="auto"/>
            </w:tcBorders>
            <w:hideMark/>
          </w:tcPr>
          <w:p w14:paraId="2FD57533" w14:textId="77777777" w:rsidR="00DB1C4E" w:rsidRPr="00EF0A4B" w:rsidRDefault="00DB1C4E">
            <w:pPr>
              <w:rPr>
                <w:rFonts w:ascii="Times New Roman" w:hAnsi="Times New Roman" w:cs="Times New Roman"/>
                <w:sz w:val="22"/>
                <w:lang w:val="da-DK"/>
              </w:rPr>
            </w:pPr>
            <w:r w:rsidRPr="00EF0A4B">
              <w:rPr>
                <w:rFonts w:ascii="Times New Roman" w:hAnsi="Times New Roman" w:cs="Times New Roman"/>
                <w:sz w:val="22"/>
                <w:lang w:val="da-DK"/>
              </w:rPr>
              <w:lastRenderedPageBreak/>
              <w:t>Sofosbuvir/velpatasvir/</w:t>
            </w:r>
          </w:p>
          <w:p w14:paraId="2AFDE06C" w14:textId="77777777" w:rsidR="00DB1C4E" w:rsidRPr="00EF0A4B" w:rsidRDefault="00DB1C4E">
            <w:pPr>
              <w:rPr>
                <w:rFonts w:ascii="Times New Roman" w:hAnsi="Times New Roman" w:cs="Times New Roman"/>
                <w:sz w:val="22"/>
                <w:lang w:val="da-DK"/>
              </w:rPr>
            </w:pPr>
            <w:r w:rsidRPr="00EF0A4B">
              <w:rPr>
                <w:rFonts w:ascii="Times New Roman" w:hAnsi="Times New Roman" w:cs="Times New Roman"/>
                <w:sz w:val="22"/>
                <w:lang w:val="da-DK"/>
              </w:rPr>
              <w:t>voxilaprevir (400 mg/100 mg/</w:t>
            </w:r>
          </w:p>
          <w:p w14:paraId="6897603B" w14:textId="67D498C0" w:rsidR="00DB1C4E" w:rsidRPr="00EF0A4B" w:rsidRDefault="00DB1C4E">
            <w:pPr>
              <w:rPr>
                <w:rFonts w:ascii="Times New Roman" w:hAnsi="Times New Roman" w:cs="Times New Roman"/>
                <w:sz w:val="22"/>
                <w:lang w:val="da-DK"/>
              </w:rPr>
            </w:pPr>
            <w:r w:rsidRPr="00EF0A4B">
              <w:rPr>
                <w:rFonts w:ascii="Times New Roman" w:hAnsi="Times New Roman" w:cs="Times New Roman"/>
                <w:sz w:val="22"/>
                <w:lang w:val="da-DK"/>
              </w:rPr>
              <w:t>100 mg+100 mg én gang dagligt)</w:t>
            </w:r>
            <w:r w:rsidRPr="00EF0A4B">
              <w:rPr>
                <w:rFonts w:ascii="Times New Roman" w:hAnsi="Times New Roman" w:cs="Times New Roman"/>
                <w:sz w:val="22"/>
                <w:vertAlign w:val="superscript"/>
                <w:lang w:val="da-DK"/>
              </w:rPr>
              <w:t>7</w:t>
            </w:r>
            <w:r w:rsidRPr="00EF0A4B">
              <w:rPr>
                <w:rFonts w:ascii="Times New Roman" w:hAnsi="Times New Roman" w:cs="Times New Roman"/>
                <w:sz w:val="22"/>
                <w:lang w:val="da-DK"/>
              </w:rPr>
              <w:t xml:space="preserve">/emtricitabin (200 mg én gang </w:t>
            </w:r>
            <w:proofErr w:type="gramStart"/>
            <w:r w:rsidRPr="00EF0A4B">
              <w:rPr>
                <w:rFonts w:ascii="Times New Roman" w:hAnsi="Times New Roman" w:cs="Times New Roman"/>
                <w:sz w:val="22"/>
                <w:lang w:val="da-DK"/>
              </w:rPr>
              <w:t>dagligt)/</w:t>
            </w:r>
            <w:proofErr w:type="gramEnd"/>
            <w:r w:rsidRPr="00EF0A4B">
              <w:rPr>
                <w:rFonts w:ascii="Times New Roman" w:hAnsi="Times New Roman" w:cs="Times New Roman"/>
                <w:sz w:val="22"/>
                <w:lang w:val="da-DK"/>
              </w:rPr>
              <w:t xml:space="preserve"> </w:t>
            </w:r>
            <w:r w:rsidR="00202D86">
              <w:rPr>
                <w:rFonts w:ascii="Times New Roman" w:hAnsi="Times New Roman" w:cs="Times New Roman"/>
                <w:sz w:val="22"/>
                <w:lang w:val="da-DK"/>
              </w:rPr>
              <w:t>tenofovir alafenamid</w:t>
            </w:r>
            <w:r w:rsidRPr="00EF0A4B">
              <w:rPr>
                <w:rFonts w:ascii="Times New Roman" w:hAnsi="Times New Roman" w:cs="Times New Roman"/>
                <w:sz w:val="22"/>
                <w:lang w:val="da-DK"/>
              </w:rPr>
              <w:t xml:space="preserve"> (10 mg én gang dagligt)</w:t>
            </w:r>
            <w:r w:rsidRPr="00EF0A4B">
              <w:rPr>
                <w:rFonts w:ascii="Times New Roman" w:hAnsi="Times New Roman" w:cs="Times New Roman"/>
                <w:sz w:val="22"/>
                <w:vertAlign w:val="superscript"/>
                <w:lang w:val="da-DK"/>
              </w:rPr>
              <w:t>3</w:t>
            </w:r>
          </w:p>
        </w:tc>
        <w:tc>
          <w:tcPr>
            <w:tcW w:w="1580" w:type="pct"/>
            <w:tcBorders>
              <w:top w:val="single" w:sz="4" w:space="0" w:color="auto"/>
              <w:left w:val="single" w:sz="4" w:space="0" w:color="auto"/>
              <w:bottom w:val="single" w:sz="4" w:space="0" w:color="auto"/>
              <w:right w:val="single" w:sz="4" w:space="0" w:color="auto"/>
            </w:tcBorders>
          </w:tcPr>
          <w:p w14:paraId="12539ED6" w14:textId="77777777" w:rsidR="00DB1C4E" w:rsidRPr="00EF0A4B" w:rsidRDefault="00DB1C4E">
            <w:pPr>
              <w:rPr>
                <w:rFonts w:ascii="Times New Roman" w:hAnsi="Times New Roman" w:cs="Times New Roman"/>
                <w:sz w:val="22"/>
                <w:lang w:val="da-DK"/>
              </w:rPr>
            </w:pPr>
            <w:r w:rsidRPr="00EF0A4B">
              <w:rPr>
                <w:rFonts w:ascii="Times New Roman" w:hAnsi="Times New Roman" w:cs="Times New Roman"/>
                <w:sz w:val="22"/>
                <w:lang w:val="da-DK"/>
              </w:rPr>
              <w:t>Sofosbuvir:</w:t>
            </w:r>
          </w:p>
          <w:p w14:paraId="2D0144B2" w14:textId="77777777" w:rsidR="00DB1C4E" w:rsidRPr="00EF0A4B" w:rsidRDefault="00DB1C4E">
            <w:pPr>
              <w:rPr>
                <w:rFonts w:ascii="Times New Roman" w:hAnsi="Times New Roman" w:cs="Times New Roman"/>
                <w:sz w:val="22"/>
                <w:lang w:val="da-DK"/>
              </w:rPr>
            </w:pPr>
            <w:r w:rsidRPr="00EF0A4B">
              <w:rPr>
                <w:rFonts w:ascii="Times New Roman" w:hAnsi="Times New Roman" w:cs="Times New Roman"/>
                <w:sz w:val="22"/>
                <w:lang w:val="da-DK"/>
              </w:rPr>
              <w:t>AUC: ↔</w:t>
            </w:r>
          </w:p>
          <w:p w14:paraId="24B5290C" w14:textId="77777777" w:rsidR="00DB1C4E" w:rsidRPr="00EF0A4B" w:rsidRDefault="00DB1C4E">
            <w:pPr>
              <w:rPr>
                <w:rFonts w:ascii="Times New Roman" w:hAnsi="Times New Roman" w:cs="Times New Roman"/>
                <w:sz w:val="22"/>
                <w:lang w:val="da-DK"/>
              </w:rPr>
            </w:pPr>
            <w:r w:rsidRPr="00EF0A4B">
              <w:rPr>
                <w:rFonts w:ascii="Times New Roman" w:hAnsi="Times New Roman" w:cs="Times New Roman"/>
                <w:sz w:val="22"/>
                <w:lang w:val="da-DK"/>
              </w:rPr>
              <w:t>C</w:t>
            </w:r>
            <w:r w:rsidRPr="00EF0A4B">
              <w:rPr>
                <w:rFonts w:ascii="Times New Roman" w:hAnsi="Times New Roman" w:cs="Times New Roman"/>
                <w:sz w:val="22"/>
                <w:vertAlign w:val="subscript"/>
                <w:lang w:val="da-DK"/>
              </w:rPr>
              <w:t>max</w:t>
            </w:r>
            <w:r w:rsidRPr="00EF0A4B">
              <w:rPr>
                <w:rFonts w:ascii="Times New Roman" w:hAnsi="Times New Roman" w:cs="Times New Roman"/>
                <w:sz w:val="22"/>
                <w:lang w:val="da-DK"/>
              </w:rPr>
              <w:t>: ↑ 27%</w:t>
            </w:r>
          </w:p>
          <w:p w14:paraId="54F476AB" w14:textId="77777777" w:rsidR="00DB1C4E" w:rsidRPr="00EF0A4B" w:rsidRDefault="00DB1C4E">
            <w:pPr>
              <w:rPr>
                <w:rFonts w:ascii="Times New Roman" w:hAnsi="Times New Roman" w:cs="Times New Roman"/>
                <w:sz w:val="22"/>
                <w:lang w:val="da-DK"/>
              </w:rPr>
            </w:pPr>
          </w:p>
          <w:p w14:paraId="417958A2" w14:textId="77777777" w:rsidR="00DB1C4E" w:rsidRPr="00EF0A4B" w:rsidRDefault="00DB1C4E">
            <w:pPr>
              <w:rPr>
                <w:rFonts w:ascii="Times New Roman" w:hAnsi="Times New Roman" w:cs="Times New Roman"/>
                <w:sz w:val="22"/>
                <w:lang w:val="da-DK"/>
              </w:rPr>
            </w:pPr>
            <w:r w:rsidRPr="00EF0A4B">
              <w:rPr>
                <w:rFonts w:ascii="Times New Roman" w:hAnsi="Times New Roman" w:cs="Times New Roman"/>
                <w:sz w:val="22"/>
                <w:lang w:val="da-DK"/>
              </w:rPr>
              <w:t>Sofosbuvirmetabolit GS-331007:</w:t>
            </w:r>
          </w:p>
          <w:p w14:paraId="674A28DF" w14:textId="77777777" w:rsidR="00DB1C4E" w:rsidRPr="00EF0A4B" w:rsidRDefault="00DB1C4E">
            <w:pPr>
              <w:rPr>
                <w:rFonts w:ascii="Times New Roman" w:hAnsi="Times New Roman" w:cs="Times New Roman"/>
                <w:sz w:val="22"/>
                <w:lang w:val="da-DK"/>
              </w:rPr>
            </w:pPr>
            <w:r w:rsidRPr="00EF0A4B">
              <w:rPr>
                <w:rFonts w:ascii="Times New Roman" w:hAnsi="Times New Roman" w:cs="Times New Roman"/>
                <w:sz w:val="22"/>
                <w:lang w:val="da-DK"/>
              </w:rPr>
              <w:t>AUC: ↑ 43%</w:t>
            </w:r>
          </w:p>
          <w:p w14:paraId="230EF40A" w14:textId="77777777" w:rsidR="00DB1C4E" w:rsidRPr="00EF0A4B" w:rsidRDefault="00DB1C4E">
            <w:pPr>
              <w:rPr>
                <w:rFonts w:ascii="Times New Roman" w:hAnsi="Times New Roman" w:cs="Times New Roman"/>
                <w:sz w:val="22"/>
                <w:lang w:val="da-DK"/>
              </w:rPr>
            </w:pPr>
            <w:r w:rsidRPr="00EF0A4B">
              <w:rPr>
                <w:rFonts w:ascii="Times New Roman" w:hAnsi="Times New Roman" w:cs="Times New Roman"/>
                <w:sz w:val="22"/>
                <w:lang w:val="da-DK"/>
              </w:rPr>
              <w:t>C</w:t>
            </w:r>
            <w:r w:rsidRPr="00EF0A4B">
              <w:rPr>
                <w:rFonts w:ascii="Times New Roman" w:hAnsi="Times New Roman" w:cs="Times New Roman"/>
                <w:sz w:val="22"/>
                <w:vertAlign w:val="subscript"/>
                <w:lang w:val="da-DK"/>
              </w:rPr>
              <w:t>max</w:t>
            </w:r>
            <w:r w:rsidRPr="00EF0A4B">
              <w:rPr>
                <w:rFonts w:ascii="Times New Roman" w:hAnsi="Times New Roman" w:cs="Times New Roman"/>
                <w:sz w:val="22"/>
                <w:lang w:val="da-DK"/>
              </w:rPr>
              <w:t>: ↔</w:t>
            </w:r>
          </w:p>
          <w:p w14:paraId="0FB4F53C" w14:textId="77777777" w:rsidR="00DB1C4E" w:rsidRPr="00EF0A4B" w:rsidRDefault="00DB1C4E">
            <w:pPr>
              <w:rPr>
                <w:rFonts w:ascii="Times New Roman" w:hAnsi="Times New Roman" w:cs="Times New Roman"/>
                <w:sz w:val="22"/>
                <w:lang w:val="da-DK"/>
              </w:rPr>
            </w:pPr>
          </w:p>
          <w:p w14:paraId="2C30AADB" w14:textId="77777777" w:rsidR="00DB1C4E" w:rsidRPr="00EF0A4B" w:rsidRDefault="00DB1C4E">
            <w:pPr>
              <w:rPr>
                <w:rFonts w:ascii="Times New Roman" w:hAnsi="Times New Roman" w:cs="Times New Roman"/>
                <w:sz w:val="22"/>
                <w:lang w:val="da-DK"/>
              </w:rPr>
            </w:pPr>
            <w:r w:rsidRPr="00EF0A4B">
              <w:rPr>
                <w:rFonts w:ascii="Times New Roman" w:hAnsi="Times New Roman" w:cs="Times New Roman"/>
                <w:sz w:val="22"/>
                <w:lang w:val="da-DK"/>
              </w:rPr>
              <w:t>Velpatasvir:</w:t>
            </w:r>
          </w:p>
          <w:p w14:paraId="621765E7" w14:textId="77777777" w:rsidR="00DB1C4E" w:rsidRPr="00EF0A4B" w:rsidRDefault="00DB1C4E">
            <w:pPr>
              <w:rPr>
                <w:rFonts w:ascii="Times New Roman" w:hAnsi="Times New Roman" w:cs="Times New Roman"/>
                <w:sz w:val="22"/>
                <w:lang w:val="da-DK"/>
              </w:rPr>
            </w:pPr>
            <w:r w:rsidRPr="00EF0A4B">
              <w:rPr>
                <w:rFonts w:ascii="Times New Roman" w:hAnsi="Times New Roman" w:cs="Times New Roman"/>
                <w:sz w:val="22"/>
                <w:lang w:val="da-DK"/>
              </w:rPr>
              <w:t>AUC: ↔</w:t>
            </w:r>
          </w:p>
          <w:p w14:paraId="36AD40A9" w14:textId="77777777" w:rsidR="00DB1C4E" w:rsidRPr="00EF0A4B" w:rsidRDefault="00DB1C4E">
            <w:pPr>
              <w:rPr>
                <w:rFonts w:ascii="Times New Roman" w:hAnsi="Times New Roman" w:cs="Times New Roman"/>
                <w:sz w:val="22"/>
                <w:lang w:val="da-DK"/>
              </w:rPr>
            </w:pPr>
            <w:r w:rsidRPr="00EF0A4B">
              <w:rPr>
                <w:rFonts w:ascii="Times New Roman" w:hAnsi="Times New Roman" w:cs="Times New Roman"/>
                <w:sz w:val="22"/>
                <w:lang w:val="da-DK"/>
              </w:rPr>
              <w:t>C</w:t>
            </w:r>
            <w:r w:rsidRPr="00EF0A4B">
              <w:rPr>
                <w:rFonts w:ascii="Times New Roman" w:hAnsi="Times New Roman" w:cs="Times New Roman"/>
                <w:sz w:val="22"/>
                <w:vertAlign w:val="subscript"/>
                <w:lang w:val="da-DK"/>
              </w:rPr>
              <w:t>min</w:t>
            </w:r>
            <w:r w:rsidRPr="00EF0A4B">
              <w:rPr>
                <w:rFonts w:ascii="Times New Roman" w:hAnsi="Times New Roman" w:cs="Times New Roman"/>
                <w:sz w:val="22"/>
                <w:lang w:val="da-DK"/>
              </w:rPr>
              <w:t>: ↑ 46%</w:t>
            </w:r>
          </w:p>
          <w:p w14:paraId="2F9662E5" w14:textId="77777777" w:rsidR="00DB1C4E" w:rsidRPr="00EF0A4B" w:rsidRDefault="00DB1C4E">
            <w:pPr>
              <w:rPr>
                <w:rFonts w:ascii="Times New Roman" w:hAnsi="Times New Roman" w:cs="Times New Roman"/>
                <w:sz w:val="22"/>
                <w:lang w:val="da-DK"/>
              </w:rPr>
            </w:pPr>
            <w:r w:rsidRPr="00EF0A4B">
              <w:rPr>
                <w:rFonts w:ascii="Times New Roman" w:hAnsi="Times New Roman" w:cs="Times New Roman"/>
                <w:sz w:val="22"/>
                <w:lang w:val="da-DK"/>
              </w:rPr>
              <w:t>C</w:t>
            </w:r>
            <w:r w:rsidRPr="00EF0A4B">
              <w:rPr>
                <w:rFonts w:ascii="Times New Roman" w:hAnsi="Times New Roman" w:cs="Times New Roman"/>
                <w:sz w:val="22"/>
                <w:vertAlign w:val="subscript"/>
                <w:lang w:val="da-DK"/>
              </w:rPr>
              <w:t>max</w:t>
            </w:r>
            <w:r w:rsidRPr="00EF0A4B">
              <w:rPr>
                <w:rFonts w:ascii="Times New Roman" w:hAnsi="Times New Roman" w:cs="Times New Roman"/>
                <w:sz w:val="22"/>
                <w:lang w:val="da-DK"/>
              </w:rPr>
              <w:t>: ↔</w:t>
            </w:r>
          </w:p>
          <w:p w14:paraId="375CBA51" w14:textId="77777777" w:rsidR="00DB1C4E" w:rsidRPr="00EF0A4B" w:rsidRDefault="00DB1C4E">
            <w:pPr>
              <w:rPr>
                <w:rFonts w:ascii="Times New Roman" w:hAnsi="Times New Roman" w:cs="Times New Roman"/>
                <w:sz w:val="22"/>
                <w:lang w:val="da-DK"/>
              </w:rPr>
            </w:pPr>
          </w:p>
          <w:p w14:paraId="7B648812" w14:textId="77777777" w:rsidR="00DB1C4E" w:rsidRPr="00EF0A4B" w:rsidRDefault="00DB1C4E">
            <w:pPr>
              <w:rPr>
                <w:rFonts w:ascii="Times New Roman" w:hAnsi="Times New Roman" w:cs="Times New Roman"/>
                <w:sz w:val="22"/>
                <w:lang w:val="da-DK"/>
              </w:rPr>
            </w:pPr>
            <w:r w:rsidRPr="00EF0A4B">
              <w:rPr>
                <w:rFonts w:ascii="Times New Roman" w:hAnsi="Times New Roman" w:cs="Times New Roman"/>
                <w:sz w:val="22"/>
                <w:lang w:val="da-DK"/>
              </w:rPr>
              <w:t>Voxilaprevir:</w:t>
            </w:r>
          </w:p>
          <w:p w14:paraId="5AC501CA" w14:textId="77777777" w:rsidR="00DB1C4E" w:rsidRPr="00EF0A4B" w:rsidRDefault="00DB1C4E">
            <w:pPr>
              <w:rPr>
                <w:rFonts w:ascii="Times New Roman" w:hAnsi="Times New Roman" w:cs="Times New Roman"/>
                <w:sz w:val="22"/>
                <w:lang w:val="da-DK"/>
              </w:rPr>
            </w:pPr>
            <w:r w:rsidRPr="00EF0A4B">
              <w:rPr>
                <w:rFonts w:ascii="Times New Roman" w:hAnsi="Times New Roman" w:cs="Times New Roman"/>
                <w:sz w:val="22"/>
                <w:lang w:val="da-DK"/>
              </w:rPr>
              <w:t>AUC: ↑ 171%</w:t>
            </w:r>
          </w:p>
          <w:p w14:paraId="52E287E9" w14:textId="77777777" w:rsidR="00DB1C4E" w:rsidRPr="00EF0A4B" w:rsidRDefault="00DB1C4E">
            <w:pPr>
              <w:rPr>
                <w:rFonts w:ascii="Times New Roman" w:hAnsi="Times New Roman" w:cs="Times New Roman"/>
                <w:sz w:val="22"/>
                <w:lang w:val="da-DK"/>
              </w:rPr>
            </w:pPr>
            <w:r w:rsidRPr="00EF0A4B">
              <w:rPr>
                <w:rFonts w:ascii="Times New Roman" w:hAnsi="Times New Roman" w:cs="Times New Roman"/>
                <w:sz w:val="22"/>
                <w:lang w:val="da-DK"/>
              </w:rPr>
              <w:t>C</w:t>
            </w:r>
            <w:r w:rsidRPr="00EF0A4B">
              <w:rPr>
                <w:rFonts w:ascii="Times New Roman" w:hAnsi="Times New Roman" w:cs="Times New Roman"/>
                <w:sz w:val="22"/>
                <w:vertAlign w:val="subscript"/>
                <w:lang w:val="da-DK"/>
              </w:rPr>
              <w:t>min</w:t>
            </w:r>
            <w:r w:rsidRPr="00EF0A4B">
              <w:rPr>
                <w:rFonts w:ascii="Times New Roman" w:hAnsi="Times New Roman" w:cs="Times New Roman"/>
                <w:sz w:val="22"/>
                <w:lang w:val="da-DK"/>
              </w:rPr>
              <w:t>: ↑ 350%</w:t>
            </w:r>
          </w:p>
          <w:p w14:paraId="5784D434" w14:textId="77777777" w:rsidR="00DB1C4E" w:rsidRPr="00EF0A4B" w:rsidRDefault="00DB1C4E">
            <w:pPr>
              <w:rPr>
                <w:rFonts w:ascii="Times New Roman" w:hAnsi="Times New Roman" w:cs="Times New Roman"/>
                <w:sz w:val="22"/>
                <w:lang w:val="da-DK"/>
              </w:rPr>
            </w:pPr>
            <w:r w:rsidRPr="00EF0A4B">
              <w:rPr>
                <w:rFonts w:ascii="Times New Roman" w:hAnsi="Times New Roman" w:cs="Times New Roman"/>
                <w:sz w:val="22"/>
                <w:lang w:val="da-DK"/>
              </w:rPr>
              <w:t>C</w:t>
            </w:r>
            <w:r w:rsidRPr="00EF0A4B">
              <w:rPr>
                <w:rFonts w:ascii="Times New Roman" w:hAnsi="Times New Roman" w:cs="Times New Roman"/>
                <w:sz w:val="22"/>
                <w:vertAlign w:val="subscript"/>
                <w:lang w:val="da-DK"/>
              </w:rPr>
              <w:t>max</w:t>
            </w:r>
            <w:r w:rsidRPr="00EF0A4B">
              <w:rPr>
                <w:rFonts w:ascii="Times New Roman" w:hAnsi="Times New Roman" w:cs="Times New Roman"/>
                <w:sz w:val="22"/>
                <w:lang w:val="da-DK"/>
              </w:rPr>
              <w:t>: ↑ 92%</w:t>
            </w:r>
          </w:p>
          <w:p w14:paraId="1DCDB193" w14:textId="77777777" w:rsidR="00DB1C4E" w:rsidRPr="00EF0A4B" w:rsidRDefault="00DB1C4E">
            <w:pPr>
              <w:rPr>
                <w:rFonts w:ascii="Times New Roman" w:hAnsi="Times New Roman" w:cs="Times New Roman"/>
                <w:sz w:val="22"/>
                <w:lang w:val="da-DK"/>
              </w:rPr>
            </w:pPr>
          </w:p>
          <w:p w14:paraId="77221058" w14:textId="77777777" w:rsidR="00DB1C4E" w:rsidRPr="00EF0A4B" w:rsidRDefault="00DB1C4E">
            <w:pPr>
              <w:rPr>
                <w:rFonts w:ascii="Times New Roman" w:hAnsi="Times New Roman" w:cs="Times New Roman"/>
                <w:sz w:val="22"/>
                <w:lang w:val="da-DK"/>
              </w:rPr>
            </w:pPr>
            <w:r w:rsidRPr="00EF0A4B">
              <w:rPr>
                <w:rFonts w:ascii="Times New Roman" w:hAnsi="Times New Roman" w:cs="Times New Roman"/>
                <w:sz w:val="22"/>
                <w:lang w:val="da-DK"/>
              </w:rPr>
              <w:t>Emtricitabin:</w:t>
            </w:r>
          </w:p>
          <w:p w14:paraId="70D9E5CB" w14:textId="77777777" w:rsidR="00DB1C4E" w:rsidRPr="00EF0A4B" w:rsidRDefault="00DB1C4E">
            <w:pPr>
              <w:rPr>
                <w:rFonts w:ascii="Times New Roman" w:hAnsi="Times New Roman" w:cs="Times New Roman"/>
                <w:sz w:val="22"/>
                <w:lang w:val="da-DK"/>
              </w:rPr>
            </w:pPr>
            <w:r w:rsidRPr="00EF0A4B">
              <w:rPr>
                <w:rFonts w:ascii="Times New Roman" w:hAnsi="Times New Roman" w:cs="Times New Roman"/>
                <w:sz w:val="22"/>
                <w:lang w:val="da-DK"/>
              </w:rPr>
              <w:t>AUC: ↔</w:t>
            </w:r>
          </w:p>
          <w:p w14:paraId="72519740" w14:textId="77777777" w:rsidR="00DB1C4E" w:rsidRPr="00EF0A4B" w:rsidRDefault="00DB1C4E">
            <w:pPr>
              <w:rPr>
                <w:rFonts w:ascii="Times New Roman" w:hAnsi="Times New Roman" w:cs="Times New Roman"/>
                <w:sz w:val="22"/>
                <w:lang w:val="da-DK"/>
              </w:rPr>
            </w:pPr>
            <w:r w:rsidRPr="00EF0A4B">
              <w:rPr>
                <w:rFonts w:ascii="Times New Roman" w:hAnsi="Times New Roman" w:cs="Times New Roman"/>
                <w:sz w:val="22"/>
                <w:lang w:val="da-DK"/>
              </w:rPr>
              <w:t>C</w:t>
            </w:r>
            <w:r w:rsidRPr="00EF0A4B">
              <w:rPr>
                <w:rFonts w:ascii="Times New Roman" w:hAnsi="Times New Roman" w:cs="Times New Roman"/>
                <w:sz w:val="22"/>
                <w:vertAlign w:val="subscript"/>
                <w:lang w:val="da-DK"/>
              </w:rPr>
              <w:t>min</w:t>
            </w:r>
            <w:r w:rsidRPr="00EF0A4B">
              <w:rPr>
                <w:rFonts w:ascii="Times New Roman" w:hAnsi="Times New Roman" w:cs="Times New Roman"/>
                <w:sz w:val="22"/>
                <w:lang w:val="da-DK"/>
              </w:rPr>
              <w:t>: ↔</w:t>
            </w:r>
          </w:p>
          <w:p w14:paraId="3F2471DA" w14:textId="77777777" w:rsidR="00DB1C4E" w:rsidRPr="00EF0A4B" w:rsidRDefault="00DB1C4E">
            <w:pPr>
              <w:rPr>
                <w:rFonts w:ascii="Times New Roman" w:hAnsi="Times New Roman" w:cs="Times New Roman"/>
                <w:sz w:val="22"/>
                <w:lang w:val="da-DK"/>
              </w:rPr>
            </w:pPr>
            <w:r w:rsidRPr="00EF0A4B">
              <w:rPr>
                <w:rFonts w:ascii="Times New Roman" w:hAnsi="Times New Roman" w:cs="Times New Roman"/>
                <w:sz w:val="22"/>
                <w:lang w:val="da-DK"/>
              </w:rPr>
              <w:t>C</w:t>
            </w:r>
            <w:r w:rsidRPr="00EF0A4B">
              <w:rPr>
                <w:rFonts w:ascii="Times New Roman" w:hAnsi="Times New Roman" w:cs="Times New Roman"/>
                <w:sz w:val="22"/>
                <w:vertAlign w:val="subscript"/>
                <w:lang w:val="da-DK"/>
              </w:rPr>
              <w:t>max</w:t>
            </w:r>
            <w:r w:rsidRPr="00EF0A4B">
              <w:rPr>
                <w:rFonts w:ascii="Times New Roman" w:hAnsi="Times New Roman" w:cs="Times New Roman"/>
                <w:sz w:val="22"/>
                <w:lang w:val="da-DK"/>
              </w:rPr>
              <w:t>: ↔</w:t>
            </w:r>
          </w:p>
          <w:p w14:paraId="74309EEB" w14:textId="77777777" w:rsidR="00DB1C4E" w:rsidRPr="00EF0A4B" w:rsidRDefault="00DB1C4E">
            <w:pPr>
              <w:rPr>
                <w:rFonts w:ascii="Times New Roman" w:hAnsi="Times New Roman" w:cs="Times New Roman"/>
                <w:sz w:val="22"/>
                <w:lang w:val="da-DK"/>
              </w:rPr>
            </w:pPr>
          </w:p>
          <w:p w14:paraId="084D9EB3" w14:textId="0D9178E5" w:rsidR="00DB1C4E" w:rsidRPr="00EF0A4B" w:rsidRDefault="00202D86">
            <w:pPr>
              <w:rPr>
                <w:rFonts w:ascii="Times New Roman" w:hAnsi="Times New Roman" w:cs="Times New Roman"/>
                <w:sz w:val="22"/>
                <w:lang w:val="da-DK"/>
              </w:rPr>
            </w:pPr>
            <w:r>
              <w:rPr>
                <w:rFonts w:ascii="Times New Roman" w:hAnsi="Times New Roman" w:cs="Times New Roman"/>
                <w:sz w:val="22"/>
                <w:lang w:val="da-DK"/>
              </w:rPr>
              <w:t>Tenofovir alafenamid</w:t>
            </w:r>
            <w:r w:rsidR="00DB1C4E" w:rsidRPr="00EF0A4B">
              <w:rPr>
                <w:rFonts w:ascii="Times New Roman" w:hAnsi="Times New Roman" w:cs="Times New Roman"/>
                <w:sz w:val="22"/>
                <w:lang w:val="da-DK"/>
              </w:rPr>
              <w:t>:</w:t>
            </w:r>
          </w:p>
          <w:p w14:paraId="24CE0049" w14:textId="77777777" w:rsidR="00DB1C4E" w:rsidRPr="00EF0A4B" w:rsidRDefault="00DB1C4E">
            <w:pPr>
              <w:rPr>
                <w:rFonts w:ascii="Times New Roman" w:hAnsi="Times New Roman" w:cs="Times New Roman"/>
                <w:sz w:val="22"/>
              </w:rPr>
            </w:pPr>
            <w:r w:rsidRPr="00EF0A4B">
              <w:rPr>
                <w:rFonts w:ascii="Times New Roman" w:hAnsi="Times New Roman" w:cs="Times New Roman"/>
                <w:sz w:val="22"/>
              </w:rPr>
              <w:t>AUC: ↔</w:t>
            </w:r>
          </w:p>
          <w:p w14:paraId="0DEDC065" w14:textId="77777777" w:rsidR="00DB1C4E" w:rsidRPr="00EF0A4B" w:rsidRDefault="00DB1C4E">
            <w:pPr>
              <w:rPr>
                <w:rFonts w:ascii="Times New Roman" w:hAnsi="Times New Roman" w:cs="Times New Roman"/>
                <w:sz w:val="22"/>
              </w:rPr>
            </w:pPr>
            <w:r w:rsidRPr="00EF0A4B">
              <w:rPr>
                <w:rFonts w:ascii="Times New Roman" w:hAnsi="Times New Roman" w:cs="Times New Roman"/>
                <w:sz w:val="22"/>
              </w:rPr>
              <w:t>C</w:t>
            </w:r>
            <w:r w:rsidRPr="00EF0A4B">
              <w:rPr>
                <w:rFonts w:ascii="Times New Roman" w:hAnsi="Times New Roman" w:cs="Times New Roman"/>
                <w:sz w:val="22"/>
                <w:vertAlign w:val="subscript"/>
              </w:rPr>
              <w:t>max</w:t>
            </w:r>
            <w:r w:rsidRPr="00EF0A4B">
              <w:rPr>
                <w:rFonts w:ascii="Times New Roman" w:hAnsi="Times New Roman" w:cs="Times New Roman"/>
                <w:sz w:val="22"/>
              </w:rPr>
              <w:t>: ↓ 21%</w:t>
            </w:r>
          </w:p>
        </w:tc>
        <w:tc>
          <w:tcPr>
            <w:tcW w:w="1644" w:type="pct"/>
            <w:tcBorders>
              <w:top w:val="single" w:sz="4" w:space="0" w:color="auto"/>
              <w:left w:val="single" w:sz="4" w:space="0" w:color="auto"/>
              <w:bottom w:val="single" w:sz="4" w:space="0" w:color="auto"/>
              <w:right w:val="single" w:sz="4" w:space="0" w:color="auto"/>
            </w:tcBorders>
          </w:tcPr>
          <w:p w14:paraId="74FAAE4B" w14:textId="77777777" w:rsidR="00DB1C4E" w:rsidRPr="00EF0A4B" w:rsidRDefault="00DB1C4E">
            <w:pPr>
              <w:rPr>
                <w:rFonts w:ascii="Times New Roman" w:hAnsi="Times New Roman" w:cs="Times New Roman"/>
                <w:sz w:val="22"/>
              </w:rPr>
            </w:pPr>
          </w:p>
        </w:tc>
      </w:tr>
      <w:tr w:rsidR="00DB1C4E" w:rsidRPr="00EF0A4B" w14:paraId="39201EAA" w14:textId="77777777" w:rsidTr="00132A6A">
        <w:trPr>
          <w:cantSplit/>
        </w:trPr>
        <w:tc>
          <w:tcPr>
            <w:tcW w:w="1776" w:type="pct"/>
            <w:tcBorders>
              <w:top w:val="single" w:sz="4" w:space="0" w:color="auto"/>
              <w:left w:val="single" w:sz="4" w:space="0" w:color="auto"/>
              <w:bottom w:val="single" w:sz="4" w:space="0" w:color="auto"/>
              <w:right w:val="single" w:sz="4" w:space="0" w:color="auto"/>
            </w:tcBorders>
            <w:hideMark/>
          </w:tcPr>
          <w:p w14:paraId="4518646E" w14:textId="77777777" w:rsidR="00DB1C4E" w:rsidRPr="00EF0A4B" w:rsidRDefault="00DB1C4E">
            <w:pPr>
              <w:rPr>
                <w:rFonts w:ascii="Times New Roman" w:hAnsi="Times New Roman" w:cs="Times New Roman"/>
                <w:sz w:val="22"/>
                <w:lang w:val="da-DK"/>
              </w:rPr>
            </w:pPr>
            <w:r w:rsidRPr="00EF0A4B">
              <w:rPr>
                <w:rFonts w:ascii="Times New Roman" w:hAnsi="Times New Roman" w:cs="Times New Roman"/>
                <w:sz w:val="22"/>
                <w:lang w:val="da-DK"/>
              </w:rPr>
              <w:lastRenderedPageBreak/>
              <w:t>Sofosbuvir/velpatasvir/</w:t>
            </w:r>
          </w:p>
          <w:p w14:paraId="53D1A3BB" w14:textId="77777777" w:rsidR="00DB1C4E" w:rsidRPr="00EF0A4B" w:rsidRDefault="00DB1C4E">
            <w:pPr>
              <w:rPr>
                <w:rFonts w:ascii="Times New Roman" w:hAnsi="Times New Roman" w:cs="Times New Roman"/>
                <w:sz w:val="22"/>
                <w:lang w:val="da-DK"/>
              </w:rPr>
            </w:pPr>
            <w:r w:rsidRPr="00EF0A4B">
              <w:rPr>
                <w:rFonts w:ascii="Times New Roman" w:hAnsi="Times New Roman" w:cs="Times New Roman"/>
                <w:sz w:val="22"/>
                <w:lang w:val="da-DK"/>
              </w:rPr>
              <w:t xml:space="preserve">voxilaprevir (400 mg/100 mg/ </w:t>
            </w:r>
          </w:p>
          <w:p w14:paraId="2C83199F" w14:textId="0C2BEC14" w:rsidR="00DB1C4E" w:rsidRPr="00EF0A4B" w:rsidRDefault="00DB1C4E">
            <w:pPr>
              <w:rPr>
                <w:rFonts w:ascii="Times New Roman" w:hAnsi="Times New Roman" w:cs="Times New Roman"/>
                <w:sz w:val="22"/>
                <w:lang w:val="da-DK"/>
              </w:rPr>
            </w:pPr>
            <w:r w:rsidRPr="00EF0A4B">
              <w:rPr>
                <w:rFonts w:ascii="Times New Roman" w:hAnsi="Times New Roman" w:cs="Times New Roman"/>
                <w:sz w:val="22"/>
                <w:lang w:val="da-DK"/>
              </w:rPr>
              <w:t>100 mg+100 mg én gang dagligt)</w:t>
            </w:r>
            <w:r w:rsidRPr="00EF0A4B">
              <w:rPr>
                <w:rFonts w:ascii="Times New Roman" w:hAnsi="Times New Roman" w:cs="Times New Roman"/>
                <w:sz w:val="22"/>
                <w:vertAlign w:val="superscript"/>
                <w:lang w:val="da-DK"/>
              </w:rPr>
              <w:t>7</w:t>
            </w:r>
            <w:r w:rsidRPr="00EF0A4B">
              <w:rPr>
                <w:rFonts w:ascii="Times New Roman" w:hAnsi="Times New Roman" w:cs="Times New Roman"/>
                <w:sz w:val="22"/>
                <w:lang w:val="da-DK"/>
              </w:rPr>
              <w:t xml:space="preserve">/emtricitabin (200 mg én gang </w:t>
            </w:r>
            <w:proofErr w:type="gramStart"/>
            <w:r w:rsidRPr="00EF0A4B">
              <w:rPr>
                <w:rFonts w:ascii="Times New Roman" w:hAnsi="Times New Roman" w:cs="Times New Roman"/>
                <w:sz w:val="22"/>
                <w:lang w:val="da-DK"/>
              </w:rPr>
              <w:t>dagligt)/</w:t>
            </w:r>
            <w:proofErr w:type="gramEnd"/>
            <w:r w:rsidRPr="00EF0A4B">
              <w:rPr>
                <w:rFonts w:ascii="Times New Roman" w:hAnsi="Times New Roman" w:cs="Times New Roman"/>
                <w:sz w:val="22"/>
                <w:lang w:val="da-DK"/>
              </w:rPr>
              <w:t xml:space="preserve"> </w:t>
            </w:r>
            <w:r w:rsidR="00202D86">
              <w:rPr>
                <w:rFonts w:ascii="Times New Roman" w:hAnsi="Times New Roman" w:cs="Times New Roman"/>
                <w:sz w:val="22"/>
                <w:lang w:val="da-DK"/>
              </w:rPr>
              <w:t>tenofovir alafenamid</w:t>
            </w:r>
            <w:r w:rsidRPr="00EF0A4B">
              <w:rPr>
                <w:rFonts w:ascii="Times New Roman" w:hAnsi="Times New Roman" w:cs="Times New Roman"/>
                <w:sz w:val="22"/>
                <w:lang w:val="da-DK"/>
              </w:rPr>
              <w:t xml:space="preserve"> (25 mg én gang dagligt)</w:t>
            </w:r>
            <w:r w:rsidRPr="00EF0A4B">
              <w:rPr>
                <w:rFonts w:ascii="Times New Roman" w:hAnsi="Times New Roman" w:cs="Times New Roman"/>
                <w:sz w:val="22"/>
                <w:vertAlign w:val="superscript"/>
                <w:lang w:val="da-DK"/>
              </w:rPr>
              <w:t>4</w:t>
            </w:r>
          </w:p>
        </w:tc>
        <w:tc>
          <w:tcPr>
            <w:tcW w:w="1580" w:type="pct"/>
            <w:tcBorders>
              <w:top w:val="single" w:sz="4" w:space="0" w:color="auto"/>
              <w:left w:val="single" w:sz="4" w:space="0" w:color="auto"/>
              <w:bottom w:val="single" w:sz="4" w:space="0" w:color="auto"/>
              <w:right w:val="single" w:sz="4" w:space="0" w:color="auto"/>
            </w:tcBorders>
          </w:tcPr>
          <w:p w14:paraId="3C7AB6B0" w14:textId="77777777" w:rsidR="00DB1C4E" w:rsidRPr="00EF0A4B" w:rsidRDefault="00DB1C4E">
            <w:pPr>
              <w:rPr>
                <w:rFonts w:ascii="Times New Roman" w:hAnsi="Times New Roman" w:cs="Times New Roman"/>
                <w:sz w:val="22"/>
                <w:lang w:val="da-DK"/>
              </w:rPr>
            </w:pPr>
            <w:r w:rsidRPr="00EF0A4B">
              <w:rPr>
                <w:rFonts w:ascii="Times New Roman" w:hAnsi="Times New Roman" w:cs="Times New Roman"/>
                <w:sz w:val="22"/>
                <w:lang w:val="da-DK"/>
              </w:rPr>
              <w:t>Sofosbuvir:</w:t>
            </w:r>
          </w:p>
          <w:p w14:paraId="4ABF542E" w14:textId="77777777" w:rsidR="00DB1C4E" w:rsidRPr="00EF0A4B" w:rsidRDefault="00DB1C4E">
            <w:pPr>
              <w:rPr>
                <w:rFonts w:ascii="Times New Roman" w:hAnsi="Times New Roman" w:cs="Times New Roman"/>
                <w:sz w:val="22"/>
                <w:lang w:val="da-DK"/>
              </w:rPr>
            </w:pPr>
            <w:r w:rsidRPr="00EF0A4B">
              <w:rPr>
                <w:rFonts w:ascii="Times New Roman" w:hAnsi="Times New Roman" w:cs="Times New Roman"/>
                <w:sz w:val="22"/>
                <w:lang w:val="da-DK"/>
              </w:rPr>
              <w:t>AUC: ↔</w:t>
            </w:r>
          </w:p>
          <w:p w14:paraId="290D452D" w14:textId="77777777" w:rsidR="00DB1C4E" w:rsidRPr="00EF0A4B" w:rsidRDefault="00DB1C4E">
            <w:pPr>
              <w:rPr>
                <w:rFonts w:ascii="Times New Roman" w:hAnsi="Times New Roman" w:cs="Times New Roman"/>
                <w:sz w:val="22"/>
                <w:lang w:val="da-DK"/>
              </w:rPr>
            </w:pPr>
            <w:r w:rsidRPr="00EF0A4B">
              <w:rPr>
                <w:rFonts w:ascii="Times New Roman" w:hAnsi="Times New Roman" w:cs="Times New Roman"/>
                <w:sz w:val="22"/>
                <w:lang w:val="da-DK"/>
              </w:rPr>
              <w:t>C</w:t>
            </w:r>
            <w:r w:rsidRPr="00EF0A4B">
              <w:rPr>
                <w:rFonts w:ascii="Times New Roman" w:hAnsi="Times New Roman" w:cs="Times New Roman"/>
                <w:sz w:val="22"/>
                <w:vertAlign w:val="subscript"/>
                <w:lang w:val="da-DK"/>
              </w:rPr>
              <w:t>max</w:t>
            </w:r>
            <w:r w:rsidRPr="00EF0A4B">
              <w:rPr>
                <w:rFonts w:ascii="Times New Roman" w:hAnsi="Times New Roman" w:cs="Times New Roman"/>
                <w:sz w:val="22"/>
                <w:lang w:val="da-DK"/>
              </w:rPr>
              <w:t>: ↔</w:t>
            </w:r>
          </w:p>
          <w:p w14:paraId="7D23885D" w14:textId="77777777" w:rsidR="00DB1C4E" w:rsidRPr="00EF0A4B" w:rsidRDefault="00DB1C4E">
            <w:pPr>
              <w:rPr>
                <w:rFonts w:ascii="Times New Roman" w:hAnsi="Times New Roman" w:cs="Times New Roman"/>
                <w:sz w:val="22"/>
                <w:lang w:val="da-DK"/>
              </w:rPr>
            </w:pPr>
          </w:p>
          <w:p w14:paraId="573360C1" w14:textId="77777777" w:rsidR="00DB1C4E" w:rsidRPr="00EF0A4B" w:rsidRDefault="00DB1C4E">
            <w:pPr>
              <w:rPr>
                <w:rFonts w:ascii="Times New Roman" w:hAnsi="Times New Roman" w:cs="Times New Roman"/>
                <w:sz w:val="22"/>
                <w:lang w:val="da-DK"/>
              </w:rPr>
            </w:pPr>
            <w:r w:rsidRPr="00EF0A4B">
              <w:rPr>
                <w:rFonts w:ascii="Times New Roman" w:hAnsi="Times New Roman" w:cs="Times New Roman"/>
                <w:sz w:val="22"/>
                <w:lang w:val="da-DK"/>
              </w:rPr>
              <w:t>Sofosbuvirmetabolit GS-331007:</w:t>
            </w:r>
          </w:p>
          <w:p w14:paraId="6913A773" w14:textId="77777777" w:rsidR="00DB1C4E" w:rsidRPr="00EF0A4B" w:rsidRDefault="00DB1C4E">
            <w:pPr>
              <w:rPr>
                <w:rFonts w:ascii="Times New Roman" w:hAnsi="Times New Roman" w:cs="Times New Roman"/>
                <w:sz w:val="22"/>
                <w:lang w:val="da-DK"/>
              </w:rPr>
            </w:pPr>
            <w:r w:rsidRPr="00EF0A4B">
              <w:rPr>
                <w:rFonts w:ascii="Times New Roman" w:hAnsi="Times New Roman" w:cs="Times New Roman"/>
                <w:sz w:val="22"/>
                <w:lang w:val="da-DK"/>
              </w:rPr>
              <w:t>AUC: ↔</w:t>
            </w:r>
          </w:p>
          <w:p w14:paraId="320BD0BA" w14:textId="77777777" w:rsidR="00DB1C4E" w:rsidRPr="00EF0A4B" w:rsidRDefault="00DB1C4E">
            <w:pPr>
              <w:rPr>
                <w:rFonts w:ascii="Times New Roman" w:hAnsi="Times New Roman" w:cs="Times New Roman"/>
                <w:sz w:val="22"/>
                <w:lang w:val="da-DK"/>
              </w:rPr>
            </w:pPr>
            <w:r w:rsidRPr="00EF0A4B">
              <w:rPr>
                <w:rFonts w:ascii="Times New Roman" w:hAnsi="Times New Roman" w:cs="Times New Roman"/>
                <w:sz w:val="22"/>
                <w:lang w:val="da-DK"/>
              </w:rPr>
              <w:t>C</w:t>
            </w:r>
            <w:r w:rsidRPr="00EF0A4B">
              <w:rPr>
                <w:rFonts w:ascii="Times New Roman" w:hAnsi="Times New Roman" w:cs="Times New Roman"/>
                <w:sz w:val="22"/>
                <w:vertAlign w:val="subscript"/>
                <w:lang w:val="da-DK"/>
              </w:rPr>
              <w:t>min</w:t>
            </w:r>
            <w:r w:rsidRPr="00EF0A4B">
              <w:rPr>
                <w:rFonts w:ascii="Times New Roman" w:hAnsi="Times New Roman" w:cs="Times New Roman"/>
                <w:sz w:val="22"/>
                <w:lang w:val="da-DK"/>
              </w:rPr>
              <w:t>: ↔</w:t>
            </w:r>
          </w:p>
          <w:p w14:paraId="0A534345" w14:textId="77777777" w:rsidR="00DB1C4E" w:rsidRPr="00EF0A4B" w:rsidRDefault="00DB1C4E">
            <w:pPr>
              <w:rPr>
                <w:rFonts w:ascii="Times New Roman" w:hAnsi="Times New Roman" w:cs="Times New Roman"/>
                <w:sz w:val="22"/>
                <w:lang w:val="da-DK"/>
              </w:rPr>
            </w:pPr>
          </w:p>
          <w:p w14:paraId="37485D6C" w14:textId="77777777" w:rsidR="00DB1C4E" w:rsidRPr="00EF0A4B" w:rsidRDefault="00DB1C4E">
            <w:pPr>
              <w:rPr>
                <w:rFonts w:ascii="Times New Roman" w:hAnsi="Times New Roman" w:cs="Times New Roman"/>
                <w:sz w:val="22"/>
                <w:lang w:val="da-DK"/>
              </w:rPr>
            </w:pPr>
            <w:r w:rsidRPr="00EF0A4B">
              <w:rPr>
                <w:rFonts w:ascii="Times New Roman" w:hAnsi="Times New Roman" w:cs="Times New Roman"/>
                <w:sz w:val="22"/>
                <w:lang w:val="da-DK"/>
              </w:rPr>
              <w:t>Velpatasvir:</w:t>
            </w:r>
          </w:p>
          <w:p w14:paraId="6E34CA47" w14:textId="77777777" w:rsidR="00DB1C4E" w:rsidRPr="00EF0A4B" w:rsidRDefault="00DB1C4E">
            <w:pPr>
              <w:rPr>
                <w:rFonts w:ascii="Times New Roman" w:hAnsi="Times New Roman" w:cs="Times New Roman"/>
                <w:sz w:val="22"/>
                <w:lang w:val="da-DK"/>
              </w:rPr>
            </w:pPr>
            <w:r w:rsidRPr="00EF0A4B">
              <w:rPr>
                <w:rFonts w:ascii="Times New Roman" w:hAnsi="Times New Roman" w:cs="Times New Roman"/>
                <w:sz w:val="22"/>
                <w:lang w:val="da-DK"/>
              </w:rPr>
              <w:t>AUC: ↔</w:t>
            </w:r>
          </w:p>
          <w:p w14:paraId="7A410205" w14:textId="77777777" w:rsidR="00DB1C4E" w:rsidRPr="00EF0A4B" w:rsidRDefault="00DB1C4E">
            <w:pPr>
              <w:rPr>
                <w:rFonts w:ascii="Times New Roman" w:hAnsi="Times New Roman" w:cs="Times New Roman"/>
                <w:sz w:val="22"/>
                <w:lang w:val="da-DK"/>
              </w:rPr>
            </w:pPr>
            <w:r w:rsidRPr="00EF0A4B">
              <w:rPr>
                <w:rFonts w:ascii="Times New Roman" w:hAnsi="Times New Roman" w:cs="Times New Roman"/>
                <w:sz w:val="22"/>
                <w:lang w:val="da-DK"/>
              </w:rPr>
              <w:t>C</w:t>
            </w:r>
            <w:r w:rsidRPr="00EF0A4B">
              <w:rPr>
                <w:rFonts w:ascii="Times New Roman" w:hAnsi="Times New Roman" w:cs="Times New Roman"/>
                <w:sz w:val="22"/>
                <w:vertAlign w:val="subscript"/>
                <w:lang w:val="da-DK"/>
              </w:rPr>
              <w:t>min</w:t>
            </w:r>
            <w:r w:rsidRPr="00EF0A4B">
              <w:rPr>
                <w:rFonts w:ascii="Times New Roman" w:hAnsi="Times New Roman" w:cs="Times New Roman"/>
                <w:sz w:val="22"/>
                <w:lang w:val="da-DK"/>
              </w:rPr>
              <w:t>: ↔</w:t>
            </w:r>
          </w:p>
          <w:p w14:paraId="2AF78050" w14:textId="77777777" w:rsidR="00DB1C4E" w:rsidRPr="00EF0A4B" w:rsidRDefault="00DB1C4E">
            <w:pPr>
              <w:rPr>
                <w:rFonts w:ascii="Times New Roman" w:hAnsi="Times New Roman" w:cs="Times New Roman"/>
                <w:sz w:val="22"/>
                <w:lang w:val="da-DK"/>
              </w:rPr>
            </w:pPr>
            <w:r w:rsidRPr="00EF0A4B">
              <w:rPr>
                <w:rFonts w:ascii="Times New Roman" w:hAnsi="Times New Roman" w:cs="Times New Roman"/>
                <w:sz w:val="22"/>
                <w:lang w:val="da-DK"/>
              </w:rPr>
              <w:t>C</w:t>
            </w:r>
            <w:r w:rsidRPr="00EF0A4B">
              <w:rPr>
                <w:rFonts w:ascii="Times New Roman" w:hAnsi="Times New Roman" w:cs="Times New Roman"/>
                <w:sz w:val="22"/>
                <w:vertAlign w:val="subscript"/>
                <w:lang w:val="da-DK"/>
              </w:rPr>
              <w:t>max</w:t>
            </w:r>
            <w:r w:rsidRPr="00EF0A4B">
              <w:rPr>
                <w:rFonts w:ascii="Times New Roman" w:hAnsi="Times New Roman" w:cs="Times New Roman"/>
                <w:sz w:val="22"/>
                <w:lang w:val="da-DK"/>
              </w:rPr>
              <w:t>: ↔</w:t>
            </w:r>
          </w:p>
          <w:p w14:paraId="740258B2" w14:textId="77777777" w:rsidR="00DB1C4E" w:rsidRPr="00EF0A4B" w:rsidRDefault="00DB1C4E">
            <w:pPr>
              <w:rPr>
                <w:rFonts w:ascii="Times New Roman" w:hAnsi="Times New Roman" w:cs="Times New Roman"/>
                <w:sz w:val="22"/>
                <w:lang w:val="da-DK"/>
              </w:rPr>
            </w:pPr>
          </w:p>
          <w:p w14:paraId="1911AA7D" w14:textId="77777777" w:rsidR="00DB1C4E" w:rsidRPr="00EF0A4B" w:rsidRDefault="00DB1C4E">
            <w:pPr>
              <w:rPr>
                <w:rFonts w:ascii="Times New Roman" w:hAnsi="Times New Roman" w:cs="Times New Roman"/>
                <w:sz w:val="22"/>
                <w:lang w:val="da-DK"/>
              </w:rPr>
            </w:pPr>
            <w:r w:rsidRPr="00EF0A4B">
              <w:rPr>
                <w:rFonts w:ascii="Times New Roman" w:hAnsi="Times New Roman" w:cs="Times New Roman"/>
                <w:sz w:val="22"/>
                <w:lang w:val="da-DK"/>
              </w:rPr>
              <w:t>Voxilaprevir:</w:t>
            </w:r>
          </w:p>
          <w:p w14:paraId="55C640C5" w14:textId="77777777" w:rsidR="00DB1C4E" w:rsidRPr="00EF0A4B" w:rsidRDefault="00DB1C4E">
            <w:pPr>
              <w:rPr>
                <w:rFonts w:ascii="Times New Roman" w:hAnsi="Times New Roman" w:cs="Times New Roman"/>
                <w:sz w:val="22"/>
                <w:lang w:val="da-DK"/>
              </w:rPr>
            </w:pPr>
            <w:r w:rsidRPr="00EF0A4B">
              <w:rPr>
                <w:rFonts w:ascii="Times New Roman" w:hAnsi="Times New Roman" w:cs="Times New Roman"/>
                <w:sz w:val="22"/>
                <w:lang w:val="da-DK"/>
              </w:rPr>
              <w:t>AUC: ↔</w:t>
            </w:r>
          </w:p>
          <w:p w14:paraId="31AFAAB9" w14:textId="77777777" w:rsidR="00DB1C4E" w:rsidRPr="00EF0A4B" w:rsidRDefault="00DB1C4E">
            <w:pPr>
              <w:rPr>
                <w:rFonts w:ascii="Times New Roman" w:hAnsi="Times New Roman" w:cs="Times New Roman"/>
                <w:sz w:val="22"/>
                <w:lang w:val="da-DK"/>
              </w:rPr>
            </w:pPr>
            <w:r w:rsidRPr="00EF0A4B">
              <w:rPr>
                <w:rFonts w:ascii="Times New Roman" w:hAnsi="Times New Roman" w:cs="Times New Roman"/>
                <w:sz w:val="22"/>
                <w:lang w:val="da-DK"/>
              </w:rPr>
              <w:t>C</w:t>
            </w:r>
            <w:r w:rsidRPr="00EF0A4B">
              <w:rPr>
                <w:rFonts w:ascii="Times New Roman" w:hAnsi="Times New Roman" w:cs="Times New Roman"/>
                <w:sz w:val="22"/>
                <w:vertAlign w:val="subscript"/>
                <w:lang w:val="da-DK"/>
              </w:rPr>
              <w:t>min</w:t>
            </w:r>
            <w:r w:rsidRPr="00EF0A4B">
              <w:rPr>
                <w:rFonts w:ascii="Times New Roman" w:hAnsi="Times New Roman" w:cs="Times New Roman"/>
                <w:sz w:val="22"/>
                <w:lang w:val="da-DK"/>
              </w:rPr>
              <w:t>: ↔</w:t>
            </w:r>
          </w:p>
          <w:p w14:paraId="3B3536ED" w14:textId="77777777" w:rsidR="00DB1C4E" w:rsidRPr="00EF0A4B" w:rsidRDefault="00DB1C4E">
            <w:pPr>
              <w:rPr>
                <w:rFonts w:ascii="Times New Roman" w:hAnsi="Times New Roman" w:cs="Times New Roman"/>
                <w:sz w:val="22"/>
                <w:lang w:val="da-DK"/>
              </w:rPr>
            </w:pPr>
            <w:r w:rsidRPr="00EF0A4B">
              <w:rPr>
                <w:rFonts w:ascii="Times New Roman" w:hAnsi="Times New Roman" w:cs="Times New Roman"/>
                <w:sz w:val="22"/>
                <w:lang w:val="da-DK"/>
              </w:rPr>
              <w:t>C</w:t>
            </w:r>
            <w:r w:rsidRPr="00EF0A4B">
              <w:rPr>
                <w:rFonts w:ascii="Times New Roman" w:hAnsi="Times New Roman" w:cs="Times New Roman"/>
                <w:sz w:val="22"/>
                <w:vertAlign w:val="subscript"/>
                <w:lang w:val="da-DK"/>
              </w:rPr>
              <w:t>max</w:t>
            </w:r>
            <w:r w:rsidRPr="00EF0A4B">
              <w:rPr>
                <w:rFonts w:ascii="Times New Roman" w:hAnsi="Times New Roman" w:cs="Times New Roman"/>
                <w:sz w:val="22"/>
                <w:lang w:val="da-DK"/>
              </w:rPr>
              <w:t>: ↔</w:t>
            </w:r>
          </w:p>
          <w:p w14:paraId="0388F306" w14:textId="77777777" w:rsidR="00DB1C4E" w:rsidRPr="00EF0A4B" w:rsidRDefault="00DB1C4E">
            <w:pPr>
              <w:rPr>
                <w:rFonts w:ascii="Times New Roman" w:hAnsi="Times New Roman" w:cs="Times New Roman"/>
                <w:sz w:val="22"/>
                <w:lang w:val="da-DK"/>
              </w:rPr>
            </w:pPr>
          </w:p>
          <w:p w14:paraId="37DFE740" w14:textId="77777777" w:rsidR="00DB1C4E" w:rsidRPr="00EF0A4B" w:rsidRDefault="00DB1C4E">
            <w:pPr>
              <w:rPr>
                <w:rFonts w:ascii="Times New Roman" w:hAnsi="Times New Roman" w:cs="Times New Roman"/>
                <w:sz w:val="22"/>
                <w:lang w:val="da-DK"/>
              </w:rPr>
            </w:pPr>
            <w:r w:rsidRPr="00EF0A4B">
              <w:rPr>
                <w:rFonts w:ascii="Times New Roman" w:hAnsi="Times New Roman" w:cs="Times New Roman"/>
                <w:sz w:val="22"/>
                <w:lang w:val="da-DK"/>
              </w:rPr>
              <w:t>Emtricitabin:</w:t>
            </w:r>
          </w:p>
          <w:p w14:paraId="23B75353" w14:textId="77777777" w:rsidR="00DB1C4E" w:rsidRPr="00EF0A4B" w:rsidRDefault="00DB1C4E">
            <w:pPr>
              <w:rPr>
                <w:rFonts w:ascii="Times New Roman" w:hAnsi="Times New Roman" w:cs="Times New Roman"/>
                <w:sz w:val="22"/>
                <w:lang w:val="da-DK"/>
              </w:rPr>
            </w:pPr>
            <w:r w:rsidRPr="00EF0A4B">
              <w:rPr>
                <w:rFonts w:ascii="Times New Roman" w:hAnsi="Times New Roman" w:cs="Times New Roman"/>
                <w:sz w:val="22"/>
                <w:lang w:val="da-DK"/>
              </w:rPr>
              <w:t>AUC: ↔</w:t>
            </w:r>
          </w:p>
          <w:p w14:paraId="4B045F28" w14:textId="77777777" w:rsidR="00DB1C4E" w:rsidRPr="00EF0A4B" w:rsidRDefault="00DB1C4E">
            <w:pPr>
              <w:rPr>
                <w:rFonts w:ascii="Times New Roman" w:hAnsi="Times New Roman" w:cs="Times New Roman"/>
                <w:sz w:val="22"/>
                <w:lang w:val="da-DK"/>
              </w:rPr>
            </w:pPr>
            <w:r w:rsidRPr="00EF0A4B">
              <w:rPr>
                <w:rFonts w:ascii="Times New Roman" w:hAnsi="Times New Roman" w:cs="Times New Roman"/>
                <w:sz w:val="22"/>
                <w:lang w:val="da-DK"/>
              </w:rPr>
              <w:t>C</w:t>
            </w:r>
            <w:r w:rsidRPr="00EF0A4B">
              <w:rPr>
                <w:rFonts w:ascii="Times New Roman" w:hAnsi="Times New Roman" w:cs="Times New Roman"/>
                <w:sz w:val="22"/>
                <w:vertAlign w:val="subscript"/>
                <w:lang w:val="da-DK"/>
              </w:rPr>
              <w:t>min</w:t>
            </w:r>
            <w:r w:rsidRPr="00EF0A4B">
              <w:rPr>
                <w:rFonts w:ascii="Times New Roman" w:hAnsi="Times New Roman" w:cs="Times New Roman"/>
                <w:sz w:val="22"/>
                <w:lang w:val="da-DK"/>
              </w:rPr>
              <w:t>: ↔</w:t>
            </w:r>
          </w:p>
          <w:p w14:paraId="01C370BB" w14:textId="77777777" w:rsidR="00DB1C4E" w:rsidRPr="00EF0A4B" w:rsidRDefault="00DB1C4E">
            <w:pPr>
              <w:rPr>
                <w:rFonts w:ascii="Times New Roman" w:hAnsi="Times New Roman" w:cs="Times New Roman"/>
                <w:sz w:val="22"/>
                <w:lang w:val="da-DK"/>
              </w:rPr>
            </w:pPr>
            <w:r w:rsidRPr="00EF0A4B">
              <w:rPr>
                <w:rFonts w:ascii="Times New Roman" w:hAnsi="Times New Roman" w:cs="Times New Roman"/>
                <w:sz w:val="22"/>
                <w:lang w:val="da-DK"/>
              </w:rPr>
              <w:t>C</w:t>
            </w:r>
            <w:r w:rsidRPr="00EF0A4B">
              <w:rPr>
                <w:rFonts w:ascii="Times New Roman" w:hAnsi="Times New Roman" w:cs="Times New Roman"/>
                <w:sz w:val="22"/>
                <w:vertAlign w:val="subscript"/>
                <w:lang w:val="da-DK"/>
              </w:rPr>
              <w:t>max</w:t>
            </w:r>
            <w:r w:rsidRPr="00EF0A4B">
              <w:rPr>
                <w:rFonts w:ascii="Times New Roman" w:hAnsi="Times New Roman" w:cs="Times New Roman"/>
                <w:sz w:val="22"/>
                <w:lang w:val="da-DK"/>
              </w:rPr>
              <w:t>: ↔</w:t>
            </w:r>
          </w:p>
          <w:p w14:paraId="41C85853" w14:textId="77777777" w:rsidR="00DB1C4E" w:rsidRPr="00EF0A4B" w:rsidRDefault="00DB1C4E">
            <w:pPr>
              <w:rPr>
                <w:rFonts w:ascii="Times New Roman" w:hAnsi="Times New Roman" w:cs="Times New Roman"/>
                <w:sz w:val="22"/>
                <w:lang w:val="da-DK"/>
              </w:rPr>
            </w:pPr>
          </w:p>
          <w:p w14:paraId="3DF1504E" w14:textId="5590CEB8" w:rsidR="00DB1C4E" w:rsidRPr="00EF0A4B" w:rsidRDefault="00202D86">
            <w:pPr>
              <w:rPr>
                <w:rFonts w:ascii="Times New Roman" w:hAnsi="Times New Roman" w:cs="Times New Roman"/>
                <w:sz w:val="22"/>
                <w:lang w:val="da-DK"/>
              </w:rPr>
            </w:pPr>
            <w:r>
              <w:rPr>
                <w:rFonts w:ascii="Times New Roman" w:hAnsi="Times New Roman" w:cs="Times New Roman"/>
                <w:sz w:val="22"/>
                <w:lang w:val="da-DK"/>
              </w:rPr>
              <w:t>Tenofovir alafenamid</w:t>
            </w:r>
            <w:r w:rsidR="00DB1C4E" w:rsidRPr="00EF0A4B">
              <w:rPr>
                <w:rFonts w:ascii="Times New Roman" w:hAnsi="Times New Roman" w:cs="Times New Roman"/>
                <w:sz w:val="22"/>
                <w:lang w:val="da-DK"/>
              </w:rPr>
              <w:t>:</w:t>
            </w:r>
          </w:p>
          <w:p w14:paraId="6DA29D3F" w14:textId="77777777" w:rsidR="00DB1C4E" w:rsidRPr="00EF0A4B" w:rsidRDefault="00DB1C4E">
            <w:pPr>
              <w:rPr>
                <w:rFonts w:ascii="Times New Roman" w:hAnsi="Times New Roman" w:cs="Times New Roman"/>
                <w:sz w:val="22"/>
              </w:rPr>
            </w:pPr>
            <w:r w:rsidRPr="00EF0A4B">
              <w:rPr>
                <w:rFonts w:ascii="Times New Roman" w:hAnsi="Times New Roman" w:cs="Times New Roman"/>
                <w:sz w:val="22"/>
              </w:rPr>
              <w:t>AUC: ↑ 52%</w:t>
            </w:r>
          </w:p>
          <w:p w14:paraId="12775CB8" w14:textId="77777777" w:rsidR="00DB1C4E" w:rsidRPr="00EF0A4B" w:rsidRDefault="00DB1C4E">
            <w:pPr>
              <w:rPr>
                <w:rFonts w:ascii="Times New Roman" w:hAnsi="Times New Roman" w:cs="Times New Roman"/>
                <w:sz w:val="22"/>
              </w:rPr>
            </w:pPr>
            <w:r w:rsidRPr="00EF0A4B">
              <w:rPr>
                <w:rFonts w:ascii="Times New Roman" w:hAnsi="Times New Roman" w:cs="Times New Roman"/>
                <w:sz w:val="22"/>
              </w:rPr>
              <w:t>C</w:t>
            </w:r>
            <w:r w:rsidRPr="00EF0A4B">
              <w:rPr>
                <w:rFonts w:ascii="Times New Roman" w:hAnsi="Times New Roman" w:cs="Times New Roman"/>
                <w:sz w:val="22"/>
                <w:vertAlign w:val="subscript"/>
              </w:rPr>
              <w:t>max</w:t>
            </w:r>
            <w:r w:rsidRPr="00EF0A4B">
              <w:rPr>
                <w:rFonts w:ascii="Times New Roman" w:hAnsi="Times New Roman" w:cs="Times New Roman"/>
                <w:sz w:val="22"/>
              </w:rPr>
              <w:t>: ↑ 32%</w:t>
            </w:r>
          </w:p>
        </w:tc>
        <w:tc>
          <w:tcPr>
            <w:tcW w:w="1644" w:type="pct"/>
            <w:tcBorders>
              <w:top w:val="single" w:sz="4" w:space="0" w:color="auto"/>
              <w:left w:val="single" w:sz="4" w:space="0" w:color="auto"/>
              <w:bottom w:val="single" w:sz="4" w:space="0" w:color="auto"/>
              <w:right w:val="single" w:sz="4" w:space="0" w:color="auto"/>
            </w:tcBorders>
            <w:hideMark/>
          </w:tcPr>
          <w:p w14:paraId="082CC8CD" w14:textId="25904CA4" w:rsidR="00DB1C4E" w:rsidRPr="00EF0A4B" w:rsidRDefault="00DB1C4E">
            <w:pPr>
              <w:rPr>
                <w:rFonts w:ascii="Times New Roman" w:hAnsi="Times New Roman" w:cs="Times New Roman"/>
                <w:sz w:val="22"/>
                <w:lang w:val="da-DK"/>
              </w:rPr>
            </w:pPr>
            <w:r w:rsidRPr="00EF0A4B">
              <w:rPr>
                <w:rFonts w:ascii="Times New Roman" w:hAnsi="Times New Roman" w:cs="Times New Roman"/>
                <w:sz w:val="22"/>
                <w:lang w:val="da-DK"/>
              </w:rPr>
              <w:t xml:space="preserve">Dosisjustering af sofosbuvir, velpatasvir eller voxilaprevir er ikke nødvendig. Dosering af Emtricitabine/Tenofovir alafenamide </w:t>
            </w:r>
            <w:r w:rsidR="008D5A42" w:rsidRPr="00EF0A4B">
              <w:rPr>
                <w:rFonts w:ascii="Times New Roman" w:hAnsi="Times New Roman" w:cs="Times New Roman"/>
                <w:sz w:val="22"/>
                <w:lang w:val="da-DK"/>
              </w:rPr>
              <w:t>"</w:t>
            </w:r>
            <w:r w:rsidRPr="00EF0A4B">
              <w:rPr>
                <w:rFonts w:ascii="Times New Roman" w:hAnsi="Times New Roman" w:cs="Times New Roman"/>
                <w:sz w:val="22"/>
                <w:lang w:val="da-DK"/>
              </w:rPr>
              <w:t>Zentiva</w:t>
            </w:r>
            <w:r w:rsidR="008D5A42" w:rsidRPr="00EF0A4B">
              <w:rPr>
                <w:rFonts w:ascii="Times New Roman" w:hAnsi="Times New Roman" w:cs="Times New Roman"/>
                <w:sz w:val="22"/>
                <w:lang w:val="da-DK"/>
              </w:rPr>
              <w:t>"</w:t>
            </w:r>
            <w:r w:rsidRPr="00EF0A4B">
              <w:rPr>
                <w:rFonts w:ascii="Times New Roman" w:hAnsi="Times New Roman" w:cs="Times New Roman"/>
                <w:sz w:val="22"/>
                <w:lang w:val="da-DK"/>
              </w:rPr>
              <w:t xml:space="preserve"> i henhold til den samtidige antiretrovirale behandling (se pkt. 4.2).</w:t>
            </w:r>
          </w:p>
        </w:tc>
      </w:tr>
      <w:tr w:rsidR="00DB1C4E" w:rsidRPr="00EF0A4B" w14:paraId="1960C409" w14:textId="77777777" w:rsidTr="00132A6A">
        <w:trPr>
          <w:cantSplit/>
        </w:trPr>
        <w:tc>
          <w:tcPr>
            <w:tcW w:w="5000" w:type="pct"/>
            <w:gridSpan w:val="3"/>
            <w:tcBorders>
              <w:top w:val="single" w:sz="4" w:space="0" w:color="auto"/>
              <w:left w:val="single" w:sz="4" w:space="0" w:color="auto"/>
              <w:bottom w:val="single" w:sz="4" w:space="0" w:color="auto"/>
              <w:right w:val="single" w:sz="4" w:space="0" w:color="auto"/>
            </w:tcBorders>
            <w:hideMark/>
          </w:tcPr>
          <w:p w14:paraId="20453075" w14:textId="77777777" w:rsidR="00DB1C4E" w:rsidRPr="00EF0A4B" w:rsidRDefault="00DB1C4E">
            <w:pPr>
              <w:keepNext/>
              <w:widowControl/>
              <w:rPr>
                <w:rFonts w:ascii="Times New Roman" w:hAnsi="Times New Roman" w:cs="Times New Roman"/>
                <w:b/>
                <w:bCs/>
                <w:i/>
                <w:iCs/>
                <w:sz w:val="22"/>
              </w:rPr>
            </w:pPr>
            <w:r w:rsidRPr="00EF0A4B">
              <w:rPr>
                <w:rFonts w:ascii="Times New Roman" w:hAnsi="Times New Roman" w:cs="Times New Roman"/>
                <w:b/>
                <w:bCs/>
                <w:i/>
                <w:iCs/>
                <w:sz w:val="22"/>
              </w:rPr>
              <w:t>ANTIRETROVIRALE MIDLER</w:t>
            </w:r>
          </w:p>
        </w:tc>
      </w:tr>
      <w:tr w:rsidR="00DB1C4E" w:rsidRPr="00EF0A4B" w14:paraId="1F43AADA" w14:textId="77777777" w:rsidTr="00132A6A">
        <w:trPr>
          <w:cantSplit/>
        </w:trPr>
        <w:tc>
          <w:tcPr>
            <w:tcW w:w="5000" w:type="pct"/>
            <w:gridSpan w:val="3"/>
            <w:tcBorders>
              <w:top w:val="single" w:sz="4" w:space="0" w:color="auto"/>
              <w:left w:val="single" w:sz="4" w:space="0" w:color="auto"/>
              <w:bottom w:val="single" w:sz="4" w:space="0" w:color="auto"/>
              <w:right w:val="single" w:sz="4" w:space="0" w:color="auto"/>
            </w:tcBorders>
            <w:hideMark/>
          </w:tcPr>
          <w:p w14:paraId="304D4458" w14:textId="77777777" w:rsidR="00DB1C4E" w:rsidRPr="00EF0A4B" w:rsidRDefault="00DB1C4E">
            <w:pPr>
              <w:keepNext/>
              <w:widowControl/>
              <w:rPr>
                <w:rFonts w:ascii="Times New Roman" w:hAnsi="Times New Roman" w:cs="Times New Roman"/>
                <w:b/>
                <w:bCs/>
                <w:sz w:val="22"/>
              </w:rPr>
            </w:pPr>
            <w:r w:rsidRPr="00EF0A4B">
              <w:rPr>
                <w:rFonts w:ascii="Times New Roman" w:hAnsi="Times New Roman" w:cs="Times New Roman"/>
                <w:b/>
                <w:bCs/>
                <w:sz w:val="22"/>
              </w:rPr>
              <w:t>Hiv-proteasehæmmere</w:t>
            </w:r>
          </w:p>
        </w:tc>
      </w:tr>
      <w:tr w:rsidR="00DB1C4E" w:rsidRPr="00EF0A4B" w14:paraId="508CA409" w14:textId="77777777" w:rsidTr="00132A6A">
        <w:trPr>
          <w:cantSplit/>
        </w:trPr>
        <w:tc>
          <w:tcPr>
            <w:tcW w:w="1776" w:type="pct"/>
            <w:tcBorders>
              <w:top w:val="single" w:sz="4" w:space="0" w:color="auto"/>
              <w:left w:val="single" w:sz="4" w:space="0" w:color="auto"/>
              <w:bottom w:val="single" w:sz="4" w:space="0" w:color="auto"/>
              <w:right w:val="single" w:sz="4" w:space="0" w:color="auto"/>
            </w:tcBorders>
            <w:hideMark/>
          </w:tcPr>
          <w:p w14:paraId="01FE4098" w14:textId="41F9617F" w:rsidR="00DB1C4E" w:rsidRPr="00EF0A4B" w:rsidRDefault="00DB1C4E">
            <w:pPr>
              <w:keepNext/>
              <w:widowControl/>
              <w:rPr>
                <w:rFonts w:ascii="Times New Roman" w:hAnsi="Times New Roman" w:cs="Times New Roman"/>
                <w:sz w:val="22"/>
                <w:lang w:val="da-DK"/>
              </w:rPr>
            </w:pPr>
            <w:r w:rsidRPr="00EF0A4B">
              <w:rPr>
                <w:rFonts w:ascii="Times New Roman" w:hAnsi="Times New Roman" w:cs="Times New Roman"/>
                <w:sz w:val="22"/>
                <w:lang w:val="da-DK"/>
              </w:rPr>
              <w:t xml:space="preserve">Atazanavir/cobicistat </w:t>
            </w:r>
            <w:r w:rsidRPr="00EF0A4B">
              <w:rPr>
                <w:rFonts w:ascii="Times New Roman" w:hAnsi="Times New Roman" w:cs="Times New Roman"/>
                <w:sz w:val="22"/>
                <w:lang w:val="da-DK"/>
              </w:rPr>
              <w:br/>
              <w:t xml:space="preserve">(300 mg/150 mg én gang dagligt), </w:t>
            </w:r>
            <w:r w:rsidR="00202D86">
              <w:rPr>
                <w:rFonts w:ascii="Times New Roman" w:hAnsi="Times New Roman" w:cs="Times New Roman"/>
                <w:sz w:val="22"/>
                <w:lang w:val="da-DK"/>
              </w:rPr>
              <w:t>tenofovir alafenamid</w:t>
            </w:r>
            <w:r w:rsidRPr="00EF0A4B">
              <w:rPr>
                <w:rFonts w:ascii="Times New Roman" w:hAnsi="Times New Roman" w:cs="Times New Roman"/>
                <w:sz w:val="22"/>
                <w:lang w:val="da-DK"/>
              </w:rPr>
              <w:t xml:space="preserve"> </w:t>
            </w:r>
            <w:r w:rsidRPr="00EF0A4B">
              <w:rPr>
                <w:rFonts w:ascii="Times New Roman" w:hAnsi="Times New Roman" w:cs="Times New Roman"/>
                <w:sz w:val="22"/>
                <w:lang w:val="da-DK"/>
              </w:rPr>
              <w:br/>
              <w:t>(10 mg)</w:t>
            </w:r>
          </w:p>
        </w:tc>
        <w:tc>
          <w:tcPr>
            <w:tcW w:w="1580" w:type="pct"/>
            <w:tcBorders>
              <w:top w:val="single" w:sz="4" w:space="0" w:color="auto"/>
              <w:left w:val="single" w:sz="4" w:space="0" w:color="auto"/>
              <w:bottom w:val="single" w:sz="4" w:space="0" w:color="auto"/>
              <w:right w:val="single" w:sz="4" w:space="0" w:color="auto"/>
            </w:tcBorders>
          </w:tcPr>
          <w:p w14:paraId="1200C111" w14:textId="78DC56E5" w:rsidR="00DB1C4E" w:rsidRPr="00EF0A4B" w:rsidRDefault="00202D86">
            <w:pPr>
              <w:keepNext/>
              <w:widowControl/>
              <w:rPr>
                <w:rFonts w:ascii="Times New Roman" w:hAnsi="Times New Roman" w:cs="Times New Roman"/>
                <w:sz w:val="22"/>
                <w:lang w:val="da-DK"/>
              </w:rPr>
            </w:pPr>
            <w:r>
              <w:rPr>
                <w:rFonts w:ascii="Times New Roman" w:hAnsi="Times New Roman" w:cs="Times New Roman"/>
                <w:sz w:val="22"/>
                <w:lang w:val="da-DK"/>
              </w:rPr>
              <w:t>Tenofovir alafenamid</w:t>
            </w:r>
            <w:r w:rsidR="00DB1C4E" w:rsidRPr="00EF0A4B">
              <w:rPr>
                <w:rFonts w:ascii="Times New Roman" w:hAnsi="Times New Roman" w:cs="Times New Roman"/>
                <w:sz w:val="22"/>
                <w:lang w:val="da-DK"/>
              </w:rPr>
              <w:t>:</w:t>
            </w:r>
          </w:p>
          <w:p w14:paraId="41FB6559" w14:textId="77777777" w:rsidR="00DB1C4E" w:rsidRPr="00EF0A4B" w:rsidRDefault="00DB1C4E">
            <w:pPr>
              <w:keepNext/>
              <w:widowControl/>
              <w:rPr>
                <w:rFonts w:ascii="Times New Roman" w:hAnsi="Times New Roman" w:cs="Times New Roman"/>
                <w:sz w:val="22"/>
                <w:lang w:val="da-DK"/>
              </w:rPr>
            </w:pPr>
            <w:r w:rsidRPr="00EF0A4B">
              <w:rPr>
                <w:rFonts w:ascii="Times New Roman" w:hAnsi="Times New Roman" w:cs="Times New Roman"/>
                <w:sz w:val="22"/>
                <w:lang w:val="da-DK"/>
              </w:rPr>
              <w:t>AUC: ↑ 75%</w:t>
            </w:r>
          </w:p>
          <w:p w14:paraId="646BCC57" w14:textId="77777777" w:rsidR="00DB1C4E" w:rsidRPr="00EF0A4B" w:rsidRDefault="00DB1C4E">
            <w:pPr>
              <w:keepNext/>
              <w:widowControl/>
              <w:rPr>
                <w:rFonts w:ascii="Times New Roman" w:hAnsi="Times New Roman" w:cs="Times New Roman"/>
                <w:sz w:val="22"/>
                <w:lang w:val="da-DK"/>
              </w:rPr>
            </w:pPr>
            <w:r w:rsidRPr="00EF0A4B">
              <w:rPr>
                <w:rFonts w:ascii="Times New Roman" w:hAnsi="Times New Roman" w:cs="Times New Roman"/>
                <w:sz w:val="22"/>
                <w:lang w:val="da-DK"/>
              </w:rPr>
              <w:t>C</w:t>
            </w:r>
            <w:r w:rsidRPr="00EF0A4B">
              <w:rPr>
                <w:rFonts w:ascii="Times New Roman" w:hAnsi="Times New Roman" w:cs="Times New Roman"/>
                <w:sz w:val="22"/>
                <w:vertAlign w:val="subscript"/>
                <w:lang w:val="da-DK"/>
              </w:rPr>
              <w:t>max</w:t>
            </w:r>
            <w:r w:rsidRPr="00EF0A4B">
              <w:rPr>
                <w:rFonts w:ascii="Times New Roman" w:hAnsi="Times New Roman" w:cs="Times New Roman"/>
                <w:sz w:val="22"/>
                <w:lang w:val="da-DK"/>
              </w:rPr>
              <w:t>: ↑ 80%</w:t>
            </w:r>
          </w:p>
          <w:p w14:paraId="168B0A9D" w14:textId="77777777" w:rsidR="00DB1C4E" w:rsidRPr="00EF0A4B" w:rsidRDefault="00DB1C4E">
            <w:pPr>
              <w:keepNext/>
              <w:widowControl/>
              <w:rPr>
                <w:rFonts w:ascii="Times New Roman" w:hAnsi="Times New Roman" w:cs="Times New Roman"/>
                <w:sz w:val="22"/>
                <w:lang w:val="da-DK"/>
              </w:rPr>
            </w:pPr>
          </w:p>
          <w:p w14:paraId="6F22D6D0" w14:textId="77777777" w:rsidR="00DB1C4E" w:rsidRPr="00EF0A4B" w:rsidRDefault="00DB1C4E">
            <w:pPr>
              <w:keepNext/>
              <w:widowControl/>
              <w:rPr>
                <w:rFonts w:ascii="Times New Roman" w:hAnsi="Times New Roman" w:cs="Times New Roman"/>
                <w:sz w:val="22"/>
                <w:lang w:val="da-DK"/>
              </w:rPr>
            </w:pPr>
            <w:r w:rsidRPr="00EF0A4B">
              <w:rPr>
                <w:rFonts w:ascii="Times New Roman" w:hAnsi="Times New Roman" w:cs="Times New Roman"/>
                <w:sz w:val="22"/>
                <w:lang w:val="da-DK"/>
              </w:rPr>
              <w:t>Atazanavir:</w:t>
            </w:r>
          </w:p>
          <w:p w14:paraId="2697E918" w14:textId="77777777" w:rsidR="00DB1C4E" w:rsidRPr="00EF0A4B" w:rsidRDefault="00DB1C4E">
            <w:pPr>
              <w:keepNext/>
              <w:widowControl/>
              <w:rPr>
                <w:rFonts w:ascii="Times New Roman" w:hAnsi="Times New Roman" w:cs="Times New Roman"/>
                <w:sz w:val="22"/>
                <w:lang w:val="da-DK"/>
              </w:rPr>
            </w:pPr>
            <w:r w:rsidRPr="00EF0A4B">
              <w:rPr>
                <w:rFonts w:ascii="Times New Roman" w:hAnsi="Times New Roman" w:cs="Times New Roman"/>
                <w:sz w:val="22"/>
                <w:lang w:val="da-DK"/>
              </w:rPr>
              <w:t>AUC: ↔</w:t>
            </w:r>
          </w:p>
          <w:p w14:paraId="2CD5F731" w14:textId="77777777" w:rsidR="00DB1C4E" w:rsidRPr="00EF0A4B" w:rsidRDefault="00DB1C4E">
            <w:pPr>
              <w:keepNext/>
              <w:widowControl/>
              <w:rPr>
                <w:rFonts w:ascii="Times New Roman" w:hAnsi="Times New Roman" w:cs="Times New Roman"/>
                <w:sz w:val="22"/>
              </w:rPr>
            </w:pPr>
            <w:r w:rsidRPr="00EF0A4B">
              <w:rPr>
                <w:rFonts w:ascii="Times New Roman" w:hAnsi="Times New Roman" w:cs="Times New Roman"/>
                <w:sz w:val="22"/>
              </w:rPr>
              <w:t>C</w:t>
            </w:r>
            <w:r w:rsidRPr="00EF0A4B">
              <w:rPr>
                <w:rFonts w:ascii="Times New Roman" w:hAnsi="Times New Roman" w:cs="Times New Roman"/>
                <w:sz w:val="22"/>
                <w:vertAlign w:val="subscript"/>
              </w:rPr>
              <w:t>max</w:t>
            </w:r>
            <w:r w:rsidRPr="00EF0A4B">
              <w:rPr>
                <w:rFonts w:ascii="Times New Roman" w:hAnsi="Times New Roman" w:cs="Times New Roman"/>
                <w:sz w:val="22"/>
              </w:rPr>
              <w:t>: ↔</w:t>
            </w:r>
          </w:p>
          <w:p w14:paraId="2778D27E" w14:textId="77777777" w:rsidR="00DB1C4E" w:rsidRPr="00EF0A4B" w:rsidRDefault="00DB1C4E">
            <w:pPr>
              <w:keepNext/>
              <w:widowControl/>
              <w:rPr>
                <w:rFonts w:ascii="Times New Roman" w:hAnsi="Times New Roman" w:cs="Times New Roman"/>
                <w:sz w:val="22"/>
              </w:rPr>
            </w:pPr>
            <w:r w:rsidRPr="00EF0A4B">
              <w:rPr>
                <w:rFonts w:ascii="Times New Roman" w:hAnsi="Times New Roman" w:cs="Times New Roman"/>
                <w:sz w:val="22"/>
              </w:rPr>
              <w:t>C</w:t>
            </w:r>
            <w:r w:rsidRPr="00EF0A4B">
              <w:rPr>
                <w:rFonts w:ascii="Times New Roman" w:hAnsi="Times New Roman" w:cs="Times New Roman"/>
                <w:sz w:val="22"/>
                <w:vertAlign w:val="subscript"/>
              </w:rPr>
              <w:t>min</w:t>
            </w:r>
            <w:r w:rsidRPr="00EF0A4B">
              <w:rPr>
                <w:rFonts w:ascii="Times New Roman" w:hAnsi="Times New Roman" w:cs="Times New Roman"/>
                <w:sz w:val="22"/>
              </w:rPr>
              <w:t>: ↔</w:t>
            </w:r>
          </w:p>
        </w:tc>
        <w:tc>
          <w:tcPr>
            <w:tcW w:w="1644" w:type="pct"/>
            <w:tcBorders>
              <w:top w:val="single" w:sz="4" w:space="0" w:color="auto"/>
              <w:left w:val="single" w:sz="4" w:space="0" w:color="auto"/>
              <w:bottom w:val="single" w:sz="4" w:space="0" w:color="auto"/>
              <w:right w:val="single" w:sz="4" w:space="0" w:color="auto"/>
            </w:tcBorders>
            <w:hideMark/>
          </w:tcPr>
          <w:p w14:paraId="612FEE62" w14:textId="3AA260B9" w:rsidR="00DB1C4E" w:rsidRPr="00EF0A4B" w:rsidRDefault="00DB1C4E">
            <w:pPr>
              <w:keepNext/>
              <w:widowControl/>
              <w:rPr>
                <w:rFonts w:ascii="Times New Roman" w:hAnsi="Times New Roman" w:cs="Times New Roman"/>
                <w:sz w:val="22"/>
                <w:lang w:val="da-DK"/>
              </w:rPr>
            </w:pPr>
            <w:r w:rsidRPr="00EF0A4B">
              <w:rPr>
                <w:rFonts w:ascii="Times New Roman" w:hAnsi="Times New Roman" w:cs="Times New Roman"/>
                <w:sz w:val="22"/>
                <w:lang w:val="da-DK"/>
              </w:rPr>
              <w:t xml:space="preserve">Den anbefalede dosis af Emtricitabine/Tenofovir alafenamide </w:t>
            </w:r>
            <w:r w:rsidR="008D5A42" w:rsidRPr="00EF0A4B">
              <w:rPr>
                <w:rFonts w:ascii="Times New Roman" w:hAnsi="Times New Roman" w:cs="Times New Roman"/>
                <w:sz w:val="22"/>
                <w:lang w:val="da-DK"/>
              </w:rPr>
              <w:t>"</w:t>
            </w:r>
            <w:r w:rsidRPr="00EF0A4B">
              <w:rPr>
                <w:rFonts w:ascii="Times New Roman" w:hAnsi="Times New Roman" w:cs="Times New Roman"/>
                <w:sz w:val="22"/>
                <w:lang w:val="da-DK"/>
              </w:rPr>
              <w:t>Zentiva</w:t>
            </w:r>
            <w:r w:rsidR="008D5A42" w:rsidRPr="00EF0A4B">
              <w:rPr>
                <w:rFonts w:ascii="Times New Roman" w:hAnsi="Times New Roman" w:cs="Times New Roman"/>
                <w:sz w:val="22"/>
                <w:lang w:val="da-DK"/>
              </w:rPr>
              <w:t>"</w:t>
            </w:r>
            <w:r w:rsidRPr="00EF0A4B">
              <w:rPr>
                <w:rFonts w:ascii="Times New Roman" w:hAnsi="Times New Roman" w:cs="Times New Roman"/>
                <w:sz w:val="22"/>
                <w:lang w:val="da-DK"/>
              </w:rPr>
              <w:t xml:space="preserve"> er </w:t>
            </w:r>
          </w:p>
          <w:p w14:paraId="06D911CD" w14:textId="77777777" w:rsidR="00DB1C4E" w:rsidRPr="00EF0A4B" w:rsidRDefault="00DB1C4E">
            <w:pPr>
              <w:keepNext/>
              <w:widowControl/>
              <w:rPr>
                <w:rFonts w:ascii="Times New Roman" w:hAnsi="Times New Roman" w:cs="Times New Roman"/>
                <w:sz w:val="22"/>
              </w:rPr>
            </w:pPr>
            <w:r w:rsidRPr="00EF0A4B">
              <w:rPr>
                <w:rFonts w:ascii="Times New Roman" w:hAnsi="Times New Roman" w:cs="Times New Roman"/>
                <w:sz w:val="22"/>
              </w:rPr>
              <w:t>200/10 mg én gang dagligt.</w:t>
            </w:r>
          </w:p>
        </w:tc>
      </w:tr>
      <w:tr w:rsidR="00DB1C4E" w:rsidRPr="00EF0A4B" w14:paraId="0753A239" w14:textId="77777777" w:rsidTr="00132A6A">
        <w:trPr>
          <w:cantSplit/>
        </w:trPr>
        <w:tc>
          <w:tcPr>
            <w:tcW w:w="1776" w:type="pct"/>
            <w:tcBorders>
              <w:top w:val="single" w:sz="4" w:space="0" w:color="auto"/>
              <w:left w:val="single" w:sz="4" w:space="0" w:color="auto"/>
              <w:bottom w:val="single" w:sz="4" w:space="0" w:color="auto"/>
              <w:right w:val="single" w:sz="4" w:space="0" w:color="auto"/>
            </w:tcBorders>
            <w:hideMark/>
          </w:tcPr>
          <w:p w14:paraId="3E7DE0CF" w14:textId="3BA4C94E" w:rsidR="00DB1C4E" w:rsidRPr="00EF0A4B" w:rsidRDefault="00DB1C4E">
            <w:pPr>
              <w:rPr>
                <w:rFonts w:ascii="Times New Roman" w:hAnsi="Times New Roman" w:cs="Times New Roman"/>
                <w:sz w:val="22"/>
                <w:lang w:val="da-DK"/>
              </w:rPr>
            </w:pPr>
            <w:r w:rsidRPr="00EF0A4B">
              <w:rPr>
                <w:rFonts w:ascii="Times New Roman" w:hAnsi="Times New Roman" w:cs="Times New Roman"/>
                <w:sz w:val="22"/>
                <w:lang w:val="da-DK"/>
              </w:rPr>
              <w:t xml:space="preserve">Atazanavir/ritonavir (300/100 mg én gang dagligt), </w:t>
            </w:r>
            <w:r w:rsidR="00202D86">
              <w:rPr>
                <w:rFonts w:ascii="Times New Roman" w:hAnsi="Times New Roman" w:cs="Times New Roman"/>
                <w:sz w:val="22"/>
                <w:lang w:val="da-DK"/>
              </w:rPr>
              <w:t>tenofovir alafenamid</w:t>
            </w:r>
            <w:r w:rsidRPr="00EF0A4B">
              <w:rPr>
                <w:rFonts w:ascii="Times New Roman" w:hAnsi="Times New Roman" w:cs="Times New Roman"/>
                <w:sz w:val="22"/>
                <w:lang w:val="da-DK"/>
              </w:rPr>
              <w:t xml:space="preserve"> (10 mg)</w:t>
            </w:r>
          </w:p>
        </w:tc>
        <w:tc>
          <w:tcPr>
            <w:tcW w:w="1580" w:type="pct"/>
            <w:tcBorders>
              <w:top w:val="single" w:sz="4" w:space="0" w:color="auto"/>
              <w:left w:val="single" w:sz="4" w:space="0" w:color="auto"/>
              <w:bottom w:val="single" w:sz="4" w:space="0" w:color="auto"/>
              <w:right w:val="single" w:sz="4" w:space="0" w:color="auto"/>
            </w:tcBorders>
          </w:tcPr>
          <w:p w14:paraId="7E26427B" w14:textId="08F33D89" w:rsidR="00DB1C4E" w:rsidRPr="00EF0A4B" w:rsidRDefault="00202D86">
            <w:pPr>
              <w:rPr>
                <w:rFonts w:ascii="Times New Roman" w:hAnsi="Times New Roman" w:cs="Times New Roman"/>
                <w:sz w:val="22"/>
                <w:lang w:val="da-DK"/>
              </w:rPr>
            </w:pPr>
            <w:r>
              <w:rPr>
                <w:rFonts w:ascii="Times New Roman" w:hAnsi="Times New Roman" w:cs="Times New Roman"/>
                <w:sz w:val="22"/>
                <w:lang w:val="da-DK"/>
              </w:rPr>
              <w:t>Tenofovir alafenamid</w:t>
            </w:r>
            <w:r w:rsidR="00DB1C4E" w:rsidRPr="00EF0A4B">
              <w:rPr>
                <w:rFonts w:ascii="Times New Roman" w:hAnsi="Times New Roman" w:cs="Times New Roman"/>
                <w:sz w:val="22"/>
                <w:lang w:val="da-DK"/>
              </w:rPr>
              <w:t>:</w:t>
            </w:r>
          </w:p>
          <w:p w14:paraId="1CD16E5C" w14:textId="77777777" w:rsidR="00DB1C4E" w:rsidRPr="00EF0A4B" w:rsidRDefault="00DB1C4E">
            <w:pPr>
              <w:rPr>
                <w:rFonts w:ascii="Times New Roman" w:hAnsi="Times New Roman" w:cs="Times New Roman"/>
                <w:sz w:val="22"/>
                <w:lang w:val="da-DK"/>
              </w:rPr>
            </w:pPr>
            <w:r w:rsidRPr="00EF0A4B">
              <w:rPr>
                <w:rFonts w:ascii="Times New Roman" w:hAnsi="Times New Roman" w:cs="Times New Roman"/>
                <w:sz w:val="22"/>
                <w:lang w:val="da-DK"/>
              </w:rPr>
              <w:t>AUC: ↑ 91%</w:t>
            </w:r>
          </w:p>
          <w:p w14:paraId="298374B3" w14:textId="77777777" w:rsidR="00DB1C4E" w:rsidRPr="00EF0A4B" w:rsidRDefault="00DB1C4E">
            <w:pPr>
              <w:rPr>
                <w:rFonts w:ascii="Times New Roman" w:hAnsi="Times New Roman" w:cs="Times New Roman"/>
                <w:sz w:val="22"/>
                <w:lang w:val="da-DK"/>
              </w:rPr>
            </w:pPr>
            <w:r w:rsidRPr="00EF0A4B">
              <w:rPr>
                <w:rFonts w:ascii="Times New Roman" w:hAnsi="Times New Roman" w:cs="Times New Roman"/>
                <w:sz w:val="22"/>
                <w:lang w:val="da-DK"/>
              </w:rPr>
              <w:t>C</w:t>
            </w:r>
            <w:r w:rsidRPr="00EF0A4B">
              <w:rPr>
                <w:rFonts w:ascii="Times New Roman" w:hAnsi="Times New Roman" w:cs="Times New Roman"/>
                <w:sz w:val="22"/>
                <w:vertAlign w:val="subscript"/>
                <w:lang w:val="da-DK"/>
              </w:rPr>
              <w:t>max</w:t>
            </w:r>
            <w:r w:rsidRPr="00EF0A4B">
              <w:rPr>
                <w:rFonts w:ascii="Times New Roman" w:hAnsi="Times New Roman" w:cs="Times New Roman"/>
                <w:sz w:val="22"/>
                <w:lang w:val="da-DK"/>
              </w:rPr>
              <w:t>: ↑ 77%</w:t>
            </w:r>
          </w:p>
          <w:p w14:paraId="3320B020" w14:textId="77777777" w:rsidR="00DB1C4E" w:rsidRPr="00EF0A4B" w:rsidRDefault="00DB1C4E">
            <w:pPr>
              <w:rPr>
                <w:rFonts w:ascii="Times New Roman" w:hAnsi="Times New Roman" w:cs="Times New Roman"/>
                <w:sz w:val="22"/>
                <w:lang w:val="da-DK"/>
              </w:rPr>
            </w:pPr>
          </w:p>
          <w:p w14:paraId="08117ED7" w14:textId="77777777" w:rsidR="00DB1C4E" w:rsidRPr="00EF0A4B" w:rsidRDefault="00DB1C4E">
            <w:pPr>
              <w:rPr>
                <w:rFonts w:ascii="Times New Roman" w:hAnsi="Times New Roman" w:cs="Times New Roman"/>
                <w:sz w:val="22"/>
                <w:lang w:val="da-DK"/>
              </w:rPr>
            </w:pPr>
            <w:r w:rsidRPr="00EF0A4B">
              <w:rPr>
                <w:rFonts w:ascii="Times New Roman" w:hAnsi="Times New Roman" w:cs="Times New Roman"/>
                <w:sz w:val="22"/>
                <w:lang w:val="da-DK"/>
              </w:rPr>
              <w:t>Atazanavir:</w:t>
            </w:r>
          </w:p>
          <w:p w14:paraId="223BAEF6" w14:textId="77777777" w:rsidR="00DB1C4E" w:rsidRPr="00EF0A4B" w:rsidRDefault="00DB1C4E">
            <w:pPr>
              <w:rPr>
                <w:rFonts w:ascii="Times New Roman" w:hAnsi="Times New Roman" w:cs="Times New Roman"/>
                <w:sz w:val="22"/>
                <w:lang w:val="da-DK"/>
              </w:rPr>
            </w:pPr>
            <w:r w:rsidRPr="00EF0A4B">
              <w:rPr>
                <w:rFonts w:ascii="Times New Roman" w:hAnsi="Times New Roman" w:cs="Times New Roman"/>
                <w:sz w:val="22"/>
                <w:lang w:val="da-DK"/>
              </w:rPr>
              <w:t>AUC: ↔</w:t>
            </w:r>
          </w:p>
          <w:p w14:paraId="66B3D753" w14:textId="77777777" w:rsidR="00DB1C4E" w:rsidRPr="00EF0A4B" w:rsidRDefault="00DB1C4E">
            <w:pPr>
              <w:rPr>
                <w:rFonts w:ascii="Times New Roman" w:hAnsi="Times New Roman" w:cs="Times New Roman"/>
                <w:sz w:val="22"/>
              </w:rPr>
            </w:pPr>
            <w:r w:rsidRPr="00EF0A4B">
              <w:rPr>
                <w:rFonts w:ascii="Times New Roman" w:hAnsi="Times New Roman" w:cs="Times New Roman"/>
                <w:sz w:val="22"/>
              </w:rPr>
              <w:t>C</w:t>
            </w:r>
            <w:r w:rsidRPr="00EF0A4B">
              <w:rPr>
                <w:rFonts w:ascii="Times New Roman" w:hAnsi="Times New Roman" w:cs="Times New Roman"/>
                <w:sz w:val="22"/>
                <w:vertAlign w:val="subscript"/>
              </w:rPr>
              <w:t>max</w:t>
            </w:r>
            <w:r w:rsidRPr="00EF0A4B">
              <w:rPr>
                <w:rFonts w:ascii="Times New Roman" w:hAnsi="Times New Roman" w:cs="Times New Roman"/>
                <w:sz w:val="22"/>
              </w:rPr>
              <w:t>: ↔</w:t>
            </w:r>
          </w:p>
          <w:p w14:paraId="1C5881B1" w14:textId="77777777" w:rsidR="00DB1C4E" w:rsidRPr="00EF0A4B" w:rsidRDefault="00DB1C4E">
            <w:pPr>
              <w:rPr>
                <w:rFonts w:ascii="Times New Roman" w:hAnsi="Times New Roman" w:cs="Times New Roman"/>
                <w:sz w:val="22"/>
              </w:rPr>
            </w:pPr>
            <w:r w:rsidRPr="00EF0A4B">
              <w:rPr>
                <w:rFonts w:ascii="Times New Roman" w:hAnsi="Times New Roman" w:cs="Times New Roman"/>
                <w:sz w:val="22"/>
              </w:rPr>
              <w:t>C</w:t>
            </w:r>
            <w:r w:rsidRPr="00EF0A4B">
              <w:rPr>
                <w:rFonts w:ascii="Times New Roman" w:hAnsi="Times New Roman" w:cs="Times New Roman"/>
                <w:sz w:val="22"/>
                <w:vertAlign w:val="subscript"/>
              </w:rPr>
              <w:t>min</w:t>
            </w:r>
            <w:r w:rsidRPr="00EF0A4B">
              <w:rPr>
                <w:rFonts w:ascii="Times New Roman" w:hAnsi="Times New Roman" w:cs="Times New Roman"/>
                <w:sz w:val="22"/>
              </w:rPr>
              <w:t>: ↔</w:t>
            </w:r>
          </w:p>
        </w:tc>
        <w:tc>
          <w:tcPr>
            <w:tcW w:w="1644" w:type="pct"/>
            <w:tcBorders>
              <w:top w:val="single" w:sz="4" w:space="0" w:color="auto"/>
              <w:left w:val="single" w:sz="4" w:space="0" w:color="auto"/>
              <w:bottom w:val="single" w:sz="4" w:space="0" w:color="auto"/>
              <w:right w:val="single" w:sz="4" w:space="0" w:color="auto"/>
            </w:tcBorders>
            <w:hideMark/>
          </w:tcPr>
          <w:p w14:paraId="0A74246B" w14:textId="09B91C80" w:rsidR="00DB1C4E" w:rsidRPr="00EF0A4B" w:rsidRDefault="00DB1C4E">
            <w:pPr>
              <w:rPr>
                <w:rFonts w:ascii="Times New Roman" w:hAnsi="Times New Roman" w:cs="Times New Roman"/>
                <w:sz w:val="22"/>
                <w:lang w:val="da-DK"/>
              </w:rPr>
            </w:pPr>
            <w:r w:rsidRPr="00EF0A4B">
              <w:rPr>
                <w:rFonts w:ascii="Times New Roman" w:hAnsi="Times New Roman" w:cs="Times New Roman"/>
                <w:sz w:val="22"/>
                <w:lang w:val="da-DK"/>
              </w:rPr>
              <w:t xml:space="preserve">Den anbefalede dosis af Emtricitabine/Tenofovir alafenamide </w:t>
            </w:r>
            <w:r w:rsidR="008D5A42" w:rsidRPr="00EF0A4B">
              <w:rPr>
                <w:rFonts w:ascii="Times New Roman" w:hAnsi="Times New Roman" w:cs="Times New Roman"/>
                <w:sz w:val="22"/>
                <w:lang w:val="da-DK"/>
              </w:rPr>
              <w:t>"</w:t>
            </w:r>
            <w:r w:rsidRPr="00EF0A4B">
              <w:rPr>
                <w:rFonts w:ascii="Times New Roman" w:hAnsi="Times New Roman" w:cs="Times New Roman"/>
                <w:sz w:val="22"/>
                <w:lang w:val="da-DK"/>
              </w:rPr>
              <w:t>Zentiva</w:t>
            </w:r>
            <w:r w:rsidR="008D5A42" w:rsidRPr="00EF0A4B">
              <w:rPr>
                <w:rFonts w:ascii="Times New Roman" w:hAnsi="Times New Roman" w:cs="Times New Roman"/>
                <w:sz w:val="22"/>
                <w:lang w:val="da-DK"/>
              </w:rPr>
              <w:t>"</w:t>
            </w:r>
            <w:r w:rsidRPr="00EF0A4B">
              <w:rPr>
                <w:rFonts w:ascii="Times New Roman" w:hAnsi="Times New Roman" w:cs="Times New Roman"/>
                <w:sz w:val="22"/>
                <w:lang w:val="da-DK"/>
              </w:rPr>
              <w:t xml:space="preserve"> er </w:t>
            </w:r>
          </w:p>
          <w:p w14:paraId="24A5CA6E" w14:textId="77777777" w:rsidR="00DB1C4E" w:rsidRPr="00EF0A4B" w:rsidRDefault="00DB1C4E">
            <w:pPr>
              <w:rPr>
                <w:rFonts w:ascii="Times New Roman" w:hAnsi="Times New Roman" w:cs="Times New Roman"/>
                <w:sz w:val="22"/>
              </w:rPr>
            </w:pPr>
            <w:r w:rsidRPr="00EF0A4B">
              <w:rPr>
                <w:rFonts w:ascii="Times New Roman" w:hAnsi="Times New Roman" w:cs="Times New Roman"/>
                <w:sz w:val="22"/>
              </w:rPr>
              <w:t>200/10 mg én gang dagligt.</w:t>
            </w:r>
          </w:p>
        </w:tc>
      </w:tr>
      <w:tr w:rsidR="00DB1C4E" w:rsidRPr="00EF0A4B" w14:paraId="28781D9B" w14:textId="77777777" w:rsidTr="00132A6A">
        <w:trPr>
          <w:cantSplit/>
        </w:trPr>
        <w:tc>
          <w:tcPr>
            <w:tcW w:w="1776" w:type="pct"/>
            <w:tcBorders>
              <w:top w:val="single" w:sz="4" w:space="0" w:color="auto"/>
              <w:left w:val="single" w:sz="4" w:space="0" w:color="auto"/>
              <w:bottom w:val="single" w:sz="4" w:space="0" w:color="auto"/>
              <w:right w:val="single" w:sz="4" w:space="0" w:color="auto"/>
            </w:tcBorders>
            <w:hideMark/>
          </w:tcPr>
          <w:p w14:paraId="2E832A64" w14:textId="02FCF5EA" w:rsidR="00DB1C4E" w:rsidRPr="00EF0A4B" w:rsidRDefault="00DB1C4E">
            <w:pPr>
              <w:rPr>
                <w:rFonts w:ascii="Times New Roman" w:hAnsi="Times New Roman" w:cs="Times New Roman"/>
                <w:sz w:val="22"/>
                <w:lang w:val="da-DK"/>
              </w:rPr>
            </w:pPr>
            <w:r w:rsidRPr="00EF0A4B">
              <w:rPr>
                <w:rFonts w:ascii="Times New Roman" w:hAnsi="Times New Roman" w:cs="Times New Roman"/>
                <w:sz w:val="22"/>
                <w:lang w:val="da-DK"/>
              </w:rPr>
              <w:lastRenderedPageBreak/>
              <w:t xml:space="preserve">Darunavir/cobicistat (800/150 mg én gang dagligt), </w:t>
            </w:r>
            <w:r w:rsidR="00202D86">
              <w:rPr>
                <w:rFonts w:ascii="Times New Roman" w:hAnsi="Times New Roman" w:cs="Times New Roman"/>
                <w:sz w:val="22"/>
                <w:lang w:val="da-DK"/>
              </w:rPr>
              <w:t>tenofovir alafenamid</w:t>
            </w:r>
            <w:r w:rsidRPr="00EF0A4B">
              <w:rPr>
                <w:rFonts w:ascii="Times New Roman" w:hAnsi="Times New Roman" w:cs="Times New Roman"/>
                <w:sz w:val="22"/>
                <w:lang w:val="da-DK"/>
              </w:rPr>
              <w:t xml:space="preserve"> (25 mg én gang dagligt)</w:t>
            </w:r>
            <w:r w:rsidRPr="00EF0A4B">
              <w:rPr>
                <w:rFonts w:ascii="Times New Roman" w:hAnsi="Times New Roman" w:cs="Times New Roman"/>
                <w:sz w:val="22"/>
                <w:vertAlign w:val="superscript"/>
                <w:lang w:val="da-DK"/>
              </w:rPr>
              <w:t>5</w:t>
            </w:r>
          </w:p>
        </w:tc>
        <w:tc>
          <w:tcPr>
            <w:tcW w:w="1580" w:type="pct"/>
            <w:tcBorders>
              <w:top w:val="single" w:sz="4" w:space="0" w:color="auto"/>
              <w:left w:val="single" w:sz="4" w:space="0" w:color="auto"/>
              <w:bottom w:val="single" w:sz="4" w:space="0" w:color="auto"/>
              <w:right w:val="single" w:sz="4" w:space="0" w:color="auto"/>
            </w:tcBorders>
          </w:tcPr>
          <w:p w14:paraId="78FE1551" w14:textId="79A9D9B7" w:rsidR="00DB1C4E" w:rsidRPr="00EF0A4B" w:rsidRDefault="00202D86">
            <w:pPr>
              <w:rPr>
                <w:rFonts w:ascii="Times New Roman" w:hAnsi="Times New Roman" w:cs="Times New Roman"/>
                <w:sz w:val="22"/>
                <w:lang w:val="da-DK"/>
              </w:rPr>
            </w:pPr>
            <w:r>
              <w:rPr>
                <w:rFonts w:ascii="Times New Roman" w:hAnsi="Times New Roman" w:cs="Times New Roman"/>
                <w:sz w:val="22"/>
                <w:lang w:val="da-DK"/>
              </w:rPr>
              <w:t>Tenofovir alafenamid</w:t>
            </w:r>
            <w:r w:rsidR="00DB1C4E" w:rsidRPr="00EF0A4B">
              <w:rPr>
                <w:rFonts w:ascii="Times New Roman" w:hAnsi="Times New Roman" w:cs="Times New Roman"/>
                <w:sz w:val="22"/>
                <w:lang w:val="da-DK"/>
              </w:rPr>
              <w:t>:</w:t>
            </w:r>
          </w:p>
          <w:p w14:paraId="4684C035" w14:textId="77777777" w:rsidR="00DB1C4E" w:rsidRPr="00EF0A4B" w:rsidRDefault="00DB1C4E">
            <w:pPr>
              <w:rPr>
                <w:rFonts w:ascii="Times New Roman" w:hAnsi="Times New Roman" w:cs="Times New Roman"/>
                <w:sz w:val="22"/>
                <w:lang w:val="da-DK"/>
              </w:rPr>
            </w:pPr>
            <w:r w:rsidRPr="00EF0A4B">
              <w:rPr>
                <w:rFonts w:ascii="Times New Roman" w:hAnsi="Times New Roman" w:cs="Times New Roman"/>
                <w:sz w:val="22"/>
                <w:lang w:val="da-DK"/>
              </w:rPr>
              <w:t>AUC: ↔</w:t>
            </w:r>
          </w:p>
          <w:p w14:paraId="6DCE8DCA" w14:textId="77777777" w:rsidR="00DB1C4E" w:rsidRPr="00EF0A4B" w:rsidRDefault="00DB1C4E">
            <w:pPr>
              <w:rPr>
                <w:rFonts w:ascii="Times New Roman" w:hAnsi="Times New Roman" w:cs="Times New Roman"/>
                <w:sz w:val="22"/>
                <w:lang w:val="da-DK"/>
              </w:rPr>
            </w:pPr>
            <w:r w:rsidRPr="00EF0A4B">
              <w:rPr>
                <w:rFonts w:ascii="Times New Roman" w:hAnsi="Times New Roman" w:cs="Times New Roman"/>
                <w:sz w:val="22"/>
                <w:lang w:val="da-DK"/>
              </w:rPr>
              <w:t>C</w:t>
            </w:r>
            <w:r w:rsidRPr="00EF0A4B">
              <w:rPr>
                <w:rFonts w:ascii="Times New Roman" w:hAnsi="Times New Roman" w:cs="Times New Roman"/>
                <w:sz w:val="22"/>
                <w:vertAlign w:val="subscript"/>
                <w:lang w:val="da-DK"/>
              </w:rPr>
              <w:t>max</w:t>
            </w:r>
            <w:r w:rsidRPr="00EF0A4B">
              <w:rPr>
                <w:rFonts w:ascii="Times New Roman" w:hAnsi="Times New Roman" w:cs="Times New Roman"/>
                <w:sz w:val="22"/>
                <w:lang w:val="da-DK"/>
              </w:rPr>
              <w:t>: ↔</w:t>
            </w:r>
          </w:p>
          <w:p w14:paraId="282264BD" w14:textId="77777777" w:rsidR="00DB1C4E" w:rsidRPr="00EF0A4B" w:rsidRDefault="00DB1C4E">
            <w:pPr>
              <w:rPr>
                <w:rFonts w:ascii="Times New Roman" w:hAnsi="Times New Roman" w:cs="Times New Roman"/>
                <w:sz w:val="22"/>
                <w:lang w:val="da-DK"/>
              </w:rPr>
            </w:pPr>
          </w:p>
          <w:p w14:paraId="4A7F5EEE" w14:textId="77777777" w:rsidR="00DB1C4E" w:rsidRPr="00EF0A4B" w:rsidRDefault="00DB1C4E">
            <w:pPr>
              <w:rPr>
                <w:rFonts w:ascii="Times New Roman" w:hAnsi="Times New Roman" w:cs="Times New Roman"/>
                <w:sz w:val="22"/>
                <w:lang w:val="da-DK"/>
              </w:rPr>
            </w:pPr>
            <w:r w:rsidRPr="00EF0A4B">
              <w:rPr>
                <w:rFonts w:ascii="Times New Roman" w:hAnsi="Times New Roman" w:cs="Times New Roman"/>
                <w:sz w:val="22"/>
                <w:lang w:val="da-DK"/>
              </w:rPr>
              <w:t>Tenofovir:</w:t>
            </w:r>
          </w:p>
          <w:p w14:paraId="1369BA1D" w14:textId="77777777" w:rsidR="00DB1C4E" w:rsidRPr="00EF0A4B" w:rsidRDefault="00DB1C4E">
            <w:pPr>
              <w:rPr>
                <w:rFonts w:ascii="Times New Roman" w:hAnsi="Times New Roman" w:cs="Times New Roman"/>
                <w:sz w:val="22"/>
                <w:lang w:val="da-DK"/>
              </w:rPr>
            </w:pPr>
            <w:r w:rsidRPr="00EF0A4B">
              <w:rPr>
                <w:rFonts w:ascii="Times New Roman" w:hAnsi="Times New Roman" w:cs="Times New Roman"/>
                <w:sz w:val="22"/>
                <w:lang w:val="da-DK"/>
              </w:rPr>
              <w:t>AUC: ↑ 224%</w:t>
            </w:r>
          </w:p>
          <w:p w14:paraId="5A15A25B" w14:textId="77777777" w:rsidR="00DB1C4E" w:rsidRPr="00EF0A4B" w:rsidRDefault="00DB1C4E">
            <w:pPr>
              <w:rPr>
                <w:rFonts w:ascii="Times New Roman" w:hAnsi="Times New Roman" w:cs="Times New Roman"/>
                <w:sz w:val="22"/>
                <w:lang w:val="da-DK"/>
              </w:rPr>
            </w:pPr>
            <w:r w:rsidRPr="00EF0A4B">
              <w:rPr>
                <w:rFonts w:ascii="Times New Roman" w:hAnsi="Times New Roman" w:cs="Times New Roman"/>
                <w:sz w:val="22"/>
                <w:lang w:val="da-DK"/>
              </w:rPr>
              <w:t>C</w:t>
            </w:r>
            <w:r w:rsidRPr="00EF0A4B">
              <w:rPr>
                <w:rFonts w:ascii="Times New Roman" w:hAnsi="Times New Roman" w:cs="Times New Roman"/>
                <w:sz w:val="22"/>
                <w:vertAlign w:val="subscript"/>
                <w:lang w:val="da-DK"/>
              </w:rPr>
              <w:t>max</w:t>
            </w:r>
            <w:r w:rsidRPr="00EF0A4B">
              <w:rPr>
                <w:rFonts w:ascii="Times New Roman" w:hAnsi="Times New Roman" w:cs="Times New Roman"/>
                <w:sz w:val="22"/>
                <w:lang w:val="da-DK"/>
              </w:rPr>
              <w:t>: ↑ 216%</w:t>
            </w:r>
          </w:p>
          <w:p w14:paraId="0B026344" w14:textId="77777777" w:rsidR="00DB1C4E" w:rsidRPr="00EF0A4B" w:rsidRDefault="00DB1C4E">
            <w:pPr>
              <w:rPr>
                <w:rFonts w:ascii="Times New Roman" w:hAnsi="Times New Roman" w:cs="Times New Roman"/>
                <w:sz w:val="22"/>
                <w:lang w:val="da-DK"/>
              </w:rPr>
            </w:pPr>
            <w:r w:rsidRPr="00EF0A4B">
              <w:rPr>
                <w:rFonts w:ascii="Times New Roman" w:hAnsi="Times New Roman" w:cs="Times New Roman"/>
                <w:sz w:val="22"/>
                <w:lang w:val="da-DK"/>
              </w:rPr>
              <w:t>C</w:t>
            </w:r>
            <w:r w:rsidRPr="00EF0A4B">
              <w:rPr>
                <w:rFonts w:ascii="Times New Roman" w:hAnsi="Times New Roman" w:cs="Times New Roman"/>
                <w:sz w:val="22"/>
                <w:vertAlign w:val="subscript"/>
                <w:lang w:val="da-DK"/>
              </w:rPr>
              <w:t>min</w:t>
            </w:r>
            <w:r w:rsidRPr="00EF0A4B">
              <w:rPr>
                <w:rFonts w:ascii="Times New Roman" w:hAnsi="Times New Roman" w:cs="Times New Roman"/>
                <w:sz w:val="22"/>
                <w:lang w:val="da-DK"/>
              </w:rPr>
              <w:t>: ↑ 221%</w:t>
            </w:r>
          </w:p>
          <w:p w14:paraId="75A6D1E3" w14:textId="77777777" w:rsidR="00DB1C4E" w:rsidRPr="00EF0A4B" w:rsidRDefault="00DB1C4E">
            <w:pPr>
              <w:rPr>
                <w:rFonts w:ascii="Times New Roman" w:hAnsi="Times New Roman" w:cs="Times New Roman"/>
                <w:sz w:val="22"/>
                <w:lang w:val="da-DK"/>
              </w:rPr>
            </w:pPr>
          </w:p>
          <w:p w14:paraId="1BCED56C" w14:textId="77777777" w:rsidR="00DB1C4E" w:rsidRPr="00EF0A4B" w:rsidRDefault="00DB1C4E">
            <w:pPr>
              <w:rPr>
                <w:rFonts w:ascii="Times New Roman" w:hAnsi="Times New Roman" w:cs="Times New Roman"/>
                <w:sz w:val="22"/>
                <w:lang w:val="da-DK"/>
              </w:rPr>
            </w:pPr>
            <w:r w:rsidRPr="00EF0A4B">
              <w:rPr>
                <w:rFonts w:ascii="Times New Roman" w:hAnsi="Times New Roman" w:cs="Times New Roman"/>
                <w:sz w:val="22"/>
                <w:lang w:val="da-DK"/>
              </w:rPr>
              <w:t>Darunavir:</w:t>
            </w:r>
          </w:p>
          <w:p w14:paraId="68DE4FB2" w14:textId="77777777" w:rsidR="00DB1C4E" w:rsidRPr="00EF0A4B" w:rsidRDefault="00DB1C4E">
            <w:pPr>
              <w:rPr>
                <w:rFonts w:ascii="Times New Roman" w:hAnsi="Times New Roman" w:cs="Times New Roman"/>
                <w:sz w:val="22"/>
                <w:lang w:val="da-DK"/>
              </w:rPr>
            </w:pPr>
            <w:r w:rsidRPr="00EF0A4B">
              <w:rPr>
                <w:rFonts w:ascii="Times New Roman" w:hAnsi="Times New Roman" w:cs="Times New Roman"/>
                <w:sz w:val="22"/>
                <w:lang w:val="da-DK"/>
              </w:rPr>
              <w:t>AUC: ↔</w:t>
            </w:r>
          </w:p>
          <w:p w14:paraId="33A45A19" w14:textId="77777777" w:rsidR="00DB1C4E" w:rsidRPr="00EF0A4B" w:rsidRDefault="00DB1C4E">
            <w:pPr>
              <w:rPr>
                <w:rFonts w:ascii="Times New Roman" w:hAnsi="Times New Roman" w:cs="Times New Roman"/>
                <w:sz w:val="22"/>
                <w:lang w:val="da-DK"/>
              </w:rPr>
            </w:pPr>
            <w:r w:rsidRPr="00EF0A4B">
              <w:rPr>
                <w:rFonts w:ascii="Times New Roman" w:hAnsi="Times New Roman" w:cs="Times New Roman"/>
                <w:sz w:val="22"/>
                <w:lang w:val="da-DK"/>
              </w:rPr>
              <w:t>C</w:t>
            </w:r>
            <w:r w:rsidRPr="00EF0A4B">
              <w:rPr>
                <w:rFonts w:ascii="Times New Roman" w:hAnsi="Times New Roman" w:cs="Times New Roman"/>
                <w:sz w:val="22"/>
                <w:vertAlign w:val="subscript"/>
                <w:lang w:val="da-DK"/>
              </w:rPr>
              <w:t>max</w:t>
            </w:r>
            <w:r w:rsidRPr="00EF0A4B">
              <w:rPr>
                <w:rFonts w:ascii="Times New Roman" w:hAnsi="Times New Roman" w:cs="Times New Roman"/>
                <w:sz w:val="22"/>
                <w:lang w:val="da-DK"/>
              </w:rPr>
              <w:t>: ↔</w:t>
            </w:r>
          </w:p>
          <w:p w14:paraId="43214347" w14:textId="77777777" w:rsidR="00DB1C4E" w:rsidRPr="00EF0A4B" w:rsidRDefault="00DB1C4E">
            <w:pPr>
              <w:rPr>
                <w:rFonts w:ascii="Times New Roman" w:hAnsi="Times New Roman" w:cs="Times New Roman"/>
                <w:sz w:val="22"/>
              </w:rPr>
            </w:pPr>
            <w:r w:rsidRPr="00EF0A4B">
              <w:rPr>
                <w:rFonts w:ascii="Times New Roman" w:hAnsi="Times New Roman" w:cs="Times New Roman"/>
                <w:sz w:val="22"/>
              </w:rPr>
              <w:t>C</w:t>
            </w:r>
            <w:r w:rsidRPr="00EF0A4B">
              <w:rPr>
                <w:rFonts w:ascii="Times New Roman" w:hAnsi="Times New Roman" w:cs="Times New Roman"/>
                <w:sz w:val="22"/>
                <w:vertAlign w:val="subscript"/>
              </w:rPr>
              <w:t>min</w:t>
            </w:r>
            <w:r w:rsidRPr="00EF0A4B">
              <w:rPr>
                <w:rFonts w:ascii="Times New Roman" w:hAnsi="Times New Roman" w:cs="Times New Roman"/>
                <w:sz w:val="22"/>
              </w:rPr>
              <w:t>: ↔</w:t>
            </w:r>
          </w:p>
        </w:tc>
        <w:tc>
          <w:tcPr>
            <w:tcW w:w="1644" w:type="pct"/>
            <w:tcBorders>
              <w:top w:val="single" w:sz="4" w:space="0" w:color="auto"/>
              <w:left w:val="single" w:sz="4" w:space="0" w:color="auto"/>
              <w:bottom w:val="single" w:sz="4" w:space="0" w:color="auto"/>
              <w:right w:val="single" w:sz="4" w:space="0" w:color="auto"/>
            </w:tcBorders>
            <w:hideMark/>
          </w:tcPr>
          <w:p w14:paraId="6E1EDE98" w14:textId="609A9F36" w:rsidR="00DB1C4E" w:rsidRPr="00EF0A4B" w:rsidRDefault="00DB1C4E">
            <w:pPr>
              <w:rPr>
                <w:rFonts w:ascii="Times New Roman" w:hAnsi="Times New Roman" w:cs="Times New Roman"/>
                <w:sz w:val="22"/>
                <w:lang w:val="da-DK"/>
              </w:rPr>
            </w:pPr>
            <w:r w:rsidRPr="00EF0A4B">
              <w:rPr>
                <w:rFonts w:ascii="Times New Roman" w:hAnsi="Times New Roman" w:cs="Times New Roman"/>
                <w:sz w:val="22"/>
                <w:lang w:val="da-DK"/>
              </w:rPr>
              <w:t xml:space="preserve">Den anbefalede dosis af Emtricitabine/Tenofovir alafenamide </w:t>
            </w:r>
            <w:r w:rsidR="008D5A42" w:rsidRPr="00EF0A4B">
              <w:rPr>
                <w:rFonts w:ascii="Times New Roman" w:hAnsi="Times New Roman" w:cs="Times New Roman"/>
                <w:sz w:val="22"/>
                <w:lang w:val="da-DK"/>
              </w:rPr>
              <w:t>"</w:t>
            </w:r>
            <w:r w:rsidRPr="00EF0A4B">
              <w:rPr>
                <w:rFonts w:ascii="Times New Roman" w:hAnsi="Times New Roman" w:cs="Times New Roman"/>
                <w:sz w:val="22"/>
                <w:lang w:val="da-DK"/>
              </w:rPr>
              <w:t>Zentiva</w:t>
            </w:r>
            <w:r w:rsidR="008D5A42" w:rsidRPr="00EF0A4B">
              <w:rPr>
                <w:rFonts w:ascii="Times New Roman" w:hAnsi="Times New Roman" w:cs="Times New Roman"/>
                <w:sz w:val="22"/>
                <w:lang w:val="da-DK"/>
              </w:rPr>
              <w:t>"</w:t>
            </w:r>
            <w:r w:rsidRPr="00EF0A4B">
              <w:rPr>
                <w:rFonts w:ascii="Times New Roman" w:hAnsi="Times New Roman" w:cs="Times New Roman"/>
                <w:sz w:val="22"/>
                <w:lang w:val="da-DK"/>
              </w:rPr>
              <w:t xml:space="preserve"> er </w:t>
            </w:r>
          </w:p>
          <w:p w14:paraId="314E6B53" w14:textId="77777777" w:rsidR="00DB1C4E" w:rsidRPr="00EF0A4B" w:rsidRDefault="00DB1C4E">
            <w:pPr>
              <w:rPr>
                <w:rFonts w:ascii="Times New Roman" w:hAnsi="Times New Roman" w:cs="Times New Roman"/>
                <w:sz w:val="22"/>
              </w:rPr>
            </w:pPr>
            <w:r w:rsidRPr="00EF0A4B">
              <w:rPr>
                <w:rFonts w:ascii="Times New Roman" w:hAnsi="Times New Roman" w:cs="Times New Roman"/>
                <w:sz w:val="22"/>
              </w:rPr>
              <w:t>200/10 mg én gang dagligt.</w:t>
            </w:r>
          </w:p>
        </w:tc>
      </w:tr>
      <w:tr w:rsidR="00DB1C4E" w:rsidRPr="00EF0A4B" w14:paraId="3A930019" w14:textId="77777777" w:rsidTr="00132A6A">
        <w:trPr>
          <w:cantSplit/>
        </w:trPr>
        <w:tc>
          <w:tcPr>
            <w:tcW w:w="1776" w:type="pct"/>
            <w:tcBorders>
              <w:top w:val="single" w:sz="4" w:space="0" w:color="auto"/>
              <w:left w:val="single" w:sz="4" w:space="0" w:color="auto"/>
              <w:bottom w:val="single" w:sz="4" w:space="0" w:color="auto"/>
              <w:right w:val="single" w:sz="4" w:space="0" w:color="auto"/>
            </w:tcBorders>
            <w:hideMark/>
          </w:tcPr>
          <w:p w14:paraId="23147D9B" w14:textId="49831E5C" w:rsidR="00DB1C4E" w:rsidRPr="00EF0A4B" w:rsidRDefault="00DB1C4E">
            <w:pPr>
              <w:rPr>
                <w:rFonts w:ascii="Times New Roman" w:hAnsi="Times New Roman" w:cs="Times New Roman"/>
                <w:sz w:val="22"/>
                <w:lang w:val="da-DK"/>
              </w:rPr>
            </w:pPr>
            <w:r w:rsidRPr="00EF0A4B">
              <w:rPr>
                <w:rFonts w:ascii="Times New Roman" w:hAnsi="Times New Roman" w:cs="Times New Roman"/>
                <w:sz w:val="22"/>
                <w:lang w:val="da-DK"/>
              </w:rPr>
              <w:t xml:space="preserve">Darunavir/ritonavir (800/100 mg én gang dagligt), </w:t>
            </w:r>
            <w:r w:rsidR="00202D86">
              <w:rPr>
                <w:rFonts w:ascii="Times New Roman" w:hAnsi="Times New Roman" w:cs="Times New Roman"/>
                <w:sz w:val="22"/>
                <w:lang w:val="da-DK"/>
              </w:rPr>
              <w:t>tenofovir alafenamid</w:t>
            </w:r>
            <w:r w:rsidRPr="00EF0A4B">
              <w:rPr>
                <w:rFonts w:ascii="Times New Roman" w:hAnsi="Times New Roman" w:cs="Times New Roman"/>
                <w:sz w:val="22"/>
                <w:lang w:val="da-DK"/>
              </w:rPr>
              <w:t xml:space="preserve"> (10 mg én gang dagligt)</w:t>
            </w:r>
          </w:p>
        </w:tc>
        <w:tc>
          <w:tcPr>
            <w:tcW w:w="1580" w:type="pct"/>
            <w:tcBorders>
              <w:top w:val="single" w:sz="4" w:space="0" w:color="auto"/>
              <w:left w:val="single" w:sz="4" w:space="0" w:color="auto"/>
              <w:bottom w:val="single" w:sz="4" w:space="0" w:color="auto"/>
              <w:right w:val="single" w:sz="4" w:space="0" w:color="auto"/>
            </w:tcBorders>
          </w:tcPr>
          <w:p w14:paraId="642362EC" w14:textId="511CA958" w:rsidR="00DB1C4E" w:rsidRPr="00EF0A4B" w:rsidRDefault="00202D86">
            <w:pPr>
              <w:rPr>
                <w:rFonts w:ascii="Times New Roman" w:hAnsi="Times New Roman" w:cs="Times New Roman"/>
                <w:sz w:val="22"/>
                <w:lang w:val="da-DK"/>
              </w:rPr>
            </w:pPr>
            <w:r>
              <w:rPr>
                <w:rFonts w:ascii="Times New Roman" w:hAnsi="Times New Roman" w:cs="Times New Roman"/>
                <w:sz w:val="22"/>
                <w:lang w:val="da-DK"/>
              </w:rPr>
              <w:t>Tenofovir alafenamid</w:t>
            </w:r>
            <w:r w:rsidR="00DB1C4E" w:rsidRPr="00EF0A4B">
              <w:rPr>
                <w:rFonts w:ascii="Times New Roman" w:hAnsi="Times New Roman" w:cs="Times New Roman"/>
                <w:sz w:val="22"/>
                <w:lang w:val="da-DK"/>
              </w:rPr>
              <w:t>:</w:t>
            </w:r>
          </w:p>
          <w:p w14:paraId="3C96D9BE" w14:textId="77777777" w:rsidR="00DB1C4E" w:rsidRPr="00EF0A4B" w:rsidRDefault="00DB1C4E">
            <w:pPr>
              <w:rPr>
                <w:rFonts w:ascii="Times New Roman" w:hAnsi="Times New Roman" w:cs="Times New Roman"/>
                <w:sz w:val="22"/>
                <w:lang w:val="da-DK"/>
              </w:rPr>
            </w:pPr>
            <w:r w:rsidRPr="00EF0A4B">
              <w:rPr>
                <w:rFonts w:ascii="Times New Roman" w:hAnsi="Times New Roman" w:cs="Times New Roman"/>
                <w:sz w:val="22"/>
                <w:lang w:val="da-DK"/>
              </w:rPr>
              <w:t>AUC: ↔</w:t>
            </w:r>
          </w:p>
          <w:p w14:paraId="022C17FB" w14:textId="77777777" w:rsidR="00DB1C4E" w:rsidRPr="00EF0A4B" w:rsidRDefault="00DB1C4E">
            <w:pPr>
              <w:rPr>
                <w:rFonts w:ascii="Times New Roman" w:hAnsi="Times New Roman" w:cs="Times New Roman"/>
                <w:sz w:val="22"/>
                <w:lang w:val="da-DK"/>
              </w:rPr>
            </w:pPr>
            <w:r w:rsidRPr="00EF0A4B">
              <w:rPr>
                <w:rFonts w:ascii="Times New Roman" w:hAnsi="Times New Roman" w:cs="Times New Roman"/>
                <w:sz w:val="22"/>
                <w:lang w:val="da-DK"/>
              </w:rPr>
              <w:t>C</w:t>
            </w:r>
            <w:r w:rsidRPr="00EF0A4B">
              <w:rPr>
                <w:rFonts w:ascii="Times New Roman" w:hAnsi="Times New Roman" w:cs="Times New Roman"/>
                <w:sz w:val="22"/>
                <w:vertAlign w:val="subscript"/>
                <w:lang w:val="da-DK"/>
              </w:rPr>
              <w:t>max</w:t>
            </w:r>
            <w:r w:rsidRPr="00EF0A4B">
              <w:rPr>
                <w:rFonts w:ascii="Times New Roman" w:hAnsi="Times New Roman" w:cs="Times New Roman"/>
                <w:sz w:val="22"/>
                <w:lang w:val="da-DK"/>
              </w:rPr>
              <w:t>: ↔</w:t>
            </w:r>
          </w:p>
          <w:p w14:paraId="70A0B65F" w14:textId="77777777" w:rsidR="00DB1C4E" w:rsidRPr="00EF0A4B" w:rsidRDefault="00DB1C4E">
            <w:pPr>
              <w:rPr>
                <w:rFonts w:ascii="Times New Roman" w:hAnsi="Times New Roman" w:cs="Times New Roman"/>
                <w:sz w:val="22"/>
                <w:lang w:val="da-DK"/>
              </w:rPr>
            </w:pPr>
          </w:p>
          <w:p w14:paraId="60815193" w14:textId="77777777" w:rsidR="00DB1C4E" w:rsidRPr="00EF0A4B" w:rsidRDefault="00DB1C4E">
            <w:pPr>
              <w:rPr>
                <w:rFonts w:ascii="Times New Roman" w:hAnsi="Times New Roman" w:cs="Times New Roman"/>
                <w:sz w:val="22"/>
                <w:lang w:val="da-DK"/>
              </w:rPr>
            </w:pPr>
            <w:r w:rsidRPr="00EF0A4B">
              <w:rPr>
                <w:rFonts w:ascii="Times New Roman" w:hAnsi="Times New Roman" w:cs="Times New Roman"/>
                <w:sz w:val="22"/>
                <w:lang w:val="da-DK"/>
              </w:rPr>
              <w:t>Tenofovir:</w:t>
            </w:r>
          </w:p>
          <w:p w14:paraId="5C2356EF" w14:textId="77777777" w:rsidR="00DB1C4E" w:rsidRPr="00EF0A4B" w:rsidRDefault="00DB1C4E">
            <w:pPr>
              <w:rPr>
                <w:rFonts w:ascii="Times New Roman" w:hAnsi="Times New Roman" w:cs="Times New Roman"/>
                <w:sz w:val="22"/>
                <w:lang w:val="da-DK"/>
              </w:rPr>
            </w:pPr>
            <w:r w:rsidRPr="00EF0A4B">
              <w:rPr>
                <w:rFonts w:ascii="Times New Roman" w:hAnsi="Times New Roman" w:cs="Times New Roman"/>
                <w:sz w:val="22"/>
                <w:lang w:val="da-DK"/>
              </w:rPr>
              <w:t>AUC: ↑ 105%</w:t>
            </w:r>
          </w:p>
          <w:p w14:paraId="52CAE331" w14:textId="77777777" w:rsidR="00DB1C4E" w:rsidRPr="00EF0A4B" w:rsidRDefault="00DB1C4E">
            <w:pPr>
              <w:rPr>
                <w:rFonts w:ascii="Times New Roman" w:hAnsi="Times New Roman" w:cs="Times New Roman"/>
                <w:sz w:val="22"/>
                <w:lang w:val="da-DK"/>
              </w:rPr>
            </w:pPr>
            <w:r w:rsidRPr="00EF0A4B">
              <w:rPr>
                <w:rFonts w:ascii="Times New Roman" w:hAnsi="Times New Roman" w:cs="Times New Roman"/>
                <w:sz w:val="22"/>
                <w:lang w:val="da-DK"/>
              </w:rPr>
              <w:t>C</w:t>
            </w:r>
            <w:r w:rsidRPr="00EF0A4B">
              <w:rPr>
                <w:rFonts w:ascii="Times New Roman" w:hAnsi="Times New Roman" w:cs="Times New Roman"/>
                <w:sz w:val="22"/>
                <w:vertAlign w:val="subscript"/>
                <w:lang w:val="da-DK"/>
              </w:rPr>
              <w:t>max</w:t>
            </w:r>
            <w:r w:rsidRPr="00EF0A4B">
              <w:rPr>
                <w:rFonts w:ascii="Times New Roman" w:hAnsi="Times New Roman" w:cs="Times New Roman"/>
                <w:sz w:val="22"/>
                <w:lang w:val="da-DK"/>
              </w:rPr>
              <w:t>: ↑ 142%</w:t>
            </w:r>
          </w:p>
          <w:p w14:paraId="4C7ABCDF" w14:textId="77777777" w:rsidR="00DB1C4E" w:rsidRPr="00EF0A4B" w:rsidRDefault="00DB1C4E">
            <w:pPr>
              <w:rPr>
                <w:rFonts w:ascii="Times New Roman" w:hAnsi="Times New Roman" w:cs="Times New Roman"/>
                <w:sz w:val="22"/>
                <w:lang w:val="da-DK"/>
              </w:rPr>
            </w:pPr>
          </w:p>
          <w:p w14:paraId="1BAC8A56" w14:textId="77777777" w:rsidR="00DB1C4E" w:rsidRPr="00EF0A4B" w:rsidRDefault="00DB1C4E">
            <w:pPr>
              <w:rPr>
                <w:rFonts w:ascii="Times New Roman" w:hAnsi="Times New Roman" w:cs="Times New Roman"/>
                <w:sz w:val="22"/>
                <w:lang w:val="da-DK"/>
              </w:rPr>
            </w:pPr>
            <w:r w:rsidRPr="00EF0A4B">
              <w:rPr>
                <w:rFonts w:ascii="Times New Roman" w:hAnsi="Times New Roman" w:cs="Times New Roman"/>
                <w:sz w:val="22"/>
                <w:lang w:val="da-DK"/>
              </w:rPr>
              <w:t>Darunavir:</w:t>
            </w:r>
          </w:p>
          <w:p w14:paraId="4543B81E" w14:textId="77777777" w:rsidR="00DB1C4E" w:rsidRPr="00EF0A4B" w:rsidRDefault="00DB1C4E">
            <w:pPr>
              <w:rPr>
                <w:rFonts w:ascii="Times New Roman" w:hAnsi="Times New Roman" w:cs="Times New Roman"/>
                <w:sz w:val="22"/>
                <w:lang w:val="da-DK"/>
              </w:rPr>
            </w:pPr>
            <w:r w:rsidRPr="00EF0A4B">
              <w:rPr>
                <w:rFonts w:ascii="Times New Roman" w:hAnsi="Times New Roman" w:cs="Times New Roman"/>
                <w:sz w:val="22"/>
                <w:lang w:val="da-DK"/>
              </w:rPr>
              <w:t>AUC: ↔</w:t>
            </w:r>
          </w:p>
          <w:p w14:paraId="51FB3D8D" w14:textId="77777777" w:rsidR="00DB1C4E" w:rsidRPr="00EF0A4B" w:rsidRDefault="00DB1C4E">
            <w:pPr>
              <w:rPr>
                <w:rFonts w:ascii="Times New Roman" w:hAnsi="Times New Roman" w:cs="Times New Roman"/>
                <w:sz w:val="22"/>
                <w:lang w:val="da-DK"/>
              </w:rPr>
            </w:pPr>
            <w:r w:rsidRPr="00EF0A4B">
              <w:rPr>
                <w:rFonts w:ascii="Times New Roman" w:hAnsi="Times New Roman" w:cs="Times New Roman"/>
                <w:sz w:val="22"/>
                <w:lang w:val="da-DK"/>
              </w:rPr>
              <w:t>C</w:t>
            </w:r>
            <w:r w:rsidRPr="00EF0A4B">
              <w:rPr>
                <w:rFonts w:ascii="Times New Roman" w:hAnsi="Times New Roman" w:cs="Times New Roman"/>
                <w:sz w:val="22"/>
                <w:vertAlign w:val="subscript"/>
                <w:lang w:val="da-DK"/>
              </w:rPr>
              <w:t>max</w:t>
            </w:r>
            <w:r w:rsidRPr="00EF0A4B">
              <w:rPr>
                <w:rFonts w:ascii="Times New Roman" w:hAnsi="Times New Roman" w:cs="Times New Roman"/>
                <w:sz w:val="22"/>
                <w:lang w:val="da-DK"/>
              </w:rPr>
              <w:t>: ↔</w:t>
            </w:r>
          </w:p>
          <w:p w14:paraId="2E751E38" w14:textId="77777777" w:rsidR="00DB1C4E" w:rsidRPr="00EF0A4B" w:rsidRDefault="00DB1C4E">
            <w:pPr>
              <w:rPr>
                <w:rFonts w:ascii="Times New Roman" w:hAnsi="Times New Roman" w:cs="Times New Roman"/>
                <w:sz w:val="22"/>
                <w:lang w:val="da-DK"/>
              </w:rPr>
            </w:pPr>
            <w:r w:rsidRPr="00EF0A4B">
              <w:rPr>
                <w:rFonts w:ascii="Times New Roman" w:hAnsi="Times New Roman" w:cs="Times New Roman"/>
                <w:sz w:val="22"/>
                <w:lang w:val="da-DK"/>
              </w:rPr>
              <w:t>C</w:t>
            </w:r>
            <w:r w:rsidRPr="00EF0A4B">
              <w:rPr>
                <w:rFonts w:ascii="Times New Roman" w:hAnsi="Times New Roman" w:cs="Times New Roman"/>
                <w:sz w:val="22"/>
                <w:vertAlign w:val="subscript"/>
                <w:lang w:val="da-DK"/>
              </w:rPr>
              <w:t>min</w:t>
            </w:r>
            <w:r w:rsidRPr="00EF0A4B">
              <w:rPr>
                <w:rFonts w:ascii="Times New Roman" w:hAnsi="Times New Roman" w:cs="Times New Roman"/>
                <w:sz w:val="22"/>
                <w:lang w:val="da-DK"/>
              </w:rPr>
              <w:t>: ↔</w:t>
            </w:r>
          </w:p>
        </w:tc>
        <w:tc>
          <w:tcPr>
            <w:tcW w:w="1644" w:type="pct"/>
            <w:tcBorders>
              <w:top w:val="single" w:sz="4" w:space="0" w:color="auto"/>
              <w:left w:val="single" w:sz="4" w:space="0" w:color="auto"/>
              <w:bottom w:val="single" w:sz="4" w:space="0" w:color="auto"/>
              <w:right w:val="single" w:sz="4" w:space="0" w:color="auto"/>
            </w:tcBorders>
            <w:hideMark/>
          </w:tcPr>
          <w:p w14:paraId="5E151592" w14:textId="2EF21229" w:rsidR="00DB1C4E" w:rsidRPr="00EF0A4B" w:rsidRDefault="00DB1C4E">
            <w:pPr>
              <w:rPr>
                <w:rFonts w:ascii="Times New Roman" w:hAnsi="Times New Roman" w:cs="Times New Roman"/>
                <w:sz w:val="22"/>
                <w:lang w:val="da-DK"/>
              </w:rPr>
            </w:pPr>
            <w:r w:rsidRPr="00EF0A4B">
              <w:rPr>
                <w:rFonts w:ascii="Times New Roman" w:hAnsi="Times New Roman" w:cs="Times New Roman"/>
                <w:sz w:val="22"/>
                <w:lang w:val="da-DK"/>
              </w:rPr>
              <w:t xml:space="preserve">Den anbefalede dosis af Emtricitabine/Tenofovir alafenamide </w:t>
            </w:r>
            <w:r w:rsidR="008D5A42" w:rsidRPr="00EF0A4B">
              <w:rPr>
                <w:rFonts w:ascii="Times New Roman" w:hAnsi="Times New Roman" w:cs="Times New Roman"/>
                <w:sz w:val="22"/>
                <w:lang w:val="da-DK"/>
              </w:rPr>
              <w:t>"</w:t>
            </w:r>
            <w:r w:rsidRPr="00EF0A4B">
              <w:rPr>
                <w:rFonts w:ascii="Times New Roman" w:hAnsi="Times New Roman" w:cs="Times New Roman"/>
                <w:sz w:val="22"/>
                <w:lang w:val="da-DK"/>
              </w:rPr>
              <w:t>Zentiva</w:t>
            </w:r>
            <w:r w:rsidR="008D5A42" w:rsidRPr="00EF0A4B">
              <w:rPr>
                <w:rFonts w:ascii="Times New Roman" w:hAnsi="Times New Roman" w:cs="Times New Roman"/>
                <w:sz w:val="22"/>
                <w:lang w:val="da-DK"/>
              </w:rPr>
              <w:t>"</w:t>
            </w:r>
            <w:r w:rsidRPr="00EF0A4B">
              <w:rPr>
                <w:rFonts w:ascii="Times New Roman" w:hAnsi="Times New Roman" w:cs="Times New Roman"/>
                <w:sz w:val="22"/>
                <w:lang w:val="da-DK"/>
              </w:rPr>
              <w:t xml:space="preserve"> er </w:t>
            </w:r>
          </w:p>
          <w:p w14:paraId="69E969F6" w14:textId="77777777" w:rsidR="00DB1C4E" w:rsidRPr="00EF0A4B" w:rsidRDefault="00DB1C4E">
            <w:pPr>
              <w:rPr>
                <w:rFonts w:ascii="Times New Roman" w:hAnsi="Times New Roman" w:cs="Times New Roman"/>
                <w:sz w:val="22"/>
              </w:rPr>
            </w:pPr>
            <w:r w:rsidRPr="00EF0A4B">
              <w:rPr>
                <w:rFonts w:ascii="Times New Roman" w:hAnsi="Times New Roman" w:cs="Times New Roman"/>
                <w:sz w:val="22"/>
              </w:rPr>
              <w:t>200/10 mg én gang dagligt.</w:t>
            </w:r>
          </w:p>
        </w:tc>
      </w:tr>
      <w:tr w:rsidR="00DB1C4E" w:rsidRPr="00EF0A4B" w14:paraId="63E885D4" w14:textId="77777777" w:rsidTr="00132A6A">
        <w:trPr>
          <w:cantSplit/>
        </w:trPr>
        <w:tc>
          <w:tcPr>
            <w:tcW w:w="1776" w:type="pct"/>
            <w:tcBorders>
              <w:top w:val="single" w:sz="4" w:space="0" w:color="auto"/>
              <w:left w:val="single" w:sz="4" w:space="0" w:color="auto"/>
              <w:bottom w:val="single" w:sz="4" w:space="0" w:color="auto"/>
              <w:right w:val="single" w:sz="4" w:space="0" w:color="auto"/>
            </w:tcBorders>
            <w:hideMark/>
          </w:tcPr>
          <w:p w14:paraId="347790FB" w14:textId="42229704" w:rsidR="00DB1C4E" w:rsidRPr="00EF0A4B" w:rsidRDefault="00DB1C4E">
            <w:pPr>
              <w:rPr>
                <w:rFonts w:ascii="Times New Roman" w:hAnsi="Times New Roman" w:cs="Times New Roman"/>
                <w:sz w:val="22"/>
                <w:lang w:val="da-DK"/>
              </w:rPr>
            </w:pPr>
            <w:r w:rsidRPr="00EF0A4B">
              <w:rPr>
                <w:rFonts w:ascii="Times New Roman" w:hAnsi="Times New Roman" w:cs="Times New Roman"/>
                <w:sz w:val="22"/>
                <w:lang w:val="da-DK"/>
              </w:rPr>
              <w:t xml:space="preserve">Lopinavir/ritonavir (800/200 mg én gang dagligt), </w:t>
            </w:r>
            <w:r w:rsidR="00202D86">
              <w:rPr>
                <w:rFonts w:ascii="Times New Roman" w:hAnsi="Times New Roman" w:cs="Times New Roman"/>
                <w:sz w:val="22"/>
                <w:lang w:val="da-DK"/>
              </w:rPr>
              <w:t>tenofovir alafenamid</w:t>
            </w:r>
            <w:r w:rsidRPr="00EF0A4B">
              <w:rPr>
                <w:rFonts w:ascii="Times New Roman" w:hAnsi="Times New Roman" w:cs="Times New Roman"/>
                <w:sz w:val="22"/>
                <w:lang w:val="da-DK"/>
              </w:rPr>
              <w:t xml:space="preserve"> (10 mg én gang dagligt)</w:t>
            </w:r>
          </w:p>
        </w:tc>
        <w:tc>
          <w:tcPr>
            <w:tcW w:w="1580" w:type="pct"/>
            <w:tcBorders>
              <w:top w:val="single" w:sz="4" w:space="0" w:color="auto"/>
              <w:left w:val="single" w:sz="4" w:space="0" w:color="auto"/>
              <w:bottom w:val="single" w:sz="4" w:space="0" w:color="auto"/>
              <w:right w:val="single" w:sz="4" w:space="0" w:color="auto"/>
            </w:tcBorders>
          </w:tcPr>
          <w:p w14:paraId="6A01B51D" w14:textId="0CBC0FEA" w:rsidR="00DB1C4E" w:rsidRPr="00EF0A4B" w:rsidRDefault="00202D86">
            <w:pPr>
              <w:rPr>
                <w:rFonts w:ascii="Times New Roman" w:hAnsi="Times New Roman" w:cs="Times New Roman"/>
                <w:sz w:val="22"/>
              </w:rPr>
            </w:pPr>
            <w:r>
              <w:rPr>
                <w:rFonts w:ascii="Times New Roman" w:hAnsi="Times New Roman" w:cs="Times New Roman"/>
                <w:sz w:val="22"/>
              </w:rPr>
              <w:t>Tenofovir alafenamid</w:t>
            </w:r>
            <w:r w:rsidR="00DB1C4E" w:rsidRPr="00EF0A4B">
              <w:rPr>
                <w:rFonts w:ascii="Times New Roman" w:hAnsi="Times New Roman" w:cs="Times New Roman"/>
                <w:sz w:val="22"/>
              </w:rPr>
              <w:t>:</w:t>
            </w:r>
          </w:p>
          <w:p w14:paraId="5E8E01C2" w14:textId="77777777" w:rsidR="00DB1C4E" w:rsidRPr="00EF0A4B" w:rsidRDefault="00DB1C4E">
            <w:pPr>
              <w:rPr>
                <w:rFonts w:ascii="Times New Roman" w:hAnsi="Times New Roman" w:cs="Times New Roman"/>
                <w:sz w:val="22"/>
              </w:rPr>
            </w:pPr>
            <w:r w:rsidRPr="00EF0A4B">
              <w:rPr>
                <w:rFonts w:ascii="Times New Roman" w:hAnsi="Times New Roman" w:cs="Times New Roman"/>
                <w:sz w:val="22"/>
              </w:rPr>
              <w:t>AUC: ↑ 47%</w:t>
            </w:r>
          </w:p>
          <w:p w14:paraId="08E662B8" w14:textId="77777777" w:rsidR="00DB1C4E" w:rsidRPr="00EF0A4B" w:rsidRDefault="00DB1C4E">
            <w:pPr>
              <w:rPr>
                <w:rFonts w:ascii="Times New Roman" w:hAnsi="Times New Roman" w:cs="Times New Roman"/>
                <w:sz w:val="22"/>
              </w:rPr>
            </w:pPr>
            <w:r w:rsidRPr="00EF0A4B">
              <w:rPr>
                <w:rFonts w:ascii="Times New Roman" w:hAnsi="Times New Roman" w:cs="Times New Roman"/>
                <w:sz w:val="22"/>
              </w:rPr>
              <w:t>Cmax: ↑ 119%</w:t>
            </w:r>
          </w:p>
          <w:p w14:paraId="0965EE43" w14:textId="77777777" w:rsidR="00DB1C4E" w:rsidRPr="00EF0A4B" w:rsidRDefault="00DB1C4E">
            <w:pPr>
              <w:rPr>
                <w:rFonts w:ascii="Times New Roman" w:hAnsi="Times New Roman" w:cs="Times New Roman"/>
                <w:sz w:val="22"/>
              </w:rPr>
            </w:pPr>
          </w:p>
          <w:p w14:paraId="26722368" w14:textId="77777777" w:rsidR="00DB1C4E" w:rsidRPr="00EF0A4B" w:rsidRDefault="00DB1C4E">
            <w:pPr>
              <w:rPr>
                <w:rFonts w:ascii="Times New Roman" w:hAnsi="Times New Roman" w:cs="Times New Roman"/>
                <w:sz w:val="22"/>
              </w:rPr>
            </w:pPr>
            <w:r w:rsidRPr="00EF0A4B">
              <w:rPr>
                <w:rFonts w:ascii="Times New Roman" w:hAnsi="Times New Roman" w:cs="Times New Roman"/>
                <w:sz w:val="22"/>
              </w:rPr>
              <w:t>Lopinavir:</w:t>
            </w:r>
          </w:p>
          <w:p w14:paraId="03C526ED" w14:textId="77777777" w:rsidR="00DB1C4E" w:rsidRPr="00EF0A4B" w:rsidRDefault="00DB1C4E">
            <w:pPr>
              <w:rPr>
                <w:rFonts w:ascii="Times New Roman" w:hAnsi="Times New Roman" w:cs="Times New Roman"/>
                <w:sz w:val="22"/>
              </w:rPr>
            </w:pPr>
            <w:r w:rsidRPr="00EF0A4B">
              <w:rPr>
                <w:rFonts w:ascii="Times New Roman" w:hAnsi="Times New Roman" w:cs="Times New Roman"/>
                <w:sz w:val="22"/>
              </w:rPr>
              <w:t>AUC: ↔</w:t>
            </w:r>
          </w:p>
          <w:p w14:paraId="3D72F2EB" w14:textId="77777777" w:rsidR="00DB1C4E" w:rsidRPr="00EF0A4B" w:rsidRDefault="00DB1C4E">
            <w:pPr>
              <w:rPr>
                <w:rFonts w:ascii="Times New Roman" w:hAnsi="Times New Roman" w:cs="Times New Roman"/>
                <w:sz w:val="22"/>
              </w:rPr>
            </w:pPr>
            <w:r w:rsidRPr="00EF0A4B">
              <w:rPr>
                <w:rFonts w:ascii="Times New Roman" w:hAnsi="Times New Roman" w:cs="Times New Roman"/>
                <w:sz w:val="22"/>
              </w:rPr>
              <w:t>C</w:t>
            </w:r>
            <w:r w:rsidRPr="00EF0A4B">
              <w:rPr>
                <w:rFonts w:ascii="Times New Roman" w:hAnsi="Times New Roman" w:cs="Times New Roman"/>
                <w:sz w:val="22"/>
                <w:vertAlign w:val="subscript"/>
              </w:rPr>
              <w:t>max</w:t>
            </w:r>
            <w:r w:rsidRPr="00EF0A4B">
              <w:rPr>
                <w:rFonts w:ascii="Times New Roman" w:hAnsi="Times New Roman" w:cs="Times New Roman"/>
                <w:sz w:val="22"/>
              </w:rPr>
              <w:t>: ↔</w:t>
            </w:r>
          </w:p>
          <w:p w14:paraId="7DDDEA46" w14:textId="77777777" w:rsidR="00DB1C4E" w:rsidRPr="00EF0A4B" w:rsidRDefault="00DB1C4E">
            <w:pPr>
              <w:rPr>
                <w:rFonts w:ascii="Times New Roman" w:hAnsi="Times New Roman" w:cs="Times New Roman"/>
                <w:sz w:val="22"/>
              </w:rPr>
            </w:pPr>
            <w:r w:rsidRPr="00EF0A4B">
              <w:rPr>
                <w:rFonts w:ascii="Times New Roman" w:hAnsi="Times New Roman" w:cs="Times New Roman"/>
                <w:sz w:val="22"/>
              </w:rPr>
              <w:t>C</w:t>
            </w:r>
            <w:r w:rsidRPr="00EF0A4B">
              <w:rPr>
                <w:rFonts w:ascii="Times New Roman" w:hAnsi="Times New Roman" w:cs="Times New Roman"/>
                <w:sz w:val="22"/>
                <w:vertAlign w:val="subscript"/>
              </w:rPr>
              <w:t>min</w:t>
            </w:r>
            <w:r w:rsidRPr="00EF0A4B">
              <w:rPr>
                <w:rFonts w:ascii="Times New Roman" w:hAnsi="Times New Roman" w:cs="Times New Roman"/>
                <w:sz w:val="22"/>
              </w:rPr>
              <w:t>: ↔</w:t>
            </w:r>
          </w:p>
        </w:tc>
        <w:tc>
          <w:tcPr>
            <w:tcW w:w="1644" w:type="pct"/>
            <w:tcBorders>
              <w:top w:val="single" w:sz="4" w:space="0" w:color="auto"/>
              <w:left w:val="single" w:sz="4" w:space="0" w:color="auto"/>
              <w:bottom w:val="single" w:sz="4" w:space="0" w:color="auto"/>
              <w:right w:val="single" w:sz="4" w:space="0" w:color="auto"/>
            </w:tcBorders>
            <w:hideMark/>
          </w:tcPr>
          <w:p w14:paraId="2CB62CFC" w14:textId="6676DAAE" w:rsidR="00DB1C4E" w:rsidRPr="00EF0A4B" w:rsidRDefault="00DB1C4E" w:rsidP="008D5A42">
            <w:pPr>
              <w:rPr>
                <w:rFonts w:ascii="Times New Roman" w:hAnsi="Times New Roman" w:cs="Times New Roman"/>
                <w:sz w:val="22"/>
                <w:lang w:val="da-DK"/>
              </w:rPr>
            </w:pPr>
            <w:r w:rsidRPr="00EF0A4B">
              <w:rPr>
                <w:rFonts w:ascii="Times New Roman" w:hAnsi="Times New Roman" w:cs="Times New Roman"/>
                <w:sz w:val="22"/>
                <w:lang w:val="da-DK"/>
              </w:rPr>
              <w:t xml:space="preserve">Den anbefalede dosis af Emtricitabine/Tenofovir alafenamide </w:t>
            </w:r>
            <w:r w:rsidR="008D5A42" w:rsidRPr="00EF0A4B">
              <w:rPr>
                <w:rFonts w:ascii="Times New Roman" w:hAnsi="Times New Roman" w:cs="Times New Roman"/>
                <w:sz w:val="22"/>
                <w:lang w:val="da-DK"/>
              </w:rPr>
              <w:t>"</w:t>
            </w:r>
            <w:r w:rsidRPr="00EF0A4B">
              <w:rPr>
                <w:rFonts w:ascii="Times New Roman" w:hAnsi="Times New Roman" w:cs="Times New Roman"/>
                <w:sz w:val="22"/>
                <w:lang w:val="da-DK"/>
              </w:rPr>
              <w:t>Zentiva</w:t>
            </w:r>
            <w:r w:rsidR="008D5A42" w:rsidRPr="00EF0A4B">
              <w:rPr>
                <w:rFonts w:ascii="Times New Roman" w:hAnsi="Times New Roman" w:cs="Times New Roman"/>
                <w:sz w:val="22"/>
                <w:lang w:val="da-DK"/>
              </w:rPr>
              <w:t>"</w:t>
            </w:r>
            <w:r w:rsidRPr="00EF0A4B">
              <w:rPr>
                <w:rFonts w:ascii="Times New Roman" w:hAnsi="Times New Roman" w:cs="Times New Roman"/>
                <w:sz w:val="22"/>
                <w:lang w:val="da-DK"/>
              </w:rPr>
              <w:t xml:space="preserve"> er 200/10</w:t>
            </w:r>
            <w:r w:rsidR="00EF0A4B">
              <w:rPr>
                <w:rFonts w:ascii="Times New Roman" w:hAnsi="Times New Roman" w:cs="Times New Roman"/>
                <w:sz w:val="22"/>
                <w:lang w:val="da-DK"/>
              </w:rPr>
              <w:t> </w:t>
            </w:r>
            <w:r w:rsidRPr="00EF0A4B">
              <w:rPr>
                <w:rFonts w:ascii="Times New Roman" w:hAnsi="Times New Roman" w:cs="Times New Roman"/>
                <w:sz w:val="22"/>
                <w:lang w:val="da-DK"/>
              </w:rPr>
              <w:t>mg én gang dagligt.</w:t>
            </w:r>
          </w:p>
        </w:tc>
      </w:tr>
      <w:tr w:rsidR="00DB1C4E" w:rsidRPr="00EF0A4B" w14:paraId="70B7F47D" w14:textId="77777777" w:rsidTr="00132A6A">
        <w:trPr>
          <w:cantSplit/>
        </w:trPr>
        <w:tc>
          <w:tcPr>
            <w:tcW w:w="1776" w:type="pct"/>
            <w:tcBorders>
              <w:top w:val="single" w:sz="4" w:space="0" w:color="auto"/>
              <w:left w:val="single" w:sz="4" w:space="0" w:color="auto"/>
              <w:bottom w:val="single" w:sz="4" w:space="0" w:color="auto"/>
              <w:right w:val="single" w:sz="4" w:space="0" w:color="auto"/>
            </w:tcBorders>
            <w:hideMark/>
          </w:tcPr>
          <w:p w14:paraId="6A62FE63" w14:textId="77777777" w:rsidR="00DB1C4E" w:rsidRPr="00EF0A4B" w:rsidRDefault="00DB1C4E">
            <w:pPr>
              <w:rPr>
                <w:rFonts w:ascii="Times New Roman" w:hAnsi="Times New Roman" w:cs="Times New Roman"/>
                <w:sz w:val="22"/>
              </w:rPr>
            </w:pPr>
            <w:r w:rsidRPr="00EF0A4B">
              <w:rPr>
                <w:rFonts w:ascii="Times New Roman" w:hAnsi="Times New Roman" w:cs="Times New Roman"/>
                <w:sz w:val="22"/>
              </w:rPr>
              <w:t>Tipranavir/ritonavir</w:t>
            </w:r>
          </w:p>
        </w:tc>
        <w:tc>
          <w:tcPr>
            <w:tcW w:w="1580" w:type="pct"/>
            <w:tcBorders>
              <w:top w:val="single" w:sz="4" w:space="0" w:color="auto"/>
              <w:left w:val="single" w:sz="4" w:space="0" w:color="auto"/>
              <w:bottom w:val="single" w:sz="4" w:space="0" w:color="auto"/>
              <w:right w:val="single" w:sz="4" w:space="0" w:color="auto"/>
            </w:tcBorders>
          </w:tcPr>
          <w:p w14:paraId="72C61D23" w14:textId="3202645C" w:rsidR="00DB1C4E" w:rsidRPr="00EF0A4B" w:rsidRDefault="00DB1C4E">
            <w:pPr>
              <w:rPr>
                <w:rFonts w:ascii="Times New Roman" w:hAnsi="Times New Roman" w:cs="Times New Roman"/>
                <w:sz w:val="22"/>
                <w:lang w:val="da-DK"/>
              </w:rPr>
            </w:pPr>
            <w:r w:rsidRPr="00EF0A4B">
              <w:rPr>
                <w:rFonts w:ascii="Times New Roman" w:hAnsi="Times New Roman" w:cs="Times New Roman"/>
                <w:sz w:val="22"/>
                <w:lang w:val="da-DK"/>
              </w:rPr>
              <w:t xml:space="preserve">Interaktion er ikke undersøgt med nogle af komponenterne i Emtricitabine/Tenofovir alafenamide </w:t>
            </w:r>
            <w:r w:rsidR="008D5A42" w:rsidRPr="00EF0A4B">
              <w:rPr>
                <w:rFonts w:ascii="Times New Roman" w:hAnsi="Times New Roman" w:cs="Times New Roman"/>
                <w:sz w:val="22"/>
                <w:lang w:val="da-DK"/>
              </w:rPr>
              <w:t>"</w:t>
            </w:r>
            <w:r w:rsidRPr="00EF0A4B">
              <w:rPr>
                <w:rFonts w:ascii="Times New Roman" w:hAnsi="Times New Roman" w:cs="Times New Roman"/>
                <w:sz w:val="22"/>
                <w:lang w:val="da-DK"/>
              </w:rPr>
              <w:t>Zentiva</w:t>
            </w:r>
            <w:r w:rsidR="008D5A42" w:rsidRPr="00EF0A4B">
              <w:rPr>
                <w:rFonts w:ascii="Times New Roman" w:hAnsi="Times New Roman" w:cs="Times New Roman"/>
                <w:sz w:val="22"/>
                <w:lang w:val="da-DK"/>
              </w:rPr>
              <w:t>"</w:t>
            </w:r>
            <w:r w:rsidRPr="00EF0A4B">
              <w:rPr>
                <w:rFonts w:ascii="Times New Roman" w:hAnsi="Times New Roman" w:cs="Times New Roman"/>
                <w:sz w:val="22"/>
                <w:lang w:val="da-DK"/>
              </w:rPr>
              <w:t>.</w:t>
            </w:r>
          </w:p>
          <w:p w14:paraId="3558CD9D" w14:textId="77777777" w:rsidR="00DB1C4E" w:rsidRPr="00EF0A4B" w:rsidRDefault="00DB1C4E">
            <w:pPr>
              <w:rPr>
                <w:rFonts w:ascii="Times New Roman" w:hAnsi="Times New Roman" w:cs="Times New Roman"/>
                <w:sz w:val="22"/>
                <w:lang w:val="da-DK"/>
              </w:rPr>
            </w:pPr>
          </w:p>
          <w:p w14:paraId="2AD4CA4A" w14:textId="1AFBB9D5" w:rsidR="00DB1C4E" w:rsidRPr="00EF0A4B" w:rsidRDefault="00DB1C4E">
            <w:pPr>
              <w:rPr>
                <w:rFonts w:ascii="Times New Roman" w:hAnsi="Times New Roman" w:cs="Times New Roman"/>
                <w:sz w:val="22"/>
                <w:lang w:val="da-DK"/>
              </w:rPr>
            </w:pPr>
            <w:r w:rsidRPr="00EF0A4B">
              <w:rPr>
                <w:rFonts w:ascii="Times New Roman" w:hAnsi="Times New Roman" w:cs="Times New Roman"/>
                <w:sz w:val="22"/>
                <w:lang w:val="da-DK"/>
              </w:rPr>
              <w:t xml:space="preserve">Tipranavir/ritonavir fører til P-gp-induktion. </w:t>
            </w:r>
            <w:r w:rsidR="00202D86">
              <w:rPr>
                <w:rFonts w:ascii="Times New Roman" w:hAnsi="Times New Roman" w:cs="Times New Roman"/>
                <w:sz w:val="22"/>
                <w:lang w:val="da-DK"/>
              </w:rPr>
              <w:t>Tenofovir alafenamid</w:t>
            </w:r>
            <w:r w:rsidRPr="00EF0A4B">
              <w:rPr>
                <w:rFonts w:ascii="Times New Roman" w:hAnsi="Times New Roman" w:cs="Times New Roman"/>
                <w:sz w:val="22"/>
                <w:lang w:val="da-DK"/>
              </w:rPr>
              <w:t xml:space="preserve">-eksponeringen forventes at falde, når tipranavir/ritonavir anvendes i kombination med Emtricitabine/Tenofovir alafenamide </w:t>
            </w:r>
            <w:r w:rsidR="008D5A42" w:rsidRPr="00EF0A4B">
              <w:rPr>
                <w:rFonts w:ascii="Times New Roman" w:hAnsi="Times New Roman" w:cs="Times New Roman"/>
                <w:sz w:val="22"/>
                <w:lang w:val="da-DK"/>
              </w:rPr>
              <w:t>"</w:t>
            </w:r>
            <w:r w:rsidRPr="00EF0A4B">
              <w:rPr>
                <w:rFonts w:ascii="Times New Roman" w:hAnsi="Times New Roman" w:cs="Times New Roman"/>
                <w:sz w:val="22"/>
                <w:lang w:val="da-DK"/>
              </w:rPr>
              <w:t>Zentiva</w:t>
            </w:r>
            <w:r w:rsidR="008D5A42" w:rsidRPr="00EF0A4B">
              <w:rPr>
                <w:rFonts w:ascii="Times New Roman" w:hAnsi="Times New Roman" w:cs="Times New Roman"/>
                <w:sz w:val="22"/>
                <w:lang w:val="da-DK"/>
              </w:rPr>
              <w:t>"</w:t>
            </w:r>
            <w:r w:rsidRPr="00EF0A4B">
              <w:rPr>
                <w:rFonts w:ascii="Times New Roman" w:hAnsi="Times New Roman" w:cs="Times New Roman"/>
                <w:sz w:val="22"/>
                <w:lang w:val="da-DK"/>
              </w:rPr>
              <w:t>.</w:t>
            </w:r>
          </w:p>
        </w:tc>
        <w:tc>
          <w:tcPr>
            <w:tcW w:w="1644" w:type="pct"/>
            <w:tcBorders>
              <w:top w:val="single" w:sz="4" w:space="0" w:color="auto"/>
              <w:left w:val="single" w:sz="4" w:space="0" w:color="auto"/>
              <w:bottom w:val="single" w:sz="4" w:space="0" w:color="auto"/>
              <w:right w:val="single" w:sz="4" w:space="0" w:color="auto"/>
            </w:tcBorders>
            <w:hideMark/>
          </w:tcPr>
          <w:p w14:paraId="406152F2" w14:textId="2E538034" w:rsidR="00DB1C4E" w:rsidRPr="00EF0A4B" w:rsidRDefault="00DB1C4E">
            <w:pPr>
              <w:rPr>
                <w:rFonts w:ascii="Times New Roman" w:hAnsi="Times New Roman" w:cs="Times New Roman"/>
                <w:sz w:val="22"/>
                <w:lang w:val="da-DK"/>
              </w:rPr>
            </w:pPr>
            <w:r w:rsidRPr="00EF0A4B">
              <w:rPr>
                <w:rFonts w:ascii="Times New Roman" w:hAnsi="Times New Roman" w:cs="Times New Roman"/>
                <w:sz w:val="22"/>
                <w:lang w:val="da-DK"/>
              </w:rPr>
              <w:t xml:space="preserve">Samtidig administration med Emtricitabine/Tenofovir alafenamide </w:t>
            </w:r>
            <w:r w:rsidR="008D5A42" w:rsidRPr="00EF0A4B">
              <w:rPr>
                <w:rFonts w:ascii="Times New Roman" w:hAnsi="Times New Roman" w:cs="Times New Roman"/>
                <w:sz w:val="22"/>
                <w:lang w:val="da-DK"/>
              </w:rPr>
              <w:t>"</w:t>
            </w:r>
            <w:r w:rsidRPr="00EF0A4B">
              <w:rPr>
                <w:rFonts w:ascii="Times New Roman" w:hAnsi="Times New Roman" w:cs="Times New Roman"/>
                <w:sz w:val="22"/>
                <w:lang w:val="da-DK"/>
              </w:rPr>
              <w:t>Zentiva</w:t>
            </w:r>
            <w:r w:rsidR="008D5A42" w:rsidRPr="00EF0A4B">
              <w:rPr>
                <w:rFonts w:ascii="Times New Roman" w:hAnsi="Times New Roman" w:cs="Times New Roman"/>
                <w:sz w:val="22"/>
                <w:lang w:val="da-DK"/>
              </w:rPr>
              <w:t>"</w:t>
            </w:r>
            <w:r w:rsidRPr="00EF0A4B">
              <w:rPr>
                <w:rFonts w:ascii="Times New Roman" w:hAnsi="Times New Roman" w:cs="Times New Roman"/>
                <w:sz w:val="22"/>
                <w:lang w:val="da-DK"/>
              </w:rPr>
              <w:t xml:space="preserve"> anbefales ikke.</w:t>
            </w:r>
          </w:p>
        </w:tc>
      </w:tr>
      <w:tr w:rsidR="00DB1C4E" w:rsidRPr="00EF0A4B" w14:paraId="7C262EFD" w14:textId="77777777" w:rsidTr="00132A6A">
        <w:trPr>
          <w:cantSplit/>
        </w:trPr>
        <w:tc>
          <w:tcPr>
            <w:tcW w:w="1776" w:type="pct"/>
            <w:tcBorders>
              <w:top w:val="single" w:sz="4" w:space="0" w:color="auto"/>
              <w:left w:val="single" w:sz="4" w:space="0" w:color="auto"/>
              <w:bottom w:val="single" w:sz="4" w:space="0" w:color="auto"/>
              <w:right w:val="single" w:sz="4" w:space="0" w:color="auto"/>
            </w:tcBorders>
            <w:hideMark/>
          </w:tcPr>
          <w:p w14:paraId="5C2B52CC" w14:textId="77777777" w:rsidR="00DB1C4E" w:rsidRPr="00EF0A4B" w:rsidRDefault="00DB1C4E">
            <w:pPr>
              <w:rPr>
                <w:rFonts w:ascii="Times New Roman" w:hAnsi="Times New Roman" w:cs="Times New Roman"/>
                <w:sz w:val="22"/>
              </w:rPr>
            </w:pPr>
            <w:r w:rsidRPr="00EF0A4B">
              <w:rPr>
                <w:rFonts w:ascii="Times New Roman" w:hAnsi="Times New Roman" w:cs="Times New Roman"/>
                <w:sz w:val="22"/>
              </w:rPr>
              <w:t>Andre proteasehæmmere</w:t>
            </w:r>
          </w:p>
        </w:tc>
        <w:tc>
          <w:tcPr>
            <w:tcW w:w="1580" w:type="pct"/>
            <w:tcBorders>
              <w:top w:val="single" w:sz="4" w:space="0" w:color="auto"/>
              <w:left w:val="single" w:sz="4" w:space="0" w:color="auto"/>
              <w:bottom w:val="single" w:sz="4" w:space="0" w:color="auto"/>
              <w:right w:val="single" w:sz="4" w:space="0" w:color="auto"/>
            </w:tcBorders>
            <w:hideMark/>
          </w:tcPr>
          <w:p w14:paraId="051451D3" w14:textId="77777777" w:rsidR="00DB1C4E" w:rsidRPr="00EF0A4B" w:rsidRDefault="00DB1C4E">
            <w:pPr>
              <w:rPr>
                <w:rFonts w:ascii="Times New Roman" w:hAnsi="Times New Roman" w:cs="Times New Roman"/>
                <w:sz w:val="22"/>
              </w:rPr>
            </w:pPr>
            <w:r w:rsidRPr="00EF0A4B">
              <w:rPr>
                <w:rFonts w:ascii="Times New Roman" w:hAnsi="Times New Roman" w:cs="Times New Roman"/>
                <w:sz w:val="22"/>
              </w:rPr>
              <w:t>Virkningen er ukendt.</w:t>
            </w:r>
          </w:p>
        </w:tc>
        <w:tc>
          <w:tcPr>
            <w:tcW w:w="1644" w:type="pct"/>
            <w:tcBorders>
              <w:top w:val="single" w:sz="4" w:space="0" w:color="auto"/>
              <w:left w:val="single" w:sz="4" w:space="0" w:color="auto"/>
              <w:bottom w:val="single" w:sz="4" w:space="0" w:color="auto"/>
              <w:right w:val="single" w:sz="4" w:space="0" w:color="auto"/>
            </w:tcBorders>
            <w:hideMark/>
          </w:tcPr>
          <w:p w14:paraId="7793CCD6" w14:textId="77777777" w:rsidR="00DB1C4E" w:rsidRPr="00EF0A4B" w:rsidRDefault="00DB1C4E">
            <w:pPr>
              <w:rPr>
                <w:rFonts w:ascii="Times New Roman" w:hAnsi="Times New Roman" w:cs="Times New Roman"/>
                <w:sz w:val="22"/>
                <w:lang w:val="da-DK"/>
              </w:rPr>
            </w:pPr>
            <w:r w:rsidRPr="00EF0A4B">
              <w:rPr>
                <w:rFonts w:ascii="Times New Roman" w:hAnsi="Times New Roman" w:cs="Times New Roman"/>
                <w:sz w:val="22"/>
                <w:lang w:val="da-DK"/>
              </w:rPr>
              <w:t>Der foreligger ingen data til at give doseringsanbefalinger ved samtidig administration med andre proteasehæmmere.</w:t>
            </w:r>
          </w:p>
        </w:tc>
      </w:tr>
      <w:tr w:rsidR="00DB1C4E" w:rsidRPr="00EF0A4B" w14:paraId="0924F44D" w14:textId="77777777" w:rsidTr="00132A6A">
        <w:trPr>
          <w:cantSplit/>
        </w:trPr>
        <w:tc>
          <w:tcPr>
            <w:tcW w:w="5000" w:type="pct"/>
            <w:gridSpan w:val="3"/>
            <w:tcBorders>
              <w:top w:val="single" w:sz="4" w:space="0" w:color="auto"/>
              <w:left w:val="single" w:sz="4" w:space="0" w:color="auto"/>
              <w:bottom w:val="single" w:sz="4" w:space="0" w:color="auto"/>
              <w:right w:val="single" w:sz="4" w:space="0" w:color="auto"/>
            </w:tcBorders>
            <w:hideMark/>
          </w:tcPr>
          <w:p w14:paraId="5FE5ACD9" w14:textId="77777777" w:rsidR="00DB1C4E" w:rsidRPr="00EF0A4B" w:rsidRDefault="00DB1C4E">
            <w:pPr>
              <w:keepNext/>
              <w:keepLines/>
              <w:rPr>
                <w:rFonts w:ascii="Times New Roman" w:hAnsi="Times New Roman" w:cs="Times New Roman"/>
                <w:b/>
                <w:bCs/>
                <w:sz w:val="22"/>
              </w:rPr>
            </w:pPr>
            <w:r w:rsidRPr="00EF0A4B">
              <w:rPr>
                <w:rFonts w:ascii="Times New Roman" w:hAnsi="Times New Roman" w:cs="Times New Roman"/>
                <w:b/>
                <w:bCs/>
                <w:sz w:val="22"/>
              </w:rPr>
              <w:lastRenderedPageBreak/>
              <w:t>Andre hiv-antiretrovirale lægemidler</w:t>
            </w:r>
          </w:p>
        </w:tc>
      </w:tr>
      <w:tr w:rsidR="00DB1C4E" w:rsidRPr="00EF0A4B" w14:paraId="369BB0DD" w14:textId="77777777" w:rsidTr="00132A6A">
        <w:trPr>
          <w:cantSplit/>
        </w:trPr>
        <w:tc>
          <w:tcPr>
            <w:tcW w:w="1776" w:type="pct"/>
            <w:tcBorders>
              <w:top w:val="single" w:sz="4" w:space="0" w:color="auto"/>
              <w:left w:val="single" w:sz="4" w:space="0" w:color="auto"/>
              <w:bottom w:val="single" w:sz="4" w:space="0" w:color="auto"/>
              <w:right w:val="single" w:sz="4" w:space="0" w:color="auto"/>
            </w:tcBorders>
            <w:hideMark/>
          </w:tcPr>
          <w:p w14:paraId="69BCDDED" w14:textId="2A914D64" w:rsidR="00DB1C4E" w:rsidRPr="00EF0A4B" w:rsidRDefault="00DB1C4E">
            <w:pPr>
              <w:rPr>
                <w:rFonts w:ascii="Times New Roman" w:hAnsi="Times New Roman" w:cs="Times New Roman"/>
                <w:sz w:val="22"/>
                <w:lang w:val="da-DK"/>
              </w:rPr>
            </w:pPr>
            <w:r w:rsidRPr="00EF0A4B">
              <w:rPr>
                <w:rFonts w:ascii="Times New Roman" w:hAnsi="Times New Roman" w:cs="Times New Roman"/>
                <w:sz w:val="22"/>
                <w:lang w:val="da-DK"/>
              </w:rPr>
              <w:t xml:space="preserve">Dolutegravir (50 mg én gang dagligt), </w:t>
            </w:r>
            <w:r w:rsidR="00202D86">
              <w:rPr>
                <w:rFonts w:ascii="Times New Roman" w:hAnsi="Times New Roman" w:cs="Times New Roman"/>
                <w:sz w:val="22"/>
                <w:lang w:val="da-DK"/>
              </w:rPr>
              <w:t>tenofovir alafenamid</w:t>
            </w:r>
            <w:r w:rsidRPr="00EF0A4B">
              <w:rPr>
                <w:rFonts w:ascii="Times New Roman" w:hAnsi="Times New Roman" w:cs="Times New Roman"/>
                <w:sz w:val="22"/>
                <w:lang w:val="da-DK"/>
              </w:rPr>
              <w:t xml:space="preserve"> (10</w:t>
            </w:r>
            <w:r w:rsidR="00EF0A4B">
              <w:rPr>
                <w:rFonts w:ascii="Times New Roman" w:hAnsi="Times New Roman" w:cs="Times New Roman"/>
                <w:sz w:val="22"/>
                <w:lang w:val="da-DK"/>
              </w:rPr>
              <w:t> </w:t>
            </w:r>
            <w:r w:rsidRPr="00EF0A4B">
              <w:rPr>
                <w:rFonts w:ascii="Times New Roman" w:hAnsi="Times New Roman" w:cs="Times New Roman"/>
                <w:sz w:val="22"/>
                <w:lang w:val="da-DK"/>
              </w:rPr>
              <w:t>mg én gang dagligt)</w:t>
            </w:r>
            <w:r w:rsidRPr="00EF0A4B">
              <w:rPr>
                <w:rFonts w:ascii="Times New Roman" w:hAnsi="Times New Roman" w:cs="Times New Roman"/>
                <w:sz w:val="22"/>
                <w:vertAlign w:val="superscript"/>
                <w:lang w:val="da-DK"/>
              </w:rPr>
              <w:t>3</w:t>
            </w:r>
          </w:p>
        </w:tc>
        <w:tc>
          <w:tcPr>
            <w:tcW w:w="1580" w:type="pct"/>
            <w:tcBorders>
              <w:top w:val="single" w:sz="4" w:space="0" w:color="auto"/>
              <w:left w:val="single" w:sz="4" w:space="0" w:color="auto"/>
              <w:bottom w:val="single" w:sz="4" w:space="0" w:color="auto"/>
              <w:right w:val="single" w:sz="4" w:space="0" w:color="auto"/>
            </w:tcBorders>
          </w:tcPr>
          <w:p w14:paraId="0D9AB088" w14:textId="3B135418" w:rsidR="00DB1C4E" w:rsidRPr="00EF0A4B" w:rsidRDefault="00202D86">
            <w:pPr>
              <w:keepNext/>
              <w:keepLines/>
              <w:rPr>
                <w:rFonts w:ascii="Times New Roman" w:hAnsi="Times New Roman" w:cs="Times New Roman"/>
                <w:sz w:val="22"/>
              </w:rPr>
            </w:pPr>
            <w:r>
              <w:rPr>
                <w:rFonts w:ascii="Times New Roman" w:hAnsi="Times New Roman" w:cs="Times New Roman"/>
                <w:sz w:val="22"/>
              </w:rPr>
              <w:t>Tenofovir alafenamid</w:t>
            </w:r>
            <w:r w:rsidR="00DB1C4E" w:rsidRPr="00EF0A4B">
              <w:rPr>
                <w:rFonts w:ascii="Times New Roman" w:hAnsi="Times New Roman" w:cs="Times New Roman"/>
                <w:sz w:val="22"/>
              </w:rPr>
              <w:t>:</w:t>
            </w:r>
          </w:p>
          <w:p w14:paraId="0273064F" w14:textId="77777777" w:rsidR="00DB1C4E" w:rsidRPr="00EF0A4B" w:rsidRDefault="00DB1C4E">
            <w:pPr>
              <w:keepNext/>
              <w:keepLines/>
              <w:rPr>
                <w:rFonts w:ascii="Times New Roman" w:hAnsi="Times New Roman" w:cs="Times New Roman"/>
                <w:sz w:val="22"/>
              </w:rPr>
            </w:pPr>
            <w:r w:rsidRPr="00EF0A4B">
              <w:rPr>
                <w:rFonts w:ascii="Times New Roman" w:hAnsi="Times New Roman" w:cs="Times New Roman"/>
                <w:sz w:val="22"/>
              </w:rPr>
              <w:t>AUC: ↔</w:t>
            </w:r>
          </w:p>
          <w:p w14:paraId="11C5C152" w14:textId="77777777" w:rsidR="00DB1C4E" w:rsidRPr="00EF0A4B" w:rsidRDefault="00DB1C4E">
            <w:pPr>
              <w:keepNext/>
              <w:keepLines/>
              <w:rPr>
                <w:rFonts w:ascii="Times New Roman" w:hAnsi="Times New Roman" w:cs="Times New Roman"/>
                <w:sz w:val="22"/>
              </w:rPr>
            </w:pPr>
            <w:r w:rsidRPr="00EF0A4B">
              <w:rPr>
                <w:rFonts w:ascii="Times New Roman" w:hAnsi="Times New Roman" w:cs="Times New Roman"/>
                <w:sz w:val="22"/>
              </w:rPr>
              <w:t>C</w:t>
            </w:r>
            <w:r w:rsidRPr="00EF0A4B">
              <w:rPr>
                <w:rFonts w:ascii="Times New Roman" w:hAnsi="Times New Roman" w:cs="Times New Roman"/>
                <w:sz w:val="22"/>
                <w:vertAlign w:val="subscript"/>
              </w:rPr>
              <w:t>max</w:t>
            </w:r>
            <w:r w:rsidRPr="00EF0A4B">
              <w:rPr>
                <w:rFonts w:ascii="Times New Roman" w:hAnsi="Times New Roman" w:cs="Times New Roman"/>
                <w:sz w:val="22"/>
              </w:rPr>
              <w:t>: ↔</w:t>
            </w:r>
          </w:p>
          <w:p w14:paraId="6A96183E" w14:textId="77777777" w:rsidR="00DB1C4E" w:rsidRPr="00EF0A4B" w:rsidRDefault="00DB1C4E">
            <w:pPr>
              <w:keepNext/>
              <w:keepLines/>
              <w:rPr>
                <w:rFonts w:ascii="Times New Roman" w:hAnsi="Times New Roman" w:cs="Times New Roman"/>
                <w:sz w:val="22"/>
              </w:rPr>
            </w:pPr>
          </w:p>
          <w:p w14:paraId="1B2CEEDF" w14:textId="77777777" w:rsidR="00DB1C4E" w:rsidRPr="00EF0A4B" w:rsidRDefault="00DB1C4E">
            <w:pPr>
              <w:keepNext/>
              <w:keepLines/>
              <w:rPr>
                <w:rFonts w:ascii="Times New Roman" w:hAnsi="Times New Roman" w:cs="Times New Roman"/>
                <w:sz w:val="22"/>
              </w:rPr>
            </w:pPr>
            <w:r w:rsidRPr="00EF0A4B">
              <w:rPr>
                <w:rFonts w:ascii="Times New Roman" w:hAnsi="Times New Roman" w:cs="Times New Roman"/>
                <w:sz w:val="22"/>
              </w:rPr>
              <w:t>Dolutegravir:</w:t>
            </w:r>
          </w:p>
          <w:p w14:paraId="25D4AD84" w14:textId="77777777" w:rsidR="00DB1C4E" w:rsidRPr="00EF0A4B" w:rsidRDefault="00DB1C4E">
            <w:pPr>
              <w:keepNext/>
              <w:keepLines/>
              <w:rPr>
                <w:rFonts w:ascii="Times New Roman" w:hAnsi="Times New Roman" w:cs="Times New Roman"/>
                <w:sz w:val="22"/>
              </w:rPr>
            </w:pPr>
            <w:r w:rsidRPr="00EF0A4B">
              <w:rPr>
                <w:rFonts w:ascii="Times New Roman" w:hAnsi="Times New Roman" w:cs="Times New Roman"/>
                <w:sz w:val="22"/>
              </w:rPr>
              <w:t>AUC: ↔</w:t>
            </w:r>
          </w:p>
          <w:p w14:paraId="6B1165E3" w14:textId="77777777" w:rsidR="00DB1C4E" w:rsidRPr="00EF0A4B" w:rsidRDefault="00DB1C4E">
            <w:pPr>
              <w:keepNext/>
              <w:keepLines/>
              <w:rPr>
                <w:rFonts w:ascii="Times New Roman" w:hAnsi="Times New Roman" w:cs="Times New Roman"/>
                <w:sz w:val="22"/>
              </w:rPr>
            </w:pPr>
            <w:r w:rsidRPr="00EF0A4B">
              <w:rPr>
                <w:rFonts w:ascii="Times New Roman" w:hAnsi="Times New Roman" w:cs="Times New Roman"/>
                <w:sz w:val="22"/>
              </w:rPr>
              <w:t>C</w:t>
            </w:r>
            <w:r w:rsidRPr="00EF0A4B">
              <w:rPr>
                <w:rFonts w:ascii="Times New Roman" w:hAnsi="Times New Roman" w:cs="Times New Roman"/>
                <w:sz w:val="22"/>
                <w:vertAlign w:val="subscript"/>
              </w:rPr>
              <w:t>max</w:t>
            </w:r>
            <w:r w:rsidRPr="00EF0A4B">
              <w:rPr>
                <w:rFonts w:ascii="Times New Roman" w:hAnsi="Times New Roman" w:cs="Times New Roman"/>
                <w:sz w:val="22"/>
              </w:rPr>
              <w:t>: ↔</w:t>
            </w:r>
          </w:p>
          <w:p w14:paraId="157E9381" w14:textId="77777777" w:rsidR="00DB1C4E" w:rsidRPr="00EF0A4B" w:rsidRDefault="00DB1C4E">
            <w:pPr>
              <w:keepNext/>
              <w:keepLines/>
              <w:rPr>
                <w:rFonts w:ascii="Times New Roman" w:hAnsi="Times New Roman" w:cs="Times New Roman"/>
                <w:sz w:val="22"/>
              </w:rPr>
            </w:pPr>
            <w:r w:rsidRPr="00EF0A4B">
              <w:rPr>
                <w:rFonts w:ascii="Times New Roman" w:hAnsi="Times New Roman" w:cs="Times New Roman"/>
                <w:sz w:val="22"/>
              </w:rPr>
              <w:t>C</w:t>
            </w:r>
            <w:r w:rsidRPr="00EF0A4B">
              <w:rPr>
                <w:rFonts w:ascii="Times New Roman" w:hAnsi="Times New Roman" w:cs="Times New Roman"/>
                <w:sz w:val="22"/>
                <w:vertAlign w:val="subscript"/>
              </w:rPr>
              <w:t>min</w:t>
            </w:r>
            <w:r w:rsidRPr="00EF0A4B">
              <w:rPr>
                <w:rFonts w:ascii="Times New Roman" w:hAnsi="Times New Roman" w:cs="Times New Roman"/>
                <w:sz w:val="22"/>
              </w:rPr>
              <w:t>: ↔</w:t>
            </w:r>
          </w:p>
        </w:tc>
        <w:tc>
          <w:tcPr>
            <w:tcW w:w="1644" w:type="pct"/>
            <w:tcBorders>
              <w:top w:val="single" w:sz="4" w:space="0" w:color="auto"/>
              <w:left w:val="single" w:sz="4" w:space="0" w:color="auto"/>
              <w:bottom w:val="single" w:sz="4" w:space="0" w:color="auto"/>
              <w:right w:val="single" w:sz="4" w:space="0" w:color="auto"/>
            </w:tcBorders>
            <w:hideMark/>
          </w:tcPr>
          <w:p w14:paraId="33ED6DD7" w14:textId="38CF2995" w:rsidR="00DB1C4E" w:rsidRPr="00EF0A4B" w:rsidRDefault="00DB1C4E">
            <w:pPr>
              <w:keepNext/>
              <w:keepLines/>
              <w:rPr>
                <w:rFonts w:ascii="Times New Roman" w:hAnsi="Times New Roman" w:cs="Times New Roman"/>
                <w:sz w:val="22"/>
                <w:lang w:val="da-DK"/>
              </w:rPr>
            </w:pPr>
            <w:r w:rsidRPr="00EF0A4B">
              <w:rPr>
                <w:rFonts w:ascii="Times New Roman" w:hAnsi="Times New Roman" w:cs="Times New Roman"/>
                <w:sz w:val="22"/>
                <w:lang w:val="da-DK"/>
              </w:rPr>
              <w:t xml:space="preserve">Den anbefalede dosis af Emtricitabine/Tenofovir alafenamide </w:t>
            </w:r>
            <w:r w:rsidR="008D5A42" w:rsidRPr="00EF0A4B">
              <w:rPr>
                <w:rFonts w:ascii="Times New Roman" w:hAnsi="Times New Roman" w:cs="Times New Roman"/>
                <w:sz w:val="22"/>
                <w:lang w:val="da-DK"/>
              </w:rPr>
              <w:t>"</w:t>
            </w:r>
            <w:r w:rsidRPr="00EF0A4B">
              <w:rPr>
                <w:rFonts w:ascii="Times New Roman" w:hAnsi="Times New Roman" w:cs="Times New Roman"/>
                <w:sz w:val="22"/>
                <w:lang w:val="da-DK"/>
              </w:rPr>
              <w:t>Zentiva</w:t>
            </w:r>
            <w:r w:rsidR="008D5A42" w:rsidRPr="00EF0A4B">
              <w:rPr>
                <w:rFonts w:ascii="Times New Roman" w:hAnsi="Times New Roman" w:cs="Times New Roman"/>
                <w:sz w:val="22"/>
                <w:lang w:val="da-DK"/>
              </w:rPr>
              <w:t>"</w:t>
            </w:r>
            <w:r w:rsidRPr="00EF0A4B">
              <w:rPr>
                <w:rFonts w:ascii="Times New Roman" w:hAnsi="Times New Roman" w:cs="Times New Roman"/>
                <w:sz w:val="22"/>
                <w:lang w:val="da-DK"/>
              </w:rPr>
              <w:t xml:space="preserve"> er 200/25</w:t>
            </w:r>
            <w:r w:rsidR="00EF0A4B">
              <w:rPr>
                <w:rFonts w:ascii="Times New Roman" w:hAnsi="Times New Roman" w:cs="Times New Roman"/>
                <w:sz w:val="22"/>
                <w:lang w:val="da-DK"/>
              </w:rPr>
              <w:t> </w:t>
            </w:r>
            <w:r w:rsidRPr="00EF0A4B">
              <w:rPr>
                <w:rFonts w:ascii="Times New Roman" w:hAnsi="Times New Roman" w:cs="Times New Roman"/>
                <w:sz w:val="22"/>
                <w:lang w:val="da-DK"/>
              </w:rPr>
              <w:t>mg én gang dagligt.</w:t>
            </w:r>
          </w:p>
        </w:tc>
      </w:tr>
      <w:tr w:rsidR="00DB1C4E" w:rsidRPr="00EF0A4B" w14:paraId="3A5361FC" w14:textId="77777777" w:rsidTr="00132A6A">
        <w:trPr>
          <w:cantSplit/>
        </w:trPr>
        <w:tc>
          <w:tcPr>
            <w:tcW w:w="1776" w:type="pct"/>
            <w:tcBorders>
              <w:top w:val="single" w:sz="4" w:space="0" w:color="auto"/>
              <w:left w:val="single" w:sz="4" w:space="0" w:color="auto"/>
              <w:bottom w:val="single" w:sz="4" w:space="0" w:color="auto"/>
              <w:right w:val="single" w:sz="4" w:space="0" w:color="auto"/>
            </w:tcBorders>
            <w:hideMark/>
          </w:tcPr>
          <w:p w14:paraId="0DDCED5F" w14:textId="352732E3" w:rsidR="00DB1C4E" w:rsidRPr="00EF0A4B" w:rsidRDefault="00DB1C4E">
            <w:pPr>
              <w:rPr>
                <w:rFonts w:ascii="Times New Roman" w:hAnsi="Times New Roman" w:cs="Times New Roman"/>
                <w:sz w:val="22"/>
                <w:lang w:val="da-DK"/>
              </w:rPr>
            </w:pPr>
            <w:r w:rsidRPr="00EF0A4B">
              <w:rPr>
                <w:rFonts w:ascii="Times New Roman" w:hAnsi="Times New Roman" w:cs="Times New Roman"/>
                <w:sz w:val="22"/>
                <w:lang w:val="da-DK"/>
              </w:rPr>
              <w:t xml:space="preserve">Rilpivirin (25 mg én gang dagligt), </w:t>
            </w:r>
            <w:r w:rsidR="00202D86">
              <w:rPr>
                <w:rFonts w:ascii="Times New Roman" w:hAnsi="Times New Roman" w:cs="Times New Roman"/>
                <w:sz w:val="22"/>
                <w:lang w:val="da-DK"/>
              </w:rPr>
              <w:t>tenofovir alafenamid</w:t>
            </w:r>
            <w:r w:rsidRPr="00EF0A4B">
              <w:rPr>
                <w:rFonts w:ascii="Times New Roman" w:hAnsi="Times New Roman" w:cs="Times New Roman"/>
                <w:sz w:val="22"/>
                <w:lang w:val="da-DK"/>
              </w:rPr>
              <w:t xml:space="preserve"> (25 mg én gang dagligt)</w:t>
            </w:r>
          </w:p>
        </w:tc>
        <w:tc>
          <w:tcPr>
            <w:tcW w:w="1580" w:type="pct"/>
            <w:tcBorders>
              <w:top w:val="single" w:sz="4" w:space="0" w:color="auto"/>
              <w:left w:val="single" w:sz="4" w:space="0" w:color="auto"/>
              <w:bottom w:val="single" w:sz="4" w:space="0" w:color="auto"/>
              <w:right w:val="single" w:sz="4" w:space="0" w:color="auto"/>
            </w:tcBorders>
          </w:tcPr>
          <w:p w14:paraId="6F8B1C3E" w14:textId="6A30A517" w:rsidR="00DB1C4E" w:rsidRPr="00EF0A4B" w:rsidRDefault="00202D86">
            <w:pPr>
              <w:rPr>
                <w:rFonts w:ascii="Times New Roman" w:hAnsi="Times New Roman" w:cs="Times New Roman"/>
                <w:sz w:val="22"/>
                <w:lang w:val="da-DK"/>
              </w:rPr>
            </w:pPr>
            <w:r>
              <w:rPr>
                <w:rFonts w:ascii="Times New Roman" w:hAnsi="Times New Roman" w:cs="Times New Roman"/>
                <w:sz w:val="22"/>
                <w:lang w:val="da-DK"/>
              </w:rPr>
              <w:t>Tenofovir alafenamid</w:t>
            </w:r>
            <w:r w:rsidR="00DB1C4E" w:rsidRPr="00EF0A4B">
              <w:rPr>
                <w:rFonts w:ascii="Times New Roman" w:hAnsi="Times New Roman" w:cs="Times New Roman"/>
                <w:sz w:val="22"/>
                <w:lang w:val="da-DK"/>
              </w:rPr>
              <w:t>:</w:t>
            </w:r>
          </w:p>
          <w:p w14:paraId="46C76258" w14:textId="77777777" w:rsidR="00DB1C4E" w:rsidRPr="00EF0A4B" w:rsidRDefault="00DB1C4E">
            <w:pPr>
              <w:rPr>
                <w:rFonts w:ascii="Times New Roman" w:hAnsi="Times New Roman" w:cs="Times New Roman"/>
                <w:sz w:val="22"/>
                <w:lang w:val="da-DK"/>
              </w:rPr>
            </w:pPr>
            <w:r w:rsidRPr="00EF0A4B">
              <w:rPr>
                <w:rFonts w:ascii="Times New Roman" w:hAnsi="Times New Roman" w:cs="Times New Roman"/>
                <w:sz w:val="22"/>
                <w:lang w:val="da-DK"/>
              </w:rPr>
              <w:t>AUC: ↔</w:t>
            </w:r>
          </w:p>
          <w:p w14:paraId="6A14B27E" w14:textId="77777777" w:rsidR="00DB1C4E" w:rsidRPr="00EF0A4B" w:rsidRDefault="00DB1C4E">
            <w:pPr>
              <w:rPr>
                <w:rFonts w:ascii="Times New Roman" w:hAnsi="Times New Roman" w:cs="Times New Roman"/>
                <w:sz w:val="22"/>
                <w:lang w:val="da-DK"/>
              </w:rPr>
            </w:pPr>
            <w:r w:rsidRPr="00EF0A4B">
              <w:rPr>
                <w:rFonts w:ascii="Times New Roman" w:hAnsi="Times New Roman" w:cs="Times New Roman"/>
                <w:sz w:val="22"/>
                <w:lang w:val="da-DK"/>
              </w:rPr>
              <w:t>C</w:t>
            </w:r>
            <w:r w:rsidRPr="00EF0A4B">
              <w:rPr>
                <w:rFonts w:ascii="Times New Roman" w:hAnsi="Times New Roman" w:cs="Times New Roman"/>
                <w:sz w:val="22"/>
                <w:vertAlign w:val="subscript"/>
                <w:lang w:val="da-DK"/>
              </w:rPr>
              <w:t>max</w:t>
            </w:r>
            <w:r w:rsidRPr="00EF0A4B">
              <w:rPr>
                <w:rFonts w:ascii="Times New Roman" w:hAnsi="Times New Roman" w:cs="Times New Roman"/>
                <w:sz w:val="22"/>
                <w:lang w:val="da-DK"/>
              </w:rPr>
              <w:t>: ↔</w:t>
            </w:r>
          </w:p>
          <w:p w14:paraId="37107486" w14:textId="77777777" w:rsidR="00DB1C4E" w:rsidRPr="00EF0A4B" w:rsidRDefault="00DB1C4E">
            <w:pPr>
              <w:rPr>
                <w:rFonts w:ascii="Times New Roman" w:hAnsi="Times New Roman" w:cs="Times New Roman"/>
                <w:sz w:val="22"/>
                <w:lang w:val="da-DK"/>
              </w:rPr>
            </w:pPr>
          </w:p>
          <w:p w14:paraId="0D530FF9" w14:textId="77777777" w:rsidR="00DB1C4E" w:rsidRPr="00EF0A4B" w:rsidRDefault="00DB1C4E">
            <w:pPr>
              <w:rPr>
                <w:rFonts w:ascii="Times New Roman" w:hAnsi="Times New Roman" w:cs="Times New Roman"/>
                <w:sz w:val="22"/>
                <w:lang w:val="da-DK"/>
              </w:rPr>
            </w:pPr>
            <w:r w:rsidRPr="00EF0A4B">
              <w:rPr>
                <w:rFonts w:ascii="Times New Roman" w:hAnsi="Times New Roman" w:cs="Times New Roman"/>
                <w:sz w:val="22"/>
                <w:lang w:val="da-DK"/>
              </w:rPr>
              <w:t>Rilpivirin:</w:t>
            </w:r>
          </w:p>
          <w:p w14:paraId="46988E63" w14:textId="77777777" w:rsidR="00DB1C4E" w:rsidRPr="00EF0A4B" w:rsidRDefault="00DB1C4E">
            <w:pPr>
              <w:rPr>
                <w:rFonts w:ascii="Times New Roman" w:hAnsi="Times New Roman" w:cs="Times New Roman"/>
                <w:sz w:val="22"/>
                <w:lang w:val="da-DK"/>
              </w:rPr>
            </w:pPr>
            <w:r w:rsidRPr="00EF0A4B">
              <w:rPr>
                <w:rFonts w:ascii="Times New Roman" w:hAnsi="Times New Roman" w:cs="Times New Roman"/>
                <w:sz w:val="22"/>
                <w:lang w:val="da-DK"/>
              </w:rPr>
              <w:t>AUC: ↔</w:t>
            </w:r>
          </w:p>
          <w:p w14:paraId="659B3804" w14:textId="77777777" w:rsidR="00DB1C4E" w:rsidRPr="00EF0A4B" w:rsidRDefault="00DB1C4E">
            <w:pPr>
              <w:rPr>
                <w:rFonts w:ascii="Times New Roman" w:hAnsi="Times New Roman" w:cs="Times New Roman"/>
                <w:sz w:val="22"/>
              </w:rPr>
            </w:pPr>
            <w:r w:rsidRPr="00EF0A4B">
              <w:rPr>
                <w:rFonts w:ascii="Times New Roman" w:hAnsi="Times New Roman" w:cs="Times New Roman"/>
                <w:sz w:val="22"/>
              </w:rPr>
              <w:t>C</w:t>
            </w:r>
            <w:r w:rsidRPr="00EF0A4B">
              <w:rPr>
                <w:rFonts w:ascii="Times New Roman" w:hAnsi="Times New Roman" w:cs="Times New Roman"/>
                <w:sz w:val="22"/>
                <w:vertAlign w:val="subscript"/>
              </w:rPr>
              <w:t>max</w:t>
            </w:r>
            <w:r w:rsidRPr="00EF0A4B">
              <w:rPr>
                <w:rFonts w:ascii="Times New Roman" w:hAnsi="Times New Roman" w:cs="Times New Roman"/>
                <w:sz w:val="22"/>
              </w:rPr>
              <w:t>: ↔</w:t>
            </w:r>
          </w:p>
          <w:p w14:paraId="0EC0D94F" w14:textId="77777777" w:rsidR="00DB1C4E" w:rsidRPr="00EF0A4B" w:rsidRDefault="00DB1C4E">
            <w:pPr>
              <w:rPr>
                <w:rFonts w:ascii="Times New Roman" w:hAnsi="Times New Roman" w:cs="Times New Roman"/>
                <w:sz w:val="22"/>
              </w:rPr>
            </w:pPr>
            <w:r w:rsidRPr="00EF0A4B">
              <w:rPr>
                <w:rFonts w:ascii="Times New Roman" w:hAnsi="Times New Roman" w:cs="Times New Roman"/>
                <w:sz w:val="22"/>
              </w:rPr>
              <w:t>C</w:t>
            </w:r>
            <w:r w:rsidRPr="00EF0A4B">
              <w:rPr>
                <w:rFonts w:ascii="Times New Roman" w:hAnsi="Times New Roman" w:cs="Times New Roman"/>
                <w:sz w:val="22"/>
                <w:vertAlign w:val="subscript"/>
              </w:rPr>
              <w:t>min</w:t>
            </w:r>
            <w:r w:rsidRPr="00EF0A4B">
              <w:rPr>
                <w:rFonts w:ascii="Times New Roman" w:hAnsi="Times New Roman" w:cs="Times New Roman"/>
                <w:sz w:val="22"/>
              </w:rPr>
              <w:t>: ↔</w:t>
            </w:r>
          </w:p>
        </w:tc>
        <w:tc>
          <w:tcPr>
            <w:tcW w:w="1644" w:type="pct"/>
            <w:tcBorders>
              <w:top w:val="single" w:sz="4" w:space="0" w:color="auto"/>
              <w:left w:val="single" w:sz="4" w:space="0" w:color="auto"/>
              <w:bottom w:val="single" w:sz="4" w:space="0" w:color="auto"/>
              <w:right w:val="single" w:sz="4" w:space="0" w:color="auto"/>
            </w:tcBorders>
            <w:hideMark/>
          </w:tcPr>
          <w:p w14:paraId="175D55BD" w14:textId="3F8E77D3" w:rsidR="00DB1C4E" w:rsidRPr="00EF0A4B" w:rsidRDefault="00DB1C4E">
            <w:pPr>
              <w:rPr>
                <w:rFonts w:ascii="Times New Roman" w:hAnsi="Times New Roman" w:cs="Times New Roman"/>
                <w:sz w:val="22"/>
                <w:lang w:val="da-DK"/>
              </w:rPr>
            </w:pPr>
            <w:r w:rsidRPr="00EF0A4B">
              <w:rPr>
                <w:rFonts w:ascii="Times New Roman" w:hAnsi="Times New Roman" w:cs="Times New Roman"/>
                <w:sz w:val="22"/>
                <w:lang w:val="da-DK"/>
              </w:rPr>
              <w:t xml:space="preserve">Den anbefalede dosis af Emtricitabine/Tenofovir alafenamide </w:t>
            </w:r>
            <w:r w:rsidR="008D5A42" w:rsidRPr="00EF0A4B">
              <w:rPr>
                <w:rFonts w:ascii="Times New Roman" w:hAnsi="Times New Roman" w:cs="Times New Roman"/>
                <w:sz w:val="22"/>
                <w:lang w:val="da-DK"/>
              </w:rPr>
              <w:t>"</w:t>
            </w:r>
            <w:r w:rsidRPr="00EF0A4B">
              <w:rPr>
                <w:rFonts w:ascii="Times New Roman" w:hAnsi="Times New Roman" w:cs="Times New Roman"/>
                <w:sz w:val="22"/>
                <w:lang w:val="da-DK"/>
              </w:rPr>
              <w:t>Zentiva</w:t>
            </w:r>
            <w:r w:rsidR="008D5A42" w:rsidRPr="00EF0A4B">
              <w:rPr>
                <w:rFonts w:ascii="Times New Roman" w:hAnsi="Times New Roman" w:cs="Times New Roman"/>
                <w:sz w:val="22"/>
                <w:lang w:val="da-DK"/>
              </w:rPr>
              <w:t>"</w:t>
            </w:r>
            <w:r w:rsidRPr="00EF0A4B">
              <w:rPr>
                <w:rFonts w:ascii="Times New Roman" w:hAnsi="Times New Roman" w:cs="Times New Roman"/>
                <w:sz w:val="22"/>
                <w:lang w:val="da-DK"/>
              </w:rPr>
              <w:t xml:space="preserve"> er </w:t>
            </w:r>
          </w:p>
          <w:p w14:paraId="72AEE350" w14:textId="77777777" w:rsidR="00DB1C4E" w:rsidRPr="00EF0A4B" w:rsidRDefault="00DB1C4E">
            <w:pPr>
              <w:rPr>
                <w:rFonts w:ascii="Times New Roman" w:hAnsi="Times New Roman" w:cs="Times New Roman"/>
                <w:sz w:val="22"/>
              </w:rPr>
            </w:pPr>
            <w:r w:rsidRPr="00EF0A4B">
              <w:rPr>
                <w:rFonts w:ascii="Times New Roman" w:hAnsi="Times New Roman" w:cs="Times New Roman"/>
                <w:sz w:val="22"/>
              </w:rPr>
              <w:t>200/25 mg én gang dagligt.</w:t>
            </w:r>
          </w:p>
        </w:tc>
      </w:tr>
      <w:tr w:rsidR="00DB1C4E" w:rsidRPr="00EF0A4B" w14:paraId="59CDA20D" w14:textId="77777777" w:rsidTr="00132A6A">
        <w:trPr>
          <w:cantSplit/>
        </w:trPr>
        <w:tc>
          <w:tcPr>
            <w:tcW w:w="1776" w:type="pct"/>
            <w:tcBorders>
              <w:top w:val="single" w:sz="4" w:space="0" w:color="auto"/>
              <w:left w:val="single" w:sz="4" w:space="0" w:color="auto"/>
              <w:bottom w:val="single" w:sz="4" w:space="0" w:color="auto"/>
              <w:right w:val="single" w:sz="4" w:space="0" w:color="auto"/>
            </w:tcBorders>
            <w:hideMark/>
          </w:tcPr>
          <w:p w14:paraId="2BE2C602" w14:textId="45803CD4" w:rsidR="00DB1C4E" w:rsidRPr="00EF0A4B" w:rsidRDefault="00DB1C4E">
            <w:pPr>
              <w:rPr>
                <w:rFonts w:ascii="Times New Roman" w:hAnsi="Times New Roman" w:cs="Times New Roman"/>
                <w:sz w:val="22"/>
                <w:lang w:val="da-DK"/>
              </w:rPr>
            </w:pPr>
            <w:r w:rsidRPr="00EF0A4B">
              <w:rPr>
                <w:rFonts w:ascii="Times New Roman" w:hAnsi="Times New Roman" w:cs="Times New Roman"/>
                <w:sz w:val="22"/>
                <w:lang w:val="da-DK"/>
              </w:rPr>
              <w:t xml:space="preserve">Efavirenz (600 mg én gang dagligt), </w:t>
            </w:r>
            <w:r w:rsidR="00202D86">
              <w:rPr>
                <w:rFonts w:ascii="Times New Roman" w:hAnsi="Times New Roman" w:cs="Times New Roman"/>
                <w:sz w:val="22"/>
                <w:lang w:val="da-DK"/>
              </w:rPr>
              <w:t>tenofovir alafenamid</w:t>
            </w:r>
            <w:r w:rsidRPr="00EF0A4B">
              <w:rPr>
                <w:rFonts w:ascii="Times New Roman" w:hAnsi="Times New Roman" w:cs="Times New Roman"/>
                <w:sz w:val="22"/>
                <w:lang w:val="da-DK"/>
              </w:rPr>
              <w:t xml:space="preserve"> (40 mg én gang dagligt)</w:t>
            </w:r>
            <w:r w:rsidRPr="00EF0A4B">
              <w:rPr>
                <w:rFonts w:ascii="Times New Roman" w:hAnsi="Times New Roman" w:cs="Times New Roman"/>
                <w:sz w:val="22"/>
                <w:vertAlign w:val="superscript"/>
                <w:lang w:val="da-DK"/>
              </w:rPr>
              <w:t>4</w:t>
            </w:r>
          </w:p>
        </w:tc>
        <w:tc>
          <w:tcPr>
            <w:tcW w:w="1580" w:type="pct"/>
            <w:tcBorders>
              <w:top w:val="single" w:sz="4" w:space="0" w:color="auto"/>
              <w:left w:val="single" w:sz="4" w:space="0" w:color="auto"/>
              <w:bottom w:val="single" w:sz="4" w:space="0" w:color="auto"/>
              <w:right w:val="single" w:sz="4" w:space="0" w:color="auto"/>
            </w:tcBorders>
            <w:hideMark/>
          </w:tcPr>
          <w:p w14:paraId="35D2FCD0" w14:textId="1CA6DBAA" w:rsidR="00DB1C4E" w:rsidRPr="00EF0A4B" w:rsidRDefault="00202D86">
            <w:pPr>
              <w:rPr>
                <w:rFonts w:ascii="Times New Roman" w:hAnsi="Times New Roman" w:cs="Times New Roman"/>
                <w:sz w:val="22"/>
              </w:rPr>
            </w:pPr>
            <w:r>
              <w:rPr>
                <w:rFonts w:ascii="Times New Roman" w:hAnsi="Times New Roman" w:cs="Times New Roman"/>
                <w:sz w:val="22"/>
              </w:rPr>
              <w:t>Tenofovir alafenamid</w:t>
            </w:r>
            <w:r w:rsidR="00DB1C4E" w:rsidRPr="00EF0A4B">
              <w:rPr>
                <w:rFonts w:ascii="Times New Roman" w:hAnsi="Times New Roman" w:cs="Times New Roman"/>
                <w:sz w:val="22"/>
              </w:rPr>
              <w:t>:</w:t>
            </w:r>
          </w:p>
          <w:p w14:paraId="7A399957" w14:textId="77777777" w:rsidR="00DB1C4E" w:rsidRPr="00EF0A4B" w:rsidRDefault="00DB1C4E">
            <w:pPr>
              <w:rPr>
                <w:rFonts w:ascii="Times New Roman" w:hAnsi="Times New Roman" w:cs="Times New Roman"/>
                <w:sz w:val="22"/>
              </w:rPr>
            </w:pPr>
            <w:r w:rsidRPr="00EF0A4B">
              <w:rPr>
                <w:rFonts w:ascii="Times New Roman" w:hAnsi="Times New Roman" w:cs="Times New Roman"/>
                <w:sz w:val="22"/>
              </w:rPr>
              <w:t>AUC: ↓ 14%</w:t>
            </w:r>
          </w:p>
          <w:p w14:paraId="0EBCA062" w14:textId="77777777" w:rsidR="00DB1C4E" w:rsidRPr="00EF0A4B" w:rsidRDefault="00DB1C4E">
            <w:pPr>
              <w:rPr>
                <w:rFonts w:ascii="Times New Roman" w:hAnsi="Times New Roman" w:cs="Times New Roman"/>
                <w:sz w:val="22"/>
              </w:rPr>
            </w:pPr>
            <w:r w:rsidRPr="00EF0A4B">
              <w:rPr>
                <w:rFonts w:ascii="Times New Roman" w:hAnsi="Times New Roman" w:cs="Times New Roman"/>
                <w:sz w:val="22"/>
              </w:rPr>
              <w:t>C</w:t>
            </w:r>
            <w:r w:rsidRPr="00EF0A4B">
              <w:rPr>
                <w:rFonts w:ascii="Times New Roman" w:hAnsi="Times New Roman" w:cs="Times New Roman"/>
                <w:sz w:val="22"/>
                <w:vertAlign w:val="subscript"/>
              </w:rPr>
              <w:t>max</w:t>
            </w:r>
            <w:r w:rsidRPr="00EF0A4B">
              <w:rPr>
                <w:rFonts w:ascii="Times New Roman" w:hAnsi="Times New Roman" w:cs="Times New Roman"/>
                <w:sz w:val="22"/>
              </w:rPr>
              <w:t>: ↓ 22%</w:t>
            </w:r>
          </w:p>
        </w:tc>
        <w:tc>
          <w:tcPr>
            <w:tcW w:w="1644" w:type="pct"/>
            <w:tcBorders>
              <w:top w:val="single" w:sz="4" w:space="0" w:color="auto"/>
              <w:left w:val="single" w:sz="4" w:space="0" w:color="auto"/>
              <w:bottom w:val="single" w:sz="4" w:space="0" w:color="auto"/>
              <w:right w:val="single" w:sz="4" w:space="0" w:color="auto"/>
            </w:tcBorders>
            <w:hideMark/>
          </w:tcPr>
          <w:p w14:paraId="3C63C01B" w14:textId="5254489C" w:rsidR="00DB1C4E" w:rsidRPr="00EF0A4B" w:rsidRDefault="00DB1C4E" w:rsidP="008D5A42">
            <w:pPr>
              <w:rPr>
                <w:rFonts w:ascii="Times New Roman" w:hAnsi="Times New Roman" w:cs="Times New Roman"/>
                <w:sz w:val="22"/>
                <w:lang w:val="da-DK"/>
              </w:rPr>
            </w:pPr>
            <w:r w:rsidRPr="00EF0A4B">
              <w:rPr>
                <w:rFonts w:ascii="Times New Roman" w:hAnsi="Times New Roman" w:cs="Times New Roman"/>
                <w:sz w:val="22"/>
                <w:lang w:val="da-DK"/>
              </w:rPr>
              <w:t xml:space="preserve">Den anbefalede dosis af Emtricitabine/Tenofovir alafenamide </w:t>
            </w:r>
            <w:r w:rsidR="008D5A42" w:rsidRPr="00EF0A4B">
              <w:rPr>
                <w:rFonts w:ascii="Times New Roman" w:hAnsi="Times New Roman" w:cs="Times New Roman"/>
                <w:sz w:val="22"/>
                <w:lang w:val="da-DK"/>
              </w:rPr>
              <w:t>"</w:t>
            </w:r>
            <w:r w:rsidRPr="00EF0A4B">
              <w:rPr>
                <w:rFonts w:ascii="Times New Roman" w:hAnsi="Times New Roman" w:cs="Times New Roman"/>
                <w:sz w:val="22"/>
                <w:lang w:val="da-DK"/>
              </w:rPr>
              <w:t>Zentiva</w:t>
            </w:r>
            <w:r w:rsidR="008D5A42" w:rsidRPr="00EF0A4B">
              <w:rPr>
                <w:rFonts w:ascii="Times New Roman" w:hAnsi="Times New Roman" w:cs="Times New Roman"/>
                <w:sz w:val="22"/>
                <w:lang w:val="da-DK"/>
              </w:rPr>
              <w:t>"</w:t>
            </w:r>
            <w:r w:rsidRPr="00EF0A4B">
              <w:rPr>
                <w:rFonts w:ascii="Times New Roman" w:hAnsi="Times New Roman" w:cs="Times New Roman"/>
                <w:sz w:val="22"/>
                <w:lang w:val="da-DK"/>
              </w:rPr>
              <w:t xml:space="preserve"> er 200/25</w:t>
            </w:r>
            <w:r w:rsidR="00EF0A4B">
              <w:rPr>
                <w:rFonts w:ascii="Times New Roman" w:hAnsi="Times New Roman" w:cs="Times New Roman"/>
                <w:sz w:val="22"/>
                <w:lang w:val="da-DK"/>
              </w:rPr>
              <w:t> </w:t>
            </w:r>
            <w:r w:rsidRPr="00EF0A4B">
              <w:rPr>
                <w:rFonts w:ascii="Times New Roman" w:hAnsi="Times New Roman" w:cs="Times New Roman"/>
                <w:sz w:val="22"/>
                <w:lang w:val="da-DK"/>
              </w:rPr>
              <w:t>mg én gang dagligt.</w:t>
            </w:r>
          </w:p>
        </w:tc>
      </w:tr>
      <w:tr w:rsidR="00DB1C4E" w:rsidRPr="00EF0A4B" w14:paraId="3FEF4748" w14:textId="77777777" w:rsidTr="00132A6A">
        <w:trPr>
          <w:cantSplit/>
        </w:trPr>
        <w:tc>
          <w:tcPr>
            <w:tcW w:w="1776" w:type="pct"/>
            <w:tcBorders>
              <w:top w:val="single" w:sz="4" w:space="0" w:color="auto"/>
              <w:left w:val="single" w:sz="4" w:space="0" w:color="auto"/>
              <w:bottom w:val="single" w:sz="4" w:space="0" w:color="auto"/>
              <w:right w:val="single" w:sz="4" w:space="0" w:color="auto"/>
            </w:tcBorders>
            <w:hideMark/>
          </w:tcPr>
          <w:p w14:paraId="40CEA92F" w14:textId="77777777" w:rsidR="00DB1C4E" w:rsidRPr="00EF0A4B" w:rsidRDefault="00DB1C4E">
            <w:pPr>
              <w:rPr>
                <w:rFonts w:ascii="Times New Roman" w:hAnsi="Times New Roman" w:cs="Times New Roman"/>
                <w:sz w:val="22"/>
              </w:rPr>
            </w:pPr>
            <w:r w:rsidRPr="00EF0A4B">
              <w:rPr>
                <w:rFonts w:ascii="Times New Roman" w:hAnsi="Times New Roman" w:cs="Times New Roman"/>
                <w:sz w:val="22"/>
              </w:rPr>
              <w:t>Maraviroc</w:t>
            </w:r>
          </w:p>
          <w:p w14:paraId="533D4F75" w14:textId="77777777" w:rsidR="00DB1C4E" w:rsidRPr="00EF0A4B" w:rsidRDefault="00DB1C4E">
            <w:pPr>
              <w:rPr>
                <w:rFonts w:ascii="Times New Roman" w:hAnsi="Times New Roman" w:cs="Times New Roman"/>
                <w:sz w:val="22"/>
              </w:rPr>
            </w:pPr>
            <w:r w:rsidRPr="00EF0A4B">
              <w:rPr>
                <w:rFonts w:ascii="Times New Roman" w:hAnsi="Times New Roman" w:cs="Times New Roman"/>
                <w:sz w:val="22"/>
              </w:rPr>
              <w:t>Nevirapin</w:t>
            </w:r>
          </w:p>
          <w:p w14:paraId="721E1E1B" w14:textId="77777777" w:rsidR="00DB1C4E" w:rsidRPr="00EF0A4B" w:rsidRDefault="00DB1C4E">
            <w:pPr>
              <w:rPr>
                <w:rFonts w:ascii="Times New Roman" w:hAnsi="Times New Roman" w:cs="Times New Roman"/>
                <w:sz w:val="22"/>
              </w:rPr>
            </w:pPr>
            <w:r w:rsidRPr="00EF0A4B">
              <w:rPr>
                <w:rFonts w:ascii="Times New Roman" w:hAnsi="Times New Roman" w:cs="Times New Roman"/>
                <w:sz w:val="22"/>
              </w:rPr>
              <w:t>Raltegravir</w:t>
            </w:r>
          </w:p>
        </w:tc>
        <w:tc>
          <w:tcPr>
            <w:tcW w:w="1580" w:type="pct"/>
            <w:tcBorders>
              <w:top w:val="single" w:sz="4" w:space="0" w:color="auto"/>
              <w:left w:val="single" w:sz="4" w:space="0" w:color="auto"/>
              <w:bottom w:val="single" w:sz="4" w:space="0" w:color="auto"/>
              <w:right w:val="single" w:sz="4" w:space="0" w:color="auto"/>
            </w:tcBorders>
          </w:tcPr>
          <w:p w14:paraId="0875F383" w14:textId="0646C70F" w:rsidR="00DB1C4E" w:rsidRPr="00EF0A4B" w:rsidRDefault="00DB1C4E">
            <w:pPr>
              <w:rPr>
                <w:rFonts w:ascii="Times New Roman" w:hAnsi="Times New Roman" w:cs="Times New Roman"/>
                <w:sz w:val="22"/>
                <w:lang w:val="da-DK"/>
              </w:rPr>
            </w:pPr>
            <w:r w:rsidRPr="00EF0A4B">
              <w:rPr>
                <w:rFonts w:ascii="Times New Roman" w:hAnsi="Times New Roman" w:cs="Times New Roman"/>
                <w:sz w:val="22"/>
                <w:lang w:val="da-DK"/>
              </w:rPr>
              <w:t xml:space="preserve">Interaktion er ikke undersøgt med nogle af komponenterne i Emtricitabine/Tenofovir alafenamide </w:t>
            </w:r>
            <w:r w:rsidR="008D5A42" w:rsidRPr="00EF0A4B">
              <w:rPr>
                <w:rFonts w:ascii="Times New Roman" w:hAnsi="Times New Roman" w:cs="Times New Roman"/>
                <w:sz w:val="22"/>
                <w:lang w:val="da-DK"/>
              </w:rPr>
              <w:t>"</w:t>
            </w:r>
            <w:r w:rsidRPr="00EF0A4B">
              <w:rPr>
                <w:rFonts w:ascii="Times New Roman" w:hAnsi="Times New Roman" w:cs="Times New Roman"/>
                <w:sz w:val="22"/>
                <w:lang w:val="da-DK"/>
              </w:rPr>
              <w:t>Zentiva</w:t>
            </w:r>
            <w:r w:rsidR="008D5A42" w:rsidRPr="00EF0A4B">
              <w:rPr>
                <w:rFonts w:ascii="Times New Roman" w:hAnsi="Times New Roman" w:cs="Times New Roman"/>
                <w:sz w:val="22"/>
                <w:lang w:val="da-DK"/>
              </w:rPr>
              <w:t>"</w:t>
            </w:r>
            <w:r w:rsidRPr="00EF0A4B">
              <w:rPr>
                <w:rFonts w:ascii="Times New Roman" w:hAnsi="Times New Roman" w:cs="Times New Roman"/>
                <w:sz w:val="22"/>
                <w:lang w:val="da-DK"/>
              </w:rPr>
              <w:t>.</w:t>
            </w:r>
          </w:p>
          <w:p w14:paraId="300BAC40" w14:textId="77777777" w:rsidR="00DB1C4E" w:rsidRPr="00EF0A4B" w:rsidRDefault="00DB1C4E">
            <w:pPr>
              <w:rPr>
                <w:rFonts w:ascii="Times New Roman" w:hAnsi="Times New Roman" w:cs="Times New Roman"/>
                <w:sz w:val="22"/>
                <w:lang w:val="da-DK"/>
              </w:rPr>
            </w:pPr>
          </w:p>
          <w:p w14:paraId="4ADBEDEA" w14:textId="368C98E2" w:rsidR="00DB1C4E" w:rsidRPr="00EF0A4B" w:rsidRDefault="00DB1C4E">
            <w:pPr>
              <w:rPr>
                <w:rFonts w:ascii="Times New Roman" w:hAnsi="Times New Roman" w:cs="Times New Roman"/>
                <w:sz w:val="22"/>
                <w:lang w:val="da-DK"/>
              </w:rPr>
            </w:pPr>
            <w:r w:rsidRPr="00EF0A4B">
              <w:rPr>
                <w:rFonts w:ascii="Times New Roman" w:hAnsi="Times New Roman" w:cs="Times New Roman"/>
                <w:sz w:val="22"/>
                <w:lang w:val="da-DK"/>
              </w:rPr>
              <w:t xml:space="preserve">Det forventes ikke, at eksponering over for </w:t>
            </w:r>
            <w:r w:rsidR="00202D86">
              <w:rPr>
                <w:rFonts w:ascii="Times New Roman" w:hAnsi="Times New Roman" w:cs="Times New Roman"/>
                <w:sz w:val="22"/>
                <w:lang w:val="da-DK"/>
              </w:rPr>
              <w:t>tenofovir alafenamid</w:t>
            </w:r>
            <w:r w:rsidRPr="00EF0A4B">
              <w:rPr>
                <w:rFonts w:ascii="Times New Roman" w:hAnsi="Times New Roman" w:cs="Times New Roman"/>
                <w:sz w:val="22"/>
                <w:lang w:val="da-DK"/>
              </w:rPr>
              <w:t xml:space="preserve"> påvirkes af maraviroc, nevirapin eller raltegravir, og det forventes heller ikke at påvirke metaboliske veje og udskillelsesveje relevante for maraviroc, nevirapin eller raltegravir.</w:t>
            </w:r>
          </w:p>
        </w:tc>
        <w:tc>
          <w:tcPr>
            <w:tcW w:w="1644" w:type="pct"/>
            <w:tcBorders>
              <w:top w:val="single" w:sz="4" w:space="0" w:color="auto"/>
              <w:left w:val="single" w:sz="4" w:space="0" w:color="auto"/>
              <w:bottom w:val="single" w:sz="4" w:space="0" w:color="auto"/>
              <w:right w:val="single" w:sz="4" w:space="0" w:color="auto"/>
            </w:tcBorders>
            <w:hideMark/>
          </w:tcPr>
          <w:p w14:paraId="0EBB3BBC" w14:textId="6F3F75FB" w:rsidR="00DB1C4E" w:rsidRPr="00EF0A4B" w:rsidRDefault="00DB1C4E" w:rsidP="008D5A42">
            <w:pPr>
              <w:rPr>
                <w:rFonts w:ascii="Times New Roman" w:hAnsi="Times New Roman" w:cs="Times New Roman"/>
                <w:sz w:val="22"/>
                <w:lang w:val="da-DK"/>
              </w:rPr>
            </w:pPr>
            <w:r w:rsidRPr="00EF0A4B">
              <w:rPr>
                <w:rFonts w:ascii="Times New Roman" w:hAnsi="Times New Roman" w:cs="Times New Roman"/>
                <w:sz w:val="22"/>
                <w:lang w:val="da-DK"/>
              </w:rPr>
              <w:t xml:space="preserve">Den anbefalede dosis af Emtricitabine/Tenofovir alafenamide </w:t>
            </w:r>
            <w:r w:rsidR="008D5A42" w:rsidRPr="00EF0A4B">
              <w:rPr>
                <w:rFonts w:ascii="Times New Roman" w:hAnsi="Times New Roman" w:cs="Times New Roman"/>
                <w:sz w:val="22"/>
                <w:lang w:val="da-DK"/>
              </w:rPr>
              <w:t>"</w:t>
            </w:r>
            <w:r w:rsidRPr="00EF0A4B">
              <w:rPr>
                <w:rFonts w:ascii="Times New Roman" w:hAnsi="Times New Roman" w:cs="Times New Roman"/>
                <w:sz w:val="22"/>
                <w:lang w:val="da-DK"/>
              </w:rPr>
              <w:t>Zentiva</w:t>
            </w:r>
            <w:r w:rsidR="008D5A42" w:rsidRPr="00EF0A4B">
              <w:rPr>
                <w:rFonts w:ascii="Times New Roman" w:hAnsi="Times New Roman" w:cs="Times New Roman"/>
                <w:sz w:val="22"/>
                <w:lang w:val="da-DK"/>
              </w:rPr>
              <w:t>"</w:t>
            </w:r>
            <w:r w:rsidRPr="00EF0A4B">
              <w:rPr>
                <w:rFonts w:ascii="Times New Roman" w:hAnsi="Times New Roman" w:cs="Times New Roman"/>
                <w:sz w:val="22"/>
                <w:lang w:val="da-DK"/>
              </w:rPr>
              <w:t xml:space="preserve"> er 200/25</w:t>
            </w:r>
            <w:r w:rsidR="00EF0A4B">
              <w:rPr>
                <w:rFonts w:ascii="Times New Roman" w:hAnsi="Times New Roman" w:cs="Times New Roman"/>
                <w:sz w:val="22"/>
                <w:lang w:val="da-DK"/>
              </w:rPr>
              <w:t> </w:t>
            </w:r>
            <w:r w:rsidRPr="00EF0A4B">
              <w:rPr>
                <w:rFonts w:ascii="Times New Roman" w:hAnsi="Times New Roman" w:cs="Times New Roman"/>
                <w:sz w:val="22"/>
                <w:lang w:val="da-DK"/>
              </w:rPr>
              <w:t>mg én gang dagligt.</w:t>
            </w:r>
          </w:p>
        </w:tc>
      </w:tr>
      <w:tr w:rsidR="00DB1C4E" w:rsidRPr="00EF0A4B" w14:paraId="461A3745" w14:textId="77777777" w:rsidTr="00132A6A">
        <w:trPr>
          <w:cantSplit/>
        </w:trPr>
        <w:tc>
          <w:tcPr>
            <w:tcW w:w="5000" w:type="pct"/>
            <w:gridSpan w:val="3"/>
            <w:tcBorders>
              <w:top w:val="single" w:sz="4" w:space="0" w:color="auto"/>
              <w:left w:val="single" w:sz="4" w:space="0" w:color="auto"/>
              <w:bottom w:val="single" w:sz="4" w:space="0" w:color="auto"/>
              <w:right w:val="single" w:sz="4" w:space="0" w:color="auto"/>
            </w:tcBorders>
            <w:hideMark/>
          </w:tcPr>
          <w:p w14:paraId="598E6088" w14:textId="77777777" w:rsidR="00DB1C4E" w:rsidRPr="00EF0A4B" w:rsidRDefault="00DB1C4E">
            <w:pPr>
              <w:keepNext/>
              <w:widowControl/>
              <w:rPr>
                <w:rFonts w:ascii="Times New Roman" w:hAnsi="Times New Roman" w:cs="Times New Roman"/>
                <w:b/>
                <w:bCs/>
                <w:i/>
                <w:iCs/>
                <w:sz w:val="22"/>
              </w:rPr>
            </w:pPr>
            <w:r w:rsidRPr="00EF0A4B">
              <w:rPr>
                <w:rFonts w:ascii="Times New Roman" w:hAnsi="Times New Roman" w:cs="Times New Roman"/>
                <w:b/>
                <w:bCs/>
                <w:i/>
                <w:iCs/>
                <w:sz w:val="22"/>
              </w:rPr>
              <w:lastRenderedPageBreak/>
              <w:t>ANTIKONVULSIVA</w:t>
            </w:r>
          </w:p>
        </w:tc>
      </w:tr>
      <w:tr w:rsidR="00DB1C4E" w:rsidRPr="00EF0A4B" w14:paraId="73BE743A" w14:textId="77777777" w:rsidTr="00132A6A">
        <w:trPr>
          <w:cantSplit/>
        </w:trPr>
        <w:tc>
          <w:tcPr>
            <w:tcW w:w="1776" w:type="pct"/>
            <w:tcBorders>
              <w:top w:val="single" w:sz="4" w:space="0" w:color="auto"/>
              <w:left w:val="single" w:sz="4" w:space="0" w:color="auto"/>
              <w:bottom w:val="single" w:sz="4" w:space="0" w:color="auto"/>
              <w:right w:val="single" w:sz="4" w:space="0" w:color="auto"/>
            </w:tcBorders>
            <w:hideMark/>
          </w:tcPr>
          <w:p w14:paraId="76C72130" w14:textId="77777777" w:rsidR="00DB1C4E" w:rsidRPr="00EF0A4B" w:rsidRDefault="00DB1C4E">
            <w:pPr>
              <w:keepNext/>
              <w:widowControl/>
              <w:rPr>
                <w:rFonts w:ascii="Times New Roman" w:hAnsi="Times New Roman" w:cs="Times New Roman"/>
                <w:sz w:val="22"/>
              </w:rPr>
            </w:pPr>
            <w:r w:rsidRPr="00EF0A4B">
              <w:rPr>
                <w:rFonts w:ascii="Times New Roman" w:hAnsi="Times New Roman" w:cs="Times New Roman"/>
                <w:sz w:val="22"/>
              </w:rPr>
              <w:t>Oxcarbazepin</w:t>
            </w:r>
          </w:p>
          <w:p w14:paraId="50512772" w14:textId="77777777" w:rsidR="00DB1C4E" w:rsidRPr="00EF0A4B" w:rsidRDefault="00DB1C4E">
            <w:pPr>
              <w:keepNext/>
              <w:widowControl/>
              <w:rPr>
                <w:rFonts w:ascii="Times New Roman" w:hAnsi="Times New Roman" w:cs="Times New Roman"/>
                <w:sz w:val="22"/>
              </w:rPr>
            </w:pPr>
            <w:r w:rsidRPr="00EF0A4B">
              <w:rPr>
                <w:rFonts w:ascii="Times New Roman" w:hAnsi="Times New Roman" w:cs="Times New Roman"/>
                <w:sz w:val="22"/>
              </w:rPr>
              <w:t>Phenobarbital</w:t>
            </w:r>
          </w:p>
          <w:p w14:paraId="546327BD" w14:textId="77777777" w:rsidR="00DB1C4E" w:rsidRPr="00EF0A4B" w:rsidRDefault="00DB1C4E">
            <w:pPr>
              <w:keepNext/>
              <w:widowControl/>
              <w:rPr>
                <w:rFonts w:ascii="Times New Roman" w:hAnsi="Times New Roman" w:cs="Times New Roman"/>
                <w:sz w:val="22"/>
              </w:rPr>
            </w:pPr>
            <w:r w:rsidRPr="00EF0A4B">
              <w:rPr>
                <w:rFonts w:ascii="Times New Roman" w:hAnsi="Times New Roman" w:cs="Times New Roman"/>
                <w:sz w:val="22"/>
              </w:rPr>
              <w:t>Phenytoin</w:t>
            </w:r>
          </w:p>
        </w:tc>
        <w:tc>
          <w:tcPr>
            <w:tcW w:w="1580" w:type="pct"/>
            <w:tcBorders>
              <w:top w:val="single" w:sz="4" w:space="0" w:color="auto"/>
              <w:left w:val="single" w:sz="4" w:space="0" w:color="auto"/>
              <w:bottom w:val="single" w:sz="4" w:space="0" w:color="auto"/>
              <w:right w:val="single" w:sz="4" w:space="0" w:color="auto"/>
            </w:tcBorders>
          </w:tcPr>
          <w:p w14:paraId="7AF86A01" w14:textId="01905C6C" w:rsidR="00DB1C4E" w:rsidRPr="00EF0A4B" w:rsidRDefault="00DB1C4E">
            <w:pPr>
              <w:keepNext/>
              <w:widowControl/>
              <w:rPr>
                <w:rFonts w:ascii="Times New Roman" w:hAnsi="Times New Roman" w:cs="Times New Roman"/>
                <w:sz w:val="22"/>
                <w:lang w:val="da-DK"/>
              </w:rPr>
            </w:pPr>
            <w:r w:rsidRPr="00EF0A4B">
              <w:rPr>
                <w:rFonts w:ascii="Times New Roman" w:hAnsi="Times New Roman" w:cs="Times New Roman"/>
                <w:sz w:val="22"/>
                <w:lang w:val="da-DK"/>
              </w:rPr>
              <w:t xml:space="preserve">Interaktion er ikke undersøgt med nogle af komponenterne i Emtricitabine/Tenofovir alafenamide </w:t>
            </w:r>
            <w:r w:rsidR="008D5A42" w:rsidRPr="00EF0A4B">
              <w:rPr>
                <w:rFonts w:ascii="Times New Roman" w:hAnsi="Times New Roman" w:cs="Times New Roman"/>
                <w:sz w:val="22"/>
                <w:lang w:val="da-DK"/>
              </w:rPr>
              <w:t>"</w:t>
            </w:r>
            <w:r w:rsidRPr="00EF0A4B">
              <w:rPr>
                <w:rFonts w:ascii="Times New Roman" w:hAnsi="Times New Roman" w:cs="Times New Roman"/>
                <w:sz w:val="22"/>
                <w:lang w:val="da-DK"/>
              </w:rPr>
              <w:t>Zentiva</w:t>
            </w:r>
            <w:r w:rsidR="008D5A42" w:rsidRPr="00EF0A4B">
              <w:rPr>
                <w:rFonts w:ascii="Times New Roman" w:hAnsi="Times New Roman" w:cs="Times New Roman"/>
                <w:sz w:val="22"/>
                <w:lang w:val="da-DK"/>
              </w:rPr>
              <w:t>"</w:t>
            </w:r>
            <w:r w:rsidRPr="00EF0A4B">
              <w:rPr>
                <w:rFonts w:ascii="Times New Roman" w:hAnsi="Times New Roman" w:cs="Times New Roman"/>
                <w:sz w:val="22"/>
                <w:lang w:val="da-DK"/>
              </w:rPr>
              <w:t>.</w:t>
            </w:r>
          </w:p>
          <w:p w14:paraId="27079B3B" w14:textId="77777777" w:rsidR="00DB1C4E" w:rsidRPr="00EF0A4B" w:rsidRDefault="00DB1C4E">
            <w:pPr>
              <w:keepNext/>
              <w:widowControl/>
              <w:rPr>
                <w:rFonts w:ascii="Times New Roman" w:hAnsi="Times New Roman" w:cs="Times New Roman"/>
                <w:sz w:val="22"/>
                <w:lang w:val="da-DK"/>
              </w:rPr>
            </w:pPr>
          </w:p>
          <w:p w14:paraId="69DAEB71" w14:textId="72030CD3" w:rsidR="00DB1C4E" w:rsidRPr="00EF0A4B" w:rsidRDefault="00DB1C4E">
            <w:pPr>
              <w:keepNext/>
              <w:widowControl/>
              <w:rPr>
                <w:rFonts w:ascii="Times New Roman" w:hAnsi="Times New Roman" w:cs="Times New Roman"/>
                <w:sz w:val="22"/>
                <w:lang w:val="da-DK"/>
              </w:rPr>
            </w:pPr>
            <w:r w:rsidRPr="00EF0A4B">
              <w:rPr>
                <w:rFonts w:ascii="Times New Roman" w:hAnsi="Times New Roman" w:cs="Times New Roman"/>
                <w:sz w:val="22"/>
                <w:lang w:val="da-DK"/>
              </w:rPr>
              <w:t xml:space="preserve">Samtidig administration af oxcarbazepin, phenobarbital eller phenytoin, som alle er P-gp-inducere, kan reducere plasmakoncentrationerne af </w:t>
            </w:r>
            <w:r w:rsidR="00202D86">
              <w:rPr>
                <w:rFonts w:ascii="Times New Roman" w:hAnsi="Times New Roman" w:cs="Times New Roman"/>
                <w:sz w:val="22"/>
                <w:lang w:val="da-DK"/>
              </w:rPr>
              <w:t>tenofovir alafenamid</w:t>
            </w:r>
            <w:r w:rsidRPr="00EF0A4B">
              <w:rPr>
                <w:rFonts w:ascii="Times New Roman" w:hAnsi="Times New Roman" w:cs="Times New Roman"/>
                <w:sz w:val="22"/>
                <w:lang w:val="da-DK"/>
              </w:rPr>
              <w:t>, hvilket kan forårsage svigtende terapeutisk virkning og udvikling af resistens.</w:t>
            </w:r>
          </w:p>
        </w:tc>
        <w:tc>
          <w:tcPr>
            <w:tcW w:w="1644" w:type="pct"/>
            <w:tcBorders>
              <w:top w:val="single" w:sz="4" w:space="0" w:color="auto"/>
              <w:left w:val="single" w:sz="4" w:space="0" w:color="auto"/>
              <w:bottom w:val="single" w:sz="4" w:space="0" w:color="auto"/>
              <w:right w:val="single" w:sz="4" w:space="0" w:color="auto"/>
            </w:tcBorders>
            <w:hideMark/>
          </w:tcPr>
          <w:p w14:paraId="0E87330F" w14:textId="30009318" w:rsidR="00DB1C4E" w:rsidRPr="00EF0A4B" w:rsidRDefault="00DB1C4E">
            <w:pPr>
              <w:keepNext/>
              <w:widowControl/>
              <w:rPr>
                <w:rFonts w:ascii="Times New Roman" w:hAnsi="Times New Roman" w:cs="Times New Roman"/>
                <w:sz w:val="22"/>
                <w:lang w:val="da-DK"/>
              </w:rPr>
            </w:pPr>
            <w:r w:rsidRPr="00EF0A4B">
              <w:rPr>
                <w:rFonts w:ascii="Times New Roman" w:hAnsi="Times New Roman" w:cs="Times New Roman"/>
                <w:sz w:val="22"/>
                <w:lang w:val="da-DK"/>
              </w:rPr>
              <w:t xml:space="preserve">Samtidig administration af Emtricitabine/Tenofovir alafenamide </w:t>
            </w:r>
            <w:r w:rsidR="008D5A42" w:rsidRPr="00EF0A4B">
              <w:rPr>
                <w:rFonts w:ascii="Times New Roman" w:hAnsi="Times New Roman" w:cs="Times New Roman"/>
                <w:sz w:val="22"/>
                <w:lang w:val="da-DK"/>
              </w:rPr>
              <w:t>"</w:t>
            </w:r>
            <w:r w:rsidRPr="00EF0A4B">
              <w:rPr>
                <w:rFonts w:ascii="Times New Roman" w:hAnsi="Times New Roman" w:cs="Times New Roman"/>
                <w:sz w:val="22"/>
                <w:lang w:val="da-DK"/>
              </w:rPr>
              <w:t>Zentiva</w:t>
            </w:r>
            <w:r w:rsidR="008D5A42" w:rsidRPr="00EF0A4B">
              <w:rPr>
                <w:rFonts w:ascii="Times New Roman" w:hAnsi="Times New Roman" w:cs="Times New Roman"/>
                <w:sz w:val="22"/>
                <w:lang w:val="da-DK"/>
              </w:rPr>
              <w:t>"</w:t>
            </w:r>
            <w:r w:rsidRPr="00EF0A4B">
              <w:rPr>
                <w:rFonts w:ascii="Times New Roman" w:hAnsi="Times New Roman" w:cs="Times New Roman"/>
                <w:sz w:val="22"/>
                <w:lang w:val="da-DK"/>
              </w:rPr>
              <w:t xml:space="preserve"> og oxcarbazepin, phenobarbital eller phenytoin anbefales ikke.</w:t>
            </w:r>
          </w:p>
        </w:tc>
      </w:tr>
      <w:tr w:rsidR="00DB1C4E" w:rsidRPr="00EF0A4B" w14:paraId="2A69DB24" w14:textId="77777777" w:rsidTr="00132A6A">
        <w:trPr>
          <w:cantSplit/>
        </w:trPr>
        <w:tc>
          <w:tcPr>
            <w:tcW w:w="1776" w:type="pct"/>
            <w:tcBorders>
              <w:top w:val="single" w:sz="4" w:space="0" w:color="auto"/>
              <w:left w:val="single" w:sz="4" w:space="0" w:color="auto"/>
              <w:bottom w:val="single" w:sz="4" w:space="0" w:color="auto"/>
              <w:right w:val="single" w:sz="4" w:space="0" w:color="auto"/>
            </w:tcBorders>
            <w:hideMark/>
          </w:tcPr>
          <w:p w14:paraId="6C7DD499" w14:textId="50EC82C1" w:rsidR="00DB1C4E" w:rsidRPr="00EF0A4B" w:rsidRDefault="00DB1C4E">
            <w:pPr>
              <w:rPr>
                <w:rFonts w:ascii="Times New Roman" w:hAnsi="Times New Roman" w:cs="Times New Roman"/>
                <w:sz w:val="22"/>
                <w:lang w:val="da-DK"/>
              </w:rPr>
            </w:pPr>
            <w:r w:rsidRPr="00EF0A4B">
              <w:rPr>
                <w:rFonts w:ascii="Times New Roman" w:hAnsi="Times New Roman" w:cs="Times New Roman"/>
                <w:sz w:val="22"/>
                <w:lang w:val="da-DK"/>
              </w:rPr>
              <w:t>Carbamazepin (titreret fra 100 mg til 300 mg to gange dagligt), emtricitabin/</w:t>
            </w:r>
            <w:r w:rsidR="00202D86">
              <w:rPr>
                <w:rFonts w:ascii="Times New Roman" w:hAnsi="Times New Roman" w:cs="Times New Roman"/>
                <w:sz w:val="22"/>
                <w:lang w:val="da-DK"/>
              </w:rPr>
              <w:t>tenofovir alafenamid</w:t>
            </w:r>
            <w:r w:rsidRPr="00EF0A4B">
              <w:rPr>
                <w:rFonts w:ascii="Times New Roman" w:hAnsi="Times New Roman" w:cs="Times New Roman"/>
                <w:sz w:val="22"/>
                <w:lang w:val="da-DK"/>
              </w:rPr>
              <w:t xml:space="preserve"> </w:t>
            </w:r>
          </w:p>
          <w:p w14:paraId="3251D16B" w14:textId="77777777" w:rsidR="00DB1C4E" w:rsidRPr="00EF0A4B" w:rsidRDefault="00DB1C4E">
            <w:pPr>
              <w:rPr>
                <w:rFonts w:ascii="Times New Roman" w:hAnsi="Times New Roman" w:cs="Times New Roman"/>
                <w:sz w:val="22"/>
                <w:lang w:val="da-DK"/>
              </w:rPr>
            </w:pPr>
            <w:r w:rsidRPr="00EF0A4B">
              <w:rPr>
                <w:rFonts w:ascii="Times New Roman" w:hAnsi="Times New Roman" w:cs="Times New Roman"/>
                <w:sz w:val="22"/>
                <w:lang w:val="da-DK"/>
              </w:rPr>
              <w:t>(200 mg/25 mg én gang dagligt)</w:t>
            </w:r>
            <w:r w:rsidRPr="00EF0A4B">
              <w:rPr>
                <w:rFonts w:ascii="Times New Roman" w:hAnsi="Times New Roman" w:cs="Times New Roman"/>
                <w:sz w:val="22"/>
                <w:vertAlign w:val="superscript"/>
                <w:lang w:val="da-DK"/>
              </w:rPr>
              <w:t>5,6</w:t>
            </w:r>
          </w:p>
        </w:tc>
        <w:tc>
          <w:tcPr>
            <w:tcW w:w="1580" w:type="pct"/>
            <w:tcBorders>
              <w:top w:val="single" w:sz="4" w:space="0" w:color="auto"/>
              <w:left w:val="single" w:sz="4" w:space="0" w:color="auto"/>
              <w:bottom w:val="single" w:sz="4" w:space="0" w:color="auto"/>
              <w:right w:val="single" w:sz="4" w:space="0" w:color="auto"/>
            </w:tcBorders>
          </w:tcPr>
          <w:p w14:paraId="07DBB5A4" w14:textId="5241EE8D" w:rsidR="00DB1C4E" w:rsidRPr="00EF0A4B" w:rsidRDefault="00202D86">
            <w:pPr>
              <w:rPr>
                <w:rFonts w:ascii="Times New Roman" w:hAnsi="Times New Roman" w:cs="Times New Roman"/>
                <w:sz w:val="22"/>
                <w:lang w:val="da-DK"/>
              </w:rPr>
            </w:pPr>
            <w:r>
              <w:rPr>
                <w:rFonts w:ascii="Times New Roman" w:hAnsi="Times New Roman" w:cs="Times New Roman"/>
                <w:sz w:val="22"/>
                <w:lang w:val="da-DK"/>
              </w:rPr>
              <w:t>Tenofovir alafenamid</w:t>
            </w:r>
            <w:r w:rsidR="00DB1C4E" w:rsidRPr="00EF0A4B">
              <w:rPr>
                <w:rFonts w:ascii="Times New Roman" w:hAnsi="Times New Roman" w:cs="Times New Roman"/>
                <w:sz w:val="22"/>
                <w:lang w:val="da-DK"/>
              </w:rPr>
              <w:t>:</w:t>
            </w:r>
          </w:p>
          <w:p w14:paraId="12D3F7CC" w14:textId="77777777" w:rsidR="00DB1C4E" w:rsidRPr="00EF0A4B" w:rsidRDefault="00DB1C4E">
            <w:pPr>
              <w:rPr>
                <w:rFonts w:ascii="Times New Roman" w:hAnsi="Times New Roman" w:cs="Times New Roman"/>
                <w:sz w:val="22"/>
                <w:lang w:val="da-DK"/>
              </w:rPr>
            </w:pPr>
            <w:r w:rsidRPr="00EF0A4B">
              <w:rPr>
                <w:rFonts w:ascii="Times New Roman" w:hAnsi="Times New Roman" w:cs="Times New Roman"/>
                <w:sz w:val="22"/>
                <w:lang w:val="da-DK"/>
              </w:rPr>
              <w:t>AUC: ↓ 55%</w:t>
            </w:r>
          </w:p>
          <w:p w14:paraId="68D60ED2" w14:textId="77777777" w:rsidR="00DB1C4E" w:rsidRPr="00EF0A4B" w:rsidRDefault="00DB1C4E">
            <w:pPr>
              <w:rPr>
                <w:rFonts w:ascii="Times New Roman" w:hAnsi="Times New Roman" w:cs="Times New Roman"/>
                <w:sz w:val="22"/>
                <w:lang w:val="da-DK"/>
              </w:rPr>
            </w:pPr>
            <w:r w:rsidRPr="00EF0A4B">
              <w:rPr>
                <w:rFonts w:ascii="Times New Roman" w:hAnsi="Times New Roman" w:cs="Times New Roman"/>
                <w:sz w:val="22"/>
                <w:lang w:val="da-DK"/>
              </w:rPr>
              <w:t>C</w:t>
            </w:r>
            <w:r w:rsidRPr="00EF0A4B">
              <w:rPr>
                <w:rFonts w:ascii="Times New Roman" w:hAnsi="Times New Roman" w:cs="Times New Roman"/>
                <w:sz w:val="22"/>
                <w:vertAlign w:val="subscript"/>
                <w:lang w:val="da-DK"/>
              </w:rPr>
              <w:t>max</w:t>
            </w:r>
            <w:r w:rsidRPr="00EF0A4B">
              <w:rPr>
                <w:rFonts w:ascii="Times New Roman" w:hAnsi="Times New Roman" w:cs="Times New Roman"/>
                <w:sz w:val="22"/>
                <w:lang w:val="da-DK"/>
              </w:rPr>
              <w:t>: ↓ 57%</w:t>
            </w:r>
          </w:p>
          <w:p w14:paraId="77037397" w14:textId="77777777" w:rsidR="00DB1C4E" w:rsidRPr="00EF0A4B" w:rsidRDefault="00DB1C4E">
            <w:pPr>
              <w:rPr>
                <w:rFonts w:ascii="Times New Roman" w:hAnsi="Times New Roman" w:cs="Times New Roman"/>
                <w:sz w:val="22"/>
                <w:lang w:val="da-DK"/>
              </w:rPr>
            </w:pPr>
          </w:p>
          <w:p w14:paraId="5A7657DF" w14:textId="569BFF0D" w:rsidR="00DB1C4E" w:rsidRPr="00EF0A4B" w:rsidRDefault="00DB1C4E">
            <w:pPr>
              <w:rPr>
                <w:rFonts w:ascii="Times New Roman" w:hAnsi="Times New Roman" w:cs="Times New Roman"/>
                <w:sz w:val="22"/>
                <w:lang w:val="da-DK"/>
              </w:rPr>
            </w:pPr>
            <w:r w:rsidRPr="00EF0A4B">
              <w:rPr>
                <w:rFonts w:ascii="Times New Roman" w:hAnsi="Times New Roman" w:cs="Times New Roman"/>
                <w:sz w:val="22"/>
                <w:lang w:val="da-DK"/>
              </w:rPr>
              <w:t xml:space="preserve">Samtidig administration af carbamazepin, en P-gp-inducer, reducerer plasmakoncentrationerne af </w:t>
            </w:r>
            <w:r w:rsidR="00202D86">
              <w:rPr>
                <w:rFonts w:ascii="Times New Roman" w:hAnsi="Times New Roman" w:cs="Times New Roman"/>
                <w:sz w:val="22"/>
                <w:lang w:val="da-DK"/>
              </w:rPr>
              <w:t>tenofovir alafenamid</w:t>
            </w:r>
            <w:r w:rsidRPr="00EF0A4B">
              <w:rPr>
                <w:rFonts w:ascii="Times New Roman" w:hAnsi="Times New Roman" w:cs="Times New Roman"/>
                <w:sz w:val="22"/>
                <w:lang w:val="da-DK"/>
              </w:rPr>
              <w:t>, hvilket kan forårsage svigtende terapeutisk virkning og udvikling af resistens.</w:t>
            </w:r>
          </w:p>
        </w:tc>
        <w:tc>
          <w:tcPr>
            <w:tcW w:w="1644" w:type="pct"/>
            <w:tcBorders>
              <w:top w:val="single" w:sz="4" w:space="0" w:color="auto"/>
              <w:left w:val="single" w:sz="4" w:space="0" w:color="auto"/>
              <w:bottom w:val="single" w:sz="4" w:space="0" w:color="auto"/>
              <w:right w:val="single" w:sz="4" w:space="0" w:color="auto"/>
            </w:tcBorders>
            <w:hideMark/>
          </w:tcPr>
          <w:p w14:paraId="0915F522" w14:textId="293D58FE" w:rsidR="00DB1C4E" w:rsidRPr="00EF0A4B" w:rsidRDefault="00DB1C4E">
            <w:pPr>
              <w:rPr>
                <w:rFonts w:ascii="Times New Roman" w:hAnsi="Times New Roman" w:cs="Times New Roman"/>
                <w:sz w:val="22"/>
                <w:lang w:val="da-DK"/>
              </w:rPr>
            </w:pPr>
            <w:r w:rsidRPr="00EF0A4B">
              <w:rPr>
                <w:rFonts w:ascii="Times New Roman" w:hAnsi="Times New Roman" w:cs="Times New Roman"/>
                <w:sz w:val="22"/>
                <w:lang w:val="da-DK"/>
              </w:rPr>
              <w:t xml:space="preserve">Samtidig administration af Emtricitabine/Tenofovir alafenamide </w:t>
            </w:r>
            <w:r w:rsidR="008D5A42" w:rsidRPr="00EF0A4B">
              <w:rPr>
                <w:rFonts w:ascii="Times New Roman" w:hAnsi="Times New Roman" w:cs="Times New Roman"/>
                <w:sz w:val="22"/>
                <w:lang w:val="da-DK"/>
              </w:rPr>
              <w:t>"</w:t>
            </w:r>
            <w:r w:rsidRPr="00EF0A4B">
              <w:rPr>
                <w:rFonts w:ascii="Times New Roman" w:hAnsi="Times New Roman" w:cs="Times New Roman"/>
                <w:sz w:val="22"/>
                <w:lang w:val="da-DK"/>
              </w:rPr>
              <w:t>Zentiva</w:t>
            </w:r>
            <w:r w:rsidR="008D5A42" w:rsidRPr="00EF0A4B">
              <w:rPr>
                <w:rFonts w:ascii="Times New Roman" w:hAnsi="Times New Roman" w:cs="Times New Roman"/>
                <w:sz w:val="22"/>
                <w:lang w:val="da-DK"/>
              </w:rPr>
              <w:t>"</w:t>
            </w:r>
            <w:r w:rsidRPr="00EF0A4B">
              <w:rPr>
                <w:rFonts w:ascii="Times New Roman" w:hAnsi="Times New Roman" w:cs="Times New Roman"/>
                <w:sz w:val="22"/>
                <w:lang w:val="da-DK"/>
              </w:rPr>
              <w:t xml:space="preserve"> og carbamazepin anbefales ikke.</w:t>
            </w:r>
          </w:p>
        </w:tc>
      </w:tr>
      <w:tr w:rsidR="00DB1C4E" w:rsidRPr="00EF0A4B" w14:paraId="7BD3E471" w14:textId="77777777" w:rsidTr="00132A6A">
        <w:trPr>
          <w:cantSplit/>
        </w:trPr>
        <w:tc>
          <w:tcPr>
            <w:tcW w:w="5000" w:type="pct"/>
            <w:gridSpan w:val="3"/>
            <w:tcBorders>
              <w:top w:val="single" w:sz="4" w:space="0" w:color="auto"/>
              <w:left w:val="single" w:sz="4" w:space="0" w:color="auto"/>
              <w:bottom w:val="single" w:sz="4" w:space="0" w:color="auto"/>
              <w:right w:val="single" w:sz="4" w:space="0" w:color="auto"/>
            </w:tcBorders>
            <w:hideMark/>
          </w:tcPr>
          <w:p w14:paraId="3A08B9FD" w14:textId="77777777" w:rsidR="00DB1C4E" w:rsidRPr="00EF0A4B" w:rsidRDefault="00DB1C4E">
            <w:pPr>
              <w:rPr>
                <w:rFonts w:ascii="Times New Roman" w:hAnsi="Times New Roman" w:cs="Times New Roman"/>
                <w:b/>
                <w:bCs/>
                <w:i/>
                <w:iCs/>
                <w:sz w:val="22"/>
              </w:rPr>
            </w:pPr>
            <w:r w:rsidRPr="00EF0A4B">
              <w:rPr>
                <w:rFonts w:ascii="Times New Roman" w:hAnsi="Times New Roman" w:cs="Times New Roman"/>
                <w:b/>
                <w:bCs/>
                <w:i/>
                <w:iCs/>
                <w:sz w:val="22"/>
              </w:rPr>
              <w:t>ANTIDEPRESSIVA</w:t>
            </w:r>
          </w:p>
        </w:tc>
      </w:tr>
      <w:tr w:rsidR="00DB1C4E" w:rsidRPr="00EF0A4B" w14:paraId="43411280" w14:textId="77777777" w:rsidTr="00132A6A">
        <w:trPr>
          <w:cantSplit/>
        </w:trPr>
        <w:tc>
          <w:tcPr>
            <w:tcW w:w="1776" w:type="pct"/>
            <w:tcBorders>
              <w:top w:val="single" w:sz="4" w:space="0" w:color="auto"/>
              <w:left w:val="single" w:sz="4" w:space="0" w:color="auto"/>
              <w:bottom w:val="single" w:sz="4" w:space="0" w:color="auto"/>
              <w:right w:val="single" w:sz="4" w:space="0" w:color="auto"/>
            </w:tcBorders>
            <w:hideMark/>
          </w:tcPr>
          <w:p w14:paraId="0AEFB279" w14:textId="1146196F" w:rsidR="00DB1C4E" w:rsidRPr="00EF0A4B" w:rsidRDefault="00DB1C4E">
            <w:pPr>
              <w:rPr>
                <w:rFonts w:ascii="Times New Roman" w:hAnsi="Times New Roman" w:cs="Times New Roman"/>
                <w:sz w:val="22"/>
                <w:lang w:val="da-DK"/>
              </w:rPr>
            </w:pPr>
            <w:r w:rsidRPr="00EF0A4B">
              <w:rPr>
                <w:rFonts w:ascii="Times New Roman" w:hAnsi="Times New Roman" w:cs="Times New Roman"/>
                <w:sz w:val="22"/>
                <w:lang w:val="da-DK"/>
              </w:rPr>
              <w:t xml:space="preserve">Sertralin (50 mg én gang dagligt), </w:t>
            </w:r>
            <w:r w:rsidR="00202D86">
              <w:rPr>
                <w:rFonts w:ascii="Times New Roman" w:hAnsi="Times New Roman" w:cs="Times New Roman"/>
                <w:sz w:val="22"/>
                <w:lang w:val="da-DK"/>
              </w:rPr>
              <w:t>tenofovir alafenamid</w:t>
            </w:r>
            <w:r w:rsidRPr="00EF0A4B">
              <w:rPr>
                <w:rFonts w:ascii="Times New Roman" w:hAnsi="Times New Roman" w:cs="Times New Roman"/>
                <w:sz w:val="22"/>
                <w:lang w:val="da-DK"/>
              </w:rPr>
              <w:t xml:space="preserve"> (10 mg én gang dagligt)</w:t>
            </w:r>
            <w:r w:rsidRPr="00EF0A4B">
              <w:rPr>
                <w:rFonts w:ascii="Times New Roman" w:hAnsi="Times New Roman" w:cs="Times New Roman"/>
                <w:sz w:val="22"/>
                <w:vertAlign w:val="superscript"/>
                <w:lang w:val="da-DK"/>
              </w:rPr>
              <w:t>3</w:t>
            </w:r>
          </w:p>
        </w:tc>
        <w:tc>
          <w:tcPr>
            <w:tcW w:w="1580" w:type="pct"/>
            <w:tcBorders>
              <w:top w:val="single" w:sz="4" w:space="0" w:color="auto"/>
              <w:left w:val="single" w:sz="4" w:space="0" w:color="auto"/>
              <w:bottom w:val="single" w:sz="4" w:space="0" w:color="auto"/>
              <w:right w:val="single" w:sz="4" w:space="0" w:color="auto"/>
            </w:tcBorders>
          </w:tcPr>
          <w:p w14:paraId="289E8355" w14:textId="45A85AE3" w:rsidR="00DB1C4E" w:rsidRPr="00EF0A4B" w:rsidRDefault="00202D86">
            <w:pPr>
              <w:rPr>
                <w:rFonts w:ascii="Times New Roman" w:hAnsi="Times New Roman" w:cs="Times New Roman"/>
                <w:sz w:val="22"/>
              </w:rPr>
            </w:pPr>
            <w:r>
              <w:rPr>
                <w:rFonts w:ascii="Times New Roman" w:hAnsi="Times New Roman" w:cs="Times New Roman"/>
                <w:sz w:val="22"/>
              </w:rPr>
              <w:t>Tenofovir alafenamid</w:t>
            </w:r>
            <w:r w:rsidR="00DB1C4E" w:rsidRPr="00EF0A4B">
              <w:rPr>
                <w:rFonts w:ascii="Times New Roman" w:hAnsi="Times New Roman" w:cs="Times New Roman"/>
                <w:sz w:val="22"/>
              </w:rPr>
              <w:t>:</w:t>
            </w:r>
          </w:p>
          <w:p w14:paraId="64211045" w14:textId="77777777" w:rsidR="00DB1C4E" w:rsidRPr="00EF0A4B" w:rsidRDefault="00DB1C4E">
            <w:pPr>
              <w:rPr>
                <w:rFonts w:ascii="Times New Roman" w:hAnsi="Times New Roman" w:cs="Times New Roman"/>
                <w:sz w:val="22"/>
              </w:rPr>
            </w:pPr>
            <w:r w:rsidRPr="00EF0A4B">
              <w:rPr>
                <w:rFonts w:ascii="Times New Roman" w:hAnsi="Times New Roman" w:cs="Times New Roman"/>
                <w:sz w:val="22"/>
              </w:rPr>
              <w:t>AUC: ↔</w:t>
            </w:r>
          </w:p>
          <w:p w14:paraId="637A1057" w14:textId="77777777" w:rsidR="00DB1C4E" w:rsidRPr="00EF0A4B" w:rsidRDefault="00DB1C4E">
            <w:pPr>
              <w:rPr>
                <w:rFonts w:ascii="Times New Roman" w:hAnsi="Times New Roman" w:cs="Times New Roman"/>
                <w:sz w:val="22"/>
              </w:rPr>
            </w:pPr>
            <w:r w:rsidRPr="00EF0A4B">
              <w:rPr>
                <w:rFonts w:ascii="Times New Roman" w:hAnsi="Times New Roman" w:cs="Times New Roman"/>
                <w:sz w:val="22"/>
              </w:rPr>
              <w:t>C</w:t>
            </w:r>
            <w:r w:rsidRPr="00EF0A4B">
              <w:rPr>
                <w:rFonts w:ascii="Times New Roman" w:hAnsi="Times New Roman" w:cs="Times New Roman"/>
                <w:sz w:val="22"/>
                <w:vertAlign w:val="subscript"/>
              </w:rPr>
              <w:t>max</w:t>
            </w:r>
            <w:r w:rsidRPr="00EF0A4B">
              <w:rPr>
                <w:rFonts w:ascii="Times New Roman" w:hAnsi="Times New Roman" w:cs="Times New Roman"/>
                <w:sz w:val="22"/>
              </w:rPr>
              <w:t>: ↔</w:t>
            </w:r>
          </w:p>
          <w:p w14:paraId="5CD1BB4F" w14:textId="77777777" w:rsidR="00DB1C4E" w:rsidRPr="00EF0A4B" w:rsidRDefault="00DB1C4E">
            <w:pPr>
              <w:rPr>
                <w:rFonts w:ascii="Times New Roman" w:hAnsi="Times New Roman" w:cs="Times New Roman"/>
                <w:sz w:val="22"/>
              </w:rPr>
            </w:pPr>
          </w:p>
          <w:p w14:paraId="750BC081" w14:textId="77777777" w:rsidR="00DB1C4E" w:rsidRPr="00EF0A4B" w:rsidRDefault="00DB1C4E">
            <w:pPr>
              <w:rPr>
                <w:rFonts w:ascii="Times New Roman" w:hAnsi="Times New Roman" w:cs="Times New Roman"/>
                <w:sz w:val="22"/>
              </w:rPr>
            </w:pPr>
            <w:r w:rsidRPr="00EF0A4B">
              <w:rPr>
                <w:rFonts w:ascii="Times New Roman" w:hAnsi="Times New Roman" w:cs="Times New Roman"/>
                <w:sz w:val="22"/>
              </w:rPr>
              <w:t>Sertralin:</w:t>
            </w:r>
          </w:p>
          <w:p w14:paraId="5EE509E6" w14:textId="77777777" w:rsidR="00DB1C4E" w:rsidRPr="00EF0A4B" w:rsidRDefault="00DB1C4E">
            <w:pPr>
              <w:rPr>
                <w:rFonts w:ascii="Times New Roman" w:hAnsi="Times New Roman" w:cs="Times New Roman"/>
                <w:sz w:val="22"/>
              </w:rPr>
            </w:pPr>
            <w:r w:rsidRPr="00EF0A4B">
              <w:rPr>
                <w:rFonts w:ascii="Times New Roman" w:hAnsi="Times New Roman" w:cs="Times New Roman"/>
                <w:sz w:val="22"/>
              </w:rPr>
              <w:t>AUC: ↑ 9%</w:t>
            </w:r>
          </w:p>
          <w:p w14:paraId="13B9B245" w14:textId="77777777" w:rsidR="00DB1C4E" w:rsidRPr="00EF0A4B" w:rsidRDefault="00DB1C4E">
            <w:pPr>
              <w:rPr>
                <w:rFonts w:ascii="Times New Roman" w:hAnsi="Times New Roman" w:cs="Times New Roman"/>
                <w:sz w:val="22"/>
              </w:rPr>
            </w:pPr>
            <w:r w:rsidRPr="00EF0A4B">
              <w:rPr>
                <w:rFonts w:ascii="Times New Roman" w:hAnsi="Times New Roman" w:cs="Times New Roman"/>
                <w:sz w:val="22"/>
              </w:rPr>
              <w:t>C</w:t>
            </w:r>
            <w:r w:rsidRPr="00EF0A4B">
              <w:rPr>
                <w:rFonts w:ascii="Times New Roman" w:hAnsi="Times New Roman" w:cs="Times New Roman"/>
                <w:sz w:val="22"/>
                <w:vertAlign w:val="subscript"/>
              </w:rPr>
              <w:t>max</w:t>
            </w:r>
            <w:r w:rsidRPr="00EF0A4B">
              <w:rPr>
                <w:rFonts w:ascii="Times New Roman" w:hAnsi="Times New Roman" w:cs="Times New Roman"/>
                <w:sz w:val="22"/>
              </w:rPr>
              <w:t>: ↑ 14%</w:t>
            </w:r>
          </w:p>
        </w:tc>
        <w:tc>
          <w:tcPr>
            <w:tcW w:w="1644" w:type="pct"/>
            <w:tcBorders>
              <w:top w:val="single" w:sz="4" w:space="0" w:color="auto"/>
              <w:left w:val="single" w:sz="4" w:space="0" w:color="auto"/>
              <w:bottom w:val="single" w:sz="4" w:space="0" w:color="auto"/>
              <w:right w:val="single" w:sz="4" w:space="0" w:color="auto"/>
            </w:tcBorders>
            <w:hideMark/>
          </w:tcPr>
          <w:p w14:paraId="55F8C241" w14:textId="77777777" w:rsidR="00DB1C4E" w:rsidRPr="00EF0A4B" w:rsidRDefault="00DB1C4E">
            <w:pPr>
              <w:rPr>
                <w:rFonts w:ascii="Times New Roman" w:hAnsi="Times New Roman" w:cs="Times New Roman"/>
                <w:sz w:val="22"/>
                <w:lang w:val="da-DK"/>
              </w:rPr>
            </w:pPr>
            <w:r w:rsidRPr="00EF0A4B">
              <w:rPr>
                <w:rFonts w:ascii="Times New Roman" w:hAnsi="Times New Roman" w:cs="Times New Roman"/>
                <w:sz w:val="22"/>
                <w:lang w:val="da-DK"/>
              </w:rPr>
              <w:t>Dosisjustering af sertralin er ikke nødvendig. Dosering i henhold til den samtidige antiretrovirale behandling (se pkt. 4.2).</w:t>
            </w:r>
          </w:p>
        </w:tc>
      </w:tr>
      <w:tr w:rsidR="00DB1C4E" w:rsidRPr="00EF0A4B" w14:paraId="7F33AF6B" w14:textId="77777777" w:rsidTr="00132A6A">
        <w:trPr>
          <w:cantSplit/>
        </w:trPr>
        <w:tc>
          <w:tcPr>
            <w:tcW w:w="5000" w:type="pct"/>
            <w:gridSpan w:val="3"/>
            <w:tcBorders>
              <w:top w:val="single" w:sz="4" w:space="0" w:color="auto"/>
              <w:left w:val="single" w:sz="4" w:space="0" w:color="auto"/>
              <w:bottom w:val="single" w:sz="4" w:space="0" w:color="auto"/>
              <w:right w:val="single" w:sz="4" w:space="0" w:color="auto"/>
            </w:tcBorders>
            <w:hideMark/>
          </w:tcPr>
          <w:p w14:paraId="326F9F01" w14:textId="77777777" w:rsidR="00DB1C4E" w:rsidRPr="00EF0A4B" w:rsidRDefault="00DB1C4E">
            <w:pPr>
              <w:rPr>
                <w:rFonts w:ascii="Times New Roman" w:hAnsi="Times New Roman" w:cs="Times New Roman"/>
                <w:b/>
                <w:bCs/>
                <w:i/>
                <w:iCs/>
                <w:sz w:val="22"/>
              </w:rPr>
            </w:pPr>
            <w:r w:rsidRPr="00EF0A4B">
              <w:rPr>
                <w:rFonts w:ascii="Times New Roman" w:hAnsi="Times New Roman" w:cs="Times New Roman"/>
                <w:b/>
                <w:bCs/>
                <w:i/>
                <w:iCs/>
                <w:sz w:val="22"/>
              </w:rPr>
              <w:t>NATURLÆGEMIDLER</w:t>
            </w:r>
          </w:p>
        </w:tc>
      </w:tr>
      <w:tr w:rsidR="00DB1C4E" w:rsidRPr="00EF0A4B" w14:paraId="23A72E7D" w14:textId="77777777" w:rsidTr="00132A6A">
        <w:trPr>
          <w:cantSplit/>
        </w:trPr>
        <w:tc>
          <w:tcPr>
            <w:tcW w:w="1776" w:type="pct"/>
            <w:tcBorders>
              <w:top w:val="single" w:sz="4" w:space="0" w:color="auto"/>
              <w:left w:val="single" w:sz="4" w:space="0" w:color="auto"/>
              <w:bottom w:val="single" w:sz="4" w:space="0" w:color="auto"/>
              <w:right w:val="single" w:sz="4" w:space="0" w:color="auto"/>
            </w:tcBorders>
            <w:hideMark/>
          </w:tcPr>
          <w:p w14:paraId="7CDD95B3" w14:textId="77777777" w:rsidR="00DB1C4E" w:rsidRPr="00EF0A4B" w:rsidRDefault="00DB1C4E">
            <w:pPr>
              <w:rPr>
                <w:rFonts w:ascii="Times New Roman" w:hAnsi="Times New Roman" w:cs="Times New Roman"/>
                <w:sz w:val="22"/>
              </w:rPr>
            </w:pPr>
            <w:r w:rsidRPr="00EF0A4B">
              <w:rPr>
                <w:rFonts w:ascii="Times New Roman" w:hAnsi="Times New Roman" w:cs="Times New Roman"/>
                <w:sz w:val="22"/>
              </w:rPr>
              <w:t>Perikon (</w:t>
            </w:r>
            <w:r w:rsidRPr="00EF0A4B">
              <w:rPr>
                <w:rFonts w:ascii="Times New Roman" w:hAnsi="Times New Roman" w:cs="Times New Roman"/>
                <w:i/>
                <w:iCs/>
                <w:sz w:val="22"/>
              </w:rPr>
              <w:t>Hypericum perforatum</w:t>
            </w:r>
            <w:r w:rsidRPr="00EF0A4B">
              <w:rPr>
                <w:rFonts w:ascii="Times New Roman" w:hAnsi="Times New Roman" w:cs="Times New Roman"/>
                <w:sz w:val="22"/>
              </w:rPr>
              <w:t>)</w:t>
            </w:r>
          </w:p>
        </w:tc>
        <w:tc>
          <w:tcPr>
            <w:tcW w:w="1580" w:type="pct"/>
            <w:tcBorders>
              <w:top w:val="single" w:sz="4" w:space="0" w:color="auto"/>
              <w:left w:val="single" w:sz="4" w:space="0" w:color="auto"/>
              <w:bottom w:val="single" w:sz="4" w:space="0" w:color="auto"/>
              <w:right w:val="single" w:sz="4" w:space="0" w:color="auto"/>
            </w:tcBorders>
          </w:tcPr>
          <w:p w14:paraId="5BC501B7" w14:textId="5B05DB75" w:rsidR="00DB1C4E" w:rsidRPr="00EF0A4B" w:rsidRDefault="00DB1C4E">
            <w:pPr>
              <w:rPr>
                <w:rFonts w:ascii="Times New Roman" w:hAnsi="Times New Roman" w:cs="Times New Roman"/>
                <w:sz w:val="22"/>
                <w:lang w:val="da-DK"/>
              </w:rPr>
            </w:pPr>
            <w:r w:rsidRPr="00EF0A4B">
              <w:rPr>
                <w:rFonts w:ascii="Times New Roman" w:hAnsi="Times New Roman" w:cs="Times New Roman"/>
                <w:sz w:val="22"/>
                <w:lang w:val="da-DK"/>
              </w:rPr>
              <w:t xml:space="preserve">Interaktion er ikke undersøgt med nogle af komponenterne i Emtricitabine/Tenofovir alafenamide </w:t>
            </w:r>
            <w:r w:rsidR="008D5A42" w:rsidRPr="00EF0A4B">
              <w:rPr>
                <w:rFonts w:ascii="Times New Roman" w:hAnsi="Times New Roman" w:cs="Times New Roman"/>
                <w:sz w:val="22"/>
                <w:lang w:val="da-DK"/>
              </w:rPr>
              <w:t>"</w:t>
            </w:r>
            <w:r w:rsidRPr="00EF0A4B">
              <w:rPr>
                <w:rFonts w:ascii="Times New Roman" w:hAnsi="Times New Roman" w:cs="Times New Roman"/>
                <w:sz w:val="22"/>
                <w:lang w:val="da-DK"/>
              </w:rPr>
              <w:t>Zentiva</w:t>
            </w:r>
            <w:r w:rsidR="008D5A42" w:rsidRPr="00EF0A4B">
              <w:rPr>
                <w:rFonts w:ascii="Times New Roman" w:hAnsi="Times New Roman" w:cs="Times New Roman"/>
                <w:sz w:val="22"/>
                <w:lang w:val="da-DK"/>
              </w:rPr>
              <w:t>"</w:t>
            </w:r>
            <w:r w:rsidRPr="00EF0A4B">
              <w:rPr>
                <w:rFonts w:ascii="Times New Roman" w:hAnsi="Times New Roman" w:cs="Times New Roman"/>
                <w:sz w:val="22"/>
                <w:lang w:val="da-DK"/>
              </w:rPr>
              <w:t>.</w:t>
            </w:r>
          </w:p>
          <w:p w14:paraId="2FDFB5E7" w14:textId="77777777" w:rsidR="00DB1C4E" w:rsidRPr="00EF0A4B" w:rsidRDefault="00DB1C4E">
            <w:pPr>
              <w:rPr>
                <w:rFonts w:ascii="Times New Roman" w:hAnsi="Times New Roman" w:cs="Times New Roman"/>
                <w:sz w:val="22"/>
                <w:lang w:val="da-DK"/>
              </w:rPr>
            </w:pPr>
          </w:p>
          <w:p w14:paraId="34523264" w14:textId="130CC27E" w:rsidR="00DB1C4E" w:rsidRPr="00EF0A4B" w:rsidRDefault="00DB1C4E">
            <w:pPr>
              <w:rPr>
                <w:rFonts w:ascii="Times New Roman" w:hAnsi="Times New Roman" w:cs="Times New Roman"/>
                <w:sz w:val="22"/>
                <w:lang w:val="da-DK"/>
              </w:rPr>
            </w:pPr>
            <w:r w:rsidRPr="00EF0A4B">
              <w:rPr>
                <w:rFonts w:ascii="Times New Roman" w:hAnsi="Times New Roman" w:cs="Times New Roman"/>
                <w:sz w:val="22"/>
                <w:lang w:val="da-DK"/>
              </w:rPr>
              <w:t xml:space="preserve">Samtidig administration af prikbladet perikum, en P-gp-inducer, kan reducere plasmakoncentrationerne af </w:t>
            </w:r>
            <w:r w:rsidR="00202D86">
              <w:rPr>
                <w:rFonts w:ascii="Times New Roman" w:hAnsi="Times New Roman" w:cs="Times New Roman"/>
                <w:sz w:val="22"/>
                <w:lang w:val="da-DK"/>
              </w:rPr>
              <w:t>tenofovir alafenamid</w:t>
            </w:r>
            <w:r w:rsidRPr="00EF0A4B">
              <w:rPr>
                <w:rFonts w:ascii="Times New Roman" w:hAnsi="Times New Roman" w:cs="Times New Roman"/>
                <w:sz w:val="22"/>
                <w:lang w:val="da-DK"/>
              </w:rPr>
              <w:t>, hvilket kan forårsage svigtende terapeutisk virkning og udvikling af resistens.</w:t>
            </w:r>
          </w:p>
        </w:tc>
        <w:tc>
          <w:tcPr>
            <w:tcW w:w="1644" w:type="pct"/>
            <w:tcBorders>
              <w:top w:val="single" w:sz="4" w:space="0" w:color="auto"/>
              <w:left w:val="single" w:sz="4" w:space="0" w:color="auto"/>
              <w:bottom w:val="single" w:sz="4" w:space="0" w:color="auto"/>
              <w:right w:val="single" w:sz="4" w:space="0" w:color="auto"/>
            </w:tcBorders>
            <w:hideMark/>
          </w:tcPr>
          <w:p w14:paraId="5063E724" w14:textId="277D3897" w:rsidR="00DB1C4E" w:rsidRPr="00EF0A4B" w:rsidRDefault="00DB1C4E">
            <w:pPr>
              <w:rPr>
                <w:rFonts w:ascii="Times New Roman" w:hAnsi="Times New Roman" w:cs="Times New Roman"/>
                <w:sz w:val="22"/>
                <w:lang w:val="da-DK"/>
              </w:rPr>
            </w:pPr>
            <w:r w:rsidRPr="00EF0A4B">
              <w:rPr>
                <w:rFonts w:ascii="Times New Roman" w:hAnsi="Times New Roman" w:cs="Times New Roman"/>
                <w:sz w:val="22"/>
                <w:lang w:val="da-DK"/>
              </w:rPr>
              <w:t xml:space="preserve">Samtidig administration af Emtricitabine/Tenofovir alafenamide </w:t>
            </w:r>
            <w:r w:rsidR="008D5A42" w:rsidRPr="00EF0A4B">
              <w:rPr>
                <w:rFonts w:ascii="Times New Roman" w:hAnsi="Times New Roman" w:cs="Times New Roman"/>
                <w:sz w:val="22"/>
                <w:lang w:val="da-DK"/>
              </w:rPr>
              <w:t>"</w:t>
            </w:r>
            <w:r w:rsidRPr="00EF0A4B">
              <w:rPr>
                <w:rFonts w:ascii="Times New Roman" w:hAnsi="Times New Roman" w:cs="Times New Roman"/>
                <w:sz w:val="22"/>
                <w:lang w:val="da-DK"/>
              </w:rPr>
              <w:t>Zentiva</w:t>
            </w:r>
            <w:r w:rsidR="008D5A42" w:rsidRPr="00EF0A4B">
              <w:rPr>
                <w:rFonts w:ascii="Times New Roman" w:hAnsi="Times New Roman" w:cs="Times New Roman"/>
                <w:sz w:val="22"/>
                <w:lang w:val="da-DK"/>
              </w:rPr>
              <w:t>"</w:t>
            </w:r>
            <w:r w:rsidRPr="00EF0A4B">
              <w:rPr>
                <w:rFonts w:ascii="Times New Roman" w:hAnsi="Times New Roman" w:cs="Times New Roman"/>
                <w:sz w:val="22"/>
                <w:lang w:val="da-DK"/>
              </w:rPr>
              <w:t xml:space="preserve"> og prikbladet perikum anbefales ikke.</w:t>
            </w:r>
          </w:p>
        </w:tc>
      </w:tr>
      <w:tr w:rsidR="00DB1C4E" w:rsidRPr="00EF0A4B" w14:paraId="622330B7" w14:textId="77777777" w:rsidTr="00132A6A">
        <w:trPr>
          <w:cantSplit/>
        </w:trPr>
        <w:tc>
          <w:tcPr>
            <w:tcW w:w="5000" w:type="pct"/>
            <w:gridSpan w:val="3"/>
            <w:tcBorders>
              <w:top w:val="single" w:sz="4" w:space="0" w:color="auto"/>
              <w:left w:val="single" w:sz="4" w:space="0" w:color="auto"/>
              <w:bottom w:val="single" w:sz="4" w:space="0" w:color="auto"/>
              <w:right w:val="single" w:sz="4" w:space="0" w:color="auto"/>
            </w:tcBorders>
            <w:hideMark/>
          </w:tcPr>
          <w:p w14:paraId="5FAF4627" w14:textId="77777777" w:rsidR="00DB1C4E" w:rsidRPr="00EF0A4B" w:rsidRDefault="00DB1C4E">
            <w:pPr>
              <w:keepNext/>
              <w:widowControl/>
              <w:rPr>
                <w:rFonts w:ascii="Times New Roman" w:hAnsi="Times New Roman" w:cs="Times New Roman"/>
                <w:b/>
                <w:bCs/>
                <w:i/>
                <w:iCs/>
                <w:sz w:val="22"/>
              </w:rPr>
            </w:pPr>
            <w:r w:rsidRPr="00EF0A4B">
              <w:rPr>
                <w:rFonts w:ascii="Times New Roman" w:hAnsi="Times New Roman" w:cs="Times New Roman"/>
                <w:b/>
                <w:bCs/>
                <w:i/>
                <w:iCs/>
                <w:sz w:val="22"/>
              </w:rPr>
              <w:lastRenderedPageBreak/>
              <w:t>IMMUNOSUPPRESSIVA</w:t>
            </w:r>
          </w:p>
        </w:tc>
      </w:tr>
      <w:tr w:rsidR="00DB1C4E" w:rsidRPr="00EF0A4B" w14:paraId="735A0D6B" w14:textId="77777777" w:rsidTr="00132A6A">
        <w:trPr>
          <w:cantSplit/>
        </w:trPr>
        <w:tc>
          <w:tcPr>
            <w:tcW w:w="1776" w:type="pct"/>
            <w:tcBorders>
              <w:top w:val="single" w:sz="4" w:space="0" w:color="auto"/>
              <w:left w:val="single" w:sz="4" w:space="0" w:color="auto"/>
              <w:bottom w:val="single" w:sz="4" w:space="0" w:color="auto"/>
              <w:right w:val="single" w:sz="4" w:space="0" w:color="auto"/>
            </w:tcBorders>
            <w:hideMark/>
          </w:tcPr>
          <w:p w14:paraId="7B10C18E" w14:textId="77777777" w:rsidR="00DB1C4E" w:rsidRPr="00EF0A4B" w:rsidRDefault="00DB1C4E">
            <w:pPr>
              <w:keepNext/>
              <w:widowControl/>
              <w:rPr>
                <w:rFonts w:ascii="Times New Roman" w:hAnsi="Times New Roman" w:cs="Times New Roman"/>
                <w:sz w:val="22"/>
              </w:rPr>
            </w:pPr>
            <w:r w:rsidRPr="00EF0A4B">
              <w:rPr>
                <w:rFonts w:ascii="Times New Roman" w:hAnsi="Times New Roman" w:cs="Times New Roman"/>
                <w:sz w:val="22"/>
              </w:rPr>
              <w:t>Ciclosporin</w:t>
            </w:r>
          </w:p>
        </w:tc>
        <w:tc>
          <w:tcPr>
            <w:tcW w:w="1580" w:type="pct"/>
            <w:tcBorders>
              <w:top w:val="single" w:sz="4" w:space="0" w:color="auto"/>
              <w:left w:val="single" w:sz="4" w:space="0" w:color="auto"/>
              <w:bottom w:val="single" w:sz="4" w:space="0" w:color="auto"/>
              <w:right w:val="single" w:sz="4" w:space="0" w:color="auto"/>
            </w:tcBorders>
          </w:tcPr>
          <w:p w14:paraId="4CDE6610" w14:textId="76400ECD" w:rsidR="00DB1C4E" w:rsidRPr="00EF0A4B" w:rsidRDefault="00DB1C4E">
            <w:pPr>
              <w:keepNext/>
              <w:widowControl/>
              <w:rPr>
                <w:rFonts w:ascii="Times New Roman" w:hAnsi="Times New Roman" w:cs="Times New Roman"/>
                <w:sz w:val="22"/>
                <w:lang w:val="da-DK"/>
              </w:rPr>
            </w:pPr>
            <w:r w:rsidRPr="00EF0A4B">
              <w:rPr>
                <w:rFonts w:ascii="Times New Roman" w:hAnsi="Times New Roman" w:cs="Times New Roman"/>
                <w:sz w:val="22"/>
                <w:lang w:val="da-DK"/>
              </w:rPr>
              <w:t xml:space="preserve">Interaktion er ikke undersøgt med nogle af komponenterne i Emtricitabine/Tenofovir alafenamide </w:t>
            </w:r>
            <w:r w:rsidR="008D5A42" w:rsidRPr="00EF0A4B">
              <w:rPr>
                <w:rFonts w:ascii="Times New Roman" w:hAnsi="Times New Roman" w:cs="Times New Roman"/>
                <w:sz w:val="22"/>
                <w:lang w:val="da-DK"/>
              </w:rPr>
              <w:t>"</w:t>
            </w:r>
            <w:r w:rsidRPr="00EF0A4B">
              <w:rPr>
                <w:rFonts w:ascii="Times New Roman" w:hAnsi="Times New Roman" w:cs="Times New Roman"/>
                <w:sz w:val="22"/>
                <w:lang w:val="da-DK"/>
              </w:rPr>
              <w:t>Zentiva</w:t>
            </w:r>
            <w:r w:rsidR="008D5A42" w:rsidRPr="00EF0A4B">
              <w:rPr>
                <w:rFonts w:ascii="Times New Roman" w:hAnsi="Times New Roman" w:cs="Times New Roman"/>
                <w:sz w:val="22"/>
                <w:lang w:val="da-DK"/>
              </w:rPr>
              <w:t>"</w:t>
            </w:r>
            <w:r w:rsidRPr="00EF0A4B">
              <w:rPr>
                <w:rFonts w:ascii="Times New Roman" w:hAnsi="Times New Roman" w:cs="Times New Roman"/>
                <w:sz w:val="22"/>
                <w:lang w:val="da-DK"/>
              </w:rPr>
              <w:t>.</w:t>
            </w:r>
          </w:p>
          <w:p w14:paraId="0AFE48DC" w14:textId="77777777" w:rsidR="00DB1C4E" w:rsidRPr="00EF0A4B" w:rsidRDefault="00DB1C4E">
            <w:pPr>
              <w:keepNext/>
              <w:widowControl/>
              <w:rPr>
                <w:rFonts w:ascii="Times New Roman" w:hAnsi="Times New Roman" w:cs="Times New Roman"/>
                <w:sz w:val="22"/>
                <w:lang w:val="da-DK"/>
              </w:rPr>
            </w:pPr>
          </w:p>
          <w:p w14:paraId="583DD99E" w14:textId="447B9575" w:rsidR="00DB1C4E" w:rsidRPr="00EF0A4B" w:rsidRDefault="00DB1C4E">
            <w:pPr>
              <w:keepNext/>
              <w:widowControl/>
              <w:rPr>
                <w:rFonts w:ascii="Times New Roman" w:hAnsi="Times New Roman" w:cs="Times New Roman"/>
                <w:sz w:val="22"/>
                <w:lang w:val="da-DK"/>
              </w:rPr>
            </w:pPr>
            <w:r w:rsidRPr="00EF0A4B">
              <w:rPr>
                <w:rFonts w:ascii="Times New Roman" w:hAnsi="Times New Roman" w:cs="Times New Roman"/>
                <w:sz w:val="22"/>
                <w:lang w:val="da-DK"/>
              </w:rPr>
              <w:t xml:space="preserve">Samtidig administration af ciclosporin, en kraftig P-gp-hæmmer, forventes at øge plasmakoncentrationerne af </w:t>
            </w:r>
            <w:r w:rsidR="00202D86">
              <w:rPr>
                <w:rFonts w:ascii="Times New Roman" w:hAnsi="Times New Roman" w:cs="Times New Roman"/>
                <w:sz w:val="22"/>
                <w:lang w:val="da-DK"/>
              </w:rPr>
              <w:t>tenofovir alafenamid</w:t>
            </w:r>
            <w:r w:rsidRPr="00EF0A4B">
              <w:rPr>
                <w:rFonts w:ascii="Times New Roman" w:hAnsi="Times New Roman" w:cs="Times New Roman"/>
                <w:sz w:val="22"/>
                <w:lang w:val="da-DK"/>
              </w:rPr>
              <w:t>.</w:t>
            </w:r>
          </w:p>
        </w:tc>
        <w:tc>
          <w:tcPr>
            <w:tcW w:w="1644" w:type="pct"/>
            <w:tcBorders>
              <w:top w:val="single" w:sz="4" w:space="0" w:color="auto"/>
              <w:left w:val="single" w:sz="4" w:space="0" w:color="auto"/>
              <w:bottom w:val="single" w:sz="4" w:space="0" w:color="auto"/>
              <w:right w:val="single" w:sz="4" w:space="0" w:color="auto"/>
            </w:tcBorders>
            <w:hideMark/>
          </w:tcPr>
          <w:p w14:paraId="3B602AE3" w14:textId="7B00E4BA" w:rsidR="00DB1C4E" w:rsidRPr="00EF0A4B" w:rsidRDefault="00DB1C4E" w:rsidP="008D5A42">
            <w:pPr>
              <w:keepNext/>
              <w:widowControl/>
              <w:rPr>
                <w:rFonts w:ascii="Times New Roman" w:hAnsi="Times New Roman" w:cs="Times New Roman"/>
                <w:sz w:val="22"/>
                <w:lang w:val="da-DK"/>
              </w:rPr>
            </w:pPr>
            <w:r w:rsidRPr="00EF0A4B">
              <w:rPr>
                <w:rFonts w:ascii="Times New Roman" w:hAnsi="Times New Roman" w:cs="Times New Roman"/>
                <w:sz w:val="22"/>
                <w:lang w:val="da-DK"/>
              </w:rPr>
              <w:t xml:space="preserve">Den anbefalede dosis af Emtricitabine/Tenofovir alafenamide </w:t>
            </w:r>
            <w:r w:rsidR="008D5A42" w:rsidRPr="00EF0A4B">
              <w:rPr>
                <w:rFonts w:ascii="Times New Roman" w:hAnsi="Times New Roman" w:cs="Times New Roman"/>
                <w:sz w:val="22"/>
                <w:lang w:val="da-DK"/>
              </w:rPr>
              <w:t>"</w:t>
            </w:r>
            <w:r w:rsidRPr="00EF0A4B">
              <w:rPr>
                <w:rFonts w:ascii="Times New Roman" w:hAnsi="Times New Roman" w:cs="Times New Roman"/>
                <w:sz w:val="22"/>
                <w:lang w:val="da-DK"/>
              </w:rPr>
              <w:t>Zentiva</w:t>
            </w:r>
            <w:r w:rsidR="008D5A42" w:rsidRPr="00EF0A4B">
              <w:rPr>
                <w:rFonts w:ascii="Times New Roman" w:hAnsi="Times New Roman" w:cs="Times New Roman"/>
                <w:sz w:val="22"/>
                <w:lang w:val="da-DK"/>
              </w:rPr>
              <w:t>"</w:t>
            </w:r>
            <w:r w:rsidRPr="00EF0A4B">
              <w:rPr>
                <w:rFonts w:ascii="Times New Roman" w:hAnsi="Times New Roman" w:cs="Times New Roman"/>
                <w:sz w:val="22"/>
                <w:lang w:val="da-DK"/>
              </w:rPr>
              <w:t xml:space="preserve"> er 200/10</w:t>
            </w:r>
            <w:r w:rsidR="00EF0A4B">
              <w:rPr>
                <w:rFonts w:ascii="Times New Roman" w:hAnsi="Times New Roman" w:cs="Times New Roman"/>
                <w:sz w:val="22"/>
                <w:lang w:val="da-DK"/>
              </w:rPr>
              <w:t> </w:t>
            </w:r>
            <w:r w:rsidRPr="00EF0A4B">
              <w:rPr>
                <w:rFonts w:ascii="Times New Roman" w:hAnsi="Times New Roman" w:cs="Times New Roman"/>
                <w:sz w:val="22"/>
                <w:lang w:val="da-DK"/>
              </w:rPr>
              <w:t>mg én gang dagligt.</w:t>
            </w:r>
          </w:p>
        </w:tc>
      </w:tr>
      <w:tr w:rsidR="00DB1C4E" w:rsidRPr="00EF0A4B" w14:paraId="045343D3" w14:textId="77777777" w:rsidTr="00132A6A">
        <w:trPr>
          <w:cantSplit/>
        </w:trPr>
        <w:tc>
          <w:tcPr>
            <w:tcW w:w="5000" w:type="pct"/>
            <w:gridSpan w:val="3"/>
            <w:tcBorders>
              <w:top w:val="single" w:sz="4" w:space="0" w:color="auto"/>
              <w:left w:val="single" w:sz="4" w:space="0" w:color="auto"/>
              <w:bottom w:val="single" w:sz="4" w:space="0" w:color="auto"/>
              <w:right w:val="single" w:sz="4" w:space="0" w:color="auto"/>
            </w:tcBorders>
            <w:hideMark/>
          </w:tcPr>
          <w:p w14:paraId="60C1C299" w14:textId="77777777" w:rsidR="00DB1C4E" w:rsidRPr="00EF0A4B" w:rsidRDefault="00DB1C4E">
            <w:pPr>
              <w:keepNext/>
              <w:keepLines/>
              <w:rPr>
                <w:rFonts w:ascii="Times New Roman" w:hAnsi="Times New Roman" w:cs="Times New Roman"/>
                <w:b/>
                <w:bCs/>
                <w:i/>
                <w:iCs/>
                <w:sz w:val="22"/>
              </w:rPr>
            </w:pPr>
            <w:r w:rsidRPr="00EF0A4B">
              <w:rPr>
                <w:rFonts w:ascii="Times New Roman" w:hAnsi="Times New Roman" w:cs="Times New Roman"/>
                <w:b/>
                <w:bCs/>
                <w:i/>
                <w:iCs/>
                <w:sz w:val="22"/>
              </w:rPr>
              <w:t>ORALE ANTIKONCEPTIVA</w:t>
            </w:r>
          </w:p>
        </w:tc>
      </w:tr>
      <w:tr w:rsidR="00DB1C4E" w:rsidRPr="00EF0A4B" w14:paraId="272B2B31" w14:textId="77777777" w:rsidTr="00132A6A">
        <w:trPr>
          <w:cantSplit/>
        </w:trPr>
        <w:tc>
          <w:tcPr>
            <w:tcW w:w="1776" w:type="pct"/>
            <w:tcBorders>
              <w:top w:val="single" w:sz="4" w:space="0" w:color="auto"/>
              <w:left w:val="single" w:sz="4" w:space="0" w:color="auto"/>
              <w:bottom w:val="single" w:sz="4" w:space="0" w:color="auto"/>
              <w:right w:val="single" w:sz="4" w:space="0" w:color="auto"/>
            </w:tcBorders>
            <w:hideMark/>
          </w:tcPr>
          <w:p w14:paraId="095D99C5" w14:textId="77777777" w:rsidR="00DB1C4E" w:rsidRPr="00EF0A4B" w:rsidRDefault="00DB1C4E">
            <w:pPr>
              <w:rPr>
                <w:rFonts w:ascii="Times New Roman" w:hAnsi="Times New Roman" w:cs="Times New Roman"/>
                <w:sz w:val="22"/>
                <w:lang w:val="da-DK"/>
              </w:rPr>
            </w:pPr>
            <w:r w:rsidRPr="00EF0A4B">
              <w:rPr>
                <w:rFonts w:ascii="Times New Roman" w:hAnsi="Times New Roman" w:cs="Times New Roman"/>
                <w:sz w:val="22"/>
                <w:lang w:val="da-DK"/>
              </w:rPr>
              <w:t xml:space="preserve">Norgestimat </w:t>
            </w:r>
          </w:p>
          <w:p w14:paraId="66E0E32B" w14:textId="77777777" w:rsidR="00DB1C4E" w:rsidRPr="00EF0A4B" w:rsidRDefault="00DB1C4E">
            <w:pPr>
              <w:rPr>
                <w:rFonts w:ascii="Times New Roman" w:hAnsi="Times New Roman" w:cs="Times New Roman"/>
                <w:sz w:val="22"/>
                <w:lang w:val="da-DK"/>
              </w:rPr>
            </w:pPr>
            <w:r w:rsidRPr="00EF0A4B">
              <w:rPr>
                <w:rFonts w:ascii="Times New Roman" w:hAnsi="Times New Roman" w:cs="Times New Roman"/>
                <w:sz w:val="22"/>
                <w:lang w:val="da-DK"/>
              </w:rPr>
              <w:t xml:space="preserve">(0,180/0,215/0,250 mg én gang dagligt), ethinylestradiol </w:t>
            </w:r>
          </w:p>
          <w:p w14:paraId="5C77E932" w14:textId="228531FE" w:rsidR="00DB1C4E" w:rsidRPr="00EF0A4B" w:rsidRDefault="00DB1C4E">
            <w:pPr>
              <w:rPr>
                <w:rFonts w:ascii="Times New Roman" w:hAnsi="Times New Roman" w:cs="Times New Roman"/>
                <w:sz w:val="22"/>
                <w:lang w:val="da-DK"/>
              </w:rPr>
            </w:pPr>
            <w:r w:rsidRPr="00EF0A4B">
              <w:rPr>
                <w:rFonts w:ascii="Times New Roman" w:hAnsi="Times New Roman" w:cs="Times New Roman"/>
                <w:sz w:val="22"/>
                <w:lang w:val="da-DK"/>
              </w:rPr>
              <w:t>(0,025 mg én gang dagligt), emtricitabin/</w:t>
            </w:r>
            <w:r w:rsidR="00202D86">
              <w:rPr>
                <w:rFonts w:ascii="Times New Roman" w:hAnsi="Times New Roman" w:cs="Times New Roman"/>
                <w:sz w:val="22"/>
                <w:lang w:val="da-DK"/>
              </w:rPr>
              <w:t>tenofovir alafenamid</w:t>
            </w:r>
            <w:r w:rsidRPr="00EF0A4B">
              <w:rPr>
                <w:rFonts w:ascii="Times New Roman" w:hAnsi="Times New Roman" w:cs="Times New Roman"/>
                <w:sz w:val="22"/>
                <w:lang w:val="da-DK"/>
              </w:rPr>
              <w:t xml:space="preserve"> (200/25 mg én gang dagligt)</w:t>
            </w:r>
            <w:r w:rsidRPr="00EF0A4B">
              <w:rPr>
                <w:rFonts w:ascii="Times New Roman" w:hAnsi="Times New Roman" w:cs="Times New Roman"/>
                <w:sz w:val="22"/>
                <w:vertAlign w:val="superscript"/>
                <w:lang w:val="da-DK"/>
              </w:rPr>
              <w:t>5</w:t>
            </w:r>
          </w:p>
        </w:tc>
        <w:tc>
          <w:tcPr>
            <w:tcW w:w="1580" w:type="pct"/>
            <w:tcBorders>
              <w:top w:val="single" w:sz="4" w:space="0" w:color="auto"/>
              <w:left w:val="single" w:sz="4" w:space="0" w:color="auto"/>
              <w:bottom w:val="single" w:sz="4" w:space="0" w:color="auto"/>
              <w:right w:val="single" w:sz="4" w:space="0" w:color="auto"/>
            </w:tcBorders>
          </w:tcPr>
          <w:p w14:paraId="7F3A17AD" w14:textId="77777777" w:rsidR="00DB1C4E" w:rsidRPr="00EF0A4B" w:rsidRDefault="00DB1C4E">
            <w:pPr>
              <w:keepNext/>
              <w:keepLines/>
              <w:rPr>
                <w:rFonts w:ascii="Times New Roman" w:hAnsi="Times New Roman" w:cs="Times New Roman"/>
                <w:sz w:val="22"/>
                <w:lang w:val="da-DK"/>
              </w:rPr>
            </w:pPr>
            <w:r w:rsidRPr="00EF0A4B">
              <w:rPr>
                <w:rFonts w:ascii="Times New Roman" w:hAnsi="Times New Roman" w:cs="Times New Roman"/>
                <w:sz w:val="22"/>
                <w:lang w:val="da-DK"/>
              </w:rPr>
              <w:t>Norelgestromin:</w:t>
            </w:r>
          </w:p>
          <w:p w14:paraId="72AB32FE" w14:textId="77777777" w:rsidR="00DB1C4E" w:rsidRPr="00EF0A4B" w:rsidRDefault="00DB1C4E">
            <w:pPr>
              <w:keepNext/>
              <w:keepLines/>
              <w:rPr>
                <w:rFonts w:ascii="Times New Roman" w:hAnsi="Times New Roman" w:cs="Times New Roman"/>
                <w:sz w:val="22"/>
                <w:lang w:val="da-DK"/>
              </w:rPr>
            </w:pPr>
            <w:r w:rsidRPr="00EF0A4B">
              <w:rPr>
                <w:rFonts w:ascii="Times New Roman" w:hAnsi="Times New Roman" w:cs="Times New Roman"/>
                <w:sz w:val="22"/>
                <w:lang w:val="da-DK"/>
              </w:rPr>
              <w:t>AUC: ↔</w:t>
            </w:r>
          </w:p>
          <w:p w14:paraId="2CD030E3" w14:textId="77777777" w:rsidR="00DB1C4E" w:rsidRPr="00EF0A4B" w:rsidRDefault="00DB1C4E">
            <w:pPr>
              <w:keepNext/>
              <w:keepLines/>
              <w:rPr>
                <w:rFonts w:ascii="Times New Roman" w:hAnsi="Times New Roman" w:cs="Times New Roman"/>
                <w:sz w:val="22"/>
                <w:lang w:val="da-DK"/>
              </w:rPr>
            </w:pPr>
            <w:r w:rsidRPr="00EF0A4B">
              <w:rPr>
                <w:rFonts w:ascii="Times New Roman" w:hAnsi="Times New Roman" w:cs="Times New Roman"/>
                <w:sz w:val="22"/>
                <w:lang w:val="da-DK"/>
              </w:rPr>
              <w:t>C</w:t>
            </w:r>
            <w:r w:rsidRPr="00EF0A4B">
              <w:rPr>
                <w:rFonts w:ascii="Times New Roman" w:hAnsi="Times New Roman" w:cs="Times New Roman"/>
                <w:sz w:val="22"/>
                <w:vertAlign w:val="subscript"/>
                <w:lang w:val="da-DK"/>
              </w:rPr>
              <w:t>min</w:t>
            </w:r>
            <w:r w:rsidRPr="00EF0A4B">
              <w:rPr>
                <w:rFonts w:ascii="Times New Roman" w:hAnsi="Times New Roman" w:cs="Times New Roman"/>
                <w:sz w:val="22"/>
                <w:lang w:val="da-DK"/>
              </w:rPr>
              <w:t>: ↔</w:t>
            </w:r>
          </w:p>
          <w:p w14:paraId="49F03C9F" w14:textId="77777777" w:rsidR="00DB1C4E" w:rsidRPr="00EF0A4B" w:rsidRDefault="00DB1C4E">
            <w:pPr>
              <w:keepNext/>
              <w:keepLines/>
              <w:rPr>
                <w:rFonts w:ascii="Times New Roman" w:hAnsi="Times New Roman" w:cs="Times New Roman"/>
                <w:sz w:val="22"/>
                <w:lang w:val="da-DK"/>
              </w:rPr>
            </w:pPr>
            <w:r w:rsidRPr="00EF0A4B">
              <w:rPr>
                <w:rFonts w:ascii="Times New Roman" w:hAnsi="Times New Roman" w:cs="Times New Roman"/>
                <w:sz w:val="22"/>
                <w:lang w:val="da-DK"/>
              </w:rPr>
              <w:t>C</w:t>
            </w:r>
            <w:r w:rsidRPr="00EF0A4B">
              <w:rPr>
                <w:rFonts w:ascii="Times New Roman" w:hAnsi="Times New Roman" w:cs="Times New Roman"/>
                <w:sz w:val="22"/>
                <w:vertAlign w:val="subscript"/>
                <w:lang w:val="da-DK"/>
              </w:rPr>
              <w:t>max</w:t>
            </w:r>
            <w:r w:rsidRPr="00EF0A4B">
              <w:rPr>
                <w:rFonts w:ascii="Times New Roman" w:hAnsi="Times New Roman" w:cs="Times New Roman"/>
                <w:sz w:val="22"/>
                <w:lang w:val="da-DK"/>
              </w:rPr>
              <w:t>: ↔</w:t>
            </w:r>
          </w:p>
          <w:p w14:paraId="20527688" w14:textId="77777777" w:rsidR="00DB1C4E" w:rsidRPr="00EF0A4B" w:rsidRDefault="00DB1C4E">
            <w:pPr>
              <w:keepNext/>
              <w:keepLines/>
              <w:rPr>
                <w:rFonts w:ascii="Times New Roman" w:hAnsi="Times New Roman" w:cs="Times New Roman"/>
                <w:sz w:val="22"/>
                <w:lang w:val="da-DK"/>
              </w:rPr>
            </w:pPr>
          </w:p>
          <w:p w14:paraId="1699FFEC" w14:textId="77777777" w:rsidR="00DB1C4E" w:rsidRPr="00EF0A4B" w:rsidRDefault="00DB1C4E">
            <w:pPr>
              <w:keepNext/>
              <w:keepLines/>
              <w:rPr>
                <w:rFonts w:ascii="Times New Roman" w:hAnsi="Times New Roman" w:cs="Times New Roman"/>
                <w:sz w:val="22"/>
                <w:lang w:val="da-DK"/>
              </w:rPr>
            </w:pPr>
            <w:r w:rsidRPr="00EF0A4B">
              <w:rPr>
                <w:rFonts w:ascii="Times New Roman" w:hAnsi="Times New Roman" w:cs="Times New Roman"/>
                <w:sz w:val="22"/>
                <w:lang w:val="da-DK"/>
              </w:rPr>
              <w:t>Norgestrel:</w:t>
            </w:r>
          </w:p>
          <w:p w14:paraId="2CFBC346" w14:textId="77777777" w:rsidR="00DB1C4E" w:rsidRPr="00EF0A4B" w:rsidRDefault="00DB1C4E">
            <w:pPr>
              <w:keepNext/>
              <w:keepLines/>
              <w:rPr>
                <w:rFonts w:ascii="Times New Roman" w:hAnsi="Times New Roman" w:cs="Times New Roman"/>
                <w:sz w:val="22"/>
                <w:lang w:val="da-DK"/>
              </w:rPr>
            </w:pPr>
            <w:r w:rsidRPr="00EF0A4B">
              <w:rPr>
                <w:rFonts w:ascii="Times New Roman" w:hAnsi="Times New Roman" w:cs="Times New Roman"/>
                <w:sz w:val="22"/>
                <w:lang w:val="da-DK"/>
              </w:rPr>
              <w:t>AUC: ↔</w:t>
            </w:r>
          </w:p>
          <w:p w14:paraId="517F134B" w14:textId="77777777" w:rsidR="00DB1C4E" w:rsidRPr="00EF0A4B" w:rsidRDefault="00DB1C4E">
            <w:pPr>
              <w:keepNext/>
              <w:keepLines/>
              <w:rPr>
                <w:rFonts w:ascii="Times New Roman" w:hAnsi="Times New Roman" w:cs="Times New Roman"/>
                <w:sz w:val="22"/>
                <w:lang w:val="da-DK"/>
              </w:rPr>
            </w:pPr>
            <w:r w:rsidRPr="00EF0A4B">
              <w:rPr>
                <w:rFonts w:ascii="Times New Roman" w:hAnsi="Times New Roman" w:cs="Times New Roman"/>
                <w:sz w:val="22"/>
                <w:lang w:val="da-DK"/>
              </w:rPr>
              <w:t>C</w:t>
            </w:r>
            <w:r w:rsidRPr="00EF0A4B">
              <w:rPr>
                <w:rFonts w:ascii="Times New Roman" w:hAnsi="Times New Roman" w:cs="Times New Roman"/>
                <w:sz w:val="22"/>
                <w:vertAlign w:val="subscript"/>
                <w:lang w:val="da-DK"/>
              </w:rPr>
              <w:t>min</w:t>
            </w:r>
            <w:r w:rsidRPr="00EF0A4B">
              <w:rPr>
                <w:rFonts w:ascii="Times New Roman" w:hAnsi="Times New Roman" w:cs="Times New Roman"/>
                <w:sz w:val="22"/>
                <w:lang w:val="da-DK"/>
              </w:rPr>
              <w:t>: ↔</w:t>
            </w:r>
          </w:p>
          <w:p w14:paraId="13140D4C" w14:textId="77777777" w:rsidR="00DB1C4E" w:rsidRPr="00EF0A4B" w:rsidRDefault="00DB1C4E">
            <w:pPr>
              <w:keepNext/>
              <w:keepLines/>
              <w:rPr>
                <w:rFonts w:ascii="Times New Roman" w:hAnsi="Times New Roman" w:cs="Times New Roman"/>
                <w:sz w:val="22"/>
                <w:lang w:val="da-DK"/>
              </w:rPr>
            </w:pPr>
            <w:r w:rsidRPr="00EF0A4B">
              <w:rPr>
                <w:rFonts w:ascii="Times New Roman" w:hAnsi="Times New Roman" w:cs="Times New Roman"/>
                <w:sz w:val="22"/>
                <w:lang w:val="da-DK"/>
              </w:rPr>
              <w:t>C</w:t>
            </w:r>
            <w:r w:rsidRPr="00EF0A4B">
              <w:rPr>
                <w:rFonts w:ascii="Times New Roman" w:hAnsi="Times New Roman" w:cs="Times New Roman"/>
                <w:sz w:val="22"/>
                <w:vertAlign w:val="subscript"/>
                <w:lang w:val="da-DK"/>
              </w:rPr>
              <w:t>max</w:t>
            </w:r>
            <w:r w:rsidRPr="00EF0A4B">
              <w:rPr>
                <w:rFonts w:ascii="Times New Roman" w:hAnsi="Times New Roman" w:cs="Times New Roman"/>
                <w:sz w:val="22"/>
                <w:lang w:val="da-DK"/>
              </w:rPr>
              <w:t>: ↔</w:t>
            </w:r>
          </w:p>
          <w:p w14:paraId="034EE96A" w14:textId="77777777" w:rsidR="00DB1C4E" w:rsidRPr="00EF0A4B" w:rsidRDefault="00DB1C4E">
            <w:pPr>
              <w:keepNext/>
              <w:keepLines/>
              <w:rPr>
                <w:rFonts w:ascii="Times New Roman" w:hAnsi="Times New Roman" w:cs="Times New Roman"/>
                <w:sz w:val="22"/>
                <w:lang w:val="da-DK"/>
              </w:rPr>
            </w:pPr>
          </w:p>
          <w:p w14:paraId="055D41F5" w14:textId="77777777" w:rsidR="00DB1C4E" w:rsidRPr="00EF0A4B" w:rsidRDefault="00DB1C4E">
            <w:pPr>
              <w:keepNext/>
              <w:keepLines/>
              <w:rPr>
                <w:rFonts w:ascii="Times New Roman" w:hAnsi="Times New Roman" w:cs="Times New Roman"/>
                <w:sz w:val="22"/>
                <w:lang w:val="da-DK"/>
              </w:rPr>
            </w:pPr>
            <w:r w:rsidRPr="00EF0A4B">
              <w:rPr>
                <w:rFonts w:ascii="Times New Roman" w:hAnsi="Times New Roman" w:cs="Times New Roman"/>
                <w:sz w:val="22"/>
                <w:lang w:val="da-DK"/>
              </w:rPr>
              <w:t>Ethinylestradiol:</w:t>
            </w:r>
          </w:p>
          <w:p w14:paraId="65B7FB31" w14:textId="77777777" w:rsidR="00DB1C4E" w:rsidRPr="00EF0A4B" w:rsidRDefault="00DB1C4E">
            <w:pPr>
              <w:keepNext/>
              <w:keepLines/>
              <w:rPr>
                <w:rFonts w:ascii="Times New Roman" w:hAnsi="Times New Roman" w:cs="Times New Roman"/>
                <w:sz w:val="22"/>
                <w:lang w:val="da-DK"/>
              </w:rPr>
            </w:pPr>
            <w:r w:rsidRPr="00EF0A4B">
              <w:rPr>
                <w:rFonts w:ascii="Times New Roman" w:hAnsi="Times New Roman" w:cs="Times New Roman"/>
                <w:sz w:val="22"/>
                <w:lang w:val="da-DK"/>
              </w:rPr>
              <w:t>AUC: ↔</w:t>
            </w:r>
          </w:p>
          <w:p w14:paraId="5E2C778F" w14:textId="77777777" w:rsidR="00DB1C4E" w:rsidRPr="00EF0A4B" w:rsidRDefault="00DB1C4E">
            <w:pPr>
              <w:keepNext/>
              <w:keepLines/>
              <w:rPr>
                <w:rFonts w:ascii="Times New Roman" w:hAnsi="Times New Roman" w:cs="Times New Roman"/>
                <w:sz w:val="22"/>
                <w:lang w:val="da-DK"/>
              </w:rPr>
            </w:pPr>
            <w:r w:rsidRPr="00EF0A4B">
              <w:rPr>
                <w:rFonts w:ascii="Times New Roman" w:hAnsi="Times New Roman" w:cs="Times New Roman"/>
                <w:sz w:val="22"/>
                <w:lang w:val="da-DK"/>
              </w:rPr>
              <w:t>C</w:t>
            </w:r>
            <w:r w:rsidRPr="00EF0A4B">
              <w:rPr>
                <w:rFonts w:ascii="Times New Roman" w:hAnsi="Times New Roman" w:cs="Times New Roman"/>
                <w:sz w:val="22"/>
                <w:vertAlign w:val="subscript"/>
                <w:lang w:val="da-DK"/>
              </w:rPr>
              <w:t>min</w:t>
            </w:r>
            <w:r w:rsidRPr="00EF0A4B">
              <w:rPr>
                <w:rFonts w:ascii="Times New Roman" w:hAnsi="Times New Roman" w:cs="Times New Roman"/>
                <w:sz w:val="22"/>
                <w:lang w:val="da-DK"/>
              </w:rPr>
              <w:t>: ↔</w:t>
            </w:r>
          </w:p>
          <w:p w14:paraId="6AF381A9" w14:textId="77777777" w:rsidR="00DB1C4E" w:rsidRPr="00EF0A4B" w:rsidRDefault="00DB1C4E">
            <w:pPr>
              <w:keepNext/>
              <w:keepLines/>
              <w:rPr>
                <w:rFonts w:ascii="Times New Roman" w:hAnsi="Times New Roman" w:cs="Times New Roman"/>
                <w:sz w:val="22"/>
                <w:lang w:val="da-DK"/>
              </w:rPr>
            </w:pPr>
            <w:r w:rsidRPr="00EF0A4B">
              <w:rPr>
                <w:rFonts w:ascii="Times New Roman" w:hAnsi="Times New Roman" w:cs="Times New Roman"/>
                <w:sz w:val="22"/>
                <w:lang w:val="da-DK"/>
              </w:rPr>
              <w:t>C</w:t>
            </w:r>
            <w:r w:rsidRPr="00EF0A4B">
              <w:rPr>
                <w:rFonts w:ascii="Times New Roman" w:hAnsi="Times New Roman" w:cs="Times New Roman"/>
                <w:sz w:val="22"/>
                <w:vertAlign w:val="subscript"/>
                <w:lang w:val="da-DK"/>
              </w:rPr>
              <w:t>max</w:t>
            </w:r>
            <w:r w:rsidRPr="00EF0A4B">
              <w:rPr>
                <w:rFonts w:ascii="Times New Roman" w:hAnsi="Times New Roman" w:cs="Times New Roman"/>
                <w:sz w:val="22"/>
                <w:lang w:val="da-DK"/>
              </w:rPr>
              <w:t>: ↔</w:t>
            </w:r>
          </w:p>
        </w:tc>
        <w:tc>
          <w:tcPr>
            <w:tcW w:w="1644" w:type="pct"/>
            <w:tcBorders>
              <w:top w:val="single" w:sz="4" w:space="0" w:color="auto"/>
              <w:left w:val="single" w:sz="4" w:space="0" w:color="auto"/>
              <w:bottom w:val="single" w:sz="4" w:space="0" w:color="auto"/>
              <w:right w:val="single" w:sz="4" w:space="0" w:color="auto"/>
            </w:tcBorders>
            <w:hideMark/>
          </w:tcPr>
          <w:p w14:paraId="1AC232FF" w14:textId="1D53145D" w:rsidR="00DB1C4E" w:rsidRPr="00EF0A4B" w:rsidRDefault="00DB1C4E">
            <w:pPr>
              <w:keepNext/>
              <w:keepLines/>
              <w:rPr>
                <w:rFonts w:ascii="Times New Roman" w:hAnsi="Times New Roman" w:cs="Times New Roman"/>
                <w:sz w:val="22"/>
                <w:lang w:val="da-DK"/>
              </w:rPr>
            </w:pPr>
            <w:r w:rsidRPr="00EF0A4B">
              <w:rPr>
                <w:rFonts w:ascii="Times New Roman" w:hAnsi="Times New Roman" w:cs="Times New Roman"/>
                <w:sz w:val="22"/>
                <w:lang w:val="da-DK"/>
              </w:rPr>
              <w:t xml:space="preserve">Dosisjustering af norgestimat/ethinylestradiol er ikke nødvendig; dosering af Emtricitabine/Tenofovir alafenamide </w:t>
            </w:r>
            <w:r w:rsidR="008D5A42" w:rsidRPr="00EF0A4B">
              <w:rPr>
                <w:rFonts w:ascii="Times New Roman" w:hAnsi="Times New Roman" w:cs="Times New Roman"/>
                <w:sz w:val="22"/>
                <w:lang w:val="da-DK"/>
              </w:rPr>
              <w:t>"</w:t>
            </w:r>
            <w:r w:rsidRPr="00EF0A4B">
              <w:rPr>
                <w:rFonts w:ascii="Times New Roman" w:hAnsi="Times New Roman" w:cs="Times New Roman"/>
                <w:sz w:val="22"/>
                <w:lang w:val="da-DK"/>
              </w:rPr>
              <w:t>Zentiva</w:t>
            </w:r>
            <w:r w:rsidR="008D5A42" w:rsidRPr="00EF0A4B">
              <w:rPr>
                <w:rFonts w:ascii="Times New Roman" w:hAnsi="Times New Roman" w:cs="Times New Roman"/>
                <w:sz w:val="22"/>
                <w:lang w:val="da-DK"/>
              </w:rPr>
              <w:t>"</w:t>
            </w:r>
            <w:r w:rsidRPr="00EF0A4B">
              <w:rPr>
                <w:rFonts w:ascii="Times New Roman" w:hAnsi="Times New Roman" w:cs="Times New Roman"/>
                <w:sz w:val="22"/>
                <w:lang w:val="da-DK"/>
              </w:rPr>
              <w:t xml:space="preserve"> i henhold til den samtidige antiretrovirale behandling (se pkt. 4.2).</w:t>
            </w:r>
          </w:p>
        </w:tc>
      </w:tr>
      <w:tr w:rsidR="00DB1C4E" w:rsidRPr="00EF0A4B" w14:paraId="23DB26F8" w14:textId="77777777" w:rsidTr="00132A6A">
        <w:trPr>
          <w:cantSplit/>
        </w:trPr>
        <w:tc>
          <w:tcPr>
            <w:tcW w:w="5000" w:type="pct"/>
            <w:gridSpan w:val="3"/>
            <w:tcBorders>
              <w:top w:val="single" w:sz="4" w:space="0" w:color="auto"/>
              <w:left w:val="single" w:sz="4" w:space="0" w:color="auto"/>
              <w:bottom w:val="single" w:sz="4" w:space="0" w:color="auto"/>
              <w:right w:val="single" w:sz="4" w:space="0" w:color="auto"/>
            </w:tcBorders>
            <w:hideMark/>
          </w:tcPr>
          <w:p w14:paraId="3E24C660" w14:textId="77777777" w:rsidR="00DB1C4E" w:rsidRPr="00EF0A4B" w:rsidRDefault="00DB1C4E">
            <w:pPr>
              <w:keepNext/>
              <w:keepLines/>
              <w:rPr>
                <w:rFonts w:ascii="Times New Roman" w:hAnsi="Times New Roman" w:cs="Times New Roman"/>
                <w:b/>
                <w:bCs/>
                <w:i/>
                <w:iCs/>
                <w:sz w:val="22"/>
              </w:rPr>
            </w:pPr>
            <w:r w:rsidRPr="00EF0A4B">
              <w:rPr>
                <w:rFonts w:ascii="Times New Roman" w:hAnsi="Times New Roman" w:cs="Times New Roman"/>
                <w:b/>
                <w:bCs/>
                <w:i/>
                <w:iCs/>
                <w:sz w:val="22"/>
              </w:rPr>
              <w:t>SEDATIVA/HYPNOTIKA</w:t>
            </w:r>
          </w:p>
        </w:tc>
      </w:tr>
      <w:tr w:rsidR="00DB1C4E" w:rsidRPr="00EF0A4B" w14:paraId="6E896143" w14:textId="77777777" w:rsidTr="00132A6A">
        <w:trPr>
          <w:cantSplit/>
        </w:trPr>
        <w:tc>
          <w:tcPr>
            <w:tcW w:w="1776" w:type="pct"/>
            <w:tcBorders>
              <w:top w:val="single" w:sz="4" w:space="0" w:color="auto"/>
              <w:left w:val="single" w:sz="4" w:space="0" w:color="auto"/>
              <w:bottom w:val="single" w:sz="4" w:space="0" w:color="auto"/>
              <w:right w:val="single" w:sz="4" w:space="0" w:color="auto"/>
            </w:tcBorders>
            <w:hideMark/>
          </w:tcPr>
          <w:p w14:paraId="2972C69F" w14:textId="77777777" w:rsidR="00DB1C4E" w:rsidRPr="00EF0A4B" w:rsidRDefault="00DB1C4E">
            <w:pPr>
              <w:keepNext/>
              <w:keepLines/>
              <w:rPr>
                <w:rFonts w:ascii="Times New Roman" w:hAnsi="Times New Roman" w:cs="Times New Roman"/>
                <w:sz w:val="22"/>
                <w:lang w:val="da-DK"/>
              </w:rPr>
            </w:pPr>
            <w:r w:rsidRPr="00EF0A4B">
              <w:rPr>
                <w:rFonts w:ascii="Times New Roman" w:hAnsi="Times New Roman" w:cs="Times New Roman"/>
                <w:sz w:val="22"/>
                <w:lang w:val="da-DK"/>
              </w:rPr>
              <w:t xml:space="preserve">Oralt administreret midazolam </w:t>
            </w:r>
          </w:p>
          <w:p w14:paraId="333A8306" w14:textId="048C2495" w:rsidR="00DB1C4E" w:rsidRPr="00EF0A4B" w:rsidRDefault="00DB1C4E">
            <w:pPr>
              <w:keepNext/>
              <w:keepLines/>
              <w:rPr>
                <w:rFonts w:ascii="Times New Roman" w:hAnsi="Times New Roman" w:cs="Times New Roman"/>
                <w:sz w:val="22"/>
                <w:lang w:val="da-DK"/>
              </w:rPr>
            </w:pPr>
            <w:r w:rsidRPr="00EF0A4B">
              <w:rPr>
                <w:rFonts w:ascii="Times New Roman" w:hAnsi="Times New Roman" w:cs="Times New Roman"/>
                <w:sz w:val="22"/>
                <w:lang w:val="da-DK"/>
              </w:rPr>
              <w:t xml:space="preserve">(2,5 mg enkeltdosis), </w:t>
            </w:r>
            <w:r w:rsidR="00202D86">
              <w:rPr>
                <w:rFonts w:ascii="Times New Roman" w:hAnsi="Times New Roman" w:cs="Times New Roman"/>
                <w:sz w:val="22"/>
                <w:lang w:val="da-DK"/>
              </w:rPr>
              <w:t>tenofovir alafenamid</w:t>
            </w:r>
            <w:r w:rsidRPr="00EF0A4B">
              <w:rPr>
                <w:rFonts w:ascii="Times New Roman" w:hAnsi="Times New Roman" w:cs="Times New Roman"/>
                <w:sz w:val="22"/>
                <w:lang w:val="da-DK"/>
              </w:rPr>
              <w:t xml:space="preserve"> (25 mg én gang dagligt)</w:t>
            </w:r>
          </w:p>
        </w:tc>
        <w:tc>
          <w:tcPr>
            <w:tcW w:w="1580" w:type="pct"/>
            <w:tcBorders>
              <w:top w:val="single" w:sz="4" w:space="0" w:color="auto"/>
              <w:left w:val="single" w:sz="4" w:space="0" w:color="auto"/>
              <w:bottom w:val="single" w:sz="4" w:space="0" w:color="auto"/>
              <w:right w:val="single" w:sz="4" w:space="0" w:color="auto"/>
            </w:tcBorders>
            <w:hideMark/>
          </w:tcPr>
          <w:p w14:paraId="66C15F09" w14:textId="77777777" w:rsidR="00DB1C4E" w:rsidRPr="00EF0A4B" w:rsidRDefault="00DB1C4E">
            <w:pPr>
              <w:keepNext/>
              <w:keepLines/>
              <w:rPr>
                <w:rFonts w:ascii="Times New Roman" w:hAnsi="Times New Roman" w:cs="Times New Roman"/>
                <w:sz w:val="22"/>
              </w:rPr>
            </w:pPr>
            <w:r w:rsidRPr="00EF0A4B">
              <w:rPr>
                <w:rFonts w:ascii="Times New Roman" w:hAnsi="Times New Roman" w:cs="Times New Roman"/>
                <w:sz w:val="22"/>
              </w:rPr>
              <w:t>Midazolam:</w:t>
            </w:r>
          </w:p>
          <w:p w14:paraId="2367BEA7" w14:textId="77777777" w:rsidR="00DB1C4E" w:rsidRPr="00EF0A4B" w:rsidRDefault="00DB1C4E">
            <w:pPr>
              <w:keepNext/>
              <w:keepLines/>
              <w:rPr>
                <w:rFonts w:ascii="Times New Roman" w:hAnsi="Times New Roman" w:cs="Times New Roman"/>
                <w:sz w:val="22"/>
              </w:rPr>
            </w:pPr>
            <w:r w:rsidRPr="00EF0A4B">
              <w:rPr>
                <w:rFonts w:ascii="Times New Roman" w:hAnsi="Times New Roman" w:cs="Times New Roman"/>
                <w:sz w:val="22"/>
              </w:rPr>
              <w:t>AUC: ↔</w:t>
            </w:r>
          </w:p>
          <w:p w14:paraId="5E09D319" w14:textId="77777777" w:rsidR="00DB1C4E" w:rsidRPr="00EF0A4B" w:rsidRDefault="00DB1C4E">
            <w:pPr>
              <w:keepNext/>
              <w:keepLines/>
              <w:rPr>
                <w:rFonts w:ascii="Times New Roman" w:hAnsi="Times New Roman" w:cs="Times New Roman"/>
                <w:sz w:val="22"/>
              </w:rPr>
            </w:pPr>
            <w:r w:rsidRPr="00EF0A4B">
              <w:rPr>
                <w:rFonts w:ascii="Times New Roman" w:hAnsi="Times New Roman" w:cs="Times New Roman"/>
                <w:sz w:val="22"/>
              </w:rPr>
              <w:t>C</w:t>
            </w:r>
            <w:r w:rsidRPr="00EF0A4B">
              <w:rPr>
                <w:rFonts w:ascii="Times New Roman" w:hAnsi="Times New Roman" w:cs="Times New Roman"/>
                <w:sz w:val="22"/>
                <w:vertAlign w:val="subscript"/>
              </w:rPr>
              <w:t>max</w:t>
            </w:r>
            <w:r w:rsidRPr="00EF0A4B">
              <w:rPr>
                <w:rFonts w:ascii="Times New Roman" w:hAnsi="Times New Roman" w:cs="Times New Roman"/>
                <w:sz w:val="22"/>
              </w:rPr>
              <w:t>: ↔</w:t>
            </w:r>
          </w:p>
        </w:tc>
        <w:tc>
          <w:tcPr>
            <w:tcW w:w="1644" w:type="pct"/>
            <w:vMerge w:val="restart"/>
            <w:tcBorders>
              <w:top w:val="single" w:sz="4" w:space="0" w:color="auto"/>
              <w:left w:val="single" w:sz="4" w:space="0" w:color="auto"/>
              <w:bottom w:val="single" w:sz="4" w:space="0" w:color="auto"/>
              <w:right w:val="single" w:sz="4" w:space="0" w:color="auto"/>
            </w:tcBorders>
            <w:hideMark/>
          </w:tcPr>
          <w:p w14:paraId="39F45C65" w14:textId="34477539" w:rsidR="00DB1C4E" w:rsidRPr="00EF0A4B" w:rsidRDefault="00DB1C4E">
            <w:pPr>
              <w:keepNext/>
              <w:keepLines/>
              <w:rPr>
                <w:rFonts w:ascii="Times New Roman" w:hAnsi="Times New Roman" w:cs="Times New Roman"/>
                <w:sz w:val="22"/>
                <w:lang w:val="da-DK"/>
              </w:rPr>
            </w:pPr>
            <w:r w:rsidRPr="00EF0A4B">
              <w:rPr>
                <w:rFonts w:ascii="Times New Roman" w:hAnsi="Times New Roman" w:cs="Times New Roman"/>
                <w:sz w:val="22"/>
                <w:lang w:val="da-DK"/>
              </w:rPr>
              <w:t xml:space="preserve">Dosisjustering af midazolam er ikke nødvendig; dosering af Emtricitabine/Tenofovir alafenamide </w:t>
            </w:r>
            <w:r w:rsidR="008D5A42" w:rsidRPr="00EF0A4B">
              <w:rPr>
                <w:rFonts w:ascii="Times New Roman" w:hAnsi="Times New Roman" w:cs="Times New Roman"/>
                <w:sz w:val="22"/>
                <w:lang w:val="da-DK"/>
              </w:rPr>
              <w:t>"</w:t>
            </w:r>
            <w:r w:rsidRPr="00EF0A4B">
              <w:rPr>
                <w:rFonts w:ascii="Times New Roman" w:hAnsi="Times New Roman" w:cs="Times New Roman"/>
                <w:sz w:val="22"/>
                <w:lang w:val="da-DK"/>
              </w:rPr>
              <w:t>Zentiva</w:t>
            </w:r>
            <w:r w:rsidR="008D5A42" w:rsidRPr="00EF0A4B">
              <w:rPr>
                <w:rFonts w:ascii="Times New Roman" w:hAnsi="Times New Roman" w:cs="Times New Roman"/>
                <w:sz w:val="22"/>
                <w:lang w:val="da-DK"/>
              </w:rPr>
              <w:t>"</w:t>
            </w:r>
            <w:r w:rsidRPr="00EF0A4B">
              <w:rPr>
                <w:rFonts w:ascii="Times New Roman" w:hAnsi="Times New Roman" w:cs="Times New Roman"/>
                <w:sz w:val="22"/>
                <w:lang w:val="da-DK"/>
              </w:rPr>
              <w:t xml:space="preserve"> i henhold til den samtidige antiretrovirale behandling (se pkt. 4.2).</w:t>
            </w:r>
          </w:p>
        </w:tc>
      </w:tr>
      <w:tr w:rsidR="00DB1C4E" w:rsidRPr="00EF0A4B" w14:paraId="2E98C5EA" w14:textId="77777777" w:rsidTr="00132A6A">
        <w:trPr>
          <w:cantSplit/>
        </w:trPr>
        <w:tc>
          <w:tcPr>
            <w:tcW w:w="1776" w:type="pct"/>
            <w:tcBorders>
              <w:top w:val="single" w:sz="4" w:space="0" w:color="auto"/>
              <w:left w:val="single" w:sz="4" w:space="0" w:color="auto"/>
              <w:bottom w:val="single" w:sz="4" w:space="0" w:color="auto"/>
              <w:right w:val="single" w:sz="4" w:space="0" w:color="auto"/>
            </w:tcBorders>
            <w:hideMark/>
          </w:tcPr>
          <w:p w14:paraId="276527A0" w14:textId="0C5BF3D1" w:rsidR="00DB1C4E" w:rsidRPr="00EF0A4B" w:rsidRDefault="00DB1C4E">
            <w:pPr>
              <w:rPr>
                <w:rFonts w:ascii="Times New Roman" w:hAnsi="Times New Roman" w:cs="Times New Roman"/>
                <w:sz w:val="22"/>
                <w:lang w:val="da-DK"/>
              </w:rPr>
            </w:pPr>
            <w:r w:rsidRPr="00EF0A4B">
              <w:rPr>
                <w:rFonts w:ascii="Times New Roman" w:hAnsi="Times New Roman" w:cs="Times New Roman"/>
                <w:sz w:val="22"/>
                <w:lang w:val="da-DK"/>
              </w:rPr>
              <w:t xml:space="preserve">Intravenøst administreret midazolam (1 mg enkeltdosis), </w:t>
            </w:r>
            <w:r w:rsidR="00202D86">
              <w:rPr>
                <w:rFonts w:ascii="Times New Roman" w:hAnsi="Times New Roman" w:cs="Times New Roman"/>
                <w:sz w:val="22"/>
                <w:lang w:val="da-DK"/>
              </w:rPr>
              <w:t>tenofovir alafenamid</w:t>
            </w:r>
            <w:r w:rsidRPr="00EF0A4B">
              <w:rPr>
                <w:rFonts w:ascii="Times New Roman" w:hAnsi="Times New Roman" w:cs="Times New Roman"/>
                <w:sz w:val="22"/>
                <w:lang w:val="da-DK"/>
              </w:rPr>
              <w:t xml:space="preserve"> (25 mg én gang dagligt)</w:t>
            </w:r>
          </w:p>
        </w:tc>
        <w:tc>
          <w:tcPr>
            <w:tcW w:w="1580" w:type="pct"/>
            <w:tcBorders>
              <w:top w:val="single" w:sz="4" w:space="0" w:color="auto"/>
              <w:left w:val="single" w:sz="4" w:space="0" w:color="auto"/>
              <w:bottom w:val="single" w:sz="4" w:space="0" w:color="auto"/>
              <w:right w:val="single" w:sz="4" w:space="0" w:color="auto"/>
            </w:tcBorders>
            <w:hideMark/>
          </w:tcPr>
          <w:p w14:paraId="6EADE855" w14:textId="77777777" w:rsidR="00DB1C4E" w:rsidRPr="00EF0A4B" w:rsidRDefault="00DB1C4E">
            <w:pPr>
              <w:rPr>
                <w:rFonts w:ascii="Times New Roman" w:hAnsi="Times New Roman" w:cs="Times New Roman"/>
                <w:sz w:val="22"/>
              </w:rPr>
            </w:pPr>
            <w:r w:rsidRPr="00EF0A4B">
              <w:rPr>
                <w:rFonts w:ascii="Times New Roman" w:hAnsi="Times New Roman" w:cs="Times New Roman"/>
                <w:sz w:val="22"/>
              </w:rPr>
              <w:t>Midazolam:</w:t>
            </w:r>
          </w:p>
          <w:p w14:paraId="20B70276" w14:textId="77777777" w:rsidR="00DB1C4E" w:rsidRPr="00EF0A4B" w:rsidRDefault="00DB1C4E">
            <w:pPr>
              <w:rPr>
                <w:rFonts w:ascii="Times New Roman" w:hAnsi="Times New Roman" w:cs="Times New Roman"/>
                <w:sz w:val="22"/>
              </w:rPr>
            </w:pPr>
            <w:r w:rsidRPr="00EF0A4B">
              <w:rPr>
                <w:rFonts w:ascii="Times New Roman" w:hAnsi="Times New Roman" w:cs="Times New Roman"/>
                <w:sz w:val="22"/>
              </w:rPr>
              <w:t>AUC: ↔</w:t>
            </w:r>
          </w:p>
          <w:p w14:paraId="27E62CD4" w14:textId="77777777" w:rsidR="00DB1C4E" w:rsidRPr="00EF0A4B" w:rsidRDefault="00DB1C4E">
            <w:pPr>
              <w:rPr>
                <w:rFonts w:ascii="Times New Roman" w:hAnsi="Times New Roman" w:cs="Times New Roman"/>
                <w:sz w:val="22"/>
              </w:rPr>
            </w:pPr>
            <w:r w:rsidRPr="00EF0A4B">
              <w:rPr>
                <w:rFonts w:ascii="Times New Roman" w:hAnsi="Times New Roman" w:cs="Times New Roman"/>
                <w:sz w:val="22"/>
              </w:rPr>
              <w:t>C</w:t>
            </w:r>
            <w:r w:rsidRPr="00EF0A4B">
              <w:rPr>
                <w:rFonts w:ascii="Times New Roman" w:hAnsi="Times New Roman" w:cs="Times New Roman"/>
                <w:sz w:val="22"/>
                <w:vertAlign w:val="subscript"/>
              </w:rPr>
              <w:t>max</w:t>
            </w:r>
            <w:r w:rsidRPr="00EF0A4B">
              <w:rPr>
                <w:rFonts w:ascii="Times New Roman" w:hAnsi="Times New Roman" w:cs="Times New Roman"/>
                <w:sz w:val="22"/>
              </w:rPr>
              <w:t>: ↔</w:t>
            </w:r>
          </w:p>
        </w:tc>
        <w:tc>
          <w:tcPr>
            <w:tcW w:w="1644" w:type="pct"/>
            <w:vMerge/>
            <w:tcBorders>
              <w:top w:val="single" w:sz="4" w:space="0" w:color="auto"/>
              <w:left w:val="single" w:sz="4" w:space="0" w:color="auto"/>
              <w:bottom w:val="single" w:sz="4" w:space="0" w:color="auto"/>
              <w:right w:val="single" w:sz="4" w:space="0" w:color="auto"/>
            </w:tcBorders>
            <w:vAlign w:val="center"/>
            <w:hideMark/>
          </w:tcPr>
          <w:p w14:paraId="44529130" w14:textId="77777777" w:rsidR="00DB1C4E" w:rsidRPr="00EF0A4B" w:rsidRDefault="00DB1C4E">
            <w:pPr>
              <w:rPr>
                <w:rFonts w:ascii="Times New Roman" w:hAnsi="Times New Roman" w:cs="Times New Roman"/>
                <w:sz w:val="22"/>
              </w:rPr>
            </w:pPr>
          </w:p>
        </w:tc>
      </w:tr>
    </w:tbl>
    <w:p w14:paraId="35ED75EE" w14:textId="4268638E" w:rsidR="00DB1C4E" w:rsidRPr="008D5A42" w:rsidRDefault="00DB1C4E" w:rsidP="008D5A42">
      <w:pPr>
        <w:pStyle w:val="Brdtekst"/>
        <w:widowControl/>
        <w:suppressAutoHyphens/>
        <w:kinsoku w:val="0"/>
        <w:overflowPunct w:val="0"/>
        <w:ind w:left="284" w:hanging="284"/>
        <w:rPr>
          <w:color w:val="000000" w:themeColor="text1"/>
          <w:sz w:val="20"/>
          <w:szCs w:val="20"/>
        </w:rPr>
      </w:pPr>
      <w:r w:rsidRPr="008D5A42">
        <w:rPr>
          <w:color w:val="000000" w:themeColor="text1"/>
          <w:sz w:val="20"/>
          <w:szCs w:val="20"/>
          <w:vertAlign w:val="superscript"/>
        </w:rPr>
        <w:t>1</w:t>
      </w:r>
      <w:r w:rsidRPr="008D5A42">
        <w:rPr>
          <w:color w:val="000000" w:themeColor="text1"/>
          <w:sz w:val="20"/>
          <w:szCs w:val="20"/>
        </w:rPr>
        <w:t xml:space="preserve"> </w:t>
      </w:r>
      <w:r w:rsidR="008D5A42">
        <w:rPr>
          <w:color w:val="000000" w:themeColor="text1"/>
          <w:sz w:val="20"/>
          <w:szCs w:val="20"/>
        </w:rPr>
        <w:tab/>
      </w:r>
      <w:r w:rsidRPr="008D5A42">
        <w:rPr>
          <w:color w:val="000000" w:themeColor="text1"/>
          <w:sz w:val="20"/>
          <w:szCs w:val="20"/>
        </w:rPr>
        <w:t>Når der er angivet doser, er det de doser, der er anvendt i kliniske lægemiddelinteraktionsstudier.</w:t>
      </w:r>
    </w:p>
    <w:p w14:paraId="71D1EFB8" w14:textId="39C026BD" w:rsidR="00DB1C4E" w:rsidRPr="008D5A42" w:rsidRDefault="00DB1C4E" w:rsidP="008D5A42">
      <w:pPr>
        <w:pStyle w:val="Brdtekst"/>
        <w:widowControl/>
        <w:suppressAutoHyphens/>
        <w:kinsoku w:val="0"/>
        <w:overflowPunct w:val="0"/>
        <w:ind w:left="284" w:hanging="284"/>
        <w:rPr>
          <w:color w:val="000000" w:themeColor="text1"/>
          <w:sz w:val="20"/>
          <w:szCs w:val="20"/>
        </w:rPr>
      </w:pPr>
      <w:r w:rsidRPr="008D5A42">
        <w:rPr>
          <w:color w:val="000000" w:themeColor="text1"/>
          <w:sz w:val="20"/>
          <w:szCs w:val="20"/>
          <w:vertAlign w:val="superscript"/>
        </w:rPr>
        <w:t>2</w:t>
      </w:r>
      <w:r w:rsidRPr="008D5A42">
        <w:rPr>
          <w:color w:val="000000" w:themeColor="text1"/>
          <w:sz w:val="20"/>
          <w:szCs w:val="20"/>
        </w:rPr>
        <w:t xml:space="preserve"> </w:t>
      </w:r>
      <w:r w:rsidR="008D5A42">
        <w:rPr>
          <w:color w:val="000000" w:themeColor="text1"/>
          <w:sz w:val="20"/>
          <w:szCs w:val="20"/>
        </w:rPr>
        <w:tab/>
      </w:r>
      <w:r w:rsidRPr="008D5A42">
        <w:rPr>
          <w:color w:val="000000" w:themeColor="text1"/>
          <w:sz w:val="20"/>
          <w:szCs w:val="20"/>
        </w:rPr>
        <w:t>Når data er tilgængelige fra lægemiddelinteraktionsstudier.</w:t>
      </w:r>
    </w:p>
    <w:p w14:paraId="1DE651E5" w14:textId="6437B6B2" w:rsidR="00DB1C4E" w:rsidRPr="008D5A42" w:rsidRDefault="00DB1C4E" w:rsidP="008D5A42">
      <w:pPr>
        <w:pStyle w:val="Brdtekst"/>
        <w:widowControl/>
        <w:suppressAutoHyphens/>
        <w:kinsoku w:val="0"/>
        <w:overflowPunct w:val="0"/>
        <w:ind w:left="284" w:hanging="284"/>
        <w:rPr>
          <w:color w:val="000000" w:themeColor="text1"/>
          <w:sz w:val="20"/>
          <w:szCs w:val="20"/>
        </w:rPr>
      </w:pPr>
      <w:r w:rsidRPr="008D5A42">
        <w:rPr>
          <w:color w:val="000000" w:themeColor="text1"/>
          <w:sz w:val="20"/>
          <w:szCs w:val="20"/>
          <w:vertAlign w:val="superscript"/>
        </w:rPr>
        <w:t>3</w:t>
      </w:r>
      <w:r w:rsidRPr="008D5A42">
        <w:rPr>
          <w:color w:val="000000" w:themeColor="text1"/>
          <w:sz w:val="20"/>
          <w:szCs w:val="20"/>
        </w:rPr>
        <w:t xml:space="preserve"> </w:t>
      </w:r>
      <w:r w:rsidR="008D5A42">
        <w:rPr>
          <w:color w:val="000000" w:themeColor="text1"/>
          <w:sz w:val="20"/>
          <w:szCs w:val="20"/>
        </w:rPr>
        <w:tab/>
      </w:r>
      <w:r w:rsidRPr="008D5A42">
        <w:rPr>
          <w:color w:val="000000" w:themeColor="text1"/>
          <w:sz w:val="20"/>
          <w:szCs w:val="20"/>
        </w:rPr>
        <w:t>Studiet blev udført med elvitegravir/cobicistat/emtricitabin/</w:t>
      </w:r>
      <w:r w:rsidR="00202D86">
        <w:rPr>
          <w:color w:val="000000" w:themeColor="text1"/>
          <w:sz w:val="20"/>
          <w:szCs w:val="20"/>
        </w:rPr>
        <w:t>tenofovir alafenamid</w:t>
      </w:r>
      <w:r w:rsidRPr="008D5A42">
        <w:rPr>
          <w:color w:val="000000" w:themeColor="text1"/>
          <w:sz w:val="20"/>
          <w:szCs w:val="20"/>
        </w:rPr>
        <w:t xml:space="preserve"> fastdosis kombinationstablet.</w:t>
      </w:r>
    </w:p>
    <w:p w14:paraId="27E06EF9" w14:textId="72F72976" w:rsidR="00DB1C4E" w:rsidRPr="008D5A42" w:rsidRDefault="00DB1C4E" w:rsidP="008D5A42">
      <w:pPr>
        <w:pStyle w:val="Brdtekst"/>
        <w:widowControl/>
        <w:suppressAutoHyphens/>
        <w:kinsoku w:val="0"/>
        <w:overflowPunct w:val="0"/>
        <w:ind w:left="284" w:hanging="284"/>
        <w:rPr>
          <w:color w:val="000000" w:themeColor="text1"/>
          <w:sz w:val="20"/>
          <w:szCs w:val="20"/>
        </w:rPr>
      </w:pPr>
      <w:r w:rsidRPr="008D5A42">
        <w:rPr>
          <w:color w:val="000000" w:themeColor="text1"/>
          <w:sz w:val="20"/>
          <w:szCs w:val="20"/>
          <w:vertAlign w:val="superscript"/>
        </w:rPr>
        <w:t>4</w:t>
      </w:r>
      <w:r w:rsidRPr="008D5A42">
        <w:rPr>
          <w:color w:val="000000" w:themeColor="text1"/>
          <w:sz w:val="20"/>
          <w:szCs w:val="20"/>
        </w:rPr>
        <w:t xml:space="preserve"> </w:t>
      </w:r>
      <w:r w:rsidR="008D5A42">
        <w:rPr>
          <w:color w:val="000000" w:themeColor="text1"/>
          <w:sz w:val="20"/>
          <w:szCs w:val="20"/>
        </w:rPr>
        <w:tab/>
      </w:r>
      <w:r w:rsidRPr="008D5A42">
        <w:rPr>
          <w:color w:val="000000" w:themeColor="text1"/>
          <w:sz w:val="20"/>
          <w:szCs w:val="20"/>
        </w:rPr>
        <w:t>Studiet blev udført med emtricitabin/rilpivirin/</w:t>
      </w:r>
      <w:r w:rsidR="00202D86">
        <w:rPr>
          <w:color w:val="000000" w:themeColor="text1"/>
          <w:sz w:val="20"/>
          <w:szCs w:val="20"/>
        </w:rPr>
        <w:t>tenofovir alafenamid</w:t>
      </w:r>
      <w:r w:rsidRPr="008D5A42">
        <w:rPr>
          <w:color w:val="000000" w:themeColor="text1"/>
          <w:sz w:val="20"/>
          <w:szCs w:val="20"/>
        </w:rPr>
        <w:t xml:space="preserve"> fastdosis kombinationstablet.</w:t>
      </w:r>
    </w:p>
    <w:p w14:paraId="680E0372" w14:textId="3DC9B475" w:rsidR="00DB1C4E" w:rsidRPr="008D5A42" w:rsidRDefault="00DB1C4E" w:rsidP="008D5A42">
      <w:pPr>
        <w:pStyle w:val="Brdtekst"/>
        <w:widowControl/>
        <w:suppressAutoHyphens/>
        <w:kinsoku w:val="0"/>
        <w:overflowPunct w:val="0"/>
        <w:ind w:left="284" w:hanging="284"/>
        <w:rPr>
          <w:color w:val="000000" w:themeColor="text1"/>
          <w:sz w:val="20"/>
          <w:szCs w:val="20"/>
        </w:rPr>
      </w:pPr>
      <w:r w:rsidRPr="008D5A42">
        <w:rPr>
          <w:color w:val="000000" w:themeColor="text1"/>
          <w:sz w:val="20"/>
          <w:szCs w:val="20"/>
          <w:vertAlign w:val="superscript"/>
        </w:rPr>
        <w:t>5</w:t>
      </w:r>
      <w:r w:rsidRPr="008D5A42">
        <w:rPr>
          <w:color w:val="000000" w:themeColor="text1"/>
          <w:sz w:val="20"/>
          <w:szCs w:val="20"/>
        </w:rPr>
        <w:t xml:space="preserve"> </w:t>
      </w:r>
      <w:r w:rsidR="008D5A42">
        <w:rPr>
          <w:color w:val="000000" w:themeColor="text1"/>
          <w:sz w:val="20"/>
          <w:szCs w:val="20"/>
        </w:rPr>
        <w:tab/>
      </w:r>
      <w:r w:rsidRPr="008D5A42">
        <w:rPr>
          <w:color w:val="000000" w:themeColor="text1"/>
          <w:sz w:val="20"/>
          <w:szCs w:val="20"/>
        </w:rPr>
        <w:t xml:space="preserve">Studiet blev udført med Emtricitabine/Tenofovir alafenamide </w:t>
      </w:r>
      <w:r w:rsidR="008D5A42" w:rsidRPr="008D5A42">
        <w:rPr>
          <w:color w:val="000000" w:themeColor="text1"/>
          <w:sz w:val="20"/>
          <w:szCs w:val="20"/>
        </w:rPr>
        <w:t>"</w:t>
      </w:r>
      <w:r w:rsidRPr="008D5A42">
        <w:rPr>
          <w:color w:val="000000" w:themeColor="text1"/>
          <w:sz w:val="20"/>
          <w:szCs w:val="20"/>
        </w:rPr>
        <w:t>Zentiva</w:t>
      </w:r>
      <w:r w:rsidR="008D5A42" w:rsidRPr="008D5A42">
        <w:rPr>
          <w:color w:val="000000" w:themeColor="text1"/>
          <w:sz w:val="20"/>
          <w:szCs w:val="20"/>
        </w:rPr>
        <w:t>"</w:t>
      </w:r>
      <w:r w:rsidRPr="008D5A42">
        <w:rPr>
          <w:color w:val="000000" w:themeColor="text1"/>
          <w:sz w:val="20"/>
          <w:szCs w:val="20"/>
        </w:rPr>
        <w:t>.</w:t>
      </w:r>
    </w:p>
    <w:p w14:paraId="7CA72711" w14:textId="2A0C4409" w:rsidR="00DB1C4E" w:rsidRPr="008D5A42" w:rsidRDefault="00DB1C4E" w:rsidP="008D5A42">
      <w:pPr>
        <w:pStyle w:val="Brdtekst"/>
        <w:widowControl/>
        <w:suppressAutoHyphens/>
        <w:kinsoku w:val="0"/>
        <w:overflowPunct w:val="0"/>
        <w:ind w:left="284" w:hanging="284"/>
        <w:rPr>
          <w:color w:val="000000" w:themeColor="text1"/>
          <w:sz w:val="20"/>
          <w:szCs w:val="20"/>
        </w:rPr>
      </w:pPr>
      <w:r w:rsidRPr="008D5A42">
        <w:rPr>
          <w:color w:val="000000" w:themeColor="text1"/>
          <w:sz w:val="20"/>
          <w:szCs w:val="20"/>
          <w:vertAlign w:val="superscript"/>
        </w:rPr>
        <w:t>6</w:t>
      </w:r>
      <w:r w:rsidRPr="008D5A42">
        <w:rPr>
          <w:color w:val="000000" w:themeColor="text1"/>
          <w:sz w:val="20"/>
          <w:szCs w:val="20"/>
        </w:rPr>
        <w:t xml:space="preserve"> </w:t>
      </w:r>
      <w:r w:rsidR="008D5A42">
        <w:rPr>
          <w:color w:val="000000" w:themeColor="text1"/>
          <w:sz w:val="20"/>
          <w:szCs w:val="20"/>
        </w:rPr>
        <w:tab/>
      </w:r>
      <w:r w:rsidRPr="008D5A42">
        <w:rPr>
          <w:color w:val="000000" w:themeColor="text1"/>
          <w:sz w:val="20"/>
          <w:szCs w:val="20"/>
        </w:rPr>
        <w:t>Emtricitabin/</w:t>
      </w:r>
      <w:r w:rsidR="00202D86">
        <w:rPr>
          <w:color w:val="000000" w:themeColor="text1"/>
          <w:sz w:val="20"/>
          <w:szCs w:val="20"/>
        </w:rPr>
        <w:t>tenofovir alafenamid</w:t>
      </w:r>
      <w:r w:rsidRPr="008D5A42">
        <w:rPr>
          <w:color w:val="000000" w:themeColor="text1"/>
          <w:sz w:val="20"/>
          <w:szCs w:val="20"/>
        </w:rPr>
        <w:t xml:space="preserve"> blev taget sammen med mad i dette studie.</w:t>
      </w:r>
    </w:p>
    <w:p w14:paraId="3392C4A4" w14:textId="3184890C" w:rsidR="00DB1C4E" w:rsidRPr="008D5A42" w:rsidRDefault="00DB1C4E" w:rsidP="008D5A42">
      <w:pPr>
        <w:pStyle w:val="Brdtekst"/>
        <w:widowControl/>
        <w:suppressAutoHyphens/>
        <w:kinsoku w:val="0"/>
        <w:overflowPunct w:val="0"/>
        <w:ind w:left="284" w:hanging="284"/>
        <w:rPr>
          <w:color w:val="000000" w:themeColor="text1"/>
          <w:sz w:val="20"/>
          <w:szCs w:val="20"/>
        </w:rPr>
      </w:pPr>
      <w:r w:rsidRPr="008D5A42">
        <w:rPr>
          <w:color w:val="000000" w:themeColor="text1"/>
          <w:sz w:val="20"/>
          <w:szCs w:val="20"/>
          <w:vertAlign w:val="superscript"/>
        </w:rPr>
        <w:t>7</w:t>
      </w:r>
      <w:r w:rsidRPr="008D5A42">
        <w:rPr>
          <w:color w:val="000000" w:themeColor="text1"/>
          <w:sz w:val="20"/>
          <w:szCs w:val="20"/>
        </w:rPr>
        <w:t xml:space="preserve"> </w:t>
      </w:r>
      <w:r w:rsidR="008D5A42">
        <w:rPr>
          <w:color w:val="000000" w:themeColor="text1"/>
          <w:sz w:val="20"/>
          <w:szCs w:val="20"/>
        </w:rPr>
        <w:tab/>
      </w:r>
      <w:r w:rsidRPr="008D5A42">
        <w:rPr>
          <w:color w:val="000000" w:themeColor="text1"/>
          <w:sz w:val="20"/>
          <w:szCs w:val="20"/>
        </w:rPr>
        <w:t>Studie udført med yderligere 100 mg voxilaprevir for at opnå de voxilaprevir-eksponeringer, der forventes hos HCV-inficerede patienter.</w:t>
      </w:r>
    </w:p>
    <w:p w14:paraId="0930559C" w14:textId="77777777" w:rsidR="009260DE" w:rsidRPr="00F2263F" w:rsidRDefault="009260DE" w:rsidP="009260DE">
      <w:pPr>
        <w:tabs>
          <w:tab w:val="left" w:pos="851"/>
        </w:tabs>
        <w:ind w:left="851"/>
        <w:rPr>
          <w:sz w:val="24"/>
          <w:szCs w:val="24"/>
        </w:rPr>
      </w:pPr>
    </w:p>
    <w:p w14:paraId="1E50F6F3" w14:textId="77777777" w:rsidR="009260DE" w:rsidRPr="00F2263F" w:rsidRDefault="009260DE" w:rsidP="009260DE">
      <w:pPr>
        <w:tabs>
          <w:tab w:val="left" w:pos="851"/>
        </w:tabs>
        <w:ind w:left="851" w:hanging="851"/>
        <w:rPr>
          <w:b/>
          <w:sz w:val="24"/>
          <w:szCs w:val="24"/>
        </w:rPr>
      </w:pPr>
      <w:r w:rsidRPr="00F2263F">
        <w:rPr>
          <w:b/>
          <w:sz w:val="24"/>
          <w:szCs w:val="24"/>
        </w:rPr>
        <w:t>4.6</w:t>
      </w:r>
      <w:r w:rsidRPr="00F2263F">
        <w:rPr>
          <w:b/>
          <w:sz w:val="24"/>
          <w:szCs w:val="24"/>
        </w:rPr>
        <w:tab/>
      </w:r>
      <w:r w:rsidR="0071241E" w:rsidRPr="00F2263F">
        <w:rPr>
          <w:b/>
          <w:sz w:val="24"/>
          <w:szCs w:val="24"/>
        </w:rPr>
        <w:t>Fertilitet, g</w:t>
      </w:r>
      <w:r w:rsidRPr="00F2263F">
        <w:rPr>
          <w:b/>
          <w:sz w:val="24"/>
          <w:szCs w:val="24"/>
        </w:rPr>
        <w:t>raviditet og amning</w:t>
      </w:r>
    </w:p>
    <w:p w14:paraId="0A70B589" w14:textId="77777777" w:rsidR="008D5A42" w:rsidRDefault="008D5A42" w:rsidP="00132A6A">
      <w:pPr>
        <w:ind w:left="851"/>
        <w:rPr>
          <w:sz w:val="24"/>
          <w:szCs w:val="24"/>
        </w:rPr>
      </w:pPr>
    </w:p>
    <w:p w14:paraId="10779705" w14:textId="448A5877" w:rsidR="00DB1C4E" w:rsidRPr="008D5A42" w:rsidRDefault="00DB1C4E" w:rsidP="00132A6A">
      <w:pPr>
        <w:ind w:left="851"/>
        <w:rPr>
          <w:sz w:val="24"/>
          <w:szCs w:val="24"/>
          <w:u w:val="single"/>
        </w:rPr>
      </w:pPr>
      <w:r w:rsidRPr="008D5A42">
        <w:rPr>
          <w:sz w:val="24"/>
          <w:szCs w:val="24"/>
          <w:u w:val="single"/>
        </w:rPr>
        <w:t>Graviditet</w:t>
      </w:r>
    </w:p>
    <w:p w14:paraId="56E94F44" w14:textId="77777777" w:rsidR="00DB1C4E" w:rsidRPr="00F2263F" w:rsidRDefault="00DB1C4E" w:rsidP="00132A6A">
      <w:pPr>
        <w:ind w:left="851"/>
        <w:rPr>
          <w:sz w:val="24"/>
          <w:szCs w:val="24"/>
        </w:rPr>
      </w:pPr>
    </w:p>
    <w:p w14:paraId="4F92C33C" w14:textId="397F7C35" w:rsidR="00DB1C4E" w:rsidRPr="00F2263F" w:rsidRDefault="00DB1C4E" w:rsidP="00132A6A">
      <w:pPr>
        <w:ind w:left="851"/>
        <w:rPr>
          <w:sz w:val="24"/>
          <w:szCs w:val="24"/>
        </w:rPr>
      </w:pPr>
      <w:r w:rsidRPr="00F2263F">
        <w:rPr>
          <w:sz w:val="24"/>
          <w:szCs w:val="24"/>
        </w:rPr>
        <w:t xml:space="preserve">Der er ingen tilstrækkelige og velkontrollerede studier af emtricitabine og </w:t>
      </w:r>
      <w:r w:rsidR="00202D86">
        <w:rPr>
          <w:sz w:val="24"/>
          <w:szCs w:val="24"/>
        </w:rPr>
        <w:t>tenofovir alafenamid</w:t>
      </w:r>
      <w:r w:rsidRPr="00F2263F">
        <w:rPr>
          <w:sz w:val="24"/>
          <w:szCs w:val="24"/>
        </w:rPr>
        <w:t xml:space="preserve"> kombinationen eller dennes komponenter hos gravide kvinder. Der er ingen eller utilstrækkelige data (mindre end 300 gravide forsøgspersoner) fra anvendelse af </w:t>
      </w:r>
      <w:r w:rsidR="00202D86">
        <w:rPr>
          <w:sz w:val="24"/>
          <w:szCs w:val="24"/>
        </w:rPr>
        <w:t>tenofovir alafenamid</w:t>
      </w:r>
      <w:r w:rsidRPr="00F2263F">
        <w:rPr>
          <w:sz w:val="24"/>
          <w:szCs w:val="24"/>
        </w:rPr>
        <w:t xml:space="preserve"> til gravide kvinder. Data fra et stort antal gravide kvinder (mere end </w:t>
      </w:r>
      <w:r w:rsidRPr="00F2263F">
        <w:rPr>
          <w:sz w:val="24"/>
          <w:szCs w:val="24"/>
        </w:rPr>
        <w:lastRenderedPageBreak/>
        <w:t>1.000) indikerer imidlertid ingen misdannelser eller føtal/neonatal toksicitet i forbindelse med emtricitabin.</w:t>
      </w:r>
    </w:p>
    <w:p w14:paraId="4C58C557" w14:textId="77777777" w:rsidR="00DB1C4E" w:rsidRPr="00F2263F" w:rsidRDefault="00DB1C4E" w:rsidP="00132A6A">
      <w:pPr>
        <w:ind w:left="851"/>
        <w:rPr>
          <w:sz w:val="24"/>
          <w:szCs w:val="24"/>
        </w:rPr>
      </w:pPr>
    </w:p>
    <w:p w14:paraId="04976DB4" w14:textId="4E987A09" w:rsidR="00DB1C4E" w:rsidRPr="00F2263F" w:rsidRDefault="00DB1C4E" w:rsidP="00132A6A">
      <w:pPr>
        <w:ind w:left="851"/>
        <w:rPr>
          <w:sz w:val="24"/>
          <w:szCs w:val="24"/>
        </w:rPr>
      </w:pPr>
      <w:r w:rsidRPr="00F2263F">
        <w:rPr>
          <w:sz w:val="24"/>
          <w:szCs w:val="24"/>
        </w:rPr>
        <w:t xml:space="preserve">Dyrestudier indikerer hverken direkte eller indirekte skadelige virkninger af emtricitabin hvad angår fertilitetsparametre, graviditet, føtal udvikling, fødsel og postnatal udvikling. Studier af </w:t>
      </w:r>
      <w:r w:rsidR="00202D86">
        <w:rPr>
          <w:sz w:val="24"/>
          <w:szCs w:val="24"/>
        </w:rPr>
        <w:t>tenofovir alafenamid</w:t>
      </w:r>
      <w:r w:rsidRPr="00F2263F">
        <w:rPr>
          <w:sz w:val="24"/>
          <w:szCs w:val="24"/>
        </w:rPr>
        <w:t xml:space="preserve"> fra dyr har ikke vist evidens for skadelige virkninger på fertilitetsparametre, graviditet eller føtal udvikling (se pkt. 5.3).</w:t>
      </w:r>
    </w:p>
    <w:p w14:paraId="405856BA" w14:textId="77777777" w:rsidR="00DB1C4E" w:rsidRPr="00F2263F" w:rsidRDefault="00DB1C4E" w:rsidP="00132A6A">
      <w:pPr>
        <w:ind w:left="851"/>
        <w:rPr>
          <w:sz w:val="24"/>
          <w:szCs w:val="24"/>
        </w:rPr>
      </w:pPr>
    </w:p>
    <w:p w14:paraId="1803EA3A" w14:textId="229BE104" w:rsidR="00DB1C4E" w:rsidRPr="00F2263F" w:rsidRDefault="00DB1C4E" w:rsidP="00132A6A">
      <w:pPr>
        <w:ind w:left="851"/>
        <w:rPr>
          <w:sz w:val="24"/>
          <w:szCs w:val="24"/>
        </w:rPr>
      </w:pPr>
      <w:r w:rsidRPr="00F2263F">
        <w:rPr>
          <w:sz w:val="24"/>
          <w:szCs w:val="24"/>
        </w:rPr>
        <w:t xml:space="preserve">Emtricitabine/Tenofovir alafenamide </w:t>
      </w:r>
      <w:r w:rsidR="008D5A42">
        <w:rPr>
          <w:sz w:val="24"/>
          <w:szCs w:val="24"/>
        </w:rPr>
        <w:t>"</w:t>
      </w:r>
      <w:r w:rsidRPr="00F2263F">
        <w:rPr>
          <w:sz w:val="24"/>
          <w:szCs w:val="24"/>
        </w:rPr>
        <w:t>Zentiva</w:t>
      </w:r>
      <w:r w:rsidR="008D5A42">
        <w:rPr>
          <w:sz w:val="24"/>
          <w:szCs w:val="24"/>
        </w:rPr>
        <w:t>"</w:t>
      </w:r>
      <w:r w:rsidRPr="00F2263F">
        <w:rPr>
          <w:sz w:val="24"/>
          <w:szCs w:val="24"/>
        </w:rPr>
        <w:t xml:space="preserve"> bør kun anvendes under graviditet, hvis den potentielle fordel berettiger den potentielle risiko for fosteret.</w:t>
      </w:r>
    </w:p>
    <w:p w14:paraId="693D5F93" w14:textId="77777777" w:rsidR="00DB1C4E" w:rsidRPr="00F2263F" w:rsidRDefault="00DB1C4E" w:rsidP="00132A6A">
      <w:pPr>
        <w:ind w:left="851"/>
        <w:rPr>
          <w:sz w:val="24"/>
          <w:szCs w:val="24"/>
        </w:rPr>
      </w:pPr>
    </w:p>
    <w:p w14:paraId="7288868E" w14:textId="77777777" w:rsidR="00DB1C4E" w:rsidRPr="008D5A42" w:rsidRDefault="00DB1C4E" w:rsidP="00132A6A">
      <w:pPr>
        <w:ind w:left="851"/>
        <w:rPr>
          <w:sz w:val="24"/>
          <w:szCs w:val="24"/>
          <w:u w:val="single"/>
        </w:rPr>
      </w:pPr>
      <w:r w:rsidRPr="008D5A42">
        <w:rPr>
          <w:sz w:val="24"/>
          <w:szCs w:val="24"/>
          <w:u w:val="single"/>
        </w:rPr>
        <w:t>Amning</w:t>
      </w:r>
    </w:p>
    <w:p w14:paraId="7A9EF4F6" w14:textId="77777777" w:rsidR="00DB1C4E" w:rsidRPr="00F2263F" w:rsidRDefault="00DB1C4E" w:rsidP="00132A6A">
      <w:pPr>
        <w:ind w:left="851"/>
        <w:rPr>
          <w:sz w:val="24"/>
          <w:szCs w:val="24"/>
        </w:rPr>
      </w:pPr>
    </w:p>
    <w:p w14:paraId="3F28797A" w14:textId="5AEB39F1" w:rsidR="00DB1C4E" w:rsidRPr="00F2263F" w:rsidRDefault="00DB1C4E" w:rsidP="00132A6A">
      <w:pPr>
        <w:ind w:left="851"/>
        <w:rPr>
          <w:sz w:val="24"/>
          <w:szCs w:val="24"/>
        </w:rPr>
      </w:pPr>
      <w:r w:rsidRPr="00F2263F">
        <w:rPr>
          <w:sz w:val="24"/>
          <w:szCs w:val="24"/>
        </w:rPr>
        <w:t xml:space="preserve">Det er ukendt, om </w:t>
      </w:r>
      <w:r w:rsidR="00202D86">
        <w:rPr>
          <w:sz w:val="24"/>
          <w:szCs w:val="24"/>
        </w:rPr>
        <w:t>tenofovir alafenamid</w:t>
      </w:r>
      <w:r w:rsidRPr="00F2263F">
        <w:rPr>
          <w:sz w:val="24"/>
          <w:szCs w:val="24"/>
        </w:rPr>
        <w:t xml:space="preserve"> udskilles i human mælk. Emtricitabin udskilles i human mælk. Det er blevet vist i dyrestudier, at tenofovir udskilles i mælk.</w:t>
      </w:r>
    </w:p>
    <w:p w14:paraId="0EC91DC2" w14:textId="77777777" w:rsidR="00DB1C4E" w:rsidRPr="00F2263F" w:rsidRDefault="00DB1C4E" w:rsidP="00132A6A">
      <w:pPr>
        <w:ind w:left="851"/>
        <w:rPr>
          <w:sz w:val="24"/>
          <w:szCs w:val="24"/>
        </w:rPr>
      </w:pPr>
    </w:p>
    <w:p w14:paraId="5487462F" w14:textId="08B3F94E" w:rsidR="00DB1C4E" w:rsidRPr="00F2263F" w:rsidRDefault="00DB1C4E" w:rsidP="00132A6A">
      <w:pPr>
        <w:ind w:left="851"/>
        <w:rPr>
          <w:sz w:val="24"/>
          <w:szCs w:val="24"/>
        </w:rPr>
      </w:pPr>
      <w:r w:rsidRPr="00F2263F">
        <w:rPr>
          <w:sz w:val="24"/>
          <w:szCs w:val="24"/>
        </w:rPr>
        <w:t xml:space="preserve">Der foreligger utilstrækkelige data for virkningen af emtricitabin og tenofovir på det ammede barn. Emtricitabine/Tenofovir alafenamide </w:t>
      </w:r>
      <w:r w:rsidR="008D5A42">
        <w:rPr>
          <w:sz w:val="24"/>
          <w:szCs w:val="24"/>
        </w:rPr>
        <w:t>"</w:t>
      </w:r>
      <w:r w:rsidRPr="00F2263F">
        <w:rPr>
          <w:sz w:val="24"/>
          <w:szCs w:val="24"/>
        </w:rPr>
        <w:t>Zentiva</w:t>
      </w:r>
      <w:r w:rsidR="008D5A42">
        <w:rPr>
          <w:sz w:val="24"/>
          <w:szCs w:val="24"/>
        </w:rPr>
        <w:t>"</w:t>
      </w:r>
      <w:r w:rsidRPr="00F2263F">
        <w:rPr>
          <w:sz w:val="24"/>
          <w:szCs w:val="24"/>
        </w:rPr>
        <w:t xml:space="preserve"> må derfor ikke anvendes under amning.</w:t>
      </w:r>
    </w:p>
    <w:p w14:paraId="649C6771" w14:textId="77777777" w:rsidR="00DB1C4E" w:rsidRPr="00F2263F" w:rsidRDefault="00DB1C4E" w:rsidP="00132A6A">
      <w:pPr>
        <w:ind w:left="851"/>
        <w:rPr>
          <w:sz w:val="24"/>
          <w:szCs w:val="24"/>
        </w:rPr>
      </w:pPr>
    </w:p>
    <w:p w14:paraId="5F39493E" w14:textId="77777777" w:rsidR="00DB1C4E" w:rsidRPr="00F2263F" w:rsidRDefault="00DB1C4E" w:rsidP="00132A6A">
      <w:pPr>
        <w:ind w:left="851"/>
        <w:rPr>
          <w:sz w:val="24"/>
          <w:szCs w:val="24"/>
        </w:rPr>
      </w:pPr>
      <w:r w:rsidRPr="00F2263F">
        <w:rPr>
          <w:sz w:val="24"/>
          <w:szCs w:val="24"/>
        </w:rPr>
        <w:t>For at undgå overførsel af hiv til spædbarnet anbefales det, at hiv-inficerede kvinder undlader at amme deres spædbørn.</w:t>
      </w:r>
    </w:p>
    <w:p w14:paraId="33BBBEA5" w14:textId="77777777" w:rsidR="00DB1C4E" w:rsidRPr="00F2263F" w:rsidRDefault="00DB1C4E" w:rsidP="00132A6A">
      <w:pPr>
        <w:ind w:left="851"/>
        <w:rPr>
          <w:sz w:val="24"/>
          <w:szCs w:val="24"/>
        </w:rPr>
      </w:pPr>
    </w:p>
    <w:p w14:paraId="448D81BA" w14:textId="77777777" w:rsidR="00DB1C4E" w:rsidRPr="008D5A42" w:rsidRDefault="00DB1C4E" w:rsidP="00132A6A">
      <w:pPr>
        <w:ind w:left="851"/>
        <w:rPr>
          <w:sz w:val="24"/>
          <w:szCs w:val="24"/>
          <w:u w:val="single"/>
        </w:rPr>
      </w:pPr>
      <w:r w:rsidRPr="008D5A42">
        <w:rPr>
          <w:sz w:val="24"/>
          <w:szCs w:val="24"/>
          <w:u w:val="single"/>
        </w:rPr>
        <w:t>Fertilitet</w:t>
      </w:r>
    </w:p>
    <w:p w14:paraId="03B6A8D8" w14:textId="77777777" w:rsidR="00DB1C4E" w:rsidRPr="00F2263F" w:rsidRDefault="00DB1C4E" w:rsidP="00132A6A">
      <w:pPr>
        <w:ind w:left="851"/>
        <w:rPr>
          <w:rFonts w:eastAsia="MS Mincho"/>
          <w:sz w:val="24"/>
          <w:szCs w:val="24"/>
          <w:lang w:eastAsia="fr-FR"/>
        </w:rPr>
      </w:pPr>
    </w:p>
    <w:p w14:paraId="11782C01" w14:textId="752C1C77" w:rsidR="00DB1C4E" w:rsidRPr="00F2263F" w:rsidRDefault="00DB1C4E" w:rsidP="00132A6A">
      <w:pPr>
        <w:ind w:left="851"/>
        <w:rPr>
          <w:rFonts w:eastAsia="MS Mincho"/>
          <w:sz w:val="24"/>
          <w:szCs w:val="24"/>
          <w:lang w:eastAsia="fr-FR"/>
        </w:rPr>
      </w:pPr>
      <w:r w:rsidRPr="00F2263F">
        <w:rPr>
          <w:rFonts w:eastAsia="MS Mincho"/>
          <w:sz w:val="24"/>
          <w:szCs w:val="24"/>
          <w:lang w:eastAsia="fr-FR"/>
        </w:rPr>
        <w:t xml:space="preserve">Der foreligger ingen data om fertilitet fra anvendelsen af emtricitabin </w:t>
      </w:r>
      <w:r w:rsidR="00202D86">
        <w:rPr>
          <w:rFonts w:eastAsia="MS Mincho"/>
          <w:sz w:val="24"/>
          <w:szCs w:val="24"/>
          <w:lang w:eastAsia="fr-FR"/>
        </w:rPr>
        <w:t>tenofovir alafenamid</w:t>
      </w:r>
      <w:r w:rsidRPr="00F2263F">
        <w:rPr>
          <w:rFonts w:eastAsia="MS Mincho"/>
          <w:sz w:val="24"/>
          <w:szCs w:val="24"/>
          <w:lang w:eastAsia="fr-FR"/>
        </w:rPr>
        <w:t xml:space="preserve"> kombinationen til mennesker. I dyrestudier var der ingen virkning af emtricitabin og </w:t>
      </w:r>
      <w:r w:rsidR="00202D86">
        <w:rPr>
          <w:rFonts w:eastAsia="MS Mincho"/>
          <w:sz w:val="24"/>
          <w:szCs w:val="24"/>
          <w:lang w:eastAsia="fr-FR"/>
        </w:rPr>
        <w:t>tenofovir alafenamid</w:t>
      </w:r>
      <w:r w:rsidRPr="00F2263F">
        <w:rPr>
          <w:rFonts w:eastAsia="MS Mincho"/>
          <w:sz w:val="24"/>
          <w:szCs w:val="24"/>
          <w:lang w:eastAsia="fr-FR"/>
        </w:rPr>
        <w:t xml:space="preserve"> på parrings- eller fertilitetsparametre (se pkt. 5.3).</w:t>
      </w:r>
    </w:p>
    <w:p w14:paraId="64560315" w14:textId="77777777" w:rsidR="009260DE" w:rsidRPr="00F2263F" w:rsidRDefault="009260DE" w:rsidP="009260DE">
      <w:pPr>
        <w:tabs>
          <w:tab w:val="left" w:pos="851"/>
        </w:tabs>
        <w:ind w:left="851"/>
        <w:rPr>
          <w:sz w:val="24"/>
          <w:szCs w:val="24"/>
        </w:rPr>
      </w:pPr>
    </w:p>
    <w:p w14:paraId="52C13A35" w14:textId="77777777" w:rsidR="009260DE" w:rsidRPr="00F2263F" w:rsidRDefault="009260DE" w:rsidP="009260DE">
      <w:pPr>
        <w:tabs>
          <w:tab w:val="left" w:pos="851"/>
        </w:tabs>
        <w:ind w:left="851" w:hanging="851"/>
        <w:rPr>
          <w:b/>
          <w:sz w:val="24"/>
          <w:szCs w:val="24"/>
        </w:rPr>
      </w:pPr>
      <w:r w:rsidRPr="00F2263F">
        <w:rPr>
          <w:b/>
          <w:sz w:val="24"/>
          <w:szCs w:val="24"/>
        </w:rPr>
        <w:t>4.7</w:t>
      </w:r>
      <w:r w:rsidRPr="00F2263F">
        <w:rPr>
          <w:b/>
          <w:sz w:val="24"/>
          <w:szCs w:val="24"/>
        </w:rPr>
        <w:tab/>
        <w:t xml:space="preserve">Virkning på evnen til at føre motorkøretøj </w:t>
      </w:r>
      <w:r w:rsidR="0071241E" w:rsidRPr="00F2263F">
        <w:rPr>
          <w:b/>
          <w:sz w:val="24"/>
          <w:szCs w:val="24"/>
        </w:rPr>
        <w:t>og</w:t>
      </w:r>
      <w:r w:rsidRPr="00F2263F">
        <w:rPr>
          <w:b/>
          <w:sz w:val="24"/>
          <w:szCs w:val="24"/>
        </w:rPr>
        <w:t xml:space="preserve"> betjene maskiner</w:t>
      </w:r>
    </w:p>
    <w:p w14:paraId="5B260FFB" w14:textId="3FD39704" w:rsidR="00DB1C4E" w:rsidRPr="00F2263F" w:rsidRDefault="00DB1C4E" w:rsidP="00132A6A">
      <w:pPr>
        <w:ind w:left="851"/>
        <w:rPr>
          <w:sz w:val="24"/>
          <w:szCs w:val="24"/>
        </w:rPr>
      </w:pPr>
      <w:r w:rsidRPr="00F2263F">
        <w:rPr>
          <w:sz w:val="24"/>
          <w:szCs w:val="24"/>
        </w:rPr>
        <w:t>Ikke mærkning</w:t>
      </w:r>
      <w:r w:rsidR="004574DA">
        <w:rPr>
          <w:sz w:val="24"/>
          <w:szCs w:val="24"/>
        </w:rPr>
        <w:t>.</w:t>
      </w:r>
    </w:p>
    <w:p w14:paraId="57C7B9E8" w14:textId="79713CC8" w:rsidR="00DB1C4E" w:rsidRPr="00F2263F" w:rsidRDefault="00DB1C4E" w:rsidP="00132A6A">
      <w:pPr>
        <w:ind w:left="851"/>
        <w:rPr>
          <w:sz w:val="24"/>
          <w:szCs w:val="24"/>
        </w:rPr>
      </w:pPr>
      <w:r w:rsidRPr="00F2263F">
        <w:rPr>
          <w:sz w:val="24"/>
          <w:szCs w:val="24"/>
        </w:rPr>
        <w:t xml:space="preserve">Emtricitabine/Tenofovir alafenamide </w:t>
      </w:r>
      <w:r w:rsidR="008D5A42">
        <w:rPr>
          <w:sz w:val="24"/>
          <w:szCs w:val="24"/>
        </w:rPr>
        <w:t>"</w:t>
      </w:r>
      <w:r w:rsidRPr="00F2263F">
        <w:rPr>
          <w:sz w:val="24"/>
          <w:szCs w:val="24"/>
        </w:rPr>
        <w:t>Zentiva</w:t>
      </w:r>
      <w:r w:rsidR="008D5A42">
        <w:rPr>
          <w:sz w:val="24"/>
          <w:szCs w:val="24"/>
        </w:rPr>
        <w:t>"</w:t>
      </w:r>
      <w:r w:rsidRPr="00F2263F">
        <w:rPr>
          <w:sz w:val="24"/>
          <w:szCs w:val="24"/>
        </w:rPr>
        <w:t xml:space="preserve"> påvirker i mindre grad evnen til at føre motorkøretøj og betjene maskiner. Patienter bør informeres om, at svimmelhed er blevet indberettet under behandling med emtricitabin </w:t>
      </w:r>
      <w:r w:rsidR="00202D86">
        <w:rPr>
          <w:sz w:val="24"/>
          <w:szCs w:val="24"/>
        </w:rPr>
        <w:t>tenofovir alafenamid</w:t>
      </w:r>
      <w:r w:rsidRPr="00F2263F">
        <w:rPr>
          <w:sz w:val="24"/>
          <w:szCs w:val="24"/>
        </w:rPr>
        <w:t xml:space="preserve"> kombinationen.</w:t>
      </w:r>
    </w:p>
    <w:p w14:paraId="71C116F0" w14:textId="77777777" w:rsidR="009260DE" w:rsidRPr="00F2263F" w:rsidRDefault="009260DE" w:rsidP="00132A6A">
      <w:pPr>
        <w:ind w:left="851"/>
        <w:rPr>
          <w:sz w:val="24"/>
          <w:szCs w:val="24"/>
        </w:rPr>
      </w:pPr>
    </w:p>
    <w:p w14:paraId="1799DCAB" w14:textId="77777777" w:rsidR="009260DE" w:rsidRPr="00F2263F" w:rsidRDefault="009260DE" w:rsidP="009260DE">
      <w:pPr>
        <w:tabs>
          <w:tab w:val="left" w:pos="851"/>
        </w:tabs>
        <w:ind w:left="851" w:hanging="851"/>
        <w:rPr>
          <w:b/>
          <w:sz w:val="24"/>
          <w:szCs w:val="24"/>
        </w:rPr>
      </w:pPr>
      <w:r w:rsidRPr="00F2263F">
        <w:rPr>
          <w:b/>
          <w:sz w:val="24"/>
          <w:szCs w:val="24"/>
        </w:rPr>
        <w:t>4.8</w:t>
      </w:r>
      <w:r w:rsidRPr="00F2263F">
        <w:rPr>
          <w:b/>
          <w:sz w:val="24"/>
          <w:szCs w:val="24"/>
        </w:rPr>
        <w:tab/>
        <w:t>Bivirkninger</w:t>
      </w:r>
    </w:p>
    <w:p w14:paraId="5723D8E7" w14:textId="77777777" w:rsidR="008D5A42" w:rsidRDefault="008D5A42" w:rsidP="00132A6A">
      <w:pPr>
        <w:ind w:left="851"/>
        <w:rPr>
          <w:sz w:val="24"/>
          <w:szCs w:val="24"/>
        </w:rPr>
      </w:pPr>
    </w:p>
    <w:p w14:paraId="2FDF57A3" w14:textId="20F0F641" w:rsidR="00DB1C4E" w:rsidRPr="008D5A42" w:rsidRDefault="00DB1C4E" w:rsidP="00132A6A">
      <w:pPr>
        <w:ind w:left="851"/>
        <w:rPr>
          <w:sz w:val="24"/>
          <w:szCs w:val="24"/>
          <w:u w:val="single"/>
        </w:rPr>
      </w:pPr>
      <w:r w:rsidRPr="008D5A42">
        <w:rPr>
          <w:sz w:val="24"/>
          <w:szCs w:val="24"/>
          <w:u w:val="single"/>
        </w:rPr>
        <w:t>Resumé af sikkerhedsprofilen</w:t>
      </w:r>
    </w:p>
    <w:p w14:paraId="2631D2EC" w14:textId="77777777" w:rsidR="00DB1C4E" w:rsidRPr="00F2263F" w:rsidRDefault="00DB1C4E" w:rsidP="00132A6A">
      <w:pPr>
        <w:ind w:left="851"/>
        <w:rPr>
          <w:sz w:val="24"/>
          <w:szCs w:val="24"/>
        </w:rPr>
      </w:pPr>
    </w:p>
    <w:p w14:paraId="60755EE1" w14:textId="1A94FCA9" w:rsidR="00DB1C4E" w:rsidRPr="00F2263F" w:rsidRDefault="00DB1C4E" w:rsidP="00132A6A">
      <w:pPr>
        <w:ind w:left="851"/>
        <w:rPr>
          <w:sz w:val="24"/>
          <w:szCs w:val="24"/>
        </w:rPr>
      </w:pPr>
      <w:r w:rsidRPr="00F2263F">
        <w:rPr>
          <w:sz w:val="24"/>
          <w:szCs w:val="24"/>
        </w:rPr>
        <w:t xml:space="preserve">Vurderingen af bivirkninger er baseret på sikkerhedsdata fra alle fase 2- og 3-studier, hvor hiv 1-inficerede patienter fik lægemidler, der indeholdt emtricitabin og </w:t>
      </w:r>
      <w:r w:rsidR="00202D86">
        <w:rPr>
          <w:sz w:val="24"/>
          <w:szCs w:val="24"/>
        </w:rPr>
        <w:t>tenofovir alafenamid</w:t>
      </w:r>
      <w:r w:rsidRPr="00F2263F">
        <w:rPr>
          <w:sz w:val="24"/>
          <w:szCs w:val="24"/>
        </w:rPr>
        <w:t xml:space="preserve"> samt på erfaringer efter markedsføring. I kliniske studier med behandlingsnaive voksne patienter, der fik emtricitabin og </w:t>
      </w:r>
      <w:r w:rsidR="00202D86">
        <w:rPr>
          <w:sz w:val="24"/>
          <w:szCs w:val="24"/>
        </w:rPr>
        <w:t>tenofovir alafenamid</w:t>
      </w:r>
      <w:r w:rsidRPr="00F2263F">
        <w:rPr>
          <w:sz w:val="24"/>
          <w:szCs w:val="24"/>
        </w:rPr>
        <w:t xml:space="preserve"> sammen med elvitegravir og cobicistat som en fastdosis kombinationstablet med elvitegravir 150 mg/cobicistat 150</w:t>
      </w:r>
      <w:r w:rsidR="00EF0A4B">
        <w:rPr>
          <w:sz w:val="24"/>
          <w:szCs w:val="24"/>
        </w:rPr>
        <w:t> </w:t>
      </w:r>
      <w:r w:rsidRPr="00F2263F">
        <w:rPr>
          <w:sz w:val="24"/>
          <w:szCs w:val="24"/>
        </w:rPr>
        <w:t>mg/emtricitabin 200 mg/</w:t>
      </w:r>
      <w:r w:rsidR="00202D86">
        <w:rPr>
          <w:sz w:val="24"/>
          <w:szCs w:val="24"/>
        </w:rPr>
        <w:t>tenofovir alafenamid</w:t>
      </w:r>
      <w:r w:rsidRPr="00F2263F">
        <w:rPr>
          <w:sz w:val="24"/>
          <w:szCs w:val="24"/>
        </w:rPr>
        <w:t xml:space="preserve"> (som fumarat) 10 mg (E/C/F/TAF) til og med 144 uger, var de hyppigst indberettede bivirkninger diarré (7 %), kvalme (11 %) og hovedpine (6 %).</w:t>
      </w:r>
    </w:p>
    <w:p w14:paraId="11C5D1F5" w14:textId="63D3B147" w:rsidR="00EF0A4B" w:rsidRDefault="00EF0A4B">
      <w:pPr>
        <w:rPr>
          <w:sz w:val="24"/>
          <w:szCs w:val="24"/>
        </w:rPr>
      </w:pPr>
      <w:r>
        <w:rPr>
          <w:sz w:val="24"/>
          <w:szCs w:val="24"/>
        </w:rPr>
        <w:br w:type="page"/>
      </w:r>
    </w:p>
    <w:p w14:paraId="4B44CCE1" w14:textId="77777777" w:rsidR="00DB1C4E" w:rsidRPr="00F2263F" w:rsidRDefault="00DB1C4E" w:rsidP="00132A6A">
      <w:pPr>
        <w:ind w:left="851"/>
        <w:rPr>
          <w:sz w:val="24"/>
          <w:szCs w:val="24"/>
        </w:rPr>
      </w:pPr>
    </w:p>
    <w:p w14:paraId="6D144CEA" w14:textId="77777777" w:rsidR="00DB1C4E" w:rsidRPr="008D5A42" w:rsidRDefault="00DB1C4E" w:rsidP="00132A6A">
      <w:pPr>
        <w:ind w:left="851"/>
        <w:rPr>
          <w:sz w:val="24"/>
          <w:szCs w:val="24"/>
          <w:u w:val="single"/>
        </w:rPr>
      </w:pPr>
      <w:r w:rsidRPr="008D5A42">
        <w:rPr>
          <w:sz w:val="24"/>
          <w:szCs w:val="24"/>
          <w:u w:val="single"/>
        </w:rPr>
        <w:t>Bivirkninger i tabelform</w:t>
      </w:r>
    </w:p>
    <w:p w14:paraId="3ED78D97" w14:textId="77777777" w:rsidR="00DB1C4E" w:rsidRPr="00F2263F" w:rsidRDefault="00DB1C4E" w:rsidP="00132A6A">
      <w:pPr>
        <w:ind w:left="851"/>
        <w:rPr>
          <w:sz w:val="24"/>
          <w:szCs w:val="24"/>
        </w:rPr>
      </w:pPr>
    </w:p>
    <w:p w14:paraId="6946BC48" w14:textId="0B4B26DA" w:rsidR="00DB1C4E" w:rsidRPr="00F2263F" w:rsidRDefault="00DB1C4E" w:rsidP="00132A6A">
      <w:pPr>
        <w:ind w:left="851"/>
        <w:rPr>
          <w:sz w:val="24"/>
          <w:szCs w:val="24"/>
        </w:rPr>
      </w:pPr>
      <w:r w:rsidRPr="00F2263F">
        <w:rPr>
          <w:sz w:val="24"/>
          <w:szCs w:val="24"/>
        </w:rPr>
        <w:t>Bivirkningerne i tabel 3 er opstillet pr. systemorganklasse og hyppighed. Hyppighed er defineret som følger: meget almindelig (≥ 1/10), almindelig (≥ 1/100 til &lt; 1/10) og ikke almindelig (≥ 1/1.000 til &lt; 1/100).</w:t>
      </w:r>
    </w:p>
    <w:p w14:paraId="59B201FA" w14:textId="77777777" w:rsidR="00DB1C4E" w:rsidRPr="00F2263F" w:rsidRDefault="00DB1C4E" w:rsidP="00132A6A">
      <w:pPr>
        <w:ind w:left="851"/>
        <w:rPr>
          <w:sz w:val="24"/>
          <w:szCs w:val="24"/>
        </w:rPr>
      </w:pPr>
    </w:p>
    <w:p w14:paraId="1D02BC46" w14:textId="77777777" w:rsidR="00DB1C4E" w:rsidRPr="00F2263F" w:rsidRDefault="00DB1C4E" w:rsidP="008D5A42">
      <w:pPr>
        <w:pStyle w:val="Brdtekst"/>
        <w:widowControl/>
        <w:suppressAutoHyphens/>
        <w:kinsoku w:val="0"/>
        <w:overflowPunct w:val="0"/>
        <w:ind w:left="851"/>
        <w:rPr>
          <w:b/>
          <w:bCs/>
          <w:color w:val="000000" w:themeColor="text1"/>
        </w:rPr>
      </w:pPr>
      <w:r w:rsidRPr="00F2263F">
        <w:rPr>
          <w:b/>
          <w:bCs/>
          <w:color w:val="000000" w:themeColor="text1"/>
        </w:rPr>
        <w:t>Tabel 3: Bivirkninger i tabelform</w:t>
      </w:r>
      <w:r w:rsidRPr="00F2263F">
        <w:rPr>
          <w:b/>
          <w:bCs/>
          <w:color w:val="000000" w:themeColor="text1"/>
          <w:vertAlign w:val="superscript"/>
        </w:rPr>
        <w:t>1</w:t>
      </w:r>
    </w:p>
    <w:p w14:paraId="0CFD84DA" w14:textId="77777777" w:rsidR="00DB1C4E" w:rsidRPr="00F2263F" w:rsidRDefault="00DB1C4E" w:rsidP="008D5A42">
      <w:pPr>
        <w:pStyle w:val="Brdtekst"/>
        <w:widowControl/>
        <w:suppressAutoHyphens/>
        <w:kinsoku w:val="0"/>
        <w:overflowPunct w:val="0"/>
        <w:ind w:left="851"/>
        <w:rPr>
          <w:color w:val="000000" w:themeColor="text1"/>
        </w:rPr>
      </w:pPr>
    </w:p>
    <w:tbl>
      <w:tblPr>
        <w:tblW w:w="4491" w:type="pct"/>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971"/>
        <w:gridCol w:w="5677"/>
      </w:tblGrid>
      <w:tr w:rsidR="00DB1C4E" w:rsidRPr="00F2263F" w14:paraId="518721B3" w14:textId="77777777" w:rsidTr="008D5A42">
        <w:trPr>
          <w:cantSplit/>
          <w:trHeight w:val="220"/>
        </w:trPr>
        <w:tc>
          <w:tcPr>
            <w:tcW w:w="1718" w:type="pct"/>
            <w:tcBorders>
              <w:top w:val="single" w:sz="4" w:space="0" w:color="000000"/>
              <w:left w:val="single" w:sz="4" w:space="0" w:color="000000"/>
              <w:bottom w:val="single" w:sz="4" w:space="0" w:color="000000"/>
              <w:right w:val="single" w:sz="4" w:space="0" w:color="000000"/>
            </w:tcBorders>
            <w:hideMark/>
          </w:tcPr>
          <w:p w14:paraId="74DE543E" w14:textId="77777777" w:rsidR="00DB1C4E" w:rsidRPr="00F2263F" w:rsidRDefault="00DB1C4E">
            <w:pPr>
              <w:pStyle w:val="TableParagraph"/>
              <w:ind w:left="45"/>
              <w:rPr>
                <w:b/>
                <w:lang w:val="ru-RU" w:eastAsia="ru-RU"/>
              </w:rPr>
            </w:pPr>
            <w:bookmarkStart w:id="2" w:name="_Hlk209429152"/>
            <w:r w:rsidRPr="00F2263F">
              <w:rPr>
                <w:b/>
                <w:lang w:val="ru-RU" w:eastAsia="ru-RU"/>
              </w:rPr>
              <w:t>Hyppighed</w:t>
            </w:r>
          </w:p>
        </w:tc>
        <w:tc>
          <w:tcPr>
            <w:tcW w:w="3282" w:type="pct"/>
            <w:tcBorders>
              <w:top w:val="single" w:sz="4" w:space="0" w:color="000000"/>
              <w:left w:val="single" w:sz="4" w:space="0" w:color="000000"/>
              <w:bottom w:val="single" w:sz="4" w:space="0" w:color="000000"/>
              <w:right w:val="single" w:sz="4" w:space="0" w:color="000000"/>
            </w:tcBorders>
            <w:hideMark/>
          </w:tcPr>
          <w:p w14:paraId="1052BF72" w14:textId="77777777" w:rsidR="00DB1C4E" w:rsidRPr="00F2263F" w:rsidRDefault="00DB1C4E">
            <w:pPr>
              <w:pStyle w:val="TableParagraph"/>
              <w:ind w:left="124"/>
              <w:rPr>
                <w:b/>
                <w:lang w:val="ru-RU" w:eastAsia="ru-RU"/>
              </w:rPr>
            </w:pPr>
            <w:r w:rsidRPr="00F2263F">
              <w:rPr>
                <w:b/>
                <w:lang w:val="ru-RU" w:eastAsia="ru-RU"/>
              </w:rPr>
              <w:t>Bivirkning</w:t>
            </w:r>
          </w:p>
        </w:tc>
      </w:tr>
      <w:tr w:rsidR="00DB1C4E" w:rsidRPr="00F2263F" w14:paraId="421115C2" w14:textId="77777777" w:rsidTr="008D5A42">
        <w:trPr>
          <w:cantSplit/>
          <w:trHeight w:val="220"/>
        </w:trPr>
        <w:tc>
          <w:tcPr>
            <w:tcW w:w="5000" w:type="pct"/>
            <w:gridSpan w:val="2"/>
            <w:tcBorders>
              <w:top w:val="single" w:sz="4" w:space="0" w:color="000000"/>
              <w:left w:val="single" w:sz="4" w:space="0" w:color="000000"/>
              <w:bottom w:val="single" w:sz="4" w:space="0" w:color="000000"/>
              <w:right w:val="single" w:sz="4" w:space="0" w:color="000000"/>
            </w:tcBorders>
            <w:hideMark/>
          </w:tcPr>
          <w:p w14:paraId="4824AD17" w14:textId="77777777" w:rsidR="00DB1C4E" w:rsidRPr="00F2263F" w:rsidRDefault="00DB1C4E">
            <w:pPr>
              <w:pStyle w:val="TableParagraph"/>
              <w:ind w:left="45"/>
              <w:rPr>
                <w:i/>
                <w:lang w:val="ru-RU" w:eastAsia="ru-RU"/>
              </w:rPr>
            </w:pPr>
            <w:r w:rsidRPr="00F2263F">
              <w:rPr>
                <w:i/>
                <w:lang w:val="ru-RU" w:eastAsia="ru-RU"/>
              </w:rPr>
              <w:t>Blod og lymfesystem</w:t>
            </w:r>
          </w:p>
        </w:tc>
      </w:tr>
      <w:tr w:rsidR="00DB1C4E" w:rsidRPr="00F2263F" w14:paraId="5E5F7BCE" w14:textId="77777777" w:rsidTr="008D5A42">
        <w:trPr>
          <w:cantSplit/>
          <w:trHeight w:val="220"/>
        </w:trPr>
        <w:tc>
          <w:tcPr>
            <w:tcW w:w="1718" w:type="pct"/>
            <w:tcBorders>
              <w:top w:val="single" w:sz="4" w:space="0" w:color="000000"/>
              <w:left w:val="single" w:sz="4" w:space="0" w:color="000000"/>
              <w:bottom w:val="single" w:sz="4" w:space="0" w:color="000000"/>
              <w:right w:val="single" w:sz="4" w:space="0" w:color="000000"/>
            </w:tcBorders>
            <w:hideMark/>
          </w:tcPr>
          <w:p w14:paraId="247C9B7B" w14:textId="77777777" w:rsidR="00DB1C4E" w:rsidRPr="00F2263F" w:rsidRDefault="00DB1C4E">
            <w:pPr>
              <w:pStyle w:val="TableParagraph"/>
              <w:ind w:left="45"/>
              <w:rPr>
                <w:lang w:val="ru-RU" w:eastAsia="ru-RU"/>
              </w:rPr>
            </w:pPr>
            <w:r w:rsidRPr="00F2263F">
              <w:rPr>
                <w:lang w:val="ru-RU" w:eastAsia="ru-RU"/>
              </w:rPr>
              <w:t>Ikke almindelig:</w:t>
            </w:r>
          </w:p>
        </w:tc>
        <w:tc>
          <w:tcPr>
            <w:tcW w:w="3282" w:type="pct"/>
            <w:tcBorders>
              <w:top w:val="single" w:sz="4" w:space="0" w:color="000000"/>
              <w:left w:val="single" w:sz="4" w:space="0" w:color="000000"/>
              <w:bottom w:val="single" w:sz="4" w:space="0" w:color="000000"/>
              <w:right w:val="single" w:sz="4" w:space="0" w:color="000000"/>
            </w:tcBorders>
            <w:hideMark/>
          </w:tcPr>
          <w:p w14:paraId="5B6575A7" w14:textId="77777777" w:rsidR="00DB1C4E" w:rsidRPr="00F2263F" w:rsidRDefault="00DB1C4E">
            <w:pPr>
              <w:ind w:left="124"/>
              <w:rPr>
                <w:sz w:val="24"/>
                <w:szCs w:val="24"/>
                <w:lang w:val="ru-RU" w:eastAsia="ru-RU"/>
              </w:rPr>
            </w:pPr>
            <w:r w:rsidRPr="00F2263F">
              <w:rPr>
                <w:sz w:val="24"/>
                <w:szCs w:val="24"/>
                <w:lang w:val="ru-RU" w:eastAsia="ru-RU"/>
              </w:rPr>
              <w:t>anæmi</w:t>
            </w:r>
            <w:r w:rsidRPr="00F2263F">
              <w:rPr>
                <w:sz w:val="24"/>
                <w:szCs w:val="24"/>
                <w:vertAlign w:val="superscript"/>
                <w:lang w:val="ru-RU" w:eastAsia="ru-RU"/>
              </w:rPr>
              <w:t>2</w:t>
            </w:r>
          </w:p>
        </w:tc>
      </w:tr>
      <w:tr w:rsidR="00DB1C4E" w:rsidRPr="00F2263F" w14:paraId="563E4591" w14:textId="77777777" w:rsidTr="008D5A42">
        <w:trPr>
          <w:cantSplit/>
          <w:trHeight w:val="220"/>
        </w:trPr>
        <w:tc>
          <w:tcPr>
            <w:tcW w:w="5000" w:type="pct"/>
            <w:gridSpan w:val="2"/>
            <w:tcBorders>
              <w:top w:val="single" w:sz="4" w:space="0" w:color="000000"/>
              <w:left w:val="single" w:sz="4" w:space="0" w:color="000000"/>
              <w:bottom w:val="single" w:sz="4" w:space="0" w:color="000000"/>
              <w:right w:val="single" w:sz="4" w:space="0" w:color="000000"/>
            </w:tcBorders>
            <w:hideMark/>
          </w:tcPr>
          <w:p w14:paraId="101D7C82" w14:textId="77777777" w:rsidR="00DB1C4E" w:rsidRPr="00F2263F" w:rsidRDefault="00DB1C4E">
            <w:pPr>
              <w:pStyle w:val="TableParagraph"/>
              <w:ind w:left="45"/>
              <w:rPr>
                <w:i/>
                <w:lang w:val="ru-RU" w:eastAsia="ru-RU"/>
              </w:rPr>
            </w:pPr>
            <w:r w:rsidRPr="00F2263F">
              <w:rPr>
                <w:i/>
                <w:lang w:val="ru-RU" w:eastAsia="ru-RU"/>
              </w:rPr>
              <w:t>Psykiske forstyrrelser</w:t>
            </w:r>
          </w:p>
        </w:tc>
      </w:tr>
      <w:tr w:rsidR="00DB1C4E" w:rsidRPr="00F2263F" w14:paraId="53D66E84" w14:textId="77777777" w:rsidTr="008D5A42">
        <w:trPr>
          <w:cantSplit/>
          <w:trHeight w:val="220"/>
        </w:trPr>
        <w:tc>
          <w:tcPr>
            <w:tcW w:w="1718" w:type="pct"/>
            <w:tcBorders>
              <w:top w:val="single" w:sz="4" w:space="0" w:color="000000"/>
              <w:left w:val="single" w:sz="4" w:space="0" w:color="000000"/>
              <w:bottom w:val="single" w:sz="4" w:space="0" w:color="000000"/>
              <w:right w:val="single" w:sz="4" w:space="0" w:color="000000"/>
            </w:tcBorders>
            <w:hideMark/>
          </w:tcPr>
          <w:p w14:paraId="2DFFAA50" w14:textId="77777777" w:rsidR="00DB1C4E" w:rsidRPr="00F2263F" w:rsidRDefault="00DB1C4E">
            <w:pPr>
              <w:pStyle w:val="TableParagraph"/>
              <w:ind w:left="45"/>
              <w:rPr>
                <w:lang w:val="ru-RU" w:eastAsia="ru-RU"/>
              </w:rPr>
            </w:pPr>
            <w:r w:rsidRPr="00F2263F">
              <w:rPr>
                <w:lang w:val="ru-RU" w:eastAsia="ru-RU"/>
              </w:rPr>
              <w:t>Almindelig:</w:t>
            </w:r>
          </w:p>
        </w:tc>
        <w:tc>
          <w:tcPr>
            <w:tcW w:w="3282" w:type="pct"/>
            <w:tcBorders>
              <w:top w:val="single" w:sz="4" w:space="0" w:color="000000"/>
              <w:left w:val="single" w:sz="4" w:space="0" w:color="000000"/>
              <w:bottom w:val="single" w:sz="4" w:space="0" w:color="000000"/>
              <w:right w:val="single" w:sz="4" w:space="0" w:color="000000"/>
            </w:tcBorders>
            <w:hideMark/>
          </w:tcPr>
          <w:p w14:paraId="44358259" w14:textId="77777777" w:rsidR="00DB1C4E" w:rsidRPr="00F2263F" w:rsidRDefault="00DB1C4E">
            <w:pPr>
              <w:pStyle w:val="TableParagraph"/>
              <w:ind w:left="124"/>
              <w:rPr>
                <w:lang w:val="ru-RU" w:eastAsia="ru-RU"/>
              </w:rPr>
            </w:pPr>
            <w:r w:rsidRPr="00F2263F">
              <w:rPr>
                <w:lang w:val="ru-RU" w:eastAsia="ru-RU"/>
              </w:rPr>
              <w:t>unormale drømme</w:t>
            </w:r>
          </w:p>
        </w:tc>
      </w:tr>
      <w:tr w:rsidR="00DB1C4E" w:rsidRPr="00F2263F" w14:paraId="04586315" w14:textId="77777777" w:rsidTr="008D5A42">
        <w:trPr>
          <w:cantSplit/>
          <w:trHeight w:val="220"/>
        </w:trPr>
        <w:tc>
          <w:tcPr>
            <w:tcW w:w="5000" w:type="pct"/>
            <w:gridSpan w:val="2"/>
            <w:tcBorders>
              <w:top w:val="single" w:sz="4" w:space="0" w:color="000000"/>
              <w:left w:val="single" w:sz="4" w:space="0" w:color="000000"/>
              <w:bottom w:val="single" w:sz="4" w:space="0" w:color="000000"/>
              <w:right w:val="single" w:sz="4" w:space="0" w:color="000000"/>
            </w:tcBorders>
            <w:hideMark/>
          </w:tcPr>
          <w:p w14:paraId="645AA427" w14:textId="77777777" w:rsidR="00DB1C4E" w:rsidRPr="00F2263F" w:rsidRDefault="00DB1C4E">
            <w:pPr>
              <w:pStyle w:val="TableParagraph"/>
              <w:ind w:left="45"/>
              <w:rPr>
                <w:i/>
                <w:lang w:val="ru-RU" w:eastAsia="ru-RU"/>
              </w:rPr>
            </w:pPr>
            <w:r w:rsidRPr="00F2263F">
              <w:rPr>
                <w:i/>
                <w:lang w:val="ru-RU" w:eastAsia="ru-RU"/>
              </w:rPr>
              <w:t>Nervesystemet</w:t>
            </w:r>
          </w:p>
        </w:tc>
      </w:tr>
      <w:tr w:rsidR="00DB1C4E" w:rsidRPr="00F2263F" w14:paraId="2DE7B850" w14:textId="77777777" w:rsidTr="008D5A42">
        <w:trPr>
          <w:cantSplit/>
          <w:trHeight w:val="220"/>
        </w:trPr>
        <w:tc>
          <w:tcPr>
            <w:tcW w:w="1718" w:type="pct"/>
            <w:tcBorders>
              <w:top w:val="single" w:sz="4" w:space="0" w:color="000000"/>
              <w:left w:val="single" w:sz="4" w:space="0" w:color="000000"/>
              <w:bottom w:val="single" w:sz="4" w:space="0" w:color="000000"/>
              <w:right w:val="single" w:sz="4" w:space="0" w:color="000000"/>
            </w:tcBorders>
            <w:hideMark/>
          </w:tcPr>
          <w:p w14:paraId="4DDDDA38" w14:textId="77777777" w:rsidR="00DB1C4E" w:rsidRPr="00F2263F" w:rsidRDefault="00DB1C4E">
            <w:pPr>
              <w:pStyle w:val="TableParagraph"/>
              <w:ind w:left="45"/>
              <w:rPr>
                <w:lang w:val="ru-RU" w:eastAsia="ru-RU"/>
              </w:rPr>
            </w:pPr>
            <w:r w:rsidRPr="00F2263F">
              <w:rPr>
                <w:lang w:val="ru-RU" w:eastAsia="ru-RU"/>
              </w:rPr>
              <w:t>Almindelig:</w:t>
            </w:r>
          </w:p>
        </w:tc>
        <w:tc>
          <w:tcPr>
            <w:tcW w:w="3282" w:type="pct"/>
            <w:tcBorders>
              <w:top w:val="single" w:sz="4" w:space="0" w:color="000000"/>
              <w:left w:val="single" w:sz="4" w:space="0" w:color="000000"/>
              <w:bottom w:val="single" w:sz="4" w:space="0" w:color="000000"/>
              <w:right w:val="single" w:sz="4" w:space="0" w:color="000000"/>
            </w:tcBorders>
            <w:hideMark/>
          </w:tcPr>
          <w:p w14:paraId="53097C05" w14:textId="77777777" w:rsidR="00DB1C4E" w:rsidRPr="00F2263F" w:rsidRDefault="00DB1C4E">
            <w:pPr>
              <w:pStyle w:val="TableParagraph"/>
              <w:ind w:left="124"/>
              <w:rPr>
                <w:lang w:val="ru-RU" w:eastAsia="ru-RU"/>
              </w:rPr>
            </w:pPr>
            <w:r w:rsidRPr="00F2263F">
              <w:rPr>
                <w:lang w:val="ru-RU" w:eastAsia="ru-RU"/>
              </w:rPr>
              <w:t>hovedpine, svimmelhed</w:t>
            </w:r>
          </w:p>
        </w:tc>
      </w:tr>
      <w:tr w:rsidR="00DB1C4E" w:rsidRPr="00F2263F" w14:paraId="08D7A48F" w14:textId="77777777" w:rsidTr="008D5A42">
        <w:trPr>
          <w:cantSplit/>
          <w:trHeight w:val="220"/>
        </w:trPr>
        <w:tc>
          <w:tcPr>
            <w:tcW w:w="5000" w:type="pct"/>
            <w:gridSpan w:val="2"/>
            <w:tcBorders>
              <w:top w:val="single" w:sz="4" w:space="0" w:color="000000"/>
              <w:left w:val="single" w:sz="4" w:space="0" w:color="000000"/>
              <w:bottom w:val="single" w:sz="4" w:space="0" w:color="000000"/>
              <w:right w:val="single" w:sz="4" w:space="0" w:color="000000"/>
            </w:tcBorders>
            <w:hideMark/>
          </w:tcPr>
          <w:p w14:paraId="2D96AF81" w14:textId="77777777" w:rsidR="00DB1C4E" w:rsidRPr="00F2263F" w:rsidRDefault="00DB1C4E">
            <w:pPr>
              <w:pStyle w:val="TableParagraph"/>
              <w:ind w:left="45"/>
              <w:rPr>
                <w:i/>
                <w:lang w:val="ru-RU" w:eastAsia="ru-RU"/>
              </w:rPr>
            </w:pPr>
            <w:r w:rsidRPr="00F2263F">
              <w:rPr>
                <w:i/>
                <w:lang w:val="ru-RU" w:eastAsia="ru-RU"/>
              </w:rPr>
              <w:t>Mave-tarm-kanalen</w:t>
            </w:r>
          </w:p>
        </w:tc>
      </w:tr>
      <w:tr w:rsidR="00DB1C4E" w:rsidRPr="00F2263F" w14:paraId="261EC53E" w14:textId="77777777" w:rsidTr="008D5A42">
        <w:trPr>
          <w:cantSplit/>
          <w:trHeight w:val="220"/>
        </w:trPr>
        <w:tc>
          <w:tcPr>
            <w:tcW w:w="1718" w:type="pct"/>
            <w:tcBorders>
              <w:top w:val="single" w:sz="4" w:space="0" w:color="000000"/>
              <w:left w:val="single" w:sz="4" w:space="0" w:color="000000"/>
              <w:bottom w:val="single" w:sz="4" w:space="0" w:color="000000"/>
              <w:right w:val="single" w:sz="4" w:space="0" w:color="000000"/>
            </w:tcBorders>
            <w:hideMark/>
          </w:tcPr>
          <w:p w14:paraId="53D0BA5F" w14:textId="77777777" w:rsidR="00DB1C4E" w:rsidRPr="00F2263F" w:rsidRDefault="00DB1C4E">
            <w:pPr>
              <w:pStyle w:val="TableParagraph"/>
              <w:ind w:left="45"/>
              <w:rPr>
                <w:lang w:val="ru-RU" w:eastAsia="ru-RU"/>
              </w:rPr>
            </w:pPr>
            <w:r w:rsidRPr="00F2263F">
              <w:rPr>
                <w:lang w:val="ru-RU" w:eastAsia="ru-RU"/>
              </w:rPr>
              <w:t>Meget almindelig:</w:t>
            </w:r>
          </w:p>
        </w:tc>
        <w:tc>
          <w:tcPr>
            <w:tcW w:w="3282" w:type="pct"/>
            <w:tcBorders>
              <w:top w:val="single" w:sz="4" w:space="0" w:color="000000"/>
              <w:left w:val="single" w:sz="4" w:space="0" w:color="000000"/>
              <w:bottom w:val="single" w:sz="4" w:space="0" w:color="000000"/>
              <w:right w:val="single" w:sz="4" w:space="0" w:color="000000"/>
            </w:tcBorders>
            <w:hideMark/>
          </w:tcPr>
          <w:p w14:paraId="098A9FBD" w14:textId="77777777" w:rsidR="00DB1C4E" w:rsidRPr="00F2263F" w:rsidRDefault="00DB1C4E">
            <w:pPr>
              <w:pStyle w:val="TableParagraph"/>
              <w:ind w:left="124"/>
              <w:rPr>
                <w:lang w:val="ru-RU" w:eastAsia="ru-RU"/>
              </w:rPr>
            </w:pPr>
            <w:r w:rsidRPr="00F2263F">
              <w:rPr>
                <w:lang w:val="ru-RU" w:eastAsia="ru-RU"/>
              </w:rPr>
              <w:t>kvalme</w:t>
            </w:r>
          </w:p>
        </w:tc>
      </w:tr>
      <w:tr w:rsidR="00DB1C4E" w:rsidRPr="00F2263F" w14:paraId="624336BD" w14:textId="77777777" w:rsidTr="008D5A42">
        <w:trPr>
          <w:cantSplit/>
          <w:trHeight w:val="220"/>
        </w:trPr>
        <w:tc>
          <w:tcPr>
            <w:tcW w:w="1718" w:type="pct"/>
            <w:tcBorders>
              <w:top w:val="single" w:sz="4" w:space="0" w:color="000000"/>
              <w:left w:val="single" w:sz="4" w:space="0" w:color="000000"/>
              <w:bottom w:val="single" w:sz="4" w:space="0" w:color="000000"/>
              <w:right w:val="single" w:sz="4" w:space="0" w:color="000000"/>
            </w:tcBorders>
            <w:hideMark/>
          </w:tcPr>
          <w:p w14:paraId="05819C1E" w14:textId="77777777" w:rsidR="00DB1C4E" w:rsidRPr="00F2263F" w:rsidRDefault="00DB1C4E">
            <w:pPr>
              <w:pStyle w:val="TableParagraph"/>
              <w:ind w:left="45"/>
              <w:rPr>
                <w:lang w:val="ru-RU" w:eastAsia="ru-RU"/>
              </w:rPr>
            </w:pPr>
            <w:r w:rsidRPr="00F2263F">
              <w:rPr>
                <w:lang w:val="ru-RU" w:eastAsia="ru-RU"/>
              </w:rPr>
              <w:t>Almindelig:</w:t>
            </w:r>
          </w:p>
        </w:tc>
        <w:tc>
          <w:tcPr>
            <w:tcW w:w="3282" w:type="pct"/>
            <w:tcBorders>
              <w:top w:val="single" w:sz="4" w:space="0" w:color="000000"/>
              <w:left w:val="single" w:sz="4" w:space="0" w:color="000000"/>
              <w:bottom w:val="single" w:sz="4" w:space="0" w:color="000000"/>
              <w:right w:val="single" w:sz="4" w:space="0" w:color="000000"/>
            </w:tcBorders>
            <w:hideMark/>
          </w:tcPr>
          <w:p w14:paraId="584ECE0A" w14:textId="77777777" w:rsidR="00DB1C4E" w:rsidRPr="00F2263F" w:rsidRDefault="00DB1C4E">
            <w:pPr>
              <w:pStyle w:val="TableParagraph"/>
              <w:ind w:left="124"/>
              <w:rPr>
                <w:lang w:val="ru-RU" w:eastAsia="ru-RU"/>
              </w:rPr>
            </w:pPr>
            <w:r w:rsidRPr="00F2263F">
              <w:rPr>
                <w:lang w:val="ru-RU" w:eastAsia="ru-RU"/>
              </w:rPr>
              <w:t>diarré, opkastning, abdominalsmerter, flatulens</w:t>
            </w:r>
          </w:p>
        </w:tc>
      </w:tr>
      <w:tr w:rsidR="00DB1C4E" w:rsidRPr="00F2263F" w14:paraId="4B3914A2" w14:textId="77777777" w:rsidTr="008D5A42">
        <w:trPr>
          <w:cantSplit/>
          <w:trHeight w:val="220"/>
        </w:trPr>
        <w:tc>
          <w:tcPr>
            <w:tcW w:w="1718" w:type="pct"/>
            <w:tcBorders>
              <w:top w:val="single" w:sz="4" w:space="0" w:color="000000"/>
              <w:left w:val="single" w:sz="4" w:space="0" w:color="000000"/>
              <w:bottom w:val="single" w:sz="4" w:space="0" w:color="000000"/>
              <w:right w:val="single" w:sz="4" w:space="0" w:color="000000"/>
            </w:tcBorders>
            <w:hideMark/>
          </w:tcPr>
          <w:p w14:paraId="4797DA16" w14:textId="77777777" w:rsidR="00DB1C4E" w:rsidRPr="00F2263F" w:rsidRDefault="00DB1C4E">
            <w:pPr>
              <w:pStyle w:val="TableParagraph"/>
              <w:ind w:left="45"/>
              <w:rPr>
                <w:lang w:val="ru-RU" w:eastAsia="ru-RU"/>
              </w:rPr>
            </w:pPr>
            <w:r w:rsidRPr="00F2263F">
              <w:rPr>
                <w:lang w:val="ru-RU" w:eastAsia="ru-RU"/>
              </w:rPr>
              <w:t>Ikke almindelig:</w:t>
            </w:r>
          </w:p>
        </w:tc>
        <w:tc>
          <w:tcPr>
            <w:tcW w:w="3282" w:type="pct"/>
            <w:tcBorders>
              <w:top w:val="single" w:sz="4" w:space="0" w:color="000000"/>
              <w:left w:val="single" w:sz="4" w:space="0" w:color="000000"/>
              <w:bottom w:val="single" w:sz="4" w:space="0" w:color="000000"/>
              <w:right w:val="single" w:sz="4" w:space="0" w:color="000000"/>
            </w:tcBorders>
            <w:hideMark/>
          </w:tcPr>
          <w:p w14:paraId="27964746" w14:textId="77777777" w:rsidR="00DB1C4E" w:rsidRPr="00F2263F" w:rsidRDefault="00DB1C4E">
            <w:pPr>
              <w:pStyle w:val="TableParagraph"/>
              <w:ind w:left="124"/>
              <w:rPr>
                <w:lang w:val="ru-RU" w:eastAsia="ru-RU"/>
              </w:rPr>
            </w:pPr>
            <w:r w:rsidRPr="00F2263F">
              <w:rPr>
                <w:lang w:val="ru-RU" w:eastAsia="ru-RU"/>
              </w:rPr>
              <w:t>dyspepsi</w:t>
            </w:r>
          </w:p>
        </w:tc>
      </w:tr>
      <w:tr w:rsidR="00DB1C4E" w:rsidRPr="00F2263F" w14:paraId="18691DF4" w14:textId="77777777" w:rsidTr="008D5A42">
        <w:trPr>
          <w:cantSplit/>
          <w:trHeight w:val="220"/>
        </w:trPr>
        <w:tc>
          <w:tcPr>
            <w:tcW w:w="5000" w:type="pct"/>
            <w:gridSpan w:val="2"/>
            <w:tcBorders>
              <w:top w:val="single" w:sz="4" w:space="0" w:color="000000"/>
              <w:left w:val="single" w:sz="4" w:space="0" w:color="000000"/>
              <w:bottom w:val="single" w:sz="4" w:space="0" w:color="000000"/>
              <w:right w:val="single" w:sz="4" w:space="0" w:color="000000"/>
            </w:tcBorders>
            <w:hideMark/>
          </w:tcPr>
          <w:p w14:paraId="67D95A46" w14:textId="77777777" w:rsidR="00DB1C4E" w:rsidRPr="00F2263F" w:rsidRDefault="00DB1C4E">
            <w:pPr>
              <w:pStyle w:val="TableParagraph"/>
              <w:ind w:left="45"/>
              <w:rPr>
                <w:i/>
                <w:lang w:val="ru-RU" w:eastAsia="ru-RU"/>
              </w:rPr>
            </w:pPr>
            <w:r w:rsidRPr="00F2263F">
              <w:rPr>
                <w:i/>
                <w:lang w:val="ru-RU" w:eastAsia="ru-RU"/>
              </w:rPr>
              <w:t>Hud og subkutane væv</w:t>
            </w:r>
          </w:p>
        </w:tc>
      </w:tr>
      <w:tr w:rsidR="00DB1C4E" w:rsidRPr="00F2263F" w14:paraId="4D9DC9E9" w14:textId="77777777" w:rsidTr="008D5A42">
        <w:trPr>
          <w:cantSplit/>
          <w:trHeight w:val="220"/>
        </w:trPr>
        <w:tc>
          <w:tcPr>
            <w:tcW w:w="1718" w:type="pct"/>
            <w:tcBorders>
              <w:top w:val="single" w:sz="4" w:space="0" w:color="000000"/>
              <w:left w:val="single" w:sz="4" w:space="0" w:color="000000"/>
              <w:bottom w:val="single" w:sz="4" w:space="0" w:color="000000"/>
              <w:right w:val="single" w:sz="4" w:space="0" w:color="000000"/>
            </w:tcBorders>
            <w:hideMark/>
          </w:tcPr>
          <w:p w14:paraId="13AECA0C" w14:textId="77777777" w:rsidR="00DB1C4E" w:rsidRPr="00F2263F" w:rsidRDefault="00DB1C4E">
            <w:pPr>
              <w:pStyle w:val="TableParagraph"/>
              <w:ind w:left="45"/>
              <w:rPr>
                <w:lang w:val="ru-RU" w:eastAsia="ru-RU"/>
              </w:rPr>
            </w:pPr>
            <w:r w:rsidRPr="00F2263F">
              <w:rPr>
                <w:lang w:val="ru-RU" w:eastAsia="ru-RU"/>
              </w:rPr>
              <w:t>Almindelig:</w:t>
            </w:r>
          </w:p>
        </w:tc>
        <w:tc>
          <w:tcPr>
            <w:tcW w:w="3282" w:type="pct"/>
            <w:tcBorders>
              <w:top w:val="single" w:sz="4" w:space="0" w:color="000000"/>
              <w:left w:val="single" w:sz="4" w:space="0" w:color="000000"/>
              <w:bottom w:val="single" w:sz="4" w:space="0" w:color="000000"/>
              <w:right w:val="single" w:sz="4" w:space="0" w:color="000000"/>
            </w:tcBorders>
            <w:hideMark/>
          </w:tcPr>
          <w:p w14:paraId="3389EEE0" w14:textId="77777777" w:rsidR="00DB1C4E" w:rsidRPr="00F2263F" w:rsidRDefault="00DB1C4E">
            <w:pPr>
              <w:pStyle w:val="TableParagraph"/>
              <w:ind w:left="124"/>
              <w:rPr>
                <w:lang w:val="ru-RU" w:eastAsia="ru-RU"/>
              </w:rPr>
            </w:pPr>
            <w:r w:rsidRPr="00F2263F">
              <w:rPr>
                <w:lang w:val="ru-RU" w:eastAsia="ru-RU"/>
              </w:rPr>
              <w:t>udslæt</w:t>
            </w:r>
          </w:p>
        </w:tc>
      </w:tr>
      <w:tr w:rsidR="00DB1C4E" w:rsidRPr="00F2263F" w14:paraId="64D52A9D" w14:textId="77777777" w:rsidTr="008D5A42">
        <w:trPr>
          <w:cantSplit/>
          <w:trHeight w:val="220"/>
        </w:trPr>
        <w:tc>
          <w:tcPr>
            <w:tcW w:w="1718" w:type="pct"/>
            <w:tcBorders>
              <w:top w:val="single" w:sz="4" w:space="0" w:color="000000"/>
              <w:left w:val="single" w:sz="4" w:space="0" w:color="000000"/>
              <w:bottom w:val="single" w:sz="4" w:space="0" w:color="000000"/>
              <w:right w:val="single" w:sz="4" w:space="0" w:color="000000"/>
            </w:tcBorders>
            <w:hideMark/>
          </w:tcPr>
          <w:p w14:paraId="3957D4E0" w14:textId="77777777" w:rsidR="00DB1C4E" w:rsidRPr="00F2263F" w:rsidRDefault="00DB1C4E">
            <w:pPr>
              <w:pStyle w:val="TableParagraph"/>
              <w:ind w:left="45"/>
              <w:rPr>
                <w:lang w:val="ru-RU" w:eastAsia="ru-RU"/>
              </w:rPr>
            </w:pPr>
            <w:r w:rsidRPr="00F2263F">
              <w:rPr>
                <w:lang w:val="ru-RU" w:eastAsia="ru-RU"/>
              </w:rPr>
              <w:t>Ikke almindelig:</w:t>
            </w:r>
          </w:p>
        </w:tc>
        <w:tc>
          <w:tcPr>
            <w:tcW w:w="3282" w:type="pct"/>
            <w:tcBorders>
              <w:top w:val="single" w:sz="4" w:space="0" w:color="000000"/>
              <w:left w:val="single" w:sz="4" w:space="0" w:color="000000"/>
              <w:bottom w:val="single" w:sz="4" w:space="0" w:color="000000"/>
              <w:right w:val="single" w:sz="4" w:space="0" w:color="000000"/>
            </w:tcBorders>
            <w:hideMark/>
          </w:tcPr>
          <w:p w14:paraId="798E580F" w14:textId="77777777" w:rsidR="00DB1C4E" w:rsidRPr="00F2263F" w:rsidRDefault="00DB1C4E">
            <w:pPr>
              <w:ind w:left="124"/>
              <w:rPr>
                <w:sz w:val="24"/>
                <w:szCs w:val="24"/>
                <w:lang w:val="ru-RU" w:eastAsia="ru-RU"/>
              </w:rPr>
            </w:pPr>
            <w:r w:rsidRPr="00F2263F">
              <w:rPr>
                <w:sz w:val="24"/>
                <w:szCs w:val="24"/>
                <w:lang w:val="ru-RU" w:eastAsia="ru-RU"/>
              </w:rPr>
              <w:t>angioødem</w:t>
            </w:r>
            <w:r w:rsidRPr="00F2263F">
              <w:rPr>
                <w:sz w:val="24"/>
                <w:szCs w:val="24"/>
                <w:vertAlign w:val="superscript"/>
                <w:lang w:val="ru-RU" w:eastAsia="ru-RU"/>
              </w:rPr>
              <w:t>3,4</w:t>
            </w:r>
            <w:r w:rsidRPr="00F2263F">
              <w:rPr>
                <w:sz w:val="24"/>
                <w:szCs w:val="24"/>
                <w:lang w:val="ru-RU" w:eastAsia="ru-RU"/>
              </w:rPr>
              <w:t>, pruritus, urticaria</w:t>
            </w:r>
            <w:r w:rsidRPr="00F2263F">
              <w:rPr>
                <w:sz w:val="24"/>
                <w:szCs w:val="24"/>
                <w:vertAlign w:val="superscript"/>
                <w:lang w:val="ru-RU" w:eastAsia="ru-RU"/>
              </w:rPr>
              <w:t>4</w:t>
            </w:r>
          </w:p>
        </w:tc>
      </w:tr>
      <w:tr w:rsidR="00DB1C4E" w:rsidRPr="00F2263F" w14:paraId="401370E4" w14:textId="77777777" w:rsidTr="008D5A42">
        <w:trPr>
          <w:cantSplit/>
          <w:trHeight w:val="220"/>
        </w:trPr>
        <w:tc>
          <w:tcPr>
            <w:tcW w:w="5000" w:type="pct"/>
            <w:gridSpan w:val="2"/>
            <w:tcBorders>
              <w:top w:val="single" w:sz="4" w:space="0" w:color="000000"/>
              <w:left w:val="single" w:sz="4" w:space="0" w:color="000000"/>
              <w:bottom w:val="single" w:sz="4" w:space="0" w:color="000000"/>
              <w:right w:val="single" w:sz="4" w:space="0" w:color="000000"/>
            </w:tcBorders>
            <w:hideMark/>
          </w:tcPr>
          <w:p w14:paraId="60D0A9EA" w14:textId="77777777" w:rsidR="00DB1C4E" w:rsidRPr="00F2263F" w:rsidRDefault="00DB1C4E">
            <w:pPr>
              <w:pStyle w:val="TableParagraph"/>
              <w:keepNext/>
              <w:widowControl/>
              <w:ind w:left="45"/>
              <w:rPr>
                <w:i/>
                <w:lang w:val="ru-RU" w:eastAsia="ru-RU"/>
              </w:rPr>
            </w:pPr>
            <w:r w:rsidRPr="00F2263F">
              <w:rPr>
                <w:i/>
                <w:lang w:val="ru-RU" w:eastAsia="ru-RU"/>
              </w:rPr>
              <w:t>Knogler, led, muskler og bindevæv</w:t>
            </w:r>
          </w:p>
        </w:tc>
      </w:tr>
      <w:tr w:rsidR="00DB1C4E" w:rsidRPr="00F2263F" w14:paraId="57407C42" w14:textId="77777777" w:rsidTr="008D5A42">
        <w:trPr>
          <w:cantSplit/>
          <w:trHeight w:val="220"/>
        </w:trPr>
        <w:tc>
          <w:tcPr>
            <w:tcW w:w="1718" w:type="pct"/>
            <w:tcBorders>
              <w:top w:val="single" w:sz="4" w:space="0" w:color="000000"/>
              <w:left w:val="single" w:sz="4" w:space="0" w:color="000000"/>
              <w:bottom w:val="single" w:sz="4" w:space="0" w:color="000000"/>
              <w:right w:val="single" w:sz="4" w:space="0" w:color="000000"/>
            </w:tcBorders>
            <w:hideMark/>
          </w:tcPr>
          <w:p w14:paraId="44DEB079" w14:textId="77777777" w:rsidR="00DB1C4E" w:rsidRPr="00F2263F" w:rsidRDefault="00DB1C4E">
            <w:pPr>
              <w:pStyle w:val="TableParagraph"/>
              <w:keepNext/>
              <w:widowControl/>
              <w:ind w:left="45"/>
              <w:rPr>
                <w:lang w:val="ru-RU" w:eastAsia="ru-RU"/>
              </w:rPr>
            </w:pPr>
            <w:r w:rsidRPr="00F2263F">
              <w:rPr>
                <w:lang w:val="ru-RU" w:eastAsia="ru-RU"/>
              </w:rPr>
              <w:t>Ikke almindelig:</w:t>
            </w:r>
          </w:p>
        </w:tc>
        <w:tc>
          <w:tcPr>
            <w:tcW w:w="3282" w:type="pct"/>
            <w:tcBorders>
              <w:top w:val="single" w:sz="4" w:space="0" w:color="000000"/>
              <w:left w:val="single" w:sz="4" w:space="0" w:color="000000"/>
              <w:bottom w:val="single" w:sz="4" w:space="0" w:color="000000"/>
              <w:right w:val="single" w:sz="4" w:space="0" w:color="000000"/>
            </w:tcBorders>
            <w:hideMark/>
          </w:tcPr>
          <w:p w14:paraId="2E24DD09" w14:textId="77777777" w:rsidR="00DB1C4E" w:rsidRPr="00F2263F" w:rsidRDefault="00DB1C4E">
            <w:pPr>
              <w:pStyle w:val="TableParagraph"/>
              <w:keepNext/>
              <w:widowControl/>
              <w:ind w:left="124"/>
              <w:rPr>
                <w:lang w:val="ru-RU" w:eastAsia="ru-RU"/>
              </w:rPr>
            </w:pPr>
            <w:r w:rsidRPr="00F2263F">
              <w:rPr>
                <w:lang w:val="ru-RU" w:eastAsia="ru-RU"/>
              </w:rPr>
              <w:t>artralgi</w:t>
            </w:r>
          </w:p>
        </w:tc>
      </w:tr>
      <w:tr w:rsidR="00DB1C4E" w:rsidRPr="00F2263F" w14:paraId="74877EA3" w14:textId="77777777" w:rsidTr="008D5A42">
        <w:trPr>
          <w:cantSplit/>
          <w:trHeight w:val="220"/>
        </w:trPr>
        <w:tc>
          <w:tcPr>
            <w:tcW w:w="5000" w:type="pct"/>
            <w:gridSpan w:val="2"/>
            <w:tcBorders>
              <w:top w:val="single" w:sz="4" w:space="0" w:color="000000"/>
              <w:left w:val="single" w:sz="4" w:space="0" w:color="000000"/>
              <w:bottom w:val="single" w:sz="4" w:space="0" w:color="000000"/>
              <w:right w:val="single" w:sz="4" w:space="0" w:color="000000"/>
            </w:tcBorders>
            <w:hideMark/>
          </w:tcPr>
          <w:p w14:paraId="5FEBCF95" w14:textId="77777777" w:rsidR="00DB1C4E" w:rsidRPr="00F2263F" w:rsidRDefault="00DB1C4E">
            <w:pPr>
              <w:pStyle w:val="TableParagraph"/>
              <w:keepNext/>
              <w:keepLines/>
              <w:ind w:left="45"/>
              <w:rPr>
                <w:i/>
                <w:lang w:val="ru-RU" w:eastAsia="ru-RU"/>
              </w:rPr>
            </w:pPr>
            <w:r w:rsidRPr="00F2263F">
              <w:rPr>
                <w:i/>
                <w:lang w:val="ru-RU" w:eastAsia="ru-RU"/>
              </w:rPr>
              <w:t>Almene symptomer og reaktioner på administrationsstedet</w:t>
            </w:r>
          </w:p>
        </w:tc>
      </w:tr>
      <w:tr w:rsidR="00DB1C4E" w:rsidRPr="00F2263F" w14:paraId="070DB07C" w14:textId="77777777" w:rsidTr="008D5A42">
        <w:trPr>
          <w:cantSplit/>
          <w:trHeight w:val="220"/>
        </w:trPr>
        <w:tc>
          <w:tcPr>
            <w:tcW w:w="1718" w:type="pct"/>
            <w:tcBorders>
              <w:top w:val="single" w:sz="4" w:space="0" w:color="000000"/>
              <w:left w:val="single" w:sz="4" w:space="0" w:color="000000"/>
              <w:bottom w:val="single" w:sz="4" w:space="0" w:color="000000"/>
              <w:right w:val="single" w:sz="4" w:space="0" w:color="000000"/>
            </w:tcBorders>
            <w:hideMark/>
          </w:tcPr>
          <w:p w14:paraId="0D12288E" w14:textId="77777777" w:rsidR="00DB1C4E" w:rsidRPr="00F2263F" w:rsidRDefault="00DB1C4E">
            <w:pPr>
              <w:pStyle w:val="TableParagraph"/>
              <w:keepNext/>
              <w:keepLines/>
              <w:ind w:left="45"/>
              <w:rPr>
                <w:lang w:val="ru-RU" w:eastAsia="ru-RU"/>
              </w:rPr>
            </w:pPr>
            <w:r w:rsidRPr="00F2263F">
              <w:rPr>
                <w:lang w:val="ru-RU" w:eastAsia="ru-RU"/>
              </w:rPr>
              <w:t>Almindelig:</w:t>
            </w:r>
          </w:p>
        </w:tc>
        <w:tc>
          <w:tcPr>
            <w:tcW w:w="3282" w:type="pct"/>
            <w:tcBorders>
              <w:top w:val="single" w:sz="4" w:space="0" w:color="000000"/>
              <w:left w:val="single" w:sz="4" w:space="0" w:color="000000"/>
              <w:bottom w:val="single" w:sz="4" w:space="0" w:color="000000"/>
              <w:right w:val="single" w:sz="4" w:space="0" w:color="000000"/>
            </w:tcBorders>
            <w:hideMark/>
          </w:tcPr>
          <w:p w14:paraId="0CAA9473" w14:textId="77777777" w:rsidR="00DB1C4E" w:rsidRPr="00F2263F" w:rsidRDefault="00DB1C4E">
            <w:pPr>
              <w:pStyle w:val="TableParagraph"/>
              <w:ind w:left="124"/>
              <w:rPr>
                <w:lang w:val="ru-RU" w:eastAsia="ru-RU"/>
              </w:rPr>
            </w:pPr>
            <w:r w:rsidRPr="00F2263F">
              <w:rPr>
                <w:lang w:val="ru-RU" w:eastAsia="ru-RU"/>
              </w:rPr>
              <w:t>træthed</w:t>
            </w:r>
          </w:p>
        </w:tc>
      </w:tr>
    </w:tbl>
    <w:p w14:paraId="33383B12" w14:textId="3EB386C5" w:rsidR="00DB1C4E" w:rsidRPr="006C0E37" w:rsidRDefault="00DB1C4E" w:rsidP="006C0E37">
      <w:pPr>
        <w:pStyle w:val="Brdtekst"/>
        <w:widowControl/>
        <w:suppressAutoHyphens/>
        <w:kinsoku w:val="0"/>
        <w:overflowPunct w:val="0"/>
        <w:ind w:left="1134" w:hanging="283"/>
        <w:rPr>
          <w:color w:val="000000" w:themeColor="text1"/>
          <w:sz w:val="20"/>
          <w:szCs w:val="20"/>
        </w:rPr>
      </w:pPr>
      <w:bookmarkStart w:id="3" w:name="_Hlk209429388"/>
      <w:bookmarkEnd w:id="2"/>
      <w:r w:rsidRPr="006C0E37">
        <w:rPr>
          <w:color w:val="000000" w:themeColor="text1"/>
          <w:sz w:val="20"/>
          <w:szCs w:val="20"/>
          <w:vertAlign w:val="superscript"/>
        </w:rPr>
        <w:t>1</w:t>
      </w:r>
      <w:r w:rsidRPr="006C0E37">
        <w:rPr>
          <w:color w:val="000000" w:themeColor="text1"/>
          <w:sz w:val="20"/>
          <w:szCs w:val="20"/>
        </w:rPr>
        <w:t xml:space="preserve"> </w:t>
      </w:r>
      <w:r w:rsidR="006C0E37">
        <w:rPr>
          <w:color w:val="000000" w:themeColor="text1"/>
          <w:sz w:val="20"/>
          <w:szCs w:val="20"/>
        </w:rPr>
        <w:tab/>
      </w:r>
      <w:r w:rsidRPr="006C0E37">
        <w:rPr>
          <w:color w:val="000000" w:themeColor="text1"/>
          <w:sz w:val="20"/>
          <w:szCs w:val="20"/>
        </w:rPr>
        <w:t>Med undtagelse af angioødem, anæmi og urticaria (se fodnote 2, 3 og 4) blev alle bivirkninger identificeret fra kliniske studier med præparater, der indeholdt F/TAF. Hyppighederne blev afledt fra fase 3 E/C/F/TAF kliniske studier hos 866 behandlingsnaive voksne patienter til og med 144 ugers behandling (GS-US-292-0104 og GS-US-292-0111).</w:t>
      </w:r>
    </w:p>
    <w:p w14:paraId="0F3EF9F5" w14:textId="084617E6" w:rsidR="00DB1C4E" w:rsidRPr="006C0E37" w:rsidRDefault="00DB1C4E" w:rsidP="006C0E37">
      <w:pPr>
        <w:pStyle w:val="Brdtekst"/>
        <w:widowControl/>
        <w:suppressAutoHyphens/>
        <w:kinsoku w:val="0"/>
        <w:overflowPunct w:val="0"/>
        <w:ind w:left="1134" w:hanging="283"/>
        <w:rPr>
          <w:color w:val="000000" w:themeColor="text1"/>
          <w:sz w:val="20"/>
          <w:szCs w:val="20"/>
        </w:rPr>
      </w:pPr>
      <w:r w:rsidRPr="006C0E37">
        <w:rPr>
          <w:color w:val="000000" w:themeColor="text1"/>
          <w:sz w:val="20"/>
          <w:szCs w:val="20"/>
          <w:vertAlign w:val="superscript"/>
        </w:rPr>
        <w:t>2</w:t>
      </w:r>
      <w:r w:rsidRPr="006C0E37">
        <w:rPr>
          <w:color w:val="000000" w:themeColor="text1"/>
          <w:sz w:val="20"/>
          <w:szCs w:val="20"/>
        </w:rPr>
        <w:t xml:space="preserve"> </w:t>
      </w:r>
      <w:r w:rsidR="006C0E37">
        <w:rPr>
          <w:color w:val="000000" w:themeColor="text1"/>
          <w:sz w:val="20"/>
          <w:szCs w:val="20"/>
        </w:rPr>
        <w:tab/>
      </w:r>
      <w:r w:rsidRPr="006C0E37">
        <w:rPr>
          <w:color w:val="000000" w:themeColor="text1"/>
          <w:sz w:val="20"/>
          <w:szCs w:val="20"/>
        </w:rPr>
        <w:t>Denne bivirkning blev ikke observeret i kliniske studier med F/TAF-indeholdende præparater, men blev identificeret i kliniske studier eller fra erfaring efter markedsføring for emtricitabin ved anvendelse sammen med andre antiretrovirale midler.</w:t>
      </w:r>
    </w:p>
    <w:p w14:paraId="7E07EC5D" w14:textId="040F8E5A" w:rsidR="00DB1C4E" w:rsidRPr="006C0E37" w:rsidRDefault="00DB1C4E" w:rsidP="006C0E37">
      <w:pPr>
        <w:pStyle w:val="Brdtekst"/>
        <w:widowControl/>
        <w:suppressAutoHyphens/>
        <w:kinsoku w:val="0"/>
        <w:overflowPunct w:val="0"/>
        <w:ind w:left="1134" w:hanging="283"/>
        <w:rPr>
          <w:color w:val="000000" w:themeColor="text1"/>
          <w:sz w:val="20"/>
          <w:szCs w:val="20"/>
        </w:rPr>
      </w:pPr>
      <w:r w:rsidRPr="006C0E37">
        <w:rPr>
          <w:color w:val="000000" w:themeColor="text1"/>
          <w:sz w:val="20"/>
          <w:szCs w:val="20"/>
          <w:vertAlign w:val="superscript"/>
        </w:rPr>
        <w:t>3</w:t>
      </w:r>
      <w:r w:rsidRPr="006C0E37">
        <w:rPr>
          <w:color w:val="000000" w:themeColor="text1"/>
          <w:sz w:val="20"/>
          <w:szCs w:val="20"/>
        </w:rPr>
        <w:t xml:space="preserve"> </w:t>
      </w:r>
      <w:r w:rsidR="006C0E37">
        <w:rPr>
          <w:color w:val="000000" w:themeColor="text1"/>
          <w:sz w:val="20"/>
          <w:szCs w:val="20"/>
        </w:rPr>
        <w:tab/>
      </w:r>
      <w:r w:rsidRPr="006C0E37">
        <w:rPr>
          <w:color w:val="000000" w:themeColor="text1"/>
          <w:sz w:val="20"/>
          <w:szCs w:val="20"/>
        </w:rPr>
        <w:t>Denne bivirkning blev identificeret under sikkerhedsovervågningen efter markedsføring for lægemidler indeholdende emtricitabin.</w:t>
      </w:r>
    </w:p>
    <w:p w14:paraId="1103AD1D" w14:textId="7EBFDCFB" w:rsidR="00DB1C4E" w:rsidRPr="006C0E37" w:rsidRDefault="00DB1C4E" w:rsidP="006C0E37">
      <w:pPr>
        <w:pStyle w:val="Brdtekst"/>
        <w:widowControl/>
        <w:suppressAutoHyphens/>
        <w:kinsoku w:val="0"/>
        <w:overflowPunct w:val="0"/>
        <w:ind w:left="1134" w:hanging="283"/>
        <w:rPr>
          <w:color w:val="000000" w:themeColor="text1"/>
          <w:sz w:val="20"/>
          <w:szCs w:val="20"/>
        </w:rPr>
      </w:pPr>
      <w:r w:rsidRPr="006C0E37">
        <w:rPr>
          <w:color w:val="000000" w:themeColor="text1"/>
          <w:sz w:val="20"/>
          <w:szCs w:val="20"/>
          <w:vertAlign w:val="superscript"/>
        </w:rPr>
        <w:t>4</w:t>
      </w:r>
      <w:r w:rsidRPr="006C0E37">
        <w:rPr>
          <w:color w:val="000000" w:themeColor="text1"/>
          <w:sz w:val="20"/>
          <w:szCs w:val="20"/>
        </w:rPr>
        <w:t xml:space="preserve"> </w:t>
      </w:r>
      <w:r w:rsidR="006C0E37">
        <w:rPr>
          <w:color w:val="000000" w:themeColor="text1"/>
          <w:sz w:val="20"/>
          <w:szCs w:val="20"/>
        </w:rPr>
        <w:tab/>
      </w:r>
      <w:r w:rsidRPr="006C0E37">
        <w:rPr>
          <w:color w:val="000000" w:themeColor="text1"/>
          <w:sz w:val="20"/>
          <w:szCs w:val="20"/>
        </w:rPr>
        <w:t xml:space="preserve">Denne bivirkning blev identificeret under sikkerhedsovervågning efter markedsføring for lægemidler indeholdende </w:t>
      </w:r>
      <w:r w:rsidR="00202D86">
        <w:rPr>
          <w:color w:val="000000" w:themeColor="text1"/>
          <w:sz w:val="20"/>
          <w:szCs w:val="20"/>
        </w:rPr>
        <w:t>tenofovir alafenamid</w:t>
      </w:r>
      <w:r w:rsidRPr="006C0E37">
        <w:rPr>
          <w:color w:val="000000" w:themeColor="text1"/>
          <w:sz w:val="20"/>
          <w:szCs w:val="20"/>
        </w:rPr>
        <w:t>.</w:t>
      </w:r>
    </w:p>
    <w:bookmarkEnd w:id="3"/>
    <w:p w14:paraId="5514F8CA" w14:textId="77777777" w:rsidR="00DB1C4E" w:rsidRPr="006C0E37" w:rsidRDefault="00DB1C4E" w:rsidP="006C0E37">
      <w:pPr>
        <w:ind w:left="851"/>
        <w:rPr>
          <w:sz w:val="24"/>
          <w:szCs w:val="24"/>
        </w:rPr>
      </w:pPr>
    </w:p>
    <w:p w14:paraId="2099539F" w14:textId="77777777" w:rsidR="00DB1C4E" w:rsidRPr="006C0E37" w:rsidRDefault="00DB1C4E" w:rsidP="00132A6A">
      <w:pPr>
        <w:ind w:left="851"/>
        <w:rPr>
          <w:sz w:val="24"/>
          <w:szCs w:val="24"/>
          <w:u w:val="single"/>
        </w:rPr>
      </w:pPr>
      <w:r w:rsidRPr="006C0E37">
        <w:rPr>
          <w:sz w:val="24"/>
          <w:szCs w:val="24"/>
          <w:u w:val="single"/>
        </w:rPr>
        <w:t>Beskrivelse af udvalgte bivirkninger</w:t>
      </w:r>
    </w:p>
    <w:p w14:paraId="3529C65E" w14:textId="77777777" w:rsidR="00DB1C4E" w:rsidRPr="00F2263F" w:rsidRDefault="00DB1C4E" w:rsidP="00132A6A">
      <w:pPr>
        <w:ind w:left="851"/>
        <w:rPr>
          <w:sz w:val="24"/>
          <w:szCs w:val="24"/>
        </w:rPr>
      </w:pPr>
    </w:p>
    <w:p w14:paraId="1EABC231" w14:textId="77777777" w:rsidR="00DB1C4E" w:rsidRPr="00F2263F" w:rsidRDefault="00DB1C4E" w:rsidP="00132A6A">
      <w:pPr>
        <w:ind w:left="851"/>
        <w:rPr>
          <w:i/>
          <w:iCs/>
          <w:sz w:val="24"/>
          <w:szCs w:val="24"/>
        </w:rPr>
      </w:pPr>
      <w:r w:rsidRPr="00F2263F">
        <w:rPr>
          <w:i/>
          <w:iCs/>
          <w:sz w:val="24"/>
          <w:szCs w:val="24"/>
        </w:rPr>
        <w:t>Immunreaktiveringssyndrom</w:t>
      </w:r>
    </w:p>
    <w:p w14:paraId="3E459490" w14:textId="77777777" w:rsidR="00DB1C4E" w:rsidRPr="00F2263F" w:rsidRDefault="00DB1C4E" w:rsidP="00132A6A">
      <w:pPr>
        <w:ind w:left="851"/>
        <w:rPr>
          <w:sz w:val="24"/>
          <w:szCs w:val="24"/>
        </w:rPr>
      </w:pPr>
      <w:r w:rsidRPr="00F2263F">
        <w:rPr>
          <w:sz w:val="24"/>
          <w:szCs w:val="24"/>
        </w:rPr>
        <w:t>Hos hiv-inficerede patienter med svær immuninsufficiens kan der ved påbegyndelse af CART opstå en inflammatorisk reaktion på asymptomatiske eller residuale opportunistiske infektioner. Autoimmunsygdomme (som Graves sygdom og autoimmun hepatitis) er også rapporteret. Den rapporterede tidsperiode før sådanne opstår er imidlertid variabel, og kan opstå mange måneder efter påbegyndelse af behandlingen (se pkt. 4.4).</w:t>
      </w:r>
    </w:p>
    <w:p w14:paraId="0E612C16" w14:textId="77777777" w:rsidR="00DB1C4E" w:rsidRPr="00F2263F" w:rsidRDefault="00DB1C4E" w:rsidP="00132A6A">
      <w:pPr>
        <w:ind w:left="851"/>
        <w:rPr>
          <w:sz w:val="24"/>
          <w:szCs w:val="24"/>
        </w:rPr>
      </w:pPr>
    </w:p>
    <w:p w14:paraId="40E4FE51" w14:textId="77777777" w:rsidR="00DB1C4E" w:rsidRPr="00F2263F" w:rsidRDefault="00DB1C4E" w:rsidP="00132A6A">
      <w:pPr>
        <w:ind w:left="851"/>
        <w:rPr>
          <w:i/>
          <w:iCs/>
          <w:sz w:val="24"/>
          <w:szCs w:val="24"/>
        </w:rPr>
      </w:pPr>
      <w:r w:rsidRPr="00F2263F">
        <w:rPr>
          <w:i/>
          <w:iCs/>
          <w:sz w:val="24"/>
          <w:szCs w:val="24"/>
        </w:rPr>
        <w:t>Osteonekrose</w:t>
      </w:r>
    </w:p>
    <w:p w14:paraId="2BFD375A" w14:textId="77777777" w:rsidR="00DB1C4E" w:rsidRPr="00F2263F" w:rsidRDefault="00DB1C4E" w:rsidP="00132A6A">
      <w:pPr>
        <w:ind w:left="851"/>
        <w:rPr>
          <w:sz w:val="24"/>
          <w:szCs w:val="24"/>
        </w:rPr>
      </w:pPr>
      <w:r w:rsidRPr="00F2263F">
        <w:rPr>
          <w:sz w:val="24"/>
          <w:szCs w:val="24"/>
        </w:rPr>
        <w:t>Tilfælde af osteonekrose er rapporteret, specielt hos patienter med generelt anerkendte risikofaktorer, fremskreden hiv-sygdom eller langvarig CART. Hyppigheden er ukendt (se pkt. 4.4).</w:t>
      </w:r>
    </w:p>
    <w:p w14:paraId="2C414DF0" w14:textId="77777777" w:rsidR="00DB1C4E" w:rsidRPr="00F2263F" w:rsidRDefault="00DB1C4E" w:rsidP="00132A6A">
      <w:pPr>
        <w:ind w:left="851"/>
        <w:rPr>
          <w:sz w:val="24"/>
          <w:szCs w:val="24"/>
        </w:rPr>
      </w:pPr>
    </w:p>
    <w:p w14:paraId="6057CCA6" w14:textId="77777777" w:rsidR="00DB1C4E" w:rsidRPr="00F2263F" w:rsidRDefault="00DB1C4E" w:rsidP="00132A6A">
      <w:pPr>
        <w:ind w:left="851"/>
        <w:rPr>
          <w:i/>
          <w:iCs/>
          <w:sz w:val="24"/>
          <w:szCs w:val="24"/>
        </w:rPr>
      </w:pPr>
      <w:r w:rsidRPr="00F2263F">
        <w:rPr>
          <w:i/>
          <w:iCs/>
          <w:sz w:val="24"/>
          <w:szCs w:val="24"/>
        </w:rPr>
        <w:t>Ændringer i laboratorieprøver for lipider</w:t>
      </w:r>
    </w:p>
    <w:p w14:paraId="2352DBB1" w14:textId="40E16447" w:rsidR="00DB1C4E" w:rsidRPr="00F2263F" w:rsidRDefault="00DB1C4E" w:rsidP="00132A6A">
      <w:pPr>
        <w:ind w:left="851"/>
        <w:rPr>
          <w:sz w:val="24"/>
          <w:szCs w:val="24"/>
        </w:rPr>
      </w:pPr>
      <w:r w:rsidRPr="00F2263F">
        <w:rPr>
          <w:sz w:val="24"/>
          <w:szCs w:val="24"/>
        </w:rPr>
        <w:t xml:space="preserve">I studier med behandlingsnaive patienter blev der observeret stigninger fra baseline i begge behandlingsgrupper, der indeholdt </w:t>
      </w:r>
      <w:r w:rsidR="00202D86">
        <w:rPr>
          <w:sz w:val="24"/>
          <w:szCs w:val="24"/>
        </w:rPr>
        <w:t>tenofovir alafenamid fumarat</w:t>
      </w:r>
      <w:r w:rsidRPr="00F2263F">
        <w:rPr>
          <w:sz w:val="24"/>
          <w:szCs w:val="24"/>
        </w:rPr>
        <w:t xml:space="preserve"> og </w:t>
      </w:r>
      <w:r w:rsidR="00202D86">
        <w:rPr>
          <w:sz w:val="24"/>
          <w:szCs w:val="24"/>
        </w:rPr>
        <w:t>tenofovir disoproxil fumarat</w:t>
      </w:r>
      <w:r w:rsidRPr="00F2263F">
        <w:rPr>
          <w:sz w:val="24"/>
          <w:szCs w:val="24"/>
        </w:rPr>
        <w:t>, for de fastende lipidparametre totalt kolesterol, direkte lavdensitets-lipoprotein (LDL)- og højdensitets-lipoprotein (HDL)-kolesterol og triglycerider ved uge 144. Den mediane stigning fra baseline for disse parametre var større i gruppen med E/C/F/TAF sammenlignet med gruppen med elvitegravir 150 mg/cobicistat 150 mg/emtricitabin 200</w:t>
      </w:r>
      <w:r w:rsidR="00C7472A">
        <w:rPr>
          <w:sz w:val="24"/>
          <w:szCs w:val="24"/>
        </w:rPr>
        <w:t> </w:t>
      </w:r>
      <w:r w:rsidRPr="00F2263F">
        <w:rPr>
          <w:sz w:val="24"/>
          <w:szCs w:val="24"/>
        </w:rPr>
        <w:t>mg/</w:t>
      </w:r>
      <w:r w:rsidR="00202D86">
        <w:rPr>
          <w:sz w:val="24"/>
          <w:szCs w:val="24"/>
        </w:rPr>
        <w:t>tenofovir disoproxil</w:t>
      </w:r>
      <w:r w:rsidRPr="00F2263F">
        <w:rPr>
          <w:sz w:val="24"/>
          <w:szCs w:val="24"/>
        </w:rPr>
        <w:t xml:space="preserve"> (som fumarat) 245 mg (E/C/F/TDF) ved uge 144 (p &lt; 0,001 for forskellen mellem behandlingsgrupperne for fastende totalt kolesterol, direkte LDL- og HDL-kolesterol samt triglycerider). Den mediane (Q1, Q3) ændring fra baseline i forholdet mellem totalt kolesterol og HDL-kolesterol ved uge 144 var 0,2 (-0,3; 0,7) i gruppen med E/C/F/TAF og 0,1 (-0,4; 0,6) i gruppen med E/C/F/TDF (p = 0,006 for forskellen mellem behandlingsgrupperne).</w:t>
      </w:r>
    </w:p>
    <w:p w14:paraId="3CC2D18B" w14:textId="77777777" w:rsidR="00DB1C4E" w:rsidRPr="00F2263F" w:rsidRDefault="00DB1C4E" w:rsidP="00132A6A">
      <w:pPr>
        <w:ind w:left="851"/>
        <w:rPr>
          <w:sz w:val="24"/>
          <w:szCs w:val="24"/>
        </w:rPr>
      </w:pPr>
    </w:p>
    <w:p w14:paraId="18ED9CD6" w14:textId="497E44DA" w:rsidR="00DB1C4E" w:rsidRPr="00F2263F" w:rsidRDefault="00DB1C4E" w:rsidP="00132A6A">
      <w:pPr>
        <w:ind w:left="851"/>
        <w:rPr>
          <w:sz w:val="24"/>
          <w:szCs w:val="24"/>
        </w:rPr>
      </w:pPr>
      <w:r w:rsidRPr="00F2263F">
        <w:rPr>
          <w:sz w:val="24"/>
          <w:szCs w:val="24"/>
        </w:rPr>
        <w:t>I et studie med virologisk supprimerede patienter, der skiftede fra emtricitabin/</w:t>
      </w:r>
      <w:r w:rsidR="00202D86">
        <w:rPr>
          <w:sz w:val="24"/>
          <w:szCs w:val="24"/>
        </w:rPr>
        <w:t>tenofovir disoproxil fumarat</w:t>
      </w:r>
      <w:r w:rsidRPr="00F2263F">
        <w:rPr>
          <w:sz w:val="24"/>
          <w:szCs w:val="24"/>
        </w:rPr>
        <w:t xml:space="preserve"> til emtricitabin og </w:t>
      </w:r>
      <w:r w:rsidR="00202D86">
        <w:rPr>
          <w:sz w:val="24"/>
          <w:szCs w:val="24"/>
        </w:rPr>
        <w:t>tenofovir alafenamid fumarat</w:t>
      </w:r>
      <w:r w:rsidRPr="00F2263F">
        <w:rPr>
          <w:sz w:val="24"/>
          <w:szCs w:val="24"/>
        </w:rPr>
        <w:t xml:space="preserve"> kombinationen samtidig med, at de fortsatte med det tredje antiretrovirale middel (studie GS-US-311-1089), blev der set stigning fra baseline i de fastende lipidparametre total-kolesterol, direkte LDL-kolesterol og triglycerider i emtricitabin og </w:t>
      </w:r>
      <w:r w:rsidR="00202D86">
        <w:rPr>
          <w:sz w:val="24"/>
          <w:szCs w:val="24"/>
        </w:rPr>
        <w:t>tenofovir alafenamid fumarat</w:t>
      </w:r>
      <w:r w:rsidRPr="00F2263F">
        <w:rPr>
          <w:sz w:val="24"/>
          <w:szCs w:val="24"/>
        </w:rPr>
        <w:t xml:space="preserve"> kombinations-armen sammenlignet med kun små ændringer i emtricitabin/</w:t>
      </w:r>
      <w:r w:rsidR="00202D86">
        <w:rPr>
          <w:sz w:val="24"/>
          <w:szCs w:val="24"/>
        </w:rPr>
        <w:t>tenofovir disoproxil fumarat</w:t>
      </w:r>
      <w:r w:rsidRPr="00F2263F">
        <w:rPr>
          <w:sz w:val="24"/>
          <w:szCs w:val="24"/>
        </w:rPr>
        <w:t>-armen (p ≤ 0,009 for forskellen mellem grupperne i ændringer i forhold til baseline). Der var kun små ændringer i forhold til baseline i mediane fastende værdier for HDL-kolesterol og glucose eller i forholdet mellem fastende total-kolesterol og HDL-kolesterol i de 2 behandlingsarme ved uge 96. Ingen af ændringerne blev vurderet at være klinisk relevante.</w:t>
      </w:r>
    </w:p>
    <w:p w14:paraId="6EA68153" w14:textId="77777777" w:rsidR="00DB1C4E" w:rsidRPr="00F2263F" w:rsidRDefault="00DB1C4E" w:rsidP="00132A6A">
      <w:pPr>
        <w:ind w:left="851"/>
        <w:rPr>
          <w:sz w:val="24"/>
          <w:szCs w:val="24"/>
        </w:rPr>
      </w:pPr>
    </w:p>
    <w:p w14:paraId="04BC4737" w14:textId="6BA96D18" w:rsidR="00DB1C4E" w:rsidRPr="00F2263F" w:rsidRDefault="00DB1C4E" w:rsidP="00132A6A">
      <w:pPr>
        <w:ind w:left="851"/>
        <w:rPr>
          <w:sz w:val="24"/>
          <w:szCs w:val="24"/>
        </w:rPr>
      </w:pPr>
      <w:r w:rsidRPr="00F2263F">
        <w:rPr>
          <w:sz w:val="24"/>
          <w:szCs w:val="24"/>
        </w:rPr>
        <w:t xml:space="preserve">I et studie med virologisk supprimerede voksne patienter, der skiftede fra abacavir/lamivudin til emtricitabin og </w:t>
      </w:r>
      <w:r w:rsidR="00202D86">
        <w:rPr>
          <w:sz w:val="24"/>
          <w:szCs w:val="24"/>
        </w:rPr>
        <w:t>tenofovir alafenamid fumarat</w:t>
      </w:r>
      <w:r w:rsidRPr="00F2263F">
        <w:rPr>
          <w:sz w:val="24"/>
          <w:szCs w:val="24"/>
        </w:rPr>
        <w:t xml:space="preserve"> kombinationen samtidig med, at de fortsatte med det tredje antiretrovirale middel (studie GS-US-311-1717), var der en minimal ændring i lipidparametre.</w:t>
      </w:r>
    </w:p>
    <w:p w14:paraId="4604B869" w14:textId="77777777" w:rsidR="00DB1C4E" w:rsidRPr="00F2263F" w:rsidRDefault="00DB1C4E" w:rsidP="00132A6A">
      <w:pPr>
        <w:ind w:left="851"/>
        <w:rPr>
          <w:sz w:val="24"/>
          <w:szCs w:val="24"/>
        </w:rPr>
      </w:pPr>
    </w:p>
    <w:p w14:paraId="3E236D29" w14:textId="77777777" w:rsidR="00DB1C4E" w:rsidRPr="00F2263F" w:rsidRDefault="00DB1C4E" w:rsidP="00132A6A">
      <w:pPr>
        <w:ind w:left="851"/>
        <w:rPr>
          <w:i/>
          <w:iCs/>
          <w:sz w:val="24"/>
          <w:szCs w:val="24"/>
        </w:rPr>
      </w:pPr>
      <w:r w:rsidRPr="00F2263F">
        <w:rPr>
          <w:i/>
          <w:iCs/>
          <w:sz w:val="24"/>
          <w:szCs w:val="24"/>
        </w:rPr>
        <w:t>Metaboliske parametre</w:t>
      </w:r>
    </w:p>
    <w:p w14:paraId="701F8FA4" w14:textId="77777777" w:rsidR="00DB1C4E" w:rsidRPr="00F2263F" w:rsidRDefault="00DB1C4E" w:rsidP="00132A6A">
      <w:pPr>
        <w:ind w:left="851"/>
        <w:rPr>
          <w:sz w:val="24"/>
          <w:szCs w:val="24"/>
        </w:rPr>
      </w:pPr>
      <w:r w:rsidRPr="00F2263F">
        <w:rPr>
          <w:sz w:val="24"/>
          <w:szCs w:val="24"/>
        </w:rPr>
        <w:t>Kropsvægt og niveauerne af lipid og glucose i blodet kan stige under antiretroviral behandling (se pkt. 4.4).</w:t>
      </w:r>
    </w:p>
    <w:p w14:paraId="05D666F1" w14:textId="77777777" w:rsidR="00DB1C4E" w:rsidRPr="00F2263F" w:rsidRDefault="00DB1C4E" w:rsidP="00132A6A">
      <w:pPr>
        <w:ind w:left="851"/>
        <w:rPr>
          <w:sz w:val="24"/>
          <w:szCs w:val="24"/>
        </w:rPr>
      </w:pPr>
    </w:p>
    <w:p w14:paraId="0D37CF72" w14:textId="77777777" w:rsidR="00DB1C4E" w:rsidRPr="003C361F" w:rsidRDefault="00DB1C4E" w:rsidP="00132A6A">
      <w:pPr>
        <w:ind w:left="851"/>
        <w:rPr>
          <w:sz w:val="24"/>
          <w:szCs w:val="24"/>
          <w:u w:val="single"/>
        </w:rPr>
      </w:pPr>
      <w:r w:rsidRPr="003C361F">
        <w:rPr>
          <w:sz w:val="24"/>
          <w:szCs w:val="24"/>
          <w:u w:val="single"/>
        </w:rPr>
        <w:t>Pædiatrisk population</w:t>
      </w:r>
    </w:p>
    <w:p w14:paraId="311DFC1E" w14:textId="77777777" w:rsidR="00DB1C4E" w:rsidRPr="00F2263F" w:rsidRDefault="00DB1C4E" w:rsidP="00132A6A">
      <w:pPr>
        <w:ind w:left="851"/>
        <w:rPr>
          <w:sz w:val="24"/>
          <w:szCs w:val="24"/>
        </w:rPr>
      </w:pPr>
    </w:p>
    <w:p w14:paraId="665DCB1C" w14:textId="54BBE237" w:rsidR="00DB1C4E" w:rsidRPr="00F2263F" w:rsidRDefault="00DB1C4E" w:rsidP="00132A6A">
      <w:pPr>
        <w:ind w:left="851"/>
        <w:rPr>
          <w:sz w:val="24"/>
          <w:szCs w:val="24"/>
        </w:rPr>
      </w:pPr>
      <w:r w:rsidRPr="00F2263F">
        <w:rPr>
          <w:sz w:val="24"/>
          <w:szCs w:val="24"/>
        </w:rPr>
        <w:t xml:space="preserve">Sikkerheden af emtricitabin og </w:t>
      </w:r>
      <w:r w:rsidR="00202D86">
        <w:rPr>
          <w:sz w:val="24"/>
          <w:szCs w:val="24"/>
        </w:rPr>
        <w:t>tenofovir alafenamid</w:t>
      </w:r>
      <w:r w:rsidRPr="00F2263F">
        <w:rPr>
          <w:sz w:val="24"/>
          <w:szCs w:val="24"/>
        </w:rPr>
        <w:t xml:space="preserve"> blev evalueret til og med 48 uger i et ublindet klinisk studie (GS-US-292-0106), hvor hiv 1-inficerede, behandlingsnaive pædiatriske patienter i alderen 12 til &lt; 18 år fik emtricitabin og </w:t>
      </w:r>
      <w:r w:rsidR="00202D86">
        <w:rPr>
          <w:sz w:val="24"/>
          <w:szCs w:val="24"/>
        </w:rPr>
        <w:t>tenofovir alafenamid</w:t>
      </w:r>
      <w:r w:rsidRPr="00F2263F">
        <w:rPr>
          <w:sz w:val="24"/>
          <w:szCs w:val="24"/>
        </w:rPr>
        <w:t xml:space="preserve"> i kombination med elvitegravir og cobicistat som en fastdosis kombinationstablet. Sikkerhedsprofilen for emtricitabin og </w:t>
      </w:r>
      <w:r w:rsidR="00202D86">
        <w:rPr>
          <w:sz w:val="24"/>
          <w:szCs w:val="24"/>
        </w:rPr>
        <w:t>tenofovir alafenamid</w:t>
      </w:r>
      <w:r w:rsidRPr="00F2263F">
        <w:rPr>
          <w:sz w:val="24"/>
          <w:szCs w:val="24"/>
        </w:rPr>
        <w:t>, givet sammen med elvitegravir og cobicistat hos 50 unge patienter lignede den for voksne (se pkt. 5.1).</w:t>
      </w:r>
    </w:p>
    <w:p w14:paraId="3745E490" w14:textId="77777777" w:rsidR="00DB1C4E" w:rsidRPr="00F2263F" w:rsidRDefault="00DB1C4E" w:rsidP="00132A6A">
      <w:pPr>
        <w:ind w:left="851"/>
        <w:rPr>
          <w:sz w:val="24"/>
          <w:szCs w:val="24"/>
        </w:rPr>
      </w:pPr>
    </w:p>
    <w:p w14:paraId="0F5E37AA" w14:textId="77777777" w:rsidR="00DB1C4E" w:rsidRPr="003C361F" w:rsidRDefault="00DB1C4E" w:rsidP="00132A6A">
      <w:pPr>
        <w:ind w:left="851"/>
        <w:rPr>
          <w:sz w:val="24"/>
          <w:szCs w:val="24"/>
          <w:u w:val="single"/>
        </w:rPr>
      </w:pPr>
      <w:r w:rsidRPr="003C361F">
        <w:rPr>
          <w:sz w:val="24"/>
          <w:szCs w:val="24"/>
          <w:u w:val="single"/>
        </w:rPr>
        <w:t>Andre særlige populationer</w:t>
      </w:r>
    </w:p>
    <w:p w14:paraId="2C8A35F2" w14:textId="77777777" w:rsidR="00DB1C4E" w:rsidRPr="00F2263F" w:rsidRDefault="00DB1C4E" w:rsidP="00132A6A">
      <w:pPr>
        <w:ind w:left="851"/>
        <w:rPr>
          <w:sz w:val="24"/>
          <w:szCs w:val="24"/>
        </w:rPr>
      </w:pPr>
    </w:p>
    <w:p w14:paraId="4D445FCD" w14:textId="77777777" w:rsidR="00DB1C4E" w:rsidRPr="00F2263F" w:rsidRDefault="00DB1C4E" w:rsidP="00132A6A">
      <w:pPr>
        <w:ind w:left="851"/>
        <w:rPr>
          <w:i/>
          <w:iCs/>
          <w:sz w:val="24"/>
          <w:szCs w:val="24"/>
        </w:rPr>
      </w:pPr>
      <w:r w:rsidRPr="00F2263F">
        <w:rPr>
          <w:i/>
          <w:iCs/>
          <w:sz w:val="24"/>
          <w:szCs w:val="24"/>
        </w:rPr>
        <w:t>Patienter med nedsat nyrefunktion</w:t>
      </w:r>
    </w:p>
    <w:p w14:paraId="531C21F9" w14:textId="2BEEC192" w:rsidR="00DB1C4E" w:rsidRPr="00F2263F" w:rsidRDefault="00DB1C4E" w:rsidP="00132A6A">
      <w:pPr>
        <w:ind w:left="851"/>
        <w:rPr>
          <w:sz w:val="24"/>
          <w:szCs w:val="24"/>
        </w:rPr>
      </w:pPr>
      <w:r w:rsidRPr="00F2263F">
        <w:rPr>
          <w:sz w:val="24"/>
          <w:szCs w:val="24"/>
        </w:rPr>
        <w:t xml:space="preserve">Sikkerheden af emtricitabin og </w:t>
      </w:r>
      <w:r w:rsidR="00202D86">
        <w:rPr>
          <w:sz w:val="24"/>
          <w:szCs w:val="24"/>
        </w:rPr>
        <w:t>tenofovir alafenamid</w:t>
      </w:r>
      <w:r w:rsidRPr="00F2263F">
        <w:rPr>
          <w:sz w:val="24"/>
          <w:szCs w:val="24"/>
        </w:rPr>
        <w:t xml:space="preserve"> blev evalueret til og med 144 uger i et ublindet klinisk studie (GS-US-292-0112), hvor 248 hiv 1-inficerede patienter, der enten var behandlingsnaive (n = 6) eller virologisk supprimerede (n = 242) med let til moderat </w:t>
      </w:r>
      <w:r w:rsidRPr="00F2263F">
        <w:rPr>
          <w:sz w:val="24"/>
          <w:szCs w:val="24"/>
        </w:rPr>
        <w:lastRenderedPageBreak/>
        <w:t xml:space="preserve">nedsat nyrefunktion (estimeret glomerulær filtrationshastighed via Cockcroft-Gault-metoden [eGFRCG]: 30-69 ml/min) fik emtricitabin og </w:t>
      </w:r>
      <w:r w:rsidR="00202D86">
        <w:rPr>
          <w:sz w:val="24"/>
          <w:szCs w:val="24"/>
        </w:rPr>
        <w:t>tenofovir alafenamid</w:t>
      </w:r>
      <w:r w:rsidRPr="00F2263F">
        <w:rPr>
          <w:sz w:val="24"/>
          <w:szCs w:val="24"/>
        </w:rPr>
        <w:t xml:space="preserve"> i kombination med elvitegravir og cobicistat som en fastdosis kombinationstablet. Sikkerhedsprofilen hos patienter med let til moderat nedsat nyrefunktion lignede den for patienter med normal nyrefunktion (se pkt. 5.1).</w:t>
      </w:r>
    </w:p>
    <w:p w14:paraId="795039E0" w14:textId="77777777" w:rsidR="00DB1C4E" w:rsidRPr="00F2263F" w:rsidRDefault="00DB1C4E" w:rsidP="00132A6A">
      <w:pPr>
        <w:ind w:left="851"/>
        <w:rPr>
          <w:sz w:val="24"/>
          <w:szCs w:val="24"/>
        </w:rPr>
      </w:pPr>
    </w:p>
    <w:p w14:paraId="15C94036" w14:textId="6B27100E" w:rsidR="00DB1C4E" w:rsidRPr="00F2263F" w:rsidRDefault="00DB1C4E" w:rsidP="00132A6A">
      <w:pPr>
        <w:ind w:left="851"/>
        <w:rPr>
          <w:sz w:val="24"/>
          <w:szCs w:val="24"/>
        </w:rPr>
      </w:pPr>
      <w:r w:rsidRPr="00F2263F">
        <w:rPr>
          <w:sz w:val="24"/>
          <w:szCs w:val="24"/>
        </w:rPr>
        <w:t xml:space="preserve">Sikkerheden af emtricitabin og </w:t>
      </w:r>
      <w:r w:rsidR="00202D86">
        <w:rPr>
          <w:sz w:val="24"/>
          <w:szCs w:val="24"/>
        </w:rPr>
        <w:t>tenofovir alafenamid</w:t>
      </w:r>
      <w:r w:rsidRPr="00F2263F">
        <w:rPr>
          <w:sz w:val="24"/>
          <w:szCs w:val="24"/>
        </w:rPr>
        <w:t xml:space="preserve"> blev evalueret til og med 48 uger i et ublindet klinisk studie med én behandlingsarm (GS-US-292-1825), hvor 55 hiv 1-inficerede patienter, der var virologisk supprimerede med nyresygdom i slutstadiet (eGFRCG &lt; 15 ml/min) i kronisk hæmodialyse fik emtricitabin og </w:t>
      </w:r>
      <w:r w:rsidR="00202D86">
        <w:rPr>
          <w:sz w:val="24"/>
          <w:szCs w:val="24"/>
        </w:rPr>
        <w:t>tenofovir alafenamid</w:t>
      </w:r>
      <w:r w:rsidRPr="00F2263F">
        <w:rPr>
          <w:sz w:val="24"/>
          <w:szCs w:val="24"/>
        </w:rPr>
        <w:t xml:space="preserve"> i kombination med elvitegravir og cobicistat som en fastdosis kombinationstablet. Der identificeredes ikke nye sikkerhedsproblemer hos patienter med nyresygdom i slutstadiet i kronisk hæmodialyse, som fik emtricitabin og </w:t>
      </w:r>
      <w:r w:rsidR="00202D86">
        <w:rPr>
          <w:sz w:val="24"/>
          <w:szCs w:val="24"/>
        </w:rPr>
        <w:t>tenofovir alafenamid</w:t>
      </w:r>
      <w:r w:rsidRPr="00F2263F">
        <w:rPr>
          <w:sz w:val="24"/>
          <w:szCs w:val="24"/>
        </w:rPr>
        <w:t xml:space="preserve"> i kombination med elvitegravir og cobicistat som en fastdosis kombinationstablet (se pkt. 5.2).</w:t>
      </w:r>
    </w:p>
    <w:p w14:paraId="64B11894" w14:textId="77777777" w:rsidR="00DB1C4E" w:rsidRPr="00F2263F" w:rsidRDefault="00DB1C4E" w:rsidP="00132A6A">
      <w:pPr>
        <w:ind w:left="851"/>
        <w:rPr>
          <w:sz w:val="24"/>
          <w:szCs w:val="24"/>
        </w:rPr>
      </w:pPr>
    </w:p>
    <w:p w14:paraId="7908D21C" w14:textId="77777777" w:rsidR="00DB1C4E" w:rsidRPr="00F2263F" w:rsidRDefault="00DB1C4E" w:rsidP="00132A6A">
      <w:pPr>
        <w:ind w:left="851"/>
        <w:rPr>
          <w:i/>
          <w:iCs/>
          <w:sz w:val="24"/>
          <w:szCs w:val="24"/>
        </w:rPr>
      </w:pPr>
      <w:r w:rsidRPr="00F2263F">
        <w:rPr>
          <w:i/>
          <w:iCs/>
          <w:sz w:val="24"/>
          <w:szCs w:val="24"/>
        </w:rPr>
        <w:t>Patienter, som samtidig er inficerede med hiv og HBV</w:t>
      </w:r>
    </w:p>
    <w:p w14:paraId="62716F09" w14:textId="7BBDABBA" w:rsidR="00DB1C4E" w:rsidRPr="00F2263F" w:rsidRDefault="00DB1C4E" w:rsidP="00132A6A">
      <w:pPr>
        <w:ind w:left="851"/>
        <w:rPr>
          <w:sz w:val="24"/>
          <w:szCs w:val="24"/>
        </w:rPr>
      </w:pPr>
      <w:r w:rsidRPr="00F2263F">
        <w:rPr>
          <w:sz w:val="24"/>
          <w:szCs w:val="24"/>
        </w:rPr>
        <w:t xml:space="preserve">Sikkerheden af emtricitabin og </w:t>
      </w:r>
      <w:r w:rsidR="00202D86">
        <w:rPr>
          <w:sz w:val="24"/>
          <w:szCs w:val="24"/>
        </w:rPr>
        <w:t>tenofovir alafenamid</w:t>
      </w:r>
      <w:r w:rsidRPr="00F2263F">
        <w:rPr>
          <w:sz w:val="24"/>
          <w:szCs w:val="24"/>
        </w:rPr>
        <w:t xml:space="preserve"> i kombination med elvitegravir og cobicistat som en fastdosis kombinationstablet </w:t>
      </w:r>
      <w:r w:rsidR="004574DA">
        <w:rPr>
          <w:sz w:val="24"/>
          <w:szCs w:val="24"/>
        </w:rPr>
        <w:t>(</w:t>
      </w:r>
      <w:r w:rsidRPr="00F2263F">
        <w:rPr>
          <w:sz w:val="24"/>
          <w:szCs w:val="24"/>
        </w:rPr>
        <w:t>elvitegravir/cobicistat/emtricita</w:t>
      </w:r>
      <w:r w:rsidR="004574DA">
        <w:rPr>
          <w:sz w:val="24"/>
          <w:szCs w:val="24"/>
        </w:rPr>
        <w:softHyphen/>
      </w:r>
      <w:r w:rsidRPr="00F2263F">
        <w:rPr>
          <w:sz w:val="24"/>
          <w:szCs w:val="24"/>
        </w:rPr>
        <w:t>bin/</w:t>
      </w:r>
      <w:r w:rsidR="00202D86">
        <w:rPr>
          <w:sz w:val="24"/>
          <w:szCs w:val="24"/>
        </w:rPr>
        <w:t>tenofovir alafenamid</w:t>
      </w:r>
      <w:r w:rsidRPr="00F2263F">
        <w:rPr>
          <w:sz w:val="24"/>
          <w:szCs w:val="24"/>
        </w:rPr>
        <w:t xml:space="preserve"> [E/C/F/TAF]) blev evalueret hos 72 patienter med samtidig infektion med hiv/HBV, som fik behandling mod hiv i et ublindet klinisk studie (GS-US-292-1249) til og med uge 48, hvor patienter skiftede fra et andet antiretroviralt regime (som inkluderede </w:t>
      </w:r>
      <w:r w:rsidR="00202D86">
        <w:rPr>
          <w:sz w:val="24"/>
          <w:szCs w:val="24"/>
        </w:rPr>
        <w:t>tenofovir disoproxil fumarat</w:t>
      </w:r>
      <w:r w:rsidRPr="00F2263F">
        <w:rPr>
          <w:sz w:val="24"/>
          <w:szCs w:val="24"/>
        </w:rPr>
        <w:t xml:space="preserve"> [TDF] hos 69 ud af 72 patienter) til E/C/F/TAF. Baseret på disse begrænsede data lignede sikkerhedsprofilen for emtricitabin og </w:t>
      </w:r>
      <w:r w:rsidR="00202D86">
        <w:rPr>
          <w:sz w:val="24"/>
          <w:szCs w:val="24"/>
        </w:rPr>
        <w:t>tenofovir alafenamid</w:t>
      </w:r>
      <w:r w:rsidRPr="00F2263F">
        <w:rPr>
          <w:sz w:val="24"/>
          <w:szCs w:val="24"/>
        </w:rPr>
        <w:t xml:space="preserve"> i kombination med elvitegravir og cobicistat som en fastdosis kombinationstablet hos patienter, som samtidig er inficerede med hiv/HBV, den for patienter med hiv 1-monoinfektion (se pkt. 4.4).</w:t>
      </w:r>
    </w:p>
    <w:p w14:paraId="34BD97A5" w14:textId="77777777" w:rsidR="00DB1C4E" w:rsidRPr="00F2263F" w:rsidRDefault="00DB1C4E" w:rsidP="00132A6A">
      <w:pPr>
        <w:ind w:left="851"/>
        <w:rPr>
          <w:sz w:val="24"/>
          <w:szCs w:val="24"/>
        </w:rPr>
      </w:pPr>
    </w:p>
    <w:p w14:paraId="686F5394" w14:textId="77777777" w:rsidR="00DB1C4E" w:rsidRPr="003C361F" w:rsidRDefault="00DB1C4E" w:rsidP="00132A6A">
      <w:pPr>
        <w:ind w:left="851"/>
        <w:rPr>
          <w:sz w:val="24"/>
          <w:szCs w:val="24"/>
          <w:u w:val="single"/>
        </w:rPr>
      </w:pPr>
      <w:r w:rsidRPr="003C361F">
        <w:rPr>
          <w:sz w:val="24"/>
          <w:szCs w:val="24"/>
          <w:u w:val="single"/>
        </w:rPr>
        <w:t>Indberetning af formodede bivirkninger</w:t>
      </w:r>
    </w:p>
    <w:p w14:paraId="4B7C0998" w14:textId="77777777" w:rsidR="00DB1C4E" w:rsidRPr="00F2263F" w:rsidRDefault="00DB1C4E" w:rsidP="00132A6A">
      <w:pPr>
        <w:ind w:left="851"/>
        <w:rPr>
          <w:noProof/>
          <w:sz w:val="24"/>
          <w:szCs w:val="24"/>
        </w:rPr>
      </w:pPr>
      <w:r w:rsidRPr="00F2263F">
        <w:rPr>
          <w:noProof/>
          <w:sz w:val="24"/>
          <w:szCs w:val="24"/>
        </w:rPr>
        <w:t>Når lægemidlet er godkendt, er indberetning af formodede bivirkninger vigtig.</w:t>
      </w:r>
      <w:r w:rsidRPr="00F2263F">
        <w:rPr>
          <w:sz w:val="24"/>
          <w:szCs w:val="24"/>
        </w:rPr>
        <w:t xml:space="preserve"> </w:t>
      </w:r>
      <w:r w:rsidRPr="00F2263F">
        <w:rPr>
          <w:noProof/>
          <w:sz w:val="24"/>
          <w:szCs w:val="24"/>
        </w:rPr>
        <w:t>Det muliggør løbende overvågning af benefit/risk-forholdet for lægemidlet.</w:t>
      </w:r>
      <w:r w:rsidRPr="00F2263F">
        <w:rPr>
          <w:sz w:val="24"/>
          <w:szCs w:val="24"/>
        </w:rPr>
        <w:t xml:space="preserve"> </w:t>
      </w:r>
      <w:r w:rsidRPr="00F2263F">
        <w:rPr>
          <w:noProof/>
          <w:sz w:val="24"/>
          <w:szCs w:val="24"/>
        </w:rPr>
        <w:t>Sundhedspersoner anmodes om at indberette alle formodede bivirkninger via:</w:t>
      </w:r>
    </w:p>
    <w:p w14:paraId="7088EBE6" w14:textId="77777777" w:rsidR="00DB1C4E" w:rsidRPr="00F2263F" w:rsidRDefault="00DB1C4E" w:rsidP="00132A6A">
      <w:pPr>
        <w:ind w:left="851"/>
        <w:rPr>
          <w:sz w:val="24"/>
          <w:szCs w:val="24"/>
        </w:rPr>
      </w:pPr>
    </w:p>
    <w:p w14:paraId="4FCED508" w14:textId="77777777" w:rsidR="00DB1C4E" w:rsidRPr="00F2263F" w:rsidRDefault="00DB1C4E" w:rsidP="00132A6A">
      <w:pPr>
        <w:ind w:left="851"/>
        <w:rPr>
          <w:sz w:val="24"/>
          <w:szCs w:val="24"/>
        </w:rPr>
      </w:pPr>
      <w:r w:rsidRPr="00F2263F">
        <w:rPr>
          <w:sz w:val="24"/>
          <w:szCs w:val="24"/>
        </w:rPr>
        <w:t>Lægemiddelstyrelsen</w:t>
      </w:r>
      <w:r w:rsidRPr="00F2263F">
        <w:rPr>
          <w:sz w:val="24"/>
          <w:szCs w:val="24"/>
        </w:rPr>
        <w:br/>
        <w:t>Axel Heides Gade 1</w:t>
      </w:r>
      <w:r w:rsidRPr="00F2263F">
        <w:rPr>
          <w:sz w:val="24"/>
          <w:szCs w:val="24"/>
        </w:rPr>
        <w:br/>
        <w:t>DK-2300 København S</w:t>
      </w:r>
      <w:r w:rsidRPr="00F2263F">
        <w:rPr>
          <w:sz w:val="24"/>
          <w:szCs w:val="24"/>
        </w:rPr>
        <w:br/>
        <w:t>Websted: </w:t>
      </w:r>
      <w:hyperlink r:id="rId8" w:history="1">
        <w:r w:rsidRPr="00F2263F">
          <w:rPr>
            <w:rStyle w:val="Hyperlink"/>
            <w:sz w:val="24"/>
            <w:szCs w:val="24"/>
          </w:rPr>
          <w:t>www.meldenbivirkning.dk</w:t>
        </w:r>
      </w:hyperlink>
    </w:p>
    <w:p w14:paraId="6ABB6C57" w14:textId="77777777" w:rsidR="009260DE" w:rsidRPr="00F2263F" w:rsidRDefault="009260DE" w:rsidP="00A10294">
      <w:pPr>
        <w:tabs>
          <w:tab w:val="left" w:pos="851"/>
        </w:tabs>
        <w:ind w:left="851"/>
        <w:rPr>
          <w:sz w:val="24"/>
          <w:szCs w:val="24"/>
        </w:rPr>
      </w:pPr>
    </w:p>
    <w:p w14:paraId="33382D88" w14:textId="77777777" w:rsidR="009260DE" w:rsidRPr="00F2263F" w:rsidRDefault="009260DE" w:rsidP="009260DE">
      <w:pPr>
        <w:tabs>
          <w:tab w:val="left" w:pos="851"/>
        </w:tabs>
        <w:ind w:left="851" w:hanging="851"/>
        <w:rPr>
          <w:b/>
          <w:sz w:val="24"/>
          <w:szCs w:val="24"/>
        </w:rPr>
      </w:pPr>
      <w:r w:rsidRPr="00F2263F">
        <w:rPr>
          <w:b/>
          <w:sz w:val="24"/>
          <w:szCs w:val="24"/>
        </w:rPr>
        <w:t>4.9</w:t>
      </w:r>
      <w:r w:rsidRPr="00F2263F">
        <w:rPr>
          <w:b/>
          <w:sz w:val="24"/>
          <w:szCs w:val="24"/>
        </w:rPr>
        <w:tab/>
        <w:t>Overdosering</w:t>
      </w:r>
    </w:p>
    <w:p w14:paraId="3BE01518" w14:textId="39479A35" w:rsidR="00DB1C4E" w:rsidRPr="00F2263F" w:rsidRDefault="00DB1C4E" w:rsidP="00132A6A">
      <w:pPr>
        <w:ind w:left="851"/>
        <w:rPr>
          <w:sz w:val="24"/>
          <w:szCs w:val="24"/>
        </w:rPr>
      </w:pPr>
      <w:r w:rsidRPr="00F2263F">
        <w:rPr>
          <w:sz w:val="24"/>
          <w:szCs w:val="24"/>
        </w:rPr>
        <w:t xml:space="preserve">Ved overdosering skal patienten monitoreres for tegn på toksicitet (se pkt. 4.8). Behandling af overdosering med Emtricitabine/Tenofovir alafenamide </w:t>
      </w:r>
      <w:r w:rsidR="008D5A42">
        <w:rPr>
          <w:sz w:val="24"/>
          <w:szCs w:val="24"/>
        </w:rPr>
        <w:t>"</w:t>
      </w:r>
      <w:r w:rsidRPr="00F2263F">
        <w:rPr>
          <w:sz w:val="24"/>
          <w:szCs w:val="24"/>
        </w:rPr>
        <w:t>Zentiva</w:t>
      </w:r>
      <w:r w:rsidR="008D5A42">
        <w:rPr>
          <w:sz w:val="24"/>
          <w:szCs w:val="24"/>
        </w:rPr>
        <w:t>"</w:t>
      </w:r>
      <w:r w:rsidRPr="00F2263F">
        <w:rPr>
          <w:sz w:val="24"/>
          <w:szCs w:val="24"/>
        </w:rPr>
        <w:t xml:space="preserve"> består af generel støttebehandling, herunder overvågning af vitale tegn og observation af patientens kliniske status.</w:t>
      </w:r>
    </w:p>
    <w:p w14:paraId="1E9607F2" w14:textId="77777777" w:rsidR="00DB1C4E" w:rsidRPr="00F2263F" w:rsidRDefault="00DB1C4E" w:rsidP="00132A6A">
      <w:pPr>
        <w:ind w:left="851"/>
        <w:rPr>
          <w:sz w:val="24"/>
          <w:szCs w:val="24"/>
        </w:rPr>
      </w:pPr>
    </w:p>
    <w:p w14:paraId="7CBB9AAA" w14:textId="77777777" w:rsidR="00DB1C4E" w:rsidRPr="00F2263F" w:rsidRDefault="00DB1C4E" w:rsidP="00132A6A">
      <w:pPr>
        <w:ind w:left="851"/>
        <w:rPr>
          <w:sz w:val="24"/>
          <w:szCs w:val="24"/>
        </w:rPr>
      </w:pPr>
      <w:r w:rsidRPr="00F2263F">
        <w:rPr>
          <w:sz w:val="24"/>
          <w:szCs w:val="24"/>
        </w:rPr>
        <w:t>Emtricitabin kan fjernes ved hæmodialyse, der fjerner ca. 30 % af emtricitabindosis i løbet af en 3 timers dialyseperiode, der starter inden for 1,5 timer efter emtricitabindosering. Tenofovir fjernes effektivt ved hæmodialyse med en ekstraktionskoefficient på ca. 54 %. Det vides ikke, om emtricitabin eller tenofovir kan fjernes ved peritonealdialyse.</w:t>
      </w:r>
    </w:p>
    <w:p w14:paraId="27E02AD4" w14:textId="77777777" w:rsidR="009260DE" w:rsidRPr="00F2263F" w:rsidRDefault="009260DE" w:rsidP="009260DE">
      <w:pPr>
        <w:tabs>
          <w:tab w:val="left" w:pos="851"/>
        </w:tabs>
        <w:ind w:left="851"/>
        <w:rPr>
          <w:sz w:val="24"/>
          <w:szCs w:val="24"/>
        </w:rPr>
      </w:pPr>
    </w:p>
    <w:p w14:paraId="5DD7CEF2" w14:textId="77777777" w:rsidR="009260DE" w:rsidRPr="00F2263F" w:rsidRDefault="009260DE" w:rsidP="009260DE">
      <w:pPr>
        <w:tabs>
          <w:tab w:val="left" w:pos="851"/>
        </w:tabs>
        <w:ind w:left="851" w:hanging="851"/>
        <w:rPr>
          <w:b/>
          <w:sz w:val="24"/>
          <w:szCs w:val="24"/>
        </w:rPr>
      </w:pPr>
      <w:r w:rsidRPr="00F2263F">
        <w:rPr>
          <w:b/>
          <w:sz w:val="24"/>
          <w:szCs w:val="24"/>
        </w:rPr>
        <w:t>4.10</w:t>
      </w:r>
      <w:r w:rsidRPr="00F2263F">
        <w:rPr>
          <w:b/>
          <w:sz w:val="24"/>
          <w:szCs w:val="24"/>
        </w:rPr>
        <w:tab/>
        <w:t>Udlevering</w:t>
      </w:r>
    </w:p>
    <w:p w14:paraId="3B2B0224" w14:textId="79EFDE2E" w:rsidR="009260DE" w:rsidRPr="00F2263F" w:rsidRDefault="00132A6A" w:rsidP="009260DE">
      <w:pPr>
        <w:tabs>
          <w:tab w:val="left" w:pos="851"/>
        </w:tabs>
        <w:ind w:left="851"/>
        <w:rPr>
          <w:sz w:val="24"/>
          <w:szCs w:val="24"/>
        </w:rPr>
      </w:pPr>
      <w:r w:rsidRPr="00F2263F">
        <w:rPr>
          <w:sz w:val="24"/>
          <w:szCs w:val="24"/>
        </w:rPr>
        <w:t>BEGR (kun til sygehuse)</w:t>
      </w:r>
    </w:p>
    <w:p w14:paraId="7BFDEBF4" w14:textId="77777777" w:rsidR="009260DE" w:rsidRPr="00F2263F" w:rsidRDefault="009260DE" w:rsidP="009260DE">
      <w:pPr>
        <w:tabs>
          <w:tab w:val="left" w:pos="851"/>
        </w:tabs>
        <w:ind w:left="851"/>
        <w:rPr>
          <w:sz w:val="24"/>
          <w:szCs w:val="24"/>
        </w:rPr>
      </w:pPr>
    </w:p>
    <w:p w14:paraId="5751D76A" w14:textId="77777777" w:rsidR="009260DE" w:rsidRPr="00F2263F" w:rsidRDefault="009260DE" w:rsidP="009260DE">
      <w:pPr>
        <w:tabs>
          <w:tab w:val="left" w:pos="851"/>
        </w:tabs>
        <w:ind w:left="851"/>
        <w:rPr>
          <w:sz w:val="24"/>
          <w:szCs w:val="24"/>
        </w:rPr>
      </w:pPr>
    </w:p>
    <w:p w14:paraId="79C1ED5F" w14:textId="77777777" w:rsidR="009260DE" w:rsidRPr="00F2263F" w:rsidRDefault="009260DE" w:rsidP="009260DE">
      <w:pPr>
        <w:tabs>
          <w:tab w:val="left" w:pos="851"/>
        </w:tabs>
        <w:ind w:left="851" w:hanging="851"/>
        <w:rPr>
          <w:b/>
          <w:sz w:val="24"/>
          <w:szCs w:val="24"/>
        </w:rPr>
      </w:pPr>
      <w:r w:rsidRPr="00F2263F">
        <w:rPr>
          <w:b/>
          <w:sz w:val="24"/>
          <w:szCs w:val="24"/>
        </w:rPr>
        <w:t>5.</w:t>
      </w:r>
      <w:r w:rsidRPr="00F2263F">
        <w:rPr>
          <w:b/>
          <w:sz w:val="24"/>
          <w:szCs w:val="24"/>
        </w:rPr>
        <w:tab/>
        <w:t>FARMAKOLOGISKE EGENSKABER</w:t>
      </w:r>
    </w:p>
    <w:p w14:paraId="1FBC5CFC" w14:textId="77777777" w:rsidR="009260DE" w:rsidRPr="00F2263F" w:rsidRDefault="009260DE" w:rsidP="009260DE">
      <w:pPr>
        <w:tabs>
          <w:tab w:val="left" w:pos="851"/>
        </w:tabs>
        <w:ind w:left="851"/>
        <w:rPr>
          <w:sz w:val="24"/>
          <w:szCs w:val="24"/>
        </w:rPr>
      </w:pPr>
    </w:p>
    <w:p w14:paraId="1847F29C" w14:textId="77777777" w:rsidR="009260DE" w:rsidRPr="00F2263F" w:rsidRDefault="009260DE" w:rsidP="009260DE">
      <w:pPr>
        <w:tabs>
          <w:tab w:val="num" w:pos="851"/>
        </w:tabs>
        <w:ind w:left="851" w:hanging="851"/>
        <w:rPr>
          <w:b/>
          <w:sz w:val="24"/>
          <w:szCs w:val="24"/>
        </w:rPr>
      </w:pPr>
      <w:r w:rsidRPr="00F2263F">
        <w:rPr>
          <w:b/>
          <w:sz w:val="24"/>
          <w:szCs w:val="24"/>
        </w:rPr>
        <w:t>5.1</w:t>
      </w:r>
      <w:r w:rsidRPr="00F2263F">
        <w:rPr>
          <w:b/>
          <w:sz w:val="24"/>
          <w:szCs w:val="24"/>
        </w:rPr>
        <w:tab/>
        <w:t>Farmakodynamiske egenskaber</w:t>
      </w:r>
    </w:p>
    <w:p w14:paraId="6770E753" w14:textId="251F5423" w:rsidR="00DB1C4E" w:rsidRPr="00F2263F" w:rsidRDefault="00DB1C4E" w:rsidP="00132A6A">
      <w:pPr>
        <w:ind w:left="851"/>
        <w:rPr>
          <w:noProof/>
          <w:sz w:val="24"/>
          <w:szCs w:val="24"/>
          <w:lang w:eastAsia="da-DK"/>
        </w:rPr>
      </w:pPr>
      <w:r w:rsidRPr="00F2263F">
        <w:rPr>
          <w:sz w:val="24"/>
          <w:szCs w:val="24"/>
        </w:rPr>
        <w:t>Farmakoterapeutisk klassifikation: Antiviralt middel til systemisk brug; antivirale midler til behandling af hiv-infektioner, kombinationer</w:t>
      </w:r>
      <w:r w:rsidR="00C7472A">
        <w:rPr>
          <w:sz w:val="24"/>
          <w:szCs w:val="24"/>
        </w:rPr>
        <w:t>,</w:t>
      </w:r>
      <w:r w:rsidRPr="00F2263F">
        <w:rPr>
          <w:sz w:val="24"/>
          <w:szCs w:val="24"/>
        </w:rPr>
        <w:t xml:space="preserve"> ATC-kode: J05AR17.</w:t>
      </w:r>
    </w:p>
    <w:p w14:paraId="71674F5D" w14:textId="77777777" w:rsidR="00DB1C4E" w:rsidRPr="00F2263F" w:rsidRDefault="00DB1C4E" w:rsidP="00132A6A">
      <w:pPr>
        <w:ind w:left="851"/>
        <w:rPr>
          <w:sz w:val="24"/>
          <w:szCs w:val="24"/>
        </w:rPr>
      </w:pPr>
    </w:p>
    <w:p w14:paraId="235C986D" w14:textId="77777777" w:rsidR="00DB1C4E" w:rsidRPr="00F2263F" w:rsidRDefault="00DB1C4E" w:rsidP="00132A6A">
      <w:pPr>
        <w:ind w:left="851"/>
        <w:rPr>
          <w:color w:val="000000" w:themeColor="text1"/>
          <w:sz w:val="24"/>
          <w:szCs w:val="24"/>
          <w:u w:val="single"/>
        </w:rPr>
      </w:pPr>
      <w:r w:rsidRPr="00F2263F">
        <w:rPr>
          <w:color w:val="000000" w:themeColor="text1"/>
          <w:sz w:val="24"/>
          <w:szCs w:val="24"/>
          <w:u w:val="single"/>
        </w:rPr>
        <w:t>Virkningsmekanisme</w:t>
      </w:r>
    </w:p>
    <w:p w14:paraId="325047F8" w14:textId="77777777" w:rsidR="00DB1C4E" w:rsidRPr="00F2263F" w:rsidRDefault="00DB1C4E" w:rsidP="00132A6A">
      <w:pPr>
        <w:ind w:left="851"/>
        <w:rPr>
          <w:color w:val="000000" w:themeColor="text1"/>
          <w:sz w:val="24"/>
          <w:szCs w:val="24"/>
          <w:u w:val="single"/>
        </w:rPr>
      </w:pPr>
    </w:p>
    <w:p w14:paraId="4CE5BBAD" w14:textId="77777777" w:rsidR="00DB1C4E" w:rsidRPr="00F2263F" w:rsidRDefault="00DB1C4E" w:rsidP="00132A6A">
      <w:pPr>
        <w:ind w:left="851"/>
        <w:rPr>
          <w:color w:val="000000" w:themeColor="text1"/>
          <w:sz w:val="24"/>
          <w:szCs w:val="24"/>
        </w:rPr>
      </w:pPr>
      <w:r w:rsidRPr="00F2263F">
        <w:rPr>
          <w:color w:val="000000" w:themeColor="text1"/>
          <w:sz w:val="24"/>
          <w:szCs w:val="24"/>
        </w:rPr>
        <w:t xml:space="preserve">Emtricitabin er en nukleosid-revers transkriptasehæmmer (NRTI, </w:t>
      </w:r>
      <w:r w:rsidRPr="00F2263F">
        <w:rPr>
          <w:i/>
          <w:iCs/>
          <w:color w:val="000000" w:themeColor="text1"/>
          <w:sz w:val="24"/>
          <w:szCs w:val="24"/>
        </w:rPr>
        <w:t>nucleoside reverse transcriptase inhibitor</w:t>
      </w:r>
      <w:r w:rsidRPr="00F2263F">
        <w:rPr>
          <w:color w:val="000000" w:themeColor="text1"/>
          <w:sz w:val="24"/>
          <w:szCs w:val="24"/>
        </w:rPr>
        <w:t xml:space="preserve">) og nukleosidanalog af 2’-deoxycytidin. Emtricitabin fosforyleres af celleenzymer til at danne emtricitabintriphosphat. Emtricitabintriphosphat hæmmer hiv-replikation via indbygning i </w:t>
      </w:r>
      <w:proofErr w:type="gramStart"/>
      <w:r w:rsidRPr="00F2263F">
        <w:rPr>
          <w:color w:val="000000" w:themeColor="text1"/>
          <w:sz w:val="24"/>
          <w:szCs w:val="24"/>
        </w:rPr>
        <w:t>viralt deoxyribonukleinsyre</w:t>
      </w:r>
      <w:proofErr w:type="gramEnd"/>
      <w:r w:rsidRPr="00F2263F">
        <w:rPr>
          <w:color w:val="000000" w:themeColor="text1"/>
          <w:sz w:val="24"/>
          <w:szCs w:val="24"/>
        </w:rPr>
        <w:t xml:space="preserve"> (dna) af hiv–revers transkriptase (RT), hvilket resulterer i dna-kædeblokering. Emtricitabin har aktivitet mod hiv 1-, hiv 2- og HBV.</w:t>
      </w:r>
    </w:p>
    <w:p w14:paraId="245DB9BC" w14:textId="77777777" w:rsidR="00DB1C4E" w:rsidRPr="00F2263F" w:rsidRDefault="00DB1C4E" w:rsidP="00132A6A">
      <w:pPr>
        <w:ind w:left="851"/>
        <w:rPr>
          <w:color w:val="000000" w:themeColor="text1"/>
          <w:sz w:val="24"/>
          <w:szCs w:val="24"/>
        </w:rPr>
      </w:pPr>
    </w:p>
    <w:p w14:paraId="3AAB2BA0" w14:textId="3671F615" w:rsidR="00DB1C4E" w:rsidRPr="00F2263F" w:rsidRDefault="00202D86" w:rsidP="00132A6A">
      <w:pPr>
        <w:ind w:left="851"/>
        <w:rPr>
          <w:color w:val="000000" w:themeColor="text1"/>
          <w:sz w:val="24"/>
          <w:szCs w:val="24"/>
        </w:rPr>
      </w:pPr>
      <w:r>
        <w:rPr>
          <w:color w:val="000000" w:themeColor="text1"/>
          <w:sz w:val="24"/>
          <w:szCs w:val="24"/>
        </w:rPr>
        <w:t>Tenofovir alafenamid</w:t>
      </w:r>
      <w:r w:rsidR="00DB1C4E" w:rsidRPr="00F2263F">
        <w:rPr>
          <w:color w:val="000000" w:themeColor="text1"/>
          <w:sz w:val="24"/>
          <w:szCs w:val="24"/>
        </w:rPr>
        <w:t xml:space="preserve"> er en nukleotid-revers transkriptasehæmmer (NtRTI, nucleotide reverse </w:t>
      </w:r>
      <w:r w:rsidR="00DB1C4E" w:rsidRPr="00F2263F">
        <w:rPr>
          <w:i/>
          <w:iCs/>
          <w:color w:val="000000" w:themeColor="text1"/>
          <w:sz w:val="24"/>
          <w:szCs w:val="24"/>
        </w:rPr>
        <w:t>transcriptase inhibitor</w:t>
      </w:r>
      <w:r w:rsidR="00DB1C4E" w:rsidRPr="00F2263F">
        <w:rPr>
          <w:color w:val="000000" w:themeColor="text1"/>
          <w:sz w:val="24"/>
          <w:szCs w:val="24"/>
        </w:rPr>
        <w:t>) og et phosphonamidat-prodrug for tenofovir (2’-deoxy</w:t>
      </w:r>
      <w:r w:rsidR="004574DA">
        <w:rPr>
          <w:color w:val="000000" w:themeColor="text1"/>
          <w:sz w:val="24"/>
          <w:szCs w:val="24"/>
        </w:rPr>
        <w:softHyphen/>
      </w:r>
      <w:r w:rsidR="00DB1C4E" w:rsidRPr="00F2263F">
        <w:rPr>
          <w:color w:val="000000" w:themeColor="text1"/>
          <w:sz w:val="24"/>
          <w:szCs w:val="24"/>
        </w:rPr>
        <w:t xml:space="preserve">adenosinmonophosphat-analog). </w:t>
      </w:r>
      <w:r>
        <w:rPr>
          <w:color w:val="000000" w:themeColor="text1"/>
          <w:sz w:val="24"/>
          <w:szCs w:val="24"/>
        </w:rPr>
        <w:t>Tenofovir alafenamid</w:t>
      </w:r>
      <w:r w:rsidR="00DB1C4E" w:rsidRPr="00F2263F">
        <w:rPr>
          <w:color w:val="000000" w:themeColor="text1"/>
          <w:sz w:val="24"/>
          <w:szCs w:val="24"/>
        </w:rPr>
        <w:t xml:space="preserve"> er permeabelt i cellerne, og som følge af en øget plasmastabilitet og intracellulær aktivering via hydrolyse af cathepsin A er </w:t>
      </w:r>
      <w:r>
        <w:rPr>
          <w:color w:val="000000" w:themeColor="text1"/>
          <w:sz w:val="24"/>
          <w:szCs w:val="24"/>
        </w:rPr>
        <w:t>tenofovir alafenamid</w:t>
      </w:r>
      <w:r w:rsidR="00DB1C4E" w:rsidRPr="00F2263F">
        <w:rPr>
          <w:color w:val="000000" w:themeColor="text1"/>
          <w:sz w:val="24"/>
          <w:szCs w:val="24"/>
        </w:rPr>
        <w:t xml:space="preserve"> mere effektivt end </w:t>
      </w:r>
      <w:r>
        <w:rPr>
          <w:color w:val="000000" w:themeColor="text1"/>
          <w:sz w:val="24"/>
          <w:szCs w:val="24"/>
        </w:rPr>
        <w:t>tenofovir disoproxil fumarat</w:t>
      </w:r>
      <w:r w:rsidR="00DB1C4E" w:rsidRPr="00F2263F">
        <w:rPr>
          <w:color w:val="000000" w:themeColor="text1"/>
          <w:sz w:val="24"/>
          <w:szCs w:val="24"/>
        </w:rPr>
        <w:t xml:space="preserve"> til at koncentrere tenofovir i perifere mononukleære blodceller (PBMC'er, </w:t>
      </w:r>
      <w:r w:rsidR="00DB1C4E" w:rsidRPr="00F2263F">
        <w:rPr>
          <w:i/>
          <w:iCs/>
          <w:color w:val="000000" w:themeColor="text1"/>
          <w:sz w:val="24"/>
          <w:szCs w:val="24"/>
        </w:rPr>
        <w:t>peripheral blood mononuclear cells</w:t>
      </w:r>
      <w:r w:rsidR="00DB1C4E" w:rsidRPr="00F2263F">
        <w:rPr>
          <w:color w:val="000000" w:themeColor="text1"/>
          <w:sz w:val="24"/>
          <w:szCs w:val="24"/>
        </w:rPr>
        <w:t>) eller hiv-målceller, herunder lymfocytter og makrofager. Intracellulært tenofovir fosforyleres dernæst til den farmakologisk aktive metabolit tenofovirdiphosphat. Tenofovirdiphosphat hæmmer hiv-replikation via indbygning i viralt dna af hiv-RT, hvilket resulterer i dna-kædeblokering.</w:t>
      </w:r>
    </w:p>
    <w:p w14:paraId="53B57A28" w14:textId="77777777" w:rsidR="00DB1C4E" w:rsidRPr="00F2263F" w:rsidRDefault="00DB1C4E" w:rsidP="00132A6A">
      <w:pPr>
        <w:ind w:left="851"/>
        <w:rPr>
          <w:color w:val="000000" w:themeColor="text1"/>
          <w:sz w:val="24"/>
          <w:szCs w:val="24"/>
        </w:rPr>
      </w:pPr>
    </w:p>
    <w:p w14:paraId="741C32FC" w14:textId="77777777" w:rsidR="00DB1C4E" w:rsidRPr="00F2263F" w:rsidRDefault="00DB1C4E" w:rsidP="00132A6A">
      <w:pPr>
        <w:ind w:left="851"/>
        <w:rPr>
          <w:color w:val="000000" w:themeColor="text1"/>
          <w:sz w:val="24"/>
          <w:szCs w:val="24"/>
        </w:rPr>
      </w:pPr>
      <w:r w:rsidRPr="00F2263F">
        <w:rPr>
          <w:color w:val="000000" w:themeColor="text1"/>
          <w:sz w:val="24"/>
          <w:szCs w:val="24"/>
        </w:rPr>
        <w:t>Tenofovir har aktivitet mod hiv 1-, hiv 2- og HBV.</w:t>
      </w:r>
    </w:p>
    <w:p w14:paraId="78DCE14F" w14:textId="77777777" w:rsidR="00DB1C4E" w:rsidRPr="00F2263F" w:rsidRDefault="00DB1C4E" w:rsidP="00132A6A">
      <w:pPr>
        <w:ind w:left="851"/>
        <w:rPr>
          <w:color w:val="000000" w:themeColor="text1"/>
          <w:sz w:val="24"/>
          <w:szCs w:val="24"/>
        </w:rPr>
      </w:pPr>
    </w:p>
    <w:p w14:paraId="4CBC85F7" w14:textId="77777777" w:rsidR="00DB1C4E" w:rsidRPr="00F2263F" w:rsidRDefault="00DB1C4E" w:rsidP="00132A6A">
      <w:pPr>
        <w:ind w:left="851"/>
        <w:rPr>
          <w:color w:val="000000" w:themeColor="text1"/>
          <w:sz w:val="24"/>
          <w:szCs w:val="24"/>
          <w:u w:val="single"/>
        </w:rPr>
      </w:pPr>
      <w:r w:rsidRPr="00F2263F">
        <w:rPr>
          <w:color w:val="000000" w:themeColor="text1"/>
          <w:sz w:val="24"/>
          <w:szCs w:val="24"/>
          <w:u w:val="single"/>
        </w:rPr>
        <w:t xml:space="preserve">Antiviral aktivitet </w:t>
      </w:r>
      <w:r w:rsidRPr="00F2263F">
        <w:rPr>
          <w:i/>
          <w:iCs/>
          <w:color w:val="000000" w:themeColor="text1"/>
          <w:sz w:val="24"/>
          <w:szCs w:val="24"/>
          <w:u w:val="single"/>
        </w:rPr>
        <w:t>in vitro</w:t>
      </w:r>
    </w:p>
    <w:p w14:paraId="776C2EB7" w14:textId="77777777" w:rsidR="00DB1C4E" w:rsidRPr="00F2263F" w:rsidRDefault="00DB1C4E" w:rsidP="00132A6A">
      <w:pPr>
        <w:ind w:left="851"/>
        <w:rPr>
          <w:color w:val="000000" w:themeColor="text1"/>
          <w:sz w:val="24"/>
          <w:szCs w:val="24"/>
          <w:u w:val="single"/>
        </w:rPr>
      </w:pPr>
    </w:p>
    <w:p w14:paraId="0C492875" w14:textId="304565AE" w:rsidR="00DB1C4E" w:rsidRPr="00F2263F" w:rsidRDefault="00DB1C4E" w:rsidP="00132A6A">
      <w:pPr>
        <w:ind w:left="851"/>
        <w:rPr>
          <w:color w:val="000000" w:themeColor="text1"/>
          <w:sz w:val="24"/>
          <w:szCs w:val="24"/>
        </w:rPr>
      </w:pPr>
      <w:r w:rsidRPr="00F2263F">
        <w:rPr>
          <w:color w:val="000000" w:themeColor="text1"/>
          <w:sz w:val="24"/>
          <w:szCs w:val="24"/>
        </w:rPr>
        <w:t xml:space="preserve">Emtricitabin og </w:t>
      </w:r>
      <w:r w:rsidR="00202D86">
        <w:rPr>
          <w:color w:val="000000" w:themeColor="text1"/>
          <w:sz w:val="24"/>
          <w:szCs w:val="24"/>
        </w:rPr>
        <w:t>tenofovir alafenamid</w:t>
      </w:r>
      <w:r w:rsidRPr="00F2263F">
        <w:rPr>
          <w:color w:val="000000" w:themeColor="text1"/>
          <w:sz w:val="24"/>
          <w:szCs w:val="24"/>
        </w:rPr>
        <w:t xml:space="preserve"> viste synergistisk antiviral aktivitet i cellekultur. Ingen antagonisme med emtricitabin eller </w:t>
      </w:r>
      <w:r w:rsidR="00202D86">
        <w:rPr>
          <w:color w:val="000000" w:themeColor="text1"/>
          <w:sz w:val="24"/>
          <w:szCs w:val="24"/>
        </w:rPr>
        <w:t>tenofovir alafenamid</w:t>
      </w:r>
      <w:r w:rsidRPr="00F2263F">
        <w:rPr>
          <w:color w:val="000000" w:themeColor="text1"/>
          <w:sz w:val="24"/>
          <w:szCs w:val="24"/>
        </w:rPr>
        <w:t xml:space="preserve"> blev observeret ved kombination med andre antiretrovirale midler.</w:t>
      </w:r>
    </w:p>
    <w:p w14:paraId="6DA1BB49" w14:textId="77777777" w:rsidR="00DB1C4E" w:rsidRPr="00F2263F" w:rsidRDefault="00DB1C4E" w:rsidP="00132A6A">
      <w:pPr>
        <w:ind w:left="851"/>
        <w:rPr>
          <w:color w:val="000000" w:themeColor="text1"/>
          <w:sz w:val="24"/>
          <w:szCs w:val="24"/>
        </w:rPr>
      </w:pPr>
    </w:p>
    <w:p w14:paraId="709AD4DB" w14:textId="3111A9DC" w:rsidR="00DB1C4E" w:rsidRPr="00F2263F" w:rsidRDefault="00DB1C4E" w:rsidP="00132A6A">
      <w:pPr>
        <w:ind w:left="851"/>
        <w:rPr>
          <w:color w:val="000000" w:themeColor="text1"/>
          <w:sz w:val="24"/>
          <w:szCs w:val="24"/>
        </w:rPr>
      </w:pPr>
      <w:r w:rsidRPr="00F2263F">
        <w:rPr>
          <w:color w:val="000000" w:themeColor="text1"/>
          <w:sz w:val="24"/>
          <w:szCs w:val="24"/>
        </w:rPr>
        <w:t>Den antivirale aktivitet af emtricitabin mod isolater af hiv 1 fra laboratoriet og klinikken blev vurderet i lymfoblastoide cellelinjer, MAGI-CCR5-cellelinjen og PBMC’er. De 50 % effektive koncentrationsværdier (EC</w:t>
      </w:r>
      <w:r w:rsidRPr="00F2263F">
        <w:rPr>
          <w:color w:val="000000" w:themeColor="text1"/>
          <w:sz w:val="24"/>
          <w:szCs w:val="24"/>
          <w:vertAlign w:val="subscript"/>
        </w:rPr>
        <w:t>50</w:t>
      </w:r>
      <w:r w:rsidRPr="00F2263F">
        <w:rPr>
          <w:color w:val="000000" w:themeColor="text1"/>
          <w:sz w:val="24"/>
          <w:szCs w:val="24"/>
        </w:rPr>
        <w:t>) for emtricitabin var i intervallet fra 0,0013 til 0,64</w:t>
      </w:r>
      <w:r w:rsidR="00FC122F">
        <w:rPr>
          <w:color w:val="000000" w:themeColor="text1"/>
          <w:sz w:val="24"/>
          <w:szCs w:val="24"/>
        </w:rPr>
        <w:t> </w:t>
      </w:r>
      <w:r w:rsidRPr="00F2263F">
        <w:rPr>
          <w:color w:val="000000" w:themeColor="text1"/>
          <w:sz w:val="24"/>
          <w:szCs w:val="24"/>
        </w:rPr>
        <w:t>μM. Emtricitabin viste antiviral aktivitet i cellekultur mod hiv 1-kladerne A, B, C, D, E, F og G (EC</w:t>
      </w:r>
      <w:r w:rsidRPr="00F2263F">
        <w:rPr>
          <w:color w:val="000000" w:themeColor="text1"/>
          <w:sz w:val="24"/>
          <w:szCs w:val="24"/>
          <w:vertAlign w:val="subscript"/>
        </w:rPr>
        <w:t>50</w:t>
      </w:r>
      <w:r w:rsidRPr="00F2263F">
        <w:rPr>
          <w:color w:val="000000" w:themeColor="text1"/>
          <w:sz w:val="24"/>
          <w:szCs w:val="24"/>
        </w:rPr>
        <w:t>-værdier var i intervallet fra 0,007 til 0,075 μM) og viste stammespecifik aktivitet mod hiv 2 (EC</w:t>
      </w:r>
      <w:r w:rsidRPr="00F2263F">
        <w:rPr>
          <w:color w:val="000000" w:themeColor="text1"/>
          <w:sz w:val="24"/>
          <w:szCs w:val="24"/>
          <w:vertAlign w:val="subscript"/>
        </w:rPr>
        <w:t>50</w:t>
      </w:r>
      <w:r w:rsidRPr="00F2263F">
        <w:rPr>
          <w:color w:val="000000" w:themeColor="text1"/>
          <w:sz w:val="24"/>
          <w:szCs w:val="24"/>
        </w:rPr>
        <w:t>-værdier var i intervallet fra 0,007 til 1,5 μM).</w:t>
      </w:r>
    </w:p>
    <w:p w14:paraId="7EE4C0C7" w14:textId="77777777" w:rsidR="00DB1C4E" w:rsidRPr="00F2263F" w:rsidRDefault="00DB1C4E" w:rsidP="00132A6A">
      <w:pPr>
        <w:ind w:left="851"/>
        <w:rPr>
          <w:color w:val="000000" w:themeColor="text1"/>
          <w:sz w:val="24"/>
          <w:szCs w:val="24"/>
        </w:rPr>
      </w:pPr>
    </w:p>
    <w:p w14:paraId="28C48FCD" w14:textId="347D8B79" w:rsidR="00DB1C4E" w:rsidRPr="00F2263F" w:rsidRDefault="00DB1C4E" w:rsidP="00132A6A">
      <w:pPr>
        <w:ind w:left="851"/>
        <w:rPr>
          <w:color w:val="000000" w:themeColor="text1"/>
          <w:sz w:val="24"/>
          <w:szCs w:val="24"/>
        </w:rPr>
      </w:pPr>
      <w:r w:rsidRPr="00F2263F">
        <w:rPr>
          <w:color w:val="000000" w:themeColor="text1"/>
          <w:sz w:val="24"/>
          <w:szCs w:val="24"/>
        </w:rPr>
        <w:t xml:space="preserve">Den antivirale aktivitet af </w:t>
      </w:r>
      <w:r w:rsidR="00202D86">
        <w:rPr>
          <w:color w:val="000000" w:themeColor="text1"/>
          <w:sz w:val="24"/>
          <w:szCs w:val="24"/>
        </w:rPr>
        <w:t>tenofovir alafenamid</w:t>
      </w:r>
      <w:r w:rsidRPr="00F2263F">
        <w:rPr>
          <w:color w:val="000000" w:themeColor="text1"/>
          <w:sz w:val="24"/>
          <w:szCs w:val="24"/>
        </w:rPr>
        <w:t xml:space="preserve"> mod isolater af hiv 1 undertype B fra laboratoriet og klinikken blev vurderet i lymfoblastoide cellelinjer, PBMC’er, primære monocyt-/makrofage celler og CD4+ T-lymfocytter. EC</w:t>
      </w:r>
      <w:r w:rsidRPr="00F2263F">
        <w:rPr>
          <w:color w:val="000000" w:themeColor="text1"/>
          <w:sz w:val="24"/>
          <w:szCs w:val="24"/>
          <w:vertAlign w:val="subscript"/>
        </w:rPr>
        <w:t>50</w:t>
      </w:r>
      <w:r w:rsidRPr="00F2263F">
        <w:rPr>
          <w:color w:val="000000" w:themeColor="text1"/>
          <w:sz w:val="24"/>
          <w:szCs w:val="24"/>
        </w:rPr>
        <w:t xml:space="preserve">-værdierne for </w:t>
      </w:r>
      <w:r w:rsidR="00202D86">
        <w:rPr>
          <w:color w:val="000000" w:themeColor="text1"/>
          <w:sz w:val="24"/>
          <w:szCs w:val="24"/>
        </w:rPr>
        <w:t>tenofovir alafenamid</w:t>
      </w:r>
      <w:r w:rsidRPr="00F2263F">
        <w:rPr>
          <w:color w:val="000000" w:themeColor="text1"/>
          <w:sz w:val="24"/>
          <w:szCs w:val="24"/>
        </w:rPr>
        <w:t xml:space="preserve"> var i intervallet fra 2,0 til 14,7 nM. </w:t>
      </w:r>
      <w:r w:rsidR="00202D86">
        <w:rPr>
          <w:color w:val="000000" w:themeColor="text1"/>
          <w:sz w:val="24"/>
          <w:szCs w:val="24"/>
        </w:rPr>
        <w:t>Tenofovir alafenamid</w:t>
      </w:r>
      <w:r w:rsidRPr="00F2263F">
        <w:rPr>
          <w:color w:val="000000" w:themeColor="text1"/>
          <w:sz w:val="24"/>
          <w:szCs w:val="24"/>
        </w:rPr>
        <w:t xml:space="preserve"> viste antiviral aktivitet i cellekultur mod alle hiv 1-grupperne (M, N og O), herunder undertype A, B, C, D, E, F og G (EC</w:t>
      </w:r>
      <w:r w:rsidRPr="00F2263F">
        <w:rPr>
          <w:color w:val="000000" w:themeColor="text1"/>
          <w:sz w:val="24"/>
          <w:szCs w:val="24"/>
          <w:vertAlign w:val="subscript"/>
        </w:rPr>
        <w:t>50</w:t>
      </w:r>
      <w:r w:rsidRPr="00F2263F">
        <w:rPr>
          <w:color w:val="000000" w:themeColor="text1"/>
          <w:sz w:val="24"/>
          <w:szCs w:val="24"/>
        </w:rPr>
        <w:t>-værdier var i intervallet fra 0,10 til 12,0 nM) og viste stammespecifik aktivitet mod hiv 2 (EC</w:t>
      </w:r>
      <w:r w:rsidRPr="00F2263F">
        <w:rPr>
          <w:color w:val="000000" w:themeColor="text1"/>
          <w:sz w:val="24"/>
          <w:szCs w:val="24"/>
          <w:vertAlign w:val="subscript"/>
        </w:rPr>
        <w:t>50</w:t>
      </w:r>
      <w:r w:rsidRPr="00F2263F">
        <w:rPr>
          <w:color w:val="000000" w:themeColor="text1"/>
          <w:sz w:val="24"/>
          <w:szCs w:val="24"/>
        </w:rPr>
        <w:t>-værdier var i intervallet fra 0,91 til 2,63 nM).</w:t>
      </w:r>
    </w:p>
    <w:p w14:paraId="17CD688B" w14:textId="0D41A60E" w:rsidR="00C7472A" w:rsidRDefault="00C7472A">
      <w:pPr>
        <w:rPr>
          <w:color w:val="000000" w:themeColor="text1"/>
          <w:sz w:val="24"/>
          <w:szCs w:val="24"/>
        </w:rPr>
      </w:pPr>
      <w:r>
        <w:rPr>
          <w:color w:val="000000" w:themeColor="text1"/>
          <w:sz w:val="24"/>
          <w:szCs w:val="24"/>
        </w:rPr>
        <w:br w:type="page"/>
      </w:r>
    </w:p>
    <w:p w14:paraId="2A8C1325" w14:textId="77777777" w:rsidR="00DB1C4E" w:rsidRPr="00F2263F" w:rsidRDefault="00DB1C4E" w:rsidP="00132A6A">
      <w:pPr>
        <w:ind w:left="851"/>
        <w:rPr>
          <w:color w:val="000000" w:themeColor="text1"/>
          <w:sz w:val="24"/>
          <w:szCs w:val="24"/>
        </w:rPr>
      </w:pPr>
    </w:p>
    <w:p w14:paraId="3E305165" w14:textId="77777777" w:rsidR="00DB1C4E" w:rsidRPr="00F2263F" w:rsidRDefault="00DB1C4E" w:rsidP="00132A6A">
      <w:pPr>
        <w:ind w:left="851"/>
        <w:rPr>
          <w:color w:val="000000" w:themeColor="text1"/>
          <w:sz w:val="24"/>
          <w:szCs w:val="24"/>
          <w:u w:val="single"/>
        </w:rPr>
      </w:pPr>
      <w:r w:rsidRPr="00F2263F">
        <w:rPr>
          <w:color w:val="000000" w:themeColor="text1"/>
          <w:sz w:val="24"/>
          <w:szCs w:val="24"/>
          <w:u w:val="single"/>
        </w:rPr>
        <w:t>Resistens</w:t>
      </w:r>
    </w:p>
    <w:p w14:paraId="5EAF72AC" w14:textId="77777777" w:rsidR="00DB1C4E" w:rsidRPr="00F2263F" w:rsidRDefault="00DB1C4E" w:rsidP="00132A6A">
      <w:pPr>
        <w:ind w:left="851"/>
        <w:rPr>
          <w:color w:val="000000" w:themeColor="text1"/>
          <w:sz w:val="24"/>
          <w:szCs w:val="24"/>
          <w:u w:val="single"/>
        </w:rPr>
      </w:pPr>
    </w:p>
    <w:p w14:paraId="0BCF084E" w14:textId="77777777" w:rsidR="00DB1C4E" w:rsidRPr="00F2263F" w:rsidRDefault="00DB1C4E" w:rsidP="00132A6A">
      <w:pPr>
        <w:ind w:left="851"/>
        <w:rPr>
          <w:color w:val="000000" w:themeColor="text1"/>
          <w:sz w:val="24"/>
          <w:szCs w:val="24"/>
        </w:rPr>
      </w:pPr>
      <w:r w:rsidRPr="00F2263F">
        <w:rPr>
          <w:i/>
          <w:iCs/>
          <w:color w:val="000000" w:themeColor="text1"/>
          <w:sz w:val="24"/>
          <w:szCs w:val="24"/>
        </w:rPr>
        <w:t xml:space="preserve">In vitro </w:t>
      </w:r>
    </w:p>
    <w:p w14:paraId="207E4751" w14:textId="77777777" w:rsidR="00DB1C4E" w:rsidRPr="00F2263F" w:rsidRDefault="00DB1C4E" w:rsidP="00132A6A">
      <w:pPr>
        <w:ind w:left="851"/>
        <w:rPr>
          <w:color w:val="000000" w:themeColor="text1"/>
          <w:sz w:val="24"/>
          <w:szCs w:val="24"/>
        </w:rPr>
      </w:pPr>
      <w:r w:rsidRPr="00F2263F">
        <w:rPr>
          <w:color w:val="000000" w:themeColor="text1"/>
          <w:sz w:val="24"/>
          <w:szCs w:val="24"/>
        </w:rPr>
        <w:t>Nedsat følsomhed for emtricitabin er forbundet med M184V/I-mutationer i hiv 1 RT.</w:t>
      </w:r>
    </w:p>
    <w:p w14:paraId="2782C3FF" w14:textId="77777777" w:rsidR="00DB1C4E" w:rsidRPr="00F2263F" w:rsidRDefault="00DB1C4E" w:rsidP="00132A6A">
      <w:pPr>
        <w:ind w:left="851"/>
        <w:rPr>
          <w:color w:val="000000" w:themeColor="text1"/>
          <w:sz w:val="24"/>
          <w:szCs w:val="24"/>
        </w:rPr>
      </w:pPr>
    </w:p>
    <w:p w14:paraId="5EA5D1BF" w14:textId="3F11B1BF" w:rsidR="00DB1C4E" w:rsidRPr="00F2263F" w:rsidRDefault="00DB1C4E" w:rsidP="00132A6A">
      <w:pPr>
        <w:ind w:left="851"/>
        <w:rPr>
          <w:color w:val="000000" w:themeColor="text1"/>
          <w:sz w:val="24"/>
          <w:szCs w:val="24"/>
        </w:rPr>
      </w:pPr>
      <w:r w:rsidRPr="00F2263F">
        <w:rPr>
          <w:color w:val="000000" w:themeColor="text1"/>
          <w:sz w:val="24"/>
          <w:szCs w:val="24"/>
        </w:rPr>
        <w:t xml:space="preserve">Isolater af hiv 1 med nedsat følsomhed for </w:t>
      </w:r>
      <w:r w:rsidR="00202D86">
        <w:rPr>
          <w:color w:val="000000" w:themeColor="text1"/>
          <w:sz w:val="24"/>
          <w:szCs w:val="24"/>
        </w:rPr>
        <w:t>tenofovir alafenamid</w:t>
      </w:r>
      <w:r w:rsidRPr="00F2263F">
        <w:rPr>
          <w:color w:val="000000" w:themeColor="text1"/>
          <w:sz w:val="24"/>
          <w:szCs w:val="24"/>
        </w:rPr>
        <w:t xml:space="preserve"> udtrykker en K65R-mutation i hiv 1 RT. Desuden blev der forbigående observeret en K70E-mutation i hiv</w:t>
      </w:r>
      <w:r w:rsidR="004574DA">
        <w:rPr>
          <w:color w:val="000000" w:themeColor="text1"/>
          <w:sz w:val="24"/>
          <w:szCs w:val="24"/>
        </w:rPr>
        <w:t> </w:t>
      </w:r>
      <w:r w:rsidRPr="00F2263F">
        <w:rPr>
          <w:color w:val="000000" w:themeColor="text1"/>
          <w:sz w:val="24"/>
          <w:szCs w:val="24"/>
        </w:rPr>
        <w:t>1</w:t>
      </w:r>
      <w:r w:rsidR="004574DA">
        <w:rPr>
          <w:color w:val="000000" w:themeColor="text1"/>
          <w:sz w:val="24"/>
          <w:szCs w:val="24"/>
        </w:rPr>
        <w:t> </w:t>
      </w:r>
      <w:r w:rsidRPr="00F2263F">
        <w:rPr>
          <w:color w:val="000000" w:themeColor="text1"/>
          <w:sz w:val="24"/>
          <w:szCs w:val="24"/>
        </w:rPr>
        <w:t>RT.</w:t>
      </w:r>
    </w:p>
    <w:p w14:paraId="1A6C6A80" w14:textId="77777777" w:rsidR="00DB1C4E" w:rsidRPr="00F2263F" w:rsidRDefault="00DB1C4E" w:rsidP="00132A6A">
      <w:pPr>
        <w:ind w:left="851"/>
        <w:rPr>
          <w:i/>
          <w:iCs/>
          <w:color w:val="000000" w:themeColor="text1"/>
          <w:sz w:val="24"/>
          <w:szCs w:val="24"/>
        </w:rPr>
      </w:pPr>
    </w:p>
    <w:p w14:paraId="4C3E695F" w14:textId="77777777" w:rsidR="00DB1C4E" w:rsidRPr="00F2263F" w:rsidRDefault="00DB1C4E" w:rsidP="00132A6A">
      <w:pPr>
        <w:ind w:left="851"/>
        <w:rPr>
          <w:color w:val="000000" w:themeColor="text1"/>
          <w:sz w:val="24"/>
          <w:szCs w:val="24"/>
        </w:rPr>
      </w:pPr>
      <w:r w:rsidRPr="00F2263F">
        <w:rPr>
          <w:i/>
          <w:iCs/>
          <w:color w:val="000000" w:themeColor="text1"/>
          <w:sz w:val="24"/>
          <w:szCs w:val="24"/>
        </w:rPr>
        <w:t xml:space="preserve">Hos behandlingsnaive patienter </w:t>
      </w:r>
    </w:p>
    <w:p w14:paraId="115D362F" w14:textId="69B2DA1D" w:rsidR="00DB1C4E" w:rsidRPr="00F2263F" w:rsidRDefault="00DB1C4E" w:rsidP="00132A6A">
      <w:pPr>
        <w:ind w:left="851"/>
        <w:rPr>
          <w:color w:val="000000" w:themeColor="text1"/>
          <w:sz w:val="24"/>
          <w:szCs w:val="24"/>
        </w:rPr>
      </w:pPr>
      <w:r w:rsidRPr="00F2263F">
        <w:rPr>
          <w:color w:val="000000" w:themeColor="text1"/>
          <w:sz w:val="24"/>
          <w:szCs w:val="24"/>
        </w:rPr>
        <w:t xml:space="preserve">I en samlet analyse af antiretroviral-naive patienter, der fik emtricitabin og </w:t>
      </w:r>
      <w:r w:rsidR="00202D86">
        <w:rPr>
          <w:color w:val="000000" w:themeColor="text1"/>
          <w:sz w:val="24"/>
          <w:szCs w:val="24"/>
        </w:rPr>
        <w:t>tenofovir alafenamid</w:t>
      </w:r>
      <w:r w:rsidRPr="00F2263F">
        <w:rPr>
          <w:color w:val="000000" w:themeColor="text1"/>
          <w:sz w:val="24"/>
          <w:szCs w:val="24"/>
        </w:rPr>
        <w:t xml:space="preserve"> (10 mg), givet sammen med elvitegravir og cobicistat som en fastdosis kombinationstablet i fase 3-studierne GS-US-292-0104 og GS-US-292-0111, blev der foretaget genotypebestemmelse af plasma hiv 1-isolater fra alle patienter med hiv 1-rna ≥</w:t>
      </w:r>
      <w:r w:rsidR="00C7472A">
        <w:rPr>
          <w:color w:val="000000" w:themeColor="text1"/>
          <w:sz w:val="24"/>
          <w:szCs w:val="24"/>
        </w:rPr>
        <w:t> </w:t>
      </w:r>
      <w:r w:rsidRPr="00F2263F">
        <w:rPr>
          <w:color w:val="000000" w:themeColor="text1"/>
          <w:sz w:val="24"/>
          <w:szCs w:val="24"/>
        </w:rPr>
        <w:t>400 kopier/ml ved bekræftet virologisk svigt, uge 144 eller på tidspunktet for tidlig seponering af</w:t>
      </w:r>
      <w:r w:rsidR="00FC122F">
        <w:rPr>
          <w:color w:val="000000" w:themeColor="text1"/>
          <w:sz w:val="24"/>
          <w:szCs w:val="24"/>
        </w:rPr>
        <w:t xml:space="preserve"> </w:t>
      </w:r>
      <w:r w:rsidRPr="00F2263F">
        <w:rPr>
          <w:color w:val="000000" w:themeColor="text1"/>
          <w:sz w:val="24"/>
          <w:szCs w:val="24"/>
        </w:rPr>
        <w:t xml:space="preserve">forsøgslægemidlet. Til og med uge 144 blev der observeret udvikling af en eller flere primære emtricitabin-, </w:t>
      </w:r>
      <w:r w:rsidR="00202D86">
        <w:rPr>
          <w:color w:val="000000" w:themeColor="text1"/>
          <w:sz w:val="24"/>
          <w:szCs w:val="24"/>
        </w:rPr>
        <w:t>tenofovir alafenamid</w:t>
      </w:r>
      <w:r w:rsidRPr="00F2263F">
        <w:rPr>
          <w:color w:val="000000" w:themeColor="text1"/>
          <w:sz w:val="24"/>
          <w:szCs w:val="24"/>
        </w:rPr>
        <w:t>- eller elvitegravir-resistens</w:t>
      </w:r>
      <w:r w:rsidR="00C7472A">
        <w:rPr>
          <w:color w:val="000000" w:themeColor="text1"/>
          <w:sz w:val="24"/>
          <w:szCs w:val="24"/>
        </w:rPr>
        <w:softHyphen/>
      </w:r>
      <w:r w:rsidRPr="00F2263F">
        <w:rPr>
          <w:color w:val="000000" w:themeColor="text1"/>
          <w:sz w:val="24"/>
          <w:szCs w:val="24"/>
        </w:rPr>
        <w:t xml:space="preserve">associerede mutationer i isolater af hiv 1 fra 12 ud af 22 patienter med evaluerbare genotypedata fra parrede isolater ved </w:t>
      </w:r>
      <w:r w:rsidRPr="00F2263F">
        <w:rPr>
          <w:i/>
          <w:iCs/>
          <w:color w:val="000000" w:themeColor="text1"/>
          <w:sz w:val="24"/>
          <w:szCs w:val="24"/>
        </w:rPr>
        <w:t xml:space="preserve">baseline </w:t>
      </w:r>
      <w:r w:rsidRPr="00F2263F">
        <w:rPr>
          <w:color w:val="000000" w:themeColor="text1"/>
          <w:sz w:val="24"/>
          <w:szCs w:val="24"/>
        </w:rPr>
        <w:t>og efter behandlingssvigt med E/C/F/TAF (12 ud af 866 patienter [1,4 %]), sammenlignet med 12 ud af 20 isolater efter behandlingssvigt fra patienter med evaluerbare genotypedata i gruppen med E/C/F/TDF (12 ud af 867 patienter [1,4 %]). I gruppen med E/C/F/TAF var de mutationer, der opstod, M184V/I (n = 11) og K65R/N (n = 2) i RT og T66T/A/I/V (n = 2), E92Q (n = 4), Q148Q/R (n = 1) og N155H (n = 2) i integrase. I hiv 1-isolaterne fra 12 patienter med resistensudvikling i gruppen med E/C/F/TDF var de mutationer, der opstod, M184V/I (n</w:t>
      </w:r>
      <w:r w:rsidR="00C7472A">
        <w:rPr>
          <w:color w:val="000000" w:themeColor="text1"/>
          <w:sz w:val="24"/>
          <w:szCs w:val="24"/>
        </w:rPr>
        <w:t> </w:t>
      </w:r>
      <w:r w:rsidRPr="00F2263F">
        <w:rPr>
          <w:color w:val="000000" w:themeColor="text1"/>
          <w:sz w:val="24"/>
          <w:szCs w:val="24"/>
        </w:rPr>
        <w:t>=</w:t>
      </w:r>
      <w:r w:rsidR="00C7472A">
        <w:rPr>
          <w:color w:val="000000" w:themeColor="text1"/>
          <w:sz w:val="24"/>
          <w:szCs w:val="24"/>
        </w:rPr>
        <w:t> </w:t>
      </w:r>
      <w:r w:rsidRPr="00F2263F">
        <w:rPr>
          <w:color w:val="000000" w:themeColor="text1"/>
          <w:sz w:val="24"/>
          <w:szCs w:val="24"/>
        </w:rPr>
        <w:t>9), K65R/N (n = 4) og L210W (n = 1) i RT og E92Q/V (n = 4) og Q148R (n = 2) og N155H/S (n = 3) i integrase. De fleste hiv 1-isolater fra patienter i begge behandlingsgrupper, der udviklede resistensmutationer over for elvitegravir i integrase, udviklede også resistensmutationer over for emtricitabin i RT.</w:t>
      </w:r>
    </w:p>
    <w:p w14:paraId="3FF4664A" w14:textId="77777777" w:rsidR="00DB1C4E" w:rsidRPr="00F2263F" w:rsidRDefault="00DB1C4E" w:rsidP="00132A6A">
      <w:pPr>
        <w:ind w:left="851"/>
        <w:rPr>
          <w:color w:val="000000" w:themeColor="text1"/>
          <w:sz w:val="24"/>
          <w:szCs w:val="24"/>
        </w:rPr>
      </w:pPr>
    </w:p>
    <w:p w14:paraId="1E050E16" w14:textId="77777777" w:rsidR="00DB1C4E" w:rsidRPr="00F2263F" w:rsidRDefault="00DB1C4E" w:rsidP="00132A6A">
      <w:pPr>
        <w:ind w:left="851"/>
        <w:rPr>
          <w:color w:val="000000" w:themeColor="text1"/>
          <w:sz w:val="24"/>
          <w:szCs w:val="24"/>
        </w:rPr>
      </w:pPr>
      <w:r w:rsidRPr="00F2263F">
        <w:rPr>
          <w:i/>
          <w:iCs/>
          <w:color w:val="000000" w:themeColor="text1"/>
          <w:sz w:val="24"/>
          <w:szCs w:val="24"/>
        </w:rPr>
        <w:t>Hos patienter med samtidig infektion med hiv og HBV</w:t>
      </w:r>
    </w:p>
    <w:p w14:paraId="42FA165E" w14:textId="2D7019AD" w:rsidR="00DB1C4E" w:rsidRPr="00F2263F" w:rsidRDefault="00DB1C4E" w:rsidP="00132A6A">
      <w:pPr>
        <w:ind w:left="851"/>
        <w:rPr>
          <w:color w:val="000000" w:themeColor="text1"/>
          <w:sz w:val="24"/>
          <w:szCs w:val="24"/>
        </w:rPr>
      </w:pPr>
      <w:r w:rsidRPr="00F2263F">
        <w:rPr>
          <w:color w:val="000000" w:themeColor="text1"/>
          <w:sz w:val="24"/>
          <w:szCs w:val="24"/>
        </w:rPr>
        <w:t xml:space="preserve">I et klinisk studie med hiv-inficerede, virologisk supprimerede patienter med samtidig infektion med kronisk hepatitis B, som fik emtricitabin og </w:t>
      </w:r>
      <w:r w:rsidR="00202D86">
        <w:rPr>
          <w:color w:val="000000" w:themeColor="text1"/>
          <w:sz w:val="24"/>
          <w:szCs w:val="24"/>
        </w:rPr>
        <w:t>tenofovir alafenamid</w:t>
      </w:r>
      <w:r w:rsidRPr="00F2263F">
        <w:rPr>
          <w:color w:val="000000" w:themeColor="text1"/>
          <w:sz w:val="24"/>
          <w:szCs w:val="24"/>
        </w:rPr>
        <w:t xml:space="preserve"> sammen med elvitegravir og cobicistat som en fastdosis kombinationstablet (E/C/F/TAF), i 48 uger (GS-US-292-1249, n = 72), var 2 patienter kvalificerede til resistensanalyse. Hos disse 2 patienter blev ingen aminosyresubstitutioner forbundet med resistens over for nogen af komponenterne af E/C/F/TAF identificeret i hiv-1 eller HBV. </w:t>
      </w:r>
    </w:p>
    <w:p w14:paraId="0F38ECB8" w14:textId="77777777" w:rsidR="00DB1C4E" w:rsidRPr="00F2263F" w:rsidRDefault="00DB1C4E" w:rsidP="00132A6A">
      <w:pPr>
        <w:ind w:left="851"/>
        <w:rPr>
          <w:i/>
          <w:iCs/>
          <w:color w:val="000000" w:themeColor="text1"/>
          <w:sz w:val="24"/>
          <w:szCs w:val="24"/>
        </w:rPr>
      </w:pPr>
    </w:p>
    <w:p w14:paraId="15DDF6C9" w14:textId="77777777" w:rsidR="00DB1C4E" w:rsidRPr="00F2263F" w:rsidRDefault="00DB1C4E" w:rsidP="00132A6A">
      <w:pPr>
        <w:ind w:left="851"/>
        <w:rPr>
          <w:color w:val="000000" w:themeColor="text1"/>
          <w:sz w:val="24"/>
          <w:szCs w:val="24"/>
        </w:rPr>
      </w:pPr>
      <w:r w:rsidRPr="00F2263F">
        <w:rPr>
          <w:i/>
          <w:iCs/>
          <w:color w:val="000000" w:themeColor="text1"/>
          <w:sz w:val="24"/>
          <w:szCs w:val="24"/>
        </w:rPr>
        <w:t>Krydsresistens hos hiv 1</w:t>
      </w:r>
      <w:r w:rsidRPr="00F2263F">
        <w:rPr>
          <w:color w:val="000000" w:themeColor="text1"/>
          <w:sz w:val="24"/>
          <w:szCs w:val="24"/>
        </w:rPr>
        <w:t>-</w:t>
      </w:r>
      <w:r w:rsidRPr="00F2263F">
        <w:rPr>
          <w:i/>
          <w:iCs/>
          <w:color w:val="000000" w:themeColor="text1"/>
          <w:sz w:val="24"/>
          <w:szCs w:val="24"/>
        </w:rPr>
        <w:t xml:space="preserve">inficerede, behandlingsnaive eller virologisk supprimerede patienter </w:t>
      </w:r>
    </w:p>
    <w:p w14:paraId="7F512960" w14:textId="77777777" w:rsidR="00DB1C4E" w:rsidRPr="00F2263F" w:rsidRDefault="00DB1C4E" w:rsidP="00132A6A">
      <w:pPr>
        <w:ind w:left="851"/>
        <w:rPr>
          <w:color w:val="000000" w:themeColor="text1"/>
          <w:sz w:val="24"/>
          <w:szCs w:val="24"/>
        </w:rPr>
      </w:pPr>
      <w:r w:rsidRPr="00F2263F">
        <w:rPr>
          <w:color w:val="000000" w:themeColor="text1"/>
          <w:sz w:val="24"/>
          <w:szCs w:val="24"/>
        </w:rPr>
        <w:t xml:space="preserve">Emtricitabin-resistente vira med M184V/I-substitution var krydsresistente over for lamivudin, men havde bevaret følsomhed for didanosin, stavudin, tenofovir og zidovudin. </w:t>
      </w:r>
    </w:p>
    <w:p w14:paraId="67AD3618" w14:textId="77777777" w:rsidR="00DB1C4E" w:rsidRPr="00F2263F" w:rsidRDefault="00DB1C4E" w:rsidP="00132A6A">
      <w:pPr>
        <w:ind w:left="851"/>
        <w:rPr>
          <w:color w:val="000000" w:themeColor="text1"/>
          <w:sz w:val="24"/>
          <w:szCs w:val="24"/>
        </w:rPr>
      </w:pPr>
    </w:p>
    <w:p w14:paraId="7B01180C" w14:textId="77777777" w:rsidR="00DB1C4E" w:rsidRPr="00F2263F" w:rsidRDefault="00DB1C4E" w:rsidP="00132A6A">
      <w:pPr>
        <w:ind w:left="851"/>
        <w:rPr>
          <w:color w:val="000000" w:themeColor="text1"/>
          <w:sz w:val="24"/>
          <w:szCs w:val="24"/>
        </w:rPr>
      </w:pPr>
      <w:r w:rsidRPr="00F2263F">
        <w:rPr>
          <w:color w:val="000000" w:themeColor="text1"/>
          <w:sz w:val="24"/>
          <w:szCs w:val="24"/>
        </w:rPr>
        <w:t xml:space="preserve">K65R- og K70E-mutationer resulterer i nedsat følsomhed for abacavir, didanosin, lamivudin, emtricitabin og tenofovir, men de bevarer følsomhed for zidovudin. </w:t>
      </w:r>
    </w:p>
    <w:p w14:paraId="740482B0" w14:textId="77777777" w:rsidR="00DB1C4E" w:rsidRPr="00F2263F" w:rsidRDefault="00DB1C4E" w:rsidP="00132A6A">
      <w:pPr>
        <w:ind w:left="851"/>
        <w:rPr>
          <w:color w:val="000000" w:themeColor="text1"/>
          <w:sz w:val="24"/>
          <w:szCs w:val="24"/>
        </w:rPr>
      </w:pPr>
    </w:p>
    <w:p w14:paraId="6C167D5D" w14:textId="4E0038CB" w:rsidR="00DB1C4E" w:rsidRPr="00F2263F" w:rsidRDefault="00DB1C4E" w:rsidP="00132A6A">
      <w:pPr>
        <w:ind w:left="851"/>
        <w:rPr>
          <w:color w:val="000000" w:themeColor="text1"/>
          <w:sz w:val="24"/>
          <w:szCs w:val="24"/>
        </w:rPr>
      </w:pPr>
      <w:r w:rsidRPr="00F2263F">
        <w:rPr>
          <w:color w:val="000000" w:themeColor="text1"/>
          <w:sz w:val="24"/>
          <w:szCs w:val="24"/>
        </w:rPr>
        <w:t xml:space="preserve">Multinukleosid-resistent hiv 1 med en T69S dobbelt indsætningsmutation eller med et Q151M-mutationskompleks, der omfattede K65R, viste en nedsat følsomhed over for </w:t>
      </w:r>
      <w:r w:rsidR="00202D86">
        <w:rPr>
          <w:color w:val="000000" w:themeColor="text1"/>
          <w:sz w:val="24"/>
          <w:szCs w:val="24"/>
        </w:rPr>
        <w:t>tenofovir alafenamid</w:t>
      </w:r>
      <w:r w:rsidRPr="00F2263F">
        <w:rPr>
          <w:color w:val="000000" w:themeColor="text1"/>
          <w:sz w:val="24"/>
          <w:szCs w:val="24"/>
        </w:rPr>
        <w:t>.</w:t>
      </w:r>
    </w:p>
    <w:p w14:paraId="35D45A7D" w14:textId="77777777" w:rsidR="00DB1C4E" w:rsidRPr="00F2263F" w:rsidRDefault="00DB1C4E" w:rsidP="00132A6A">
      <w:pPr>
        <w:ind w:left="851"/>
        <w:rPr>
          <w:color w:val="000000" w:themeColor="text1"/>
          <w:sz w:val="24"/>
          <w:szCs w:val="24"/>
        </w:rPr>
      </w:pPr>
    </w:p>
    <w:p w14:paraId="2EA03112" w14:textId="77777777" w:rsidR="00DB1C4E" w:rsidRPr="00F2263F" w:rsidRDefault="00DB1C4E" w:rsidP="00132A6A">
      <w:pPr>
        <w:ind w:left="851"/>
        <w:rPr>
          <w:color w:val="000000" w:themeColor="text1"/>
          <w:sz w:val="24"/>
          <w:szCs w:val="24"/>
          <w:u w:val="single"/>
        </w:rPr>
      </w:pPr>
      <w:r w:rsidRPr="00F2263F">
        <w:rPr>
          <w:color w:val="000000" w:themeColor="text1"/>
          <w:sz w:val="24"/>
          <w:szCs w:val="24"/>
          <w:u w:val="single"/>
        </w:rPr>
        <w:lastRenderedPageBreak/>
        <w:t>Kliniske data</w:t>
      </w:r>
    </w:p>
    <w:p w14:paraId="52875A34" w14:textId="77777777" w:rsidR="00DB1C4E" w:rsidRPr="00F2263F" w:rsidRDefault="00DB1C4E" w:rsidP="00132A6A">
      <w:pPr>
        <w:ind w:left="851"/>
        <w:rPr>
          <w:color w:val="000000" w:themeColor="text1"/>
          <w:sz w:val="24"/>
          <w:szCs w:val="24"/>
          <w:u w:val="single"/>
        </w:rPr>
      </w:pPr>
    </w:p>
    <w:p w14:paraId="2D9C4E7D" w14:textId="160D7020" w:rsidR="00DB1C4E" w:rsidRPr="00F2263F" w:rsidRDefault="00DB1C4E" w:rsidP="00132A6A">
      <w:pPr>
        <w:ind w:left="851"/>
        <w:rPr>
          <w:color w:val="000000" w:themeColor="text1"/>
          <w:sz w:val="24"/>
          <w:szCs w:val="24"/>
        </w:rPr>
      </w:pPr>
      <w:r w:rsidRPr="00F2263F">
        <w:rPr>
          <w:color w:val="000000" w:themeColor="text1"/>
          <w:sz w:val="24"/>
          <w:szCs w:val="24"/>
        </w:rPr>
        <w:t xml:space="preserve">Der er ikke udført studier af virkning og sikkerhed hos behandlingsnaive patienter med emtricitabin og </w:t>
      </w:r>
      <w:r w:rsidR="00202D86">
        <w:rPr>
          <w:color w:val="000000" w:themeColor="text1"/>
          <w:sz w:val="24"/>
          <w:szCs w:val="24"/>
        </w:rPr>
        <w:t>tenofovir alafenamid</w:t>
      </w:r>
      <w:r w:rsidRPr="00F2263F">
        <w:rPr>
          <w:color w:val="000000" w:themeColor="text1"/>
          <w:sz w:val="24"/>
          <w:szCs w:val="24"/>
        </w:rPr>
        <w:t xml:space="preserve"> kombinationen.</w:t>
      </w:r>
    </w:p>
    <w:p w14:paraId="607BE3D4" w14:textId="77777777" w:rsidR="00DB1C4E" w:rsidRPr="00F2263F" w:rsidRDefault="00DB1C4E" w:rsidP="00132A6A">
      <w:pPr>
        <w:ind w:left="851"/>
        <w:rPr>
          <w:color w:val="000000" w:themeColor="text1"/>
          <w:sz w:val="24"/>
          <w:szCs w:val="24"/>
        </w:rPr>
      </w:pPr>
    </w:p>
    <w:p w14:paraId="0BE034BB" w14:textId="5230D724" w:rsidR="00DB1C4E" w:rsidRPr="00F2263F" w:rsidRDefault="00DB1C4E" w:rsidP="00132A6A">
      <w:pPr>
        <w:ind w:left="851"/>
        <w:rPr>
          <w:color w:val="000000" w:themeColor="text1"/>
          <w:sz w:val="24"/>
          <w:szCs w:val="24"/>
        </w:rPr>
      </w:pPr>
      <w:r w:rsidRPr="00F2263F">
        <w:rPr>
          <w:color w:val="000000" w:themeColor="text1"/>
          <w:sz w:val="24"/>
          <w:szCs w:val="24"/>
        </w:rPr>
        <w:t xml:space="preserve">Den kliniske virkning af emtricitabin og </w:t>
      </w:r>
      <w:r w:rsidR="00202D86">
        <w:rPr>
          <w:color w:val="000000" w:themeColor="text1"/>
          <w:sz w:val="24"/>
          <w:szCs w:val="24"/>
        </w:rPr>
        <w:t>tenofovir alafenamid fumarat</w:t>
      </w:r>
      <w:r w:rsidRPr="00F2263F">
        <w:rPr>
          <w:color w:val="000000" w:themeColor="text1"/>
          <w:sz w:val="24"/>
          <w:szCs w:val="24"/>
        </w:rPr>
        <w:t xml:space="preserve"> kombinationen blev klarlagt fra studier udført med emtricitabin og </w:t>
      </w:r>
      <w:r w:rsidR="00202D86">
        <w:rPr>
          <w:color w:val="000000" w:themeColor="text1"/>
          <w:sz w:val="24"/>
          <w:szCs w:val="24"/>
        </w:rPr>
        <w:t>tenofovir alafenamid</w:t>
      </w:r>
      <w:r w:rsidRPr="00F2263F">
        <w:rPr>
          <w:color w:val="000000" w:themeColor="text1"/>
          <w:sz w:val="24"/>
          <w:szCs w:val="24"/>
        </w:rPr>
        <w:t>, når det blev givet sammen med elvitegravir og cobicistat som fastdosis kombinationstabletten E/C/F/TAF.</w:t>
      </w:r>
    </w:p>
    <w:p w14:paraId="33538EF3" w14:textId="77777777" w:rsidR="00DB1C4E" w:rsidRPr="00F2263F" w:rsidRDefault="00DB1C4E" w:rsidP="00132A6A">
      <w:pPr>
        <w:ind w:left="851"/>
        <w:rPr>
          <w:color w:val="000000" w:themeColor="text1"/>
          <w:sz w:val="24"/>
          <w:szCs w:val="24"/>
        </w:rPr>
      </w:pPr>
    </w:p>
    <w:p w14:paraId="279FCFC7" w14:textId="77777777" w:rsidR="00DB1C4E" w:rsidRPr="00F2263F" w:rsidRDefault="00DB1C4E" w:rsidP="00132A6A">
      <w:pPr>
        <w:ind w:left="851"/>
        <w:rPr>
          <w:color w:val="000000" w:themeColor="text1"/>
          <w:sz w:val="24"/>
          <w:szCs w:val="24"/>
        </w:rPr>
      </w:pPr>
      <w:r w:rsidRPr="00F2263F">
        <w:rPr>
          <w:i/>
          <w:iCs/>
          <w:color w:val="000000" w:themeColor="text1"/>
          <w:sz w:val="24"/>
          <w:szCs w:val="24"/>
        </w:rPr>
        <w:t xml:space="preserve">Hiv 1-inficerede, behandlingsnaive patienter </w:t>
      </w:r>
    </w:p>
    <w:p w14:paraId="5AA35A44" w14:textId="27B03AC2" w:rsidR="00DB1C4E" w:rsidRPr="00F2263F" w:rsidRDefault="00DB1C4E" w:rsidP="00132A6A">
      <w:pPr>
        <w:ind w:left="851"/>
        <w:rPr>
          <w:color w:val="000000" w:themeColor="text1"/>
          <w:sz w:val="24"/>
          <w:szCs w:val="24"/>
        </w:rPr>
      </w:pPr>
      <w:r w:rsidRPr="00F2263F">
        <w:rPr>
          <w:color w:val="000000" w:themeColor="text1"/>
          <w:sz w:val="24"/>
          <w:szCs w:val="24"/>
        </w:rPr>
        <w:t xml:space="preserve">I studie GS-US-292-0104 og GS-US-292-0111 blev patienterne randomiseret i forholdet 1:1 til at få enten emtricitabin 200 mg og </w:t>
      </w:r>
      <w:r w:rsidR="00202D86">
        <w:rPr>
          <w:color w:val="000000" w:themeColor="text1"/>
          <w:sz w:val="24"/>
          <w:szCs w:val="24"/>
        </w:rPr>
        <w:t>tenofovir alafenamid</w:t>
      </w:r>
      <w:r w:rsidRPr="00F2263F">
        <w:rPr>
          <w:color w:val="000000" w:themeColor="text1"/>
          <w:sz w:val="24"/>
          <w:szCs w:val="24"/>
        </w:rPr>
        <w:t xml:space="preserve"> 10 mg (n = 866) én gang dagligt eller emtricitabin 200 mg +</w:t>
      </w:r>
      <w:r w:rsidR="00202D86">
        <w:rPr>
          <w:color w:val="000000" w:themeColor="text1"/>
          <w:sz w:val="24"/>
          <w:szCs w:val="24"/>
        </w:rPr>
        <w:t>tenofovir disoproxil</w:t>
      </w:r>
      <w:r w:rsidRPr="00F2263F">
        <w:rPr>
          <w:color w:val="000000" w:themeColor="text1"/>
          <w:sz w:val="24"/>
          <w:szCs w:val="24"/>
        </w:rPr>
        <w:t xml:space="preserve"> (som fumarat) 245 mg (n = 867) én gang dagligt, begge givet sammen med elvitegravir 150 mg + cobicistat 150 mg som en fastdosis kombinationstablet. Gennemsnitsalderen var 36 år (interval: 18-76), 85 % var mænd, 57 % var hvide, 25 % var sorte, og 10 % var asiater. 19 % af patienterne blev identificeret som af spansk/latinsk herkomst. Den gennemsnitlige plasma hiv 1-rna ved </w:t>
      </w:r>
      <w:r w:rsidRPr="00F2263F">
        <w:rPr>
          <w:i/>
          <w:iCs/>
          <w:color w:val="000000" w:themeColor="text1"/>
          <w:sz w:val="24"/>
          <w:szCs w:val="24"/>
        </w:rPr>
        <w:t xml:space="preserve">baseline </w:t>
      </w:r>
      <w:r w:rsidRPr="00F2263F">
        <w:rPr>
          <w:color w:val="000000" w:themeColor="text1"/>
          <w:sz w:val="24"/>
          <w:szCs w:val="24"/>
        </w:rPr>
        <w:t xml:space="preserve">var 4,5 log10 kopier/ml (interval: 1,3-7,0), og 23 % havde viral load ved </w:t>
      </w:r>
      <w:r w:rsidRPr="00F2263F">
        <w:rPr>
          <w:i/>
          <w:iCs/>
          <w:color w:val="000000" w:themeColor="text1"/>
          <w:sz w:val="24"/>
          <w:szCs w:val="24"/>
        </w:rPr>
        <w:t xml:space="preserve">baseline </w:t>
      </w:r>
      <w:r w:rsidRPr="00F2263F">
        <w:rPr>
          <w:color w:val="000000" w:themeColor="text1"/>
          <w:sz w:val="24"/>
          <w:szCs w:val="24"/>
        </w:rPr>
        <w:t xml:space="preserve">på &gt; 100.000 kopier/ml. Det gennemsnitlige CD4+ celletal ved </w:t>
      </w:r>
      <w:r w:rsidRPr="00F2263F">
        <w:rPr>
          <w:i/>
          <w:iCs/>
          <w:color w:val="000000" w:themeColor="text1"/>
          <w:sz w:val="24"/>
          <w:szCs w:val="24"/>
        </w:rPr>
        <w:t xml:space="preserve">baseline </w:t>
      </w:r>
      <w:r w:rsidRPr="00F2263F">
        <w:rPr>
          <w:color w:val="000000" w:themeColor="text1"/>
          <w:sz w:val="24"/>
          <w:szCs w:val="24"/>
        </w:rPr>
        <w:t>var 427</w:t>
      </w:r>
      <w:r w:rsidR="00C7472A">
        <w:rPr>
          <w:color w:val="000000" w:themeColor="text1"/>
          <w:sz w:val="24"/>
          <w:szCs w:val="24"/>
        </w:rPr>
        <w:t> </w:t>
      </w:r>
      <w:r w:rsidRPr="00F2263F">
        <w:rPr>
          <w:color w:val="000000" w:themeColor="text1"/>
          <w:sz w:val="24"/>
          <w:szCs w:val="24"/>
        </w:rPr>
        <w:t>celler/mm</w:t>
      </w:r>
      <w:r w:rsidRPr="00F2263F">
        <w:rPr>
          <w:color w:val="000000" w:themeColor="text1"/>
          <w:sz w:val="24"/>
          <w:szCs w:val="24"/>
          <w:vertAlign w:val="superscript"/>
        </w:rPr>
        <w:t>3</w:t>
      </w:r>
      <w:r w:rsidRPr="00F2263F">
        <w:rPr>
          <w:color w:val="000000" w:themeColor="text1"/>
          <w:sz w:val="24"/>
          <w:szCs w:val="24"/>
        </w:rPr>
        <w:t xml:space="preserve"> (interval: 0-1.360), og 13 % havde et CD4+ celletal på &lt; 200 celler/mm</w:t>
      </w:r>
      <w:r w:rsidRPr="00F2263F">
        <w:rPr>
          <w:color w:val="000000" w:themeColor="text1"/>
          <w:sz w:val="24"/>
          <w:szCs w:val="24"/>
          <w:vertAlign w:val="superscript"/>
        </w:rPr>
        <w:t>3</w:t>
      </w:r>
      <w:r w:rsidRPr="00F2263F">
        <w:rPr>
          <w:color w:val="000000" w:themeColor="text1"/>
          <w:sz w:val="24"/>
          <w:szCs w:val="24"/>
        </w:rPr>
        <w:t>.</w:t>
      </w:r>
    </w:p>
    <w:p w14:paraId="47CAD9B0" w14:textId="77777777" w:rsidR="00DB1C4E" w:rsidRPr="00F2263F" w:rsidRDefault="00DB1C4E" w:rsidP="00132A6A">
      <w:pPr>
        <w:ind w:left="851"/>
        <w:rPr>
          <w:color w:val="000000" w:themeColor="text1"/>
          <w:sz w:val="24"/>
          <w:szCs w:val="24"/>
        </w:rPr>
      </w:pPr>
    </w:p>
    <w:p w14:paraId="4C0E1FDC" w14:textId="67B0EE07" w:rsidR="00DB1C4E" w:rsidRPr="00F2263F" w:rsidRDefault="00DB1C4E" w:rsidP="00132A6A">
      <w:pPr>
        <w:ind w:left="851"/>
        <w:rPr>
          <w:color w:val="000000" w:themeColor="text1"/>
          <w:sz w:val="24"/>
          <w:szCs w:val="24"/>
        </w:rPr>
      </w:pPr>
      <w:r w:rsidRPr="00F2263F">
        <w:rPr>
          <w:color w:val="000000" w:themeColor="text1"/>
          <w:sz w:val="24"/>
          <w:szCs w:val="24"/>
        </w:rPr>
        <w:t>E/C/F/TAF udviste statistisk superioritet ved at opnå hiv 1-rna &lt; 50 kopier/ml, sammenlignet med E/C/F/TDF ved uge 144. Forskellen i procent var 4,2 % (95 % CI: 0,6</w:t>
      </w:r>
      <w:r w:rsidR="00C7472A">
        <w:rPr>
          <w:color w:val="000000" w:themeColor="text1"/>
          <w:sz w:val="24"/>
          <w:szCs w:val="24"/>
        </w:rPr>
        <w:t> </w:t>
      </w:r>
      <w:r w:rsidRPr="00F2263F">
        <w:rPr>
          <w:color w:val="000000" w:themeColor="text1"/>
          <w:sz w:val="24"/>
          <w:szCs w:val="24"/>
        </w:rPr>
        <w:t>% til 7,8 %). Samlede behandlingsresultater efter 48 og 144 uger vises i tabel 4.</w:t>
      </w:r>
    </w:p>
    <w:p w14:paraId="54E91C7A" w14:textId="77777777" w:rsidR="00DB1C4E" w:rsidRPr="00F2263F" w:rsidRDefault="00DB1C4E" w:rsidP="00132A6A">
      <w:pPr>
        <w:ind w:left="851"/>
        <w:rPr>
          <w:color w:val="000000" w:themeColor="text1"/>
          <w:sz w:val="24"/>
          <w:szCs w:val="24"/>
        </w:rPr>
      </w:pPr>
    </w:p>
    <w:p w14:paraId="0DF66132" w14:textId="77777777" w:rsidR="00DB1C4E" w:rsidRPr="00F2263F" w:rsidRDefault="00DB1C4E" w:rsidP="00DB1C4E">
      <w:pPr>
        <w:pStyle w:val="Brdtekst"/>
        <w:widowControl/>
        <w:suppressAutoHyphens/>
        <w:kinsoku w:val="0"/>
        <w:overflowPunct w:val="0"/>
        <w:ind w:left="0"/>
        <w:rPr>
          <w:color w:val="000000" w:themeColor="text1"/>
        </w:rPr>
      </w:pPr>
      <w:r w:rsidRPr="00F2263F">
        <w:rPr>
          <w:b/>
          <w:bCs/>
          <w:color w:val="000000" w:themeColor="text1"/>
        </w:rPr>
        <w:t>Tabel 4: Samlede virologiske resultater i studie GS-US-292-0104 og GS-US-292-0111 ved uge 48 og 144</w:t>
      </w:r>
      <w:proofErr w:type="gramStart"/>
      <w:r w:rsidRPr="00F2263F">
        <w:rPr>
          <w:b/>
          <w:bCs/>
          <w:color w:val="000000" w:themeColor="text1"/>
          <w:vertAlign w:val="superscript"/>
        </w:rPr>
        <w:t>a,b</w:t>
      </w:r>
      <w:proofErr w:type="gramEnd"/>
    </w:p>
    <w:p w14:paraId="3FFB6BB8" w14:textId="77777777" w:rsidR="00DB1C4E" w:rsidRPr="00F2263F" w:rsidRDefault="00DB1C4E" w:rsidP="00DB1C4E">
      <w:pPr>
        <w:pStyle w:val="Brdtekst"/>
        <w:widowControl/>
        <w:suppressAutoHyphens/>
        <w:kinsoku w:val="0"/>
        <w:overflowPunct w:val="0"/>
        <w:ind w:left="0"/>
        <w:rPr>
          <w:color w:val="000000" w:themeColor="text1"/>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932"/>
        <w:gridCol w:w="1766"/>
        <w:gridCol w:w="1619"/>
        <w:gridCol w:w="1618"/>
        <w:gridCol w:w="1693"/>
      </w:tblGrid>
      <w:tr w:rsidR="00DB1C4E" w:rsidRPr="003C361F" w14:paraId="0A1CCF34" w14:textId="77777777" w:rsidTr="00132A6A">
        <w:trPr>
          <w:cantSplit/>
          <w:trHeight w:val="220"/>
          <w:tblHeader/>
        </w:trPr>
        <w:tc>
          <w:tcPr>
            <w:tcW w:w="1523" w:type="pct"/>
            <w:tcBorders>
              <w:top w:val="single" w:sz="4" w:space="0" w:color="000000"/>
              <w:left w:val="single" w:sz="4" w:space="0" w:color="000000"/>
              <w:bottom w:val="single" w:sz="4" w:space="0" w:color="000000"/>
              <w:right w:val="single" w:sz="4" w:space="0" w:color="000000"/>
            </w:tcBorders>
          </w:tcPr>
          <w:p w14:paraId="2B60404C" w14:textId="77777777" w:rsidR="00DB1C4E" w:rsidRPr="003C361F" w:rsidRDefault="00DB1C4E">
            <w:pPr>
              <w:pStyle w:val="TableParagraph"/>
              <w:keepNext/>
              <w:keepLines/>
              <w:rPr>
                <w:sz w:val="22"/>
                <w:szCs w:val="22"/>
                <w:lang w:val="ru-RU" w:eastAsia="ru-RU"/>
              </w:rPr>
            </w:pPr>
            <w:bookmarkStart w:id="4" w:name="_Hlk209432352"/>
          </w:p>
        </w:tc>
        <w:tc>
          <w:tcPr>
            <w:tcW w:w="1758" w:type="pct"/>
            <w:gridSpan w:val="2"/>
            <w:tcBorders>
              <w:top w:val="single" w:sz="4" w:space="0" w:color="000000"/>
              <w:left w:val="single" w:sz="4" w:space="0" w:color="000000"/>
              <w:bottom w:val="single" w:sz="4" w:space="0" w:color="000000"/>
              <w:right w:val="single" w:sz="4" w:space="0" w:color="000000"/>
            </w:tcBorders>
            <w:vAlign w:val="center"/>
            <w:hideMark/>
          </w:tcPr>
          <w:p w14:paraId="268F5DE8" w14:textId="77777777" w:rsidR="00DB1C4E" w:rsidRPr="003C361F" w:rsidRDefault="00DB1C4E">
            <w:pPr>
              <w:pStyle w:val="TableParagraph"/>
              <w:keepNext/>
              <w:keepLines/>
              <w:jc w:val="center"/>
              <w:rPr>
                <w:b/>
                <w:sz w:val="22"/>
                <w:szCs w:val="22"/>
                <w:lang w:val="ru-RU" w:eastAsia="ru-RU"/>
              </w:rPr>
            </w:pPr>
            <w:r w:rsidRPr="003C361F">
              <w:rPr>
                <w:b/>
                <w:sz w:val="22"/>
                <w:szCs w:val="22"/>
                <w:lang w:val="ru-RU" w:eastAsia="ru-RU"/>
              </w:rPr>
              <w:t>Uge 48</w:t>
            </w:r>
          </w:p>
        </w:tc>
        <w:tc>
          <w:tcPr>
            <w:tcW w:w="1719" w:type="pct"/>
            <w:gridSpan w:val="2"/>
            <w:tcBorders>
              <w:top w:val="single" w:sz="4" w:space="0" w:color="000000"/>
              <w:left w:val="single" w:sz="4" w:space="0" w:color="000000"/>
              <w:bottom w:val="single" w:sz="4" w:space="0" w:color="000000"/>
              <w:right w:val="single" w:sz="4" w:space="0" w:color="000000"/>
            </w:tcBorders>
            <w:vAlign w:val="center"/>
            <w:hideMark/>
          </w:tcPr>
          <w:p w14:paraId="65124CE5" w14:textId="77777777" w:rsidR="00DB1C4E" w:rsidRPr="003C361F" w:rsidRDefault="00DB1C4E">
            <w:pPr>
              <w:pStyle w:val="TableParagraph"/>
              <w:keepNext/>
              <w:keepLines/>
              <w:jc w:val="center"/>
              <w:rPr>
                <w:b/>
                <w:sz w:val="22"/>
                <w:szCs w:val="22"/>
                <w:lang w:val="ru-RU" w:eastAsia="ru-RU"/>
              </w:rPr>
            </w:pPr>
            <w:r w:rsidRPr="003C361F">
              <w:rPr>
                <w:b/>
                <w:sz w:val="22"/>
                <w:szCs w:val="22"/>
                <w:lang w:val="ru-RU" w:eastAsia="ru-RU"/>
              </w:rPr>
              <w:t>Uge 144</w:t>
            </w:r>
          </w:p>
        </w:tc>
      </w:tr>
      <w:tr w:rsidR="00DB1C4E" w:rsidRPr="003C361F" w14:paraId="516779A0" w14:textId="77777777" w:rsidTr="00132A6A">
        <w:trPr>
          <w:cantSplit/>
          <w:trHeight w:val="440"/>
          <w:tblHeader/>
        </w:trPr>
        <w:tc>
          <w:tcPr>
            <w:tcW w:w="1523" w:type="pct"/>
            <w:tcBorders>
              <w:top w:val="single" w:sz="4" w:space="0" w:color="000000"/>
              <w:left w:val="single" w:sz="4" w:space="0" w:color="000000"/>
              <w:bottom w:val="single" w:sz="4" w:space="0" w:color="000000"/>
              <w:right w:val="single" w:sz="4" w:space="0" w:color="000000"/>
            </w:tcBorders>
          </w:tcPr>
          <w:p w14:paraId="0E45A17C" w14:textId="77777777" w:rsidR="00DB1C4E" w:rsidRPr="003C361F" w:rsidRDefault="00DB1C4E">
            <w:pPr>
              <w:pStyle w:val="TableParagraph"/>
              <w:keepNext/>
              <w:keepLines/>
              <w:rPr>
                <w:sz w:val="22"/>
                <w:szCs w:val="22"/>
                <w:lang w:val="ru-RU" w:eastAsia="ru-RU"/>
              </w:rPr>
            </w:pPr>
          </w:p>
        </w:tc>
        <w:tc>
          <w:tcPr>
            <w:tcW w:w="917" w:type="pct"/>
            <w:tcBorders>
              <w:top w:val="single" w:sz="4" w:space="0" w:color="000000"/>
              <w:left w:val="single" w:sz="4" w:space="0" w:color="000000"/>
              <w:bottom w:val="single" w:sz="4" w:space="0" w:color="000000"/>
              <w:right w:val="single" w:sz="4" w:space="0" w:color="000000"/>
            </w:tcBorders>
            <w:vAlign w:val="center"/>
            <w:hideMark/>
          </w:tcPr>
          <w:p w14:paraId="2050D03D" w14:textId="77777777" w:rsidR="00DB1C4E" w:rsidRPr="003C361F" w:rsidRDefault="00DB1C4E">
            <w:pPr>
              <w:pStyle w:val="TableParagraph"/>
              <w:keepNext/>
              <w:keepLines/>
              <w:ind w:hanging="104"/>
              <w:jc w:val="center"/>
              <w:rPr>
                <w:b/>
                <w:sz w:val="22"/>
                <w:szCs w:val="22"/>
                <w:lang w:val="ru-RU" w:eastAsia="ru-RU"/>
              </w:rPr>
            </w:pPr>
            <w:r w:rsidRPr="003C361F">
              <w:rPr>
                <w:b/>
                <w:sz w:val="22"/>
                <w:szCs w:val="22"/>
                <w:lang w:val="ru-RU" w:eastAsia="ru-RU"/>
              </w:rPr>
              <w:t>E/C/F/TAF</w:t>
            </w:r>
          </w:p>
          <w:p w14:paraId="575184DB" w14:textId="77777777" w:rsidR="00DB1C4E" w:rsidRPr="003C361F" w:rsidRDefault="00DB1C4E">
            <w:pPr>
              <w:pStyle w:val="TableParagraph"/>
              <w:keepNext/>
              <w:keepLines/>
              <w:ind w:hanging="104"/>
              <w:jc w:val="center"/>
              <w:rPr>
                <w:b/>
                <w:sz w:val="22"/>
                <w:szCs w:val="22"/>
                <w:lang w:val="ru-RU" w:eastAsia="ru-RU"/>
              </w:rPr>
            </w:pPr>
            <w:r w:rsidRPr="003C361F">
              <w:rPr>
                <w:b/>
                <w:sz w:val="22"/>
                <w:szCs w:val="22"/>
                <w:lang w:val="ru-RU" w:eastAsia="ru-RU"/>
              </w:rPr>
              <w:t>(n = 866)</w:t>
            </w:r>
          </w:p>
        </w:tc>
        <w:tc>
          <w:tcPr>
            <w:tcW w:w="841" w:type="pct"/>
            <w:tcBorders>
              <w:top w:val="single" w:sz="4" w:space="0" w:color="000000"/>
              <w:left w:val="single" w:sz="4" w:space="0" w:color="000000"/>
              <w:bottom w:val="single" w:sz="4" w:space="0" w:color="000000"/>
              <w:right w:val="single" w:sz="4" w:space="0" w:color="000000"/>
            </w:tcBorders>
            <w:vAlign w:val="center"/>
            <w:hideMark/>
          </w:tcPr>
          <w:p w14:paraId="6D62B772" w14:textId="77777777" w:rsidR="00DB1C4E" w:rsidRPr="003C361F" w:rsidRDefault="00DB1C4E">
            <w:pPr>
              <w:pStyle w:val="TableParagraph"/>
              <w:keepNext/>
              <w:keepLines/>
              <w:ind w:hanging="132"/>
              <w:jc w:val="center"/>
              <w:rPr>
                <w:b/>
                <w:sz w:val="22"/>
                <w:szCs w:val="22"/>
                <w:lang w:val="ru-RU" w:eastAsia="ru-RU"/>
              </w:rPr>
            </w:pPr>
            <w:r w:rsidRPr="003C361F">
              <w:rPr>
                <w:b/>
                <w:sz w:val="22"/>
                <w:szCs w:val="22"/>
                <w:lang w:val="ru-RU" w:eastAsia="ru-RU"/>
              </w:rPr>
              <w:t>E/C/F/TDF</w:t>
            </w:r>
            <w:r w:rsidRPr="003C361F">
              <w:rPr>
                <w:b/>
                <w:sz w:val="22"/>
                <w:szCs w:val="22"/>
                <w:vertAlign w:val="superscript"/>
                <w:lang w:val="ru-RU" w:eastAsia="ru-RU"/>
              </w:rPr>
              <w:t>e</w:t>
            </w:r>
            <w:r w:rsidRPr="003C361F">
              <w:rPr>
                <w:b/>
                <w:sz w:val="22"/>
                <w:szCs w:val="22"/>
                <w:lang w:val="ru-RU" w:eastAsia="ru-RU"/>
              </w:rPr>
              <w:t xml:space="preserve"> (n = 867)</w:t>
            </w:r>
          </w:p>
        </w:tc>
        <w:tc>
          <w:tcPr>
            <w:tcW w:w="840" w:type="pct"/>
            <w:tcBorders>
              <w:top w:val="single" w:sz="4" w:space="0" w:color="000000"/>
              <w:left w:val="single" w:sz="4" w:space="0" w:color="000000"/>
              <w:bottom w:val="single" w:sz="4" w:space="0" w:color="000000"/>
              <w:right w:val="single" w:sz="4" w:space="0" w:color="000000"/>
            </w:tcBorders>
            <w:vAlign w:val="center"/>
            <w:hideMark/>
          </w:tcPr>
          <w:p w14:paraId="7F249436" w14:textId="77777777" w:rsidR="00DB1C4E" w:rsidRPr="003C361F" w:rsidRDefault="00DB1C4E">
            <w:pPr>
              <w:pStyle w:val="TableParagraph"/>
              <w:keepNext/>
              <w:keepLines/>
              <w:ind w:hanging="104"/>
              <w:jc w:val="center"/>
              <w:rPr>
                <w:b/>
                <w:sz w:val="22"/>
                <w:szCs w:val="22"/>
                <w:lang w:val="ru-RU" w:eastAsia="ru-RU"/>
              </w:rPr>
            </w:pPr>
            <w:r w:rsidRPr="003C361F">
              <w:rPr>
                <w:b/>
                <w:sz w:val="22"/>
                <w:szCs w:val="22"/>
                <w:lang w:val="ru-RU" w:eastAsia="ru-RU"/>
              </w:rPr>
              <w:t>E/C/F/TAF (n = 866)</w:t>
            </w:r>
          </w:p>
        </w:tc>
        <w:tc>
          <w:tcPr>
            <w:tcW w:w="879" w:type="pct"/>
            <w:tcBorders>
              <w:top w:val="single" w:sz="4" w:space="0" w:color="000000"/>
              <w:left w:val="single" w:sz="4" w:space="0" w:color="000000"/>
              <w:bottom w:val="single" w:sz="4" w:space="0" w:color="000000"/>
              <w:right w:val="single" w:sz="4" w:space="0" w:color="000000"/>
            </w:tcBorders>
            <w:vAlign w:val="center"/>
            <w:hideMark/>
          </w:tcPr>
          <w:p w14:paraId="3956C8F0" w14:textId="77777777" w:rsidR="00DB1C4E" w:rsidRPr="003C361F" w:rsidRDefault="00DB1C4E">
            <w:pPr>
              <w:pStyle w:val="TableParagraph"/>
              <w:keepNext/>
              <w:keepLines/>
              <w:ind w:hanging="104"/>
              <w:jc w:val="center"/>
              <w:rPr>
                <w:b/>
                <w:sz w:val="22"/>
                <w:szCs w:val="22"/>
                <w:lang w:val="ru-RU" w:eastAsia="ru-RU"/>
              </w:rPr>
            </w:pPr>
            <w:r w:rsidRPr="003C361F">
              <w:rPr>
                <w:b/>
                <w:sz w:val="22"/>
                <w:szCs w:val="22"/>
                <w:lang w:val="ru-RU" w:eastAsia="ru-RU"/>
              </w:rPr>
              <w:t>E/C/F/TDF (n = 867)</w:t>
            </w:r>
          </w:p>
        </w:tc>
      </w:tr>
      <w:tr w:rsidR="00DB1C4E" w:rsidRPr="003C361F" w14:paraId="7E8F6B08" w14:textId="77777777" w:rsidTr="00132A6A">
        <w:trPr>
          <w:cantSplit/>
          <w:trHeight w:val="217"/>
        </w:trPr>
        <w:tc>
          <w:tcPr>
            <w:tcW w:w="1523" w:type="pct"/>
            <w:tcBorders>
              <w:top w:val="single" w:sz="4" w:space="0" w:color="000000"/>
              <w:left w:val="single" w:sz="4" w:space="0" w:color="000000"/>
              <w:bottom w:val="single" w:sz="4" w:space="0" w:color="000000"/>
              <w:right w:val="single" w:sz="4" w:space="0" w:color="000000"/>
            </w:tcBorders>
            <w:hideMark/>
          </w:tcPr>
          <w:p w14:paraId="09B1D22F" w14:textId="77777777" w:rsidR="00DB1C4E" w:rsidRPr="003C361F" w:rsidRDefault="00DB1C4E">
            <w:pPr>
              <w:pStyle w:val="TableParagraph"/>
              <w:rPr>
                <w:b/>
                <w:sz w:val="22"/>
                <w:szCs w:val="22"/>
                <w:lang w:val="ru-RU" w:eastAsia="ru-RU"/>
              </w:rPr>
            </w:pPr>
            <w:r w:rsidRPr="003C361F">
              <w:rPr>
                <w:b/>
                <w:sz w:val="22"/>
                <w:szCs w:val="22"/>
                <w:lang w:val="ru-RU" w:eastAsia="ru-RU"/>
              </w:rPr>
              <w:t>Hiv 1-rna &lt; 50 kopier/ml</w:t>
            </w:r>
          </w:p>
        </w:tc>
        <w:tc>
          <w:tcPr>
            <w:tcW w:w="917" w:type="pct"/>
            <w:tcBorders>
              <w:top w:val="single" w:sz="4" w:space="0" w:color="000000"/>
              <w:left w:val="single" w:sz="4" w:space="0" w:color="000000"/>
              <w:bottom w:val="single" w:sz="4" w:space="0" w:color="000000"/>
              <w:right w:val="single" w:sz="4" w:space="0" w:color="000000"/>
            </w:tcBorders>
            <w:vAlign w:val="center"/>
            <w:hideMark/>
          </w:tcPr>
          <w:p w14:paraId="05D90D80" w14:textId="77777777" w:rsidR="00DB1C4E" w:rsidRPr="003C361F" w:rsidRDefault="00DB1C4E">
            <w:pPr>
              <w:pStyle w:val="TableParagraph"/>
              <w:jc w:val="center"/>
              <w:rPr>
                <w:sz w:val="22"/>
                <w:szCs w:val="22"/>
                <w:lang w:val="ru-RU" w:eastAsia="ru-RU"/>
              </w:rPr>
            </w:pPr>
            <w:r w:rsidRPr="003C361F">
              <w:rPr>
                <w:sz w:val="22"/>
                <w:szCs w:val="22"/>
                <w:lang w:val="ru-RU" w:eastAsia="ru-RU"/>
              </w:rPr>
              <w:t>92%</w:t>
            </w:r>
          </w:p>
        </w:tc>
        <w:tc>
          <w:tcPr>
            <w:tcW w:w="841" w:type="pct"/>
            <w:tcBorders>
              <w:top w:val="single" w:sz="4" w:space="0" w:color="000000"/>
              <w:left w:val="single" w:sz="4" w:space="0" w:color="000000"/>
              <w:bottom w:val="single" w:sz="4" w:space="0" w:color="000000"/>
              <w:right w:val="single" w:sz="4" w:space="0" w:color="000000"/>
            </w:tcBorders>
            <w:vAlign w:val="center"/>
            <w:hideMark/>
          </w:tcPr>
          <w:p w14:paraId="72E7925B" w14:textId="77777777" w:rsidR="00DB1C4E" w:rsidRPr="003C361F" w:rsidRDefault="00DB1C4E">
            <w:pPr>
              <w:pStyle w:val="TableParagraph"/>
              <w:jc w:val="center"/>
              <w:rPr>
                <w:sz w:val="22"/>
                <w:szCs w:val="22"/>
                <w:lang w:val="ru-RU" w:eastAsia="ru-RU"/>
              </w:rPr>
            </w:pPr>
            <w:r w:rsidRPr="003C361F">
              <w:rPr>
                <w:sz w:val="22"/>
                <w:szCs w:val="22"/>
                <w:lang w:val="ru-RU" w:eastAsia="ru-RU"/>
              </w:rPr>
              <w:t>90%</w:t>
            </w:r>
          </w:p>
        </w:tc>
        <w:tc>
          <w:tcPr>
            <w:tcW w:w="840" w:type="pct"/>
            <w:tcBorders>
              <w:top w:val="single" w:sz="4" w:space="0" w:color="000000"/>
              <w:left w:val="single" w:sz="4" w:space="0" w:color="000000"/>
              <w:bottom w:val="single" w:sz="4" w:space="0" w:color="000000"/>
              <w:right w:val="single" w:sz="4" w:space="0" w:color="000000"/>
            </w:tcBorders>
            <w:vAlign w:val="center"/>
            <w:hideMark/>
          </w:tcPr>
          <w:p w14:paraId="38E6A95E" w14:textId="77777777" w:rsidR="00DB1C4E" w:rsidRPr="003C361F" w:rsidRDefault="00DB1C4E">
            <w:pPr>
              <w:pStyle w:val="TableParagraph"/>
              <w:jc w:val="center"/>
              <w:rPr>
                <w:sz w:val="22"/>
                <w:szCs w:val="22"/>
                <w:lang w:val="ru-RU" w:eastAsia="ru-RU"/>
              </w:rPr>
            </w:pPr>
            <w:r w:rsidRPr="003C361F">
              <w:rPr>
                <w:sz w:val="22"/>
                <w:szCs w:val="22"/>
                <w:lang w:val="ru-RU" w:eastAsia="ru-RU"/>
              </w:rPr>
              <w:t>84%</w:t>
            </w:r>
          </w:p>
        </w:tc>
        <w:tc>
          <w:tcPr>
            <w:tcW w:w="879" w:type="pct"/>
            <w:tcBorders>
              <w:top w:val="single" w:sz="4" w:space="0" w:color="000000"/>
              <w:left w:val="single" w:sz="4" w:space="0" w:color="000000"/>
              <w:bottom w:val="single" w:sz="4" w:space="0" w:color="000000"/>
              <w:right w:val="single" w:sz="4" w:space="0" w:color="000000"/>
            </w:tcBorders>
            <w:vAlign w:val="center"/>
            <w:hideMark/>
          </w:tcPr>
          <w:p w14:paraId="03FC3BD1" w14:textId="77777777" w:rsidR="00DB1C4E" w:rsidRPr="003C361F" w:rsidRDefault="00DB1C4E">
            <w:pPr>
              <w:pStyle w:val="TableParagraph"/>
              <w:jc w:val="center"/>
              <w:rPr>
                <w:sz w:val="22"/>
                <w:szCs w:val="22"/>
                <w:lang w:val="ru-RU" w:eastAsia="ru-RU"/>
              </w:rPr>
            </w:pPr>
            <w:r w:rsidRPr="003C361F">
              <w:rPr>
                <w:sz w:val="22"/>
                <w:szCs w:val="22"/>
                <w:lang w:val="ru-RU" w:eastAsia="ru-RU"/>
              </w:rPr>
              <w:t>80%</w:t>
            </w:r>
          </w:p>
        </w:tc>
      </w:tr>
      <w:tr w:rsidR="00DB1C4E" w:rsidRPr="003C361F" w14:paraId="4565088E" w14:textId="77777777" w:rsidTr="00132A6A">
        <w:trPr>
          <w:cantSplit/>
          <w:trHeight w:val="220"/>
        </w:trPr>
        <w:tc>
          <w:tcPr>
            <w:tcW w:w="1523" w:type="pct"/>
            <w:tcBorders>
              <w:top w:val="single" w:sz="4" w:space="0" w:color="000000"/>
              <w:left w:val="single" w:sz="4" w:space="0" w:color="000000"/>
              <w:bottom w:val="single" w:sz="4" w:space="0" w:color="000000"/>
              <w:right w:val="single" w:sz="4" w:space="0" w:color="000000"/>
            </w:tcBorders>
            <w:hideMark/>
          </w:tcPr>
          <w:p w14:paraId="5F0A1541" w14:textId="77777777" w:rsidR="00DB1C4E" w:rsidRPr="003C361F" w:rsidRDefault="00DB1C4E">
            <w:pPr>
              <w:pStyle w:val="TableParagraph"/>
              <w:ind w:left="184"/>
              <w:rPr>
                <w:sz w:val="22"/>
                <w:szCs w:val="22"/>
                <w:lang w:val="ru-RU" w:eastAsia="ru-RU"/>
              </w:rPr>
            </w:pPr>
            <w:r w:rsidRPr="003C361F">
              <w:rPr>
                <w:sz w:val="22"/>
                <w:szCs w:val="22"/>
                <w:lang w:val="ru-RU" w:eastAsia="ru-RU"/>
              </w:rPr>
              <w:t>Behandlingsforskel</w:t>
            </w:r>
          </w:p>
        </w:tc>
        <w:tc>
          <w:tcPr>
            <w:tcW w:w="1758" w:type="pct"/>
            <w:gridSpan w:val="2"/>
            <w:tcBorders>
              <w:top w:val="single" w:sz="4" w:space="0" w:color="000000"/>
              <w:left w:val="single" w:sz="4" w:space="0" w:color="000000"/>
              <w:bottom w:val="single" w:sz="4" w:space="0" w:color="000000"/>
              <w:right w:val="single" w:sz="4" w:space="0" w:color="000000"/>
            </w:tcBorders>
            <w:vAlign w:val="center"/>
            <w:hideMark/>
          </w:tcPr>
          <w:p w14:paraId="20DE487D" w14:textId="77777777" w:rsidR="00DB1C4E" w:rsidRPr="003C361F" w:rsidRDefault="00DB1C4E">
            <w:pPr>
              <w:pStyle w:val="TableParagraph"/>
              <w:jc w:val="center"/>
              <w:rPr>
                <w:sz w:val="22"/>
                <w:szCs w:val="22"/>
                <w:lang w:val="ru-RU" w:eastAsia="ru-RU"/>
              </w:rPr>
            </w:pPr>
            <w:r w:rsidRPr="003C361F">
              <w:rPr>
                <w:sz w:val="22"/>
                <w:szCs w:val="22"/>
                <w:lang w:val="ru-RU" w:eastAsia="ru-RU"/>
              </w:rPr>
              <w:t xml:space="preserve">2,0% (95% CI: </w:t>
            </w:r>
            <w:r w:rsidRPr="003C361F">
              <w:rPr>
                <w:sz w:val="22"/>
                <w:szCs w:val="22"/>
                <w:lang w:val="ru-RU" w:eastAsia="ru-RU"/>
              </w:rPr>
              <w:noBreakHyphen/>
              <w:t>0,7% til 4,7%)</w:t>
            </w:r>
          </w:p>
        </w:tc>
        <w:tc>
          <w:tcPr>
            <w:tcW w:w="1719" w:type="pct"/>
            <w:gridSpan w:val="2"/>
            <w:tcBorders>
              <w:top w:val="single" w:sz="4" w:space="0" w:color="000000"/>
              <w:left w:val="single" w:sz="4" w:space="0" w:color="000000"/>
              <w:bottom w:val="single" w:sz="4" w:space="0" w:color="000000"/>
              <w:right w:val="single" w:sz="4" w:space="0" w:color="000000"/>
            </w:tcBorders>
            <w:vAlign w:val="center"/>
            <w:hideMark/>
          </w:tcPr>
          <w:p w14:paraId="0A8FB024" w14:textId="77777777" w:rsidR="00DB1C4E" w:rsidRPr="003C361F" w:rsidRDefault="00DB1C4E">
            <w:pPr>
              <w:pStyle w:val="TableParagraph"/>
              <w:jc w:val="center"/>
              <w:rPr>
                <w:sz w:val="22"/>
                <w:szCs w:val="22"/>
                <w:lang w:val="ru-RU" w:eastAsia="ru-RU"/>
              </w:rPr>
            </w:pPr>
            <w:r w:rsidRPr="003C361F">
              <w:rPr>
                <w:sz w:val="22"/>
                <w:szCs w:val="22"/>
                <w:lang w:val="ru-RU" w:eastAsia="ru-RU"/>
              </w:rPr>
              <w:t>4,2% (95% CI: 0,6% til 7,8%)</w:t>
            </w:r>
          </w:p>
        </w:tc>
      </w:tr>
      <w:tr w:rsidR="00DB1C4E" w:rsidRPr="003C361F" w14:paraId="236A3E1D" w14:textId="77777777" w:rsidTr="00132A6A">
        <w:trPr>
          <w:cantSplit/>
          <w:trHeight w:val="220"/>
        </w:trPr>
        <w:tc>
          <w:tcPr>
            <w:tcW w:w="1523" w:type="pct"/>
            <w:tcBorders>
              <w:top w:val="single" w:sz="4" w:space="0" w:color="000000"/>
              <w:left w:val="single" w:sz="4" w:space="0" w:color="000000"/>
              <w:bottom w:val="single" w:sz="4" w:space="0" w:color="000000"/>
              <w:right w:val="single" w:sz="4" w:space="0" w:color="000000"/>
            </w:tcBorders>
            <w:hideMark/>
          </w:tcPr>
          <w:p w14:paraId="50060142" w14:textId="77777777" w:rsidR="00DB1C4E" w:rsidRPr="003C361F" w:rsidRDefault="00DB1C4E">
            <w:pPr>
              <w:pStyle w:val="TableParagraph"/>
              <w:rPr>
                <w:b/>
                <w:sz w:val="22"/>
                <w:szCs w:val="22"/>
                <w:lang w:val="ru-RU" w:eastAsia="ru-RU"/>
              </w:rPr>
            </w:pPr>
            <w:r w:rsidRPr="003C361F">
              <w:rPr>
                <w:b/>
                <w:sz w:val="22"/>
                <w:szCs w:val="22"/>
                <w:lang w:val="ru-RU" w:eastAsia="ru-RU"/>
              </w:rPr>
              <w:t>Hiv 1-rna ≥ 50 kopier/ml</w:t>
            </w:r>
            <w:r w:rsidRPr="003C361F">
              <w:rPr>
                <w:b/>
                <w:bCs/>
                <w:sz w:val="22"/>
                <w:szCs w:val="22"/>
                <w:vertAlign w:val="superscript"/>
                <w:lang w:val="ru-RU" w:eastAsia="ru-RU"/>
              </w:rPr>
              <w:t>c</w:t>
            </w:r>
          </w:p>
        </w:tc>
        <w:tc>
          <w:tcPr>
            <w:tcW w:w="917" w:type="pct"/>
            <w:tcBorders>
              <w:top w:val="single" w:sz="4" w:space="0" w:color="000000"/>
              <w:left w:val="single" w:sz="4" w:space="0" w:color="000000"/>
              <w:bottom w:val="single" w:sz="4" w:space="0" w:color="000000"/>
              <w:right w:val="single" w:sz="4" w:space="0" w:color="000000"/>
            </w:tcBorders>
            <w:vAlign w:val="center"/>
            <w:hideMark/>
          </w:tcPr>
          <w:p w14:paraId="116B1A5F" w14:textId="77777777" w:rsidR="00DB1C4E" w:rsidRPr="003C361F" w:rsidRDefault="00DB1C4E">
            <w:pPr>
              <w:pStyle w:val="TableParagraph"/>
              <w:jc w:val="center"/>
              <w:rPr>
                <w:sz w:val="22"/>
                <w:szCs w:val="22"/>
                <w:lang w:val="ru-RU" w:eastAsia="ru-RU"/>
              </w:rPr>
            </w:pPr>
            <w:r w:rsidRPr="003C361F">
              <w:rPr>
                <w:sz w:val="22"/>
                <w:szCs w:val="22"/>
                <w:lang w:val="ru-RU" w:eastAsia="ru-RU"/>
              </w:rPr>
              <w:t>4%</w:t>
            </w:r>
          </w:p>
        </w:tc>
        <w:tc>
          <w:tcPr>
            <w:tcW w:w="841" w:type="pct"/>
            <w:tcBorders>
              <w:top w:val="single" w:sz="4" w:space="0" w:color="000000"/>
              <w:left w:val="single" w:sz="4" w:space="0" w:color="000000"/>
              <w:bottom w:val="single" w:sz="4" w:space="0" w:color="000000"/>
              <w:right w:val="single" w:sz="4" w:space="0" w:color="000000"/>
            </w:tcBorders>
            <w:vAlign w:val="center"/>
            <w:hideMark/>
          </w:tcPr>
          <w:p w14:paraId="54DF565F" w14:textId="77777777" w:rsidR="00DB1C4E" w:rsidRPr="003C361F" w:rsidRDefault="00DB1C4E">
            <w:pPr>
              <w:pStyle w:val="TableParagraph"/>
              <w:jc w:val="center"/>
              <w:rPr>
                <w:sz w:val="22"/>
                <w:szCs w:val="22"/>
                <w:lang w:val="ru-RU" w:eastAsia="ru-RU"/>
              </w:rPr>
            </w:pPr>
            <w:r w:rsidRPr="003C361F">
              <w:rPr>
                <w:sz w:val="22"/>
                <w:szCs w:val="22"/>
                <w:lang w:val="ru-RU" w:eastAsia="ru-RU"/>
              </w:rPr>
              <w:t>4%</w:t>
            </w:r>
          </w:p>
        </w:tc>
        <w:tc>
          <w:tcPr>
            <w:tcW w:w="840" w:type="pct"/>
            <w:tcBorders>
              <w:top w:val="single" w:sz="4" w:space="0" w:color="000000"/>
              <w:left w:val="single" w:sz="4" w:space="0" w:color="000000"/>
              <w:bottom w:val="single" w:sz="4" w:space="0" w:color="000000"/>
              <w:right w:val="single" w:sz="4" w:space="0" w:color="000000"/>
            </w:tcBorders>
            <w:vAlign w:val="center"/>
            <w:hideMark/>
          </w:tcPr>
          <w:p w14:paraId="17016CA1" w14:textId="77777777" w:rsidR="00DB1C4E" w:rsidRPr="003C361F" w:rsidRDefault="00DB1C4E">
            <w:pPr>
              <w:pStyle w:val="TableParagraph"/>
              <w:jc w:val="center"/>
              <w:rPr>
                <w:sz w:val="22"/>
                <w:szCs w:val="22"/>
                <w:lang w:val="ru-RU" w:eastAsia="ru-RU"/>
              </w:rPr>
            </w:pPr>
            <w:r w:rsidRPr="003C361F">
              <w:rPr>
                <w:sz w:val="22"/>
                <w:szCs w:val="22"/>
                <w:lang w:val="ru-RU" w:eastAsia="ru-RU"/>
              </w:rPr>
              <w:t>5%</w:t>
            </w:r>
          </w:p>
        </w:tc>
        <w:tc>
          <w:tcPr>
            <w:tcW w:w="879" w:type="pct"/>
            <w:tcBorders>
              <w:top w:val="single" w:sz="4" w:space="0" w:color="000000"/>
              <w:left w:val="single" w:sz="4" w:space="0" w:color="000000"/>
              <w:bottom w:val="single" w:sz="4" w:space="0" w:color="000000"/>
              <w:right w:val="single" w:sz="4" w:space="0" w:color="000000"/>
            </w:tcBorders>
            <w:vAlign w:val="center"/>
            <w:hideMark/>
          </w:tcPr>
          <w:p w14:paraId="2CB12878" w14:textId="77777777" w:rsidR="00DB1C4E" w:rsidRPr="003C361F" w:rsidRDefault="00DB1C4E">
            <w:pPr>
              <w:pStyle w:val="TableParagraph"/>
              <w:jc w:val="center"/>
              <w:rPr>
                <w:sz w:val="22"/>
                <w:szCs w:val="22"/>
                <w:lang w:val="ru-RU" w:eastAsia="ru-RU"/>
              </w:rPr>
            </w:pPr>
            <w:r w:rsidRPr="003C361F">
              <w:rPr>
                <w:sz w:val="22"/>
                <w:szCs w:val="22"/>
                <w:lang w:val="ru-RU" w:eastAsia="ru-RU"/>
              </w:rPr>
              <w:t>4%</w:t>
            </w:r>
          </w:p>
        </w:tc>
      </w:tr>
      <w:tr w:rsidR="00DB1C4E" w:rsidRPr="003C361F" w14:paraId="70794B2C" w14:textId="77777777" w:rsidTr="00132A6A">
        <w:trPr>
          <w:cantSplit/>
          <w:trHeight w:val="460"/>
        </w:trPr>
        <w:tc>
          <w:tcPr>
            <w:tcW w:w="1523" w:type="pct"/>
            <w:tcBorders>
              <w:top w:val="single" w:sz="4" w:space="0" w:color="000000"/>
              <w:left w:val="single" w:sz="4" w:space="0" w:color="000000"/>
              <w:bottom w:val="single" w:sz="4" w:space="0" w:color="000000"/>
              <w:right w:val="single" w:sz="4" w:space="0" w:color="000000"/>
            </w:tcBorders>
            <w:hideMark/>
          </w:tcPr>
          <w:p w14:paraId="3DDDB30E" w14:textId="77777777" w:rsidR="00DB1C4E" w:rsidRPr="003C361F" w:rsidRDefault="00DB1C4E">
            <w:pPr>
              <w:pStyle w:val="TableParagraph"/>
              <w:keepNext/>
              <w:keepLines/>
              <w:rPr>
                <w:b/>
                <w:sz w:val="22"/>
                <w:szCs w:val="22"/>
                <w:lang w:val="ru-RU" w:eastAsia="ru-RU"/>
              </w:rPr>
            </w:pPr>
            <w:r w:rsidRPr="003C361F">
              <w:rPr>
                <w:b/>
                <w:sz w:val="22"/>
                <w:szCs w:val="22"/>
                <w:lang w:val="ru-RU" w:eastAsia="ru-RU"/>
              </w:rPr>
              <w:t>Ingen virologiske data ved uge 48- eller uge 144-vinduet</w:t>
            </w:r>
          </w:p>
        </w:tc>
        <w:tc>
          <w:tcPr>
            <w:tcW w:w="917" w:type="pct"/>
            <w:tcBorders>
              <w:top w:val="single" w:sz="4" w:space="0" w:color="000000"/>
              <w:left w:val="single" w:sz="4" w:space="0" w:color="000000"/>
              <w:bottom w:val="single" w:sz="4" w:space="0" w:color="000000"/>
              <w:right w:val="single" w:sz="4" w:space="0" w:color="000000"/>
            </w:tcBorders>
            <w:vAlign w:val="center"/>
            <w:hideMark/>
          </w:tcPr>
          <w:p w14:paraId="7D2AF5BA" w14:textId="77777777" w:rsidR="00DB1C4E" w:rsidRPr="003C361F" w:rsidRDefault="00DB1C4E">
            <w:pPr>
              <w:pStyle w:val="TableParagraph"/>
              <w:jc w:val="center"/>
              <w:rPr>
                <w:sz w:val="22"/>
                <w:szCs w:val="22"/>
                <w:lang w:val="ru-RU" w:eastAsia="ru-RU"/>
              </w:rPr>
            </w:pPr>
            <w:r w:rsidRPr="003C361F">
              <w:rPr>
                <w:sz w:val="22"/>
                <w:szCs w:val="22"/>
                <w:lang w:val="ru-RU" w:eastAsia="ru-RU"/>
              </w:rPr>
              <w:t>4%</w:t>
            </w:r>
          </w:p>
        </w:tc>
        <w:tc>
          <w:tcPr>
            <w:tcW w:w="841" w:type="pct"/>
            <w:tcBorders>
              <w:top w:val="single" w:sz="4" w:space="0" w:color="000000"/>
              <w:left w:val="single" w:sz="4" w:space="0" w:color="000000"/>
              <w:bottom w:val="single" w:sz="4" w:space="0" w:color="000000"/>
              <w:right w:val="single" w:sz="4" w:space="0" w:color="000000"/>
            </w:tcBorders>
            <w:vAlign w:val="center"/>
            <w:hideMark/>
          </w:tcPr>
          <w:p w14:paraId="7421D202" w14:textId="77777777" w:rsidR="00DB1C4E" w:rsidRPr="003C361F" w:rsidRDefault="00DB1C4E">
            <w:pPr>
              <w:pStyle w:val="TableParagraph"/>
              <w:jc w:val="center"/>
              <w:rPr>
                <w:sz w:val="22"/>
                <w:szCs w:val="22"/>
                <w:lang w:val="ru-RU" w:eastAsia="ru-RU"/>
              </w:rPr>
            </w:pPr>
            <w:r w:rsidRPr="003C361F">
              <w:rPr>
                <w:sz w:val="22"/>
                <w:szCs w:val="22"/>
                <w:lang w:val="ru-RU" w:eastAsia="ru-RU"/>
              </w:rPr>
              <w:t>6%</w:t>
            </w:r>
          </w:p>
        </w:tc>
        <w:tc>
          <w:tcPr>
            <w:tcW w:w="840" w:type="pct"/>
            <w:tcBorders>
              <w:top w:val="single" w:sz="4" w:space="0" w:color="000000"/>
              <w:left w:val="single" w:sz="4" w:space="0" w:color="000000"/>
              <w:bottom w:val="single" w:sz="4" w:space="0" w:color="000000"/>
              <w:right w:val="single" w:sz="4" w:space="0" w:color="000000"/>
            </w:tcBorders>
            <w:vAlign w:val="center"/>
            <w:hideMark/>
          </w:tcPr>
          <w:p w14:paraId="5082973A" w14:textId="77777777" w:rsidR="00DB1C4E" w:rsidRPr="003C361F" w:rsidRDefault="00DB1C4E">
            <w:pPr>
              <w:pStyle w:val="TableParagraph"/>
              <w:jc w:val="center"/>
              <w:rPr>
                <w:sz w:val="22"/>
                <w:szCs w:val="22"/>
                <w:lang w:val="ru-RU" w:eastAsia="ru-RU"/>
              </w:rPr>
            </w:pPr>
            <w:r w:rsidRPr="003C361F">
              <w:rPr>
                <w:sz w:val="22"/>
                <w:szCs w:val="22"/>
                <w:lang w:val="ru-RU" w:eastAsia="ru-RU"/>
              </w:rPr>
              <w:t>11%</w:t>
            </w:r>
          </w:p>
        </w:tc>
        <w:tc>
          <w:tcPr>
            <w:tcW w:w="879" w:type="pct"/>
            <w:tcBorders>
              <w:top w:val="single" w:sz="4" w:space="0" w:color="000000"/>
              <w:left w:val="single" w:sz="4" w:space="0" w:color="000000"/>
              <w:bottom w:val="single" w:sz="4" w:space="0" w:color="000000"/>
              <w:right w:val="single" w:sz="4" w:space="0" w:color="000000"/>
            </w:tcBorders>
            <w:vAlign w:val="center"/>
            <w:hideMark/>
          </w:tcPr>
          <w:p w14:paraId="3CF079B1" w14:textId="77777777" w:rsidR="00DB1C4E" w:rsidRPr="003C361F" w:rsidRDefault="00DB1C4E">
            <w:pPr>
              <w:pStyle w:val="TableParagraph"/>
              <w:jc w:val="center"/>
              <w:rPr>
                <w:sz w:val="22"/>
                <w:szCs w:val="22"/>
                <w:lang w:val="ru-RU" w:eastAsia="ru-RU"/>
              </w:rPr>
            </w:pPr>
            <w:r w:rsidRPr="003C361F">
              <w:rPr>
                <w:sz w:val="22"/>
                <w:szCs w:val="22"/>
                <w:lang w:val="ru-RU" w:eastAsia="ru-RU"/>
              </w:rPr>
              <w:t>16%</w:t>
            </w:r>
          </w:p>
        </w:tc>
      </w:tr>
      <w:tr w:rsidR="00DB1C4E" w:rsidRPr="003C361F" w14:paraId="40B2EBCA" w14:textId="77777777" w:rsidTr="00132A6A">
        <w:trPr>
          <w:cantSplit/>
          <w:trHeight w:val="459"/>
        </w:trPr>
        <w:tc>
          <w:tcPr>
            <w:tcW w:w="1523" w:type="pct"/>
            <w:tcBorders>
              <w:top w:val="single" w:sz="4" w:space="0" w:color="000000"/>
              <w:left w:val="single" w:sz="4" w:space="0" w:color="000000"/>
              <w:bottom w:val="single" w:sz="4" w:space="0" w:color="000000"/>
              <w:right w:val="single" w:sz="4" w:space="0" w:color="000000"/>
            </w:tcBorders>
            <w:hideMark/>
          </w:tcPr>
          <w:p w14:paraId="7845C8F2" w14:textId="77777777" w:rsidR="00DB1C4E" w:rsidRPr="003C361F" w:rsidRDefault="00DB1C4E">
            <w:pPr>
              <w:pStyle w:val="TableParagraph"/>
              <w:keepNext/>
              <w:keepLines/>
              <w:ind w:left="184"/>
              <w:rPr>
                <w:sz w:val="22"/>
                <w:szCs w:val="22"/>
                <w:lang w:val="ru-RU" w:eastAsia="ru-RU"/>
              </w:rPr>
            </w:pPr>
            <w:r w:rsidRPr="003C361F">
              <w:rPr>
                <w:sz w:val="22"/>
                <w:szCs w:val="22"/>
                <w:lang w:val="ru-RU" w:eastAsia="ru-RU"/>
              </w:rPr>
              <w:t>Seponerede forsøgslægemiddel som følge af AE eller død</w:t>
            </w:r>
            <w:r w:rsidRPr="003C361F">
              <w:rPr>
                <w:sz w:val="22"/>
                <w:szCs w:val="22"/>
                <w:vertAlign w:val="superscript"/>
                <w:lang w:val="ru-RU" w:eastAsia="ru-RU"/>
              </w:rPr>
              <w:t>d</w:t>
            </w:r>
          </w:p>
        </w:tc>
        <w:tc>
          <w:tcPr>
            <w:tcW w:w="917" w:type="pct"/>
            <w:tcBorders>
              <w:top w:val="single" w:sz="4" w:space="0" w:color="000000"/>
              <w:left w:val="single" w:sz="4" w:space="0" w:color="000000"/>
              <w:bottom w:val="single" w:sz="4" w:space="0" w:color="000000"/>
              <w:right w:val="single" w:sz="4" w:space="0" w:color="000000"/>
            </w:tcBorders>
            <w:vAlign w:val="center"/>
            <w:hideMark/>
          </w:tcPr>
          <w:p w14:paraId="283AF6C2" w14:textId="77777777" w:rsidR="00DB1C4E" w:rsidRPr="003C361F" w:rsidRDefault="00DB1C4E">
            <w:pPr>
              <w:pStyle w:val="TableParagraph"/>
              <w:jc w:val="center"/>
              <w:rPr>
                <w:sz w:val="22"/>
                <w:szCs w:val="22"/>
                <w:lang w:val="ru-RU" w:eastAsia="ru-RU"/>
              </w:rPr>
            </w:pPr>
            <w:r w:rsidRPr="003C361F">
              <w:rPr>
                <w:sz w:val="22"/>
                <w:szCs w:val="22"/>
                <w:lang w:val="ru-RU" w:eastAsia="ru-RU"/>
              </w:rPr>
              <w:t>1%</w:t>
            </w:r>
          </w:p>
        </w:tc>
        <w:tc>
          <w:tcPr>
            <w:tcW w:w="841" w:type="pct"/>
            <w:tcBorders>
              <w:top w:val="single" w:sz="4" w:space="0" w:color="000000"/>
              <w:left w:val="single" w:sz="4" w:space="0" w:color="000000"/>
              <w:bottom w:val="single" w:sz="4" w:space="0" w:color="000000"/>
              <w:right w:val="single" w:sz="4" w:space="0" w:color="000000"/>
            </w:tcBorders>
            <w:vAlign w:val="center"/>
            <w:hideMark/>
          </w:tcPr>
          <w:p w14:paraId="79193A47" w14:textId="77777777" w:rsidR="00DB1C4E" w:rsidRPr="003C361F" w:rsidRDefault="00DB1C4E">
            <w:pPr>
              <w:pStyle w:val="TableParagraph"/>
              <w:jc w:val="center"/>
              <w:rPr>
                <w:sz w:val="22"/>
                <w:szCs w:val="22"/>
                <w:lang w:val="ru-RU" w:eastAsia="ru-RU"/>
              </w:rPr>
            </w:pPr>
            <w:r w:rsidRPr="003C361F">
              <w:rPr>
                <w:sz w:val="22"/>
                <w:szCs w:val="22"/>
                <w:lang w:val="ru-RU" w:eastAsia="ru-RU"/>
              </w:rPr>
              <w:t>2%</w:t>
            </w:r>
          </w:p>
        </w:tc>
        <w:tc>
          <w:tcPr>
            <w:tcW w:w="840" w:type="pct"/>
            <w:tcBorders>
              <w:top w:val="single" w:sz="4" w:space="0" w:color="000000"/>
              <w:left w:val="single" w:sz="4" w:space="0" w:color="000000"/>
              <w:bottom w:val="single" w:sz="4" w:space="0" w:color="000000"/>
              <w:right w:val="single" w:sz="4" w:space="0" w:color="000000"/>
            </w:tcBorders>
            <w:vAlign w:val="center"/>
            <w:hideMark/>
          </w:tcPr>
          <w:p w14:paraId="57DDB2C6" w14:textId="77777777" w:rsidR="00DB1C4E" w:rsidRPr="003C361F" w:rsidRDefault="00DB1C4E">
            <w:pPr>
              <w:pStyle w:val="TableParagraph"/>
              <w:jc w:val="center"/>
              <w:rPr>
                <w:sz w:val="22"/>
                <w:szCs w:val="22"/>
                <w:lang w:val="ru-RU" w:eastAsia="ru-RU"/>
              </w:rPr>
            </w:pPr>
            <w:r w:rsidRPr="003C361F">
              <w:rPr>
                <w:sz w:val="22"/>
                <w:szCs w:val="22"/>
                <w:lang w:val="ru-RU" w:eastAsia="ru-RU"/>
              </w:rPr>
              <w:t>1%</w:t>
            </w:r>
          </w:p>
        </w:tc>
        <w:tc>
          <w:tcPr>
            <w:tcW w:w="879" w:type="pct"/>
            <w:tcBorders>
              <w:top w:val="single" w:sz="4" w:space="0" w:color="000000"/>
              <w:left w:val="single" w:sz="4" w:space="0" w:color="000000"/>
              <w:bottom w:val="single" w:sz="4" w:space="0" w:color="000000"/>
              <w:right w:val="single" w:sz="4" w:space="0" w:color="000000"/>
            </w:tcBorders>
            <w:vAlign w:val="center"/>
            <w:hideMark/>
          </w:tcPr>
          <w:p w14:paraId="6F202EDE" w14:textId="77777777" w:rsidR="00DB1C4E" w:rsidRPr="003C361F" w:rsidRDefault="00DB1C4E">
            <w:pPr>
              <w:pStyle w:val="TableParagraph"/>
              <w:jc w:val="center"/>
              <w:rPr>
                <w:sz w:val="22"/>
                <w:szCs w:val="22"/>
                <w:lang w:val="ru-RU" w:eastAsia="ru-RU"/>
              </w:rPr>
            </w:pPr>
            <w:r w:rsidRPr="003C361F">
              <w:rPr>
                <w:sz w:val="22"/>
                <w:szCs w:val="22"/>
                <w:lang w:val="ru-RU" w:eastAsia="ru-RU"/>
              </w:rPr>
              <w:t>3%</w:t>
            </w:r>
          </w:p>
        </w:tc>
      </w:tr>
      <w:tr w:rsidR="00DB1C4E" w:rsidRPr="003C361F" w14:paraId="41E5A1ED" w14:textId="77777777" w:rsidTr="00132A6A">
        <w:trPr>
          <w:cantSplit/>
          <w:trHeight w:val="1137"/>
        </w:trPr>
        <w:tc>
          <w:tcPr>
            <w:tcW w:w="1523" w:type="pct"/>
            <w:tcBorders>
              <w:top w:val="single" w:sz="4" w:space="0" w:color="000000"/>
              <w:left w:val="single" w:sz="4" w:space="0" w:color="000000"/>
              <w:bottom w:val="single" w:sz="4" w:space="0" w:color="000000"/>
              <w:right w:val="single" w:sz="4" w:space="0" w:color="000000"/>
            </w:tcBorders>
            <w:hideMark/>
          </w:tcPr>
          <w:p w14:paraId="2B0C8903" w14:textId="77777777" w:rsidR="00DB1C4E" w:rsidRPr="003C361F" w:rsidRDefault="00DB1C4E">
            <w:pPr>
              <w:pStyle w:val="TableParagraph"/>
              <w:keepNext/>
              <w:keepLines/>
              <w:ind w:left="184"/>
              <w:rPr>
                <w:sz w:val="22"/>
                <w:szCs w:val="22"/>
                <w:lang w:val="ru-RU" w:eastAsia="ru-RU"/>
              </w:rPr>
            </w:pPr>
            <w:r w:rsidRPr="003C361F">
              <w:rPr>
                <w:sz w:val="22"/>
                <w:szCs w:val="22"/>
                <w:lang w:val="ru-RU" w:eastAsia="ru-RU"/>
              </w:rPr>
              <w:t xml:space="preserve">Seponerede forsøgslægemiddel som følge af andre årsager, og sidste tilgængelige hiv 1-rna </w:t>
            </w:r>
          </w:p>
          <w:p w14:paraId="1AF10FC2" w14:textId="77777777" w:rsidR="00DB1C4E" w:rsidRPr="003C361F" w:rsidRDefault="00DB1C4E">
            <w:pPr>
              <w:pStyle w:val="TableParagraph"/>
              <w:keepNext/>
              <w:keepLines/>
              <w:ind w:left="184"/>
              <w:rPr>
                <w:sz w:val="22"/>
                <w:szCs w:val="22"/>
                <w:lang w:val="ru-RU" w:eastAsia="ru-RU"/>
              </w:rPr>
            </w:pPr>
            <w:r w:rsidRPr="003C361F">
              <w:rPr>
                <w:sz w:val="22"/>
                <w:szCs w:val="22"/>
                <w:lang w:val="ru-RU" w:eastAsia="ru-RU"/>
              </w:rPr>
              <w:t>&lt; 50 kopier/ml</w:t>
            </w:r>
            <w:r w:rsidRPr="003C361F">
              <w:rPr>
                <w:sz w:val="22"/>
                <w:szCs w:val="22"/>
                <w:vertAlign w:val="superscript"/>
                <w:lang w:val="ru-RU" w:eastAsia="ru-RU"/>
              </w:rPr>
              <w:t>e</w:t>
            </w:r>
          </w:p>
        </w:tc>
        <w:tc>
          <w:tcPr>
            <w:tcW w:w="917" w:type="pct"/>
            <w:tcBorders>
              <w:top w:val="single" w:sz="4" w:space="0" w:color="000000"/>
              <w:left w:val="single" w:sz="4" w:space="0" w:color="000000"/>
              <w:bottom w:val="single" w:sz="4" w:space="0" w:color="000000"/>
              <w:right w:val="single" w:sz="4" w:space="0" w:color="000000"/>
            </w:tcBorders>
            <w:vAlign w:val="center"/>
            <w:hideMark/>
          </w:tcPr>
          <w:p w14:paraId="2CF64CE2" w14:textId="77777777" w:rsidR="00DB1C4E" w:rsidRPr="003C361F" w:rsidRDefault="00DB1C4E">
            <w:pPr>
              <w:pStyle w:val="TableParagraph"/>
              <w:jc w:val="center"/>
              <w:rPr>
                <w:sz w:val="22"/>
                <w:szCs w:val="22"/>
                <w:lang w:val="ru-RU" w:eastAsia="ru-RU"/>
              </w:rPr>
            </w:pPr>
            <w:r w:rsidRPr="003C361F">
              <w:rPr>
                <w:sz w:val="22"/>
                <w:szCs w:val="22"/>
                <w:lang w:val="ru-RU" w:eastAsia="ru-RU"/>
              </w:rPr>
              <w:t>2%</w:t>
            </w:r>
          </w:p>
        </w:tc>
        <w:tc>
          <w:tcPr>
            <w:tcW w:w="841" w:type="pct"/>
            <w:tcBorders>
              <w:top w:val="single" w:sz="4" w:space="0" w:color="000000"/>
              <w:left w:val="single" w:sz="4" w:space="0" w:color="000000"/>
              <w:bottom w:val="single" w:sz="4" w:space="0" w:color="000000"/>
              <w:right w:val="single" w:sz="4" w:space="0" w:color="000000"/>
            </w:tcBorders>
            <w:vAlign w:val="center"/>
            <w:hideMark/>
          </w:tcPr>
          <w:p w14:paraId="7FF057E9" w14:textId="77777777" w:rsidR="00DB1C4E" w:rsidRPr="003C361F" w:rsidRDefault="00DB1C4E">
            <w:pPr>
              <w:pStyle w:val="TableParagraph"/>
              <w:jc w:val="center"/>
              <w:rPr>
                <w:sz w:val="22"/>
                <w:szCs w:val="22"/>
                <w:lang w:val="ru-RU" w:eastAsia="ru-RU"/>
              </w:rPr>
            </w:pPr>
            <w:r w:rsidRPr="003C361F">
              <w:rPr>
                <w:sz w:val="22"/>
                <w:szCs w:val="22"/>
                <w:lang w:val="ru-RU" w:eastAsia="ru-RU"/>
              </w:rPr>
              <w:t>4%</w:t>
            </w:r>
          </w:p>
        </w:tc>
        <w:tc>
          <w:tcPr>
            <w:tcW w:w="840" w:type="pct"/>
            <w:tcBorders>
              <w:top w:val="single" w:sz="4" w:space="0" w:color="000000"/>
              <w:left w:val="single" w:sz="4" w:space="0" w:color="000000"/>
              <w:bottom w:val="single" w:sz="4" w:space="0" w:color="000000"/>
              <w:right w:val="single" w:sz="4" w:space="0" w:color="000000"/>
            </w:tcBorders>
            <w:vAlign w:val="center"/>
            <w:hideMark/>
          </w:tcPr>
          <w:p w14:paraId="42696F5E" w14:textId="77777777" w:rsidR="00DB1C4E" w:rsidRPr="003C361F" w:rsidRDefault="00DB1C4E">
            <w:pPr>
              <w:pStyle w:val="TableParagraph"/>
              <w:jc w:val="center"/>
              <w:rPr>
                <w:sz w:val="22"/>
                <w:szCs w:val="22"/>
                <w:lang w:val="ru-RU" w:eastAsia="ru-RU"/>
              </w:rPr>
            </w:pPr>
            <w:r w:rsidRPr="003C361F">
              <w:rPr>
                <w:sz w:val="22"/>
                <w:szCs w:val="22"/>
                <w:lang w:val="ru-RU" w:eastAsia="ru-RU"/>
              </w:rPr>
              <w:t>9%</w:t>
            </w:r>
          </w:p>
        </w:tc>
        <w:tc>
          <w:tcPr>
            <w:tcW w:w="879" w:type="pct"/>
            <w:tcBorders>
              <w:top w:val="single" w:sz="4" w:space="0" w:color="000000"/>
              <w:left w:val="single" w:sz="4" w:space="0" w:color="000000"/>
              <w:bottom w:val="single" w:sz="4" w:space="0" w:color="000000"/>
              <w:right w:val="single" w:sz="4" w:space="0" w:color="000000"/>
            </w:tcBorders>
            <w:vAlign w:val="center"/>
            <w:hideMark/>
          </w:tcPr>
          <w:p w14:paraId="61E24E60" w14:textId="77777777" w:rsidR="00DB1C4E" w:rsidRPr="003C361F" w:rsidRDefault="00DB1C4E">
            <w:pPr>
              <w:pStyle w:val="TableParagraph"/>
              <w:jc w:val="center"/>
              <w:rPr>
                <w:sz w:val="22"/>
                <w:szCs w:val="22"/>
                <w:lang w:val="ru-RU" w:eastAsia="ru-RU"/>
              </w:rPr>
            </w:pPr>
            <w:r w:rsidRPr="003C361F">
              <w:rPr>
                <w:sz w:val="22"/>
                <w:szCs w:val="22"/>
                <w:lang w:val="ru-RU" w:eastAsia="ru-RU"/>
              </w:rPr>
              <w:t>11%</w:t>
            </w:r>
          </w:p>
        </w:tc>
      </w:tr>
      <w:tr w:rsidR="00DB1C4E" w:rsidRPr="003C361F" w14:paraId="48FA6B79" w14:textId="77777777" w:rsidTr="00132A6A">
        <w:trPr>
          <w:cantSplit/>
          <w:trHeight w:val="680"/>
        </w:trPr>
        <w:tc>
          <w:tcPr>
            <w:tcW w:w="1523" w:type="pct"/>
            <w:tcBorders>
              <w:top w:val="single" w:sz="4" w:space="0" w:color="000000"/>
              <w:left w:val="single" w:sz="4" w:space="0" w:color="000000"/>
              <w:bottom w:val="single" w:sz="4" w:space="0" w:color="000000"/>
              <w:right w:val="single" w:sz="4" w:space="0" w:color="000000"/>
            </w:tcBorders>
            <w:hideMark/>
          </w:tcPr>
          <w:p w14:paraId="2181CDE7" w14:textId="77777777" w:rsidR="00DB1C4E" w:rsidRPr="003C361F" w:rsidRDefault="00DB1C4E">
            <w:pPr>
              <w:pStyle w:val="TableParagraph"/>
              <w:keepNext/>
              <w:keepLines/>
              <w:ind w:left="184"/>
              <w:rPr>
                <w:sz w:val="22"/>
                <w:szCs w:val="22"/>
                <w:lang w:val="ru-RU" w:eastAsia="ru-RU"/>
              </w:rPr>
            </w:pPr>
            <w:r w:rsidRPr="003C361F">
              <w:rPr>
                <w:sz w:val="22"/>
                <w:szCs w:val="22"/>
                <w:lang w:val="ru-RU" w:eastAsia="ru-RU"/>
              </w:rPr>
              <w:t>Manglende data i tidsvinduet, men får forsøgslægemiddel</w:t>
            </w:r>
          </w:p>
        </w:tc>
        <w:tc>
          <w:tcPr>
            <w:tcW w:w="917" w:type="pct"/>
            <w:tcBorders>
              <w:top w:val="single" w:sz="4" w:space="0" w:color="000000"/>
              <w:left w:val="single" w:sz="4" w:space="0" w:color="000000"/>
              <w:bottom w:val="single" w:sz="4" w:space="0" w:color="000000"/>
              <w:right w:val="single" w:sz="4" w:space="0" w:color="000000"/>
            </w:tcBorders>
            <w:vAlign w:val="center"/>
            <w:hideMark/>
          </w:tcPr>
          <w:p w14:paraId="0BC4D15E" w14:textId="77777777" w:rsidR="00DB1C4E" w:rsidRPr="003C361F" w:rsidRDefault="00DB1C4E">
            <w:pPr>
              <w:pStyle w:val="TableParagraph"/>
              <w:jc w:val="center"/>
              <w:rPr>
                <w:sz w:val="22"/>
                <w:szCs w:val="22"/>
                <w:lang w:val="ru-RU" w:eastAsia="ru-RU"/>
              </w:rPr>
            </w:pPr>
            <w:r w:rsidRPr="003C361F">
              <w:rPr>
                <w:sz w:val="22"/>
                <w:szCs w:val="22"/>
                <w:lang w:val="ru-RU" w:eastAsia="ru-RU"/>
              </w:rPr>
              <w:t>1%</w:t>
            </w:r>
          </w:p>
        </w:tc>
        <w:tc>
          <w:tcPr>
            <w:tcW w:w="841" w:type="pct"/>
            <w:tcBorders>
              <w:top w:val="single" w:sz="4" w:space="0" w:color="000000"/>
              <w:left w:val="single" w:sz="4" w:space="0" w:color="000000"/>
              <w:bottom w:val="single" w:sz="4" w:space="0" w:color="000000"/>
              <w:right w:val="single" w:sz="4" w:space="0" w:color="000000"/>
            </w:tcBorders>
            <w:vAlign w:val="center"/>
            <w:hideMark/>
          </w:tcPr>
          <w:p w14:paraId="18A0AA57" w14:textId="77777777" w:rsidR="00DB1C4E" w:rsidRPr="003C361F" w:rsidRDefault="00DB1C4E">
            <w:pPr>
              <w:pStyle w:val="TableParagraph"/>
              <w:jc w:val="center"/>
              <w:rPr>
                <w:sz w:val="22"/>
                <w:szCs w:val="22"/>
                <w:lang w:val="ru-RU" w:eastAsia="ru-RU"/>
              </w:rPr>
            </w:pPr>
            <w:r w:rsidRPr="003C361F">
              <w:rPr>
                <w:sz w:val="22"/>
                <w:szCs w:val="22"/>
                <w:lang w:val="ru-RU" w:eastAsia="ru-RU"/>
              </w:rPr>
              <w:t>&lt; 1%</w:t>
            </w:r>
          </w:p>
        </w:tc>
        <w:tc>
          <w:tcPr>
            <w:tcW w:w="840" w:type="pct"/>
            <w:tcBorders>
              <w:top w:val="single" w:sz="4" w:space="0" w:color="000000"/>
              <w:left w:val="single" w:sz="4" w:space="0" w:color="000000"/>
              <w:bottom w:val="single" w:sz="4" w:space="0" w:color="000000"/>
              <w:right w:val="single" w:sz="4" w:space="0" w:color="000000"/>
            </w:tcBorders>
            <w:vAlign w:val="center"/>
            <w:hideMark/>
          </w:tcPr>
          <w:p w14:paraId="66B37F01" w14:textId="77777777" w:rsidR="00DB1C4E" w:rsidRPr="003C361F" w:rsidRDefault="00DB1C4E">
            <w:pPr>
              <w:pStyle w:val="TableParagraph"/>
              <w:jc w:val="center"/>
              <w:rPr>
                <w:sz w:val="22"/>
                <w:szCs w:val="22"/>
                <w:lang w:val="ru-RU" w:eastAsia="ru-RU"/>
              </w:rPr>
            </w:pPr>
            <w:r w:rsidRPr="003C361F">
              <w:rPr>
                <w:sz w:val="22"/>
                <w:szCs w:val="22"/>
                <w:lang w:val="ru-RU" w:eastAsia="ru-RU"/>
              </w:rPr>
              <w:t>1%</w:t>
            </w:r>
          </w:p>
        </w:tc>
        <w:tc>
          <w:tcPr>
            <w:tcW w:w="879" w:type="pct"/>
            <w:tcBorders>
              <w:top w:val="single" w:sz="4" w:space="0" w:color="000000"/>
              <w:left w:val="single" w:sz="4" w:space="0" w:color="000000"/>
              <w:bottom w:val="single" w:sz="4" w:space="0" w:color="000000"/>
              <w:right w:val="single" w:sz="4" w:space="0" w:color="000000"/>
            </w:tcBorders>
            <w:vAlign w:val="center"/>
            <w:hideMark/>
          </w:tcPr>
          <w:p w14:paraId="0F1C3A6F" w14:textId="77777777" w:rsidR="00DB1C4E" w:rsidRPr="003C361F" w:rsidRDefault="00DB1C4E">
            <w:pPr>
              <w:pStyle w:val="TableParagraph"/>
              <w:jc w:val="center"/>
              <w:rPr>
                <w:sz w:val="22"/>
                <w:szCs w:val="22"/>
                <w:lang w:val="ru-RU" w:eastAsia="ru-RU"/>
              </w:rPr>
            </w:pPr>
            <w:r w:rsidRPr="003C361F">
              <w:rPr>
                <w:sz w:val="22"/>
                <w:szCs w:val="22"/>
                <w:lang w:val="ru-RU" w:eastAsia="ru-RU"/>
              </w:rPr>
              <w:t>1%</w:t>
            </w:r>
          </w:p>
        </w:tc>
      </w:tr>
      <w:tr w:rsidR="00DB1C4E" w:rsidRPr="003C361F" w14:paraId="36030D75" w14:textId="77777777" w:rsidTr="00132A6A">
        <w:trPr>
          <w:cantSplit/>
          <w:trHeight w:val="680"/>
        </w:trPr>
        <w:tc>
          <w:tcPr>
            <w:tcW w:w="1523" w:type="pct"/>
            <w:tcBorders>
              <w:top w:val="single" w:sz="4" w:space="0" w:color="000000"/>
              <w:left w:val="single" w:sz="4" w:space="0" w:color="000000"/>
              <w:bottom w:val="single" w:sz="4" w:space="0" w:color="000000"/>
              <w:right w:val="single" w:sz="4" w:space="0" w:color="000000"/>
            </w:tcBorders>
            <w:hideMark/>
          </w:tcPr>
          <w:p w14:paraId="49F9CECF" w14:textId="77777777" w:rsidR="00DB1C4E" w:rsidRPr="003C361F" w:rsidRDefault="00DB1C4E">
            <w:pPr>
              <w:pStyle w:val="TableParagraph"/>
              <w:rPr>
                <w:b/>
                <w:sz w:val="22"/>
                <w:szCs w:val="22"/>
                <w:lang w:val="ru-RU" w:eastAsia="ru-RU"/>
              </w:rPr>
            </w:pPr>
            <w:r w:rsidRPr="003C361F">
              <w:rPr>
                <w:b/>
                <w:sz w:val="22"/>
                <w:szCs w:val="22"/>
                <w:lang w:val="ru-RU" w:eastAsia="ru-RU"/>
              </w:rPr>
              <w:t xml:space="preserve">Andel (%) patienter med </w:t>
            </w:r>
          </w:p>
          <w:p w14:paraId="0F7FAA7A" w14:textId="77777777" w:rsidR="00DB1C4E" w:rsidRPr="003C361F" w:rsidRDefault="00DB1C4E">
            <w:pPr>
              <w:pStyle w:val="TableParagraph"/>
              <w:rPr>
                <w:b/>
                <w:sz w:val="22"/>
                <w:szCs w:val="22"/>
                <w:lang w:val="ru-RU" w:eastAsia="ru-RU"/>
              </w:rPr>
            </w:pPr>
            <w:r w:rsidRPr="003C361F">
              <w:rPr>
                <w:b/>
                <w:sz w:val="22"/>
                <w:szCs w:val="22"/>
                <w:lang w:val="ru-RU" w:eastAsia="ru-RU"/>
              </w:rPr>
              <w:t>hiv 1-rna &lt; 50 kopier/ml pr. undergruppe</w:t>
            </w:r>
          </w:p>
        </w:tc>
        <w:tc>
          <w:tcPr>
            <w:tcW w:w="917" w:type="pct"/>
            <w:tcBorders>
              <w:top w:val="single" w:sz="4" w:space="0" w:color="000000"/>
              <w:left w:val="single" w:sz="4" w:space="0" w:color="000000"/>
              <w:bottom w:val="single" w:sz="4" w:space="0" w:color="000000"/>
              <w:right w:val="single" w:sz="4" w:space="0" w:color="000000"/>
            </w:tcBorders>
            <w:vAlign w:val="center"/>
          </w:tcPr>
          <w:p w14:paraId="2FBBC48A" w14:textId="77777777" w:rsidR="00DB1C4E" w:rsidRPr="003C361F" w:rsidRDefault="00DB1C4E">
            <w:pPr>
              <w:pStyle w:val="TableParagraph"/>
              <w:jc w:val="center"/>
              <w:rPr>
                <w:sz w:val="22"/>
                <w:szCs w:val="22"/>
                <w:lang w:val="ru-RU" w:eastAsia="ru-RU"/>
              </w:rPr>
            </w:pPr>
          </w:p>
        </w:tc>
        <w:tc>
          <w:tcPr>
            <w:tcW w:w="841" w:type="pct"/>
            <w:tcBorders>
              <w:top w:val="single" w:sz="4" w:space="0" w:color="000000"/>
              <w:left w:val="single" w:sz="4" w:space="0" w:color="000000"/>
              <w:bottom w:val="single" w:sz="4" w:space="0" w:color="000000"/>
              <w:right w:val="single" w:sz="4" w:space="0" w:color="000000"/>
            </w:tcBorders>
            <w:vAlign w:val="center"/>
          </w:tcPr>
          <w:p w14:paraId="516FC124" w14:textId="77777777" w:rsidR="00DB1C4E" w:rsidRPr="003C361F" w:rsidRDefault="00DB1C4E">
            <w:pPr>
              <w:pStyle w:val="TableParagraph"/>
              <w:jc w:val="center"/>
              <w:rPr>
                <w:sz w:val="22"/>
                <w:szCs w:val="22"/>
                <w:lang w:val="ru-RU" w:eastAsia="ru-RU"/>
              </w:rPr>
            </w:pPr>
          </w:p>
        </w:tc>
        <w:tc>
          <w:tcPr>
            <w:tcW w:w="840" w:type="pct"/>
            <w:tcBorders>
              <w:top w:val="single" w:sz="4" w:space="0" w:color="000000"/>
              <w:left w:val="single" w:sz="4" w:space="0" w:color="000000"/>
              <w:bottom w:val="single" w:sz="4" w:space="0" w:color="000000"/>
              <w:right w:val="single" w:sz="4" w:space="0" w:color="000000"/>
            </w:tcBorders>
            <w:vAlign w:val="center"/>
          </w:tcPr>
          <w:p w14:paraId="47516835" w14:textId="77777777" w:rsidR="00DB1C4E" w:rsidRPr="003C361F" w:rsidRDefault="00DB1C4E">
            <w:pPr>
              <w:pStyle w:val="TableParagraph"/>
              <w:jc w:val="center"/>
              <w:rPr>
                <w:sz w:val="22"/>
                <w:szCs w:val="22"/>
                <w:lang w:val="ru-RU" w:eastAsia="ru-RU"/>
              </w:rPr>
            </w:pPr>
          </w:p>
        </w:tc>
        <w:tc>
          <w:tcPr>
            <w:tcW w:w="879" w:type="pct"/>
            <w:tcBorders>
              <w:top w:val="single" w:sz="4" w:space="0" w:color="000000"/>
              <w:left w:val="single" w:sz="4" w:space="0" w:color="000000"/>
              <w:bottom w:val="single" w:sz="4" w:space="0" w:color="000000"/>
              <w:right w:val="single" w:sz="4" w:space="0" w:color="000000"/>
            </w:tcBorders>
            <w:vAlign w:val="center"/>
          </w:tcPr>
          <w:p w14:paraId="191782D6" w14:textId="77777777" w:rsidR="00DB1C4E" w:rsidRPr="003C361F" w:rsidRDefault="00DB1C4E">
            <w:pPr>
              <w:pStyle w:val="TableParagraph"/>
              <w:jc w:val="center"/>
              <w:rPr>
                <w:sz w:val="22"/>
                <w:szCs w:val="22"/>
                <w:lang w:val="ru-RU" w:eastAsia="ru-RU"/>
              </w:rPr>
            </w:pPr>
          </w:p>
        </w:tc>
      </w:tr>
      <w:tr w:rsidR="00DB1C4E" w:rsidRPr="003C361F" w14:paraId="7D7612E8" w14:textId="77777777" w:rsidTr="00132A6A">
        <w:trPr>
          <w:cantSplit/>
          <w:trHeight w:val="680"/>
        </w:trPr>
        <w:tc>
          <w:tcPr>
            <w:tcW w:w="1523" w:type="pct"/>
            <w:tcBorders>
              <w:top w:val="single" w:sz="4" w:space="0" w:color="000000"/>
              <w:left w:val="single" w:sz="4" w:space="0" w:color="000000"/>
              <w:bottom w:val="single" w:sz="4" w:space="0" w:color="000000"/>
              <w:right w:val="single" w:sz="4" w:space="0" w:color="000000"/>
            </w:tcBorders>
            <w:hideMark/>
          </w:tcPr>
          <w:p w14:paraId="2E280072" w14:textId="77777777" w:rsidR="00DB1C4E" w:rsidRPr="003C361F" w:rsidRDefault="00DB1C4E">
            <w:pPr>
              <w:pStyle w:val="TableParagraph"/>
              <w:rPr>
                <w:bCs/>
                <w:sz w:val="22"/>
                <w:szCs w:val="22"/>
                <w:lang w:val="ru-RU" w:eastAsia="ru-RU"/>
              </w:rPr>
            </w:pPr>
            <w:r w:rsidRPr="003C361F">
              <w:rPr>
                <w:b/>
                <w:sz w:val="22"/>
                <w:szCs w:val="22"/>
                <w:lang w:val="ru-RU" w:eastAsia="ru-RU"/>
              </w:rPr>
              <w:t>Alder</w:t>
            </w:r>
          </w:p>
          <w:p w14:paraId="4FA5DF11" w14:textId="77777777" w:rsidR="00DB1C4E" w:rsidRPr="003C361F" w:rsidRDefault="00DB1C4E">
            <w:pPr>
              <w:pStyle w:val="TableParagraph"/>
              <w:ind w:left="184"/>
              <w:rPr>
                <w:sz w:val="22"/>
                <w:szCs w:val="22"/>
                <w:lang w:val="ru-RU" w:eastAsia="ru-RU"/>
              </w:rPr>
            </w:pPr>
            <w:r w:rsidRPr="003C361F">
              <w:rPr>
                <w:sz w:val="22"/>
                <w:szCs w:val="22"/>
                <w:lang w:val="ru-RU" w:eastAsia="ru-RU"/>
              </w:rPr>
              <w:t>&lt; 50 år</w:t>
            </w:r>
          </w:p>
          <w:p w14:paraId="296B7E39" w14:textId="77777777" w:rsidR="00DB1C4E" w:rsidRPr="003C361F" w:rsidRDefault="00DB1C4E">
            <w:pPr>
              <w:pStyle w:val="TableParagraph"/>
              <w:ind w:left="184"/>
              <w:rPr>
                <w:sz w:val="22"/>
                <w:szCs w:val="22"/>
                <w:lang w:val="ru-RU" w:eastAsia="ru-RU"/>
              </w:rPr>
            </w:pPr>
            <w:r w:rsidRPr="003C361F">
              <w:rPr>
                <w:sz w:val="22"/>
                <w:szCs w:val="22"/>
                <w:lang w:val="ru-RU" w:eastAsia="ru-RU"/>
              </w:rPr>
              <w:t>≥ 50 år</w:t>
            </w:r>
          </w:p>
        </w:tc>
        <w:tc>
          <w:tcPr>
            <w:tcW w:w="917" w:type="pct"/>
            <w:tcBorders>
              <w:top w:val="single" w:sz="4" w:space="0" w:color="000000"/>
              <w:left w:val="single" w:sz="4" w:space="0" w:color="000000"/>
              <w:bottom w:val="single" w:sz="4" w:space="0" w:color="000000"/>
              <w:right w:val="single" w:sz="4" w:space="0" w:color="000000"/>
            </w:tcBorders>
            <w:vAlign w:val="center"/>
          </w:tcPr>
          <w:p w14:paraId="1BD60B87" w14:textId="77777777" w:rsidR="00DB1C4E" w:rsidRPr="003C361F" w:rsidRDefault="00DB1C4E">
            <w:pPr>
              <w:pStyle w:val="TableParagraph"/>
              <w:jc w:val="center"/>
              <w:rPr>
                <w:bCs/>
                <w:sz w:val="22"/>
                <w:szCs w:val="22"/>
                <w:lang w:val="ru-RU" w:eastAsia="ru-RU"/>
              </w:rPr>
            </w:pPr>
          </w:p>
          <w:p w14:paraId="7D850412" w14:textId="77777777" w:rsidR="00DB1C4E" w:rsidRPr="003C361F" w:rsidRDefault="00DB1C4E">
            <w:pPr>
              <w:pStyle w:val="TableParagraph"/>
              <w:jc w:val="center"/>
              <w:rPr>
                <w:sz w:val="22"/>
                <w:szCs w:val="22"/>
                <w:lang w:val="ru-RU" w:eastAsia="ru-RU"/>
              </w:rPr>
            </w:pPr>
            <w:r w:rsidRPr="003C361F">
              <w:rPr>
                <w:sz w:val="22"/>
                <w:szCs w:val="22"/>
                <w:lang w:val="ru-RU" w:eastAsia="ru-RU"/>
              </w:rPr>
              <w:t>716/777 (92%)</w:t>
            </w:r>
          </w:p>
          <w:p w14:paraId="72FA120F" w14:textId="77777777" w:rsidR="00DB1C4E" w:rsidRPr="003C361F" w:rsidRDefault="00DB1C4E">
            <w:pPr>
              <w:pStyle w:val="TableParagraph"/>
              <w:jc w:val="center"/>
              <w:rPr>
                <w:sz w:val="22"/>
                <w:szCs w:val="22"/>
                <w:lang w:val="ru-RU" w:eastAsia="ru-RU"/>
              </w:rPr>
            </w:pPr>
            <w:r w:rsidRPr="003C361F">
              <w:rPr>
                <w:sz w:val="22"/>
                <w:szCs w:val="22"/>
                <w:lang w:val="ru-RU" w:eastAsia="ru-RU"/>
              </w:rPr>
              <w:t>84/89 (94%)</w:t>
            </w:r>
          </w:p>
        </w:tc>
        <w:tc>
          <w:tcPr>
            <w:tcW w:w="841" w:type="pct"/>
            <w:tcBorders>
              <w:top w:val="single" w:sz="4" w:space="0" w:color="000000"/>
              <w:left w:val="single" w:sz="4" w:space="0" w:color="000000"/>
              <w:bottom w:val="single" w:sz="4" w:space="0" w:color="000000"/>
              <w:right w:val="single" w:sz="4" w:space="0" w:color="000000"/>
            </w:tcBorders>
            <w:vAlign w:val="center"/>
          </w:tcPr>
          <w:p w14:paraId="7E93BC76" w14:textId="77777777" w:rsidR="00DB1C4E" w:rsidRPr="003C361F" w:rsidRDefault="00DB1C4E">
            <w:pPr>
              <w:pStyle w:val="TableParagraph"/>
              <w:jc w:val="center"/>
              <w:rPr>
                <w:bCs/>
                <w:sz w:val="22"/>
                <w:szCs w:val="22"/>
                <w:lang w:val="ru-RU" w:eastAsia="ru-RU"/>
              </w:rPr>
            </w:pPr>
          </w:p>
          <w:p w14:paraId="04B1F42E" w14:textId="77777777" w:rsidR="00DB1C4E" w:rsidRPr="003C361F" w:rsidRDefault="00DB1C4E">
            <w:pPr>
              <w:pStyle w:val="TableParagraph"/>
              <w:jc w:val="center"/>
              <w:rPr>
                <w:sz w:val="22"/>
                <w:szCs w:val="22"/>
                <w:lang w:val="ru-RU" w:eastAsia="ru-RU"/>
              </w:rPr>
            </w:pPr>
            <w:r w:rsidRPr="003C361F">
              <w:rPr>
                <w:sz w:val="22"/>
                <w:szCs w:val="22"/>
                <w:lang w:val="ru-RU" w:eastAsia="ru-RU"/>
              </w:rPr>
              <w:t>680/753 (90%)</w:t>
            </w:r>
          </w:p>
          <w:p w14:paraId="39F13F2F" w14:textId="77777777" w:rsidR="00DB1C4E" w:rsidRPr="003C361F" w:rsidRDefault="00DB1C4E">
            <w:pPr>
              <w:pStyle w:val="TableParagraph"/>
              <w:jc w:val="center"/>
              <w:rPr>
                <w:sz w:val="22"/>
                <w:szCs w:val="22"/>
                <w:lang w:val="ru-RU" w:eastAsia="ru-RU"/>
              </w:rPr>
            </w:pPr>
            <w:r w:rsidRPr="003C361F">
              <w:rPr>
                <w:sz w:val="22"/>
                <w:szCs w:val="22"/>
                <w:lang w:val="ru-RU" w:eastAsia="ru-RU"/>
              </w:rPr>
              <w:t>104/114 (91%)</w:t>
            </w:r>
          </w:p>
        </w:tc>
        <w:tc>
          <w:tcPr>
            <w:tcW w:w="840" w:type="pct"/>
            <w:tcBorders>
              <w:top w:val="single" w:sz="4" w:space="0" w:color="000000"/>
              <w:left w:val="single" w:sz="4" w:space="0" w:color="000000"/>
              <w:bottom w:val="single" w:sz="4" w:space="0" w:color="000000"/>
              <w:right w:val="single" w:sz="4" w:space="0" w:color="000000"/>
            </w:tcBorders>
            <w:vAlign w:val="center"/>
          </w:tcPr>
          <w:p w14:paraId="7711C9EF" w14:textId="77777777" w:rsidR="00DB1C4E" w:rsidRPr="003C361F" w:rsidRDefault="00DB1C4E">
            <w:pPr>
              <w:pStyle w:val="TableParagraph"/>
              <w:jc w:val="center"/>
              <w:rPr>
                <w:bCs/>
                <w:sz w:val="22"/>
                <w:szCs w:val="22"/>
                <w:lang w:val="ru-RU" w:eastAsia="ru-RU"/>
              </w:rPr>
            </w:pPr>
          </w:p>
          <w:p w14:paraId="007CCA31" w14:textId="77777777" w:rsidR="00DB1C4E" w:rsidRPr="003C361F" w:rsidRDefault="00DB1C4E">
            <w:pPr>
              <w:pStyle w:val="TableParagraph"/>
              <w:jc w:val="center"/>
              <w:rPr>
                <w:sz w:val="22"/>
                <w:szCs w:val="22"/>
                <w:lang w:val="ru-RU" w:eastAsia="ru-RU"/>
              </w:rPr>
            </w:pPr>
            <w:r w:rsidRPr="003C361F">
              <w:rPr>
                <w:sz w:val="22"/>
                <w:szCs w:val="22"/>
                <w:lang w:val="ru-RU" w:eastAsia="ru-RU"/>
              </w:rPr>
              <w:t>647/777 (83%)</w:t>
            </w:r>
          </w:p>
          <w:p w14:paraId="4E6570B9" w14:textId="77777777" w:rsidR="00DB1C4E" w:rsidRPr="003C361F" w:rsidRDefault="00DB1C4E">
            <w:pPr>
              <w:pStyle w:val="TableParagraph"/>
              <w:jc w:val="center"/>
              <w:rPr>
                <w:sz w:val="22"/>
                <w:szCs w:val="22"/>
                <w:lang w:val="ru-RU" w:eastAsia="ru-RU"/>
              </w:rPr>
            </w:pPr>
            <w:r w:rsidRPr="003C361F">
              <w:rPr>
                <w:sz w:val="22"/>
                <w:szCs w:val="22"/>
                <w:lang w:val="ru-RU" w:eastAsia="ru-RU"/>
              </w:rPr>
              <w:t>82/89 (92%)</w:t>
            </w:r>
          </w:p>
        </w:tc>
        <w:tc>
          <w:tcPr>
            <w:tcW w:w="879" w:type="pct"/>
            <w:tcBorders>
              <w:top w:val="single" w:sz="4" w:space="0" w:color="000000"/>
              <w:left w:val="single" w:sz="4" w:space="0" w:color="000000"/>
              <w:bottom w:val="single" w:sz="4" w:space="0" w:color="000000"/>
              <w:right w:val="single" w:sz="4" w:space="0" w:color="000000"/>
            </w:tcBorders>
            <w:vAlign w:val="center"/>
          </w:tcPr>
          <w:p w14:paraId="24A24885" w14:textId="77777777" w:rsidR="00DB1C4E" w:rsidRPr="003C361F" w:rsidRDefault="00DB1C4E">
            <w:pPr>
              <w:pStyle w:val="TableParagraph"/>
              <w:jc w:val="center"/>
              <w:rPr>
                <w:bCs/>
                <w:sz w:val="22"/>
                <w:szCs w:val="22"/>
                <w:lang w:val="ru-RU" w:eastAsia="ru-RU"/>
              </w:rPr>
            </w:pPr>
          </w:p>
          <w:p w14:paraId="00C4D70F" w14:textId="77777777" w:rsidR="00DB1C4E" w:rsidRPr="003C361F" w:rsidRDefault="00DB1C4E">
            <w:pPr>
              <w:pStyle w:val="TableParagraph"/>
              <w:jc w:val="center"/>
              <w:rPr>
                <w:sz w:val="22"/>
                <w:szCs w:val="22"/>
                <w:lang w:val="ru-RU" w:eastAsia="ru-RU"/>
              </w:rPr>
            </w:pPr>
            <w:r w:rsidRPr="003C361F">
              <w:rPr>
                <w:sz w:val="22"/>
                <w:szCs w:val="22"/>
                <w:lang w:val="ru-RU" w:eastAsia="ru-RU"/>
              </w:rPr>
              <w:t>602/753 (80%)</w:t>
            </w:r>
          </w:p>
          <w:p w14:paraId="1A7B0B88" w14:textId="77777777" w:rsidR="00DB1C4E" w:rsidRPr="003C361F" w:rsidRDefault="00DB1C4E">
            <w:pPr>
              <w:pStyle w:val="TableParagraph"/>
              <w:jc w:val="center"/>
              <w:rPr>
                <w:sz w:val="22"/>
                <w:szCs w:val="22"/>
                <w:lang w:val="ru-RU" w:eastAsia="ru-RU"/>
              </w:rPr>
            </w:pPr>
            <w:r w:rsidRPr="003C361F">
              <w:rPr>
                <w:sz w:val="22"/>
                <w:szCs w:val="22"/>
                <w:lang w:val="ru-RU" w:eastAsia="ru-RU"/>
              </w:rPr>
              <w:t>92/114 (81%)</w:t>
            </w:r>
          </w:p>
        </w:tc>
      </w:tr>
      <w:tr w:rsidR="00DB1C4E" w:rsidRPr="003C361F" w14:paraId="576FAE8D" w14:textId="77777777" w:rsidTr="00132A6A">
        <w:trPr>
          <w:cantSplit/>
          <w:trHeight w:val="680"/>
        </w:trPr>
        <w:tc>
          <w:tcPr>
            <w:tcW w:w="1523" w:type="pct"/>
            <w:tcBorders>
              <w:top w:val="single" w:sz="4" w:space="0" w:color="000000"/>
              <w:left w:val="single" w:sz="4" w:space="0" w:color="000000"/>
              <w:bottom w:val="single" w:sz="4" w:space="0" w:color="000000"/>
              <w:right w:val="single" w:sz="4" w:space="0" w:color="000000"/>
            </w:tcBorders>
            <w:hideMark/>
          </w:tcPr>
          <w:p w14:paraId="35C043F5" w14:textId="77777777" w:rsidR="00DB1C4E" w:rsidRPr="003C361F" w:rsidRDefault="00DB1C4E">
            <w:pPr>
              <w:pStyle w:val="TableParagraph"/>
              <w:rPr>
                <w:b/>
                <w:sz w:val="22"/>
                <w:szCs w:val="22"/>
                <w:lang w:val="ru-RU" w:eastAsia="ru-RU"/>
              </w:rPr>
            </w:pPr>
            <w:r w:rsidRPr="003C361F">
              <w:rPr>
                <w:b/>
                <w:sz w:val="22"/>
                <w:szCs w:val="22"/>
                <w:lang w:val="ru-RU" w:eastAsia="ru-RU"/>
              </w:rPr>
              <w:lastRenderedPageBreak/>
              <w:t>Køn</w:t>
            </w:r>
          </w:p>
          <w:p w14:paraId="2BFBDF01" w14:textId="77777777" w:rsidR="00DB1C4E" w:rsidRPr="003C361F" w:rsidRDefault="00DB1C4E">
            <w:pPr>
              <w:pStyle w:val="TableParagraph"/>
              <w:ind w:left="184"/>
              <w:rPr>
                <w:sz w:val="22"/>
                <w:szCs w:val="22"/>
                <w:lang w:val="ru-RU" w:eastAsia="ru-RU"/>
              </w:rPr>
            </w:pPr>
            <w:r w:rsidRPr="003C361F">
              <w:rPr>
                <w:sz w:val="22"/>
                <w:szCs w:val="22"/>
                <w:lang w:val="ru-RU" w:eastAsia="ru-RU"/>
              </w:rPr>
              <w:t>Mand</w:t>
            </w:r>
          </w:p>
          <w:p w14:paraId="78A6EA66" w14:textId="77777777" w:rsidR="00DB1C4E" w:rsidRPr="003C361F" w:rsidRDefault="00DB1C4E">
            <w:pPr>
              <w:pStyle w:val="TableParagraph"/>
              <w:ind w:left="184"/>
              <w:rPr>
                <w:sz w:val="22"/>
                <w:szCs w:val="22"/>
                <w:lang w:val="ru-RU" w:eastAsia="ru-RU"/>
              </w:rPr>
            </w:pPr>
            <w:r w:rsidRPr="003C361F">
              <w:rPr>
                <w:sz w:val="22"/>
                <w:szCs w:val="22"/>
                <w:lang w:val="ru-RU" w:eastAsia="ru-RU"/>
              </w:rPr>
              <w:t>Kvinde</w:t>
            </w:r>
          </w:p>
        </w:tc>
        <w:tc>
          <w:tcPr>
            <w:tcW w:w="917" w:type="pct"/>
            <w:tcBorders>
              <w:top w:val="single" w:sz="4" w:space="0" w:color="000000"/>
              <w:left w:val="single" w:sz="4" w:space="0" w:color="000000"/>
              <w:bottom w:val="single" w:sz="4" w:space="0" w:color="000000"/>
              <w:right w:val="single" w:sz="4" w:space="0" w:color="000000"/>
            </w:tcBorders>
            <w:vAlign w:val="center"/>
          </w:tcPr>
          <w:p w14:paraId="367B3E5F" w14:textId="77777777" w:rsidR="00DB1C4E" w:rsidRPr="003C361F" w:rsidRDefault="00DB1C4E">
            <w:pPr>
              <w:pStyle w:val="TableParagraph"/>
              <w:jc w:val="center"/>
              <w:rPr>
                <w:bCs/>
                <w:sz w:val="22"/>
                <w:szCs w:val="22"/>
                <w:lang w:val="ru-RU" w:eastAsia="ru-RU"/>
              </w:rPr>
            </w:pPr>
          </w:p>
          <w:p w14:paraId="31148AF8" w14:textId="77777777" w:rsidR="00DB1C4E" w:rsidRPr="003C361F" w:rsidRDefault="00DB1C4E">
            <w:pPr>
              <w:pStyle w:val="TableParagraph"/>
              <w:jc w:val="center"/>
              <w:rPr>
                <w:sz w:val="22"/>
                <w:szCs w:val="22"/>
                <w:lang w:val="ru-RU" w:eastAsia="ru-RU"/>
              </w:rPr>
            </w:pPr>
            <w:r w:rsidRPr="003C361F">
              <w:rPr>
                <w:sz w:val="22"/>
                <w:szCs w:val="22"/>
                <w:lang w:val="ru-RU" w:eastAsia="ru-RU"/>
              </w:rPr>
              <w:t>674/733 (92%)</w:t>
            </w:r>
          </w:p>
          <w:p w14:paraId="7C24185E" w14:textId="77777777" w:rsidR="00DB1C4E" w:rsidRPr="003C361F" w:rsidRDefault="00DB1C4E">
            <w:pPr>
              <w:pStyle w:val="TableParagraph"/>
              <w:jc w:val="center"/>
              <w:rPr>
                <w:sz w:val="22"/>
                <w:szCs w:val="22"/>
                <w:lang w:val="ru-RU" w:eastAsia="ru-RU"/>
              </w:rPr>
            </w:pPr>
            <w:r w:rsidRPr="003C361F">
              <w:rPr>
                <w:sz w:val="22"/>
                <w:szCs w:val="22"/>
                <w:lang w:val="ru-RU" w:eastAsia="ru-RU"/>
              </w:rPr>
              <w:t>126/133 (95%)</w:t>
            </w:r>
          </w:p>
        </w:tc>
        <w:tc>
          <w:tcPr>
            <w:tcW w:w="841" w:type="pct"/>
            <w:tcBorders>
              <w:top w:val="single" w:sz="4" w:space="0" w:color="000000"/>
              <w:left w:val="single" w:sz="4" w:space="0" w:color="000000"/>
              <w:bottom w:val="single" w:sz="4" w:space="0" w:color="000000"/>
              <w:right w:val="single" w:sz="4" w:space="0" w:color="000000"/>
            </w:tcBorders>
            <w:vAlign w:val="center"/>
          </w:tcPr>
          <w:p w14:paraId="0FC7CAE8" w14:textId="77777777" w:rsidR="00DB1C4E" w:rsidRPr="003C361F" w:rsidRDefault="00DB1C4E">
            <w:pPr>
              <w:pStyle w:val="TableParagraph"/>
              <w:jc w:val="center"/>
              <w:rPr>
                <w:bCs/>
                <w:sz w:val="22"/>
                <w:szCs w:val="22"/>
                <w:lang w:val="ru-RU" w:eastAsia="ru-RU"/>
              </w:rPr>
            </w:pPr>
          </w:p>
          <w:p w14:paraId="7EBFEA63" w14:textId="77777777" w:rsidR="00DB1C4E" w:rsidRPr="003C361F" w:rsidRDefault="00DB1C4E">
            <w:pPr>
              <w:pStyle w:val="TableParagraph"/>
              <w:jc w:val="center"/>
              <w:rPr>
                <w:sz w:val="22"/>
                <w:szCs w:val="22"/>
                <w:lang w:val="ru-RU" w:eastAsia="ru-RU"/>
              </w:rPr>
            </w:pPr>
            <w:r w:rsidRPr="003C361F">
              <w:rPr>
                <w:sz w:val="22"/>
                <w:szCs w:val="22"/>
                <w:lang w:val="ru-RU" w:eastAsia="ru-RU"/>
              </w:rPr>
              <w:t>673/740 (91%)</w:t>
            </w:r>
          </w:p>
          <w:p w14:paraId="238FDC71" w14:textId="77777777" w:rsidR="00DB1C4E" w:rsidRPr="003C361F" w:rsidRDefault="00DB1C4E">
            <w:pPr>
              <w:pStyle w:val="TableParagraph"/>
              <w:jc w:val="center"/>
              <w:rPr>
                <w:sz w:val="22"/>
                <w:szCs w:val="22"/>
                <w:lang w:val="ru-RU" w:eastAsia="ru-RU"/>
              </w:rPr>
            </w:pPr>
            <w:r w:rsidRPr="003C361F">
              <w:rPr>
                <w:sz w:val="22"/>
                <w:szCs w:val="22"/>
                <w:lang w:val="ru-RU" w:eastAsia="ru-RU"/>
              </w:rPr>
              <w:t>111/127 (87%)</w:t>
            </w:r>
          </w:p>
        </w:tc>
        <w:tc>
          <w:tcPr>
            <w:tcW w:w="840" w:type="pct"/>
            <w:tcBorders>
              <w:top w:val="single" w:sz="4" w:space="0" w:color="000000"/>
              <w:left w:val="single" w:sz="4" w:space="0" w:color="000000"/>
              <w:bottom w:val="single" w:sz="4" w:space="0" w:color="000000"/>
              <w:right w:val="single" w:sz="4" w:space="0" w:color="000000"/>
            </w:tcBorders>
            <w:vAlign w:val="center"/>
          </w:tcPr>
          <w:p w14:paraId="610893EB" w14:textId="77777777" w:rsidR="00DB1C4E" w:rsidRPr="003C361F" w:rsidRDefault="00DB1C4E">
            <w:pPr>
              <w:pStyle w:val="TableParagraph"/>
              <w:jc w:val="center"/>
              <w:rPr>
                <w:bCs/>
                <w:sz w:val="22"/>
                <w:szCs w:val="22"/>
                <w:lang w:val="ru-RU" w:eastAsia="ru-RU"/>
              </w:rPr>
            </w:pPr>
          </w:p>
          <w:p w14:paraId="211F9968" w14:textId="77777777" w:rsidR="00DB1C4E" w:rsidRPr="003C361F" w:rsidRDefault="00DB1C4E">
            <w:pPr>
              <w:pStyle w:val="TableParagraph"/>
              <w:jc w:val="center"/>
              <w:rPr>
                <w:sz w:val="22"/>
                <w:szCs w:val="22"/>
                <w:lang w:val="ru-RU" w:eastAsia="ru-RU"/>
              </w:rPr>
            </w:pPr>
            <w:r w:rsidRPr="003C361F">
              <w:rPr>
                <w:sz w:val="22"/>
                <w:szCs w:val="22"/>
                <w:lang w:val="ru-RU" w:eastAsia="ru-RU"/>
              </w:rPr>
              <w:t>616/733 (84%)</w:t>
            </w:r>
          </w:p>
          <w:p w14:paraId="544CE7FF" w14:textId="77777777" w:rsidR="00DB1C4E" w:rsidRPr="003C361F" w:rsidRDefault="00DB1C4E">
            <w:pPr>
              <w:pStyle w:val="TableParagraph"/>
              <w:jc w:val="center"/>
              <w:rPr>
                <w:sz w:val="22"/>
                <w:szCs w:val="22"/>
                <w:lang w:val="ru-RU" w:eastAsia="ru-RU"/>
              </w:rPr>
            </w:pPr>
            <w:r w:rsidRPr="003C361F">
              <w:rPr>
                <w:sz w:val="22"/>
                <w:szCs w:val="22"/>
                <w:lang w:val="ru-RU" w:eastAsia="ru-RU"/>
              </w:rPr>
              <w:t>113/133 (85%)</w:t>
            </w:r>
          </w:p>
        </w:tc>
        <w:tc>
          <w:tcPr>
            <w:tcW w:w="879" w:type="pct"/>
            <w:tcBorders>
              <w:top w:val="single" w:sz="4" w:space="0" w:color="000000"/>
              <w:left w:val="single" w:sz="4" w:space="0" w:color="000000"/>
              <w:bottom w:val="single" w:sz="4" w:space="0" w:color="000000"/>
              <w:right w:val="single" w:sz="4" w:space="0" w:color="000000"/>
            </w:tcBorders>
            <w:vAlign w:val="center"/>
          </w:tcPr>
          <w:p w14:paraId="256D0AD7" w14:textId="77777777" w:rsidR="00DB1C4E" w:rsidRPr="003C361F" w:rsidRDefault="00DB1C4E">
            <w:pPr>
              <w:pStyle w:val="TableParagraph"/>
              <w:jc w:val="center"/>
              <w:rPr>
                <w:bCs/>
                <w:sz w:val="22"/>
                <w:szCs w:val="22"/>
                <w:lang w:val="ru-RU" w:eastAsia="ru-RU"/>
              </w:rPr>
            </w:pPr>
          </w:p>
          <w:p w14:paraId="63458E7B" w14:textId="77777777" w:rsidR="00DB1C4E" w:rsidRPr="003C361F" w:rsidRDefault="00DB1C4E">
            <w:pPr>
              <w:pStyle w:val="TableParagraph"/>
              <w:jc w:val="center"/>
              <w:rPr>
                <w:sz w:val="22"/>
                <w:szCs w:val="22"/>
                <w:lang w:val="ru-RU" w:eastAsia="ru-RU"/>
              </w:rPr>
            </w:pPr>
            <w:r w:rsidRPr="003C361F">
              <w:rPr>
                <w:sz w:val="22"/>
                <w:szCs w:val="22"/>
                <w:lang w:val="ru-RU" w:eastAsia="ru-RU"/>
              </w:rPr>
              <w:t>603/740 (81%)</w:t>
            </w:r>
          </w:p>
          <w:p w14:paraId="7E77DD3F" w14:textId="77777777" w:rsidR="00DB1C4E" w:rsidRPr="003C361F" w:rsidRDefault="00DB1C4E">
            <w:pPr>
              <w:pStyle w:val="TableParagraph"/>
              <w:jc w:val="center"/>
              <w:rPr>
                <w:sz w:val="22"/>
                <w:szCs w:val="22"/>
                <w:lang w:val="ru-RU" w:eastAsia="ru-RU"/>
              </w:rPr>
            </w:pPr>
            <w:r w:rsidRPr="003C361F">
              <w:rPr>
                <w:sz w:val="22"/>
                <w:szCs w:val="22"/>
                <w:lang w:val="ru-RU" w:eastAsia="ru-RU"/>
              </w:rPr>
              <w:t>91/127 (72%)</w:t>
            </w:r>
          </w:p>
        </w:tc>
      </w:tr>
      <w:tr w:rsidR="00DB1C4E" w:rsidRPr="003C361F" w14:paraId="098AB113" w14:textId="77777777" w:rsidTr="00132A6A">
        <w:trPr>
          <w:cantSplit/>
          <w:trHeight w:val="680"/>
        </w:trPr>
        <w:tc>
          <w:tcPr>
            <w:tcW w:w="1523" w:type="pct"/>
            <w:tcBorders>
              <w:top w:val="single" w:sz="4" w:space="0" w:color="000000"/>
              <w:left w:val="single" w:sz="4" w:space="0" w:color="000000"/>
              <w:bottom w:val="single" w:sz="4" w:space="0" w:color="000000"/>
              <w:right w:val="single" w:sz="4" w:space="0" w:color="000000"/>
            </w:tcBorders>
            <w:hideMark/>
          </w:tcPr>
          <w:p w14:paraId="72882A04" w14:textId="77777777" w:rsidR="00DB1C4E" w:rsidRPr="003C361F" w:rsidRDefault="00DB1C4E">
            <w:pPr>
              <w:pStyle w:val="TableParagraph"/>
              <w:rPr>
                <w:b/>
                <w:sz w:val="22"/>
                <w:szCs w:val="22"/>
                <w:lang w:val="ru-RU" w:eastAsia="ru-RU"/>
              </w:rPr>
            </w:pPr>
            <w:r w:rsidRPr="003C361F">
              <w:rPr>
                <w:b/>
                <w:sz w:val="22"/>
                <w:szCs w:val="22"/>
                <w:lang w:val="ru-RU" w:eastAsia="ru-RU"/>
              </w:rPr>
              <w:t>Etnicitet</w:t>
            </w:r>
          </w:p>
          <w:p w14:paraId="6CC0D0A3" w14:textId="77777777" w:rsidR="00DB1C4E" w:rsidRPr="003C361F" w:rsidRDefault="00DB1C4E">
            <w:pPr>
              <w:pStyle w:val="TableParagraph"/>
              <w:ind w:left="184"/>
              <w:rPr>
                <w:sz w:val="22"/>
                <w:szCs w:val="22"/>
                <w:lang w:val="ru-RU" w:eastAsia="ru-RU"/>
              </w:rPr>
            </w:pPr>
            <w:r w:rsidRPr="003C361F">
              <w:rPr>
                <w:sz w:val="22"/>
                <w:szCs w:val="22"/>
                <w:lang w:val="ru-RU" w:eastAsia="ru-RU"/>
              </w:rPr>
              <w:t>Sort</w:t>
            </w:r>
          </w:p>
          <w:p w14:paraId="3C1100B7" w14:textId="77777777" w:rsidR="00DB1C4E" w:rsidRPr="003C361F" w:rsidRDefault="00DB1C4E">
            <w:pPr>
              <w:pStyle w:val="TableParagraph"/>
              <w:ind w:left="184"/>
              <w:rPr>
                <w:sz w:val="22"/>
                <w:szCs w:val="22"/>
                <w:lang w:val="ru-RU" w:eastAsia="ru-RU"/>
              </w:rPr>
            </w:pPr>
            <w:r w:rsidRPr="003C361F">
              <w:rPr>
                <w:sz w:val="22"/>
                <w:szCs w:val="22"/>
                <w:lang w:val="ru-RU" w:eastAsia="ru-RU"/>
              </w:rPr>
              <w:t>Ikke sort</w:t>
            </w:r>
          </w:p>
        </w:tc>
        <w:tc>
          <w:tcPr>
            <w:tcW w:w="917" w:type="pct"/>
            <w:tcBorders>
              <w:top w:val="single" w:sz="4" w:space="0" w:color="000000"/>
              <w:left w:val="single" w:sz="4" w:space="0" w:color="000000"/>
              <w:bottom w:val="single" w:sz="4" w:space="0" w:color="000000"/>
              <w:right w:val="single" w:sz="4" w:space="0" w:color="000000"/>
            </w:tcBorders>
            <w:vAlign w:val="center"/>
          </w:tcPr>
          <w:p w14:paraId="73553DED" w14:textId="77777777" w:rsidR="00DB1C4E" w:rsidRPr="003C361F" w:rsidRDefault="00DB1C4E">
            <w:pPr>
              <w:pStyle w:val="TableParagraph"/>
              <w:jc w:val="center"/>
              <w:rPr>
                <w:bCs/>
                <w:sz w:val="22"/>
                <w:szCs w:val="22"/>
                <w:lang w:val="ru-RU" w:eastAsia="ru-RU"/>
              </w:rPr>
            </w:pPr>
          </w:p>
          <w:p w14:paraId="283597F2" w14:textId="77777777" w:rsidR="00DB1C4E" w:rsidRPr="003C361F" w:rsidRDefault="00DB1C4E">
            <w:pPr>
              <w:pStyle w:val="TableParagraph"/>
              <w:jc w:val="center"/>
              <w:rPr>
                <w:sz w:val="22"/>
                <w:szCs w:val="22"/>
                <w:lang w:val="ru-RU" w:eastAsia="ru-RU"/>
              </w:rPr>
            </w:pPr>
            <w:r w:rsidRPr="003C361F">
              <w:rPr>
                <w:sz w:val="22"/>
                <w:szCs w:val="22"/>
                <w:lang w:val="ru-RU" w:eastAsia="ru-RU"/>
              </w:rPr>
              <w:t>197/223 (88%)</w:t>
            </w:r>
          </w:p>
          <w:p w14:paraId="2B12F9A7" w14:textId="77777777" w:rsidR="00DB1C4E" w:rsidRPr="003C361F" w:rsidRDefault="00DB1C4E">
            <w:pPr>
              <w:pStyle w:val="TableParagraph"/>
              <w:jc w:val="center"/>
              <w:rPr>
                <w:sz w:val="22"/>
                <w:szCs w:val="22"/>
                <w:lang w:val="ru-RU" w:eastAsia="ru-RU"/>
              </w:rPr>
            </w:pPr>
            <w:r w:rsidRPr="003C361F">
              <w:rPr>
                <w:sz w:val="22"/>
                <w:szCs w:val="22"/>
                <w:lang w:val="ru-RU" w:eastAsia="ru-RU"/>
              </w:rPr>
              <w:t>603/643 (94%)</w:t>
            </w:r>
          </w:p>
        </w:tc>
        <w:tc>
          <w:tcPr>
            <w:tcW w:w="841" w:type="pct"/>
            <w:tcBorders>
              <w:top w:val="single" w:sz="4" w:space="0" w:color="000000"/>
              <w:left w:val="single" w:sz="4" w:space="0" w:color="000000"/>
              <w:bottom w:val="single" w:sz="4" w:space="0" w:color="000000"/>
              <w:right w:val="single" w:sz="4" w:space="0" w:color="000000"/>
            </w:tcBorders>
            <w:vAlign w:val="center"/>
          </w:tcPr>
          <w:p w14:paraId="1200543D" w14:textId="77777777" w:rsidR="00DB1C4E" w:rsidRPr="003C361F" w:rsidRDefault="00DB1C4E">
            <w:pPr>
              <w:pStyle w:val="TableParagraph"/>
              <w:jc w:val="center"/>
              <w:rPr>
                <w:bCs/>
                <w:sz w:val="22"/>
                <w:szCs w:val="22"/>
                <w:lang w:val="ru-RU" w:eastAsia="ru-RU"/>
              </w:rPr>
            </w:pPr>
          </w:p>
          <w:p w14:paraId="31AC5019" w14:textId="77777777" w:rsidR="00DB1C4E" w:rsidRPr="003C361F" w:rsidRDefault="00DB1C4E">
            <w:pPr>
              <w:pStyle w:val="TableParagraph"/>
              <w:jc w:val="center"/>
              <w:rPr>
                <w:sz w:val="22"/>
                <w:szCs w:val="22"/>
                <w:lang w:val="ru-RU" w:eastAsia="ru-RU"/>
              </w:rPr>
            </w:pPr>
            <w:r w:rsidRPr="003C361F">
              <w:rPr>
                <w:sz w:val="22"/>
                <w:szCs w:val="22"/>
                <w:lang w:val="ru-RU" w:eastAsia="ru-RU"/>
              </w:rPr>
              <w:t>177/213 (83%)</w:t>
            </w:r>
          </w:p>
          <w:p w14:paraId="3A89A1CE" w14:textId="77777777" w:rsidR="00DB1C4E" w:rsidRPr="003C361F" w:rsidRDefault="00DB1C4E">
            <w:pPr>
              <w:pStyle w:val="TableParagraph"/>
              <w:jc w:val="center"/>
              <w:rPr>
                <w:sz w:val="22"/>
                <w:szCs w:val="22"/>
                <w:lang w:val="ru-RU" w:eastAsia="ru-RU"/>
              </w:rPr>
            </w:pPr>
            <w:r w:rsidRPr="003C361F">
              <w:rPr>
                <w:sz w:val="22"/>
                <w:szCs w:val="22"/>
                <w:lang w:val="ru-RU" w:eastAsia="ru-RU"/>
              </w:rPr>
              <w:t>607/654 (93%)</w:t>
            </w:r>
          </w:p>
        </w:tc>
        <w:tc>
          <w:tcPr>
            <w:tcW w:w="840" w:type="pct"/>
            <w:tcBorders>
              <w:top w:val="single" w:sz="4" w:space="0" w:color="000000"/>
              <w:left w:val="single" w:sz="4" w:space="0" w:color="000000"/>
              <w:bottom w:val="single" w:sz="4" w:space="0" w:color="000000"/>
              <w:right w:val="single" w:sz="4" w:space="0" w:color="000000"/>
            </w:tcBorders>
            <w:vAlign w:val="center"/>
          </w:tcPr>
          <w:p w14:paraId="4D1123B1" w14:textId="77777777" w:rsidR="00DB1C4E" w:rsidRPr="003C361F" w:rsidRDefault="00DB1C4E">
            <w:pPr>
              <w:pStyle w:val="TableParagraph"/>
              <w:jc w:val="center"/>
              <w:rPr>
                <w:bCs/>
                <w:sz w:val="22"/>
                <w:szCs w:val="22"/>
                <w:lang w:val="ru-RU" w:eastAsia="ru-RU"/>
              </w:rPr>
            </w:pPr>
          </w:p>
          <w:p w14:paraId="25931E8F" w14:textId="77777777" w:rsidR="00DB1C4E" w:rsidRPr="003C361F" w:rsidRDefault="00DB1C4E">
            <w:pPr>
              <w:pStyle w:val="TableParagraph"/>
              <w:jc w:val="center"/>
              <w:rPr>
                <w:sz w:val="22"/>
                <w:szCs w:val="22"/>
                <w:lang w:val="ru-RU" w:eastAsia="ru-RU"/>
              </w:rPr>
            </w:pPr>
            <w:r w:rsidRPr="003C361F">
              <w:rPr>
                <w:sz w:val="22"/>
                <w:szCs w:val="22"/>
                <w:lang w:val="ru-RU" w:eastAsia="ru-RU"/>
              </w:rPr>
              <w:t>168/223 (75%)</w:t>
            </w:r>
          </w:p>
          <w:p w14:paraId="180824F3" w14:textId="77777777" w:rsidR="00DB1C4E" w:rsidRPr="003C361F" w:rsidRDefault="00DB1C4E">
            <w:pPr>
              <w:pStyle w:val="TableParagraph"/>
              <w:jc w:val="center"/>
              <w:rPr>
                <w:sz w:val="22"/>
                <w:szCs w:val="22"/>
                <w:lang w:val="ru-RU" w:eastAsia="ru-RU"/>
              </w:rPr>
            </w:pPr>
            <w:r w:rsidRPr="003C361F">
              <w:rPr>
                <w:sz w:val="22"/>
                <w:szCs w:val="22"/>
                <w:lang w:val="ru-RU" w:eastAsia="ru-RU"/>
              </w:rPr>
              <w:t>561/643 (87%)</w:t>
            </w:r>
          </w:p>
        </w:tc>
        <w:tc>
          <w:tcPr>
            <w:tcW w:w="879" w:type="pct"/>
            <w:tcBorders>
              <w:top w:val="single" w:sz="4" w:space="0" w:color="000000"/>
              <w:left w:val="single" w:sz="4" w:space="0" w:color="000000"/>
              <w:bottom w:val="single" w:sz="4" w:space="0" w:color="000000"/>
              <w:right w:val="single" w:sz="4" w:space="0" w:color="000000"/>
            </w:tcBorders>
            <w:vAlign w:val="center"/>
          </w:tcPr>
          <w:p w14:paraId="0B7E3F52" w14:textId="77777777" w:rsidR="00DB1C4E" w:rsidRPr="003C361F" w:rsidRDefault="00DB1C4E">
            <w:pPr>
              <w:pStyle w:val="TableParagraph"/>
              <w:jc w:val="center"/>
              <w:rPr>
                <w:bCs/>
                <w:sz w:val="22"/>
                <w:szCs w:val="22"/>
                <w:lang w:val="ru-RU" w:eastAsia="ru-RU"/>
              </w:rPr>
            </w:pPr>
          </w:p>
          <w:p w14:paraId="054FD362" w14:textId="77777777" w:rsidR="00DB1C4E" w:rsidRPr="003C361F" w:rsidRDefault="00DB1C4E">
            <w:pPr>
              <w:pStyle w:val="TableParagraph"/>
              <w:jc w:val="center"/>
              <w:rPr>
                <w:sz w:val="22"/>
                <w:szCs w:val="22"/>
                <w:lang w:val="ru-RU" w:eastAsia="ru-RU"/>
              </w:rPr>
            </w:pPr>
            <w:r w:rsidRPr="003C361F">
              <w:rPr>
                <w:sz w:val="22"/>
                <w:szCs w:val="22"/>
                <w:lang w:val="ru-RU" w:eastAsia="ru-RU"/>
              </w:rPr>
              <w:t>152/213 (71%)</w:t>
            </w:r>
          </w:p>
          <w:p w14:paraId="626CF89E" w14:textId="77777777" w:rsidR="00DB1C4E" w:rsidRPr="003C361F" w:rsidRDefault="00DB1C4E">
            <w:pPr>
              <w:pStyle w:val="TableParagraph"/>
              <w:jc w:val="center"/>
              <w:rPr>
                <w:sz w:val="22"/>
                <w:szCs w:val="22"/>
                <w:lang w:val="ru-RU" w:eastAsia="ru-RU"/>
              </w:rPr>
            </w:pPr>
            <w:r w:rsidRPr="003C361F">
              <w:rPr>
                <w:sz w:val="22"/>
                <w:szCs w:val="22"/>
                <w:lang w:val="ru-RU" w:eastAsia="ru-RU"/>
              </w:rPr>
              <w:t>542/654 (83%)</w:t>
            </w:r>
          </w:p>
        </w:tc>
      </w:tr>
      <w:tr w:rsidR="00DB1C4E" w:rsidRPr="003C361F" w14:paraId="474FF553" w14:textId="77777777" w:rsidTr="00132A6A">
        <w:trPr>
          <w:cantSplit/>
          <w:trHeight w:val="679"/>
        </w:trPr>
        <w:tc>
          <w:tcPr>
            <w:tcW w:w="1523" w:type="pct"/>
            <w:tcBorders>
              <w:top w:val="single" w:sz="4" w:space="0" w:color="000000"/>
              <w:left w:val="single" w:sz="4" w:space="0" w:color="000000"/>
              <w:bottom w:val="single" w:sz="4" w:space="0" w:color="000000"/>
              <w:right w:val="single" w:sz="4" w:space="0" w:color="000000"/>
            </w:tcBorders>
            <w:hideMark/>
          </w:tcPr>
          <w:p w14:paraId="28B7DA0E" w14:textId="77777777" w:rsidR="00DB1C4E" w:rsidRPr="003C361F" w:rsidRDefault="00DB1C4E">
            <w:pPr>
              <w:pStyle w:val="TableParagraph"/>
              <w:rPr>
                <w:b/>
                <w:sz w:val="22"/>
                <w:szCs w:val="22"/>
                <w:lang w:val="ru-RU" w:eastAsia="ru-RU"/>
              </w:rPr>
            </w:pPr>
            <w:r w:rsidRPr="003C361F">
              <w:rPr>
                <w:b/>
                <w:sz w:val="22"/>
                <w:szCs w:val="22"/>
                <w:lang w:val="ru-RU" w:eastAsia="ru-RU"/>
              </w:rPr>
              <w:t>Viral load ved baseline</w:t>
            </w:r>
          </w:p>
          <w:p w14:paraId="30350EBF" w14:textId="77777777" w:rsidR="00DB1C4E" w:rsidRPr="003C361F" w:rsidRDefault="00DB1C4E">
            <w:pPr>
              <w:pStyle w:val="TableParagraph"/>
              <w:ind w:left="184"/>
              <w:rPr>
                <w:sz w:val="22"/>
                <w:szCs w:val="22"/>
                <w:lang w:val="ru-RU" w:eastAsia="ru-RU"/>
              </w:rPr>
            </w:pPr>
            <w:r w:rsidRPr="003C361F">
              <w:rPr>
                <w:sz w:val="22"/>
                <w:szCs w:val="22"/>
                <w:lang w:val="ru-RU" w:eastAsia="ru-RU"/>
              </w:rPr>
              <w:t>≤ 100.000 kopier/ml</w:t>
            </w:r>
          </w:p>
          <w:p w14:paraId="7E83900C" w14:textId="77777777" w:rsidR="00DB1C4E" w:rsidRPr="003C361F" w:rsidRDefault="00DB1C4E">
            <w:pPr>
              <w:pStyle w:val="TableParagraph"/>
              <w:ind w:left="184"/>
              <w:rPr>
                <w:sz w:val="22"/>
                <w:szCs w:val="22"/>
                <w:lang w:val="ru-RU" w:eastAsia="ru-RU"/>
              </w:rPr>
            </w:pPr>
            <w:r w:rsidRPr="003C361F">
              <w:rPr>
                <w:sz w:val="22"/>
                <w:szCs w:val="22"/>
                <w:lang w:val="ru-RU" w:eastAsia="ru-RU"/>
              </w:rPr>
              <w:t>&gt; 100.000 kopier/ml</w:t>
            </w:r>
          </w:p>
        </w:tc>
        <w:tc>
          <w:tcPr>
            <w:tcW w:w="917" w:type="pct"/>
            <w:tcBorders>
              <w:top w:val="single" w:sz="4" w:space="0" w:color="000000"/>
              <w:left w:val="single" w:sz="4" w:space="0" w:color="000000"/>
              <w:bottom w:val="single" w:sz="4" w:space="0" w:color="000000"/>
              <w:right w:val="single" w:sz="4" w:space="0" w:color="000000"/>
            </w:tcBorders>
            <w:vAlign w:val="center"/>
          </w:tcPr>
          <w:p w14:paraId="183A1453" w14:textId="77777777" w:rsidR="00DB1C4E" w:rsidRPr="003C361F" w:rsidRDefault="00DB1C4E">
            <w:pPr>
              <w:pStyle w:val="TableParagraph"/>
              <w:jc w:val="center"/>
              <w:rPr>
                <w:bCs/>
                <w:sz w:val="22"/>
                <w:szCs w:val="22"/>
                <w:lang w:val="ru-RU" w:eastAsia="ru-RU"/>
              </w:rPr>
            </w:pPr>
          </w:p>
          <w:p w14:paraId="072A604A" w14:textId="77777777" w:rsidR="00DB1C4E" w:rsidRPr="003C361F" w:rsidRDefault="00DB1C4E">
            <w:pPr>
              <w:pStyle w:val="TableParagraph"/>
              <w:jc w:val="center"/>
              <w:rPr>
                <w:sz w:val="22"/>
                <w:szCs w:val="22"/>
                <w:lang w:val="ru-RU" w:eastAsia="ru-RU"/>
              </w:rPr>
            </w:pPr>
            <w:r w:rsidRPr="003C361F">
              <w:rPr>
                <w:sz w:val="22"/>
                <w:szCs w:val="22"/>
                <w:lang w:val="ru-RU" w:eastAsia="ru-RU"/>
              </w:rPr>
              <w:t>629/670 (94%)</w:t>
            </w:r>
          </w:p>
          <w:p w14:paraId="7FBCA9D5" w14:textId="77777777" w:rsidR="00DB1C4E" w:rsidRPr="003C361F" w:rsidRDefault="00DB1C4E">
            <w:pPr>
              <w:pStyle w:val="TableParagraph"/>
              <w:jc w:val="center"/>
              <w:rPr>
                <w:sz w:val="22"/>
                <w:szCs w:val="22"/>
                <w:lang w:val="ru-RU" w:eastAsia="ru-RU"/>
              </w:rPr>
            </w:pPr>
            <w:r w:rsidRPr="003C361F">
              <w:rPr>
                <w:sz w:val="22"/>
                <w:szCs w:val="22"/>
                <w:lang w:val="ru-RU" w:eastAsia="ru-RU"/>
              </w:rPr>
              <w:t>171/196 (87%)</w:t>
            </w:r>
          </w:p>
        </w:tc>
        <w:tc>
          <w:tcPr>
            <w:tcW w:w="841" w:type="pct"/>
            <w:tcBorders>
              <w:top w:val="single" w:sz="4" w:space="0" w:color="000000"/>
              <w:left w:val="single" w:sz="4" w:space="0" w:color="000000"/>
              <w:bottom w:val="single" w:sz="4" w:space="0" w:color="000000"/>
              <w:right w:val="single" w:sz="4" w:space="0" w:color="000000"/>
            </w:tcBorders>
            <w:vAlign w:val="center"/>
          </w:tcPr>
          <w:p w14:paraId="03CC3E01" w14:textId="77777777" w:rsidR="00DB1C4E" w:rsidRPr="003C361F" w:rsidRDefault="00DB1C4E">
            <w:pPr>
              <w:pStyle w:val="TableParagraph"/>
              <w:jc w:val="center"/>
              <w:rPr>
                <w:bCs/>
                <w:sz w:val="22"/>
                <w:szCs w:val="22"/>
                <w:lang w:val="ru-RU" w:eastAsia="ru-RU"/>
              </w:rPr>
            </w:pPr>
          </w:p>
          <w:p w14:paraId="4D7355F3" w14:textId="77777777" w:rsidR="00DB1C4E" w:rsidRPr="003C361F" w:rsidRDefault="00DB1C4E">
            <w:pPr>
              <w:pStyle w:val="TableParagraph"/>
              <w:jc w:val="center"/>
              <w:rPr>
                <w:sz w:val="22"/>
                <w:szCs w:val="22"/>
                <w:lang w:val="ru-RU" w:eastAsia="ru-RU"/>
              </w:rPr>
            </w:pPr>
            <w:r w:rsidRPr="003C361F">
              <w:rPr>
                <w:sz w:val="22"/>
                <w:szCs w:val="22"/>
                <w:lang w:val="ru-RU" w:eastAsia="ru-RU"/>
              </w:rPr>
              <w:t>610/672 (91%)</w:t>
            </w:r>
          </w:p>
          <w:p w14:paraId="5CB51DD9" w14:textId="77777777" w:rsidR="00DB1C4E" w:rsidRPr="003C361F" w:rsidRDefault="00DB1C4E">
            <w:pPr>
              <w:pStyle w:val="TableParagraph"/>
              <w:jc w:val="center"/>
              <w:rPr>
                <w:sz w:val="22"/>
                <w:szCs w:val="22"/>
                <w:lang w:val="ru-RU" w:eastAsia="ru-RU"/>
              </w:rPr>
            </w:pPr>
            <w:r w:rsidRPr="003C361F">
              <w:rPr>
                <w:sz w:val="22"/>
                <w:szCs w:val="22"/>
                <w:lang w:val="ru-RU" w:eastAsia="ru-RU"/>
              </w:rPr>
              <w:t>174/195 (89%)</w:t>
            </w:r>
          </w:p>
        </w:tc>
        <w:tc>
          <w:tcPr>
            <w:tcW w:w="840" w:type="pct"/>
            <w:tcBorders>
              <w:top w:val="single" w:sz="4" w:space="0" w:color="000000"/>
              <w:left w:val="single" w:sz="4" w:space="0" w:color="000000"/>
              <w:bottom w:val="single" w:sz="4" w:space="0" w:color="000000"/>
              <w:right w:val="single" w:sz="4" w:space="0" w:color="000000"/>
            </w:tcBorders>
            <w:vAlign w:val="center"/>
          </w:tcPr>
          <w:p w14:paraId="2B46EE1E" w14:textId="77777777" w:rsidR="00DB1C4E" w:rsidRPr="003C361F" w:rsidRDefault="00DB1C4E">
            <w:pPr>
              <w:pStyle w:val="TableParagraph"/>
              <w:jc w:val="center"/>
              <w:rPr>
                <w:bCs/>
                <w:sz w:val="22"/>
                <w:szCs w:val="22"/>
                <w:lang w:val="ru-RU" w:eastAsia="ru-RU"/>
              </w:rPr>
            </w:pPr>
          </w:p>
          <w:p w14:paraId="5B29B808" w14:textId="77777777" w:rsidR="00DB1C4E" w:rsidRPr="003C361F" w:rsidRDefault="00DB1C4E">
            <w:pPr>
              <w:pStyle w:val="TableParagraph"/>
              <w:jc w:val="center"/>
              <w:rPr>
                <w:sz w:val="22"/>
                <w:szCs w:val="22"/>
                <w:lang w:val="ru-RU" w:eastAsia="ru-RU"/>
              </w:rPr>
            </w:pPr>
            <w:r w:rsidRPr="003C361F">
              <w:rPr>
                <w:sz w:val="22"/>
                <w:szCs w:val="22"/>
                <w:lang w:val="ru-RU" w:eastAsia="ru-RU"/>
              </w:rPr>
              <w:t>567/670 (85%)</w:t>
            </w:r>
          </w:p>
          <w:p w14:paraId="6A860184" w14:textId="77777777" w:rsidR="00DB1C4E" w:rsidRPr="003C361F" w:rsidRDefault="00DB1C4E">
            <w:pPr>
              <w:pStyle w:val="TableParagraph"/>
              <w:jc w:val="center"/>
              <w:rPr>
                <w:sz w:val="22"/>
                <w:szCs w:val="22"/>
                <w:lang w:val="ru-RU" w:eastAsia="ru-RU"/>
              </w:rPr>
            </w:pPr>
            <w:r w:rsidRPr="003C361F">
              <w:rPr>
                <w:sz w:val="22"/>
                <w:szCs w:val="22"/>
                <w:lang w:val="ru-RU" w:eastAsia="ru-RU"/>
              </w:rPr>
              <w:t>162/196 (83%)</w:t>
            </w:r>
          </w:p>
        </w:tc>
        <w:tc>
          <w:tcPr>
            <w:tcW w:w="879" w:type="pct"/>
            <w:tcBorders>
              <w:top w:val="single" w:sz="4" w:space="0" w:color="000000"/>
              <w:left w:val="single" w:sz="4" w:space="0" w:color="000000"/>
              <w:bottom w:val="single" w:sz="4" w:space="0" w:color="000000"/>
              <w:right w:val="single" w:sz="4" w:space="0" w:color="000000"/>
            </w:tcBorders>
            <w:vAlign w:val="center"/>
          </w:tcPr>
          <w:p w14:paraId="31F51366" w14:textId="77777777" w:rsidR="00DB1C4E" w:rsidRPr="003C361F" w:rsidRDefault="00DB1C4E">
            <w:pPr>
              <w:pStyle w:val="TableParagraph"/>
              <w:jc w:val="center"/>
              <w:rPr>
                <w:bCs/>
                <w:sz w:val="22"/>
                <w:szCs w:val="22"/>
                <w:lang w:val="ru-RU" w:eastAsia="ru-RU"/>
              </w:rPr>
            </w:pPr>
          </w:p>
          <w:p w14:paraId="21F5FFDB" w14:textId="77777777" w:rsidR="00DB1C4E" w:rsidRPr="003C361F" w:rsidRDefault="00DB1C4E">
            <w:pPr>
              <w:pStyle w:val="TableParagraph"/>
              <w:jc w:val="center"/>
              <w:rPr>
                <w:sz w:val="22"/>
                <w:szCs w:val="22"/>
                <w:lang w:val="ru-RU" w:eastAsia="ru-RU"/>
              </w:rPr>
            </w:pPr>
            <w:r w:rsidRPr="003C361F">
              <w:rPr>
                <w:sz w:val="22"/>
                <w:szCs w:val="22"/>
                <w:lang w:val="ru-RU" w:eastAsia="ru-RU"/>
              </w:rPr>
              <w:t>537/672 (80%)</w:t>
            </w:r>
          </w:p>
          <w:p w14:paraId="75653931" w14:textId="77777777" w:rsidR="00DB1C4E" w:rsidRPr="003C361F" w:rsidRDefault="00DB1C4E">
            <w:pPr>
              <w:pStyle w:val="TableParagraph"/>
              <w:jc w:val="center"/>
              <w:rPr>
                <w:sz w:val="22"/>
                <w:szCs w:val="22"/>
                <w:lang w:val="ru-RU" w:eastAsia="ru-RU"/>
              </w:rPr>
            </w:pPr>
            <w:r w:rsidRPr="003C361F">
              <w:rPr>
                <w:sz w:val="22"/>
                <w:szCs w:val="22"/>
                <w:lang w:val="ru-RU" w:eastAsia="ru-RU"/>
              </w:rPr>
              <w:t>157/195 (81%)</w:t>
            </w:r>
          </w:p>
        </w:tc>
      </w:tr>
      <w:tr w:rsidR="00DB1C4E" w:rsidRPr="003C361F" w14:paraId="0F8CE799" w14:textId="77777777" w:rsidTr="00132A6A">
        <w:trPr>
          <w:cantSplit/>
          <w:trHeight w:val="680"/>
        </w:trPr>
        <w:tc>
          <w:tcPr>
            <w:tcW w:w="1523" w:type="pct"/>
            <w:tcBorders>
              <w:top w:val="single" w:sz="4" w:space="0" w:color="000000"/>
              <w:left w:val="single" w:sz="4" w:space="0" w:color="000000"/>
              <w:bottom w:val="single" w:sz="4" w:space="0" w:color="000000"/>
              <w:right w:val="single" w:sz="4" w:space="0" w:color="000000"/>
            </w:tcBorders>
            <w:hideMark/>
          </w:tcPr>
          <w:p w14:paraId="618359FA" w14:textId="77777777" w:rsidR="00DB1C4E" w:rsidRPr="003C361F" w:rsidRDefault="00DB1C4E">
            <w:pPr>
              <w:rPr>
                <w:b/>
                <w:sz w:val="22"/>
                <w:szCs w:val="22"/>
                <w:lang w:val="ru-RU" w:eastAsia="ru-RU"/>
              </w:rPr>
            </w:pPr>
            <w:r w:rsidRPr="003C361F">
              <w:rPr>
                <w:b/>
                <w:sz w:val="22"/>
                <w:szCs w:val="22"/>
                <w:lang w:val="ru-RU" w:eastAsia="ru-RU"/>
              </w:rPr>
              <w:t>CD4+ celletal ved baseline</w:t>
            </w:r>
          </w:p>
          <w:p w14:paraId="071FAA15" w14:textId="77777777" w:rsidR="00DB1C4E" w:rsidRPr="003C361F" w:rsidRDefault="00DB1C4E">
            <w:pPr>
              <w:ind w:left="184"/>
              <w:rPr>
                <w:sz w:val="22"/>
                <w:szCs w:val="22"/>
                <w:lang w:val="ru-RU" w:eastAsia="ru-RU"/>
              </w:rPr>
            </w:pPr>
            <w:r w:rsidRPr="003C361F">
              <w:rPr>
                <w:sz w:val="22"/>
                <w:szCs w:val="22"/>
                <w:lang w:val="ru-RU" w:eastAsia="ru-RU"/>
              </w:rPr>
              <w:t>&lt; 200 celler/mm</w:t>
            </w:r>
            <w:r w:rsidRPr="003C361F">
              <w:rPr>
                <w:sz w:val="22"/>
                <w:szCs w:val="22"/>
                <w:vertAlign w:val="superscript"/>
                <w:lang w:val="ru-RU" w:eastAsia="ru-RU"/>
              </w:rPr>
              <w:t>3</w:t>
            </w:r>
          </w:p>
          <w:p w14:paraId="64CCAE6F" w14:textId="77777777" w:rsidR="00DB1C4E" w:rsidRPr="003C361F" w:rsidRDefault="00DB1C4E">
            <w:pPr>
              <w:ind w:left="184"/>
              <w:rPr>
                <w:sz w:val="22"/>
                <w:szCs w:val="22"/>
                <w:lang w:val="ru-RU" w:eastAsia="ru-RU"/>
              </w:rPr>
            </w:pPr>
            <w:r w:rsidRPr="003C361F">
              <w:rPr>
                <w:sz w:val="22"/>
                <w:szCs w:val="22"/>
                <w:lang w:val="ru-RU" w:eastAsia="ru-RU"/>
              </w:rPr>
              <w:t>≥ 200 celler/mm</w:t>
            </w:r>
            <w:r w:rsidRPr="003C361F">
              <w:rPr>
                <w:sz w:val="22"/>
                <w:szCs w:val="22"/>
                <w:vertAlign w:val="superscript"/>
                <w:lang w:val="ru-RU" w:eastAsia="ru-RU"/>
              </w:rPr>
              <w:t>3</w:t>
            </w:r>
          </w:p>
        </w:tc>
        <w:tc>
          <w:tcPr>
            <w:tcW w:w="917" w:type="pct"/>
            <w:tcBorders>
              <w:top w:val="single" w:sz="4" w:space="0" w:color="000000"/>
              <w:left w:val="single" w:sz="4" w:space="0" w:color="000000"/>
              <w:bottom w:val="single" w:sz="4" w:space="0" w:color="000000"/>
              <w:right w:val="single" w:sz="4" w:space="0" w:color="000000"/>
            </w:tcBorders>
            <w:vAlign w:val="center"/>
          </w:tcPr>
          <w:p w14:paraId="1B4CCB1E" w14:textId="77777777" w:rsidR="00DB1C4E" w:rsidRPr="003C361F" w:rsidRDefault="00DB1C4E">
            <w:pPr>
              <w:pStyle w:val="TableParagraph"/>
              <w:jc w:val="center"/>
              <w:rPr>
                <w:bCs/>
                <w:sz w:val="22"/>
                <w:szCs w:val="22"/>
                <w:lang w:val="ru-RU" w:eastAsia="ru-RU"/>
              </w:rPr>
            </w:pPr>
          </w:p>
          <w:p w14:paraId="6C18FBDD" w14:textId="77777777" w:rsidR="00DB1C4E" w:rsidRPr="003C361F" w:rsidRDefault="00DB1C4E">
            <w:pPr>
              <w:pStyle w:val="TableParagraph"/>
              <w:jc w:val="center"/>
              <w:rPr>
                <w:sz w:val="22"/>
                <w:szCs w:val="22"/>
                <w:lang w:val="ru-RU" w:eastAsia="ru-RU"/>
              </w:rPr>
            </w:pPr>
            <w:r w:rsidRPr="003C361F">
              <w:rPr>
                <w:sz w:val="22"/>
                <w:szCs w:val="22"/>
                <w:lang w:val="ru-RU" w:eastAsia="ru-RU"/>
              </w:rPr>
              <w:t>96/112 (86%)</w:t>
            </w:r>
          </w:p>
          <w:p w14:paraId="15832F72" w14:textId="77777777" w:rsidR="00DB1C4E" w:rsidRPr="003C361F" w:rsidRDefault="00DB1C4E">
            <w:pPr>
              <w:pStyle w:val="TableParagraph"/>
              <w:jc w:val="center"/>
              <w:rPr>
                <w:sz w:val="22"/>
                <w:szCs w:val="22"/>
                <w:lang w:val="ru-RU" w:eastAsia="ru-RU"/>
              </w:rPr>
            </w:pPr>
            <w:r w:rsidRPr="003C361F">
              <w:rPr>
                <w:sz w:val="22"/>
                <w:szCs w:val="22"/>
                <w:lang w:val="ru-RU" w:eastAsia="ru-RU"/>
              </w:rPr>
              <w:t>703/753 (93%)</w:t>
            </w:r>
          </w:p>
        </w:tc>
        <w:tc>
          <w:tcPr>
            <w:tcW w:w="841" w:type="pct"/>
            <w:tcBorders>
              <w:top w:val="single" w:sz="4" w:space="0" w:color="000000"/>
              <w:left w:val="single" w:sz="4" w:space="0" w:color="000000"/>
              <w:bottom w:val="single" w:sz="4" w:space="0" w:color="000000"/>
              <w:right w:val="single" w:sz="4" w:space="0" w:color="000000"/>
            </w:tcBorders>
            <w:vAlign w:val="center"/>
          </w:tcPr>
          <w:p w14:paraId="64BFDA17" w14:textId="77777777" w:rsidR="00DB1C4E" w:rsidRPr="003C361F" w:rsidRDefault="00DB1C4E">
            <w:pPr>
              <w:pStyle w:val="TableParagraph"/>
              <w:jc w:val="center"/>
              <w:rPr>
                <w:bCs/>
                <w:sz w:val="22"/>
                <w:szCs w:val="22"/>
                <w:lang w:val="ru-RU" w:eastAsia="ru-RU"/>
              </w:rPr>
            </w:pPr>
          </w:p>
          <w:p w14:paraId="2F1E8E9B" w14:textId="77777777" w:rsidR="00DB1C4E" w:rsidRPr="003C361F" w:rsidRDefault="00DB1C4E">
            <w:pPr>
              <w:pStyle w:val="TableParagraph"/>
              <w:jc w:val="center"/>
              <w:rPr>
                <w:sz w:val="22"/>
                <w:szCs w:val="22"/>
                <w:lang w:val="ru-RU" w:eastAsia="ru-RU"/>
              </w:rPr>
            </w:pPr>
            <w:r w:rsidRPr="003C361F">
              <w:rPr>
                <w:sz w:val="22"/>
                <w:szCs w:val="22"/>
                <w:lang w:val="ru-RU" w:eastAsia="ru-RU"/>
              </w:rPr>
              <w:t>104/117 (89%)</w:t>
            </w:r>
          </w:p>
          <w:p w14:paraId="42519984" w14:textId="77777777" w:rsidR="00DB1C4E" w:rsidRPr="003C361F" w:rsidRDefault="00DB1C4E">
            <w:pPr>
              <w:pStyle w:val="TableParagraph"/>
              <w:jc w:val="center"/>
              <w:rPr>
                <w:sz w:val="22"/>
                <w:szCs w:val="22"/>
                <w:lang w:val="ru-RU" w:eastAsia="ru-RU"/>
              </w:rPr>
            </w:pPr>
            <w:r w:rsidRPr="003C361F">
              <w:rPr>
                <w:sz w:val="22"/>
                <w:szCs w:val="22"/>
                <w:lang w:val="ru-RU" w:eastAsia="ru-RU"/>
              </w:rPr>
              <w:t>680/750 (91%)</w:t>
            </w:r>
          </w:p>
        </w:tc>
        <w:tc>
          <w:tcPr>
            <w:tcW w:w="840" w:type="pct"/>
            <w:tcBorders>
              <w:top w:val="single" w:sz="4" w:space="0" w:color="000000"/>
              <w:left w:val="single" w:sz="4" w:space="0" w:color="000000"/>
              <w:bottom w:val="single" w:sz="4" w:space="0" w:color="000000"/>
              <w:right w:val="single" w:sz="4" w:space="0" w:color="000000"/>
            </w:tcBorders>
            <w:vAlign w:val="center"/>
          </w:tcPr>
          <w:p w14:paraId="4F7B2230" w14:textId="77777777" w:rsidR="00DB1C4E" w:rsidRPr="003C361F" w:rsidRDefault="00DB1C4E">
            <w:pPr>
              <w:pStyle w:val="TableParagraph"/>
              <w:jc w:val="center"/>
              <w:rPr>
                <w:bCs/>
                <w:sz w:val="22"/>
                <w:szCs w:val="22"/>
                <w:lang w:val="ru-RU" w:eastAsia="ru-RU"/>
              </w:rPr>
            </w:pPr>
          </w:p>
          <w:p w14:paraId="41DB5EFC" w14:textId="77777777" w:rsidR="00DB1C4E" w:rsidRPr="003C361F" w:rsidRDefault="00DB1C4E">
            <w:pPr>
              <w:pStyle w:val="TableParagraph"/>
              <w:jc w:val="center"/>
              <w:rPr>
                <w:sz w:val="22"/>
                <w:szCs w:val="22"/>
                <w:lang w:val="ru-RU" w:eastAsia="ru-RU"/>
              </w:rPr>
            </w:pPr>
            <w:r w:rsidRPr="003C361F">
              <w:rPr>
                <w:sz w:val="22"/>
                <w:szCs w:val="22"/>
                <w:lang w:val="ru-RU" w:eastAsia="ru-RU"/>
              </w:rPr>
              <w:t>93/112 (83%)</w:t>
            </w:r>
          </w:p>
          <w:p w14:paraId="17D7B155" w14:textId="77777777" w:rsidR="00DB1C4E" w:rsidRPr="003C361F" w:rsidRDefault="00DB1C4E">
            <w:pPr>
              <w:pStyle w:val="TableParagraph"/>
              <w:jc w:val="center"/>
              <w:rPr>
                <w:sz w:val="22"/>
                <w:szCs w:val="22"/>
                <w:lang w:val="ru-RU" w:eastAsia="ru-RU"/>
              </w:rPr>
            </w:pPr>
            <w:r w:rsidRPr="003C361F">
              <w:rPr>
                <w:sz w:val="22"/>
                <w:szCs w:val="22"/>
                <w:lang w:val="ru-RU" w:eastAsia="ru-RU"/>
              </w:rPr>
              <w:t>635/753 (84%)</w:t>
            </w:r>
          </w:p>
        </w:tc>
        <w:tc>
          <w:tcPr>
            <w:tcW w:w="879" w:type="pct"/>
            <w:tcBorders>
              <w:top w:val="single" w:sz="4" w:space="0" w:color="000000"/>
              <w:left w:val="single" w:sz="4" w:space="0" w:color="000000"/>
              <w:bottom w:val="single" w:sz="4" w:space="0" w:color="000000"/>
              <w:right w:val="single" w:sz="4" w:space="0" w:color="000000"/>
            </w:tcBorders>
            <w:vAlign w:val="center"/>
          </w:tcPr>
          <w:p w14:paraId="48BABDCE" w14:textId="77777777" w:rsidR="00DB1C4E" w:rsidRPr="003C361F" w:rsidRDefault="00DB1C4E">
            <w:pPr>
              <w:pStyle w:val="TableParagraph"/>
              <w:jc w:val="center"/>
              <w:rPr>
                <w:bCs/>
                <w:sz w:val="22"/>
                <w:szCs w:val="22"/>
                <w:lang w:val="ru-RU" w:eastAsia="ru-RU"/>
              </w:rPr>
            </w:pPr>
          </w:p>
          <w:p w14:paraId="3F105CF4" w14:textId="77777777" w:rsidR="00DB1C4E" w:rsidRPr="003C361F" w:rsidRDefault="00DB1C4E">
            <w:pPr>
              <w:pStyle w:val="TableParagraph"/>
              <w:jc w:val="center"/>
              <w:rPr>
                <w:sz w:val="22"/>
                <w:szCs w:val="22"/>
                <w:lang w:val="ru-RU" w:eastAsia="ru-RU"/>
              </w:rPr>
            </w:pPr>
            <w:r w:rsidRPr="003C361F">
              <w:rPr>
                <w:sz w:val="22"/>
                <w:szCs w:val="22"/>
                <w:lang w:val="ru-RU" w:eastAsia="ru-RU"/>
              </w:rPr>
              <w:t>94/117 (80%)</w:t>
            </w:r>
          </w:p>
          <w:p w14:paraId="71CAE3AA" w14:textId="77777777" w:rsidR="00DB1C4E" w:rsidRPr="003C361F" w:rsidRDefault="00DB1C4E">
            <w:pPr>
              <w:pStyle w:val="TableParagraph"/>
              <w:jc w:val="center"/>
              <w:rPr>
                <w:sz w:val="22"/>
                <w:szCs w:val="22"/>
                <w:lang w:val="ru-RU" w:eastAsia="ru-RU"/>
              </w:rPr>
            </w:pPr>
            <w:r w:rsidRPr="003C361F">
              <w:rPr>
                <w:sz w:val="22"/>
                <w:szCs w:val="22"/>
                <w:lang w:val="ru-RU" w:eastAsia="ru-RU"/>
              </w:rPr>
              <w:t>600/750 (80%)</w:t>
            </w:r>
          </w:p>
        </w:tc>
      </w:tr>
      <w:tr w:rsidR="00DB1C4E" w:rsidRPr="003C361F" w14:paraId="63D722D9" w14:textId="77777777" w:rsidTr="00132A6A">
        <w:trPr>
          <w:cantSplit/>
          <w:trHeight w:val="220"/>
        </w:trPr>
        <w:tc>
          <w:tcPr>
            <w:tcW w:w="1523" w:type="pct"/>
            <w:tcBorders>
              <w:top w:val="single" w:sz="4" w:space="0" w:color="000000"/>
              <w:left w:val="single" w:sz="4" w:space="0" w:color="000000"/>
              <w:bottom w:val="single" w:sz="4" w:space="0" w:color="000000"/>
              <w:right w:val="single" w:sz="4" w:space="0" w:color="000000"/>
            </w:tcBorders>
            <w:hideMark/>
          </w:tcPr>
          <w:p w14:paraId="2B9D8F5B" w14:textId="77777777" w:rsidR="00DB1C4E" w:rsidRPr="003C361F" w:rsidRDefault="00DB1C4E">
            <w:pPr>
              <w:pStyle w:val="TableParagraph"/>
              <w:rPr>
                <w:b/>
                <w:sz w:val="22"/>
                <w:szCs w:val="22"/>
                <w:lang w:val="ru-RU" w:eastAsia="ru-RU"/>
              </w:rPr>
            </w:pPr>
            <w:r w:rsidRPr="003C361F">
              <w:rPr>
                <w:b/>
                <w:sz w:val="22"/>
                <w:szCs w:val="22"/>
                <w:lang w:val="ru-RU" w:eastAsia="ru-RU"/>
              </w:rPr>
              <w:t>Hiv 1-rna &lt; 20 kopier/ml</w:t>
            </w:r>
          </w:p>
        </w:tc>
        <w:tc>
          <w:tcPr>
            <w:tcW w:w="917" w:type="pct"/>
            <w:tcBorders>
              <w:top w:val="single" w:sz="4" w:space="0" w:color="000000"/>
              <w:left w:val="single" w:sz="4" w:space="0" w:color="000000"/>
              <w:bottom w:val="single" w:sz="4" w:space="0" w:color="000000"/>
              <w:right w:val="single" w:sz="4" w:space="0" w:color="000000"/>
            </w:tcBorders>
            <w:vAlign w:val="center"/>
            <w:hideMark/>
          </w:tcPr>
          <w:p w14:paraId="5691676E" w14:textId="77777777" w:rsidR="00DB1C4E" w:rsidRPr="003C361F" w:rsidRDefault="00DB1C4E">
            <w:pPr>
              <w:pStyle w:val="TableParagraph"/>
              <w:jc w:val="center"/>
              <w:rPr>
                <w:sz w:val="22"/>
                <w:szCs w:val="22"/>
                <w:lang w:val="ru-RU" w:eastAsia="ru-RU"/>
              </w:rPr>
            </w:pPr>
            <w:r w:rsidRPr="003C361F">
              <w:rPr>
                <w:sz w:val="22"/>
                <w:szCs w:val="22"/>
                <w:lang w:val="ru-RU" w:eastAsia="ru-RU"/>
              </w:rPr>
              <w:t>84,4%</w:t>
            </w:r>
          </w:p>
        </w:tc>
        <w:tc>
          <w:tcPr>
            <w:tcW w:w="841" w:type="pct"/>
            <w:tcBorders>
              <w:top w:val="single" w:sz="4" w:space="0" w:color="000000"/>
              <w:left w:val="single" w:sz="4" w:space="0" w:color="000000"/>
              <w:bottom w:val="single" w:sz="4" w:space="0" w:color="000000"/>
              <w:right w:val="single" w:sz="4" w:space="0" w:color="000000"/>
            </w:tcBorders>
            <w:vAlign w:val="center"/>
            <w:hideMark/>
          </w:tcPr>
          <w:p w14:paraId="2339CAD8" w14:textId="77777777" w:rsidR="00DB1C4E" w:rsidRPr="003C361F" w:rsidRDefault="00DB1C4E">
            <w:pPr>
              <w:pStyle w:val="TableParagraph"/>
              <w:jc w:val="center"/>
              <w:rPr>
                <w:sz w:val="22"/>
                <w:szCs w:val="22"/>
                <w:lang w:val="ru-RU" w:eastAsia="ru-RU"/>
              </w:rPr>
            </w:pPr>
            <w:r w:rsidRPr="003C361F">
              <w:rPr>
                <w:sz w:val="22"/>
                <w:szCs w:val="22"/>
                <w:lang w:val="ru-RU" w:eastAsia="ru-RU"/>
              </w:rPr>
              <w:t>84,0%</w:t>
            </w:r>
          </w:p>
        </w:tc>
        <w:tc>
          <w:tcPr>
            <w:tcW w:w="840" w:type="pct"/>
            <w:tcBorders>
              <w:top w:val="single" w:sz="4" w:space="0" w:color="000000"/>
              <w:left w:val="single" w:sz="4" w:space="0" w:color="000000"/>
              <w:bottom w:val="single" w:sz="4" w:space="0" w:color="000000"/>
              <w:right w:val="single" w:sz="4" w:space="0" w:color="000000"/>
            </w:tcBorders>
            <w:vAlign w:val="center"/>
            <w:hideMark/>
          </w:tcPr>
          <w:p w14:paraId="7B2778D0" w14:textId="77777777" w:rsidR="00DB1C4E" w:rsidRPr="003C361F" w:rsidRDefault="00DB1C4E">
            <w:pPr>
              <w:pStyle w:val="TableParagraph"/>
              <w:jc w:val="center"/>
              <w:rPr>
                <w:sz w:val="22"/>
                <w:szCs w:val="22"/>
                <w:lang w:val="ru-RU" w:eastAsia="ru-RU"/>
              </w:rPr>
            </w:pPr>
            <w:r w:rsidRPr="003C361F">
              <w:rPr>
                <w:sz w:val="22"/>
                <w:szCs w:val="22"/>
                <w:lang w:val="ru-RU" w:eastAsia="ru-RU"/>
              </w:rPr>
              <w:t>81,1%</w:t>
            </w:r>
          </w:p>
        </w:tc>
        <w:tc>
          <w:tcPr>
            <w:tcW w:w="879" w:type="pct"/>
            <w:tcBorders>
              <w:top w:val="single" w:sz="4" w:space="0" w:color="000000"/>
              <w:left w:val="single" w:sz="4" w:space="0" w:color="000000"/>
              <w:bottom w:val="single" w:sz="4" w:space="0" w:color="000000"/>
              <w:right w:val="single" w:sz="4" w:space="0" w:color="000000"/>
            </w:tcBorders>
            <w:vAlign w:val="center"/>
            <w:hideMark/>
          </w:tcPr>
          <w:p w14:paraId="3452B42E" w14:textId="77777777" w:rsidR="00DB1C4E" w:rsidRPr="003C361F" w:rsidRDefault="00DB1C4E">
            <w:pPr>
              <w:pStyle w:val="TableParagraph"/>
              <w:jc w:val="center"/>
              <w:rPr>
                <w:sz w:val="22"/>
                <w:szCs w:val="22"/>
                <w:lang w:val="ru-RU" w:eastAsia="ru-RU"/>
              </w:rPr>
            </w:pPr>
            <w:r w:rsidRPr="003C361F">
              <w:rPr>
                <w:sz w:val="22"/>
                <w:szCs w:val="22"/>
                <w:lang w:val="ru-RU" w:eastAsia="ru-RU"/>
              </w:rPr>
              <w:t>75,8%</w:t>
            </w:r>
          </w:p>
        </w:tc>
      </w:tr>
      <w:tr w:rsidR="00DB1C4E" w:rsidRPr="003C361F" w14:paraId="1C819C4A" w14:textId="77777777" w:rsidTr="00132A6A">
        <w:trPr>
          <w:cantSplit/>
          <w:trHeight w:val="220"/>
        </w:trPr>
        <w:tc>
          <w:tcPr>
            <w:tcW w:w="1523" w:type="pct"/>
            <w:tcBorders>
              <w:top w:val="single" w:sz="4" w:space="0" w:color="000000"/>
              <w:left w:val="single" w:sz="4" w:space="0" w:color="000000"/>
              <w:bottom w:val="single" w:sz="4" w:space="0" w:color="000000"/>
              <w:right w:val="single" w:sz="4" w:space="0" w:color="000000"/>
            </w:tcBorders>
            <w:hideMark/>
          </w:tcPr>
          <w:p w14:paraId="4F60CC60" w14:textId="77777777" w:rsidR="00DB1C4E" w:rsidRPr="003C361F" w:rsidRDefault="00DB1C4E">
            <w:pPr>
              <w:pStyle w:val="TableParagraph"/>
              <w:ind w:left="184"/>
              <w:rPr>
                <w:sz w:val="22"/>
                <w:szCs w:val="22"/>
                <w:lang w:val="ru-RU" w:eastAsia="ru-RU"/>
              </w:rPr>
            </w:pPr>
            <w:r w:rsidRPr="003C361F">
              <w:rPr>
                <w:sz w:val="22"/>
                <w:szCs w:val="22"/>
                <w:lang w:val="ru-RU" w:eastAsia="ru-RU"/>
              </w:rPr>
              <w:t>Behandlingsforskel</w:t>
            </w:r>
          </w:p>
        </w:tc>
        <w:tc>
          <w:tcPr>
            <w:tcW w:w="1758" w:type="pct"/>
            <w:gridSpan w:val="2"/>
            <w:tcBorders>
              <w:top w:val="single" w:sz="4" w:space="0" w:color="000000"/>
              <w:left w:val="single" w:sz="4" w:space="0" w:color="000000"/>
              <w:bottom w:val="single" w:sz="4" w:space="0" w:color="000000"/>
              <w:right w:val="single" w:sz="4" w:space="0" w:color="000000"/>
            </w:tcBorders>
            <w:vAlign w:val="center"/>
            <w:hideMark/>
          </w:tcPr>
          <w:p w14:paraId="4F8D6E25" w14:textId="77777777" w:rsidR="00DB1C4E" w:rsidRPr="003C361F" w:rsidRDefault="00DB1C4E">
            <w:pPr>
              <w:pStyle w:val="TableParagraph"/>
              <w:jc w:val="center"/>
              <w:rPr>
                <w:sz w:val="22"/>
                <w:szCs w:val="22"/>
                <w:lang w:val="ru-RU" w:eastAsia="ru-RU"/>
              </w:rPr>
            </w:pPr>
            <w:r w:rsidRPr="003C361F">
              <w:rPr>
                <w:sz w:val="22"/>
                <w:szCs w:val="22"/>
                <w:lang w:val="ru-RU" w:eastAsia="ru-RU"/>
              </w:rPr>
              <w:t xml:space="preserve">0,4% (95% CI: </w:t>
            </w:r>
            <w:r w:rsidRPr="003C361F">
              <w:rPr>
                <w:sz w:val="22"/>
                <w:szCs w:val="22"/>
                <w:lang w:val="ru-RU" w:eastAsia="ru-RU"/>
              </w:rPr>
              <w:noBreakHyphen/>
              <w:t>3,0% til 3,8%)</w:t>
            </w:r>
          </w:p>
        </w:tc>
        <w:tc>
          <w:tcPr>
            <w:tcW w:w="1719" w:type="pct"/>
            <w:gridSpan w:val="2"/>
            <w:tcBorders>
              <w:top w:val="single" w:sz="4" w:space="0" w:color="000000"/>
              <w:left w:val="single" w:sz="4" w:space="0" w:color="000000"/>
              <w:bottom w:val="single" w:sz="4" w:space="0" w:color="000000"/>
              <w:right w:val="single" w:sz="4" w:space="0" w:color="000000"/>
            </w:tcBorders>
            <w:vAlign w:val="center"/>
            <w:hideMark/>
          </w:tcPr>
          <w:p w14:paraId="7FC75129" w14:textId="77777777" w:rsidR="00DB1C4E" w:rsidRPr="003C361F" w:rsidRDefault="00DB1C4E">
            <w:pPr>
              <w:pStyle w:val="TableParagraph"/>
              <w:jc w:val="center"/>
              <w:rPr>
                <w:sz w:val="22"/>
                <w:szCs w:val="22"/>
                <w:lang w:val="ru-RU" w:eastAsia="ru-RU"/>
              </w:rPr>
            </w:pPr>
            <w:r w:rsidRPr="003C361F">
              <w:rPr>
                <w:sz w:val="22"/>
                <w:szCs w:val="22"/>
                <w:lang w:val="ru-RU" w:eastAsia="ru-RU"/>
              </w:rPr>
              <w:t>5,4% (95% CI: 1,5% til 9,2%)</w:t>
            </w:r>
          </w:p>
        </w:tc>
      </w:tr>
    </w:tbl>
    <w:bookmarkEnd w:id="4"/>
    <w:p w14:paraId="3355893E" w14:textId="6C4D2A61" w:rsidR="00DB1C4E" w:rsidRPr="003C361F" w:rsidRDefault="00DB1C4E" w:rsidP="00DB1C4E">
      <w:pPr>
        <w:pStyle w:val="Brdtekst"/>
        <w:widowControl/>
        <w:suppressAutoHyphens/>
        <w:kinsoku w:val="0"/>
        <w:overflowPunct w:val="0"/>
        <w:ind w:left="0"/>
        <w:rPr>
          <w:color w:val="000000" w:themeColor="text1"/>
          <w:sz w:val="20"/>
          <w:szCs w:val="20"/>
        </w:rPr>
      </w:pPr>
      <w:r w:rsidRPr="003C361F">
        <w:rPr>
          <w:color w:val="000000" w:themeColor="text1"/>
          <w:sz w:val="20"/>
          <w:szCs w:val="20"/>
        </w:rPr>
        <w:t>E/C/F/TAF = elvitegravir/cobicistat/emtricitabin/</w:t>
      </w:r>
      <w:r w:rsidR="00202D86">
        <w:rPr>
          <w:color w:val="000000" w:themeColor="text1"/>
          <w:sz w:val="20"/>
          <w:szCs w:val="20"/>
        </w:rPr>
        <w:t>tenofovir alafenamid</w:t>
      </w:r>
    </w:p>
    <w:p w14:paraId="737ED880" w14:textId="02434FA2" w:rsidR="00DB1C4E" w:rsidRPr="00202D86" w:rsidRDefault="00DB1C4E" w:rsidP="00DB1C4E">
      <w:pPr>
        <w:pStyle w:val="Brdtekst"/>
        <w:widowControl/>
        <w:suppressAutoHyphens/>
        <w:kinsoku w:val="0"/>
        <w:overflowPunct w:val="0"/>
        <w:ind w:left="0"/>
        <w:rPr>
          <w:color w:val="000000" w:themeColor="text1"/>
          <w:sz w:val="20"/>
          <w:szCs w:val="20"/>
          <w:lang w:val="en-US"/>
        </w:rPr>
      </w:pPr>
      <w:r w:rsidRPr="00202D86">
        <w:rPr>
          <w:color w:val="000000" w:themeColor="text1"/>
          <w:sz w:val="20"/>
          <w:szCs w:val="20"/>
          <w:lang w:val="en-US"/>
        </w:rPr>
        <w:t>E/C/F/TDF = elvitegravir/cobicistat/emtricitabin/</w:t>
      </w:r>
      <w:r w:rsidR="00202D86" w:rsidRPr="00202D86">
        <w:rPr>
          <w:color w:val="000000" w:themeColor="text1"/>
          <w:sz w:val="20"/>
          <w:szCs w:val="20"/>
          <w:lang w:val="en-US"/>
        </w:rPr>
        <w:t>tenofovir disoproxil fumarat</w:t>
      </w:r>
    </w:p>
    <w:p w14:paraId="6444A38E" w14:textId="749DB98D" w:rsidR="00DB1C4E" w:rsidRPr="003C361F" w:rsidRDefault="00DB1C4E" w:rsidP="003C361F">
      <w:pPr>
        <w:pStyle w:val="Brdtekst"/>
        <w:widowControl/>
        <w:suppressAutoHyphens/>
        <w:kinsoku w:val="0"/>
        <w:overflowPunct w:val="0"/>
        <w:ind w:left="284" w:hanging="284"/>
        <w:rPr>
          <w:color w:val="000000" w:themeColor="text1"/>
          <w:sz w:val="20"/>
          <w:szCs w:val="20"/>
        </w:rPr>
      </w:pPr>
      <w:r w:rsidRPr="003C361F">
        <w:rPr>
          <w:color w:val="000000" w:themeColor="text1"/>
          <w:sz w:val="20"/>
          <w:szCs w:val="20"/>
          <w:vertAlign w:val="superscript"/>
        </w:rPr>
        <w:t>a</w:t>
      </w:r>
      <w:r w:rsidRPr="003C361F">
        <w:rPr>
          <w:color w:val="000000" w:themeColor="text1"/>
          <w:sz w:val="20"/>
          <w:szCs w:val="20"/>
        </w:rPr>
        <w:t xml:space="preserve"> </w:t>
      </w:r>
      <w:r w:rsidR="003C361F" w:rsidRPr="003C361F">
        <w:rPr>
          <w:color w:val="000000" w:themeColor="text1"/>
          <w:sz w:val="20"/>
          <w:szCs w:val="20"/>
        </w:rPr>
        <w:tab/>
      </w:r>
      <w:r w:rsidRPr="003C361F">
        <w:rPr>
          <w:color w:val="000000" w:themeColor="text1"/>
          <w:sz w:val="20"/>
          <w:szCs w:val="20"/>
        </w:rPr>
        <w:t>Uge 48-vindue var fra dag 294 til 377 (inklusive); uge 144-vinduet var fra dag 966 til 1049 (inklusive).</w:t>
      </w:r>
    </w:p>
    <w:p w14:paraId="38435E92" w14:textId="552EBD49" w:rsidR="00DB1C4E" w:rsidRPr="003C361F" w:rsidRDefault="00DB1C4E" w:rsidP="003C361F">
      <w:pPr>
        <w:pStyle w:val="Brdtekst"/>
        <w:widowControl/>
        <w:suppressAutoHyphens/>
        <w:kinsoku w:val="0"/>
        <w:overflowPunct w:val="0"/>
        <w:ind w:left="284" w:hanging="284"/>
        <w:rPr>
          <w:color w:val="000000" w:themeColor="text1"/>
          <w:sz w:val="20"/>
          <w:szCs w:val="20"/>
        </w:rPr>
      </w:pPr>
      <w:r w:rsidRPr="003C361F">
        <w:rPr>
          <w:color w:val="000000" w:themeColor="text1"/>
          <w:sz w:val="20"/>
          <w:szCs w:val="20"/>
          <w:vertAlign w:val="superscript"/>
        </w:rPr>
        <w:t>b</w:t>
      </w:r>
      <w:r w:rsidRPr="003C361F">
        <w:rPr>
          <w:color w:val="000000" w:themeColor="text1"/>
          <w:sz w:val="20"/>
          <w:szCs w:val="20"/>
        </w:rPr>
        <w:t xml:space="preserve"> </w:t>
      </w:r>
      <w:r w:rsidR="003C361F" w:rsidRPr="003C361F">
        <w:rPr>
          <w:color w:val="000000" w:themeColor="text1"/>
          <w:sz w:val="20"/>
          <w:szCs w:val="20"/>
        </w:rPr>
        <w:tab/>
      </w:r>
      <w:r w:rsidRPr="003C361F">
        <w:rPr>
          <w:color w:val="000000" w:themeColor="text1"/>
          <w:sz w:val="20"/>
          <w:szCs w:val="20"/>
        </w:rPr>
        <w:t>I begge studier blev patienterne stratificeret ved baseline hiv 1-rna (≤ 100.000 kopier/ml, &gt; 100.000 kopier/ml til ≤</w:t>
      </w:r>
      <w:r w:rsidR="00C7472A">
        <w:rPr>
          <w:color w:val="000000" w:themeColor="text1"/>
          <w:sz w:val="20"/>
          <w:szCs w:val="20"/>
        </w:rPr>
        <w:t> </w:t>
      </w:r>
      <w:r w:rsidRPr="003C361F">
        <w:rPr>
          <w:color w:val="000000" w:themeColor="text1"/>
          <w:sz w:val="20"/>
          <w:szCs w:val="20"/>
        </w:rPr>
        <w:t>400.000 kopier/ml eller &gt; 400.000 kopier/ml) ved CD4+ celletal (&lt; 50 celler/μl, 50-199 celler/μl eller ≥</w:t>
      </w:r>
      <w:r w:rsidR="00C7472A">
        <w:rPr>
          <w:color w:val="000000" w:themeColor="text1"/>
          <w:sz w:val="20"/>
          <w:szCs w:val="20"/>
        </w:rPr>
        <w:t> </w:t>
      </w:r>
      <w:r w:rsidRPr="003C361F">
        <w:rPr>
          <w:color w:val="000000" w:themeColor="text1"/>
          <w:sz w:val="20"/>
          <w:szCs w:val="20"/>
        </w:rPr>
        <w:t>200</w:t>
      </w:r>
      <w:r w:rsidR="00C7472A">
        <w:rPr>
          <w:color w:val="000000" w:themeColor="text1"/>
          <w:sz w:val="20"/>
          <w:szCs w:val="20"/>
        </w:rPr>
        <w:t> </w:t>
      </w:r>
      <w:r w:rsidRPr="003C361F">
        <w:rPr>
          <w:color w:val="000000" w:themeColor="text1"/>
          <w:sz w:val="20"/>
          <w:szCs w:val="20"/>
        </w:rPr>
        <w:t>celler/μl), og ved region (USA eller uden for USA).</w:t>
      </w:r>
    </w:p>
    <w:p w14:paraId="0B8FD4AB" w14:textId="0E5EB629" w:rsidR="00DB1C4E" w:rsidRPr="003C361F" w:rsidRDefault="00DB1C4E" w:rsidP="003C361F">
      <w:pPr>
        <w:pStyle w:val="Brdtekst"/>
        <w:widowControl/>
        <w:suppressAutoHyphens/>
        <w:kinsoku w:val="0"/>
        <w:overflowPunct w:val="0"/>
        <w:ind w:left="284" w:hanging="284"/>
        <w:rPr>
          <w:color w:val="000000" w:themeColor="text1"/>
          <w:sz w:val="20"/>
          <w:szCs w:val="20"/>
        </w:rPr>
      </w:pPr>
      <w:r w:rsidRPr="003C361F">
        <w:rPr>
          <w:color w:val="000000" w:themeColor="text1"/>
          <w:sz w:val="20"/>
          <w:szCs w:val="20"/>
          <w:vertAlign w:val="superscript"/>
        </w:rPr>
        <w:t>c</w:t>
      </w:r>
      <w:r w:rsidRPr="003C361F">
        <w:rPr>
          <w:color w:val="000000" w:themeColor="text1"/>
          <w:sz w:val="20"/>
          <w:szCs w:val="20"/>
        </w:rPr>
        <w:t xml:space="preserve"> </w:t>
      </w:r>
      <w:r w:rsidR="003C361F" w:rsidRPr="003C361F">
        <w:rPr>
          <w:color w:val="000000" w:themeColor="text1"/>
          <w:sz w:val="20"/>
          <w:szCs w:val="20"/>
        </w:rPr>
        <w:tab/>
      </w:r>
      <w:r w:rsidRPr="003C361F">
        <w:rPr>
          <w:color w:val="000000" w:themeColor="text1"/>
          <w:sz w:val="20"/>
          <w:szCs w:val="20"/>
        </w:rPr>
        <w:t>Omfatter patienter, som havde ≥ 50 kopier/ml i uge 48- eller 144-vinduet, patienter, som afbrød behandlingen tidligt som følge af manglende eller svigtende virkning, patienter, som afbrød behandlingen af andre årsager end en adverse event (AE), død eller manglende eller svigtende virkning, og som på tidspunktet for seponering havde en viral load på ≥ 50 kopier/ml.</w:t>
      </w:r>
    </w:p>
    <w:p w14:paraId="27DE5E7E" w14:textId="627EFB8A" w:rsidR="00DB1C4E" w:rsidRPr="003C361F" w:rsidRDefault="00DB1C4E" w:rsidP="003C361F">
      <w:pPr>
        <w:pStyle w:val="Brdtekst"/>
        <w:widowControl/>
        <w:suppressAutoHyphens/>
        <w:kinsoku w:val="0"/>
        <w:overflowPunct w:val="0"/>
        <w:ind w:left="284" w:hanging="284"/>
        <w:rPr>
          <w:color w:val="000000" w:themeColor="text1"/>
          <w:sz w:val="20"/>
          <w:szCs w:val="20"/>
        </w:rPr>
      </w:pPr>
      <w:r w:rsidRPr="003C361F">
        <w:rPr>
          <w:color w:val="000000" w:themeColor="text1"/>
          <w:sz w:val="20"/>
          <w:szCs w:val="20"/>
          <w:vertAlign w:val="superscript"/>
        </w:rPr>
        <w:t>d</w:t>
      </w:r>
      <w:r w:rsidRPr="003C361F">
        <w:rPr>
          <w:color w:val="000000" w:themeColor="text1"/>
          <w:sz w:val="20"/>
          <w:szCs w:val="20"/>
        </w:rPr>
        <w:t xml:space="preserve"> </w:t>
      </w:r>
      <w:r w:rsidR="003C361F" w:rsidRPr="003C361F">
        <w:rPr>
          <w:color w:val="000000" w:themeColor="text1"/>
          <w:sz w:val="20"/>
          <w:szCs w:val="20"/>
        </w:rPr>
        <w:tab/>
      </w:r>
      <w:r w:rsidRPr="003C361F">
        <w:rPr>
          <w:color w:val="000000" w:themeColor="text1"/>
          <w:sz w:val="20"/>
          <w:szCs w:val="20"/>
        </w:rPr>
        <w:t>Omfatter patienter, som afbrød behandlingen som følge af en AE eller død på et tidspunkt fra dag 1 og i løbet af tidsvinduet, hvis dette ikke resulterede i virologiske data om behandlingen i løbet af det specificerede tidsvindue.</w:t>
      </w:r>
    </w:p>
    <w:p w14:paraId="18DBCE5C" w14:textId="3C84C343" w:rsidR="00DB1C4E" w:rsidRPr="003C361F" w:rsidRDefault="00DB1C4E" w:rsidP="003C361F">
      <w:pPr>
        <w:pStyle w:val="Brdtekst"/>
        <w:widowControl/>
        <w:suppressAutoHyphens/>
        <w:kinsoku w:val="0"/>
        <w:overflowPunct w:val="0"/>
        <w:ind w:left="284" w:hanging="284"/>
        <w:rPr>
          <w:color w:val="000000" w:themeColor="text1"/>
          <w:sz w:val="20"/>
          <w:szCs w:val="20"/>
        </w:rPr>
      </w:pPr>
      <w:r w:rsidRPr="003C361F">
        <w:rPr>
          <w:color w:val="000000" w:themeColor="text1"/>
          <w:sz w:val="20"/>
          <w:szCs w:val="20"/>
          <w:vertAlign w:val="superscript"/>
        </w:rPr>
        <w:t>e</w:t>
      </w:r>
      <w:r w:rsidRPr="003C361F">
        <w:rPr>
          <w:color w:val="000000" w:themeColor="text1"/>
          <w:sz w:val="20"/>
          <w:szCs w:val="20"/>
        </w:rPr>
        <w:t xml:space="preserve"> </w:t>
      </w:r>
      <w:r w:rsidR="003C361F" w:rsidRPr="003C361F">
        <w:rPr>
          <w:color w:val="000000" w:themeColor="text1"/>
          <w:sz w:val="20"/>
          <w:szCs w:val="20"/>
        </w:rPr>
        <w:tab/>
      </w:r>
      <w:r w:rsidRPr="003C361F">
        <w:rPr>
          <w:color w:val="000000" w:themeColor="text1"/>
          <w:sz w:val="20"/>
          <w:szCs w:val="20"/>
        </w:rPr>
        <w:t>Omfatter patienter, som afbrød behandlingen af andre årsager end en AE, død eller manglende eller svigtende virkning, f.eks. tilbagetrækning af samtykke, tabt for opfølgning osv.</w:t>
      </w:r>
    </w:p>
    <w:p w14:paraId="438856F2" w14:textId="77777777" w:rsidR="00DB1C4E" w:rsidRPr="00F2263F" w:rsidRDefault="00DB1C4E" w:rsidP="00132A6A">
      <w:pPr>
        <w:ind w:left="851"/>
        <w:rPr>
          <w:sz w:val="24"/>
          <w:szCs w:val="24"/>
        </w:rPr>
      </w:pPr>
    </w:p>
    <w:p w14:paraId="607C4C3E" w14:textId="6EBA6282" w:rsidR="00DB1C4E" w:rsidRPr="00F2263F" w:rsidRDefault="00DB1C4E" w:rsidP="00132A6A">
      <w:pPr>
        <w:ind w:left="851"/>
        <w:rPr>
          <w:sz w:val="24"/>
          <w:szCs w:val="24"/>
        </w:rPr>
      </w:pPr>
      <w:r w:rsidRPr="00F2263F">
        <w:rPr>
          <w:sz w:val="24"/>
          <w:szCs w:val="24"/>
        </w:rPr>
        <w:t>Den gennemsnitlige stigning i CD4+-celletal fra baseline i uge 48 var 230 celler/mm</w:t>
      </w:r>
      <w:r w:rsidRPr="00C7472A">
        <w:rPr>
          <w:sz w:val="24"/>
          <w:szCs w:val="24"/>
          <w:vertAlign w:val="superscript"/>
        </w:rPr>
        <w:t>3</w:t>
      </w:r>
      <w:r w:rsidRPr="00F2263F">
        <w:rPr>
          <w:sz w:val="24"/>
          <w:szCs w:val="24"/>
        </w:rPr>
        <w:t xml:space="preserve"> hos patienter, der fik E/C/F/TAF, og 211 celler/mm</w:t>
      </w:r>
      <w:r w:rsidRPr="00C7472A">
        <w:rPr>
          <w:sz w:val="24"/>
          <w:szCs w:val="24"/>
          <w:vertAlign w:val="superscript"/>
        </w:rPr>
        <w:t>3</w:t>
      </w:r>
      <w:r w:rsidRPr="00F2263F">
        <w:rPr>
          <w:sz w:val="24"/>
          <w:szCs w:val="24"/>
        </w:rPr>
        <w:t xml:space="preserve"> hos patienter, der fik E/C/F/TDF (p</w:t>
      </w:r>
      <w:r w:rsidR="00C7472A">
        <w:rPr>
          <w:sz w:val="24"/>
          <w:szCs w:val="24"/>
        </w:rPr>
        <w:t> </w:t>
      </w:r>
      <w:r w:rsidRPr="00F2263F">
        <w:rPr>
          <w:sz w:val="24"/>
          <w:szCs w:val="24"/>
        </w:rPr>
        <w:t>=</w:t>
      </w:r>
      <w:r w:rsidR="00C7472A">
        <w:rPr>
          <w:sz w:val="24"/>
          <w:szCs w:val="24"/>
        </w:rPr>
        <w:t> </w:t>
      </w:r>
      <w:r w:rsidRPr="00F2263F">
        <w:rPr>
          <w:sz w:val="24"/>
          <w:szCs w:val="24"/>
        </w:rPr>
        <w:t>0,024), og 326 celler/mm</w:t>
      </w:r>
      <w:r w:rsidRPr="00C7472A">
        <w:rPr>
          <w:sz w:val="24"/>
          <w:szCs w:val="24"/>
          <w:vertAlign w:val="superscript"/>
        </w:rPr>
        <w:t>3</w:t>
      </w:r>
      <w:r w:rsidRPr="00F2263F">
        <w:rPr>
          <w:sz w:val="24"/>
          <w:szCs w:val="24"/>
        </w:rPr>
        <w:t xml:space="preserve"> hos patienter, der fik E/C/F/TAF, og 305 celler/mm</w:t>
      </w:r>
      <w:r w:rsidRPr="00C7472A">
        <w:rPr>
          <w:sz w:val="24"/>
          <w:szCs w:val="24"/>
          <w:vertAlign w:val="superscript"/>
        </w:rPr>
        <w:t>3</w:t>
      </w:r>
      <w:r w:rsidRPr="00F2263F">
        <w:rPr>
          <w:sz w:val="24"/>
          <w:szCs w:val="24"/>
        </w:rPr>
        <w:t xml:space="preserve"> hos patienter, der fik E/C/F/TDF (p = 0,06), i uge 144.</w:t>
      </w:r>
    </w:p>
    <w:p w14:paraId="1B85C78F" w14:textId="77777777" w:rsidR="00DB1C4E" w:rsidRPr="00F2263F" w:rsidRDefault="00DB1C4E" w:rsidP="00132A6A">
      <w:pPr>
        <w:ind w:left="851"/>
        <w:rPr>
          <w:sz w:val="24"/>
          <w:szCs w:val="24"/>
        </w:rPr>
      </w:pPr>
    </w:p>
    <w:p w14:paraId="7645750A" w14:textId="5EBED674" w:rsidR="00DB1C4E" w:rsidRPr="00F2263F" w:rsidRDefault="00DB1C4E" w:rsidP="00132A6A">
      <w:pPr>
        <w:ind w:left="851"/>
        <w:rPr>
          <w:sz w:val="24"/>
          <w:szCs w:val="24"/>
        </w:rPr>
      </w:pPr>
      <w:r w:rsidRPr="00F2263F">
        <w:rPr>
          <w:sz w:val="24"/>
          <w:szCs w:val="24"/>
        </w:rPr>
        <w:t xml:space="preserve">Den kliniske virkning af emtricitabin og </w:t>
      </w:r>
      <w:r w:rsidR="00202D86">
        <w:rPr>
          <w:sz w:val="24"/>
          <w:szCs w:val="24"/>
        </w:rPr>
        <w:t>tenofovir alafenamid fumarat</w:t>
      </w:r>
      <w:r w:rsidRPr="00F2263F">
        <w:rPr>
          <w:sz w:val="24"/>
          <w:szCs w:val="24"/>
        </w:rPr>
        <w:t xml:space="preserve"> kombinationen hos behandlingsnaive patienter blev også klarlagt fra et studie udført med emtricitabin og </w:t>
      </w:r>
      <w:r w:rsidR="00202D86">
        <w:rPr>
          <w:sz w:val="24"/>
          <w:szCs w:val="24"/>
        </w:rPr>
        <w:t>tenofovir alafenamid</w:t>
      </w:r>
      <w:r w:rsidRPr="00F2263F">
        <w:rPr>
          <w:sz w:val="24"/>
          <w:szCs w:val="24"/>
        </w:rPr>
        <w:t xml:space="preserve"> (10 mg), når det blev givet sammen med darunavir (800 mg) og cobicistat som en fastdosis kombinationstablet (D/C/F/TAF). I studie GS-US-299-0102 blev patienterne randomiseret i forholdet 2:1 til at få enten fastdosis kombinationen D/C/F/TAF én gang dagligt (n = 103) eller darunavir og cobicistat og emtricitabin/</w:t>
      </w:r>
      <w:r w:rsidR="00202D86">
        <w:rPr>
          <w:sz w:val="24"/>
          <w:szCs w:val="24"/>
        </w:rPr>
        <w:t>tenofovir disoproxil fumarat</w:t>
      </w:r>
      <w:r w:rsidRPr="00F2263F">
        <w:rPr>
          <w:sz w:val="24"/>
          <w:szCs w:val="24"/>
        </w:rPr>
        <w:t xml:space="preserve"> én gang dagligt (n = 50). Andelene af patienter med plasma hiv 1-rna &lt; 50 kopier/ml og &lt; 20 kopier/ml er vist i tabel 5.</w:t>
      </w:r>
    </w:p>
    <w:p w14:paraId="61A7F465" w14:textId="7D208976" w:rsidR="00C7472A" w:rsidRDefault="00C7472A">
      <w:pPr>
        <w:rPr>
          <w:sz w:val="24"/>
          <w:szCs w:val="24"/>
        </w:rPr>
      </w:pPr>
      <w:r>
        <w:rPr>
          <w:sz w:val="24"/>
          <w:szCs w:val="24"/>
        </w:rPr>
        <w:br w:type="page"/>
      </w:r>
    </w:p>
    <w:p w14:paraId="64465BF1" w14:textId="77777777" w:rsidR="00DB1C4E" w:rsidRPr="00F2263F" w:rsidRDefault="00DB1C4E" w:rsidP="00132A6A">
      <w:pPr>
        <w:ind w:left="851"/>
        <w:rPr>
          <w:sz w:val="24"/>
          <w:szCs w:val="24"/>
        </w:rPr>
      </w:pPr>
    </w:p>
    <w:p w14:paraId="0357B8F6" w14:textId="77777777" w:rsidR="00DB1C4E" w:rsidRPr="00F2263F" w:rsidRDefault="00DB1C4E" w:rsidP="00DB1C4E">
      <w:pPr>
        <w:pStyle w:val="Brdtekst"/>
        <w:widowControl/>
        <w:suppressAutoHyphens/>
        <w:kinsoku w:val="0"/>
        <w:overflowPunct w:val="0"/>
        <w:ind w:left="0"/>
        <w:rPr>
          <w:b/>
          <w:bCs/>
          <w:color w:val="000000" w:themeColor="text1"/>
        </w:rPr>
      </w:pPr>
      <w:r w:rsidRPr="00F2263F">
        <w:rPr>
          <w:b/>
          <w:bCs/>
          <w:color w:val="000000" w:themeColor="text1"/>
        </w:rPr>
        <w:t>Tabel 5: Virologiske resultater af studie GS-US-299-0102 ved uge 24 og 48</w:t>
      </w:r>
      <w:r w:rsidRPr="00F2263F">
        <w:rPr>
          <w:b/>
          <w:bCs/>
          <w:color w:val="000000" w:themeColor="text1"/>
          <w:vertAlign w:val="superscript"/>
        </w:rPr>
        <w:t>a</w:t>
      </w:r>
    </w:p>
    <w:p w14:paraId="575F68EB" w14:textId="77777777" w:rsidR="00DB1C4E" w:rsidRPr="00F2263F" w:rsidRDefault="00DB1C4E" w:rsidP="00DB1C4E">
      <w:pPr>
        <w:pStyle w:val="Brdtekst"/>
        <w:widowControl/>
        <w:suppressAutoHyphens/>
        <w:kinsoku w:val="0"/>
        <w:overflowPunct w:val="0"/>
        <w:ind w:left="0"/>
        <w:rPr>
          <w:color w:val="000000" w:themeColor="text1"/>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750"/>
        <w:gridCol w:w="1130"/>
        <w:gridCol w:w="2191"/>
        <w:gridCol w:w="1219"/>
        <w:gridCol w:w="2338"/>
      </w:tblGrid>
      <w:tr w:rsidR="00DB1C4E" w:rsidRPr="00A718C0" w14:paraId="2608BD6A" w14:textId="77777777" w:rsidTr="00132A6A">
        <w:trPr>
          <w:cantSplit/>
          <w:trHeight w:val="220"/>
          <w:tblHeader/>
        </w:trPr>
        <w:tc>
          <w:tcPr>
            <w:tcW w:w="1428" w:type="pct"/>
            <w:tcBorders>
              <w:top w:val="single" w:sz="4" w:space="0" w:color="000000"/>
              <w:left w:val="single" w:sz="4" w:space="0" w:color="000000"/>
              <w:bottom w:val="single" w:sz="4" w:space="0" w:color="000000"/>
              <w:right w:val="single" w:sz="4" w:space="0" w:color="000000"/>
            </w:tcBorders>
          </w:tcPr>
          <w:p w14:paraId="0248D804" w14:textId="77777777" w:rsidR="00DB1C4E" w:rsidRPr="00A718C0" w:rsidRDefault="00DB1C4E">
            <w:pPr>
              <w:pStyle w:val="TableParagraph"/>
              <w:keepNext/>
              <w:keepLines/>
              <w:rPr>
                <w:sz w:val="22"/>
                <w:szCs w:val="22"/>
                <w:lang w:val="ru-RU" w:eastAsia="ru-RU"/>
              </w:rPr>
            </w:pPr>
            <w:bookmarkStart w:id="5" w:name="_Hlk209433228"/>
          </w:p>
        </w:tc>
        <w:tc>
          <w:tcPr>
            <w:tcW w:w="1725" w:type="pct"/>
            <w:gridSpan w:val="2"/>
            <w:tcBorders>
              <w:top w:val="single" w:sz="4" w:space="0" w:color="000000"/>
              <w:left w:val="single" w:sz="4" w:space="0" w:color="000000"/>
              <w:bottom w:val="single" w:sz="4" w:space="0" w:color="000000"/>
              <w:right w:val="single" w:sz="4" w:space="0" w:color="000000"/>
            </w:tcBorders>
            <w:vAlign w:val="center"/>
            <w:hideMark/>
          </w:tcPr>
          <w:p w14:paraId="3F93C05C" w14:textId="77777777" w:rsidR="00DB1C4E" w:rsidRPr="00A718C0" w:rsidRDefault="00DB1C4E">
            <w:pPr>
              <w:pStyle w:val="TableParagraph"/>
              <w:keepNext/>
              <w:keepLines/>
              <w:jc w:val="center"/>
              <w:rPr>
                <w:b/>
                <w:sz w:val="22"/>
                <w:szCs w:val="22"/>
                <w:lang w:val="ru-RU" w:eastAsia="ru-RU"/>
              </w:rPr>
            </w:pPr>
            <w:r w:rsidRPr="00A718C0">
              <w:rPr>
                <w:b/>
                <w:sz w:val="22"/>
                <w:szCs w:val="22"/>
                <w:lang w:val="ru-RU" w:eastAsia="ru-RU"/>
              </w:rPr>
              <w:t>Uge 24</w:t>
            </w:r>
          </w:p>
        </w:tc>
        <w:tc>
          <w:tcPr>
            <w:tcW w:w="1847" w:type="pct"/>
            <w:gridSpan w:val="2"/>
            <w:tcBorders>
              <w:top w:val="single" w:sz="4" w:space="0" w:color="000000"/>
              <w:left w:val="single" w:sz="4" w:space="0" w:color="000000"/>
              <w:bottom w:val="single" w:sz="4" w:space="0" w:color="000000"/>
              <w:right w:val="single" w:sz="4" w:space="0" w:color="000000"/>
            </w:tcBorders>
            <w:vAlign w:val="center"/>
            <w:hideMark/>
          </w:tcPr>
          <w:p w14:paraId="22475807" w14:textId="77777777" w:rsidR="00DB1C4E" w:rsidRPr="00A718C0" w:rsidRDefault="00DB1C4E">
            <w:pPr>
              <w:pStyle w:val="TableParagraph"/>
              <w:keepNext/>
              <w:keepLines/>
              <w:jc w:val="center"/>
              <w:rPr>
                <w:b/>
                <w:sz w:val="22"/>
                <w:szCs w:val="22"/>
                <w:lang w:val="ru-RU" w:eastAsia="ru-RU"/>
              </w:rPr>
            </w:pPr>
            <w:r w:rsidRPr="00A718C0">
              <w:rPr>
                <w:b/>
                <w:sz w:val="22"/>
                <w:szCs w:val="22"/>
                <w:lang w:val="ru-RU" w:eastAsia="ru-RU"/>
              </w:rPr>
              <w:t>Uge 48</w:t>
            </w:r>
          </w:p>
        </w:tc>
      </w:tr>
      <w:tr w:rsidR="00DB1C4E" w:rsidRPr="00A718C0" w14:paraId="23A85904" w14:textId="77777777" w:rsidTr="00132A6A">
        <w:trPr>
          <w:cantSplit/>
          <w:trHeight w:val="1140"/>
          <w:tblHeader/>
        </w:trPr>
        <w:tc>
          <w:tcPr>
            <w:tcW w:w="1428" w:type="pct"/>
            <w:tcBorders>
              <w:top w:val="single" w:sz="4" w:space="0" w:color="000000"/>
              <w:left w:val="single" w:sz="4" w:space="0" w:color="000000"/>
              <w:bottom w:val="single" w:sz="4" w:space="0" w:color="000000"/>
              <w:right w:val="single" w:sz="4" w:space="0" w:color="000000"/>
            </w:tcBorders>
          </w:tcPr>
          <w:p w14:paraId="3857602D" w14:textId="77777777" w:rsidR="00DB1C4E" w:rsidRPr="00A718C0" w:rsidRDefault="00DB1C4E">
            <w:pPr>
              <w:pStyle w:val="TableParagraph"/>
              <w:rPr>
                <w:sz w:val="22"/>
                <w:szCs w:val="22"/>
                <w:lang w:val="ru-RU" w:eastAsia="ru-RU"/>
              </w:rPr>
            </w:pPr>
          </w:p>
        </w:tc>
        <w:tc>
          <w:tcPr>
            <w:tcW w:w="587" w:type="pct"/>
            <w:tcBorders>
              <w:top w:val="single" w:sz="4" w:space="0" w:color="000000"/>
              <w:left w:val="single" w:sz="4" w:space="0" w:color="000000"/>
              <w:bottom w:val="single" w:sz="4" w:space="0" w:color="000000"/>
              <w:right w:val="single" w:sz="4" w:space="0" w:color="000000"/>
            </w:tcBorders>
            <w:vAlign w:val="center"/>
            <w:hideMark/>
          </w:tcPr>
          <w:p w14:paraId="0B1181EE" w14:textId="77777777" w:rsidR="00DB1C4E" w:rsidRPr="00A718C0" w:rsidRDefault="00DB1C4E">
            <w:pPr>
              <w:jc w:val="center"/>
              <w:rPr>
                <w:b/>
                <w:bCs/>
                <w:sz w:val="22"/>
                <w:szCs w:val="22"/>
                <w:lang w:val="ru-RU" w:eastAsia="ru-RU"/>
              </w:rPr>
            </w:pPr>
            <w:r w:rsidRPr="00A718C0">
              <w:rPr>
                <w:b/>
                <w:bCs/>
                <w:sz w:val="22"/>
                <w:szCs w:val="22"/>
                <w:lang w:val="ru-RU" w:eastAsia="ru-RU"/>
              </w:rPr>
              <w:t>D/C/F/TAF (n = 103)</w:t>
            </w:r>
          </w:p>
        </w:tc>
        <w:tc>
          <w:tcPr>
            <w:tcW w:w="1137" w:type="pct"/>
            <w:tcBorders>
              <w:top w:val="single" w:sz="4" w:space="0" w:color="000000"/>
              <w:left w:val="single" w:sz="4" w:space="0" w:color="000000"/>
              <w:bottom w:val="single" w:sz="4" w:space="0" w:color="000000"/>
              <w:right w:val="single" w:sz="4" w:space="0" w:color="000000"/>
            </w:tcBorders>
            <w:vAlign w:val="center"/>
            <w:hideMark/>
          </w:tcPr>
          <w:p w14:paraId="39B24A4C" w14:textId="77777777" w:rsidR="00DB1C4E" w:rsidRPr="00A718C0" w:rsidRDefault="00DB1C4E">
            <w:pPr>
              <w:jc w:val="center"/>
              <w:rPr>
                <w:b/>
                <w:bCs/>
                <w:sz w:val="22"/>
                <w:szCs w:val="22"/>
                <w:lang w:val="ru-RU" w:eastAsia="ru-RU"/>
              </w:rPr>
            </w:pPr>
            <w:r w:rsidRPr="00A718C0">
              <w:rPr>
                <w:b/>
                <w:bCs/>
                <w:sz w:val="22"/>
                <w:szCs w:val="22"/>
                <w:lang w:val="ru-RU" w:eastAsia="ru-RU"/>
              </w:rPr>
              <w:t>Darunavir, cobicistat og emtricitabin/ tenofovir disoproxilfumarat</w:t>
            </w:r>
          </w:p>
          <w:p w14:paraId="07D9205A" w14:textId="77777777" w:rsidR="00DB1C4E" w:rsidRPr="00A718C0" w:rsidRDefault="00DB1C4E">
            <w:pPr>
              <w:jc w:val="center"/>
              <w:rPr>
                <w:b/>
                <w:bCs/>
                <w:sz w:val="22"/>
                <w:szCs w:val="22"/>
                <w:lang w:val="ru-RU" w:eastAsia="ru-RU"/>
              </w:rPr>
            </w:pPr>
            <w:r w:rsidRPr="00A718C0">
              <w:rPr>
                <w:b/>
                <w:bCs/>
                <w:sz w:val="22"/>
                <w:szCs w:val="22"/>
                <w:lang w:val="ru-RU" w:eastAsia="ru-RU"/>
              </w:rPr>
              <w:t>(n = 50)</w:t>
            </w:r>
          </w:p>
        </w:tc>
        <w:tc>
          <w:tcPr>
            <w:tcW w:w="633" w:type="pct"/>
            <w:tcBorders>
              <w:top w:val="single" w:sz="4" w:space="0" w:color="000000"/>
              <w:left w:val="single" w:sz="4" w:space="0" w:color="000000"/>
              <w:bottom w:val="single" w:sz="4" w:space="0" w:color="000000"/>
              <w:right w:val="single" w:sz="4" w:space="0" w:color="000000"/>
            </w:tcBorders>
            <w:vAlign w:val="center"/>
            <w:hideMark/>
          </w:tcPr>
          <w:p w14:paraId="2FBACEE6" w14:textId="77777777" w:rsidR="00DB1C4E" w:rsidRPr="00A718C0" w:rsidRDefault="00DB1C4E">
            <w:pPr>
              <w:jc w:val="center"/>
              <w:rPr>
                <w:b/>
                <w:bCs/>
                <w:sz w:val="22"/>
                <w:szCs w:val="22"/>
                <w:lang w:val="ru-RU" w:eastAsia="ru-RU"/>
              </w:rPr>
            </w:pPr>
            <w:r w:rsidRPr="00A718C0">
              <w:rPr>
                <w:b/>
                <w:bCs/>
                <w:sz w:val="22"/>
                <w:szCs w:val="22"/>
                <w:lang w:val="ru-RU" w:eastAsia="ru-RU"/>
              </w:rPr>
              <w:t>D/C/F/TAF (n = 103)</w:t>
            </w:r>
          </w:p>
        </w:tc>
        <w:tc>
          <w:tcPr>
            <w:tcW w:w="1213" w:type="pct"/>
            <w:tcBorders>
              <w:top w:val="single" w:sz="4" w:space="0" w:color="000000"/>
              <w:left w:val="single" w:sz="4" w:space="0" w:color="000000"/>
              <w:bottom w:val="single" w:sz="4" w:space="0" w:color="000000"/>
              <w:right w:val="single" w:sz="4" w:space="0" w:color="000000"/>
            </w:tcBorders>
            <w:vAlign w:val="center"/>
            <w:hideMark/>
          </w:tcPr>
          <w:p w14:paraId="2CA01BDB" w14:textId="77777777" w:rsidR="00DB1C4E" w:rsidRPr="00A718C0" w:rsidRDefault="00DB1C4E">
            <w:pPr>
              <w:jc w:val="center"/>
              <w:rPr>
                <w:b/>
                <w:bCs/>
                <w:sz w:val="22"/>
                <w:szCs w:val="22"/>
                <w:lang w:val="ru-RU" w:eastAsia="ru-RU"/>
              </w:rPr>
            </w:pPr>
            <w:r w:rsidRPr="00A718C0">
              <w:rPr>
                <w:b/>
                <w:bCs/>
                <w:sz w:val="22"/>
                <w:szCs w:val="22"/>
                <w:lang w:val="ru-RU" w:eastAsia="ru-RU"/>
              </w:rPr>
              <w:t>Darunavir, cobicistat og emtricitabin/ tenofovir disoproxilfumarat</w:t>
            </w:r>
          </w:p>
          <w:p w14:paraId="15597348" w14:textId="77777777" w:rsidR="00DB1C4E" w:rsidRPr="00A718C0" w:rsidRDefault="00DB1C4E">
            <w:pPr>
              <w:jc w:val="center"/>
              <w:rPr>
                <w:b/>
                <w:bCs/>
                <w:sz w:val="22"/>
                <w:szCs w:val="22"/>
                <w:lang w:val="ru-RU" w:eastAsia="ru-RU"/>
              </w:rPr>
            </w:pPr>
            <w:r w:rsidRPr="00A718C0">
              <w:rPr>
                <w:b/>
                <w:bCs/>
                <w:sz w:val="22"/>
                <w:szCs w:val="22"/>
                <w:lang w:val="ru-RU" w:eastAsia="ru-RU"/>
              </w:rPr>
              <w:t>(n = 50)</w:t>
            </w:r>
          </w:p>
        </w:tc>
      </w:tr>
      <w:tr w:rsidR="00DB1C4E" w:rsidRPr="00A718C0" w14:paraId="379387C8" w14:textId="77777777" w:rsidTr="00132A6A">
        <w:trPr>
          <w:cantSplit/>
          <w:trHeight w:val="460"/>
        </w:trPr>
        <w:tc>
          <w:tcPr>
            <w:tcW w:w="1428" w:type="pct"/>
            <w:tcBorders>
              <w:top w:val="single" w:sz="4" w:space="0" w:color="000000"/>
              <w:left w:val="single" w:sz="4" w:space="0" w:color="000000"/>
              <w:bottom w:val="single" w:sz="4" w:space="0" w:color="000000"/>
              <w:right w:val="single" w:sz="4" w:space="0" w:color="000000"/>
            </w:tcBorders>
            <w:hideMark/>
          </w:tcPr>
          <w:p w14:paraId="0C6BA95A" w14:textId="77777777" w:rsidR="00DB1C4E" w:rsidRPr="00A718C0" w:rsidRDefault="00DB1C4E">
            <w:pPr>
              <w:pStyle w:val="TableParagraph"/>
              <w:rPr>
                <w:b/>
                <w:sz w:val="22"/>
                <w:szCs w:val="22"/>
                <w:lang w:val="ru-RU" w:eastAsia="ru-RU"/>
              </w:rPr>
            </w:pPr>
            <w:r w:rsidRPr="00A718C0">
              <w:rPr>
                <w:b/>
                <w:sz w:val="22"/>
                <w:szCs w:val="22"/>
                <w:lang w:val="ru-RU" w:eastAsia="ru-RU"/>
              </w:rPr>
              <w:t xml:space="preserve">Hiv 1-rna </w:t>
            </w:r>
          </w:p>
          <w:p w14:paraId="194C8C55" w14:textId="77777777" w:rsidR="00DB1C4E" w:rsidRPr="00A718C0" w:rsidRDefault="00DB1C4E">
            <w:pPr>
              <w:pStyle w:val="TableParagraph"/>
              <w:rPr>
                <w:b/>
                <w:sz w:val="22"/>
                <w:szCs w:val="22"/>
                <w:lang w:val="ru-RU" w:eastAsia="ru-RU"/>
              </w:rPr>
            </w:pPr>
            <w:r w:rsidRPr="00A718C0">
              <w:rPr>
                <w:b/>
                <w:sz w:val="22"/>
                <w:szCs w:val="22"/>
                <w:lang w:val="ru-RU" w:eastAsia="ru-RU"/>
              </w:rPr>
              <w:t>&lt; 50 kopier/ml</w:t>
            </w:r>
          </w:p>
        </w:tc>
        <w:tc>
          <w:tcPr>
            <w:tcW w:w="587" w:type="pct"/>
            <w:tcBorders>
              <w:top w:val="single" w:sz="4" w:space="0" w:color="000000"/>
              <w:left w:val="single" w:sz="4" w:space="0" w:color="000000"/>
              <w:bottom w:val="single" w:sz="4" w:space="0" w:color="000000"/>
              <w:right w:val="single" w:sz="4" w:space="0" w:color="000000"/>
            </w:tcBorders>
            <w:vAlign w:val="center"/>
            <w:hideMark/>
          </w:tcPr>
          <w:p w14:paraId="28B059EB" w14:textId="77777777" w:rsidR="00DB1C4E" w:rsidRPr="00A718C0" w:rsidRDefault="00DB1C4E">
            <w:pPr>
              <w:pStyle w:val="TableParagraph"/>
              <w:jc w:val="center"/>
              <w:rPr>
                <w:sz w:val="22"/>
                <w:szCs w:val="22"/>
                <w:lang w:val="ru-RU" w:eastAsia="ru-RU"/>
              </w:rPr>
            </w:pPr>
            <w:r w:rsidRPr="00A718C0">
              <w:rPr>
                <w:sz w:val="22"/>
                <w:szCs w:val="22"/>
                <w:lang w:val="ru-RU" w:eastAsia="ru-RU"/>
              </w:rPr>
              <w:t>75%</w:t>
            </w:r>
          </w:p>
        </w:tc>
        <w:tc>
          <w:tcPr>
            <w:tcW w:w="1137" w:type="pct"/>
            <w:tcBorders>
              <w:top w:val="single" w:sz="4" w:space="0" w:color="000000"/>
              <w:left w:val="single" w:sz="4" w:space="0" w:color="000000"/>
              <w:bottom w:val="single" w:sz="4" w:space="0" w:color="000000"/>
              <w:right w:val="single" w:sz="4" w:space="0" w:color="000000"/>
            </w:tcBorders>
            <w:vAlign w:val="center"/>
            <w:hideMark/>
          </w:tcPr>
          <w:p w14:paraId="10765953" w14:textId="77777777" w:rsidR="00DB1C4E" w:rsidRPr="00A718C0" w:rsidRDefault="00DB1C4E">
            <w:pPr>
              <w:pStyle w:val="TableParagraph"/>
              <w:jc w:val="center"/>
              <w:rPr>
                <w:sz w:val="22"/>
                <w:szCs w:val="22"/>
                <w:lang w:val="ru-RU" w:eastAsia="ru-RU"/>
              </w:rPr>
            </w:pPr>
            <w:r w:rsidRPr="00A718C0">
              <w:rPr>
                <w:sz w:val="22"/>
                <w:szCs w:val="22"/>
                <w:lang w:val="ru-RU" w:eastAsia="ru-RU"/>
              </w:rPr>
              <w:t>74%</w:t>
            </w:r>
          </w:p>
        </w:tc>
        <w:tc>
          <w:tcPr>
            <w:tcW w:w="633" w:type="pct"/>
            <w:tcBorders>
              <w:top w:val="single" w:sz="4" w:space="0" w:color="000000"/>
              <w:left w:val="single" w:sz="4" w:space="0" w:color="000000"/>
              <w:bottom w:val="single" w:sz="4" w:space="0" w:color="000000"/>
              <w:right w:val="single" w:sz="4" w:space="0" w:color="000000"/>
            </w:tcBorders>
            <w:vAlign w:val="center"/>
            <w:hideMark/>
          </w:tcPr>
          <w:p w14:paraId="274D8D89" w14:textId="77777777" w:rsidR="00DB1C4E" w:rsidRPr="00A718C0" w:rsidRDefault="00DB1C4E">
            <w:pPr>
              <w:pStyle w:val="TableParagraph"/>
              <w:jc w:val="center"/>
              <w:rPr>
                <w:sz w:val="22"/>
                <w:szCs w:val="22"/>
                <w:lang w:val="ru-RU" w:eastAsia="ru-RU"/>
              </w:rPr>
            </w:pPr>
            <w:r w:rsidRPr="00A718C0">
              <w:rPr>
                <w:sz w:val="22"/>
                <w:szCs w:val="22"/>
                <w:lang w:val="ru-RU" w:eastAsia="ru-RU"/>
              </w:rPr>
              <w:t>77%</w:t>
            </w:r>
          </w:p>
        </w:tc>
        <w:tc>
          <w:tcPr>
            <w:tcW w:w="1213" w:type="pct"/>
            <w:tcBorders>
              <w:top w:val="single" w:sz="4" w:space="0" w:color="000000"/>
              <w:left w:val="single" w:sz="4" w:space="0" w:color="000000"/>
              <w:bottom w:val="single" w:sz="4" w:space="0" w:color="000000"/>
              <w:right w:val="single" w:sz="4" w:space="0" w:color="000000"/>
            </w:tcBorders>
            <w:vAlign w:val="center"/>
            <w:hideMark/>
          </w:tcPr>
          <w:p w14:paraId="653B8614" w14:textId="77777777" w:rsidR="00DB1C4E" w:rsidRPr="00A718C0" w:rsidRDefault="00DB1C4E">
            <w:pPr>
              <w:pStyle w:val="TableParagraph"/>
              <w:jc w:val="center"/>
              <w:rPr>
                <w:sz w:val="22"/>
                <w:szCs w:val="22"/>
                <w:lang w:val="ru-RU" w:eastAsia="ru-RU"/>
              </w:rPr>
            </w:pPr>
            <w:r w:rsidRPr="00A718C0">
              <w:rPr>
                <w:sz w:val="22"/>
                <w:szCs w:val="22"/>
                <w:lang w:val="ru-RU" w:eastAsia="ru-RU"/>
              </w:rPr>
              <w:t>84%</w:t>
            </w:r>
          </w:p>
        </w:tc>
      </w:tr>
      <w:tr w:rsidR="00DB1C4E" w:rsidRPr="00A718C0" w14:paraId="0FA90B11" w14:textId="77777777" w:rsidTr="00132A6A">
        <w:trPr>
          <w:cantSplit/>
          <w:trHeight w:val="220"/>
        </w:trPr>
        <w:tc>
          <w:tcPr>
            <w:tcW w:w="1428" w:type="pct"/>
            <w:tcBorders>
              <w:top w:val="single" w:sz="4" w:space="0" w:color="000000"/>
              <w:left w:val="single" w:sz="4" w:space="0" w:color="000000"/>
              <w:bottom w:val="single" w:sz="4" w:space="0" w:color="000000"/>
              <w:right w:val="single" w:sz="4" w:space="0" w:color="000000"/>
            </w:tcBorders>
            <w:hideMark/>
          </w:tcPr>
          <w:p w14:paraId="31CCC751" w14:textId="77777777" w:rsidR="00DB1C4E" w:rsidRPr="00A718C0" w:rsidRDefault="00DB1C4E">
            <w:pPr>
              <w:pStyle w:val="TableParagraph"/>
              <w:ind w:left="142"/>
              <w:rPr>
                <w:sz w:val="22"/>
                <w:szCs w:val="22"/>
                <w:lang w:val="ru-RU" w:eastAsia="ru-RU"/>
              </w:rPr>
            </w:pPr>
            <w:r w:rsidRPr="00A718C0">
              <w:rPr>
                <w:sz w:val="22"/>
                <w:szCs w:val="22"/>
                <w:lang w:val="ru-RU" w:eastAsia="ru-RU"/>
              </w:rPr>
              <w:t>Treatment difference</w:t>
            </w:r>
          </w:p>
        </w:tc>
        <w:tc>
          <w:tcPr>
            <w:tcW w:w="1725" w:type="pct"/>
            <w:gridSpan w:val="2"/>
            <w:tcBorders>
              <w:top w:val="single" w:sz="4" w:space="0" w:color="000000"/>
              <w:left w:val="single" w:sz="4" w:space="0" w:color="000000"/>
              <w:bottom w:val="single" w:sz="4" w:space="0" w:color="000000"/>
              <w:right w:val="single" w:sz="4" w:space="0" w:color="000000"/>
            </w:tcBorders>
            <w:vAlign w:val="center"/>
            <w:hideMark/>
          </w:tcPr>
          <w:p w14:paraId="18074917" w14:textId="77777777" w:rsidR="00DB1C4E" w:rsidRPr="00A718C0" w:rsidRDefault="00DB1C4E">
            <w:pPr>
              <w:pStyle w:val="TableParagraph"/>
              <w:jc w:val="center"/>
              <w:rPr>
                <w:sz w:val="22"/>
                <w:szCs w:val="22"/>
                <w:lang w:val="ru-RU" w:eastAsia="ru-RU"/>
              </w:rPr>
            </w:pPr>
            <w:r w:rsidRPr="00A718C0">
              <w:rPr>
                <w:sz w:val="22"/>
                <w:szCs w:val="22"/>
                <w:lang w:val="ru-RU" w:eastAsia="ru-RU"/>
              </w:rPr>
              <w:t xml:space="preserve">3,3% (95% CI: </w:t>
            </w:r>
            <w:r w:rsidRPr="00A718C0">
              <w:rPr>
                <w:sz w:val="22"/>
                <w:szCs w:val="22"/>
                <w:lang w:val="ru-RU" w:eastAsia="ru-RU"/>
              </w:rPr>
              <w:noBreakHyphen/>
              <w:t>11,4% til 18,1%)</w:t>
            </w:r>
          </w:p>
        </w:tc>
        <w:tc>
          <w:tcPr>
            <w:tcW w:w="1847" w:type="pct"/>
            <w:gridSpan w:val="2"/>
            <w:tcBorders>
              <w:top w:val="single" w:sz="4" w:space="0" w:color="000000"/>
              <w:left w:val="single" w:sz="4" w:space="0" w:color="000000"/>
              <w:bottom w:val="single" w:sz="4" w:space="0" w:color="000000"/>
              <w:right w:val="single" w:sz="4" w:space="0" w:color="000000"/>
            </w:tcBorders>
            <w:vAlign w:val="center"/>
            <w:hideMark/>
          </w:tcPr>
          <w:p w14:paraId="6A8BC8F3" w14:textId="77777777" w:rsidR="00DB1C4E" w:rsidRPr="00A718C0" w:rsidRDefault="00DB1C4E">
            <w:pPr>
              <w:pStyle w:val="TableParagraph"/>
              <w:jc w:val="center"/>
              <w:rPr>
                <w:sz w:val="22"/>
                <w:szCs w:val="22"/>
                <w:lang w:val="ru-RU" w:eastAsia="ru-RU"/>
              </w:rPr>
            </w:pPr>
            <w:r w:rsidRPr="00A718C0">
              <w:rPr>
                <w:sz w:val="22"/>
                <w:szCs w:val="22"/>
                <w:lang w:val="ru-RU" w:eastAsia="ru-RU"/>
              </w:rPr>
              <w:noBreakHyphen/>
              <w:t xml:space="preserve">6,2% (95% CI: </w:t>
            </w:r>
            <w:r w:rsidRPr="00A718C0">
              <w:rPr>
                <w:sz w:val="22"/>
                <w:szCs w:val="22"/>
                <w:lang w:val="ru-RU" w:eastAsia="ru-RU"/>
              </w:rPr>
              <w:noBreakHyphen/>
              <w:t>19,9% til 7,4%)</w:t>
            </w:r>
          </w:p>
        </w:tc>
      </w:tr>
      <w:tr w:rsidR="00DB1C4E" w:rsidRPr="00A718C0" w14:paraId="0583C0CE" w14:textId="77777777" w:rsidTr="00132A6A">
        <w:trPr>
          <w:cantSplit/>
          <w:trHeight w:val="460"/>
        </w:trPr>
        <w:tc>
          <w:tcPr>
            <w:tcW w:w="1428" w:type="pct"/>
            <w:tcBorders>
              <w:top w:val="single" w:sz="4" w:space="0" w:color="000000"/>
              <w:left w:val="single" w:sz="4" w:space="0" w:color="000000"/>
              <w:bottom w:val="single" w:sz="4" w:space="0" w:color="000000"/>
              <w:right w:val="single" w:sz="4" w:space="0" w:color="000000"/>
            </w:tcBorders>
            <w:hideMark/>
          </w:tcPr>
          <w:p w14:paraId="631A3728" w14:textId="77777777" w:rsidR="00DB1C4E" w:rsidRPr="00A718C0" w:rsidRDefault="00DB1C4E">
            <w:pPr>
              <w:pStyle w:val="TableParagraph"/>
              <w:rPr>
                <w:b/>
                <w:sz w:val="22"/>
                <w:szCs w:val="22"/>
                <w:lang w:val="ru-RU" w:eastAsia="ru-RU"/>
              </w:rPr>
            </w:pPr>
            <w:r w:rsidRPr="00A718C0">
              <w:rPr>
                <w:b/>
                <w:sz w:val="22"/>
                <w:szCs w:val="22"/>
                <w:lang w:val="ru-RU" w:eastAsia="ru-RU"/>
              </w:rPr>
              <w:t>Hiv 1-rna ≥ 50 kopier/ml</w:t>
            </w:r>
            <w:r w:rsidRPr="00A718C0">
              <w:rPr>
                <w:b/>
                <w:bCs/>
                <w:sz w:val="22"/>
                <w:szCs w:val="22"/>
                <w:vertAlign w:val="superscript"/>
                <w:lang w:val="ru-RU" w:eastAsia="ru-RU"/>
              </w:rPr>
              <w:t>b</w:t>
            </w:r>
          </w:p>
        </w:tc>
        <w:tc>
          <w:tcPr>
            <w:tcW w:w="587" w:type="pct"/>
            <w:tcBorders>
              <w:top w:val="single" w:sz="4" w:space="0" w:color="000000"/>
              <w:left w:val="single" w:sz="4" w:space="0" w:color="000000"/>
              <w:bottom w:val="single" w:sz="4" w:space="0" w:color="000000"/>
              <w:right w:val="single" w:sz="4" w:space="0" w:color="000000"/>
            </w:tcBorders>
            <w:vAlign w:val="center"/>
            <w:hideMark/>
          </w:tcPr>
          <w:p w14:paraId="7FC2EB45" w14:textId="77777777" w:rsidR="00DB1C4E" w:rsidRPr="00A718C0" w:rsidRDefault="00DB1C4E">
            <w:pPr>
              <w:pStyle w:val="TableParagraph"/>
              <w:jc w:val="center"/>
              <w:rPr>
                <w:sz w:val="22"/>
                <w:szCs w:val="22"/>
                <w:lang w:val="ru-RU" w:eastAsia="ru-RU"/>
              </w:rPr>
            </w:pPr>
            <w:r w:rsidRPr="00A718C0">
              <w:rPr>
                <w:sz w:val="22"/>
                <w:szCs w:val="22"/>
                <w:lang w:val="ru-RU" w:eastAsia="ru-RU"/>
              </w:rPr>
              <w:t>20%</w:t>
            </w:r>
          </w:p>
        </w:tc>
        <w:tc>
          <w:tcPr>
            <w:tcW w:w="1137" w:type="pct"/>
            <w:tcBorders>
              <w:top w:val="single" w:sz="4" w:space="0" w:color="000000"/>
              <w:left w:val="single" w:sz="4" w:space="0" w:color="000000"/>
              <w:bottom w:val="single" w:sz="4" w:space="0" w:color="000000"/>
              <w:right w:val="single" w:sz="4" w:space="0" w:color="000000"/>
            </w:tcBorders>
            <w:vAlign w:val="center"/>
            <w:hideMark/>
          </w:tcPr>
          <w:p w14:paraId="73C8ABED" w14:textId="77777777" w:rsidR="00DB1C4E" w:rsidRPr="00A718C0" w:rsidRDefault="00DB1C4E">
            <w:pPr>
              <w:pStyle w:val="TableParagraph"/>
              <w:jc w:val="center"/>
              <w:rPr>
                <w:sz w:val="22"/>
                <w:szCs w:val="22"/>
                <w:lang w:val="ru-RU" w:eastAsia="ru-RU"/>
              </w:rPr>
            </w:pPr>
            <w:r w:rsidRPr="00A718C0">
              <w:rPr>
                <w:sz w:val="22"/>
                <w:szCs w:val="22"/>
                <w:lang w:val="ru-RU" w:eastAsia="ru-RU"/>
              </w:rPr>
              <w:t>24%</w:t>
            </w:r>
          </w:p>
        </w:tc>
        <w:tc>
          <w:tcPr>
            <w:tcW w:w="633" w:type="pct"/>
            <w:tcBorders>
              <w:top w:val="single" w:sz="4" w:space="0" w:color="000000"/>
              <w:left w:val="single" w:sz="4" w:space="0" w:color="000000"/>
              <w:bottom w:val="single" w:sz="4" w:space="0" w:color="000000"/>
              <w:right w:val="single" w:sz="4" w:space="0" w:color="000000"/>
            </w:tcBorders>
            <w:vAlign w:val="center"/>
            <w:hideMark/>
          </w:tcPr>
          <w:p w14:paraId="747898A8" w14:textId="77777777" w:rsidR="00DB1C4E" w:rsidRPr="00A718C0" w:rsidRDefault="00DB1C4E">
            <w:pPr>
              <w:pStyle w:val="TableParagraph"/>
              <w:jc w:val="center"/>
              <w:rPr>
                <w:sz w:val="22"/>
                <w:szCs w:val="22"/>
                <w:lang w:val="ru-RU" w:eastAsia="ru-RU"/>
              </w:rPr>
            </w:pPr>
            <w:r w:rsidRPr="00A718C0">
              <w:rPr>
                <w:sz w:val="22"/>
                <w:szCs w:val="22"/>
                <w:lang w:val="ru-RU" w:eastAsia="ru-RU"/>
              </w:rPr>
              <w:t>16%</w:t>
            </w:r>
          </w:p>
        </w:tc>
        <w:tc>
          <w:tcPr>
            <w:tcW w:w="1213" w:type="pct"/>
            <w:tcBorders>
              <w:top w:val="single" w:sz="4" w:space="0" w:color="000000"/>
              <w:left w:val="single" w:sz="4" w:space="0" w:color="000000"/>
              <w:bottom w:val="single" w:sz="4" w:space="0" w:color="000000"/>
              <w:right w:val="single" w:sz="4" w:space="0" w:color="000000"/>
            </w:tcBorders>
            <w:vAlign w:val="center"/>
            <w:hideMark/>
          </w:tcPr>
          <w:p w14:paraId="51856515" w14:textId="77777777" w:rsidR="00DB1C4E" w:rsidRPr="00A718C0" w:rsidRDefault="00DB1C4E">
            <w:pPr>
              <w:pStyle w:val="TableParagraph"/>
              <w:jc w:val="center"/>
              <w:rPr>
                <w:sz w:val="22"/>
                <w:szCs w:val="22"/>
                <w:lang w:val="ru-RU" w:eastAsia="ru-RU"/>
              </w:rPr>
            </w:pPr>
            <w:r w:rsidRPr="00A718C0">
              <w:rPr>
                <w:sz w:val="22"/>
                <w:szCs w:val="22"/>
                <w:lang w:val="ru-RU" w:eastAsia="ru-RU"/>
              </w:rPr>
              <w:t>12%</w:t>
            </w:r>
          </w:p>
        </w:tc>
      </w:tr>
      <w:tr w:rsidR="00DB1C4E" w:rsidRPr="00A718C0" w14:paraId="531465A3" w14:textId="77777777" w:rsidTr="00132A6A">
        <w:trPr>
          <w:cantSplit/>
          <w:trHeight w:val="440"/>
        </w:trPr>
        <w:tc>
          <w:tcPr>
            <w:tcW w:w="1428" w:type="pct"/>
            <w:tcBorders>
              <w:top w:val="single" w:sz="4" w:space="0" w:color="000000"/>
              <w:left w:val="single" w:sz="4" w:space="0" w:color="000000"/>
              <w:bottom w:val="single" w:sz="4" w:space="0" w:color="000000"/>
              <w:right w:val="single" w:sz="4" w:space="0" w:color="000000"/>
            </w:tcBorders>
            <w:hideMark/>
          </w:tcPr>
          <w:p w14:paraId="2A886113" w14:textId="77777777" w:rsidR="00DB1C4E" w:rsidRPr="00A718C0" w:rsidRDefault="00DB1C4E">
            <w:pPr>
              <w:pStyle w:val="TableParagraph"/>
              <w:rPr>
                <w:b/>
                <w:sz w:val="22"/>
                <w:szCs w:val="22"/>
                <w:lang w:val="ru-RU" w:eastAsia="ru-RU"/>
              </w:rPr>
            </w:pPr>
            <w:r w:rsidRPr="00A718C0">
              <w:rPr>
                <w:b/>
                <w:sz w:val="22"/>
                <w:szCs w:val="22"/>
                <w:lang w:val="ru-RU" w:eastAsia="ru-RU"/>
              </w:rPr>
              <w:t>Ingen virologiske data ved uge 48-vinduet</w:t>
            </w:r>
          </w:p>
        </w:tc>
        <w:tc>
          <w:tcPr>
            <w:tcW w:w="587" w:type="pct"/>
            <w:tcBorders>
              <w:top w:val="single" w:sz="4" w:space="0" w:color="000000"/>
              <w:left w:val="single" w:sz="4" w:space="0" w:color="000000"/>
              <w:bottom w:val="single" w:sz="4" w:space="0" w:color="000000"/>
              <w:right w:val="single" w:sz="4" w:space="0" w:color="000000"/>
            </w:tcBorders>
            <w:vAlign w:val="center"/>
            <w:hideMark/>
          </w:tcPr>
          <w:p w14:paraId="4D00DF42" w14:textId="77777777" w:rsidR="00DB1C4E" w:rsidRPr="00A718C0" w:rsidRDefault="00DB1C4E">
            <w:pPr>
              <w:pStyle w:val="TableParagraph"/>
              <w:jc w:val="center"/>
              <w:rPr>
                <w:sz w:val="22"/>
                <w:szCs w:val="22"/>
                <w:lang w:val="ru-RU" w:eastAsia="ru-RU"/>
              </w:rPr>
            </w:pPr>
            <w:r w:rsidRPr="00A718C0">
              <w:rPr>
                <w:sz w:val="22"/>
                <w:szCs w:val="22"/>
                <w:lang w:val="ru-RU" w:eastAsia="ru-RU"/>
              </w:rPr>
              <w:t>5%</w:t>
            </w:r>
          </w:p>
        </w:tc>
        <w:tc>
          <w:tcPr>
            <w:tcW w:w="1137" w:type="pct"/>
            <w:tcBorders>
              <w:top w:val="single" w:sz="4" w:space="0" w:color="000000"/>
              <w:left w:val="single" w:sz="4" w:space="0" w:color="000000"/>
              <w:bottom w:val="single" w:sz="4" w:space="0" w:color="000000"/>
              <w:right w:val="single" w:sz="4" w:space="0" w:color="000000"/>
            </w:tcBorders>
            <w:vAlign w:val="center"/>
            <w:hideMark/>
          </w:tcPr>
          <w:p w14:paraId="3581BA26" w14:textId="77777777" w:rsidR="00DB1C4E" w:rsidRPr="00A718C0" w:rsidRDefault="00DB1C4E">
            <w:pPr>
              <w:pStyle w:val="TableParagraph"/>
              <w:jc w:val="center"/>
              <w:rPr>
                <w:sz w:val="22"/>
                <w:szCs w:val="22"/>
                <w:lang w:val="ru-RU" w:eastAsia="ru-RU"/>
              </w:rPr>
            </w:pPr>
            <w:r w:rsidRPr="00A718C0">
              <w:rPr>
                <w:sz w:val="22"/>
                <w:szCs w:val="22"/>
                <w:lang w:val="ru-RU" w:eastAsia="ru-RU"/>
              </w:rPr>
              <w:t>2%</w:t>
            </w:r>
          </w:p>
        </w:tc>
        <w:tc>
          <w:tcPr>
            <w:tcW w:w="633" w:type="pct"/>
            <w:tcBorders>
              <w:top w:val="single" w:sz="4" w:space="0" w:color="000000"/>
              <w:left w:val="single" w:sz="4" w:space="0" w:color="000000"/>
              <w:bottom w:val="single" w:sz="4" w:space="0" w:color="000000"/>
              <w:right w:val="single" w:sz="4" w:space="0" w:color="000000"/>
            </w:tcBorders>
            <w:vAlign w:val="center"/>
            <w:hideMark/>
          </w:tcPr>
          <w:p w14:paraId="4CCF0F1B" w14:textId="77777777" w:rsidR="00DB1C4E" w:rsidRPr="00A718C0" w:rsidRDefault="00DB1C4E">
            <w:pPr>
              <w:pStyle w:val="TableParagraph"/>
              <w:jc w:val="center"/>
              <w:rPr>
                <w:sz w:val="22"/>
                <w:szCs w:val="22"/>
                <w:lang w:val="ru-RU" w:eastAsia="ru-RU"/>
              </w:rPr>
            </w:pPr>
            <w:r w:rsidRPr="00A718C0">
              <w:rPr>
                <w:sz w:val="22"/>
                <w:szCs w:val="22"/>
                <w:lang w:val="ru-RU" w:eastAsia="ru-RU"/>
              </w:rPr>
              <w:t>8%</w:t>
            </w:r>
          </w:p>
        </w:tc>
        <w:tc>
          <w:tcPr>
            <w:tcW w:w="1213" w:type="pct"/>
            <w:tcBorders>
              <w:top w:val="single" w:sz="4" w:space="0" w:color="000000"/>
              <w:left w:val="single" w:sz="4" w:space="0" w:color="000000"/>
              <w:bottom w:val="single" w:sz="4" w:space="0" w:color="000000"/>
              <w:right w:val="single" w:sz="4" w:space="0" w:color="000000"/>
            </w:tcBorders>
            <w:vAlign w:val="center"/>
            <w:hideMark/>
          </w:tcPr>
          <w:p w14:paraId="3E836DB4" w14:textId="77777777" w:rsidR="00DB1C4E" w:rsidRPr="00A718C0" w:rsidRDefault="00DB1C4E">
            <w:pPr>
              <w:pStyle w:val="TableParagraph"/>
              <w:jc w:val="center"/>
              <w:rPr>
                <w:sz w:val="22"/>
                <w:szCs w:val="22"/>
                <w:lang w:val="ru-RU" w:eastAsia="ru-RU"/>
              </w:rPr>
            </w:pPr>
            <w:r w:rsidRPr="00A718C0">
              <w:rPr>
                <w:sz w:val="22"/>
                <w:szCs w:val="22"/>
                <w:lang w:val="ru-RU" w:eastAsia="ru-RU"/>
              </w:rPr>
              <w:t>4%</w:t>
            </w:r>
          </w:p>
        </w:tc>
      </w:tr>
      <w:tr w:rsidR="00DB1C4E" w:rsidRPr="00A718C0" w14:paraId="50467C6A" w14:textId="77777777" w:rsidTr="00132A6A">
        <w:trPr>
          <w:cantSplit/>
          <w:trHeight w:val="677"/>
        </w:trPr>
        <w:tc>
          <w:tcPr>
            <w:tcW w:w="1428" w:type="pct"/>
            <w:tcBorders>
              <w:top w:val="single" w:sz="4" w:space="0" w:color="000000"/>
              <w:left w:val="single" w:sz="4" w:space="0" w:color="000000"/>
              <w:bottom w:val="single" w:sz="4" w:space="0" w:color="000000"/>
              <w:right w:val="single" w:sz="4" w:space="0" w:color="000000"/>
            </w:tcBorders>
            <w:hideMark/>
          </w:tcPr>
          <w:p w14:paraId="508BF07C" w14:textId="77777777" w:rsidR="00DB1C4E" w:rsidRPr="00A718C0" w:rsidRDefault="00DB1C4E">
            <w:pPr>
              <w:pStyle w:val="TableParagraph"/>
              <w:ind w:left="142"/>
              <w:rPr>
                <w:sz w:val="22"/>
                <w:szCs w:val="22"/>
                <w:lang w:val="ru-RU" w:eastAsia="ru-RU"/>
              </w:rPr>
            </w:pPr>
            <w:r w:rsidRPr="00A718C0">
              <w:rPr>
                <w:sz w:val="22"/>
                <w:szCs w:val="22"/>
                <w:lang w:val="ru-RU" w:eastAsia="ru-RU"/>
              </w:rPr>
              <w:t>Seponerede forsøgslægemiddel som følge af AE eller død</w:t>
            </w:r>
            <w:r w:rsidRPr="00A718C0">
              <w:rPr>
                <w:sz w:val="22"/>
                <w:szCs w:val="22"/>
                <w:vertAlign w:val="superscript"/>
                <w:lang w:val="ru-RU" w:eastAsia="ru-RU"/>
              </w:rPr>
              <w:t>c</w:t>
            </w:r>
          </w:p>
        </w:tc>
        <w:tc>
          <w:tcPr>
            <w:tcW w:w="587" w:type="pct"/>
            <w:tcBorders>
              <w:top w:val="single" w:sz="4" w:space="0" w:color="000000"/>
              <w:left w:val="single" w:sz="4" w:space="0" w:color="000000"/>
              <w:bottom w:val="single" w:sz="4" w:space="0" w:color="000000"/>
              <w:right w:val="single" w:sz="4" w:space="0" w:color="000000"/>
            </w:tcBorders>
            <w:vAlign w:val="center"/>
            <w:hideMark/>
          </w:tcPr>
          <w:p w14:paraId="2395AFD2" w14:textId="77777777" w:rsidR="00DB1C4E" w:rsidRPr="00A718C0" w:rsidRDefault="00DB1C4E">
            <w:pPr>
              <w:pStyle w:val="TableParagraph"/>
              <w:jc w:val="center"/>
              <w:rPr>
                <w:sz w:val="22"/>
                <w:szCs w:val="22"/>
                <w:lang w:val="ru-RU" w:eastAsia="ru-RU"/>
              </w:rPr>
            </w:pPr>
            <w:r w:rsidRPr="00A718C0">
              <w:rPr>
                <w:sz w:val="22"/>
                <w:szCs w:val="22"/>
                <w:lang w:val="ru-RU" w:eastAsia="ru-RU"/>
              </w:rPr>
              <w:t>1%</w:t>
            </w:r>
          </w:p>
        </w:tc>
        <w:tc>
          <w:tcPr>
            <w:tcW w:w="1137" w:type="pct"/>
            <w:tcBorders>
              <w:top w:val="single" w:sz="4" w:space="0" w:color="000000"/>
              <w:left w:val="single" w:sz="4" w:space="0" w:color="000000"/>
              <w:bottom w:val="single" w:sz="4" w:space="0" w:color="000000"/>
              <w:right w:val="single" w:sz="4" w:space="0" w:color="000000"/>
            </w:tcBorders>
            <w:vAlign w:val="center"/>
            <w:hideMark/>
          </w:tcPr>
          <w:p w14:paraId="4086DEE9" w14:textId="77777777" w:rsidR="00DB1C4E" w:rsidRPr="00A718C0" w:rsidRDefault="00DB1C4E">
            <w:pPr>
              <w:pStyle w:val="TableParagraph"/>
              <w:jc w:val="center"/>
              <w:rPr>
                <w:sz w:val="22"/>
                <w:szCs w:val="22"/>
                <w:lang w:val="ru-RU" w:eastAsia="ru-RU"/>
              </w:rPr>
            </w:pPr>
            <w:r w:rsidRPr="00A718C0">
              <w:rPr>
                <w:sz w:val="22"/>
                <w:szCs w:val="22"/>
                <w:lang w:val="ru-RU" w:eastAsia="ru-RU"/>
              </w:rPr>
              <w:t>0</w:t>
            </w:r>
          </w:p>
        </w:tc>
        <w:tc>
          <w:tcPr>
            <w:tcW w:w="633" w:type="pct"/>
            <w:tcBorders>
              <w:top w:val="single" w:sz="4" w:space="0" w:color="000000"/>
              <w:left w:val="single" w:sz="4" w:space="0" w:color="000000"/>
              <w:bottom w:val="single" w:sz="4" w:space="0" w:color="000000"/>
              <w:right w:val="single" w:sz="4" w:space="0" w:color="000000"/>
            </w:tcBorders>
            <w:vAlign w:val="center"/>
            <w:hideMark/>
          </w:tcPr>
          <w:p w14:paraId="11225F66" w14:textId="77777777" w:rsidR="00DB1C4E" w:rsidRPr="00A718C0" w:rsidRDefault="00DB1C4E">
            <w:pPr>
              <w:pStyle w:val="TableParagraph"/>
              <w:jc w:val="center"/>
              <w:rPr>
                <w:sz w:val="22"/>
                <w:szCs w:val="22"/>
                <w:lang w:val="ru-RU" w:eastAsia="ru-RU"/>
              </w:rPr>
            </w:pPr>
            <w:r w:rsidRPr="00A718C0">
              <w:rPr>
                <w:sz w:val="22"/>
                <w:szCs w:val="22"/>
                <w:lang w:val="ru-RU" w:eastAsia="ru-RU"/>
              </w:rPr>
              <w:t>1%</w:t>
            </w:r>
          </w:p>
        </w:tc>
        <w:tc>
          <w:tcPr>
            <w:tcW w:w="1213" w:type="pct"/>
            <w:tcBorders>
              <w:top w:val="single" w:sz="4" w:space="0" w:color="000000"/>
              <w:left w:val="single" w:sz="4" w:space="0" w:color="000000"/>
              <w:bottom w:val="single" w:sz="4" w:space="0" w:color="000000"/>
              <w:right w:val="single" w:sz="4" w:space="0" w:color="000000"/>
            </w:tcBorders>
            <w:vAlign w:val="center"/>
            <w:hideMark/>
          </w:tcPr>
          <w:p w14:paraId="6EB27BDB" w14:textId="77777777" w:rsidR="00DB1C4E" w:rsidRPr="00A718C0" w:rsidRDefault="00DB1C4E">
            <w:pPr>
              <w:pStyle w:val="TableParagraph"/>
              <w:jc w:val="center"/>
              <w:rPr>
                <w:sz w:val="22"/>
                <w:szCs w:val="22"/>
                <w:lang w:val="ru-RU" w:eastAsia="ru-RU"/>
              </w:rPr>
            </w:pPr>
            <w:r w:rsidRPr="00A718C0">
              <w:rPr>
                <w:sz w:val="22"/>
                <w:szCs w:val="22"/>
                <w:lang w:val="ru-RU" w:eastAsia="ru-RU"/>
              </w:rPr>
              <w:t>2%</w:t>
            </w:r>
          </w:p>
        </w:tc>
      </w:tr>
      <w:tr w:rsidR="00DB1C4E" w:rsidRPr="00A718C0" w14:paraId="7A5B84F9" w14:textId="77777777" w:rsidTr="00132A6A">
        <w:trPr>
          <w:cantSplit/>
          <w:trHeight w:val="1137"/>
        </w:trPr>
        <w:tc>
          <w:tcPr>
            <w:tcW w:w="1428" w:type="pct"/>
            <w:tcBorders>
              <w:top w:val="single" w:sz="4" w:space="0" w:color="000000"/>
              <w:left w:val="single" w:sz="4" w:space="0" w:color="000000"/>
              <w:bottom w:val="single" w:sz="4" w:space="0" w:color="000000"/>
              <w:right w:val="single" w:sz="4" w:space="0" w:color="000000"/>
            </w:tcBorders>
            <w:hideMark/>
          </w:tcPr>
          <w:p w14:paraId="3B1FD217" w14:textId="77777777" w:rsidR="00DB1C4E" w:rsidRPr="00A718C0" w:rsidRDefault="00DB1C4E">
            <w:pPr>
              <w:pStyle w:val="TableParagraph"/>
              <w:ind w:left="142"/>
              <w:rPr>
                <w:sz w:val="22"/>
                <w:szCs w:val="22"/>
                <w:lang w:val="ru-RU" w:eastAsia="ru-RU"/>
              </w:rPr>
            </w:pPr>
            <w:r w:rsidRPr="00A718C0">
              <w:rPr>
                <w:sz w:val="22"/>
                <w:szCs w:val="22"/>
                <w:lang w:val="ru-RU" w:eastAsia="ru-RU"/>
              </w:rPr>
              <w:t>Seponerede forsøgslægemiddel som følge af andre årsager, og sidste tilgængelige hiv 1-rna &lt; 50 kopier/ml</w:t>
            </w:r>
            <w:r w:rsidRPr="00A718C0">
              <w:rPr>
                <w:sz w:val="22"/>
                <w:szCs w:val="22"/>
                <w:vertAlign w:val="superscript"/>
                <w:lang w:val="ru-RU" w:eastAsia="ru-RU"/>
              </w:rPr>
              <w:t>d</w:t>
            </w:r>
          </w:p>
        </w:tc>
        <w:tc>
          <w:tcPr>
            <w:tcW w:w="587" w:type="pct"/>
            <w:tcBorders>
              <w:top w:val="single" w:sz="4" w:space="0" w:color="000000"/>
              <w:left w:val="single" w:sz="4" w:space="0" w:color="000000"/>
              <w:bottom w:val="single" w:sz="4" w:space="0" w:color="000000"/>
              <w:right w:val="single" w:sz="4" w:space="0" w:color="000000"/>
            </w:tcBorders>
            <w:vAlign w:val="center"/>
            <w:hideMark/>
          </w:tcPr>
          <w:p w14:paraId="4ECB7F31" w14:textId="77777777" w:rsidR="00DB1C4E" w:rsidRPr="00A718C0" w:rsidRDefault="00DB1C4E">
            <w:pPr>
              <w:pStyle w:val="TableParagraph"/>
              <w:jc w:val="center"/>
              <w:rPr>
                <w:sz w:val="22"/>
                <w:szCs w:val="22"/>
                <w:lang w:val="ru-RU" w:eastAsia="ru-RU"/>
              </w:rPr>
            </w:pPr>
            <w:r w:rsidRPr="00A718C0">
              <w:rPr>
                <w:sz w:val="22"/>
                <w:szCs w:val="22"/>
                <w:lang w:val="ru-RU" w:eastAsia="ru-RU"/>
              </w:rPr>
              <w:t>4%</w:t>
            </w:r>
          </w:p>
        </w:tc>
        <w:tc>
          <w:tcPr>
            <w:tcW w:w="1137" w:type="pct"/>
            <w:tcBorders>
              <w:top w:val="single" w:sz="4" w:space="0" w:color="000000"/>
              <w:left w:val="single" w:sz="4" w:space="0" w:color="000000"/>
              <w:bottom w:val="single" w:sz="4" w:space="0" w:color="000000"/>
              <w:right w:val="single" w:sz="4" w:space="0" w:color="000000"/>
            </w:tcBorders>
            <w:vAlign w:val="center"/>
            <w:hideMark/>
          </w:tcPr>
          <w:p w14:paraId="6FDB5589" w14:textId="77777777" w:rsidR="00DB1C4E" w:rsidRPr="00A718C0" w:rsidRDefault="00DB1C4E">
            <w:pPr>
              <w:pStyle w:val="TableParagraph"/>
              <w:jc w:val="center"/>
              <w:rPr>
                <w:sz w:val="22"/>
                <w:szCs w:val="22"/>
                <w:lang w:val="ru-RU" w:eastAsia="ru-RU"/>
              </w:rPr>
            </w:pPr>
            <w:r w:rsidRPr="00A718C0">
              <w:rPr>
                <w:sz w:val="22"/>
                <w:szCs w:val="22"/>
                <w:lang w:val="ru-RU" w:eastAsia="ru-RU"/>
              </w:rPr>
              <w:t>2%</w:t>
            </w:r>
          </w:p>
        </w:tc>
        <w:tc>
          <w:tcPr>
            <w:tcW w:w="633" w:type="pct"/>
            <w:tcBorders>
              <w:top w:val="single" w:sz="4" w:space="0" w:color="000000"/>
              <w:left w:val="single" w:sz="4" w:space="0" w:color="000000"/>
              <w:bottom w:val="single" w:sz="4" w:space="0" w:color="000000"/>
              <w:right w:val="single" w:sz="4" w:space="0" w:color="000000"/>
            </w:tcBorders>
            <w:vAlign w:val="center"/>
            <w:hideMark/>
          </w:tcPr>
          <w:p w14:paraId="4C6D67B3" w14:textId="77777777" w:rsidR="00DB1C4E" w:rsidRPr="00A718C0" w:rsidRDefault="00DB1C4E">
            <w:pPr>
              <w:pStyle w:val="TableParagraph"/>
              <w:jc w:val="center"/>
              <w:rPr>
                <w:sz w:val="22"/>
                <w:szCs w:val="22"/>
                <w:lang w:val="ru-RU" w:eastAsia="ru-RU"/>
              </w:rPr>
            </w:pPr>
            <w:r w:rsidRPr="00A718C0">
              <w:rPr>
                <w:sz w:val="22"/>
                <w:szCs w:val="22"/>
                <w:lang w:val="ru-RU" w:eastAsia="ru-RU"/>
              </w:rPr>
              <w:t>7%</w:t>
            </w:r>
          </w:p>
        </w:tc>
        <w:tc>
          <w:tcPr>
            <w:tcW w:w="1213" w:type="pct"/>
            <w:tcBorders>
              <w:top w:val="single" w:sz="4" w:space="0" w:color="000000"/>
              <w:left w:val="single" w:sz="4" w:space="0" w:color="000000"/>
              <w:bottom w:val="single" w:sz="4" w:space="0" w:color="000000"/>
              <w:right w:val="single" w:sz="4" w:space="0" w:color="000000"/>
            </w:tcBorders>
            <w:vAlign w:val="center"/>
            <w:hideMark/>
          </w:tcPr>
          <w:p w14:paraId="1C300C7B" w14:textId="77777777" w:rsidR="00DB1C4E" w:rsidRPr="00A718C0" w:rsidRDefault="00DB1C4E">
            <w:pPr>
              <w:pStyle w:val="TableParagraph"/>
              <w:jc w:val="center"/>
              <w:rPr>
                <w:sz w:val="22"/>
                <w:szCs w:val="22"/>
                <w:lang w:val="ru-RU" w:eastAsia="ru-RU"/>
              </w:rPr>
            </w:pPr>
            <w:r w:rsidRPr="00A718C0">
              <w:rPr>
                <w:sz w:val="22"/>
                <w:szCs w:val="22"/>
                <w:lang w:val="ru-RU" w:eastAsia="ru-RU"/>
              </w:rPr>
              <w:t>2%</w:t>
            </w:r>
          </w:p>
        </w:tc>
      </w:tr>
      <w:tr w:rsidR="00DB1C4E" w:rsidRPr="00A718C0" w14:paraId="7391CFAC" w14:textId="77777777" w:rsidTr="00132A6A">
        <w:trPr>
          <w:cantSplit/>
          <w:trHeight w:val="680"/>
        </w:trPr>
        <w:tc>
          <w:tcPr>
            <w:tcW w:w="1428" w:type="pct"/>
            <w:tcBorders>
              <w:top w:val="single" w:sz="4" w:space="0" w:color="000000"/>
              <w:left w:val="single" w:sz="4" w:space="0" w:color="000000"/>
              <w:bottom w:val="single" w:sz="4" w:space="0" w:color="000000"/>
              <w:right w:val="single" w:sz="4" w:space="0" w:color="000000"/>
            </w:tcBorders>
            <w:hideMark/>
          </w:tcPr>
          <w:p w14:paraId="240950CD" w14:textId="77777777" w:rsidR="00DB1C4E" w:rsidRPr="00A718C0" w:rsidRDefault="00DB1C4E">
            <w:pPr>
              <w:pStyle w:val="TableParagraph"/>
              <w:ind w:left="142"/>
              <w:rPr>
                <w:sz w:val="22"/>
                <w:szCs w:val="22"/>
                <w:lang w:val="ru-RU" w:eastAsia="ru-RU"/>
              </w:rPr>
            </w:pPr>
            <w:r w:rsidRPr="00A718C0">
              <w:rPr>
                <w:sz w:val="22"/>
                <w:szCs w:val="22"/>
                <w:lang w:val="ru-RU" w:eastAsia="ru-RU"/>
              </w:rPr>
              <w:t>Manglende data i tidsvinduet, men får forsøgslægemiddel</w:t>
            </w:r>
          </w:p>
        </w:tc>
        <w:tc>
          <w:tcPr>
            <w:tcW w:w="587" w:type="pct"/>
            <w:tcBorders>
              <w:top w:val="single" w:sz="4" w:space="0" w:color="000000"/>
              <w:left w:val="single" w:sz="4" w:space="0" w:color="000000"/>
              <w:bottom w:val="single" w:sz="4" w:space="0" w:color="000000"/>
              <w:right w:val="single" w:sz="4" w:space="0" w:color="000000"/>
            </w:tcBorders>
            <w:vAlign w:val="center"/>
            <w:hideMark/>
          </w:tcPr>
          <w:p w14:paraId="146D8432" w14:textId="77777777" w:rsidR="00DB1C4E" w:rsidRPr="00A718C0" w:rsidRDefault="00DB1C4E">
            <w:pPr>
              <w:pStyle w:val="TableParagraph"/>
              <w:jc w:val="center"/>
              <w:rPr>
                <w:sz w:val="22"/>
                <w:szCs w:val="22"/>
                <w:lang w:val="ru-RU" w:eastAsia="ru-RU"/>
              </w:rPr>
            </w:pPr>
            <w:r w:rsidRPr="00A718C0">
              <w:rPr>
                <w:sz w:val="22"/>
                <w:szCs w:val="22"/>
                <w:lang w:val="ru-RU" w:eastAsia="ru-RU"/>
              </w:rPr>
              <w:t>0</w:t>
            </w:r>
          </w:p>
        </w:tc>
        <w:tc>
          <w:tcPr>
            <w:tcW w:w="1137" w:type="pct"/>
            <w:tcBorders>
              <w:top w:val="single" w:sz="4" w:space="0" w:color="000000"/>
              <w:left w:val="single" w:sz="4" w:space="0" w:color="000000"/>
              <w:bottom w:val="single" w:sz="4" w:space="0" w:color="000000"/>
              <w:right w:val="single" w:sz="4" w:space="0" w:color="000000"/>
            </w:tcBorders>
            <w:vAlign w:val="center"/>
            <w:hideMark/>
          </w:tcPr>
          <w:p w14:paraId="48751CB9" w14:textId="77777777" w:rsidR="00DB1C4E" w:rsidRPr="00A718C0" w:rsidRDefault="00DB1C4E">
            <w:pPr>
              <w:pStyle w:val="TableParagraph"/>
              <w:jc w:val="center"/>
              <w:rPr>
                <w:sz w:val="22"/>
                <w:szCs w:val="22"/>
                <w:lang w:val="ru-RU" w:eastAsia="ru-RU"/>
              </w:rPr>
            </w:pPr>
            <w:r w:rsidRPr="00A718C0">
              <w:rPr>
                <w:sz w:val="22"/>
                <w:szCs w:val="22"/>
                <w:lang w:val="ru-RU" w:eastAsia="ru-RU"/>
              </w:rPr>
              <w:t>0</w:t>
            </w:r>
          </w:p>
        </w:tc>
        <w:tc>
          <w:tcPr>
            <w:tcW w:w="633" w:type="pct"/>
            <w:tcBorders>
              <w:top w:val="single" w:sz="4" w:space="0" w:color="000000"/>
              <w:left w:val="single" w:sz="4" w:space="0" w:color="000000"/>
              <w:bottom w:val="single" w:sz="4" w:space="0" w:color="000000"/>
              <w:right w:val="single" w:sz="4" w:space="0" w:color="000000"/>
            </w:tcBorders>
            <w:vAlign w:val="center"/>
            <w:hideMark/>
          </w:tcPr>
          <w:p w14:paraId="4FDBC5A4" w14:textId="77777777" w:rsidR="00DB1C4E" w:rsidRPr="00A718C0" w:rsidRDefault="00DB1C4E">
            <w:pPr>
              <w:pStyle w:val="TableParagraph"/>
              <w:jc w:val="center"/>
              <w:rPr>
                <w:sz w:val="22"/>
                <w:szCs w:val="22"/>
                <w:lang w:val="ru-RU" w:eastAsia="ru-RU"/>
              </w:rPr>
            </w:pPr>
            <w:r w:rsidRPr="00A718C0">
              <w:rPr>
                <w:sz w:val="22"/>
                <w:szCs w:val="22"/>
                <w:lang w:val="ru-RU" w:eastAsia="ru-RU"/>
              </w:rPr>
              <w:t>0</w:t>
            </w:r>
          </w:p>
        </w:tc>
        <w:tc>
          <w:tcPr>
            <w:tcW w:w="1213" w:type="pct"/>
            <w:tcBorders>
              <w:top w:val="single" w:sz="4" w:space="0" w:color="000000"/>
              <w:left w:val="single" w:sz="4" w:space="0" w:color="000000"/>
              <w:bottom w:val="single" w:sz="4" w:space="0" w:color="000000"/>
              <w:right w:val="single" w:sz="4" w:space="0" w:color="000000"/>
            </w:tcBorders>
            <w:vAlign w:val="center"/>
            <w:hideMark/>
          </w:tcPr>
          <w:p w14:paraId="3D39F5A7" w14:textId="77777777" w:rsidR="00DB1C4E" w:rsidRPr="00A718C0" w:rsidRDefault="00DB1C4E">
            <w:pPr>
              <w:pStyle w:val="TableParagraph"/>
              <w:jc w:val="center"/>
              <w:rPr>
                <w:sz w:val="22"/>
                <w:szCs w:val="22"/>
                <w:lang w:val="ru-RU" w:eastAsia="ru-RU"/>
              </w:rPr>
            </w:pPr>
            <w:r w:rsidRPr="00A718C0">
              <w:rPr>
                <w:sz w:val="22"/>
                <w:szCs w:val="22"/>
                <w:lang w:val="ru-RU" w:eastAsia="ru-RU"/>
              </w:rPr>
              <w:t>0</w:t>
            </w:r>
          </w:p>
        </w:tc>
      </w:tr>
      <w:tr w:rsidR="00DB1C4E" w:rsidRPr="00A718C0" w14:paraId="12327144" w14:textId="77777777" w:rsidTr="00132A6A">
        <w:trPr>
          <w:cantSplit/>
          <w:trHeight w:val="459"/>
        </w:trPr>
        <w:tc>
          <w:tcPr>
            <w:tcW w:w="1428" w:type="pct"/>
            <w:tcBorders>
              <w:top w:val="single" w:sz="4" w:space="0" w:color="000000"/>
              <w:left w:val="single" w:sz="4" w:space="0" w:color="000000"/>
              <w:bottom w:val="single" w:sz="4" w:space="0" w:color="000000"/>
              <w:right w:val="single" w:sz="4" w:space="0" w:color="000000"/>
            </w:tcBorders>
            <w:hideMark/>
          </w:tcPr>
          <w:p w14:paraId="3BD8E8AE" w14:textId="77777777" w:rsidR="00DB1C4E" w:rsidRPr="00A718C0" w:rsidRDefault="00DB1C4E">
            <w:pPr>
              <w:pStyle w:val="TableParagraph"/>
              <w:rPr>
                <w:b/>
                <w:sz w:val="22"/>
                <w:szCs w:val="22"/>
                <w:lang w:val="ru-RU" w:eastAsia="ru-RU"/>
              </w:rPr>
            </w:pPr>
            <w:r w:rsidRPr="00A718C0">
              <w:rPr>
                <w:b/>
                <w:sz w:val="22"/>
                <w:szCs w:val="22"/>
                <w:lang w:val="ru-RU" w:eastAsia="ru-RU"/>
              </w:rPr>
              <w:t xml:space="preserve">Hiv 1-rna </w:t>
            </w:r>
          </w:p>
          <w:p w14:paraId="0B6323F8" w14:textId="77777777" w:rsidR="00DB1C4E" w:rsidRPr="00A718C0" w:rsidRDefault="00DB1C4E">
            <w:pPr>
              <w:pStyle w:val="TableParagraph"/>
              <w:rPr>
                <w:b/>
                <w:sz w:val="22"/>
                <w:szCs w:val="22"/>
                <w:lang w:val="ru-RU" w:eastAsia="ru-RU"/>
              </w:rPr>
            </w:pPr>
            <w:r w:rsidRPr="00A718C0">
              <w:rPr>
                <w:b/>
                <w:sz w:val="22"/>
                <w:szCs w:val="22"/>
                <w:lang w:val="ru-RU" w:eastAsia="ru-RU"/>
              </w:rPr>
              <w:t>&lt; 20 kopier/ml</w:t>
            </w:r>
          </w:p>
        </w:tc>
        <w:tc>
          <w:tcPr>
            <w:tcW w:w="587" w:type="pct"/>
            <w:tcBorders>
              <w:top w:val="single" w:sz="4" w:space="0" w:color="000000"/>
              <w:left w:val="single" w:sz="4" w:space="0" w:color="000000"/>
              <w:bottom w:val="single" w:sz="4" w:space="0" w:color="000000"/>
              <w:right w:val="single" w:sz="4" w:space="0" w:color="000000"/>
            </w:tcBorders>
            <w:vAlign w:val="center"/>
            <w:hideMark/>
          </w:tcPr>
          <w:p w14:paraId="7567A2E1" w14:textId="77777777" w:rsidR="00DB1C4E" w:rsidRPr="00A718C0" w:rsidRDefault="00DB1C4E">
            <w:pPr>
              <w:pStyle w:val="TableParagraph"/>
              <w:jc w:val="center"/>
              <w:rPr>
                <w:sz w:val="22"/>
                <w:szCs w:val="22"/>
                <w:lang w:val="ru-RU" w:eastAsia="ru-RU"/>
              </w:rPr>
            </w:pPr>
            <w:r w:rsidRPr="00A718C0">
              <w:rPr>
                <w:sz w:val="22"/>
                <w:szCs w:val="22"/>
                <w:lang w:val="ru-RU" w:eastAsia="ru-RU"/>
              </w:rPr>
              <w:t>55%</w:t>
            </w:r>
          </w:p>
        </w:tc>
        <w:tc>
          <w:tcPr>
            <w:tcW w:w="1137" w:type="pct"/>
            <w:tcBorders>
              <w:top w:val="single" w:sz="4" w:space="0" w:color="000000"/>
              <w:left w:val="single" w:sz="4" w:space="0" w:color="000000"/>
              <w:bottom w:val="single" w:sz="4" w:space="0" w:color="000000"/>
              <w:right w:val="single" w:sz="4" w:space="0" w:color="000000"/>
            </w:tcBorders>
            <w:vAlign w:val="center"/>
            <w:hideMark/>
          </w:tcPr>
          <w:p w14:paraId="23E07E03" w14:textId="77777777" w:rsidR="00DB1C4E" w:rsidRPr="00A718C0" w:rsidRDefault="00DB1C4E">
            <w:pPr>
              <w:pStyle w:val="TableParagraph"/>
              <w:jc w:val="center"/>
              <w:rPr>
                <w:sz w:val="22"/>
                <w:szCs w:val="22"/>
                <w:lang w:val="ru-RU" w:eastAsia="ru-RU"/>
              </w:rPr>
            </w:pPr>
            <w:r w:rsidRPr="00A718C0">
              <w:rPr>
                <w:sz w:val="22"/>
                <w:szCs w:val="22"/>
                <w:lang w:val="ru-RU" w:eastAsia="ru-RU"/>
              </w:rPr>
              <w:t>62%</w:t>
            </w:r>
          </w:p>
        </w:tc>
        <w:tc>
          <w:tcPr>
            <w:tcW w:w="633" w:type="pct"/>
            <w:tcBorders>
              <w:top w:val="single" w:sz="4" w:space="0" w:color="000000"/>
              <w:left w:val="single" w:sz="4" w:space="0" w:color="000000"/>
              <w:bottom w:val="single" w:sz="4" w:space="0" w:color="000000"/>
              <w:right w:val="single" w:sz="4" w:space="0" w:color="000000"/>
            </w:tcBorders>
            <w:vAlign w:val="center"/>
            <w:hideMark/>
          </w:tcPr>
          <w:p w14:paraId="764EFEB2" w14:textId="77777777" w:rsidR="00DB1C4E" w:rsidRPr="00A718C0" w:rsidRDefault="00DB1C4E">
            <w:pPr>
              <w:pStyle w:val="TableParagraph"/>
              <w:jc w:val="center"/>
              <w:rPr>
                <w:sz w:val="22"/>
                <w:szCs w:val="22"/>
                <w:lang w:val="ru-RU" w:eastAsia="ru-RU"/>
              </w:rPr>
            </w:pPr>
            <w:r w:rsidRPr="00A718C0">
              <w:rPr>
                <w:sz w:val="22"/>
                <w:szCs w:val="22"/>
                <w:lang w:val="ru-RU" w:eastAsia="ru-RU"/>
              </w:rPr>
              <w:t>63%</w:t>
            </w:r>
          </w:p>
        </w:tc>
        <w:tc>
          <w:tcPr>
            <w:tcW w:w="1213" w:type="pct"/>
            <w:tcBorders>
              <w:top w:val="single" w:sz="4" w:space="0" w:color="000000"/>
              <w:left w:val="single" w:sz="4" w:space="0" w:color="000000"/>
              <w:bottom w:val="single" w:sz="4" w:space="0" w:color="000000"/>
              <w:right w:val="single" w:sz="4" w:space="0" w:color="000000"/>
            </w:tcBorders>
            <w:vAlign w:val="center"/>
            <w:hideMark/>
          </w:tcPr>
          <w:p w14:paraId="4F8DE90D" w14:textId="77777777" w:rsidR="00DB1C4E" w:rsidRPr="00A718C0" w:rsidRDefault="00DB1C4E">
            <w:pPr>
              <w:pStyle w:val="TableParagraph"/>
              <w:jc w:val="center"/>
              <w:rPr>
                <w:sz w:val="22"/>
                <w:szCs w:val="22"/>
                <w:lang w:val="ru-RU" w:eastAsia="ru-RU"/>
              </w:rPr>
            </w:pPr>
            <w:r w:rsidRPr="00A718C0">
              <w:rPr>
                <w:sz w:val="22"/>
                <w:szCs w:val="22"/>
                <w:lang w:val="ru-RU" w:eastAsia="ru-RU"/>
              </w:rPr>
              <w:t>76%</w:t>
            </w:r>
          </w:p>
        </w:tc>
      </w:tr>
      <w:tr w:rsidR="00DB1C4E" w:rsidRPr="00A718C0" w14:paraId="26B097C9" w14:textId="77777777" w:rsidTr="00132A6A">
        <w:trPr>
          <w:cantSplit/>
          <w:trHeight w:val="220"/>
        </w:trPr>
        <w:tc>
          <w:tcPr>
            <w:tcW w:w="1428" w:type="pct"/>
            <w:tcBorders>
              <w:top w:val="single" w:sz="4" w:space="0" w:color="000000"/>
              <w:left w:val="single" w:sz="4" w:space="0" w:color="000000"/>
              <w:bottom w:val="single" w:sz="4" w:space="0" w:color="000000"/>
              <w:right w:val="single" w:sz="4" w:space="0" w:color="000000"/>
            </w:tcBorders>
            <w:hideMark/>
          </w:tcPr>
          <w:p w14:paraId="342FF381" w14:textId="77777777" w:rsidR="00DB1C4E" w:rsidRPr="00A718C0" w:rsidRDefault="00DB1C4E">
            <w:pPr>
              <w:pStyle w:val="TableParagraph"/>
              <w:ind w:left="142"/>
              <w:rPr>
                <w:sz w:val="22"/>
                <w:szCs w:val="22"/>
                <w:lang w:val="ru-RU" w:eastAsia="ru-RU"/>
              </w:rPr>
            </w:pPr>
            <w:r w:rsidRPr="00A718C0">
              <w:rPr>
                <w:sz w:val="22"/>
                <w:szCs w:val="22"/>
                <w:lang w:val="ru-RU" w:eastAsia="ru-RU"/>
              </w:rPr>
              <w:t>Behandlingsforskel</w:t>
            </w:r>
          </w:p>
        </w:tc>
        <w:tc>
          <w:tcPr>
            <w:tcW w:w="1725" w:type="pct"/>
            <w:gridSpan w:val="2"/>
            <w:tcBorders>
              <w:top w:val="single" w:sz="4" w:space="0" w:color="000000"/>
              <w:left w:val="single" w:sz="4" w:space="0" w:color="000000"/>
              <w:bottom w:val="single" w:sz="4" w:space="0" w:color="000000"/>
              <w:right w:val="single" w:sz="4" w:space="0" w:color="000000"/>
            </w:tcBorders>
            <w:vAlign w:val="center"/>
            <w:hideMark/>
          </w:tcPr>
          <w:p w14:paraId="2E9D5F60" w14:textId="77777777" w:rsidR="00DB1C4E" w:rsidRPr="00A718C0" w:rsidRDefault="00DB1C4E">
            <w:pPr>
              <w:pStyle w:val="TableParagraph"/>
              <w:jc w:val="center"/>
              <w:rPr>
                <w:sz w:val="22"/>
                <w:szCs w:val="22"/>
                <w:lang w:val="ru-RU" w:eastAsia="ru-RU"/>
              </w:rPr>
            </w:pPr>
            <w:r w:rsidRPr="00A718C0">
              <w:rPr>
                <w:sz w:val="22"/>
                <w:szCs w:val="22"/>
                <w:lang w:val="ru-RU" w:eastAsia="ru-RU"/>
              </w:rPr>
              <w:noBreakHyphen/>
              <w:t xml:space="preserve">3,5% (95% CI: </w:t>
            </w:r>
            <w:r w:rsidRPr="00A718C0">
              <w:rPr>
                <w:sz w:val="22"/>
                <w:szCs w:val="22"/>
                <w:lang w:val="ru-RU" w:eastAsia="ru-RU"/>
              </w:rPr>
              <w:noBreakHyphen/>
              <w:t>19,8% til 12,7%)</w:t>
            </w:r>
          </w:p>
        </w:tc>
        <w:tc>
          <w:tcPr>
            <w:tcW w:w="1847" w:type="pct"/>
            <w:gridSpan w:val="2"/>
            <w:tcBorders>
              <w:top w:val="single" w:sz="4" w:space="0" w:color="000000"/>
              <w:left w:val="single" w:sz="4" w:space="0" w:color="000000"/>
              <w:bottom w:val="single" w:sz="4" w:space="0" w:color="000000"/>
              <w:right w:val="single" w:sz="4" w:space="0" w:color="000000"/>
            </w:tcBorders>
            <w:vAlign w:val="center"/>
            <w:hideMark/>
          </w:tcPr>
          <w:p w14:paraId="6660B299" w14:textId="77777777" w:rsidR="00DB1C4E" w:rsidRPr="00A718C0" w:rsidRDefault="00DB1C4E">
            <w:pPr>
              <w:pStyle w:val="TableParagraph"/>
              <w:jc w:val="center"/>
              <w:rPr>
                <w:sz w:val="22"/>
                <w:szCs w:val="22"/>
                <w:lang w:val="ru-RU" w:eastAsia="ru-RU"/>
              </w:rPr>
            </w:pPr>
            <w:r w:rsidRPr="00A718C0">
              <w:rPr>
                <w:sz w:val="22"/>
                <w:szCs w:val="22"/>
                <w:lang w:val="ru-RU" w:eastAsia="ru-RU"/>
              </w:rPr>
              <w:noBreakHyphen/>
              <w:t xml:space="preserve">10,7% (95% CI: </w:t>
            </w:r>
            <w:r w:rsidRPr="00A718C0">
              <w:rPr>
                <w:sz w:val="22"/>
                <w:szCs w:val="22"/>
                <w:lang w:val="ru-RU" w:eastAsia="ru-RU"/>
              </w:rPr>
              <w:noBreakHyphen/>
              <w:t>26,3% til 4,8%)</w:t>
            </w:r>
          </w:p>
        </w:tc>
      </w:tr>
    </w:tbl>
    <w:bookmarkEnd w:id="5"/>
    <w:p w14:paraId="5FBBCBB1" w14:textId="53548EC8" w:rsidR="00DB1C4E" w:rsidRPr="00F2263F" w:rsidRDefault="00DB1C4E" w:rsidP="00DB1C4E">
      <w:pPr>
        <w:pStyle w:val="Brdtekst"/>
        <w:widowControl/>
        <w:suppressAutoHyphens/>
        <w:kinsoku w:val="0"/>
        <w:overflowPunct w:val="0"/>
        <w:ind w:left="0"/>
        <w:rPr>
          <w:color w:val="000000" w:themeColor="text1"/>
          <w:lang w:val="en-US"/>
        </w:rPr>
      </w:pPr>
      <w:r w:rsidRPr="00F2263F">
        <w:rPr>
          <w:color w:val="000000" w:themeColor="text1"/>
          <w:lang w:val="en-US"/>
        </w:rPr>
        <w:t>D/C/F/TAF = darunavir/cobicistat/emtricitabin/</w:t>
      </w:r>
      <w:r w:rsidR="00202D86">
        <w:rPr>
          <w:color w:val="000000" w:themeColor="text1"/>
          <w:lang w:val="en-US"/>
        </w:rPr>
        <w:t>tenofovir alafenamid</w:t>
      </w:r>
    </w:p>
    <w:p w14:paraId="42821EB1" w14:textId="229062B1" w:rsidR="00DB1C4E" w:rsidRPr="00A718C0" w:rsidRDefault="00DB1C4E" w:rsidP="00A718C0">
      <w:pPr>
        <w:pStyle w:val="Brdtekst"/>
        <w:widowControl/>
        <w:suppressAutoHyphens/>
        <w:kinsoku w:val="0"/>
        <w:overflowPunct w:val="0"/>
        <w:ind w:left="284" w:hanging="284"/>
        <w:rPr>
          <w:color w:val="000000" w:themeColor="text1"/>
          <w:sz w:val="20"/>
          <w:szCs w:val="20"/>
        </w:rPr>
      </w:pPr>
      <w:r w:rsidRPr="00A718C0">
        <w:rPr>
          <w:color w:val="000000" w:themeColor="text1"/>
          <w:sz w:val="20"/>
          <w:szCs w:val="20"/>
          <w:vertAlign w:val="superscript"/>
        </w:rPr>
        <w:t>a</w:t>
      </w:r>
      <w:r w:rsidRPr="00A718C0">
        <w:rPr>
          <w:color w:val="000000" w:themeColor="text1"/>
          <w:sz w:val="20"/>
          <w:szCs w:val="20"/>
        </w:rPr>
        <w:t xml:space="preserve"> </w:t>
      </w:r>
      <w:r w:rsidR="00A718C0">
        <w:rPr>
          <w:color w:val="000000" w:themeColor="text1"/>
          <w:sz w:val="20"/>
          <w:szCs w:val="20"/>
        </w:rPr>
        <w:tab/>
      </w:r>
      <w:r w:rsidRPr="00A718C0">
        <w:rPr>
          <w:color w:val="000000" w:themeColor="text1"/>
          <w:sz w:val="20"/>
          <w:szCs w:val="20"/>
        </w:rPr>
        <w:t>Uge 48-vinduet var fra dag 294 til 377 (inklusive).</w:t>
      </w:r>
    </w:p>
    <w:p w14:paraId="14E03A87" w14:textId="53B6A815" w:rsidR="00DB1C4E" w:rsidRPr="00A718C0" w:rsidRDefault="00DB1C4E" w:rsidP="00A718C0">
      <w:pPr>
        <w:pStyle w:val="Brdtekst"/>
        <w:widowControl/>
        <w:suppressAutoHyphens/>
        <w:kinsoku w:val="0"/>
        <w:overflowPunct w:val="0"/>
        <w:ind w:left="284" w:hanging="284"/>
        <w:rPr>
          <w:color w:val="000000" w:themeColor="text1"/>
          <w:sz w:val="20"/>
          <w:szCs w:val="20"/>
        </w:rPr>
      </w:pPr>
      <w:r w:rsidRPr="00A718C0">
        <w:rPr>
          <w:color w:val="000000" w:themeColor="text1"/>
          <w:sz w:val="20"/>
          <w:szCs w:val="20"/>
          <w:vertAlign w:val="superscript"/>
        </w:rPr>
        <w:t>b</w:t>
      </w:r>
      <w:r w:rsidRPr="00A718C0">
        <w:rPr>
          <w:color w:val="000000" w:themeColor="text1"/>
          <w:sz w:val="20"/>
          <w:szCs w:val="20"/>
        </w:rPr>
        <w:t xml:space="preserve"> </w:t>
      </w:r>
      <w:r w:rsidR="00A718C0">
        <w:rPr>
          <w:color w:val="000000" w:themeColor="text1"/>
          <w:sz w:val="20"/>
          <w:szCs w:val="20"/>
        </w:rPr>
        <w:tab/>
      </w:r>
      <w:r w:rsidRPr="00A718C0">
        <w:rPr>
          <w:color w:val="000000" w:themeColor="text1"/>
          <w:sz w:val="20"/>
          <w:szCs w:val="20"/>
        </w:rPr>
        <w:t>Omfatter patienter, som havde ≥ 50 kopier/ml i uge 48-vinduet, patienter, som afbrød behandlingen tidligt som følge af manglende eller svigtende virkning, patienter, som afbrød behandlingen af andre årsager end en adverse event (AE), død eller manglende eller svigtende virkning, og som på tidspunktet for seponering havde en viral load på ≥</w:t>
      </w:r>
      <w:r w:rsidR="00C7472A">
        <w:rPr>
          <w:color w:val="000000" w:themeColor="text1"/>
          <w:sz w:val="20"/>
          <w:szCs w:val="20"/>
        </w:rPr>
        <w:t> </w:t>
      </w:r>
      <w:r w:rsidRPr="00A718C0">
        <w:rPr>
          <w:color w:val="000000" w:themeColor="text1"/>
          <w:sz w:val="20"/>
          <w:szCs w:val="20"/>
        </w:rPr>
        <w:t>50 kopier/ml.</w:t>
      </w:r>
    </w:p>
    <w:p w14:paraId="793218CB" w14:textId="27886915" w:rsidR="00DB1C4E" w:rsidRPr="00A718C0" w:rsidRDefault="00DB1C4E" w:rsidP="00A718C0">
      <w:pPr>
        <w:pStyle w:val="Brdtekst"/>
        <w:widowControl/>
        <w:suppressAutoHyphens/>
        <w:kinsoku w:val="0"/>
        <w:overflowPunct w:val="0"/>
        <w:ind w:left="284" w:hanging="284"/>
        <w:rPr>
          <w:color w:val="000000" w:themeColor="text1"/>
          <w:sz w:val="20"/>
          <w:szCs w:val="20"/>
        </w:rPr>
      </w:pPr>
      <w:r w:rsidRPr="00A718C0">
        <w:rPr>
          <w:color w:val="000000" w:themeColor="text1"/>
          <w:sz w:val="20"/>
          <w:szCs w:val="20"/>
          <w:vertAlign w:val="superscript"/>
        </w:rPr>
        <w:t>c</w:t>
      </w:r>
      <w:r w:rsidRPr="00A718C0">
        <w:rPr>
          <w:color w:val="000000" w:themeColor="text1"/>
          <w:sz w:val="20"/>
          <w:szCs w:val="20"/>
        </w:rPr>
        <w:t xml:space="preserve"> </w:t>
      </w:r>
      <w:r w:rsidR="00A718C0">
        <w:rPr>
          <w:color w:val="000000" w:themeColor="text1"/>
          <w:sz w:val="20"/>
          <w:szCs w:val="20"/>
        </w:rPr>
        <w:tab/>
      </w:r>
      <w:r w:rsidRPr="00A718C0">
        <w:rPr>
          <w:color w:val="000000" w:themeColor="text1"/>
          <w:sz w:val="20"/>
          <w:szCs w:val="20"/>
        </w:rPr>
        <w:t>Omfatter patienter, som afbrød behandlingen som følge af en AE eller død på et tidspunkt fra dag 1 og i løbet af tidsvinduet, hvis dette ikke resulterede i virologiske data om behandlingen i løbet af det specificerede tidsvindue.</w:t>
      </w:r>
    </w:p>
    <w:p w14:paraId="11EE1617" w14:textId="37341E79" w:rsidR="00DB1C4E" w:rsidRPr="00A718C0" w:rsidRDefault="00DB1C4E" w:rsidP="00A718C0">
      <w:pPr>
        <w:pStyle w:val="Brdtekst"/>
        <w:widowControl/>
        <w:suppressAutoHyphens/>
        <w:kinsoku w:val="0"/>
        <w:overflowPunct w:val="0"/>
        <w:ind w:left="284" w:hanging="284"/>
        <w:rPr>
          <w:color w:val="000000" w:themeColor="text1"/>
          <w:sz w:val="20"/>
          <w:szCs w:val="20"/>
        </w:rPr>
      </w:pPr>
      <w:r w:rsidRPr="00A718C0">
        <w:rPr>
          <w:color w:val="000000" w:themeColor="text1"/>
          <w:sz w:val="20"/>
          <w:szCs w:val="20"/>
          <w:vertAlign w:val="superscript"/>
        </w:rPr>
        <w:t>d</w:t>
      </w:r>
      <w:r w:rsidRPr="00A718C0">
        <w:rPr>
          <w:color w:val="000000" w:themeColor="text1"/>
          <w:sz w:val="20"/>
          <w:szCs w:val="20"/>
        </w:rPr>
        <w:t xml:space="preserve"> </w:t>
      </w:r>
      <w:r w:rsidR="00A718C0">
        <w:rPr>
          <w:color w:val="000000" w:themeColor="text1"/>
          <w:sz w:val="20"/>
          <w:szCs w:val="20"/>
        </w:rPr>
        <w:tab/>
      </w:r>
      <w:r w:rsidRPr="00A718C0">
        <w:rPr>
          <w:color w:val="000000" w:themeColor="text1"/>
          <w:sz w:val="20"/>
          <w:szCs w:val="20"/>
        </w:rPr>
        <w:t>Omfatter patienter, som afbrød behandlingen af andre årsager end en AE, død eller manglende eller svigtende virkning, f.eks. tilbagetrækning af samtykke, tabt for opfølgning osv.</w:t>
      </w:r>
    </w:p>
    <w:p w14:paraId="75D22B05" w14:textId="77777777" w:rsidR="00DB1C4E" w:rsidRPr="00F2263F" w:rsidRDefault="00DB1C4E" w:rsidP="00DB1C4E">
      <w:pPr>
        <w:pStyle w:val="Brdtekst"/>
        <w:widowControl/>
        <w:suppressAutoHyphens/>
        <w:kinsoku w:val="0"/>
        <w:overflowPunct w:val="0"/>
        <w:ind w:left="0"/>
        <w:rPr>
          <w:i/>
          <w:iCs/>
          <w:color w:val="000000" w:themeColor="text1"/>
        </w:rPr>
      </w:pPr>
    </w:p>
    <w:p w14:paraId="1AC967A3" w14:textId="77777777" w:rsidR="00DB1C4E" w:rsidRPr="00A718C0" w:rsidRDefault="00DB1C4E" w:rsidP="00132A6A">
      <w:pPr>
        <w:ind w:left="851"/>
        <w:rPr>
          <w:i/>
          <w:sz w:val="24"/>
          <w:szCs w:val="24"/>
        </w:rPr>
      </w:pPr>
      <w:r w:rsidRPr="00A718C0">
        <w:rPr>
          <w:i/>
          <w:sz w:val="24"/>
          <w:szCs w:val="24"/>
        </w:rPr>
        <w:t>Hiv 1-inficerede, virologisk supprimerede patienter</w:t>
      </w:r>
    </w:p>
    <w:p w14:paraId="3B99A5C4" w14:textId="77CBBDCD" w:rsidR="00DB1C4E" w:rsidRPr="00F2263F" w:rsidRDefault="00DB1C4E" w:rsidP="00132A6A">
      <w:pPr>
        <w:ind w:left="851"/>
        <w:rPr>
          <w:sz w:val="24"/>
          <w:szCs w:val="24"/>
        </w:rPr>
      </w:pPr>
      <w:r w:rsidRPr="00F2263F">
        <w:rPr>
          <w:sz w:val="24"/>
          <w:szCs w:val="24"/>
        </w:rPr>
        <w:t>I studie GS-US-311-1089 blev virkningen og sikkerheden ved skift fra emtricitabin/</w:t>
      </w:r>
      <w:r w:rsidR="00202D86">
        <w:rPr>
          <w:sz w:val="24"/>
          <w:szCs w:val="24"/>
        </w:rPr>
        <w:t>tenofovir disoproxil fumarat</w:t>
      </w:r>
      <w:r w:rsidRPr="00F2263F">
        <w:rPr>
          <w:sz w:val="24"/>
          <w:szCs w:val="24"/>
        </w:rPr>
        <w:t xml:space="preserve"> til emtricitabin og </w:t>
      </w:r>
      <w:r w:rsidR="00202D86">
        <w:rPr>
          <w:sz w:val="24"/>
          <w:szCs w:val="24"/>
        </w:rPr>
        <w:t>tenofovir alafenamid fumarat</w:t>
      </w:r>
      <w:r w:rsidRPr="00F2263F">
        <w:rPr>
          <w:sz w:val="24"/>
          <w:szCs w:val="24"/>
        </w:rPr>
        <w:t xml:space="preserve"> kombinationen, mens det tredje antiretrovirale stof blev fortsat, evalueret i et randomiseret, dobbeltblindet studie af virologisk supprimerede hiv 1-inficerede voksne (n = 663). Patienterne skal have haft stabil supprimering (hiv 1-rna &lt; 50 kopier/ml) i deres regime ved baseline i mindst 6 måneder og have hiv 1 uden resistensmutationer for emtricitabin eller </w:t>
      </w:r>
      <w:r w:rsidR="00202D86">
        <w:rPr>
          <w:sz w:val="24"/>
          <w:szCs w:val="24"/>
        </w:rPr>
        <w:t>tenofovir alafenamid</w:t>
      </w:r>
      <w:r w:rsidRPr="00F2263F">
        <w:rPr>
          <w:sz w:val="24"/>
          <w:szCs w:val="24"/>
        </w:rPr>
        <w:t xml:space="preserve">, før de indgik i studiet. Patienterne blev randomiseret i forholdet 1:1 enten til et skift til emtricitabin og </w:t>
      </w:r>
      <w:r w:rsidR="00202D86">
        <w:rPr>
          <w:sz w:val="24"/>
          <w:szCs w:val="24"/>
        </w:rPr>
        <w:t>tenofovir alafenamid fumarat</w:t>
      </w:r>
      <w:r w:rsidRPr="00F2263F">
        <w:rPr>
          <w:sz w:val="24"/>
          <w:szCs w:val="24"/>
        </w:rPr>
        <w:t xml:space="preserve"> kombinationen (n</w:t>
      </w:r>
      <w:r w:rsidR="00C7472A">
        <w:rPr>
          <w:sz w:val="24"/>
          <w:szCs w:val="24"/>
        </w:rPr>
        <w:t> </w:t>
      </w:r>
      <w:r w:rsidRPr="00F2263F">
        <w:rPr>
          <w:sz w:val="24"/>
          <w:szCs w:val="24"/>
        </w:rPr>
        <w:t>=</w:t>
      </w:r>
      <w:r w:rsidR="00C7472A">
        <w:rPr>
          <w:sz w:val="24"/>
          <w:szCs w:val="24"/>
        </w:rPr>
        <w:t> </w:t>
      </w:r>
      <w:r w:rsidRPr="00F2263F">
        <w:rPr>
          <w:sz w:val="24"/>
          <w:szCs w:val="24"/>
        </w:rPr>
        <w:t>333) eller blev på deres regime indeholdende emtricitabin/</w:t>
      </w:r>
      <w:r w:rsidR="00202D86">
        <w:rPr>
          <w:sz w:val="24"/>
          <w:szCs w:val="24"/>
        </w:rPr>
        <w:t>tenofovir disoproxil fumarat</w:t>
      </w:r>
      <w:r w:rsidRPr="00F2263F">
        <w:rPr>
          <w:sz w:val="24"/>
          <w:szCs w:val="24"/>
        </w:rPr>
        <w:t xml:space="preserve"> ved baseline (n = 330). Patienterne blev stratificeret ved klassen for det tredje stof i deres tidligere behandlingsregime. Ved baseline fik 46 % af patienter emtricitabin/</w:t>
      </w:r>
      <w:r w:rsidR="00202D86">
        <w:rPr>
          <w:sz w:val="24"/>
          <w:szCs w:val="24"/>
        </w:rPr>
        <w:t>tenofovir disoproxil fumarat</w:t>
      </w:r>
      <w:r w:rsidRPr="00F2263F">
        <w:rPr>
          <w:sz w:val="24"/>
          <w:szCs w:val="24"/>
        </w:rPr>
        <w:t xml:space="preserve"> i kombination med en boosted PI og 54 % af </w:t>
      </w:r>
      <w:r w:rsidRPr="00F2263F">
        <w:rPr>
          <w:sz w:val="24"/>
          <w:szCs w:val="24"/>
        </w:rPr>
        <w:lastRenderedPageBreak/>
        <w:t>patienterne fik emtricitabin/</w:t>
      </w:r>
      <w:r w:rsidR="00202D86">
        <w:rPr>
          <w:sz w:val="24"/>
          <w:szCs w:val="24"/>
        </w:rPr>
        <w:t>tenofovir disoproxil fumarat</w:t>
      </w:r>
      <w:r w:rsidRPr="00F2263F">
        <w:rPr>
          <w:sz w:val="24"/>
          <w:szCs w:val="24"/>
        </w:rPr>
        <w:t xml:space="preserve"> i kombination med et ikke boosted tredje stof.</w:t>
      </w:r>
    </w:p>
    <w:p w14:paraId="107929F8" w14:textId="77777777" w:rsidR="00DB1C4E" w:rsidRPr="00F2263F" w:rsidRDefault="00DB1C4E" w:rsidP="00132A6A">
      <w:pPr>
        <w:ind w:left="851"/>
        <w:rPr>
          <w:sz w:val="24"/>
          <w:szCs w:val="24"/>
        </w:rPr>
      </w:pPr>
    </w:p>
    <w:p w14:paraId="134BD9CD" w14:textId="1EC195C5" w:rsidR="00DB1C4E" w:rsidRPr="00F2263F" w:rsidRDefault="00DB1C4E" w:rsidP="00132A6A">
      <w:pPr>
        <w:ind w:left="851"/>
        <w:rPr>
          <w:sz w:val="24"/>
          <w:szCs w:val="24"/>
        </w:rPr>
      </w:pPr>
      <w:r w:rsidRPr="00F2263F">
        <w:rPr>
          <w:sz w:val="24"/>
          <w:szCs w:val="24"/>
        </w:rPr>
        <w:t>Behandlingsresultaterne for studie GS-US-311-1089 til og med uge 48 og 96 vises i tabel</w:t>
      </w:r>
      <w:r w:rsidR="00C7472A">
        <w:rPr>
          <w:sz w:val="24"/>
          <w:szCs w:val="24"/>
        </w:rPr>
        <w:t> </w:t>
      </w:r>
      <w:r w:rsidRPr="00F2263F">
        <w:rPr>
          <w:sz w:val="24"/>
          <w:szCs w:val="24"/>
        </w:rPr>
        <w:t>6.</w:t>
      </w:r>
    </w:p>
    <w:p w14:paraId="5FEF449E" w14:textId="77777777" w:rsidR="00DB1C4E" w:rsidRPr="00F2263F" w:rsidRDefault="00DB1C4E" w:rsidP="00DB1C4E">
      <w:pPr>
        <w:pStyle w:val="Brdtekst"/>
        <w:widowControl/>
        <w:suppressAutoHyphens/>
        <w:kinsoku w:val="0"/>
        <w:overflowPunct w:val="0"/>
        <w:ind w:left="0"/>
        <w:rPr>
          <w:color w:val="000000" w:themeColor="text1"/>
        </w:rPr>
      </w:pPr>
    </w:p>
    <w:p w14:paraId="7928559C" w14:textId="77777777" w:rsidR="00DB1C4E" w:rsidRPr="00F2263F" w:rsidRDefault="00DB1C4E" w:rsidP="00DB1C4E">
      <w:pPr>
        <w:pStyle w:val="Brdtekst"/>
        <w:widowControl/>
        <w:suppressAutoHyphens/>
        <w:kinsoku w:val="0"/>
        <w:overflowPunct w:val="0"/>
        <w:ind w:left="0"/>
        <w:rPr>
          <w:b/>
          <w:bCs/>
          <w:color w:val="000000" w:themeColor="text1"/>
        </w:rPr>
      </w:pPr>
      <w:r w:rsidRPr="00F2263F">
        <w:rPr>
          <w:b/>
          <w:bCs/>
          <w:color w:val="000000" w:themeColor="text1"/>
        </w:rPr>
        <w:t>Tabel 6: Virologiske resultater af studie GS-US-311-1089 ved uge 48</w:t>
      </w:r>
      <w:r w:rsidRPr="00F2263F">
        <w:rPr>
          <w:b/>
          <w:bCs/>
          <w:color w:val="000000" w:themeColor="text1"/>
          <w:vertAlign w:val="superscript"/>
        </w:rPr>
        <w:t>a</w:t>
      </w:r>
      <w:r w:rsidRPr="00F2263F">
        <w:rPr>
          <w:b/>
          <w:bCs/>
          <w:color w:val="000000" w:themeColor="text1"/>
        </w:rPr>
        <w:t xml:space="preserve"> og 96</w:t>
      </w:r>
      <w:r w:rsidRPr="00F2263F">
        <w:rPr>
          <w:b/>
          <w:bCs/>
          <w:color w:val="000000" w:themeColor="text1"/>
          <w:vertAlign w:val="superscript"/>
        </w:rPr>
        <w:t>b</w:t>
      </w:r>
    </w:p>
    <w:p w14:paraId="1B693750" w14:textId="77777777" w:rsidR="00DB1C4E" w:rsidRPr="00F2263F" w:rsidRDefault="00DB1C4E" w:rsidP="00DB1C4E">
      <w:pPr>
        <w:pStyle w:val="Brdtekst"/>
        <w:widowControl/>
        <w:suppressAutoHyphens/>
        <w:kinsoku w:val="0"/>
        <w:overflowPunct w:val="0"/>
        <w:ind w:left="0"/>
        <w:rPr>
          <w:color w:val="000000" w:themeColor="text1"/>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640"/>
        <w:gridCol w:w="1914"/>
        <w:gridCol w:w="1618"/>
        <w:gridCol w:w="1914"/>
        <w:gridCol w:w="1542"/>
      </w:tblGrid>
      <w:tr w:rsidR="00DB1C4E" w:rsidRPr="00A718C0" w14:paraId="66C637F3" w14:textId="77777777" w:rsidTr="00132A6A">
        <w:trPr>
          <w:cantSplit/>
          <w:trHeight w:val="283"/>
          <w:tblHeader/>
        </w:trPr>
        <w:tc>
          <w:tcPr>
            <w:tcW w:w="1371" w:type="pct"/>
            <w:tcBorders>
              <w:top w:val="single" w:sz="4" w:space="0" w:color="000000"/>
              <w:left w:val="single" w:sz="4" w:space="0" w:color="000000"/>
              <w:bottom w:val="single" w:sz="4" w:space="0" w:color="000000"/>
              <w:right w:val="single" w:sz="4" w:space="0" w:color="000000"/>
            </w:tcBorders>
          </w:tcPr>
          <w:p w14:paraId="2E7BB26F" w14:textId="77777777" w:rsidR="00DB1C4E" w:rsidRPr="00A718C0" w:rsidRDefault="00DB1C4E">
            <w:pPr>
              <w:jc w:val="center"/>
              <w:rPr>
                <w:b/>
                <w:bCs/>
                <w:sz w:val="22"/>
                <w:szCs w:val="22"/>
                <w:lang w:val="ru-RU" w:eastAsia="ru-RU"/>
              </w:rPr>
            </w:pPr>
            <w:bookmarkStart w:id="6" w:name="_Hlk209433664"/>
          </w:p>
        </w:tc>
        <w:tc>
          <w:tcPr>
            <w:tcW w:w="1834" w:type="pct"/>
            <w:gridSpan w:val="2"/>
            <w:tcBorders>
              <w:top w:val="single" w:sz="4" w:space="0" w:color="000000"/>
              <w:left w:val="single" w:sz="4" w:space="0" w:color="000000"/>
              <w:bottom w:val="single" w:sz="4" w:space="0" w:color="000000"/>
              <w:right w:val="single" w:sz="4" w:space="0" w:color="000000"/>
            </w:tcBorders>
            <w:vAlign w:val="center"/>
            <w:hideMark/>
          </w:tcPr>
          <w:p w14:paraId="5A7912E8" w14:textId="77777777" w:rsidR="00DB1C4E" w:rsidRPr="00A718C0" w:rsidRDefault="00DB1C4E">
            <w:pPr>
              <w:jc w:val="center"/>
              <w:rPr>
                <w:b/>
                <w:bCs/>
                <w:sz w:val="22"/>
                <w:szCs w:val="22"/>
                <w:lang w:val="ru-RU" w:eastAsia="ru-RU"/>
              </w:rPr>
            </w:pPr>
            <w:r w:rsidRPr="00A718C0">
              <w:rPr>
                <w:b/>
                <w:bCs/>
                <w:sz w:val="22"/>
                <w:szCs w:val="22"/>
                <w:lang w:val="ru-RU" w:eastAsia="ru-RU"/>
              </w:rPr>
              <w:t>Uge 48</w:t>
            </w:r>
          </w:p>
        </w:tc>
        <w:tc>
          <w:tcPr>
            <w:tcW w:w="1796" w:type="pct"/>
            <w:gridSpan w:val="2"/>
            <w:tcBorders>
              <w:top w:val="single" w:sz="4" w:space="0" w:color="000000"/>
              <w:left w:val="single" w:sz="4" w:space="0" w:color="000000"/>
              <w:bottom w:val="single" w:sz="4" w:space="0" w:color="000000"/>
              <w:right w:val="single" w:sz="4" w:space="0" w:color="000000"/>
            </w:tcBorders>
            <w:vAlign w:val="center"/>
            <w:hideMark/>
          </w:tcPr>
          <w:p w14:paraId="71D72C2A" w14:textId="77777777" w:rsidR="00DB1C4E" w:rsidRPr="00A718C0" w:rsidRDefault="00DB1C4E">
            <w:pPr>
              <w:jc w:val="center"/>
              <w:rPr>
                <w:b/>
                <w:bCs/>
                <w:sz w:val="22"/>
                <w:szCs w:val="22"/>
                <w:lang w:val="ru-RU" w:eastAsia="ru-RU"/>
              </w:rPr>
            </w:pPr>
            <w:r w:rsidRPr="00A718C0">
              <w:rPr>
                <w:b/>
                <w:bCs/>
                <w:sz w:val="22"/>
                <w:szCs w:val="22"/>
                <w:lang w:val="ru-RU" w:eastAsia="ru-RU"/>
              </w:rPr>
              <w:t>Uge 96</w:t>
            </w:r>
          </w:p>
        </w:tc>
      </w:tr>
      <w:tr w:rsidR="00DB1C4E" w:rsidRPr="00A718C0" w14:paraId="3D9D0DDB" w14:textId="77777777" w:rsidTr="00132A6A">
        <w:trPr>
          <w:cantSplit/>
          <w:trHeight w:val="227"/>
          <w:tblHeader/>
        </w:trPr>
        <w:tc>
          <w:tcPr>
            <w:tcW w:w="1371" w:type="pct"/>
            <w:tcBorders>
              <w:top w:val="single" w:sz="4" w:space="0" w:color="000000"/>
              <w:left w:val="single" w:sz="4" w:space="0" w:color="000000"/>
              <w:bottom w:val="single" w:sz="4" w:space="0" w:color="000000"/>
              <w:right w:val="single" w:sz="4" w:space="0" w:color="000000"/>
            </w:tcBorders>
          </w:tcPr>
          <w:p w14:paraId="5D5D464F" w14:textId="77777777" w:rsidR="00DB1C4E" w:rsidRPr="00A718C0" w:rsidRDefault="00DB1C4E">
            <w:pPr>
              <w:jc w:val="center"/>
              <w:rPr>
                <w:b/>
                <w:bCs/>
                <w:sz w:val="22"/>
                <w:szCs w:val="22"/>
                <w:lang w:val="ru-RU" w:eastAsia="ru-RU"/>
              </w:rPr>
            </w:pPr>
          </w:p>
        </w:tc>
        <w:tc>
          <w:tcPr>
            <w:tcW w:w="994" w:type="pct"/>
            <w:tcBorders>
              <w:top w:val="single" w:sz="4" w:space="0" w:color="000000"/>
              <w:left w:val="single" w:sz="4" w:space="0" w:color="000000"/>
              <w:bottom w:val="single" w:sz="4" w:space="0" w:color="000000"/>
              <w:right w:val="single" w:sz="4" w:space="0" w:color="000000"/>
            </w:tcBorders>
            <w:hideMark/>
          </w:tcPr>
          <w:p w14:paraId="5E5F2727" w14:textId="77777777" w:rsidR="00DB1C4E" w:rsidRPr="00A718C0" w:rsidRDefault="00DB1C4E">
            <w:pPr>
              <w:jc w:val="center"/>
              <w:rPr>
                <w:b/>
                <w:bCs/>
                <w:sz w:val="22"/>
                <w:szCs w:val="22"/>
                <w:lang w:val="ru-RU" w:eastAsia="ru-RU"/>
              </w:rPr>
            </w:pPr>
            <w:r w:rsidRPr="00A718C0">
              <w:rPr>
                <w:b/>
                <w:bCs/>
                <w:sz w:val="22"/>
                <w:szCs w:val="22"/>
                <w:lang w:val="ru-RU" w:eastAsia="ru-RU"/>
              </w:rPr>
              <w:t>Regime indeholdende emtricitabin/</w:t>
            </w:r>
          </w:p>
          <w:p w14:paraId="036DF6F0" w14:textId="375C1443" w:rsidR="00DB1C4E" w:rsidRPr="00A718C0" w:rsidRDefault="00202D86">
            <w:pPr>
              <w:jc w:val="center"/>
              <w:rPr>
                <w:b/>
                <w:bCs/>
                <w:sz w:val="22"/>
                <w:szCs w:val="22"/>
                <w:lang w:val="ru-RU" w:eastAsia="ru-RU"/>
              </w:rPr>
            </w:pPr>
            <w:r>
              <w:rPr>
                <w:b/>
                <w:bCs/>
                <w:sz w:val="22"/>
                <w:szCs w:val="22"/>
                <w:lang w:val="ru-RU" w:eastAsia="ru-RU"/>
              </w:rPr>
              <w:t>tenofovir alafenamid</w:t>
            </w:r>
            <w:r w:rsidR="00DB1C4E" w:rsidRPr="00A718C0">
              <w:rPr>
                <w:b/>
                <w:bCs/>
                <w:sz w:val="22"/>
                <w:szCs w:val="22"/>
                <w:lang w:val="ru-RU" w:eastAsia="ru-RU"/>
              </w:rPr>
              <w:t xml:space="preserve"> (n = 333)</w:t>
            </w:r>
          </w:p>
        </w:tc>
        <w:tc>
          <w:tcPr>
            <w:tcW w:w="840" w:type="pct"/>
            <w:tcBorders>
              <w:top w:val="single" w:sz="4" w:space="0" w:color="000000"/>
              <w:left w:val="single" w:sz="4" w:space="0" w:color="000000"/>
              <w:bottom w:val="single" w:sz="4" w:space="0" w:color="000000"/>
              <w:right w:val="single" w:sz="4" w:space="0" w:color="000000"/>
            </w:tcBorders>
            <w:hideMark/>
          </w:tcPr>
          <w:p w14:paraId="2CA6FAA7" w14:textId="77777777" w:rsidR="00DB1C4E" w:rsidRPr="00A718C0" w:rsidRDefault="00DB1C4E">
            <w:pPr>
              <w:jc w:val="center"/>
              <w:rPr>
                <w:b/>
                <w:bCs/>
                <w:sz w:val="22"/>
                <w:szCs w:val="22"/>
                <w:lang w:val="ru-RU" w:eastAsia="ru-RU"/>
              </w:rPr>
            </w:pPr>
            <w:r w:rsidRPr="00A718C0">
              <w:rPr>
                <w:b/>
                <w:bCs/>
                <w:sz w:val="22"/>
                <w:szCs w:val="22"/>
                <w:lang w:val="ru-RU" w:eastAsia="ru-RU"/>
              </w:rPr>
              <w:t xml:space="preserve">Regime indeholdende emtricitabin/ tenofovir-disoproxil-fumarat </w:t>
            </w:r>
          </w:p>
          <w:p w14:paraId="1CEAAB9E" w14:textId="77777777" w:rsidR="00DB1C4E" w:rsidRPr="00A718C0" w:rsidRDefault="00DB1C4E">
            <w:pPr>
              <w:jc w:val="center"/>
              <w:rPr>
                <w:b/>
                <w:bCs/>
                <w:sz w:val="22"/>
                <w:szCs w:val="22"/>
                <w:lang w:val="ru-RU" w:eastAsia="ru-RU"/>
              </w:rPr>
            </w:pPr>
            <w:r w:rsidRPr="00A718C0">
              <w:rPr>
                <w:b/>
                <w:bCs/>
                <w:sz w:val="22"/>
                <w:szCs w:val="22"/>
                <w:lang w:val="ru-RU" w:eastAsia="ru-RU"/>
              </w:rPr>
              <w:t>(n = 330)</w:t>
            </w:r>
          </w:p>
        </w:tc>
        <w:tc>
          <w:tcPr>
            <w:tcW w:w="994" w:type="pct"/>
            <w:tcBorders>
              <w:top w:val="single" w:sz="4" w:space="0" w:color="000000"/>
              <w:left w:val="single" w:sz="4" w:space="0" w:color="000000"/>
              <w:bottom w:val="single" w:sz="4" w:space="0" w:color="000000"/>
              <w:right w:val="single" w:sz="4" w:space="0" w:color="000000"/>
            </w:tcBorders>
            <w:hideMark/>
          </w:tcPr>
          <w:p w14:paraId="71C682CB" w14:textId="77777777" w:rsidR="00DB1C4E" w:rsidRPr="00A718C0" w:rsidRDefault="00DB1C4E">
            <w:pPr>
              <w:jc w:val="center"/>
              <w:rPr>
                <w:b/>
                <w:bCs/>
                <w:sz w:val="22"/>
                <w:szCs w:val="22"/>
                <w:lang w:val="ru-RU" w:eastAsia="ru-RU"/>
              </w:rPr>
            </w:pPr>
            <w:r w:rsidRPr="00A718C0">
              <w:rPr>
                <w:b/>
                <w:bCs/>
                <w:sz w:val="22"/>
                <w:szCs w:val="22"/>
                <w:lang w:val="ru-RU" w:eastAsia="ru-RU"/>
              </w:rPr>
              <w:t>Regime indeholdende emtricitabin/</w:t>
            </w:r>
          </w:p>
          <w:p w14:paraId="6794A100" w14:textId="52F0CADF" w:rsidR="00DB1C4E" w:rsidRPr="00A718C0" w:rsidRDefault="00202D86">
            <w:pPr>
              <w:jc w:val="center"/>
              <w:rPr>
                <w:b/>
                <w:bCs/>
                <w:sz w:val="22"/>
                <w:szCs w:val="22"/>
                <w:lang w:val="ru-RU" w:eastAsia="ru-RU"/>
              </w:rPr>
            </w:pPr>
            <w:r>
              <w:rPr>
                <w:b/>
                <w:bCs/>
                <w:sz w:val="22"/>
                <w:szCs w:val="22"/>
                <w:lang w:val="ru-RU" w:eastAsia="ru-RU"/>
              </w:rPr>
              <w:t>tenofovir alafenamid</w:t>
            </w:r>
            <w:r w:rsidR="00DB1C4E" w:rsidRPr="00A718C0">
              <w:rPr>
                <w:b/>
                <w:bCs/>
                <w:sz w:val="22"/>
                <w:szCs w:val="22"/>
                <w:lang w:val="ru-RU" w:eastAsia="ru-RU"/>
              </w:rPr>
              <w:t xml:space="preserve"> (n = 333)</w:t>
            </w:r>
          </w:p>
        </w:tc>
        <w:tc>
          <w:tcPr>
            <w:tcW w:w="802" w:type="pct"/>
            <w:tcBorders>
              <w:top w:val="single" w:sz="4" w:space="0" w:color="000000"/>
              <w:left w:val="single" w:sz="4" w:space="0" w:color="000000"/>
              <w:bottom w:val="single" w:sz="4" w:space="0" w:color="000000"/>
              <w:right w:val="single" w:sz="4" w:space="0" w:color="000000"/>
            </w:tcBorders>
            <w:hideMark/>
          </w:tcPr>
          <w:p w14:paraId="4BF1758F" w14:textId="77777777" w:rsidR="00DB1C4E" w:rsidRPr="00A718C0" w:rsidRDefault="00DB1C4E">
            <w:pPr>
              <w:jc w:val="center"/>
              <w:rPr>
                <w:b/>
                <w:bCs/>
                <w:sz w:val="22"/>
                <w:szCs w:val="22"/>
                <w:lang w:val="ru-RU" w:eastAsia="ru-RU"/>
              </w:rPr>
            </w:pPr>
            <w:r w:rsidRPr="00A718C0">
              <w:rPr>
                <w:b/>
                <w:bCs/>
                <w:sz w:val="22"/>
                <w:szCs w:val="22"/>
                <w:lang w:val="ru-RU" w:eastAsia="ru-RU"/>
              </w:rPr>
              <w:t xml:space="preserve">Regime indeholdende emtricitabin/ tenofovir-disoproxil-fumarat </w:t>
            </w:r>
          </w:p>
          <w:p w14:paraId="0937D2C2" w14:textId="77777777" w:rsidR="00DB1C4E" w:rsidRPr="00A718C0" w:rsidRDefault="00DB1C4E">
            <w:pPr>
              <w:jc w:val="center"/>
              <w:rPr>
                <w:b/>
                <w:bCs/>
                <w:sz w:val="22"/>
                <w:szCs w:val="22"/>
                <w:lang w:val="ru-RU" w:eastAsia="ru-RU"/>
              </w:rPr>
            </w:pPr>
            <w:r w:rsidRPr="00A718C0">
              <w:rPr>
                <w:b/>
                <w:bCs/>
                <w:sz w:val="22"/>
                <w:szCs w:val="22"/>
                <w:lang w:val="ru-RU" w:eastAsia="ru-RU"/>
              </w:rPr>
              <w:t>(n = 330)</w:t>
            </w:r>
          </w:p>
        </w:tc>
      </w:tr>
      <w:tr w:rsidR="00DB1C4E" w:rsidRPr="00A718C0" w14:paraId="264E4878" w14:textId="77777777" w:rsidTr="00132A6A">
        <w:trPr>
          <w:cantSplit/>
          <w:trHeight w:val="283"/>
        </w:trPr>
        <w:tc>
          <w:tcPr>
            <w:tcW w:w="1371" w:type="pct"/>
            <w:tcBorders>
              <w:top w:val="single" w:sz="4" w:space="0" w:color="000000"/>
              <w:left w:val="single" w:sz="4" w:space="0" w:color="000000"/>
              <w:bottom w:val="single" w:sz="4" w:space="0" w:color="000000"/>
              <w:right w:val="single" w:sz="4" w:space="0" w:color="000000"/>
            </w:tcBorders>
            <w:hideMark/>
          </w:tcPr>
          <w:p w14:paraId="4D2958EF" w14:textId="77777777" w:rsidR="00DB1C4E" w:rsidRPr="00A718C0" w:rsidRDefault="00DB1C4E">
            <w:pPr>
              <w:pStyle w:val="TableParagraph"/>
              <w:rPr>
                <w:b/>
                <w:sz w:val="22"/>
                <w:szCs w:val="22"/>
                <w:lang w:val="ru-RU" w:eastAsia="ru-RU"/>
              </w:rPr>
            </w:pPr>
            <w:r w:rsidRPr="00A718C0">
              <w:rPr>
                <w:b/>
                <w:sz w:val="22"/>
                <w:szCs w:val="22"/>
                <w:lang w:val="ru-RU" w:eastAsia="ru-RU"/>
              </w:rPr>
              <w:t xml:space="preserve">Hiv 1-rna </w:t>
            </w:r>
          </w:p>
          <w:p w14:paraId="4645A283" w14:textId="77777777" w:rsidR="00DB1C4E" w:rsidRPr="00A718C0" w:rsidRDefault="00DB1C4E">
            <w:pPr>
              <w:pStyle w:val="TableParagraph"/>
              <w:rPr>
                <w:b/>
                <w:sz w:val="22"/>
                <w:szCs w:val="22"/>
                <w:lang w:val="ru-RU" w:eastAsia="ru-RU"/>
              </w:rPr>
            </w:pPr>
            <w:r w:rsidRPr="00A718C0">
              <w:rPr>
                <w:b/>
                <w:sz w:val="22"/>
                <w:szCs w:val="22"/>
                <w:lang w:val="ru-RU" w:eastAsia="ru-RU"/>
              </w:rPr>
              <w:t>&lt; 50 kopier/ml</w:t>
            </w:r>
          </w:p>
        </w:tc>
        <w:tc>
          <w:tcPr>
            <w:tcW w:w="994" w:type="pct"/>
            <w:tcBorders>
              <w:top w:val="single" w:sz="4" w:space="0" w:color="000000"/>
              <w:left w:val="single" w:sz="4" w:space="0" w:color="000000"/>
              <w:bottom w:val="single" w:sz="4" w:space="0" w:color="000000"/>
              <w:right w:val="single" w:sz="4" w:space="0" w:color="000000"/>
            </w:tcBorders>
            <w:vAlign w:val="center"/>
            <w:hideMark/>
          </w:tcPr>
          <w:p w14:paraId="787865AF" w14:textId="77777777" w:rsidR="00DB1C4E" w:rsidRPr="00A718C0" w:rsidRDefault="00DB1C4E">
            <w:pPr>
              <w:pStyle w:val="TableParagraph"/>
              <w:jc w:val="center"/>
              <w:rPr>
                <w:sz w:val="22"/>
                <w:szCs w:val="22"/>
                <w:lang w:val="ru-RU" w:eastAsia="ru-RU"/>
              </w:rPr>
            </w:pPr>
            <w:r w:rsidRPr="00A718C0">
              <w:rPr>
                <w:sz w:val="22"/>
                <w:szCs w:val="22"/>
                <w:lang w:val="ru-RU" w:eastAsia="ru-RU"/>
              </w:rPr>
              <w:t>94%</w:t>
            </w:r>
          </w:p>
        </w:tc>
        <w:tc>
          <w:tcPr>
            <w:tcW w:w="840" w:type="pct"/>
            <w:tcBorders>
              <w:top w:val="single" w:sz="4" w:space="0" w:color="000000"/>
              <w:left w:val="single" w:sz="4" w:space="0" w:color="000000"/>
              <w:bottom w:val="single" w:sz="4" w:space="0" w:color="000000"/>
              <w:right w:val="single" w:sz="4" w:space="0" w:color="000000"/>
            </w:tcBorders>
            <w:vAlign w:val="center"/>
            <w:hideMark/>
          </w:tcPr>
          <w:p w14:paraId="3DE1F292" w14:textId="77777777" w:rsidR="00DB1C4E" w:rsidRPr="00A718C0" w:rsidRDefault="00DB1C4E">
            <w:pPr>
              <w:pStyle w:val="TableParagraph"/>
              <w:jc w:val="center"/>
              <w:rPr>
                <w:sz w:val="22"/>
                <w:szCs w:val="22"/>
                <w:lang w:val="ru-RU" w:eastAsia="ru-RU"/>
              </w:rPr>
            </w:pPr>
            <w:r w:rsidRPr="00A718C0">
              <w:rPr>
                <w:sz w:val="22"/>
                <w:szCs w:val="22"/>
                <w:lang w:val="ru-RU" w:eastAsia="ru-RU"/>
              </w:rPr>
              <w:t>93%</w:t>
            </w:r>
          </w:p>
        </w:tc>
        <w:tc>
          <w:tcPr>
            <w:tcW w:w="994" w:type="pct"/>
            <w:tcBorders>
              <w:top w:val="single" w:sz="4" w:space="0" w:color="000000"/>
              <w:left w:val="single" w:sz="4" w:space="0" w:color="000000"/>
              <w:bottom w:val="single" w:sz="4" w:space="0" w:color="000000"/>
              <w:right w:val="single" w:sz="4" w:space="0" w:color="000000"/>
            </w:tcBorders>
            <w:vAlign w:val="center"/>
            <w:hideMark/>
          </w:tcPr>
          <w:p w14:paraId="20239898" w14:textId="77777777" w:rsidR="00DB1C4E" w:rsidRPr="00A718C0" w:rsidRDefault="00DB1C4E">
            <w:pPr>
              <w:pStyle w:val="TableParagraph"/>
              <w:jc w:val="center"/>
              <w:rPr>
                <w:sz w:val="22"/>
                <w:szCs w:val="22"/>
                <w:lang w:val="ru-RU" w:eastAsia="ru-RU"/>
              </w:rPr>
            </w:pPr>
            <w:r w:rsidRPr="00A718C0">
              <w:rPr>
                <w:sz w:val="22"/>
                <w:szCs w:val="22"/>
                <w:lang w:val="ru-RU" w:eastAsia="ru-RU"/>
              </w:rPr>
              <w:t>89%</w:t>
            </w:r>
          </w:p>
        </w:tc>
        <w:tc>
          <w:tcPr>
            <w:tcW w:w="802" w:type="pct"/>
            <w:tcBorders>
              <w:top w:val="single" w:sz="4" w:space="0" w:color="000000"/>
              <w:left w:val="single" w:sz="4" w:space="0" w:color="000000"/>
              <w:bottom w:val="single" w:sz="4" w:space="0" w:color="000000"/>
              <w:right w:val="single" w:sz="4" w:space="0" w:color="000000"/>
            </w:tcBorders>
            <w:vAlign w:val="center"/>
            <w:hideMark/>
          </w:tcPr>
          <w:p w14:paraId="10A1B29F" w14:textId="77777777" w:rsidR="00DB1C4E" w:rsidRPr="00A718C0" w:rsidRDefault="00DB1C4E">
            <w:pPr>
              <w:pStyle w:val="TableParagraph"/>
              <w:jc w:val="center"/>
              <w:rPr>
                <w:sz w:val="22"/>
                <w:szCs w:val="22"/>
                <w:lang w:val="ru-RU" w:eastAsia="ru-RU"/>
              </w:rPr>
            </w:pPr>
            <w:r w:rsidRPr="00A718C0">
              <w:rPr>
                <w:sz w:val="22"/>
                <w:szCs w:val="22"/>
                <w:lang w:val="ru-RU" w:eastAsia="ru-RU"/>
              </w:rPr>
              <w:t>89%</w:t>
            </w:r>
          </w:p>
        </w:tc>
      </w:tr>
      <w:tr w:rsidR="00DB1C4E" w:rsidRPr="00A718C0" w14:paraId="60DED8E3" w14:textId="77777777" w:rsidTr="00132A6A">
        <w:trPr>
          <w:cantSplit/>
          <w:trHeight w:val="283"/>
        </w:trPr>
        <w:tc>
          <w:tcPr>
            <w:tcW w:w="1371" w:type="pct"/>
            <w:tcBorders>
              <w:top w:val="single" w:sz="4" w:space="0" w:color="000000"/>
              <w:left w:val="single" w:sz="4" w:space="0" w:color="000000"/>
              <w:bottom w:val="single" w:sz="4" w:space="0" w:color="000000"/>
              <w:right w:val="single" w:sz="4" w:space="0" w:color="000000"/>
            </w:tcBorders>
            <w:hideMark/>
          </w:tcPr>
          <w:p w14:paraId="243EDABE" w14:textId="77777777" w:rsidR="00DB1C4E" w:rsidRPr="00A718C0" w:rsidRDefault="00DB1C4E">
            <w:pPr>
              <w:pStyle w:val="TableParagraph"/>
              <w:ind w:left="184"/>
              <w:rPr>
                <w:sz w:val="22"/>
                <w:szCs w:val="22"/>
                <w:lang w:val="ru-RU" w:eastAsia="ru-RU"/>
              </w:rPr>
            </w:pPr>
            <w:r w:rsidRPr="00A718C0">
              <w:rPr>
                <w:sz w:val="22"/>
                <w:szCs w:val="22"/>
                <w:lang w:val="ru-RU" w:eastAsia="ru-RU"/>
              </w:rPr>
              <w:t>Behandlingsforskel</w:t>
            </w:r>
          </w:p>
        </w:tc>
        <w:tc>
          <w:tcPr>
            <w:tcW w:w="1834" w:type="pct"/>
            <w:gridSpan w:val="2"/>
            <w:tcBorders>
              <w:top w:val="single" w:sz="4" w:space="0" w:color="000000"/>
              <w:left w:val="single" w:sz="4" w:space="0" w:color="000000"/>
              <w:bottom w:val="single" w:sz="4" w:space="0" w:color="000000"/>
              <w:right w:val="single" w:sz="4" w:space="0" w:color="000000"/>
            </w:tcBorders>
            <w:vAlign w:val="center"/>
            <w:hideMark/>
          </w:tcPr>
          <w:p w14:paraId="1A5A78E0" w14:textId="77777777" w:rsidR="00DB1C4E" w:rsidRPr="00A718C0" w:rsidRDefault="00DB1C4E">
            <w:pPr>
              <w:pStyle w:val="TableParagraph"/>
              <w:jc w:val="center"/>
              <w:rPr>
                <w:sz w:val="22"/>
                <w:szCs w:val="22"/>
                <w:lang w:val="ru-RU" w:eastAsia="ru-RU"/>
              </w:rPr>
            </w:pPr>
            <w:r w:rsidRPr="00A718C0">
              <w:rPr>
                <w:sz w:val="22"/>
                <w:szCs w:val="22"/>
                <w:lang w:val="ru-RU" w:eastAsia="ru-RU"/>
              </w:rPr>
              <w:t xml:space="preserve">1,3% (95% CI: </w:t>
            </w:r>
            <w:r w:rsidRPr="00A718C0">
              <w:rPr>
                <w:sz w:val="22"/>
                <w:szCs w:val="22"/>
                <w:lang w:val="ru-RU" w:eastAsia="ru-RU"/>
              </w:rPr>
              <w:noBreakHyphen/>
              <w:t>2,5% til 5,1%)</w:t>
            </w:r>
          </w:p>
        </w:tc>
        <w:tc>
          <w:tcPr>
            <w:tcW w:w="1796" w:type="pct"/>
            <w:gridSpan w:val="2"/>
            <w:tcBorders>
              <w:top w:val="single" w:sz="4" w:space="0" w:color="000000"/>
              <w:left w:val="single" w:sz="4" w:space="0" w:color="000000"/>
              <w:bottom w:val="single" w:sz="4" w:space="0" w:color="000000"/>
              <w:right w:val="single" w:sz="4" w:space="0" w:color="000000"/>
            </w:tcBorders>
            <w:vAlign w:val="center"/>
            <w:hideMark/>
          </w:tcPr>
          <w:p w14:paraId="1BDBF8A7" w14:textId="77777777" w:rsidR="00DB1C4E" w:rsidRPr="00A718C0" w:rsidRDefault="00DB1C4E">
            <w:pPr>
              <w:pStyle w:val="TableParagraph"/>
              <w:jc w:val="center"/>
              <w:rPr>
                <w:sz w:val="22"/>
                <w:szCs w:val="22"/>
                <w:lang w:val="ru-RU" w:eastAsia="ru-RU"/>
              </w:rPr>
            </w:pPr>
            <w:r w:rsidRPr="00A718C0">
              <w:rPr>
                <w:sz w:val="22"/>
                <w:szCs w:val="22"/>
                <w:lang w:val="ru-RU" w:eastAsia="ru-RU"/>
              </w:rPr>
              <w:noBreakHyphen/>
              <w:t xml:space="preserve">0,5% (95% CI: </w:t>
            </w:r>
            <w:r w:rsidRPr="00A718C0">
              <w:rPr>
                <w:sz w:val="22"/>
                <w:szCs w:val="22"/>
                <w:lang w:val="ru-RU" w:eastAsia="ru-RU"/>
              </w:rPr>
              <w:noBreakHyphen/>
              <w:t>5,3% til 4,4%)</w:t>
            </w:r>
          </w:p>
        </w:tc>
      </w:tr>
      <w:tr w:rsidR="00DB1C4E" w:rsidRPr="00A718C0" w14:paraId="7213ABFB" w14:textId="77777777" w:rsidTr="00132A6A">
        <w:trPr>
          <w:cantSplit/>
          <w:trHeight w:val="283"/>
        </w:trPr>
        <w:tc>
          <w:tcPr>
            <w:tcW w:w="1371" w:type="pct"/>
            <w:tcBorders>
              <w:top w:val="single" w:sz="4" w:space="0" w:color="000000"/>
              <w:left w:val="single" w:sz="4" w:space="0" w:color="000000"/>
              <w:bottom w:val="single" w:sz="4" w:space="0" w:color="000000"/>
              <w:right w:val="single" w:sz="4" w:space="0" w:color="000000"/>
            </w:tcBorders>
            <w:hideMark/>
          </w:tcPr>
          <w:p w14:paraId="60335B79" w14:textId="77777777" w:rsidR="00DB1C4E" w:rsidRPr="00A718C0" w:rsidRDefault="00DB1C4E">
            <w:pPr>
              <w:pStyle w:val="TableParagraph"/>
              <w:rPr>
                <w:b/>
                <w:sz w:val="22"/>
                <w:szCs w:val="22"/>
                <w:lang w:val="ru-RU" w:eastAsia="ru-RU"/>
              </w:rPr>
            </w:pPr>
            <w:r w:rsidRPr="00A718C0">
              <w:rPr>
                <w:b/>
                <w:sz w:val="22"/>
                <w:szCs w:val="22"/>
                <w:lang w:val="ru-RU" w:eastAsia="ru-RU"/>
              </w:rPr>
              <w:t xml:space="preserve">Hiv 1-rna </w:t>
            </w:r>
          </w:p>
          <w:p w14:paraId="2D491716" w14:textId="77777777" w:rsidR="00DB1C4E" w:rsidRPr="00A718C0" w:rsidRDefault="00DB1C4E">
            <w:pPr>
              <w:pStyle w:val="TableParagraph"/>
              <w:rPr>
                <w:b/>
                <w:sz w:val="22"/>
                <w:szCs w:val="22"/>
                <w:lang w:val="ru-RU" w:eastAsia="ru-RU"/>
              </w:rPr>
            </w:pPr>
            <w:r w:rsidRPr="00A718C0">
              <w:rPr>
                <w:b/>
                <w:sz w:val="22"/>
                <w:szCs w:val="22"/>
                <w:lang w:val="ru-RU" w:eastAsia="ru-RU"/>
              </w:rPr>
              <w:t xml:space="preserve">≥ 50 kopier/ml </w:t>
            </w:r>
            <w:r w:rsidRPr="00A718C0">
              <w:rPr>
                <w:b/>
                <w:bCs/>
                <w:sz w:val="22"/>
                <w:szCs w:val="22"/>
                <w:vertAlign w:val="superscript"/>
                <w:lang w:val="ru-RU" w:eastAsia="ru-RU"/>
              </w:rPr>
              <w:t>c</w:t>
            </w:r>
          </w:p>
        </w:tc>
        <w:tc>
          <w:tcPr>
            <w:tcW w:w="994" w:type="pct"/>
            <w:tcBorders>
              <w:top w:val="single" w:sz="4" w:space="0" w:color="000000"/>
              <w:left w:val="single" w:sz="4" w:space="0" w:color="000000"/>
              <w:bottom w:val="single" w:sz="4" w:space="0" w:color="000000"/>
              <w:right w:val="single" w:sz="4" w:space="0" w:color="000000"/>
            </w:tcBorders>
            <w:vAlign w:val="center"/>
            <w:hideMark/>
          </w:tcPr>
          <w:p w14:paraId="68077092" w14:textId="77777777" w:rsidR="00DB1C4E" w:rsidRPr="00A718C0" w:rsidRDefault="00DB1C4E">
            <w:pPr>
              <w:pStyle w:val="TableParagraph"/>
              <w:jc w:val="center"/>
              <w:rPr>
                <w:sz w:val="22"/>
                <w:szCs w:val="22"/>
                <w:lang w:val="ru-RU" w:eastAsia="ru-RU"/>
              </w:rPr>
            </w:pPr>
            <w:r w:rsidRPr="00A718C0">
              <w:rPr>
                <w:sz w:val="22"/>
                <w:szCs w:val="22"/>
                <w:lang w:val="ru-RU" w:eastAsia="ru-RU"/>
              </w:rPr>
              <w:t>&lt; 1%</w:t>
            </w:r>
          </w:p>
        </w:tc>
        <w:tc>
          <w:tcPr>
            <w:tcW w:w="840" w:type="pct"/>
            <w:tcBorders>
              <w:top w:val="single" w:sz="4" w:space="0" w:color="000000"/>
              <w:left w:val="single" w:sz="4" w:space="0" w:color="000000"/>
              <w:bottom w:val="single" w:sz="4" w:space="0" w:color="000000"/>
              <w:right w:val="single" w:sz="4" w:space="0" w:color="000000"/>
            </w:tcBorders>
            <w:vAlign w:val="center"/>
            <w:hideMark/>
          </w:tcPr>
          <w:p w14:paraId="0076791E" w14:textId="77777777" w:rsidR="00DB1C4E" w:rsidRPr="00A718C0" w:rsidRDefault="00DB1C4E">
            <w:pPr>
              <w:pStyle w:val="TableParagraph"/>
              <w:jc w:val="center"/>
              <w:rPr>
                <w:sz w:val="22"/>
                <w:szCs w:val="22"/>
                <w:lang w:val="ru-RU" w:eastAsia="ru-RU"/>
              </w:rPr>
            </w:pPr>
            <w:r w:rsidRPr="00A718C0">
              <w:rPr>
                <w:sz w:val="22"/>
                <w:szCs w:val="22"/>
                <w:lang w:val="ru-RU" w:eastAsia="ru-RU"/>
              </w:rPr>
              <w:t>2%</w:t>
            </w:r>
          </w:p>
        </w:tc>
        <w:tc>
          <w:tcPr>
            <w:tcW w:w="994" w:type="pct"/>
            <w:tcBorders>
              <w:top w:val="single" w:sz="4" w:space="0" w:color="000000"/>
              <w:left w:val="single" w:sz="4" w:space="0" w:color="000000"/>
              <w:bottom w:val="single" w:sz="4" w:space="0" w:color="000000"/>
              <w:right w:val="single" w:sz="4" w:space="0" w:color="000000"/>
            </w:tcBorders>
            <w:vAlign w:val="center"/>
            <w:hideMark/>
          </w:tcPr>
          <w:p w14:paraId="5C1132D6" w14:textId="77777777" w:rsidR="00DB1C4E" w:rsidRPr="00A718C0" w:rsidRDefault="00DB1C4E">
            <w:pPr>
              <w:pStyle w:val="TableParagraph"/>
              <w:jc w:val="center"/>
              <w:rPr>
                <w:sz w:val="22"/>
                <w:szCs w:val="22"/>
                <w:lang w:val="ru-RU" w:eastAsia="ru-RU"/>
              </w:rPr>
            </w:pPr>
            <w:r w:rsidRPr="00A718C0">
              <w:rPr>
                <w:sz w:val="22"/>
                <w:szCs w:val="22"/>
                <w:lang w:val="ru-RU" w:eastAsia="ru-RU"/>
              </w:rPr>
              <w:t>2%</w:t>
            </w:r>
          </w:p>
        </w:tc>
        <w:tc>
          <w:tcPr>
            <w:tcW w:w="802" w:type="pct"/>
            <w:tcBorders>
              <w:top w:val="single" w:sz="4" w:space="0" w:color="000000"/>
              <w:left w:val="single" w:sz="4" w:space="0" w:color="000000"/>
              <w:bottom w:val="single" w:sz="4" w:space="0" w:color="000000"/>
              <w:right w:val="single" w:sz="4" w:space="0" w:color="000000"/>
            </w:tcBorders>
            <w:vAlign w:val="center"/>
            <w:hideMark/>
          </w:tcPr>
          <w:p w14:paraId="1AD82BC4" w14:textId="77777777" w:rsidR="00DB1C4E" w:rsidRPr="00A718C0" w:rsidRDefault="00DB1C4E">
            <w:pPr>
              <w:pStyle w:val="TableParagraph"/>
              <w:jc w:val="center"/>
              <w:rPr>
                <w:sz w:val="22"/>
                <w:szCs w:val="22"/>
                <w:lang w:val="ru-RU" w:eastAsia="ru-RU"/>
              </w:rPr>
            </w:pPr>
            <w:r w:rsidRPr="00A718C0">
              <w:rPr>
                <w:sz w:val="22"/>
                <w:szCs w:val="22"/>
                <w:lang w:val="ru-RU" w:eastAsia="ru-RU"/>
              </w:rPr>
              <w:t>1%</w:t>
            </w:r>
          </w:p>
        </w:tc>
      </w:tr>
      <w:tr w:rsidR="00DB1C4E" w:rsidRPr="00A718C0" w14:paraId="4DE7B584" w14:textId="77777777" w:rsidTr="00132A6A">
        <w:trPr>
          <w:cantSplit/>
          <w:trHeight w:val="283"/>
        </w:trPr>
        <w:tc>
          <w:tcPr>
            <w:tcW w:w="1371" w:type="pct"/>
            <w:tcBorders>
              <w:top w:val="single" w:sz="4" w:space="0" w:color="000000"/>
              <w:left w:val="single" w:sz="4" w:space="0" w:color="000000"/>
              <w:bottom w:val="single" w:sz="4" w:space="0" w:color="000000"/>
              <w:right w:val="single" w:sz="4" w:space="0" w:color="000000"/>
            </w:tcBorders>
            <w:hideMark/>
          </w:tcPr>
          <w:p w14:paraId="77B9BBB5" w14:textId="77777777" w:rsidR="00DB1C4E" w:rsidRPr="00A718C0" w:rsidRDefault="00DB1C4E">
            <w:pPr>
              <w:pStyle w:val="TableParagraph"/>
              <w:rPr>
                <w:b/>
                <w:sz w:val="22"/>
                <w:szCs w:val="22"/>
                <w:lang w:val="ru-RU" w:eastAsia="ru-RU"/>
              </w:rPr>
            </w:pPr>
            <w:r w:rsidRPr="00A718C0">
              <w:rPr>
                <w:b/>
                <w:sz w:val="22"/>
                <w:szCs w:val="22"/>
                <w:lang w:val="ru-RU" w:eastAsia="ru-RU"/>
              </w:rPr>
              <w:t>Ingen virologiske data ved uge 48- eller 96-vinduet</w:t>
            </w:r>
          </w:p>
        </w:tc>
        <w:tc>
          <w:tcPr>
            <w:tcW w:w="994" w:type="pct"/>
            <w:tcBorders>
              <w:top w:val="single" w:sz="4" w:space="0" w:color="000000"/>
              <w:left w:val="single" w:sz="4" w:space="0" w:color="000000"/>
              <w:bottom w:val="single" w:sz="4" w:space="0" w:color="000000"/>
              <w:right w:val="single" w:sz="4" w:space="0" w:color="000000"/>
            </w:tcBorders>
            <w:vAlign w:val="center"/>
            <w:hideMark/>
          </w:tcPr>
          <w:p w14:paraId="2B6314F4" w14:textId="77777777" w:rsidR="00DB1C4E" w:rsidRPr="00A718C0" w:rsidRDefault="00DB1C4E">
            <w:pPr>
              <w:pStyle w:val="TableParagraph"/>
              <w:jc w:val="center"/>
              <w:rPr>
                <w:sz w:val="22"/>
                <w:szCs w:val="22"/>
                <w:lang w:val="ru-RU" w:eastAsia="ru-RU"/>
              </w:rPr>
            </w:pPr>
            <w:r w:rsidRPr="00A718C0">
              <w:rPr>
                <w:sz w:val="22"/>
                <w:szCs w:val="22"/>
                <w:lang w:val="ru-RU" w:eastAsia="ru-RU"/>
              </w:rPr>
              <w:t>5%</w:t>
            </w:r>
          </w:p>
        </w:tc>
        <w:tc>
          <w:tcPr>
            <w:tcW w:w="840" w:type="pct"/>
            <w:tcBorders>
              <w:top w:val="single" w:sz="4" w:space="0" w:color="000000"/>
              <w:left w:val="single" w:sz="4" w:space="0" w:color="000000"/>
              <w:bottom w:val="single" w:sz="4" w:space="0" w:color="000000"/>
              <w:right w:val="single" w:sz="4" w:space="0" w:color="000000"/>
            </w:tcBorders>
            <w:vAlign w:val="center"/>
            <w:hideMark/>
          </w:tcPr>
          <w:p w14:paraId="13279468" w14:textId="77777777" w:rsidR="00DB1C4E" w:rsidRPr="00A718C0" w:rsidRDefault="00DB1C4E">
            <w:pPr>
              <w:pStyle w:val="TableParagraph"/>
              <w:jc w:val="center"/>
              <w:rPr>
                <w:sz w:val="22"/>
                <w:szCs w:val="22"/>
                <w:lang w:val="ru-RU" w:eastAsia="ru-RU"/>
              </w:rPr>
            </w:pPr>
            <w:r w:rsidRPr="00A718C0">
              <w:rPr>
                <w:sz w:val="22"/>
                <w:szCs w:val="22"/>
                <w:lang w:val="ru-RU" w:eastAsia="ru-RU"/>
              </w:rPr>
              <w:t>5%</w:t>
            </w:r>
          </w:p>
        </w:tc>
        <w:tc>
          <w:tcPr>
            <w:tcW w:w="994" w:type="pct"/>
            <w:tcBorders>
              <w:top w:val="single" w:sz="4" w:space="0" w:color="000000"/>
              <w:left w:val="single" w:sz="4" w:space="0" w:color="000000"/>
              <w:bottom w:val="single" w:sz="4" w:space="0" w:color="000000"/>
              <w:right w:val="single" w:sz="4" w:space="0" w:color="000000"/>
            </w:tcBorders>
            <w:vAlign w:val="center"/>
            <w:hideMark/>
          </w:tcPr>
          <w:p w14:paraId="7075235C" w14:textId="77777777" w:rsidR="00DB1C4E" w:rsidRPr="00A718C0" w:rsidRDefault="00DB1C4E">
            <w:pPr>
              <w:pStyle w:val="TableParagraph"/>
              <w:jc w:val="center"/>
              <w:rPr>
                <w:sz w:val="22"/>
                <w:szCs w:val="22"/>
                <w:lang w:val="ru-RU" w:eastAsia="ru-RU"/>
              </w:rPr>
            </w:pPr>
            <w:r w:rsidRPr="00A718C0">
              <w:rPr>
                <w:sz w:val="22"/>
                <w:szCs w:val="22"/>
                <w:lang w:val="ru-RU" w:eastAsia="ru-RU"/>
              </w:rPr>
              <w:t>9%</w:t>
            </w:r>
          </w:p>
        </w:tc>
        <w:tc>
          <w:tcPr>
            <w:tcW w:w="802" w:type="pct"/>
            <w:tcBorders>
              <w:top w:val="single" w:sz="4" w:space="0" w:color="000000"/>
              <w:left w:val="single" w:sz="4" w:space="0" w:color="000000"/>
              <w:bottom w:val="single" w:sz="4" w:space="0" w:color="000000"/>
              <w:right w:val="single" w:sz="4" w:space="0" w:color="000000"/>
            </w:tcBorders>
            <w:vAlign w:val="center"/>
            <w:hideMark/>
          </w:tcPr>
          <w:p w14:paraId="58DA687F" w14:textId="77777777" w:rsidR="00DB1C4E" w:rsidRPr="00A718C0" w:rsidRDefault="00DB1C4E">
            <w:pPr>
              <w:pStyle w:val="TableParagraph"/>
              <w:jc w:val="center"/>
              <w:rPr>
                <w:sz w:val="22"/>
                <w:szCs w:val="22"/>
                <w:lang w:val="ru-RU" w:eastAsia="ru-RU"/>
              </w:rPr>
            </w:pPr>
            <w:r w:rsidRPr="00A718C0">
              <w:rPr>
                <w:sz w:val="22"/>
                <w:szCs w:val="22"/>
                <w:lang w:val="ru-RU" w:eastAsia="ru-RU"/>
              </w:rPr>
              <w:t>10%</w:t>
            </w:r>
          </w:p>
        </w:tc>
      </w:tr>
      <w:tr w:rsidR="00DB1C4E" w:rsidRPr="00A718C0" w14:paraId="12EB5973" w14:textId="77777777" w:rsidTr="00132A6A">
        <w:trPr>
          <w:cantSplit/>
          <w:trHeight w:val="283"/>
        </w:trPr>
        <w:tc>
          <w:tcPr>
            <w:tcW w:w="1371" w:type="pct"/>
            <w:tcBorders>
              <w:top w:val="single" w:sz="4" w:space="0" w:color="000000"/>
              <w:left w:val="single" w:sz="4" w:space="0" w:color="000000"/>
              <w:bottom w:val="single" w:sz="4" w:space="0" w:color="000000"/>
              <w:right w:val="single" w:sz="4" w:space="0" w:color="000000"/>
            </w:tcBorders>
            <w:hideMark/>
          </w:tcPr>
          <w:p w14:paraId="4D2B5993" w14:textId="77777777" w:rsidR="00DB1C4E" w:rsidRPr="00A718C0" w:rsidRDefault="00DB1C4E">
            <w:pPr>
              <w:pStyle w:val="TableParagraph"/>
              <w:ind w:left="184"/>
              <w:rPr>
                <w:sz w:val="22"/>
                <w:szCs w:val="22"/>
                <w:lang w:val="ru-RU" w:eastAsia="ru-RU"/>
              </w:rPr>
            </w:pPr>
            <w:r w:rsidRPr="00A718C0">
              <w:rPr>
                <w:sz w:val="22"/>
                <w:szCs w:val="22"/>
                <w:lang w:val="ru-RU" w:eastAsia="ru-RU"/>
              </w:rPr>
              <w:t>Seponerede forsøgslægemiddel som følge af AE eller død</w:t>
            </w:r>
            <w:r w:rsidRPr="00A718C0">
              <w:rPr>
                <w:sz w:val="22"/>
                <w:szCs w:val="22"/>
                <w:vertAlign w:val="superscript"/>
                <w:lang w:val="ru-RU" w:eastAsia="ru-RU"/>
              </w:rPr>
              <w:t>d</w:t>
            </w:r>
          </w:p>
        </w:tc>
        <w:tc>
          <w:tcPr>
            <w:tcW w:w="994" w:type="pct"/>
            <w:tcBorders>
              <w:top w:val="single" w:sz="4" w:space="0" w:color="000000"/>
              <w:left w:val="single" w:sz="4" w:space="0" w:color="000000"/>
              <w:bottom w:val="single" w:sz="4" w:space="0" w:color="000000"/>
              <w:right w:val="single" w:sz="4" w:space="0" w:color="000000"/>
            </w:tcBorders>
            <w:vAlign w:val="center"/>
            <w:hideMark/>
          </w:tcPr>
          <w:p w14:paraId="13184754" w14:textId="77777777" w:rsidR="00DB1C4E" w:rsidRPr="00A718C0" w:rsidRDefault="00DB1C4E">
            <w:pPr>
              <w:pStyle w:val="TableParagraph"/>
              <w:jc w:val="center"/>
              <w:rPr>
                <w:sz w:val="22"/>
                <w:szCs w:val="22"/>
                <w:lang w:val="ru-RU" w:eastAsia="ru-RU"/>
              </w:rPr>
            </w:pPr>
            <w:r w:rsidRPr="00A718C0">
              <w:rPr>
                <w:sz w:val="22"/>
                <w:szCs w:val="22"/>
                <w:lang w:val="ru-RU" w:eastAsia="ru-RU"/>
              </w:rPr>
              <w:t>2%</w:t>
            </w:r>
          </w:p>
        </w:tc>
        <w:tc>
          <w:tcPr>
            <w:tcW w:w="840" w:type="pct"/>
            <w:tcBorders>
              <w:top w:val="single" w:sz="4" w:space="0" w:color="000000"/>
              <w:left w:val="single" w:sz="4" w:space="0" w:color="000000"/>
              <w:bottom w:val="single" w:sz="4" w:space="0" w:color="000000"/>
              <w:right w:val="single" w:sz="4" w:space="0" w:color="000000"/>
            </w:tcBorders>
            <w:vAlign w:val="center"/>
            <w:hideMark/>
          </w:tcPr>
          <w:p w14:paraId="25751CB6" w14:textId="77777777" w:rsidR="00DB1C4E" w:rsidRPr="00A718C0" w:rsidRDefault="00DB1C4E">
            <w:pPr>
              <w:pStyle w:val="TableParagraph"/>
              <w:jc w:val="center"/>
              <w:rPr>
                <w:sz w:val="22"/>
                <w:szCs w:val="22"/>
                <w:lang w:val="ru-RU" w:eastAsia="ru-RU"/>
              </w:rPr>
            </w:pPr>
            <w:r w:rsidRPr="00A718C0">
              <w:rPr>
                <w:sz w:val="22"/>
                <w:szCs w:val="22"/>
                <w:lang w:val="ru-RU" w:eastAsia="ru-RU"/>
              </w:rPr>
              <w:t>1%</w:t>
            </w:r>
          </w:p>
        </w:tc>
        <w:tc>
          <w:tcPr>
            <w:tcW w:w="994" w:type="pct"/>
            <w:tcBorders>
              <w:top w:val="single" w:sz="4" w:space="0" w:color="000000"/>
              <w:left w:val="single" w:sz="4" w:space="0" w:color="000000"/>
              <w:bottom w:val="single" w:sz="4" w:space="0" w:color="000000"/>
              <w:right w:val="single" w:sz="4" w:space="0" w:color="000000"/>
            </w:tcBorders>
            <w:vAlign w:val="center"/>
            <w:hideMark/>
          </w:tcPr>
          <w:p w14:paraId="18DB38A1" w14:textId="77777777" w:rsidR="00DB1C4E" w:rsidRPr="00A718C0" w:rsidRDefault="00DB1C4E">
            <w:pPr>
              <w:pStyle w:val="TableParagraph"/>
              <w:jc w:val="center"/>
              <w:rPr>
                <w:sz w:val="22"/>
                <w:szCs w:val="22"/>
                <w:lang w:val="ru-RU" w:eastAsia="ru-RU"/>
              </w:rPr>
            </w:pPr>
            <w:r w:rsidRPr="00A718C0">
              <w:rPr>
                <w:sz w:val="22"/>
                <w:szCs w:val="22"/>
                <w:lang w:val="ru-RU" w:eastAsia="ru-RU"/>
              </w:rPr>
              <w:t>2%</w:t>
            </w:r>
          </w:p>
        </w:tc>
        <w:tc>
          <w:tcPr>
            <w:tcW w:w="802" w:type="pct"/>
            <w:tcBorders>
              <w:top w:val="single" w:sz="4" w:space="0" w:color="000000"/>
              <w:left w:val="single" w:sz="4" w:space="0" w:color="000000"/>
              <w:bottom w:val="single" w:sz="4" w:space="0" w:color="000000"/>
              <w:right w:val="single" w:sz="4" w:space="0" w:color="000000"/>
            </w:tcBorders>
            <w:vAlign w:val="center"/>
            <w:hideMark/>
          </w:tcPr>
          <w:p w14:paraId="2D18290B" w14:textId="77777777" w:rsidR="00DB1C4E" w:rsidRPr="00A718C0" w:rsidRDefault="00DB1C4E">
            <w:pPr>
              <w:pStyle w:val="TableParagraph"/>
              <w:jc w:val="center"/>
              <w:rPr>
                <w:sz w:val="22"/>
                <w:szCs w:val="22"/>
                <w:lang w:val="ru-RU" w:eastAsia="ru-RU"/>
              </w:rPr>
            </w:pPr>
            <w:r w:rsidRPr="00A718C0">
              <w:rPr>
                <w:sz w:val="22"/>
                <w:szCs w:val="22"/>
                <w:lang w:val="ru-RU" w:eastAsia="ru-RU"/>
              </w:rPr>
              <w:t>2%</w:t>
            </w:r>
          </w:p>
        </w:tc>
      </w:tr>
      <w:tr w:rsidR="00DB1C4E" w:rsidRPr="00A718C0" w14:paraId="4EF42185" w14:textId="77777777" w:rsidTr="00132A6A">
        <w:trPr>
          <w:cantSplit/>
          <w:trHeight w:val="283"/>
        </w:trPr>
        <w:tc>
          <w:tcPr>
            <w:tcW w:w="1371" w:type="pct"/>
            <w:tcBorders>
              <w:top w:val="single" w:sz="4" w:space="0" w:color="000000"/>
              <w:left w:val="single" w:sz="4" w:space="0" w:color="000000"/>
              <w:bottom w:val="single" w:sz="4" w:space="0" w:color="000000"/>
              <w:right w:val="single" w:sz="4" w:space="0" w:color="000000"/>
            </w:tcBorders>
            <w:hideMark/>
          </w:tcPr>
          <w:p w14:paraId="69D34B12" w14:textId="77777777" w:rsidR="00DB1C4E" w:rsidRPr="00A718C0" w:rsidRDefault="00DB1C4E">
            <w:pPr>
              <w:ind w:left="184"/>
              <w:rPr>
                <w:sz w:val="22"/>
                <w:szCs w:val="22"/>
                <w:lang w:val="ru-RU" w:eastAsia="ru-RU"/>
              </w:rPr>
            </w:pPr>
            <w:r w:rsidRPr="00A718C0">
              <w:rPr>
                <w:sz w:val="22"/>
                <w:szCs w:val="22"/>
                <w:lang w:val="ru-RU" w:eastAsia="ru-RU"/>
              </w:rPr>
              <w:t xml:space="preserve">Seponerede forsøgslægemiddel som følge af andre årsager, og sidste tilgængelige </w:t>
            </w:r>
          </w:p>
          <w:p w14:paraId="69F3D784" w14:textId="77777777" w:rsidR="00DB1C4E" w:rsidRPr="00A718C0" w:rsidRDefault="00DB1C4E">
            <w:pPr>
              <w:ind w:left="184"/>
              <w:rPr>
                <w:sz w:val="22"/>
                <w:szCs w:val="22"/>
                <w:lang w:val="ru-RU" w:eastAsia="ru-RU"/>
              </w:rPr>
            </w:pPr>
            <w:r w:rsidRPr="00A718C0">
              <w:rPr>
                <w:sz w:val="22"/>
                <w:szCs w:val="22"/>
                <w:lang w:val="ru-RU" w:eastAsia="ru-RU"/>
              </w:rPr>
              <w:t xml:space="preserve">hiv 1-rna </w:t>
            </w:r>
          </w:p>
          <w:p w14:paraId="4A9FC4F6" w14:textId="77777777" w:rsidR="00DB1C4E" w:rsidRPr="00A718C0" w:rsidRDefault="00DB1C4E">
            <w:pPr>
              <w:ind w:left="184"/>
              <w:rPr>
                <w:sz w:val="22"/>
                <w:szCs w:val="22"/>
                <w:lang w:val="ru-RU" w:eastAsia="ru-RU"/>
              </w:rPr>
            </w:pPr>
            <w:r w:rsidRPr="00A718C0">
              <w:rPr>
                <w:sz w:val="22"/>
                <w:szCs w:val="22"/>
                <w:lang w:val="ru-RU" w:eastAsia="ru-RU"/>
              </w:rPr>
              <w:t>&lt; 50 kopier/ml</w:t>
            </w:r>
            <w:r w:rsidRPr="00A718C0">
              <w:rPr>
                <w:sz w:val="22"/>
                <w:szCs w:val="22"/>
                <w:vertAlign w:val="superscript"/>
                <w:lang w:val="ru-RU" w:eastAsia="ru-RU"/>
              </w:rPr>
              <w:t>e</w:t>
            </w:r>
          </w:p>
        </w:tc>
        <w:tc>
          <w:tcPr>
            <w:tcW w:w="994" w:type="pct"/>
            <w:tcBorders>
              <w:top w:val="single" w:sz="4" w:space="0" w:color="000000"/>
              <w:left w:val="single" w:sz="4" w:space="0" w:color="000000"/>
              <w:bottom w:val="single" w:sz="4" w:space="0" w:color="000000"/>
              <w:right w:val="single" w:sz="4" w:space="0" w:color="000000"/>
            </w:tcBorders>
            <w:vAlign w:val="center"/>
            <w:hideMark/>
          </w:tcPr>
          <w:p w14:paraId="6E53DB52" w14:textId="77777777" w:rsidR="00DB1C4E" w:rsidRPr="00A718C0" w:rsidRDefault="00DB1C4E">
            <w:pPr>
              <w:pStyle w:val="TableParagraph"/>
              <w:jc w:val="center"/>
              <w:rPr>
                <w:sz w:val="22"/>
                <w:szCs w:val="22"/>
                <w:lang w:val="ru-RU" w:eastAsia="ru-RU"/>
              </w:rPr>
            </w:pPr>
            <w:r w:rsidRPr="00A718C0">
              <w:rPr>
                <w:sz w:val="22"/>
                <w:szCs w:val="22"/>
                <w:lang w:val="ru-RU" w:eastAsia="ru-RU"/>
              </w:rPr>
              <w:t>3%</w:t>
            </w:r>
          </w:p>
        </w:tc>
        <w:tc>
          <w:tcPr>
            <w:tcW w:w="840" w:type="pct"/>
            <w:tcBorders>
              <w:top w:val="single" w:sz="4" w:space="0" w:color="000000"/>
              <w:left w:val="single" w:sz="4" w:space="0" w:color="000000"/>
              <w:bottom w:val="single" w:sz="4" w:space="0" w:color="000000"/>
              <w:right w:val="single" w:sz="4" w:space="0" w:color="000000"/>
            </w:tcBorders>
            <w:vAlign w:val="center"/>
            <w:hideMark/>
          </w:tcPr>
          <w:p w14:paraId="2211BD58" w14:textId="77777777" w:rsidR="00DB1C4E" w:rsidRPr="00A718C0" w:rsidRDefault="00DB1C4E">
            <w:pPr>
              <w:pStyle w:val="TableParagraph"/>
              <w:jc w:val="center"/>
              <w:rPr>
                <w:sz w:val="22"/>
                <w:szCs w:val="22"/>
                <w:lang w:val="ru-RU" w:eastAsia="ru-RU"/>
              </w:rPr>
            </w:pPr>
            <w:r w:rsidRPr="00A718C0">
              <w:rPr>
                <w:sz w:val="22"/>
                <w:szCs w:val="22"/>
                <w:lang w:val="ru-RU" w:eastAsia="ru-RU"/>
              </w:rPr>
              <w:t>5%</w:t>
            </w:r>
          </w:p>
        </w:tc>
        <w:tc>
          <w:tcPr>
            <w:tcW w:w="994" w:type="pct"/>
            <w:tcBorders>
              <w:top w:val="single" w:sz="4" w:space="0" w:color="000000"/>
              <w:left w:val="single" w:sz="4" w:space="0" w:color="000000"/>
              <w:bottom w:val="single" w:sz="4" w:space="0" w:color="000000"/>
              <w:right w:val="single" w:sz="4" w:space="0" w:color="000000"/>
            </w:tcBorders>
            <w:vAlign w:val="center"/>
            <w:hideMark/>
          </w:tcPr>
          <w:p w14:paraId="1D99A9D2" w14:textId="77777777" w:rsidR="00DB1C4E" w:rsidRPr="00A718C0" w:rsidRDefault="00DB1C4E">
            <w:pPr>
              <w:pStyle w:val="TableParagraph"/>
              <w:jc w:val="center"/>
              <w:rPr>
                <w:sz w:val="22"/>
                <w:szCs w:val="22"/>
                <w:lang w:val="ru-RU" w:eastAsia="ru-RU"/>
              </w:rPr>
            </w:pPr>
            <w:r w:rsidRPr="00A718C0">
              <w:rPr>
                <w:sz w:val="22"/>
                <w:szCs w:val="22"/>
                <w:lang w:val="ru-RU" w:eastAsia="ru-RU"/>
              </w:rPr>
              <w:t>7%</w:t>
            </w:r>
          </w:p>
        </w:tc>
        <w:tc>
          <w:tcPr>
            <w:tcW w:w="802" w:type="pct"/>
            <w:tcBorders>
              <w:top w:val="single" w:sz="4" w:space="0" w:color="000000"/>
              <w:left w:val="single" w:sz="4" w:space="0" w:color="000000"/>
              <w:bottom w:val="single" w:sz="4" w:space="0" w:color="000000"/>
              <w:right w:val="single" w:sz="4" w:space="0" w:color="000000"/>
            </w:tcBorders>
            <w:vAlign w:val="center"/>
            <w:hideMark/>
          </w:tcPr>
          <w:p w14:paraId="2B149064" w14:textId="77777777" w:rsidR="00DB1C4E" w:rsidRPr="00A718C0" w:rsidRDefault="00DB1C4E">
            <w:pPr>
              <w:pStyle w:val="TableParagraph"/>
              <w:jc w:val="center"/>
              <w:rPr>
                <w:sz w:val="22"/>
                <w:szCs w:val="22"/>
                <w:lang w:val="ru-RU" w:eastAsia="ru-RU"/>
              </w:rPr>
            </w:pPr>
            <w:r w:rsidRPr="00A718C0">
              <w:rPr>
                <w:sz w:val="22"/>
                <w:szCs w:val="22"/>
                <w:lang w:val="ru-RU" w:eastAsia="ru-RU"/>
              </w:rPr>
              <w:t>9%</w:t>
            </w:r>
          </w:p>
        </w:tc>
      </w:tr>
      <w:tr w:rsidR="00DB1C4E" w:rsidRPr="00A718C0" w14:paraId="09FE28DF" w14:textId="77777777" w:rsidTr="00132A6A">
        <w:trPr>
          <w:cantSplit/>
          <w:trHeight w:val="283"/>
        </w:trPr>
        <w:tc>
          <w:tcPr>
            <w:tcW w:w="1371" w:type="pct"/>
            <w:tcBorders>
              <w:top w:val="single" w:sz="4" w:space="0" w:color="000000"/>
              <w:left w:val="single" w:sz="4" w:space="0" w:color="000000"/>
              <w:bottom w:val="single" w:sz="4" w:space="0" w:color="000000"/>
              <w:right w:val="single" w:sz="4" w:space="0" w:color="000000"/>
            </w:tcBorders>
            <w:hideMark/>
          </w:tcPr>
          <w:p w14:paraId="06B6D951" w14:textId="77777777" w:rsidR="00DB1C4E" w:rsidRPr="00A718C0" w:rsidRDefault="00DB1C4E">
            <w:pPr>
              <w:pStyle w:val="TableParagraph"/>
              <w:ind w:left="184"/>
              <w:rPr>
                <w:sz w:val="22"/>
                <w:szCs w:val="22"/>
                <w:lang w:val="ru-RU" w:eastAsia="ru-RU"/>
              </w:rPr>
            </w:pPr>
            <w:r w:rsidRPr="00A718C0">
              <w:rPr>
                <w:sz w:val="22"/>
                <w:szCs w:val="22"/>
                <w:lang w:val="ru-RU" w:eastAsia="ru-RU"/>
              </w:rPr>
              <w:t>Manglende data i tidsvinduet, men får forsøgslægemiddel</w:t>
            </w:r>
          </w:p>
        </w:tc>
        <w:tc>
          <w:tcPr>
            <w:tcW w:w="994" w:type="pct"/>
            <w:tcBorders>
              <w:top w:val="single" w:sz="4" w:space="0" w:color="000000"/>
              <w:left w:val="single" w:sz="4" w:space="0" w:color="000000"/>
              <w:bottom w:val="single" w:sz="4" w:space="0" w:color="000000"/>
              <w:right w:val="single" w:sz="4" w:space="0" w:color="000000"/>
            </w:tcBorders>
            <w:vAlign w:val="center"/>
            <w:hideMark/>
          </w:tcPr>
          <w:p w14:paraId="2FBB9E6A" w14:textId="77777777" w:rsidR="00DB1C4E" w:rsidRPr="00A718C0" w:rsidRDefault="00DB1C4E">
            <w:pPr>
              <w:pStyle w:val="TableParagraph"/>
              <w:jc w:val="center"/>
              <w:rPr>
                <w:sz w:val="22"/>
                <w:szCs w:val="22"/>
                <w:lang w:val="ru-RU" w:eastAsia="ru-RU"/>
              </w:rPr>
            </w:pPr>
            <w:r w:rsidRPr="00A718C0">
              <w:rPr>
                <w:sz w:val="22"/>
                <w:szCs w:val="22"/>
                <w:lang w:val="ru-RU" w:eastAsia="ru-RU"/>
              </w:rPr>
              <w:t>&lt; 1%</w:t>
            </w:r>
          </w:p>
        </w:tc>
        <w:tc>
          <w:tcPr>
            <w:tcW w:w="840" w:type="pct"/>
            <w:tcBorders>
              <w:top w:val="single" w:sz="4" w:space="0" w:color="000000"/>
              <w:left w:val="single" w:sz="4" w:space="0" w:color="000000"/>
              <w:bottom w:val="single" w:sz="4" w:space="0" w:color="000000"/>
              <w:right w:val="single" w:sz="4" w:space="0" w:color="000000"/>
            </w:tcBorders>
            <w:vAlign w:val="center"/>
            <w:hideMark/>
          </w:tcPr>
          <w:p w14:paraId="4BB925DE" w14:textId="77777777" w:rsidR="00DB1C4E" w:rsidRPr="00A718C0" w:rsidRDefault="00DB1C4E">
            <w:pPr>
              <w:pStyle w:val="TableParagraph"/>
              <w:jc w:val="center"/>
              <w:rPr>
                <w:sz w:val="22"/>
                <w:szCs w:val="22"/>
                <w:lang w:val="ru-RU" w:eastAsia="ru-RU"/>
              </w:rPr>
            </w:pPr>
            <w:r w:rsidRPr="00A718C0">
              <w:rPr>
                <w:sz w:val="22"/>
                <w:szCs w:val="22"/>
                <w:lang w:val="ru-RU" w:eastAsia="ru-RU"/>
              </w:rPr>
              <w:t>0</w:t>
            </w:r>
          </w:p>
        </w:tc>
        <w:tc>
          <w:tcPr>
            <w:tcW w:w="994" w:type="pct"/>
            <w:tcBorders>
              <w:top w:val="single" w:sz="4" w:space="0" w:color="000000"/>
              <w:left w:val="single" w:sz="4" w:space="0" w:color="000000"/>
              <w:bottom w:val="single" w:sz="4" w:space="0" w:color="000000"/>
              <w:right w:val="single" w:sz="4" w:space="0" w:color="000000"/>
            </w:tcBorders>
            <w:vAlign w:val="center"/>
            <w:hideMark/>
          </w:tcPr>
          <w:p w14:paraId="18EE9BEE" w14:textId="77777777" w:rsidR="00DB1C4E" w:rsidRPr="00A718C0" w:rsidRDefault="00DB1C4E">
            <w:pPr>
              <w:pStyle w:val="TableParagraph"/>
              <w:jc w:val="center"/>
              <w:rPr>
                <w:sz w:val="22"/>
                <w:szCs w:val="22"/>
                <w:lang w:val="ru-RU" w:eastAsia="ru-RU"/>
              </w:rPr>
            </w:pPr>
            <w:r w:rsidRPr="00A718C0">
              <w:rPr>
                <w:sz w:val="22"/>
                <w:szCs w:val="22"/>
                <w:lang w:val="ru-RU" w:eastAsia="ru-RU"/>
              </w:rPr>
              <w:t>0</w:t>
            </w:r>
          </w:p>
        </w:tc>
        <w:tc>
          <w:tcPr>
            <w:tcW w:w="802" w:type="pct"/>
            <w:tcBorders>
              <w:top w:val="single" w:sz="4" w:space="0" w:color="000000"/>
              <w:left w:val="single" w:sz="4" w:space="0" w:color="000000"/>
              <w:bottom w:val="single" w:sz="4" w:space="0" w:color="000000"/>
              <w:right w:val="single" w:sz="4" w:space="0" w:color="000000"/>
            </w:tcBorders>
            <w:vAlign w:val="center"/>
            <w:hideMark/>
          </w:tcPr>
          <w:p w14:paraId="14E0AA9E" w14:textId="77777777" w:rsidR="00DB1C4E" w:rsidRPr="00A718C0" w:rsidRDefault="00DB1C4E">
            <w:pPr>
              <w:pStyle w:val="TableParagraph"/>
              <w:jc w:val="center"/>
              <w:rPr>
                <w:sz w:val="22"/>
                <w:szCs w:val="22"/>
                <w:lang w:val="ru-RU" w:eastAsia="ru-RU"/>
              </w:rPr>
            </w:pPr>
            <w:r w:rsidRPr="00A718C0">
              <w:rPr>
                <w:sz w:val="22"/>
                <w:szCs w:val="22"/>
                <w:lang w:val="ru-RU" w:eastAsia="ru-RU"/>
              </w:rPr>
              <w:t>&lt; 1%</w:t>
            </w:r>
          </w:p>
        </w:tc>
      </w:tr>
      <w:tr w:rsidR="00DB1C4E" w:rsidRPr="00A718C0" w14:paraId="4999C608" w14:textId="77777777" w:rsidTr="00132A6A">
        <w:trPr>
          <w:cantSplit/>
          <w:trHeight w:val="283"/>
        </w:trPr>
        <w:tc>
          <w:tcPr>
            <w:tcW w:w="1371" w:type="pct"/>
            <w:tcBorders>
              <w:top w:val="single" w:sz="4" w:space="0" w:color="000000"/>
              <w:left w:val="single" w:sz="4" w:space="0" w:color="000000"/>
              <w:bottom w:val="single" w:sz="4" w:space="0" w:color="000000"/>
              <w:right w:val="single" w:sz="4" w:space="0" w:color="000000"/>
            </w:tcBorders>
            <w:hideMark/>
          </w:tcPr>
          <w:p w14:paraId="7672B2B3" w14:textId="77777777" w:rsidR="00DB1C4E" w:rsidRPr="00A718C0" w:rsidRDefault="00DB1C4E">
            <w:pPr>
              <w:pStyle w:val="TableParagraph"/>
              <w:rPr>
                <w:b/>
                <w:sz w:val="22"/>
                <w:szCs w:val="22"/>
                <w:lang w:val="ru-RU" w:eastAsia="ru-RU"/>
              </w:rPr>
            </w:pPr>
            <w:r w:rsidRPr="00A718C0">
              <w:rPr>
                <w:b/>
                <w:sz w:val="22"/>
                <w:szCs w:val="22"/>
                <w:lang w:val="ru-RU" w:eastAsia="ru-RU"/>
              </w:rPr>
              <w:t xml:space="preserve">Andel (%) patienter </w:t>
            </w:r>
          </w:p>
          <w:p w14:paraId="293E6601" w14:textId="77777777" w:rsidR="00DB1C4E" w:rsidRPr="00A718C0" w:rsidRDefault="00DB1C4E">
            <w:pPr>
              <w:pStyle w:val="TableParagraph"/>
              <w:rPr>
                <w:b/>
                <w:sz w:val="22"/>
                <w:szCs w:val="22"/>
                <w:lang w:val="ru-RU" w:eastAsia="ru-RU"/>
              </w:rPr>
            </w:pPr>
            <w:r w:rsidRPr="00A718C0">
              <w:rPr>
                <w:b/>
                <w:sz w:val="22"/>
                <w:szCs w:val="22"/>
                <w:lang w:val="ru-RU" w:eastAsia="ru-RU"/>
              </w:rPr>
              <w:t xml:space="preserve">med hiv 1-rna </w:t>
            </w:r>
          </w:p>
          <w:p w14:paraId="59DBFA45" w14:textId="77777777" w:rsidR="00DB1C4E" w:rsidRPr="00A718C0" w:rsidRDefault="00DB1C4E">
            <w:pPr>
              <w:pStyle w:val="TableParagraph"/>
              <w:rPr>
                <w:b/>
                <w:sz w:val="22"/>
                <w:szCs w:val="22"/>
                <w:lang w:val="ru-RU" w:eastAsia="ru-RU"/>
              </w:rPr>
            </w:pPr>
            <w:r w:rsidRPr="00A718C0">
              <w:rPr>
                <w:b/>
                <w:sz w:val="22"/>
                <w:szCs w:val="22"/>
                <w:lang w:val="ru-RU" w:eastAsia="ru-RU"/>
              </w:rPr>
              <w:t>&lt; 50 kopier/ml pr. tidligere behandlingsregime</w:t>
            </w:r>
          </w:p>
        </w:tc>
        <w:tc>
          <w:tcPr>
            <w:tcW w:w="994" w:type="pct"/>
            <w:tcBorders>
              <w:top w:val="single" w:sz="4" w:space="0" w:color="000000"/>
              <w:left w:val="single" w:sz="4" w:space="0" w:color="000000"/>
              <w:bottom w:val="single" w:sz="4" w:space="0" w:color="000000"/>
              <w:right w:val="single" w:sz="4" w:space="0" w:color="000000"/>
            </w:tcBorders>
            <w:vAlign w:val="center"/>
          </w:tcPr>
          <w:p w14:paraId="671D14F6" w14:textId="77777777" w:rsidR="00DB1C4E" w:rsidRPr="00A718C0" w:rsidRDefault="00DB1C4E">
            <w:pPr>
              <w:pStyle w:val="TableParagraph"/>
              <w:jc w:val="center"/>
              <w:rPr>
                <w:sz w:val="22"/>
                <w:szCs w:val="22"/>
                <w:lang w:val="ru-RU" w:eastAsia="ru-RU"/>
              </w:rPr>
            </w:pPr>
          </w:p>
        </w:tc>
        <w:tc>
          <w:tcPr>
            <w:tcW w:w="840" w:type="pct"/>
            <w:tcBorders>
              <w:top w:val="single" w:sz="4" w:space="0" w:color="000000"/>
              <w:left w:val="single" w:sz="4" w:space="0" w:color="000000"/>
              <w:bottom w:val="single" w:sz="4" w:space="0" w:color="000000"/>
              <w:right w:val="single" w:sz="4" w:space="0" w:color="000000"/>
            </w:tcBorders>
            <w:vAlign w:val="center"/>
          </w:tcPr>
          <w:p w14:paraId="61BA10C9" w14:textId="77777777" w:rsidR="00DB1C4E" w:rsidRPr="00A718C0" w:rsidRDefault="00DB1C4E">
            <w:pPr>
              <w:pStyle w:val="TableParagraph"/>
              <w:jc w:val="center"/>
              <w:rPr>
                <w:sz w:val="22"/>
                <w:szCs w:val="22"/>
                <w:lang w:val="ru-RU" w:eastAsia="ru-RU"/>
              </w:rPr>
            </w:pPr>
          </w:p>
        </w:tc>
        <w:tc>
          <w:tcPr>
            <w:tcW w:w="994" w:type="pct"/>
            <w:tcBorders>
              <w:top w:val="single" w:sz="4" w:space="0" w:color="000000"/>
              <w:left w:val="single" w:sz="4" w:space="0" w:color="000000"/>
              <w:bottom w:val="single" w:sz="4" w:space="0" w:color="000000"/>
              <w:right w:val="single" w:sz="4" w:space="0" w:color="000000"/>
            </w:tcBorders>
            <w:vAlign w:val="center"/>
          </w:tcPr>
          <w:p w14:paraId="3A22CCAE" w14:textId="77777777" w:rsidR="00DB1C4E" w:rsidRPr="00A718C0" w:rsidRDefault="00DB1C4E">
            <w:pPr>
              <w:pStyle w:val="TableParagraph"/>
              <w:jc w:val="center"/>
              <w:rPr>
                <w:sz w:val="22"/>
                <w:szCs w:val="22"/>
                <w:lang w:val="ru-RU" w:eastAsia="ru-RU"/>
              </w:rPr>
            </w:pPr>
          </w:p>
        </w:tc>
        <w:tc>
          <w:tcPr>
            <w:tcW w:w="802" w:type="pct"/>
            <w:tcBorders>
              <w:top w:val="single" w:sz="4" w:space="0" w:color="000000"/>
              <w:left w:val="single" w:sz="4" w:space="0" w:color="000000"/>
              <w:bottom w:val="single" w:sz="4" w:space="0" w:color="000000"/>
              <w:right w:val="single" w:sz="4" w:space="0" w:color="000000"/>
            </w:tcBorders>
            <w:vAlign w:val="center"/>
          </w:tcPr>
          <w:p w14:paraId="64130AFF" w14:textId="77777777" w:rsidR="00DB1C4E" w:rsidRPr="00A718C0" w:rsidRDefault="00DB1C4E">
            <w:pPr>
              <w:pStyle w:val="TableParagraph"/>
              <w:jc w:val="center"/>
              <w:rPr>
                <w:sz w:val="22"/>
                <w:szCs w:val="22"/>
                <w:lang w:val="ru-RU" w:eastAsia="ru-RU"/>
              </w:rPr>
            </w:pPr>
          </w:p>
        </w:tc>
      </w:tr>
      <w:tr w:rsidR="00DB1C4E" w:rsidRPr="00A718C0" w14:paraId="2A627E79" w14:textId="77777777" w:rsidTr="00132A6A">
        <w:trPr>
          <w:cantSplit/>
          <w:trHeight w:val="283"/>
        </w:trPr>
        <w:tc>
          <w:tcPr>
            <w:tcW w:w="1371" w:type="pct"/>
            <w:tcBorders>
              <w:top w:val="single" w:sz="4" w:space="0" w:color="000000"/>
              <w:left w:val="single" w:sz="4" w:space="0" w:color="000000"/>
              <w:bottom w:val="single" w:sz="4" w:space="0" w:color="000000"/>
              <w:right w:val="single" w:sz="4" w:space="0" w:color="000000"/>
            </w:tcBorders>
            <w:vAlign w:val="center"/>
            <w:hideMark/>
          </w:tcPr>
          <w:p w14:paraId="2B4F023D" w14:textId="77777777" w:rsidR="00DB1C4E" w:rsidRPr="00A718C0" w:rsidRDefault="00DB1C4E">
            <w:pPr>
              <w:pStyle w:val="TableParagraph"/>
              <w:ind w:left="184"/>
              <w:rPr>
                <w:sz w:val="22"/>
                <w:szCs w:val="22"/>
                <w:lang w:val="ru-RU" w:eastAsia="ru-RU"/>
              </w:rPr>
            </w:pPr>
            <w:r w:rsidRPr="00A718C0">
              <w:rPr>
                <w:sz w:val="22"/>
                <w:szCs w:val="22"/>
                <w:lang w:val="ru-RU" w:eastAsia="ru-RU"/>
              </w:rPr>
              <w:t>Boosted PI’er</w:t>
            </w:r>
          </w:p>
        </w:tc>
        <w:tc>
          <w:tcPr>
            <w:tcW w:w="994" w:type="pct"/>
            <w:tcBorders>
              <w:top w:val="single" w:sz="4" w:space="0" w:color="000000"/>
              <w:left w:val="single" w:sz="4" w:space="0" w:color="000000"/>
              <w:bottom w:val="single" w:sz="4" w:space="0" w:color="000000"/>
              <w:right w:val="single" w:sz="4" w:space="0" w:color="000000"/>
            </w:tcBorders>
            <w:vAlign w:val="center"/>
            <w:hideMark/>
          </w:tcPr>
          <w:p w14:paraId="1115B621" w14:textId="77777777" w:rsidR="00DB1C4E" w:rsidRPr="00A718C0" w:rsidRDefault="00DB1C4E">
            <w:pPr>
              <w:pStyle w:val="TableParagraph"/>
              <w:jc w:val="center"/>
              <w:rPr>
                <w:sz w:val="22"/>
                <w:szCs w:val="22"/>
                <w:lang w:val="ru-RU" w:eastAsia="ru-RU"/>
              </w:rPr>
            </w:pPr>
            <w:r w:rsidRPr="00A718C0">
              <w:rPr>
                <w:sz w:val="22"/>
                <w:szCs w:val="22"/>
                <w:lang w:val="ru-RU" w:eastAsia="ru-RU"/>
              </w:rPr>
              <w:t>142/155 (92%)</w:t>
            </w:r>
          </w:p>
        </w:tc>
        <w:tc>
          <w:tcPr>
            <w:tcW w:w="840" w:type="pct"/>
            <w:tcBorders>
              <w:top w:val="single" w:sz="4" w:space="0" w:color="000000"/>
              <w:left w:val="single" w:sz="4" w:space="0" w:color="000000"/>
              <w:bottom w:val="single" w:sz="4" w:space="0" w:color="000000"/>
              <w:right w:val="single" w:sz="4" w:space="0" w:color="000000"/>
            </w:tcBorders>
            <w:vAlign w:val="center"/>
            <w:hideMark/>
          </w:tcPr>
          <w:p w14:paraId="08F8CCE9" w14:textId="77777777" w:rsidR="00DB1C4E" w:rsidRPr="00A718C0" w:rsidRDefault="00DB1C4E">
            <w:pPr>
              <w:pStyle w:val="TableParagraph"/>
              <w:jc w:val="center"/>
              <w:rPr>
                <w:sz w:val="22"/>
                <w:szCs w:val="22"/>
                <w:lang w:val="ru-RU" w:eastAsia="ru-RU"/>
              </w:rPr>
            </w:pPr>
            <w:r w:rsidRPr="00A718C0">
              <w:rPr>
                <w:sz w:val="22"/>
                <w:szCs w:val="22"/>
                <w:lang w:val="ru-RU" w:eastAsia="ru-RU"/>
              </w:rPr>
              <w:t>140/151 (93%)</w:t>
            </w:r>
          </w:p>
        </w:tc>
        <w:tc>
          <w:tcPr>
            <w:tcW w:w="994" w:type="pct"/>
            <w:tcBorders>
              <w:top w:val="single" w:sz="4" w:space="0" w:color="000000"/>
              <w:left w:val="single" w:sz="4" w:space="0" w:color="000000"/>
              <w:bottom w:val="single" w:sz="4" w:space="0" w:color="000000"/>
              <w:right w:val="single" w:sz="4" w:space="0" w:color="000000"/>
            </w:tcBorders>
            <w:vAlign w:val="center"/>
            <w:hideMark/>
          </w:tcPr>
          <w:p w14:paraId="4BD9AD9B" w14:textId="77777777" w:rsidR="00DB1C4E" w:rsidRPr="00A718C0" w:rsidRDefault="00DB1C4E">
            <w:pPr>
              <w:pStyle w:val="TableParagraph"/>
              <w:jc w:val="center"/>
              <w:rPr>
                <w:sz w:val="22"/>
                <w:szCs w:val="22"/>
                <w:lang w:val="ru-RU" w:eastAsia="ru-RU"/>
              </w:rPr>
            </w:pPr>
            <w:r w:rsidRPr="00A718C0">
              <w:rPr>
                <w:sz w:val="22"/>
                <w:szCs w:val="22"/>
                <w:lang w:val="ru-RU" w:eastAsia="ru-RU"/>
              </w:rPr>
              <w:t>133/155 (86%)</w:t>
            </w:r>
          </w:p>
        </w:tc>
        <w:tc>
          <w:tcPr>
            <w:tcW w:w="802" w:type="pct"/>
            <w:tcBorders>
              <w:top w:val="single" w:sz="4" w:space="0" w:color="000000"/>
              <w:left w:val="single" w:sz="4" w:space="0" w:color="000000"/>
              <w:bottom w:val="single" w:sz="4" w:space="0" w:color="000000"/>
              <w:right w:val="single" w:sz="4" w:space="0" w:color="000000"/>
            </w:tcBorders>
            <w:vAlign w:val="center"/>
            <w:hideMark/>
          </w:tcPr>
          <w:p w14:paraId="78E5FE87" w14:textId="77777777" w:rsidR="00DB1C4E" w:rsidRPr="00A718C0" w:rsidRDefault="00DB1C4E">
            <w:pPr>
              <w:pStyle w:val="TableParagraph"/>
              <w:jc w:val="center"/>
              <w:rPr>
                <w:sz w:val="22"/>
                <w:szCs w:val="22"/>
                <w:lang w:val="ru-RU" w:eastAsia="ru-RU"/>
              </w:rPr>
            </w:pPr>
            <w:r w:rsidRPr="00A718C0">
              <w:rPr>
                <w:sz w:val="22"/>
                <w:szCs w:val="22"/>
                <w:lang w:val="ru-RU" w:eastAsia="ru-RU"/>
              </w:rPr>
              <w:t>133/151 (88%)</w:t>
            </w:r>
          </w:p>
        </w:tc>
      </w:tr>
      <w:tr w:rsidR="00DB1C4E" w:rsidRPr="00A718C0" w14:paraId="78FC977E" w14:textId="77777777" w:rsidTr="00132A6A">
        <w:trPr>
          <w:cantSplit/>
          <w:trHeight w:val="283"/>
        </w:trPr>
        <w:tc>
          <w:tcPr>
            <w:tcW w:w="1371" w:type="pct"/>
            <w:tcBorders>
              <w:top w:val="single" w:sz="4" w:space="0" w:color="000000"/>
              <w:left w:val="single" w:sz="4" w:space="0" w:color="000000"/>
              <w:bottom w:val="single" w:sz="4" w:space="0" w:color="000000"/>
              <w:right w:val="single" w:sz="4" w:space="0" w:color="000000"/>
            </w:tcBorders>
            <w:vAlign w:val="center"/>
            <w:hideMark/>
          </w:tcPr>
          <w:p w14:paraId="1F9AC47F" w14:textId="77777777" w:rsidR="00DB1C4E" w:rsidRPr="00A718C0" w:rsidRDefault="00DB1C4E">
            <w:pPr>
              <w:pStyle w:val="TableParagraph"/>
              <w:ind w:left="184"/>
              <w:rPr>
                <w:sz w:val="22"/>
                <w:szCs w:val="22"/>
                <w:lang w:val="ru-RU" w:eastAsia="ru-RU"/>
              </w:rPr>
            </w:pPr>
            <w:r w:rsidRPr="00A718C0">
              <w:rPr>
                <w:sz w:val="22"/>
                <w:szCs w:val="22"/>
                <w:lang w:val="ru-RU" w:eastAsia="ru-RU"/>
              </w:rPr>
              <w:t>Andre tredje stoffer</w:t>
            </w:r>
          </w:p>
        </w:tc>
        <w:tc>
          <w:tcPr>
            <w:tcW w:w="994" w:type="pct"/>
            <w:tcBorders>
              <w:top w:val="single" w:sz="4" w:space="0" w:color="000000"/>
              <w:left w:val="single" w:sz="4" w:space="0" w:color="000000"/>
              <w:bottom w:val="single" w:sz="4" w:space="0" w:color="000000"/>
              <w:right w:val="single" w:sz="4" w:space="0" w:color="000000"/>
            </w:tcBorders>
            <w:vAlign w:val="center"/>
            <w:hideMark/>
          </w:tcPr>
          <w:p w14:paraId="0F70FC21" w14:textId="77777777" w:rsidR="00DB1C4E" w:rsidRPr="00A718C0" w:rsidRDefault="00DB1C4E">
            <w:pPr>
              <w:pStyle w:val="TableParagraph"/>
              <w:jc w:val="center"/>
              <w:rPr>
                <w:sz w:val="22"/>
                <w:szCs w:val="22"/>
                <w:lang w:val="ru-RU" w:eastAsia="ru-RU"/>
              </w:rPr>
            </w:pPr>
            <w:r w:rsidRPr="00A718C0">
              <w:rPr>
                <w:sz w:val="22"/>
                <w:szCs w:val="22"/>
                <w:lang w:val="ru-RU" w:eastAsia="ru-RU"/>
              </w:rPr>
              <w:t>172/178 (97%)</w:t>
            </w:r>
          </w:p>
        </w:tc>
        <w:tc>
          <w:tcPr>
            <w:tcW w:w="840" w:type="pct"/>
            <w:tcBorders>
              <w:top w:val="single" w:sz="4" w:space="0" w:color="000000"/>
              <w:left w:val="single" w:sz="4" w:space="0" w:color="000000"/>
              <w:bottom w:val="single" w:sz="4" w:space="0" w:color="000000"/>
              <w:right w:val="single" w:sz="4" w:space="0" w:color="000000"/>
            </w:tcBorders>
            <w:vAlign w:val="center"/>
            <w:hideMark/>
          </w:tcPr>
          <w:p w14:paraId="7C85361B" w14:textId="77777777" w:rsidR="00DB1C4E" w:rsidRPr="00A718C0" w:rsidRDefault="00DB1C4E">
            <w:pPr>
              <w:pStyle w:val="TableParagraph"/>
              <w:jc w:val="center"/>
              <w:rPr>
                <w:sz w:val="22"/>
                <w:szCs w:val="22"/>
                <w:lang w:val="ru-RU" w:eastAsia="ru-RU"/>
              </w:rPr>
            </w:pPr>
            <w:r w:rsidRPr="00A718C0">
              <w:rPr>
                <w:sz w:val="22"/>
                <w:szCs w:val="22"/>
                <w:lang w:val="ru-RU" w:eastAsia="ru-RU"/>
              </w:rPr>
              <w:t>167/179 (93%)</w:t>
            </w:r>
          </w:p>
        </w:tc>
        <w:tc>
          <w:tcPr>
            <w:tcW w:w="994" w:type="pct"/>
            <w:tcBorders>
              <w:top w:val="single" w:sz="4" w:space="0" w:color="000000"/>
              <w:left w:val="single" w:sz="4" w:space="0" w:color="000000"/>
              <w:bottom w:val="single" w:sz="4" w:space="0" w:color="000000"/>
              <w:right w:val="single" w:sz="4" w:space="0" w:color="000000"/>
            </w:tcBorders>
            <w:vAlign w:val="center"/>
            <w:hideMark/>
          </w:tcPr>
          <w:p w14:paraId="1D79ABE3" w14:textId="77777777" w:rsidR="00DB1C4E" w:rsidRPr="00A718C0" w:rsidRDefault="00DB1C4E">
            <w:pPr>
              <w:pStyle w:val="TableParagraph"/>
              <w:jc w:val="center"/>
              <w:rPr>
                <w:sz w:val="22"/>
                <w:szCs w:val="22"/>
                <w:lang w:val="ru-RU" w:eastAsia="ru-RU"/>
              </w:rPr>
            </w:pPr>
            <w:r w:rsidRPr="00A718C0">
              <w:rPr>
                <w:sz w:val="22"/>
                <w:szCs w:val="22"/>
                <w:lang w:val="ru-RU" w:eastAsia="ru-RU"/>
              </w:rPr>
              <w:t>162/178 (91%)</w:t>
            </w:r>
          </w:p>
        </w:tc>
        <w:tc>
          <w:tcPr>
            <w:tcW w:w="802" w:type="pct"/>
            <w:tcBorders>
              <w:top w:val="single" w:sz="4" w:space="0" w:color="000000"/>
              <w:left w:val="single" w:sz="4" w:space="0" w:color="000000"/>
              <w:bottom w:val="single" w:sz="4" w:space="0" w:color="000000"/>
              <w:right w:val="single" w:sz="4" w:space="0" w:color="000000"/>
            </w:tcBorders>
            <w:vAlign w:val="center"/>
            <w:hideMark/>
          </w:tcPr>
          <w:p w14:paraId="5FC3E387" w14:textId="77777777" w:rsidR="00DB1C4E" w:rsidRPr="00A718C0" w:rsidRDefault="00DB1C4E">
            <w:pPr>
              <w:pStyle w:val="TableParagraph"/>
              <w:jc w:val="center"/>
              <w:rPr>
                <w:sz w:val="22"/>
                <w:szCs w:val="22"/>
                <w:lang w:val="ru-RU" w:eastAsia="ru-RU"/>
              </w:rPr>
            </w:pPr>
            <w:r w:rsidRPr="00A718C0">
              <w:rPr>
                <w:sz w:val="22"/>
                <w:szCs w:val="22"/>
                <w:lang w:val="ru-RU" w:eastAsia="ru-RU"/>
              </w:rPr>
              <w:t>161/179 (90%)</w:t>
            </w:r>
          </w:p>
        </w:tc>
      </w:tr>
    </w:tbl>
    <w:bookmarkEnd w:id="6"/>
    <w:p w14:paraId="0D4CBABB" w14:textId="77777777" w:rsidR="00DB1C4E" w:rsidRPr="00A718C0" w:rsidRDefault="00DB1C4E" w:rsidP="00DB1C4E">
      <w:pPr>
        <w:pStyle w:val="Brdtekst"/>
        <w:suppressAutoHyphens/>
        <w:kinsoku w:val="0"/>
        <w:overflowPunct w:val="0"/>
        <w:ind w:left="0"/>
        <w:rPr>
          <w:color w:val="000000" w:themeColor="text1"/>
          <w:sz w:val="20"/>
          <w:szCs w:val="20"/>
        </w:rPr>
      </w:pPr>
      <w:r w:rsidRPr="00A718C0">
        <w:rPr>
          <w:color w:val="000000" w:themeColor="text1"/>
          <w:sz w:val="20"/>
          <w:szCs w:val="20"/>
        </w:rPr>
        <w:t xml:space="preserve">PI = proteasehæmmer </w:t>
      </w:r>
    </w:p>
    <w:p w14:paraId="53A45872" w14:textId="016B869B" w:rsidR="00DB1C4E" w:rsidRPr="00A718C0" w:rsidRDefault="00DB1C4E" w:rsidP="00A718C0">
      <w:pPr>
        <w:pStyle w:val="Brdtekst"/>
        <w:suppressAutoHyphens/>
        <w:kinsoku w:val="0"/>
        <w:overflowPunct w:val="0"/>
        <w:ind w:left="284" w:hanging="284"/>
        <w:rPr>
          <w:color w:val="000000" w:themeColor="text1"/>
          <w:sz w:val="20"/>
          <w:szCs w:val="20"/>
        </w:rPr>
      </w:pPr>
      <w:r w:rsidRPr="00A718C0">
        <w:rPr>
          <w:color w:val="000000" w:themeColor="text1"/>
          <w:sz w:val="20"/>
          <w:szCs w:val="20"/>
          <w:vertAlign w:val="superscript"/>
        </w:rPr>
        <w:t>a</w:t>
      </w:r>
      <w:r w:rsidRPr="00A718C0">
        <w:rPr>
          <w:color w:val="000000" w:themeColor="text1"/>
          <w:sz w:val="20"/>
          <w:szCs w:val="20"/>
        </w:rPr>
        <w:t xml:space="preserve"> </w:t>
      </w:r>
      <w:r w:rsidR="00A718C0" w:rsidRPr="00A718C0">
        <w:rPr>
          <w:color w:val="000000" w:themeColor="text1"/>
          <w:sz w:val="20"/>
          <w:szCs w:val="20"/>
        </w:rPr>
        <w:tab/>
      </w:r>
      <w:r w:rsidRPr="00A718C0">
        <w:rPr>
          <w:color w:val="000000" w:themeColor="text1"/>
          <w:sz w:val="20"/>
          <w:szCs w:val="20"/>
        </w:rPr>
        <w:t xml:space="preserve">Uge 48-vinduet var fra dag 294 til 377 (inklusive). </w:t>
      </w:r>
    </w:p>
    <w:p w14:paraId="62E1F650" w14:textId="15178C34" w:rsidR="00DB1C4E" w:rsidRPr="00A718C0" w:rsidRDefault="00DB1C4E" w:rsidP="00A718C0">
      <w:pPr>
        <w:pStyle w:val="Brdtekst"/>
        <w:suppressAutoHyphens/>
        <w:kinsoku w:val="0"/>
        <w:overflowPunct w:val="0"/>
        <w:ind w:left="284" w:hanging="284"/>
        <w:rPr>
          <w:color w:val="000000" w:themeColor="text1"/>
          <w:sz w:val="20"/>
          <w:szCs w:val="20"/>
        </w:rPr>
      </w:pPr>
      <w:r w:rsidRPr="00A718C0">
        <w:rPr>
          <w:color w:val="000000" w:themeColor="text1"/>
          <w:sz w:val="20"/>
          <w:szCs w:val="20"/>
          <w:vertAlign w:val="superscript"/>
        </w:rPr>
        <w:t>b</w:t>
      </w:r>
      <w:r w:rsidRPr="00A718C0">
        <w:rPr>
          <w:color w:val="000000" w:themeColor="text1"/>
          <w:sz w:val="20"/>
          <w:szCs w:val="20"/>
        </w:rPr>
        <w:t xml:space="preserve"> </w:t>
      </w:r>
      <w:r w:rsidR="00A718C0" w:rsidRPr="00A718C0">
        <w:rPr>
          <w:color w:val="000000" w:themeColor="text1"/>
          <w:sz w:val="20"/>
          <w:szCs w:val="20"/>
        </w:rPr>
        <w:tab/>
      </w:r>
      <w:r w:rsidRPr="00A718C0">
        <w:rPr>
          <w:color w:val="000000" w:themeColor="text1"/>
          <w:sz w:val="20"/>
          <w:szCs w:val="20"/>
        </w:rPr>
        <w:t xml:space="preserve">Uge 96-vinduet var fra dag 630 til 713 (inklusive). </w:t>
      </w:r>
    </w:p>
    <w:p w14:paraId="11B3404B" w14:textId="436A5A98" w:rsidR="00DB1C4E" w:rsidRPr="00A718C0" w:rsidRDefault="00DB1C4E" w:rsidP="00A718C0">
      <w:pPr>
        <w:pStyle w:val="Brdtekst"/>
        <w:suppressAutoHyphens/>
        <w:kinsoku w:val="0"/>
        <w:overflowPunct w:val="0"/>
        <w:ind w:left="284" w:hanging="284"/>
        <w:rPr>
          <w:color w:val="000000" w:themeColor="text1"/>
          <w:sz w:val="20"/>
          <w:szCs w:val="20"/>
        </w:rPr>
      </w:pPr>
      <w:r w:rsidRPr="00A718C0">
        <w:rPr>
          <w:color w:val="000000" w:themeColor="text1"/>
          <w:sz w:val="20"/>
          <w:szCs w:val="20"/>
          <w:vertAlign w:val="superscript"/>
        </w:rPr>
        <w:t>c</w:t>
      </w:r>
      <w:r w:rsidRPr="00A718C0">
        <w:rPr>
          <w:color w:val="000000" w:themeColor="text1"/>
          <w:sz w:val="20"/>
          <w:szCs w:val="20"/>
        </w:rPr>
        <w:t xml:space="preserve"> </w:t>
      </w:r>
      <w:r w:rsidR="00A718C0" w:rsidRPr="00A718C0">
        <w:rPr>
          <w:color w:val="000000" w:themeColor="text1"/>
          <w:sz w:val="20"/>
          <w:szCs w:val="20"/>
        </w:rPr>
        <w:tab/>
      </w:r>
      <w:r w:rsidRPr="00A718C0">
        <w:rPr>
          <w:color w:val="000000" w:themeColor="text1"/>
          <w:sz w:val="20"/>
          <w:szCs w:val="20"/>
        </w:rPr>
        <w:t xml:space="preserve">Omfatter patienter, som havde ≥ 50 kopier/ml i uge 48- eller uge 96-vinduet, patienter, som afbrød behandlingen tidligt som følge af manglende eller svigtende virkning, patienter, som afbrød behandlingen af andre årsager end en </w:t>
      </w:r>
      <w:r w:rsidRPr="00A718C0">
        <w:rPr>
          <w:i/>
          <w:iCs/>
          <w:color w:val="000000" w:themeColor="text1"/>
          <w:sz w:val="20"/>
          <w:szCs w:val="20"/>
        </w:rPr>
        <w:t xml:space="preserve">adverse event </w:t>
      </w:r>
      <w:r w:rsidRPr="00A718C0">
        <w:rPr>
          <w:color w:val="000000" w:themeColor="text1"/>
          <w:sz w:val="20"/>
          <w:szCs w:val="20"/>
        </w:rPr>
        <w:t xml:space="preserve">(AE), død eller manglende eller svigtende virkning, og som på tidspunktet for seponering havde en viral load på ≥ 50 kopier/ml. </w:t>
      </w:r>
    </w:p>
    <w:p w14:paraId="24B63FEF" w14:textId="622244EF" w:rsidR="00DB1C4E" w:rsidRPr="00A718C0" w:rsidRDefault="00DB1C4E" w:rsidP="00A718C0">
      <w:pPr>
        <w:pStyle w:val="Brdtekst"/>
        <w:suppressAutoHyphens/>
        <w:kinsoku w:val="0"/>
        <w:overflowPunct w:val="0"/>
        <w:ind w:left="284" w:hanging="284"/>
        <w:rPr>
          <w:color w:val="000000" w:themeColor="text1"/>
          <w:sz w:val="20"/>
          <w:szCs w:val="20"/>
        </w:rPr>
      </w:pPr>
      <w:r w:rsidRPr="00A718C0">
        <w:rPr>
          <w:color w:val="000000" w:themeColor="text1"/>
          <w:sz w:val="20"/>
          <w:szCs w:val="20"/>
          <w:vertAlign w:val="superscript"/>
        </w:rPr>
        <w:t>d</w:t>
      </w:r>
      <w:r w:rsidRPr="00A718C0">
        <w:rPr>
          <w:color w:val="000000" w:themeColor="text1"/>
          <w:sz w:val="20"/>
          <w:szCs w:val="20"/>
        </w:rPr>
        <w:t xml:space="preserve"> </w:t>
      </w:r>
      <w:r w:rsidR="00A718C0" w:rsidRPr="00A718C0">
        <w:rPr>
          <w:color w:val="000000" w:themeColor="text1"/>
          <w:sz w:val="20"/>
          <w:szCs w:val="20"/>
        </w:rPr>
        <w:tab/>
      </w:r>
      <w:r w:rsidRPr="00A718C0">
        <w:rPr>
          <w:color w:val="000000" w:themeColor="text1"/>
          <w:sz w:val="20"/>
          <w:szCs w:val="20"/>
        </w:rPr>
        <w:t xml:space="preserve">Omfatter patienter, som afbrød behandlingen som følge af en AE eller død på et tidspunkt fra dag 1 og i løbet af tidsvinduet, hvis dette ikke resulterede i virologiske data om behandlingen i løbet af det specificerede tidsvindue. </w:t>
      </w:r>
    </w:p>
    <w:p w14:paraId="7EBF809F" w14:textId="57BB6089" w:rsidR="00DB1C4E" w:rsidRPr="00A718C0" w:rsidRDefault="00DB1C4E" w:rsidP="00A718C0">
      <w:pPr>
        <w:pStyle w:val="Brdtekst"/>
        <w:widowControl/>
        <w:suppressAutoHyphens/>
        <w:kinsoku w:val="0"/>
        <w:overflowPunct w:val="0"/>
        <w:ind w:left="284" w:hanging="284"/>
        <w:rPr>
          <w:color w:val="000000" w:themeColor="text1"/>
          <w:sz w:val="20"/>
          <w:szCs w:val="20"/>
        </w:rPr>
      </w:pPr>
      <w:r w:rsidRPr="00A718C0">
        <w:rPr>
          <w:color w:val="000000" w:themeColor="text1"/>
          <w:sz w:val="20"/>
          <w:szCs w:val="20"/>
          <w:vertAlign w:val="superscript"/>
        </w:rPr>
        <w:t>e</w:t>
      </w:r>
      <w:r w:rsidRPr="00A718C0">
        <w:rPr>
          <w:color w:val="000000" w:themeColor="text1"/>
          <w:sz w:val="20"/>
          <w:szCs w:val="20"/>
        </w:rPr>
        <w:t xml:space="preserve"> </w:t>
      </w:r>
      <w:r w:rsidR="00A718C0" w:rsidRPr="00A718C0">
        <w:rPr>
          <w:color w:val="000000" w:themeColor="text1"/>
          <w:sz w:val="20"/>
          <w:szCs w:val="20"/>
        </w:rPr>
        <w:tab/>
      </w:r>
      <w:r w:rsidRPr="00A718C0">
        <w:rPr>
          <w:color w:val="000000" w:themeColor="text1"/>
          <w:sz w:val="20"/>
          <w:szCs w:val="20"/>
        </w:rPr>
        <w:t>Omfatter patienter, som afbrød behandlingen af andre årsager end en AE, død eller manglende eller svigtende virkning, f.eks. tilbagetrækning af samtykke, tabt for opfølgning osv.</w:t>
      </w:r>
    </w:p>
    <w:p w14:paraId="13B65AEF" w14:textId="77777777" w:rsidR="00DB1C4E" w:rsidRPr="00F2263F" w:rsidRDefault="00DB1C4E" w:rsidP="00A718C0">
      <w:pPr>
        <w:pStyle w:val="Brdtekst"/>
        <w:widowControl/>
        <w:suppressAutoHyphens/>
        <w:kinsoku w:val="0"/>
        <w:overflowPunct w:val="0"/>
        <w:ind w:left="851"/>
        <w:rPr>
          <w:color w:val="000000" w:themeColor="text1"/>
        </w:rPr>
      </w:pPr>
    </w:p>
    <w:p w14:paraId="73D74CA3" w14:textId="7EE6CD24" w:rsidR="00DB1C4E" w:rsidRPr="00F2263F" w:rsidRDefault="00DB1C4E" w:rsidP="00132A6A">
      <w:pPr>
        <w:ind w:left="851"/>
        <w:rPr>
          <w:sz w:val="24"/>
          <w:szCs w:val="24"/>
        </w:rPr>
      </w:pPr>
      <w:r w:rsidRPr="00F2263F">
        <w:rPr>
          <w:sz w:val="24"/>
          <w:szCs w:val="24"/>
        </w:rPr>
        <w:t>I studie GS-US-311-1717 blev patienter, som var virologisk supprimerede (hiv 1-rna &lt;</w:t>
      </w:r>
      <w:r w:rsidR="00C7472A">
        <w:rPr>
          <w:sz w:val="24"/>
          <w:szCs w:val="24"/>
        </w:rPr>
        <w:t> </w:t>
      </w:r>
      <w:r w:rsidRPr="00F2263F">
        <w:rPr>
          <w:sz w:val="24"/>
          <w:szCs w:val="24"/>
        </w:rPr>
        <w:t>50</w:t>
      </w:r>
      <w:r w:rsidR="00C7472A">
        <w:rPr>
          <w:sz w:val="24"/>
          <w:szCs w:val="24"/>
        </w:rPr>
        <w:t> </w:t>
      </w:r>
      <w:r w:rsidRPr="00F2263F">
        <w:rPr>
          <w:sz w:val="24"/>
          <w:szCs w:val="24"/>
        </w:rPr>
        <w:t xml:space="preserve">kopier/ml) i deres regime indeholdende abacavir/lamivudin i mindst 6 måneder, </w:t>
      </w:r>
      <w:r w:rsidRPr="00F2263F">
        <w:rPr>
          <w:sz w:val="24"/>
          <w:szCs w:val="24"/>
        </w:rPr>
        <w:lastRenderedPageBreak/>
        <w:t xml:space="preserve">randomiseret i forholdet 1:1 enten til et skift til emtricitabin og </w:t>
      </w:r>
      <w:r w:rsidR="00202D86">
        <w:rPr>
          <w:sz w:val="24"/>
          <w:szCs w:val="24"/>
        </w:rPr>
        <w:t>tenofovir alafenamid fumarat</w:t>
      </w:r>
      <w:r w:rsidRPr="00F2263F">
        <w:rPr>
          <w:sz w:val="24"/>
          <w:szCs w:val="24"/>
        </w:rPr>
        <w:t xml:space="preserve"> kombinationen (n = 280), mens de fortsatte med det tredje stof ved baseline eller blev på deres baseline regime indeholdende abacavir/lamivudin (n = 276).</w:t>
      </w:r>
    </w:p>
    <w:p w14:paraId="25A3FA49" w14:textId="77777777" w:rsidR="00DB1C4E" w:rsidRPr="00F2263F" w:rsidRDefault="00DB1C4E" w:rsidP="00132A6A">
      <w:pPr>
        <w:ind w:left="851"/>
        <w:rPr>
          <w:sz w:val="24"/>
          <w:szCs w:val="24"/>
        </w:rPr>
      </w:pPr>
    </w:p>
    <w:p w14:paraId="1EC579BE" w14:textId="257C4031" w:rsidR="00DB1C4E" w:rsidRPr="00F2263F" w:rsidRDefault="00DB1C4E" w:rsidP="00132A6A">
      <w:pPr>
        <w:ind w:left="851"/>
        <w:rPr>
          <w:sz w:val="24"/>
          <w:szCs w:val="24"/>
        </w:rPr>
      </w:pPr>
      <w:r w:rsidRPr="00F2263F">
        <w:rPr>
          <w:sz w:val="24"/>
          <w:szCs w:val="24"/>
        </w:rPr>
        <w:t xml:space="preserve">Patienterne blev stratificeret ved klassen for det tredje stof i deres tidligere behandlingsregime. Ved baseline fik 30 % af patienter abacavir/lamivudin i kombination med en boosted PI og 70 % af patienterne fik abacavir/lamivudin i kombination med et ikke boosted tredje stof. De virologiske succesrater ved uge 48 var: Regime indeholdende emtricitabin og </w:t>
      </w:r>
      <w:r w:rsidR="00202D86">
        <w:rPr>
          <w:sz w:val="24"/>
          <w:szCs w:val="24"/>
        </w:rPr>
        <w:t>tenofovir alafenamid fumarat</w:t>
      </w:r>
      <w:r w:rsidRPr="00F2263F">
        <w:rPr>
          <w:sz w:val="24"/>
          <w:szCs w:val="24"/>
        </w:rPr>
        <w:t xml:space="preserve"> kombinationen: 89,7 % (227 af 253 patienter); Regimen indeholdende abacavir/lamivudin: 92,7 % (230 af 248 patienter). Ved uge 48 var skift til et regime indeholdende </w:t>
      </w:r>
      <w:bookmarkStart w:id="7" w:name="_Hlk209099006"/>
      <w:r w:rsidRPr="00F2263F">
        <w:rPr>
          <w:sz w:val="24"/>
          <w:szCs w:val="24"/>
        </w:rPr>
        <w:t xml:space="preserve">emtricitabin og </w:t>
      </w:r>
      <w:r w:rsidR="00202D86">
        <w:rPr>
          <w:sz w:val="24"/>
          <w:szCs w:val="24"/>
        </w:rPr>
        <w:t>tenofovir alafenamid fumarat</w:t>
      </w:r>
      <w:r w:rsidRPr="00F2263F">
        <w:rPr>
          <w:sz w:val="24"/>
          <w:szCs w:val="24"/>
        </w:rPr>
        <w:t xml:space="preserve"> kombinationen </w:t>
      </w:r>
      <w:bookmarkEnd w:id="7"/>
      <w:r w:rsidRPr="00F2263F">
        <w:rPr>
          <w:sz w:val="24"/>
          <w:szCs w:val="24"/>
        </w:rPr>
        <w:t>non-inferiørt i forhold til at blive på et baseline regime indeholdende abacavir/lamivudin til at vedligeholde hiv 1-rna &lt; 50 kopier/ml.</w:t>
      </w:r>
    </w:p>
    <w:p w14:paraId="18DC42D8" w14:textId="77777777" w:rsidR="00DB1C4E" w:rsidRPr="00F2263F" w:rsidRDefault="00DB1C4E" w:rsidP="00132A6A">
      <w:pPr>
        <w:ind w:left="851"/>
        <w:rPr>
          <w:sz w:val="24"/>
          <w:szCs w:val="24"/>
        </w:rPr>
      </w:pPr>
    </w:p>
    <w:p w14:paraId="54FD239F" w14:textId="77777777" w:rsidR="00DB1C4E" w:rsidRPr="00F2263F" w:rsidRDefault="00DB1C4E" w:rsidP="00132A6A">
      <w:pPr>
        <w:ind w:left="851"/>
        <w:rPr>
          <w:sz w:val="24"/>
          <w:szCs w:val="24"/>
        </w:rPr>
      </w:pPr>
      <w:r w:rsidRPr="00F2263F">
        <w:rPr>
          <w:i/>
          <w:iCs/>
          <w:sz w:val="24"/>
          <w:szCs w:val="24"/>
        </w:rPr>
        <w:t>Hiv 1</w:t>
      </w:r>
      <w:r w:rsidRPr="00F2263F">
        <w:rPr>
          <w:sz w:val="24"/>
          <w:szCs w:val="24"/>
        </w:rPr>
        <w:t>-</w:t>
      </w:r>
      <w:r w:rsidRPr="00F2263F">
        <w:rPr>
          <w:i/>
          <w:iCs/>
          <w:sz w:val="24"/>
          <w:szCs w:val="24"/>
        </w:rPr>
        <w:t xml:space="preserve">inficerede patienter med let til moderat nedsat nyrefunktion </w:t>
      </w:r>
    </w:p>
    <w:p w14:paraId="0E4C6BB9" w14:textId="7D651FA9" w:rsidR="00DB1C4E" w:rsidRPr="00F2263F" w:rsidRDefault="00DB1C4E" w:rsidP="00132A6A">
      <w:pPr>
        <w:ind w:left="851"/>
        <w:rPr>
          <w:sz w:val="24"/>
          <w:szCs w:val="24"/>
        </w:rPr>
      </w:pPr>
      <w:r w:rsidRPr="00F2263F">
        <w:rPr>
          <w:sz w:val="24"/>
          <w:szCs w:val="24"/>
        </w:rPr>
        <w:t xml:space="preserve">I studie GS-US-292-0112 blev virkning og sikkerhed af emtricitabin og </w:t>
      </w:r>
      <w:r w:rsidR="00202D86">
        <w:rPr>
          <w:sz w:val="24"/>
          <w:szCs w:val="24"/>
        </w:rPr>
        <w:t>tenofovir alafenamid</w:t>
      </w:r>
      <w:r w:rsidRPr="00F2263F">
        <w:rPr>
          <w:sz w:val="24"/>
          <w:szCs w:val="24"/>
        </w:rPr>
        <w:t xml:space="preserve"> evalueret i et ublindet klinisk studie, hvor 242 hiv 1-inficerede patienter med let til moderat nedsat nyrefunktion (eGFRCG: 30-69 ml/min) blev skiftet til emtricitabin og </w:t>
      </w:r>
      <w:r w:rsidR="00202D86">
        <w:rPr>
          <w:sz w:val="24"/>
          <w:szCs w:val="24"/>
        </w:rPr>
        <w:t>tenofovir alafenamid</w:t>
      </w:r>
      <w:r w:rsidRPr="00F2263F">
        <w:rPr>
          <w:sz w:val="24"/>
          <w:szCs w:val="24"/>
        </w:rPr>
        <w:t xml:space="preserve"> (10 mg), givet sammen med elvitegravir og cobicistat som en fastdosis kombinationstablet. Patienterne var virologisk supprimerede (hiv 1-rna &lt;</w:t>
      </w:r>
      <w:r w:rsidR="00C7472A">
        <w:rPr>
          <w:sz w:val="24"/>
          <w:szCs w:val="24"/>
        </w:rPr>
        <w:t> </w:t>
      </w:r>
      <w:r w:rsidRPr="00F2263F">
        <w:rPr>
          <w:sz w:val="24"/>
          <w:szCs w:val="24"/>
        </w:rPr>
        <w:t>50</w:t>
      </w:r>
      <w:r w:rsidR="00C7472A">
        <w:rPr>
          <w:sz w:val="24"/>
          <w:szCs w:val="24"/>
        </w:rPr>
        <w:t> </w:t>
      </w:r>
      <w:r w:rsidRPr="00F2263F">
        <w:rPr>
          <w:sz w:val="24"/>
          <w:szCs w:val="24"/>
        </w:rPr>
        <w:t>kopier/ml) i mindst 6 måneder, før de skiftede.</w:t>
      </w:r>
    </w:p>
    <w:p w14:paraId="24CD4D55" w14:textId="77777777" w:rsidR="00DB1C4E" w:rsidRPr="00F2263F" w:rsidRDefault="00DB1C4E" w:rsidP="00132A6A">
      <w:pPr>
        <w:ind w:left="851"/>
        <w:rPr>
          <w:sz w:val="24"/>
          <w:szCs w:val="24"/>
        </w:rPr>
      </w:pPr>
    </w:p>
    <w:p w14:paraId="731C8766" w14:textId="77777777" w:rsidR="00DB1C4E" w:rsidRPr="00F2263F" w:rsidRDefault="00DB1C4E" w:rsidP="00132A6A">
      <w:pPr>
        <w:ind w:left="851"/>
        <w:rPr>
          <w:sz w:val="24"/>
          <w:szCs w:val="24"/>
        </w:rPr>
      </w:pPr>
      <w:r w:rsidRPr="00F2263F">
        <w:rPr>
          <w:sz w:val="24"/>
          <w:szCs w:val="24"/>
        </w:rPr>
        <w:t xml:space="preserve">Gennemsnitsalderen var 58 år (interval: 24-82) med 63 patienter (26 %), som var ≥ 65 år. 79 % var mænd, 63 % var hvide, 18 % var sorte og 14 % var asiater. 13 % procent af patienterne blev identificeret som af spansk/latinsk herkomst. Ved </w:t>
      </w:r>
      <w:r w:rsidRPr="00F2263F">
        <w:rPr>
          <w:i/>
          <w:iCs/>
          <w:sz w:val="24"/>
          <w:szCs w:val="24"/>
        </w:rPr>
        <w:t xml:space="preserve">baseline </w:t>
      </w:r>
      <w:r w:rsidRPr="00F2263F">
        <w:rPr>
          <w:sz w:val="24"/>
          <w:szCs w:val="24"/>
        </w:rPr>
        <w:t xml:space="preserve">var median eGFR 56 ml/min, og 33 % af patienterne havde en eGFR fra 30 til 49 ml/min. Det gennemsnitlige CD4+ celletal ved </w:t>
      </w:r>
      <w:r w:rsidRPr="00F2263F">
        <w:rPr>
          <w:i/>
          <w:iCs/>
          <w:sz w:val="24"/>
          <w:szCs w:val="24"/>
        </w:rPr>
        <w:t xml:space="preserve">baseline </w:t>
      </w:r>
      <w:r w:rsidRPr="00F2263F">
        <w:rPr>
          <w:sz w:val="24"/>
          <w:szCs w:val="24"/>
        </w:rPr>
        <w:t>var 664 celler/mm3 (interval: 126-1.813).</w:t>
      </w:r>
    </w:p>
    <w:p w14:paraId="288345DF" w14:textId="77777777" w:rsidR="00DB1C4E" w:rsidRPr="00F2263F" w:rsidRDefault="00DB1C4E" w:rsidP="00132A6A">
      <w:pPr>
        <w:ind w:left="851"/>
        <w:rPr>
          <w:sz w:val="24"/>
          <w:szCs w:val="24"/>
        </w:rPr>
      </w:pPr>
    </w:p>
    <w:p w14:paraId="4F1C528E" w14:textId="633D5943" w:rsidR="00DB1C4E" w:rsidRPr="00F2263F" w:rsidRDefault="00DB1C4E" w:rsidP="00132A6A">
      <w:pPr>
        <w:ind w:left="851"/>
        <w:rPr>
          <w:sz w:val="24"/>
          <w:szCs w:val="24"/>
        </w:rPr>
      </w:pPr>
      <w:r w:rsidRPr="00F2263F">
        <w:rPr>
          <w:sz w:val="24"/>
          <w:szCs w:val="24"/>
        </w:rPr>
        <w:t xml:space="preserve">Ved uge 144 havde 83,1 % (197/237 patienter) stadig hiv 1-rna &lt; 50 kopier/ml, efter de var skiftet til emtricitabin og </w:t>
      </w:r>
      <w:r w:rsidR="00202D86">
        <w:rPr>
          <w:sz w:val="24"/>
          <w:szCs w:val="24"/>
        </w:rPr>
        <w:t>tenofovir alafenamid</w:t>
      </w:r>
      <w:r w:rsidRPr="00F2263F">
        <w:rPr>
          <w:sz w:val="24"/>
          <w:szCs w:val="24"/>
        </w:rPr>
        <w:t>, givet sammen med elvitegravir og cobicistat som en fastdosis kombinationstablet.</w:t>
      </w:r>
    </w:p>
    <w:p w14:paraId="0C97E390" w14:textId="77777777" w:rsidR="00DB1C4E" w:rsidRPr="00F2263F" w:rsidRDefault="00DB1C4E" w:rsidP="00132A6A">
      <w:pPr>
        <w:ind w:left="851"/>
        <w:rPr>
          <w:sz w:val="24"/>
          <w:szCs w:val="24"/>
        </w:rPr>
      </w:pPr>
    </w:p>
    <w:p w14:paraId="3A01B3D9" w14:textId="43A2203A" w:rsidR="00DB1C4E" w:rsidRPr="00F2263F" w:rsidRDefault="00DB1C4E" w:rsidP="00132A6A">
      <w:pPr>
        <w:ind w:left="851"/>
        <w:rPr>
          <w:sz w:val="24"/>
          <w:szCs w:val="24"/>
        </w:rPr>
      </w:pPr>
      <w:r w:rsidRPr="00F2263F">
        <w:rPr>
          <w:sz w:val="24"/>
          <w:szCs w:val="24"/>
        </w:rPr>
        <w:t xml:space="preserve">I studie GS-US-292-1825 blev virkning og sikkerhed af emtricitabin og </w:t>
      </w:r>
      <w:r w:rsidR="00202D86">
        <w:rPr>
          <w:sz w:val="24"/>
          <w:szCs w:val="24"/>
        </w:rPr>
        <w:t>tenofovir alafenamid</w:t>
      </w:r>
      <w:r w:rsidRPr="00F2263F">
        <w:rPr>
          <w:sz w:val="24"/>
          <w:szCs w:val="24"/>
        </w:rPr>
        <w:t xml:space="preserve">, givet i kombination med elvitegravir og cobicistat som en fastdosis kombinationstablet, evalueret i et ublindet klinisk studie med én behandlingsarm, hvor 55 hiv 1-inficerede voksne med nyresygdom i slutstadiet (eGFRCG </w:t>
      </w:r>
      <w:r w:rsidRPr="00F2263F">
        <w:rPr>
          <w:b/>
          <w:bCs/>
          <w:sz w:val="24"/>
          <w:szCs w:val="24"/>
        </w:rPr>
        <w:t xml:space="preserve">&lt; </w:t>
      </w:r>
      <w:r w:rsidRPr="00F2263F">
        <w:rPr>
          <w:sz w:val="24"/>
          <w:szCs w:val="24"/>
        </w:rPr>
        <w:t xml:space="preserve">15 ml/min) i kronisk hæmodialyse i mindst 6 måneder, inden de skiftede til emtricitabin og </w:t>
      </w:r>
      <w:r w:rsidR="00202D86">
        <w:rPr>
          <w:sz w:val="24"/>
          <w:szCs w:val="24"/>
        </w:rPr>
        <w:t>tenofovir alafenamid</w:t>
      </w:r>
      <w:r w:rsidRPr="00F2263F">
        <w:rPr>
          <w:sz w:val="24"/>
          <w:szCs w:val="24"/>
        </w:rPr>
        <w:t>, fik elvitegravir og cobicistat som en fastdosis kombinationstablet. Patienterne var virologisk supprimerede (hiv 1-rna &lt; 50 kopier/ml) i mindst 6 måneder, før de skiftede.</w:t>
      </w:r>
    </w:p>
    <w:p w14:paraId="6E5D6FEF" w14:textId="77777777" w:rsidR="00DB1C4E" w:rsidRPr="00F2263F" w:rsidRDefault="00DB1C4E" w:rsidP="00132A6A">
      <w:pPr>
        <w:ind w:left="851"/>
        <w:rPr>
          <w:sz w:val="24"/>
          <w:szCs w:val="24"/>
        </w:rPr>
      </w:pPr>
    </w:p>
    <w:p w14:paraId="119C1771" w14:textId="50FC97B8" w:rsidR="00DB1C4E" w:rsidRPr="00F2263F" w:rsidRDefault="00DB1C4E" w:rsidP="00132A6A">
      <w:pPr>
        <w:ind w:left="851"/>
        <w:rPr>
          <w:sz w:val="24"/>
          <w:szCs w:val="24"/>
        </w:rPr>
      </w:pPr>
      <w:r w:rsidRPr="00F2263F">
        <w:rPr>
          <w:sz w:val="24"/>
          <w:szCs w:val="24"/>
        </w:rPr>
        <w:t xml:space="preserve">Gennemsnitsalderen var 48 år (interval: 23-64). 76 % af patienterne var mænd, 82 % var sorte og 18 % var hvide. Femten procent af patienterne identificerede sig som af spansk/latinsk herkomst. Det gennemsnitlige CD4+ celletal ved </w:t>
      </w:r>
      <w:r w:rsidRPr="00F2263F">
        <w:rPr>
          <w:i/>
          <w:iCs/>
          <w:sz w:val="24"/>
          <w:szCs w:val="24"/>
        </w:rPr>
        <w:t xml:space="preserve">baseline </w:t>
      </w:r>
      <w:r w:rsidRPr="00F2263F">
        <w:rPr>
          <w:sz w:val="24"/>
          <w:szCs w:val="24"/>
        </w:rPr>
        <w:t>var 545</w:t>
      </w:r>
      <w:r w:rsidR="009763E8">
        <w:rPr>
          <w:sz w:val="24"/>
          <w:szCs w:val="24"/>
        </w:rPr>
        <w:t> </w:t>
      </w:r>
      <w:r w:rsidRPr="00F2263F">
        <w:rPr>
          <w:sz w:val="24"/>
          <w:szCs w:val="24"/>
        </w:rPr>
        <w:t>celler/mm</w:t>
      </w:r>
      <w:r w:rsidRPr="00C7472A">
        <w:rPr>
          <w:sz w:val="24"/>
          <w:szCs w:val="24"/>
          <w:vertAlign w:val="superscript"/>
        </w:rPr>
        <w:t>3</w:t>
      </w:r>
      <w:r w:rsidRPr="00F2263F">
        <w:rPr>
          <w:sz w:val="24"/>
          <w:szCs w:val="24"/>
        </w:rPr>
        <w:t xml:space="preserve"> (interval: 205-1473). Ved uge 48 havde 81,8 % (45/55 patienter) stadig hiv 1-rna &lt; 50 kopier/ml, efter de var skiftet til emtricitabin og </w:t>
      </w:r>
      <w:r w:rsidR="00202D86">
        <w:rPr>
          <w:sz w:val="24"/>
          <w:szCs w:val="24"/>
        </w:rPr>
        <w:t>tenofovir alafenamid</w:t>
      </w:r>
      <w:r w:rsidRPr="00F2263F">
        <w:rPr>
          <w:sz w:val="24"/>
          <w:szCs w:val="24"/>
        </w:rPr>
        <w:t>, givet sammen med elvitegravir og cobicistat som en fastdosis kombinationstablet. Der var ingen klinisk signifikante ændringer i fastende laboratorieprøver for lipider hos patienter, som skiftede.</w:t>
      </w:r>
    </w:p>
    <w:p w14:paraId="2C3C0805" w14:textId="24DCC088" w:rsidR="004574DA" w:rsidRDefault="004574DA">
      <w:pPr>
        <w:rPr>
          <w:sz w:val="24"/>
          <w:szCs w:val="24"/>
        </w:rPr>
      </w:pPr>
      <w:r>
        <w:rPr>
          <w:sz w:val="24"/>
          <w:szCs w:val="24"/>
        </w:rPr>
        <w:br w:type="page"/>
      </w:r>
    </w:p>
    <w:p w14:paraId="43D2FA92" w14:textId="77777777" w:rsidR="00DB1C4E" w:rsidRPr="00F2263F" w:rsidRDefault="00DB1C4E" w:rsidP="00132A6A">
      <w:pPr>
        <w:ind w:left="851"/>
        <w:rPr>
          <w:sz w:val="24"/>
          <w:szCs w:val="24"/>
        </w:rPr>
      </w:pPr>
    </w:p>
    <w:p w14:paraId="160C639D" w14:textId="77777777" w:rsidR="00DB1C4E" w:rsidRPr="00F2263F" w:rsidRDefault="00DB1C4E" w:rsidP="00132A6A">
      <w:pPr>
        <w:ind w:left="851"/>
        <w:rPr>
          <w:sz w:val="24"/>
          <w:szCs w:val="24"/>
        </w:rPr>
      </w:pPr>
      <w:r w:rsidRPr="00F2263F">
        <w:rPr>
          <w:i/>
          <w:iCs/>
          <w:sz w:val="24"/>
          <w:szCs w:val="24"/>
        </w:rPr>
        <w:t xml:space="preserve">Patienter med samtidig infektion med hiv og HBV </w:t>
      </w:r>
    </w:p>
    <w:p w14:paraId="74562F8F" w14:textId="369A147E" w:rsidR="00DB1C4E" w:rsidRPr="00F2263F" w:rsidRDefault="00DB1C4E" w:rsidP="00132A6A">
      <w:pPr>
        <w:ind w:left="851"/>
        <w:rPr>
          <w:sz w:val="24"/>
          <w:szCs w:val="24"/>
        </w:rPr>
      </w:pPr>
      <w:r w:rsidRPr="00F2263F">
        <w:rPr>
          <w:sz w:val="24"/>
          <w:szCs w:val="24"/>
        </w:rPr>
        <w:t xml:space="preserve">Sikkerheden og virkningen af emtricitabin og </w:t>
      </w:r>
      <w:r w:rsidR="00202D86">
        <w:rPr>
          <w:sz w:val="24"/>
          <w:szCs w:val="24"/>
        </w:rPr>
        <w:t>tenofovir alafenamid</w:t>
      </w:r>
      <w:r w:rsidRPr="00F2263F">
        <w:rPr>
          <w:sz w:val="24"/>
          <w:szCs w:val="24"/>
        </w:rPr>
        <w:t xml:space="preserve"> i kombination med elvitegravir og cobicistat som en fastdosis kombinationstablet (E/C/F/TAF) blev evalueret i det ublindede studie GS-US-292-1249 hos voksne patienter med samtidig infektion med hiv-1 og kronisk hepatitis B. 69 ud af de 72 patienter havde tidligere fået TDF-baseret antiretroviral behandling. Ved starten af behandlingen med E/C/F/TAF havde 72 patienter været hiv-supprimerede (hiv-1 RNA &lt;50 kopier/ml) i mindst 6 måneder med eller uden supprimering af HBV DNA, og de havde kompenseret leverfunktion. Gennemsnitsalderen var 50 år (interval: 28-67), 92 % af patienterne var mænd, 69 % var hvide, 18 % var sorte, og 10 % var asiater. Det gennemsnitlige CD4+ celletal ved </w:t>
      </w:r>
      <w:r w:rsidRPr="00F2263F">
        <w:rPr>
          <w:i/>
          <w:iCs/>
          <w:sz w:val="24"/>
          <w:szCs w:val="24"/>
        </w:rPr>
        <w:t xml:space="preserve">baseline </w:t>
      </w:r>
      <w:r w:rsidRPr="00F2263F">
        <w:rPr>
          <w:sz w:val="24"/>
          <w:szCs w:val="24"/>
        </w:rPr>
        <w:t>var 636 celler/mm</w:t>
      </w:r>
      <w:r w:rsidRPr="00C7472A">
        <w:rPr>
          <w:sz w:val="24"/>
          <w:szCs w:val="24"/>
          <w:vertAlign w:val="superscript"/>
        </w:rPr>
        <w:t>3</w:t>
      </w:r>
      <w:r w:rsidRPr="00F2263F">
        <w:rPr>
          <w:sz w:val="24"/>
          <w:szCs w:val="24"/>
        </w:rPr>
        <w:t xml:space="preserve"> (interval: 263-1498). 86 procent af patienterne (62/72) var HBV-supprimerede (HBV DNA &lt; 29 IE/ml), og 42 % (30/72) var HBeAg-positive ved baseline.</w:t>
      </w:r>
    </w:p>
    <w:p w14:paraId="296B83A0" w14:textId="77777777" w:rsidR="00DB1C4E" w:rsidRPr="00F2263F" w:rsidRDefault="00DB1C4E" w:rsidP="00132A6A">
      <w:pPr>
        <w:ind w:left="851"/>
        <w:rPr>
          <w:sz w:val="24"/>
          <w:szCs w:val="24"/>
        </w:rPr>
      </w:pPr>
    </w:p>
    <w:p w14:paraId="1CA56293" w14:textId="77777777" w:rsidR="00DB1C4E" w:rsidRPr="00F2263F" w:rsidRDefault="00DB1C4E" w:rsidP="00132A6A">
      <w:pPr>
        <w:ind w:left="851"/>
        <w:rPr>
          <w:sz w:val="24"/>
          <w:szCs w:val="24"/>
        </w:rPr>
      </w:pPr>
      <w:r w:rsidRPr="00F2263F">
        <w:rPr>
          <w:sz w:val="24"/>
          <w:szCs w:val="24"/>
        </w:rPr>
        <w:t xml:space="preserve">Ud af de patienter, som var HBeAg-positive ved </w:t>
      </w:r>
      <w:r w:rsidRPr="00F2263F">
        <w:rPr>
          <w:i/>
          <w:iCs/>
          <w:sz w:val="24"/>
          <w:szCs w:val="24"/>
        </w:rPr>
        <w:t>baseline</w:t>
      </w:r>
      <w:r w:rsidRPr="00F2263F">
        <w:rPr>
          <w:sz w:val="24"/>
          <w:szCs w:val="24"/>
        </w:rPr>
        <w:t xml:space="preserve">, opnåede 1/30 (3,3 %) serokonvertering til anti-HBe ved uge 48. Ud af de patienter, som var HBsAg-positive ved </w:t>
      </w:r>
      <w:r w:rsidRPr="00F2263F">
        <w:rPr>
          <w:i/>
          <w:iCs/>
          <w:sz w:val="24"/>
          <w:szCs w:val="24"/>
        </w:rPr>
        <w:t>baseline</w:t>
      </w:r>
      <w:r w:rsidRPr="00F2263F">
        <w:rPr>
          <w:sz w:val="24"/>
          <w:szCs w:val="24"/>
        </w:rPr>
        <w:t>, opnåede 3/70 (4,3 %) serokonvertering til anti-HBs ved uge 48.</w:t>
      </w:r>
    </w:p>
    <w:p w14:paraId="0FC365E4" w14:textId="77777777" w:rsidR="00DB1C4E" w:rsidRPr="00F2263F" w:rsidRDefault="00DB1C4E" w:rsidP="00132A6A">
      <w:pPr>
        <w:ind w:left="851"/>
        <w:rPr>
          <w:sz w:val="24"/>
          <w:szCs w:val="24"/>
        </w:rPr>
      </w:pPr>
    </w:p>
    <w:p w14:paraId="5628900D" w14:textId="36E31EF1" w:rsidR="00DB1C4E" w:rsidRPr="00F2263F" w:rsidRDefault="00DB1C4E" w:rsidP="00132A6A">
      <w:pPr>
        <w:ind w:left="851"/>
        <w:rPr>
          <w:sz w:val="24"/>
          <w:szCs w:val="24"/>
        </w:rPr>
      </w:pPr>
      <w:r w:rsidRPr="00F2263F">
        <w:rPr>
          <w:sz w:val="24"/>
          <w:szCs w:val="24"/>
        </w:rPr>
        <w:t xml:space="preserve">Ved uge 48 havde 92 % af patienterne (66/72) stadig hiv-1 RNA &lt; 50 kopier/ml efter skift til emtricitabin og </w:t>
      </w:r>
      <w:r w:rsidR="00202D86">
        <w:rPr>
          <w:sz w:val="24"/>
          <w:szCs w:val="24"/>
        </w:rPr>
        <w:t>tenofovir alafenamid</w:t>
      </w:r>
      <w:r w:rsidRPr="00F2263F">
        <w:rPr>
          <w:sz w:val="24"/>
          <w:szCs w:val="24"/>
        </w:rPr>
        <w:t xml:space="preserve"> administreret sammen med elvitegravir og cobicistat som en fastdosis kombinationstablet. Den gennemsnitlige ændring i CD4+ celletal i forhold til </w:t>
      </w:r>
      <w:r w:rsidRPr="00F2263F">
        <w:rPr>
          <w:i/>
          <w:iCs/>
          <w:sz w:val="24"/>
          <w:szCs w:val="24"/>
        </w:rPr>
        <w:t xml:space="preserve">baseline </w:t>
      </w:r>
      <w:r w:rsidRPr="00F2263F">
        <w:rPr>
          <w:sz w:val="24"/>
          <w:szCs w:val="24"/>
        </w:rPr>
        <w:t>ved uge 48 var -2 celler/mm</w:t>
      </w:r>
      <w:r w:rsidRPr="004574DA">
        <w:rPr>
          <w:sz w:val="24"/>
          <w:szCs w:val="24"/>
          <w:vertAlign w:val="superscript"/>
        </w:rPr>
        <w:t>3</w:t>
      </w:r>
      <w:r w:rsidRPr="00F2263F">
        <w:rPr>
          <w:sz w:val="24"/>
          <w:szCs w:val="24"/>
        </w:rPr>
        <w:t>. 92 procent (66/72 patienter) havde HBV DNA &lt; 29 IE/ml ved brug af analyse, hvor manglende data = svigt ved uge 48. Ud af de 62 patienter, som var HBV-supprimerede ved baseline, forblev 59 supprimerede, og 3 havde manglende data. Ud af de 10 patienter, som ikke var supprimerede ved baseline (HBV DNA ≥ 29 IE/ml), blev 7 supprimerede, 2 forblev detekterbare, og 1 havde manglende data.</w:t>
      </w:r>
    </w:p>
    <w:p w14:paraId="6D2B33B6" w14:textId="77777777" w:rsidR="00DB1C4E" w:rsidRPr="00F2263F" w:rsidRDefault="00DB1C4E" w:rsidP="00132A6A">
      <w:pPr>
        <w:ind w:left="851"/>
        <w:rPr>
          <w:sz w:val="24"/>
          <w:szCs w:val="24"/>
        </w:rPr>
      </w:pPr>
    </w:p>
    <w:p w14:paraId="2D6BCA06" w14:textId="77777777" w:rsidR="00DB1C4E" w:rsidRPr="00F2263F" w:rsidRDefault="00DB1C4E" w:rsidP="00132A6A">
      <w:pPr>
        <w:ind w:left="851"/>
        <w:rPr>
          <w:sz w:val="24"/>
          <w:szCs w:val="24"/>
        </w:rPr>
      </w:pPr>
      <w:r w:rsidRPr="00F2263F">
        <w:rPr>
          <w:sz w:val="24"/>
          <w:szCs w:val="24"/>
        </w:rPr>
        <w:t>Der er begrænsede kliniske data vedrørende brugen af E/C/F/TAF hos patienter med samtidig infektion med hiv/HBV, som er behandlingsnaive.</w:t>
      </w:r>
    </w:p>
    <w:p w14:paraId="1B321A3B" w14:textId="77777777" w:rsidR="00DB1C4E" w:rsidRPr="00F2263F" w:rsidRDefault="00DB1C4E" w:rsidP="00132A6A">
      <w:pPr>
        <w:ind w:left="851"/>
        <w:rPr>
          <w:sz w:val="24"/>
          <w:szCs w:val="24"/>
        </w:rPr>
      </w:pPr>
    </w:p>
    <w:p w14:paraId="6C24F8F0" w14:textId="77777777" w:rsidR="00DB1C4E" w:rsidRPr="00F2263F" w:rsidRDefault="00DB1C4E" w:rsidP="00132A6A">
      <w:pPr>
        <w:ind w:left="851"/>
        <w:rPr>
          <w:sz w:val="24"/>
          <w:szCs w:val="24"/>
        </w:rPr>
      </w:pPr>
      <w:r w:rsidRPr="00F2263F">
        <w:rPr>
          <w:i/>
          <w:iCs/>
          <w:sz w:val="24"/>
          <w:szCs w:val="24"/>
        </w:rPr>
        <w:t>Ændringer i målinger af knoglemineraltæthed</w:t>
      </w:r>
    </w:p>
    <w:p w14:paraId="44E25B41" w14:textId="0FE392BA" w:rsidR="00DB1C4E" w:rsidRPr="00F2263F" w:rsidRDefault="00DB1C4E" w:rsidP="00132A6A">
      <w:pPr>
        <w:ind w:left="851"/>
        <w:rPr>
          <w:sz w:val="24"/>
          <w:szCs w:val="24"/>
        </w:rPr>
      </w:pPr>
      <w:r w:rsidRPr="00F2263F">
        <w:rPr>
          <w:sz w:val="24"/>
          <w:szCs w:val="24"/>
        </w:rPr>
        <w:t xml:space="preserve">I studier af behandlingsnaive patienter var emtricitabin og </w:t>
      </w:r>
      <w:r w:rsidR="00202D86">
        <w:rPr>
          <w:sz w:val="24"/>
          <w:szCs w:val="24"/>
        </w:rPr>
        <w:t>tenofovir alafenamid</w:t>
      </w:r>
      <w:r w:rsidRPr="00F2263F">
        <w:rPr>
          <w:sz w:val="24"/>
          <w:szCs w:val="24"/>
        </w:rPr>
        <w:t xml:space="preserve">, givet sammen med elvitegravir og cobicistat som en fastdosis kombinationstablet forbundet med mindre reduktioner i knoglemineraltætheden (BMD [bone marrow density]) sammenlignet med E/C/F/TDF til og med 144 ugers behandling, målt ved </w:t>
      </w:r>
      <w:r w:rsidRPr="00F2263F">
        <w:rPr>
          <w:i/>
          <w:iCs/>
          <w:sz w:val="24"/>
          <w:szCs w:val="24"/>
        </w:rPr>
        <w:t xml:space="preserve">dual energy X ray absorptiometry </w:t>
      </w:r>
      <w:r w:rsidRPr="00F2263F">
        <w:rPr>
          <w:sz w:val="24"/>
          <w:szCs w:val="24"/>
        </w:rPr>
        <w:t xml:space="preserve">[DXA]-analyse af hofte (gennemsnitlig ændring: -0,8 % </w:t>
      </w:r>
      <w:r w:rsidRPr="00F2263F">
        <w:rPr>
          <w:i/>
          <w:iCs/>
          <w:sz w:val="24"/>
          <w:szCs w:val="24"/>
        </w:rPr>
        <w:t xml:space="preserve">versus </w:t>
      </w:r>
      <w:r w:rsidRPr="00F2263F">
        <w:rPr>
          <w:sz w:val="24"/>
          <w:szCs w:val="24"/>
        </w:rPr>
        <w:t>-3,4 %, p</w:t>
      </w:r>
      <w:r w:rsidR="00C7472A">
        <w:rPr>
          <w:sz w:val="24"/>
          <w:szCs w:val="24"/>
        </w:rPr>
        <w:t> </w:t>
      </w:r>
      <w:r w:rsidRPr="00F2263F">
        <w:rPr>
          <w:sz w:val="24"/>
          <w:szCs w:val="24"/>
        </w:rPr>
        <w:t>&lt;</w:t>
      </w:r>
      <w:r w:rsidR="00C7472A">
        <w:rPr>
          <w:sz w:val="24"/>
          <w:szCs w:val="24"/>
        </w:rPr>
        <w:t> </w:t>
      </w:r>
      <w:r w:rsidRPr="00F2263F">
        <w:rPr>
          <w:sz w:val="24"/>
          <w:szCs w:val="24"/>
        </w:rPr>
        <w:t xml:space="preserve">0,001) og lænderyggen (gennemsnitlig ændring: -0,9 % </w:t>
      </w:r>
      <w:r w:rsidRPr="00F2263F">
        <w:rPr>
          <w:i/>
          <w:iCs/>
          <w:sz w:val="24"/>
          <w:szCs w:val="24"/>
        </w:rPr>
        <w:t xml:space="preserve">versus </w:t>
      </w:r>
      <w:r w:rsidRPr="00F2263F">
        <w:rPr>
          <w:sz w:val="24"/>
          <w:szCs w:val="24"/>
        </w:rPr>
        <w:t xml:space="preserve">-3,0 %, p &lt; 0,001). I et separat studie var emtricitabin og </w:t>
      </w:r>
      <w:r w:rsidR="00202D86">
        <w:rPr>
          <w:sz w:val="24"/>
          <w:szCs w:val="24"/>
        </w:rPr>
        <w:t>tenofovir alafenamid</w:t>
      </w:r>
      <w:r w:rsidRPr="00F2263F">
        <w:rPr>
          <w:sz w:val="24"/>
          <w:szCs w:val="24"/>
        </w:rPr>
        <w:t xml:space="preserve">, givet sammen med darunavir og cobicistat som en fastdosis kombinationstablet også forbundet med mindre reduktioner i knoglemineraltæthed BMD (målt ved DXA-analyse af hofte og lænderyggen) til og med 48 ugers behandling, sammenlignet med darunavir, cobicistat, emtricitabin og </w:t>
      </w:r>
      <w:r w:rsidR="00202D86">
        <w:rPr>
          <w:sz w:val="24"/>
          <w:szCs w:val="24"/>
        </w:rPr>
        <w:t>tenofovir disoproxil fumarat</w:t>
      </w:r>
      <w:r w:rsidRPr="00F2263F">
        <w:rPr>
          <w:sz w:val="24"/>
          <w:szCs w:val="24"/>
        </w:rPr>
        <w:t>.</w:t>
      </w:r>
    </w:p>
    <w:p w14:paraId="3AD3AAE0" w14:textId="77777777" w:rsidR="00DB1C4E" w:rsidRPr="00F2263F" w:rsidRDefault="00DB1C4E" w:rsidP="00132A6A">
      <w:pPr>
        <w:ind w:left="851"/>
        <w:rPr>
          <w:sz w:val="24"/>
          <w:szCs w:val="24"/>
        </w:rPr>
      </w:pPr>
    </w:p>
    <w:p w14:paraId="654F1A2E" w14:textId="5622E534" w:rsidR="00DB1C4E" w:rsidRPr="00F2263F" w:rsidRDefault="00DB1C4E" w:rsidP="00132A6A">
      <w:pPr>
        <w:ind w:left="851"/>
        <w:rPr>
          <w:sz w:val="24"/>
          <w:szCs w:val="24"/>
        </w:rPr>
      </w:pPr>
      <w:r w:rsidRPr="00F2263F">
        <w:rPr>
          <w:sz w:val="24"/>
          <w:szCs w:val="24"/>
        </w:rPr>
        <w:t xml:space="preserve">I et studie med virologisk supprimerede voksne patienter blev forbedringer i BMD bemærket gennem 96 uger efter skift til emtricitabin og </w:t>
      </w:r>
      <w:r w:rsidR="00202D86">
        <w:rPr>
          <w:sz w:val="24"/>
          <w:szCs w:val="24"/>
        </w:rPr>
        <w:t>tenofovir alafenamid fumarat</w:t>
      </w:r>
      <w:r w:rsidRPr="00F2263F">
        <w:rPr>
          <w:sz w:val="24"/>
          <w:szCs w:val="24"/>
        </w:rPr>
        <w:t xml:space="preserve"> kombinationen fra et TDF-baseret regime, sammenlignet med minimale ændringer ved fastholdelse af det TDF-baserede regime, målt ved DXA-analyse af hofte (gennemsnitlig ændring i forhold til </w:t>
      </w:r>
      <w:r w:rsidRPr="00F2263F">
        <w:rPr>
          <w:i/>
          <w:iCs/>
          <w:sz w:val="24"/>
          <w:szCs w:val="24"/>
        </w:rPr>
        <w:t xml:space="preserve">baseline </w:t>
      </w:r>
      <w:r w:rsidRPr="00F2263F">
        <w:rPr>
          <w:sz w:val="24"/>
          <w:szCs w:val="24"/>
        </w:rPr>
        <w:t xml:space="preserve">på 1,9 % </w:t>
      </w:r>
      <w:r w:rsidRPr="00F2263F">
        <w:rPr>
          <w:i/>
          <w:iCs/>
          <w:sz w:val="24"/>
          <w:szCs w:val="24"/>
        </w:rPr>
        <w:t xml:space="preserve">versus </w:t>
      </w:r>
      <w:r w:rsidRPr="00F2263F">
        <w:rPr>
          <w:sz w:val="24"/>
          <w:szCs w:val="24"/>
        </w:rPr>
        <w:t xml:space="preserve">-0,3 %, p &lt; 0,001) og lænderyg (gennemsnitlig ændring i forhold til </w:t>
      </w:r>
      <w:r w:rsidRPr="00F2263F">
        <w:rPr>
          <w:i/>
          <w:iCs/>
          <w:sz w:val="24"/>
          <w:szCs w:val="24"/>
        </w:rPr>
        <w:t xml:space="preserve">baseline </w:t>
      </w:r>
      <w:r w:rsidRPr="00F2263F">
        <w:rPr>
          <w:sz w:val="24"/>
          <w:szCs w:val="24"/>
        </w:rPr>
        <w:t xml:space="preserve">på 2,2 % </w:t>
      </w:r>
      <w:r w:rsidRPr="00F2263F">
        <w:rPr>
          <w:i/>
          <w:iCs/>
          <w:sz w:val="24"/>
          <w:szCs w:val="24"/>
        </w:rPr>
        <w:t xml:space="preserve">versus </w:t>
      </w:r>
      <w:r w:rsidRPr="00F2263F">
        <w:rPr>
          <w:sz w:val="24"/>
          <w:szCs w:val="24"/>
        </w:rPr>
        <w:t>-0,2 %, p &lt; 0,001).</w:t>
      </w:r>
    </w:p>
    <w:p w14:paraId="26AC4981" w14:textId="77777777" w:rsidR="00DB1C4E" w:rsidRPr="00F2263F" w:rsidRDefault="00DB1C4E" w:rsidP="00132A6A">
      <w:pPr>
        <w:ind w:left="851"/>
        <w:rPr>
          <w:sz w:val="24"/>
          <w:szCs w:val="24"/>
        </w:rPr>
      </w:pPr>
    </w:p>
    <w:p w14:paraId="3A8C97D4" w14:textId="434323EA" w:rsidR="00DB1C4E" w:rsidRPr="00F2263F" w:rsidRDefault="00DB1C4E" w:rsidP="00132A6A">
      <w:pPr>
        <w:ind w:left="851"/>
        <w:rPr>
          <w:sz w:val="24"/>
          <w:szCs w:val="24"/>
        </w:rPr>
      </w:pPr>
      <w:r w:rsidRPr="00F2263F">
        <w:rPr>
          <w:sz w:val="24"/>
          <w:szCs w:val="24"/>
        </w:rPr>
        <w:lastRenderedPageBreak/>
        <w:t xml:space="preserve">I et studie med virologisk supprimerede voksne patienter skiftede BMD ikke væsentligt til og med 48 uger efter skift til emtricitabin og </w:t>
      </w:r>
      <w:r w:rsidR="00202D86">
        <w:rPr>
          <w:sz w:val="24"/>
          <w:szCs w:val="24"/>
        </w:rPr>
        <w:t>tenofovir alafenamid fumarat</w:t>
      </w:r>
      <w:r w:rsidRPr="00F2263F">
        <w:rPr>
          <w:sz w:val="24"/>
          <w:szCs w:val="24"/>
        </w:rPr>
        <w:t xml:space="preserve"> kombinationen fra et regime indeholdende abacavir/lamivudin sammenlignet med fastholdelse af det abacavir/lamivudin-baserede regime, målt ved DXA-analyse af hofte (gennemsnitlig ændring i forhold til </w:t>
      </w:r>
      <w:r w:rsidRPr="00F2263F">
        <w:rPr>
          <w:i/>
          <w:iCs/>
          <w:sz w:val="24"/>
          <w:szCs w:val="24"/>
        </w:rPr>
        <w:t xml:space="preserve">baseline </w:t>
      </w:r>
      <w:r w:rsidRPr="00F2263F">
        <w:rPr>
          <w:sz w:val="24"/>
          <w:szCs w:val="24"/>
        </w:rPr>
        <w:t xml:space="preserve">på 0,3 % </w:t>
      </w:r>
      <w:r w:rsidRPr="00F2263F">
        <w:rPr>
          <w:i/>
          <w:iCs/>
          <w:sz w:val="24"/>
          <w:szCs w:val="24"/>
        </w:rPr>
        <w:t xml:space="preserve">versus </w:t>
      </w:r>
      <w:r w:rsidRPr="00F2263F">
        <w:rPr>
          <w:sz w:val="24"/>
          <w:szCs w:val="24"/>
        </w:rPr>
        <w:t xml:space="preserve">0,2 %, p = 0,55) og lænderyg (gennemsnitlig ændring i forhold til </w:t>
      </w:r>
      <w:r w:rsidRPr="00F2263F">
        <w:rPr>
          <w:i/>
          <w:iCs/>
          <w:sz w:val="24"/>
          <w:szCs w:val="24"/>
        </w:rPr>
        <w:t xml:space="preserve">baseline </w:t>
      </w:r>
      <w:r w:rsidRPr="00F2263F">
        <w:rPr>
          <w:sz w:val="24"/>
          <w:szCs w:val="24"/>
        </w:rPr>
        <w:t xml:space="preserve">på 0,1 % </w:t>
      </w:r>
      <w:r w:rsidRPr="00F2263F">
        <w:rPr>
          <w:i/>
          <w:iCs/>
          <w:sz w:val="24"/>
          <w:szCs w:val="24"/>
        </w:rPr>
        <w:t xml:space="preserve">versus </w:t>
      </w:r>
      <w:r w:rsidRPr="00F2263F">
        <w:rPr>
          <w:sz w:val="24"/>
          <w:szCs w:val="24"/>
        </w:rPr>
        <w:t>&lt; 0,1 %, p = 0,78).</w:t>
      </w:r>
    </w:p>
    <w:p w14:paraId="3EA9822C" w14:textId="77777777" w:rsidR="00DB1C4E" w:rsidRPr="00F2263F" w:rsidRDefault="00DB1C4E" w:rsidP="00132A6A">
      <w:pPr>
        <w:ind w:left="851"/>
        <w:rPr>
          <w:sz w:val="24"/>
          <w:szCs w:val="24"/>
        </w:rPr>
      </w:pPr>
    </w:p>
    <w:p w14:paraId="07F3A9E1" w14:textId="77777777" w:rsidR="00DB1C4E" w:rsidRPr="00F2263F" w:rsidRDefault="00DB1C4E" w:rsidP="00132A6A">
      <w:pPr>
        <w:ind w:left="851"/>
        <w:rPr>
          <w:sz w:val="24"/>
          <w:szCs w:val="24"/>
        </w:rPr>
      </w:pPr>
      <w:r w:rsidRPr="00F2263F">
        <w:rPr>
          <w:i/>
          <w:iCs/>
          <w:sz w:val="24"/>
          <w:szCs w:val="24"/>
        </w:rPr>
        <w:t>Ændringer i målinger af nyrefunktionen</w:t>
      </w:r>
    </w:p>
    <w:p w14:paraId="29C8D2B0" w14:textId="7F944D49" w:rsidR="00DB1C4E" w:rsidRPr="00F2263F" w:rsidRDefault="00DB1C4E" w:rsidP="00132A6A">
      <w:pPr>
        <w:ind w:left="851"/>
        <w:rPr>
          <w:sz w:val="24"/>
          <w:szCs w:val="24"/>
        </w:rPr>
      </w:pPr>
      <w:r w:rsidRPr="00F2263F">
        <w:rPr>
          <w:sz w:val="24"/>
          <w:szCs w:val="24"/>
        </w:rPr>
        <w:t xml:space="preserve">I studier af behandlingsnaive patienter var emtricitabin og </w:t>
      </w:r>
      <w:r w:rsidR="00202D86">
        <w:rPr>
          <w:sz w:val="24"/>
          <w:szCs w:val="24"/>
        </w:rPr>
        <w:t>tenofovir alafenamid</w:t>
      </w:r>
      <w:r w:rsidRPr="00F2263F">
        <w:rPr>
          <w:sz w:val="24"/>
          <w:szCs w:val="24"/>
        </w:rPr>
        <w:t>, givet sammen med elvitegravir og cobicistat som en fastdosis kombinationstablet til og med 144</w:t>
      </w:r>
      <w:r w:rsidR="00C7472A">
        <w:rPr>
          <w:sz w:val="24"/>
          <w:szCs w:val="24"/>
        </w:rPr>
        <w:t> </w:t>
      </w:r>
      <w:r w:rsidRPr="00F2263F">
        <w:rPr>
          <w:sz w:val="24"/>
          <w:szCs w:val="24"/>
        </w:rPr>
        <w:t>uger forbundet med en mindre påvirkning af renale sikkerhedsparametre (målt efter 144</w:t>
      </w:r>
      <w:r w:rsidR="00C7472A">
        <w:rPr>
          <w:sz w:val="24"/>
          <w:szCs w:val="24"/>
        </w:rPr>
        <w:t> </w:t>
      </w:r>
      <w:r w:rsidRPr="00F2263F">
        <w:rPr>
          <w:sz w:val="24"/>
          <w:szCs w:val="24"/>
        </w:rPr>
        <w:t>ugers behandling ved eGFRCG og forhold mellem protein og kreatinin i urinen og efter 96 ugers behandling ved forhold mellem albumin og kreatinin i urinen) sammenlignet med E/C/F/TDF. Til og med 144 ugers behandling fik ingen forsøgspersoner seponeret E/C/F/TAF på grund af behandlingsrelaterede renale bivirkninger, sammenlignet med 12 forsøgspersoner, der fik seponeret E/C/F/TDF (p &lt; 0,001).</w:t>
      </w:r>
    </w:p>
    <w:p w14:paraId="18477B63" w14:textId="77777777" w:rsidR="00DB1C4E" w:rsidRPr="00F2263F" w:rsidRDefault="00DB1C4E" w:rsidP="00132A6A">
      <w:pPr>
        <w:ind w:left="851"/>
        <w:rPr>
          <w:sz w:val="24"/>
          <w:szCs w:val="24"/>
        </w:rPr>
      </w:pPr>
    </w:p>
    <w:p w14:paraId="09554974" w14:textId="3AB98C1C" w:rsidR="00DB1C4E" w:rsidRPr="00F2263F" w:rsidRDefault="00DB1C4E" w:rsidP="00132A6A">
      <w:pPr>
        <w:ind w:left="851"/>
        <w:rPr>
          <w:sz w:val="24"/>
          <w:szCs w:val="24"/>
        </w:rPr>
      </w:pPr>
      <w:r w:rsidRPr="00F2263F">
        <w:rPr>
          <w:sz w:val="24"/>
          <w:szCs w:val="24"/>
        </w:rPr>
        <w:t xml:space="preserve">I et separat studie med behandlingsnaive patienter var emtricitabin og </w:t>
      </w:r>
      <w:r w:rsidR="00202D86">
        <w:rPr>
          <w:sz w:val="24"/>
          <w:szCs w:val="24"/>
        </w:rPr>
        <w:t>tenofovir alafenamid</w:t>
      </w:r>
      <w:r w:rsidRPr="00F2263F">
        <w:rPr>
          <w:sz w:val="24"/>
          <w:szCs w:val="24"/>
        </w:rPr>
        <w:t xml:space="preserve"> givet sammen med darunavir og cobicistat som en fastdosis kombinationstablet forbundet med en mindre påvirkning af de renale sikkerhedsparametre til og med 48 ugers behandling sammenlignet med darunavir og cobicistat givet sammen med emtricitabin/</w:t>
      </w:r>
      <w:r w:rsidR="00202D86">
        <w:rPr>
          <w:sz w:val="24"/>
          <w:szCs w:val="24"/>
        </w:rPr>
        <w:t>tenofovir disoproxil fumarat</w:t>
      </w:r>
      <w:r w:rsidRPr="00F2263F">
        <w:rPr>
          <w:sz w:val="24"/>
          <w:szCs w:val="24"/>
        </w:rPr>
        <w:t xml:space="preserve"> (se også pkt. 4.4).</w:t>
      </w:r>
    </w:p>
    <w:p w14:paraId="27EF9B5E" w14:textId="77777777" w:rsidR="00DB1C4E" w:rsidRPr="00F2263F" w:rsidRDefault="00DB1C4E" w:rsidP="00132A6A">
      <w:pPr>
        <w:ind w:left="851"/>
        <w:rPr>
          <w:sz w:val="24"/>
          <w:szCs w:val="24"/>
        </w:rPr>
      </w:pPr>
    </w:p>
    <w:p w14:paraId="2E282FC7" w14:textId="06EE0F2A" w:rsidR="00DB1C4E" w:rsidRPr="00F2263F" w:rsidRDefault="00DB1C4E" w:rsidP="00132A6A">
      <w:pPr>
        <w:ind w:left="851"/>
        <w:rPr>
          <w:sz w:val="24"/>
          <w:szCs w:val="24"/>
        </w:rPr>
      </w:pPr>
      <w:r w:rsidRPr="00F2263F">
        <w:rPr>
          <w:sz w:val="24"/>
          <w:szCs w:val="24"/>
        </w:rPr>
        <w:t xml:space="preserve">I et studie med virologisk supprimerede voksne patienter var målinger af tubulær proteinuri tilsvarende hos patienter, der skiftede til et regime indeholdende emtricitabin og </w:t>
      </w:r>
      <w:r w:rsidR="00202D86">
        <w:rPr>
          <w:sz w:val="24"/>
          <w:szCs w:val="24"/>
        </w:rPr>
        <w:t>tenofovir alafenamid fumarat</w:t>
      </w:r>
      <w:r w:rsidRPr="00F2263F">
        <w:rPr>
          <w:sz w:val="24"/>
          <w:szCs w:val="24"/>
        </w:rPr>
        <w:t xml:space="preserve"> kombinationen sammenlignet med patienter, som blev på et abacavir/lamivudin-baseret regime ved </w:t>
      </w:r>
      <w:r w:rsidRPr="00F2263F">
        <w:rPr>
          <w:i/>
          <w:iCs/>
          <w:sz w:val="24"/>
          <w:szCs w:val="24"/>
        </w:rPr>
        <w:t>baseline</w:t>
      </w:r>
      <w:r w:rsidRPr="00F2263F">
        <w:rPr>
          <w:sz w:val="24"/>
          <w:szCs w:val="24"/>
        </w:rPr>
        <w:t xml:space="preserve">. I uge 48 var den gennemsnitlige procentvise ændring i urinretinolbindende protein til kreatininforhold 4 % i emtricitabin og </w:t>
      </w:r>
      <w:r w:rsidR="00202D86">
        <w:rPr>
          <w:sz w:val="24"/>
          <w:szCs w:val="24"/>
        </w:rPr>
        <w:t>tenofovir alafenamid fumarat</w:t>
      </w:r>
      <w:r w:rsidRPr="00F2263F">
        <w:rPr>
          <w:sz w:val="24"/>
          <w:szCs w:val="24"/>
        </w:rPr>
        <w:t xml:space="preserve"> kombinations-gruppen og 16 % hos dem, som blev på et abacavir/lamivudin-baseret regimen; og i urin var forholdet af beta 2-mikroglobulin til kreatinin 4 % vs. 5 %.</w:t>
      </w:r>
    </w:p>
    <w:p w14:paraId="56BDBBD6" w14:textId="77777777" w:rsidR="00DB1C4E" w:rsidRPr="00F2263F" w:rsidRDefault="00DB1C4E" w:rsidP="00132A6A">
      <w:pPr>
        <w:ind w:left="851"/>
        <w:rPr>
          <w:sz w:val="24"/>
          <w:szCs w:val="24"/>
        </w:rPr>
      </w:pPr>
    </w:p>
    <w:p w14:paraId="47DBD2B7" w14:textId="77777777" w:rsidR="00DB1C4E" w:rsidRPr="00F2263F" w:rsidRDefault="00DB1C4E" w:rsidP="00132A6A">
      <w:pPr>
        <w:ind w:left="851"/>
        <w:rPr>
          <w:sz w:val="24"/>
          <w:szCs w:val="24"/>
          <w:u w:val="single"/>
        </w:rPr>
      </w:pPr>
      <w:r w:rsidRPr="00F2263F">
        <w:rPr>
          <w:sz w:val="24"/>
          <w:szCs w:val="24"/>
          <w:u w:val="single"/>
        </w:rPr>
        <w:t>Pædiatrisk population</w:t>
      </w:r>
    </w:p>
    <w:p w14:paraId="572F8561" w14:textId="77777777" w:rsidR="00DB1C4E" w:rsidRPr="00F2263F" w:rsidRDefault="00DB1C4E" w:rsidP="00132A6A">
      <w:pPr>
        <w:ind w:left="851"/>
        <w:rPr>
          <w:sz w:val="24"/>
          <w:szCs w:val="24"/>
          <w:u w:val="single"/>
        </w:rPr>
      </w:pPr>
    </w:p>
    <w:p w14:paraId="1CEB5F9A" w14:textId="18BA2645" w:rsidR="00DB1C4E" w:rsidRPr="00F2263F" w:rsidRDefault="00DB1C4E" w:rsidP="00132A6A">
      <w:pPr>
        <w:ind w:left="851"/>
        <w:rPr>
          <w:sz w:val="24"/>
          <w:szCs w:val="24"/>
        </w:rPr>
      </w:pPr>
      <w:r w:rsidRPr="00F2263F">
        <w:rPr>
          <w:sz w:val="24"/>
          <w:szCs w:val="24"/>
        </w:rPr>
        <w:t xml:space="preserve">I studie GS-US-292-0106 blev virkningen, sikkerheden og farmakokinetikken af emtricitabin og </w:t>
      </w:r>
      <w:r w:rsidR="00202D86">
        <w:rPr>
          <w:sz w:val="24"/>
          <w:szCs w:val="24"/>
        </w:rPr>
        <w:t>tenofovir alafenamid</w:t>
      </w:r>
      <w:r w:rsidRPr="00F2263F">
        <w:rPr>
          <w:sz w:val="24"/>
          <w:szCs w:val="24"/>
        </w:rPr>
        <w:t xml:space="preserve"> evalueret i et ublindet studie, hvor 50 hiv 1-inficerede, behandlingsnaive unge fik emtricitabin og </w:t>
      </w:r>
      <w:r w:rsidR="00202D86">
        <w:rPr>
          <w:sz w:val="24"/>
          <w:szCs w:val="24"/>
        </w:rPr>
        <w:t>tenofovir alafenamid</w:t>
      </w:r>
      <w:r w:rsidRPr="00F2263F">
        <w:rPr>
          <w:sz w:val="24"/>
          <w:szCs w:val="24"/>
        </w:rPr>
        <w:t xml:space="preserve"> (10 mg), givet sammen med elvitegravir og cobicistat som en fastdosis kombinationstablet. Patienterne havde en gennemsnitsalder på 15 år (interval: 12-17 år), og 56 % var kvinder, 12 % var asiater, og 88 % var sorte. Ved </w:t>
      </w:r>
      <w:r w:rsidRPr="00F2263F">
        <w:rPr>
          <w:i/>
          <w:iCs/>
          <w:sz w:val="24"/>
          <w:szCs w:val="24"/>
        </w:rPr>
        <w:t xml:space="preserve">baseline </w:t>
      </w:r>
      <w:r w:rsidRPr="00F2263F">
        <w:rPr>
          <w:sz w:val="24"/>
          <w:szCs w:val="24"/>
        </w:rPr>
        <w:t>var median hiv 1-rna i plasma 4,7 log10 kopier/ml, median CD4+ celletal var 456 celler/mm3 (interval: 95-1.110), og median CD4+ % var 23</w:t>
      </w:r>
      <w:r w:rsidR="004574DA">
        <w:rPr>
          <w:sz w:val="24"/>
          <w:szCs w:val="24"/>
        </w:rPr>
        <w:t> </w:t>
      </w:r>
      <w:r w:rsidRPr="00F2263F">
        <w:rPr>
          <w:sz w:val="24"/>
          <w:szCs w:val="24"/>
        </w:rPr>
        <w:t xml:space="preserve">% (interval: 7-45 %). I alt havde 22 % hiv 1-rna i plasma ved </w:t>
      </w:r>
      <w:r w:rsidRPr="00F2263F">
        <w:rPr>
          <w:i/>
          <w:iCs/>
          <w:sz w:val="24"/>
          <w:szCs w:val="24"/>
        </w:rPr>
        <w:t xml:space="preserve">baseline </w:t>
      </w:r>
      <w:r w:rsidRPr="00F2263F">
        <w:rPr>
          <w:sz w:val="24"/>
          <w:szCs w:val="24"/>
        </w:rPr>
        <w:t>på &gt;</w:t>
      </w:r>
      <w:r w:rsidR="004574DA">
        <w:rPr>
          <w:sz w:val="24"/>
          <w:szCs w:val="24"/>
        </w:rPr>
        <w:t> </w:t>
      </w:r>
      <w:r w:rsidRPr="00F2263F">
        <w:rPr>
          <w:sz w:val="24"/>
          <w:szCs w:val="24"/>
        </w:rPr>
        <w:t>100.000</w:t>
      </w:r>
      <w:r w:rsidR="004574DA">
        <w:rPr>
          <w:sz w:val="24"/>
          <w:szCs w:val="24"/>
        </w:rPr>
        <w:t> </w:t>
      </w:r>
      <w:r w:rsidRPr="00F2263F">
        <w:rPr>
          <w:sz w:val="24"/>
          <w:szCs w:val="24"/>
        </w:rPr>
        <w:t xml:space="preserve">kopier/ml. </w:t>
      </w:r>
    </w:p>
    <w:p w14:paraId="0CBF4BC6" w14:textId="77777777" w:rsidR="00DB1C4E" w:rsidRPr="00F2263F" w:rsidRDefault="00DB1C4E" w:rsidP="00132A6A">
      <w:pPr>
        <w:ind w:left="851"/>
        <w:rPr>
          <w:sz w:val="24"/>
          <w:szCs w:val="24"/>
        </w:rPr>
      </w:pPr>
      <w:r w:rsidRPr="00F2263F">
        <w:rPr>
          <w:sz w:val="24"/>
          <w:szCs w:val="24"/>
        </w:rPr>
        <w:t xml:space="preserve">92 % (46/50) opnåede hiv 1-rna &lt; 50 kopier/ml ved 48 uger, hvilket er sammenligneligt med responsrater i studier af behandlingsnaive hiv 1-inficerede voksne. Den gennemsnitlige stigning fra </w:t>
      </w:r>
      <w:r w:rsidRPr="00F2263F">
        <w:rPr>
          <w:i/>
          <w:iCs/>
          <w:sz w:val="24"/>
          <w:szCs w:val="24"/>
        </w:rPr>
        <w:t xml:space="preserve">baseline </w:t>
      </w:r>
      <w:r w:rsidRPr="00F2263F">
        <w:rPr>
          <w:sz w:val="24"/>
          <w:szCs w:val="24"/>
        </w:rPr>
        <w:t>i CD4+ celletal ved uge 48 var 224 celler/mm</w:t>
      </w:r>
      <w:r w:rsidRPr="00C7472A">
        <w:rPr>
          <w:sz w:val="24"/>
          <w:szCs w:val="24"/>
          <w:vertAlign w:val="superscript"/>
        </w:rPr>
        <w:t>3</w:t>
      </w:r>
      <w:r w:rsidRPr="00F2263F">
        <w:rPr>
          <w:sz w:val="24"/>
          <w:szCs w:val="24"/>
        </w:rPr>
        <w:t>. Der blev ikke detekteret nogen fremkomst af resistens over for E/C/F/TAF til og med uge 48.</w:t>
      </w:r>
    </w:p>
    <w:p w14:paraId="21CAA095" w14:textId="77777777" w:rsidR="00DB1C4E" w:rsidRPr="00F2263F" w:rsidRDefault="00DB1C4E" w:rsidP="00132A6A">
      <w:pPr>
        <w:ind w:left="851"/>
        <w:rPr>
          <w:sz w:val="24"/>
          <w:szCs w:val="24"/>
        </w:rPr>
      </w:pPr>
    </w:p>
    <w:p w14:paraId="757F29B3" w14:textId="245E7AE1" w:rsidR="00DB1C4E" w:rsidRPr="00F2263F" w:rsidRDefault="00DB1C4E" w:rsidP="00132A6A">
      <w:pPr>
        <w:ind w:left="851"/>
        <w:rPr>
          <w:sz w:val="24"/>
          <w:szCs w:val="24"/>
        </w:rPr>
      </w:pPr>
      <w:r w:rsidRPr="00F2263F">
        <w:rPr>
          <w:sz w:val="24"/>
          <w:szCs w:val="24"/>
        </w:rPr>
        <w:t xml:space="preserve">Det Europæiske Lægemiddelagentur har udsat forpligtelsen til at fremlægge resultaterne af studier med emtricitabin og </w:t>
      </w:r>
      <w:r w:rsidR="00202D86">
        <w:rPr>
          <w:sz w:val="24"/>
          <w:szCs w:val="24"/>
        </w:rPr>
        <w:t>tenofovir alafenamid fumarat</w:t>
      </w:r>
      <w:r w:rsidRPr="00F2263F">
        <w:rPr>
          <w:sz w:val="24"/>
          <w:szCs w:val="24"/>
        </w:rPr>
        <w:t xml:space="preserve"> kombinationen i en eller flere </w:t>
      </w:r>
      <w:r w:rsidRPr="00F2263F">
        <w:rPr>
          <w:sz w:val="24"/>
          <w:szCs w:val="24"/>
        </w:rPr>
        <w:lastRenderedPageBreak/>
        <w:t>undergrupper af den pædiatriske population ved behandlingen af hiv 1-infektion (se pkt. 4.2 for oplysninger om pædiatrisk anvendelse).</w:t>
      </w:r>
    </w:p>
    <w:p w14:paraId="5D49729D" w14:textId="77777777" w:rsidR="009260DE" w:rsidRPr="00F2263F" w:rsidRDefault="009260DE" w:rsidP="009260DE">
      <w:pPr>
        <w:tabs>
          <w:tab w:val="left" w:pos="851"/>
        </w:tabs>
        <w:ind w:left="851"/>
        <w:rPr>
          <w:sz w:val="24"/>
          <w:szCs w:val="24"/>
        </w:rPr>
      </w:pPr>
    </w:p>
    <w:p w14:paraId="0CE484E5" w14:textId="77777777" w:rsidR="009260DE" w:rsidRPr="00F2263F" w:rsidRDefault="009260DE" w:rsidP="009260DE">
      <w:pPr>
        <w:tabs>
          <w:tab w:val="left" w:pos="851"/>
        </w:tabs>
        <w:ind w:left="851" w:hanging="851"/>
        <w:rPr>
          <w:b/>
          <w:sz w:val="24"/>
          <w:szCs w:val="24"/>
        </w:rPr>
      </w:pPr>
      <w:r w:rsidRPr="00F2263F">
        <w:rPr>
          <w:b/>
          <w:sz w:val="24"/>
          <w:szCs w:val="24"/>
        </w:rPr>
        <w:t>5.2</w:t>
      </w:r>
      <w:r w:rsidRPr="00F2263F">
        <w:rPr>
          <w:b/>
          <w:sz w:val="24"/>
          <w:szCs w:val="24"/>
        </w:rPr>
        <w:tab/>
        <w:t>Farmakokinetiske egenskaber</w:t>
      </w:r>
    </w:p>
    <w:p w14:paraId="20908CD4" w14:textId="77777777" w:rsidR="00A718C0" w:rsidRDefault="00A718C0" w:rsidP="00132A6A">
      <w:pPr>
        <w:ind w:left="851"/>
        <w:rPr>
          <w:sz w:val="24"/>
          <w:szCs w:val="24"/>
        </w:rPr>
      </w:pPr>
    </w:p>
    <w:p w14:paraId="48C63A97" w14:textId="74E56CEC" w:rsidR="00DB1C4E" w:rsidRPr="00A718C0" w:rsidRDefault="00DB1C4E" w:rsidP="00132A6A">
      <w:pPr>
        <w:ind w:left="851"/>
        <w:rPr>
          <w:sz w:val="24"/>
          <w:szCs w:val="24"/>
          <w:u w:val="single"/>
        </w:rPr>
      </w:pPr>
      <w:r w:rsidRPr="00A718C0">
        <w:rPr>
          <w:sz w:val="24"/>
          <w:szCs w:val="24"/>
          <w:u w:val="single"/>
        </w:rPr>
        <w:t>Absorption</w:t>
      </w:r>
    </w:p>
    <w:p w14:paraId="77C27C82" w14:textId="77777777" w:rsidR="00DB1C4E" w:rsidRPr="00F2263F" w:rsidRDefault="00DB1C4E" w:rsidP="00132A6A">
      <w:pPr>
        <w:ind w:left="851"/>
        <w:rPr>
          <w:sz w:val="24"/>
          <w:szCs w:val="24"/>
        </w:rPr>
      </w:pPr>
    </w:p>
    <w:p w14:paraId="7B2F7644" w14:textId="77777777" w:rsidR="00DB1C4E" w:rsidRPr="00F2263F" w:rsidRDefault="00DB1C4E" w:rsidP="00132A6A">
      <w:pPr>
        <w:ind w:left="851"/>
        <w:rPr>
          <w:sz w:val="24"/>
          <w:szCs w:val="24"/>
        </w:rPr>
      </w:pPr>
      <w:r w:rsidRPr="00F2263F">
        <w:rPr>
          <w:sz w:val="24"/>
          <w:szCs w:val="24"/>
        </w:rPr>
        <w:t xml:space="preserve">Emtricitabin absorberes hurtigt og i omfattende grad efter oral administration med maksimale plasmakoncentrationer 1 til 2 timer efter dosering. Efter administration af flere orale doser af emtricitabin til 20 hiv 1-inficerede personer, var (gennemsnit ± SD) </w:t>
      </w:r>
      <w:r w:rsidRPr="00F2263F">
        <w:rPr>
          <w:i/>
          <w:iCs/>
          <w:sz w:val="24"/>
          <w:szCs w:val="24"/>
        </w:rPr>
        <w:t xml:space="preserve">steady-state </w:t>
      </w:r>
      <w:r w:rsidRPr="00F2263F">
        <w:rPr>
          <w:sz w:val="24"/>
          <w:szCs w:val="24"/>
        </w:rPr>
        <w:t>maksimale plasmakoncentrationer af emtricitabin (C</w:t>
      </w:r>
      <w:r w:rsidRPr="00F2263F">
        <w:rPr>
          <w:sz w:val="24"/>
          <w:szCs w:val="24"/>
          <w:vertAlign w:val="subscript"/>
        </w:rPr>
        <w:t>max</w:t>
      </w:r>
      <w:r w:rsidRPr="00F2263F">
        <w:rPr>
          <w:sz w:val="24"/>
          <w:szCs w:val="24"/>
        </w:rPr>
        <w:t xml:space="preserve">) 1,8 ± 0,7 μg/ml og arealet under tidskurven for plasmakoncentrationen over et 24-timers doseringsinterval (AUC) var 10,0 ± 3,1 μg•t/ml. Den gennemsnitlige </w:t>
      </w:r>
      <w:r w:rsidRPr="00F2263F">
        <w:rPr>
          <w:i/>
          <w:iCs/>
          <w:sz w:val="24"/>
          <w:szCs w:val="24"/>
        </w:rPr>
        <w:t xml:space="preserve">steady-state </w:t>
      </w:r>
      <w:r w:rsidRPr="00F2263F">
        <w:rPr>
          <w:sz w:val="24"/>
          <w:szCs w:val="24"/>
        </w:rPr>
        <w:t xml:space="preserve">minimale plasmakoncentration 24 timer efter dosering var lig med eller større end den gennemsnitlige </w:t>
      </w:r>
      <w:r w:rsidRPr="00F2263F">
        <w:rPr>
          <w:i/>
          <w:iCs/>
          <w:sz w:val="24"/>
          <w:szCs w:val="24"/>
        </w:rPr>
        <w:t xml:space="preserve">in vitro </w:t>
      </w:r>
      <w:r w:rsidRPr="00F2263F">
        <w:rPr>
          <w:sz w:val="24"/>
          <w:szCs w:val="24"/>
        </w:rPr>
        <w:t>IC</w:t>
      </w:r>
      <w:r w:rsidRPr="00F2263F">
        <w:rPr>
          <w:sz w:val="24"/>
          <w:szCs w:val="24"/>
          <w:vertAlign w:val="subscript"/>
        </w:rPr>
        <w:t>90</w:t>
      </w:r>
      <w:r w:rsidRPr="00F2263F">
        <w:rPr>
          <w:sz w:val="24"/>
          <w:szCs w:val="24"/>
        </w:rPr>
        <w:t>-værdi for anti-hiv 1-aktivitet.</w:t>
      </w:r>
    </w:p>
    <w:p w14:paraId="66D91665" w14:textId="77777777" w:rsidR="00DB1C4E" w:rsidRPr="00F2263F" w:rsidRDefault="00DB1C4E" w:rsidP="00132A6A">
      <w:pPr>
        <w:ind w:left="851"/>
        <w:rPr>
          <w:sz w:val="24"/>
          <w:szCs w:val="24"/>
        </w:rPr>
      </w:pPr>
    </w:p>
    <w:p w14:paraId="313D1F19" w14:textId="77777777" w:rsidR="00DB1C4E" w:rsidRPr="00F2263F" w:rsidRDefault="00DB1C4E" w:rsidP="00132A6A">
      <w:pPr>
        <w:ind w:left="851"/>
        <w:rPr>
          <w:sz w:val="24"/>
          <w:szCs w:val="24"/>
        </w:rPr>
      </w:pPr>
      <w:r w:rsidRPr="00F2263F">
        <w:rPr>
          <w:sz w:val="24"/>
          <w:szCs w:val="24"/>
        </w:rPr>
        <w:t>Den systemiske eksponering for emtricitabin var ikke påvirket, når emtricitabin blev administreret sammen med mad.</w:t>
      </w:r>
    </w:p>
    <w:p w14:paraId="10DEC5F8" w14:textId="77777777" w:rsidR="00DB1C4E" w:rsidRPr="00F2263F" w:rsidRDefault="00DB1C4E" w:rsidP="00132A6A">
      <w:pPr>
        <w:ind w:left="851"/>
        <w:rPr>
          <w:sz w:val="24"/>
          <w:szCs w:val="24"/>
        </w:rPr>
      </w:pPr>
    </w:p>
    <w:p w14:paraId="4D5D844C" w14:textId="343EAB34" w:rsidR="00DB1C4E" w:rsidRPr="00F2263F" w:rsidRDefault="00DB1C4E" w:rsidP="00132A6A">
      <w:pPr>
        <w:ind w:left="851"/>
        <w:rPr>
          <w:sz w:val="24"/>
          <w:szCs w:val="24"/>
        </w:rPr>
      </w:pPr>
      <w:r w:rsidRPr="00F2263F">
        <w:rPr>
          <w:sz w:val="24"/>
          <w:szCs w:val="24"/>
        </w:rPr>
        <w:t xml:space="preserve">Efter administration af mad til raske personer blev maksimale plasmakoncentrationer observeret ca. 1 time efter dosering for </w:t>
      </w:r>
      <w:r w:rsidR="00202D86">
        <w:rPr>
          <w:sz w:val="24"/>
          <w:szCs w:val="24"/>
        </w:rPr>
        <w:t>tenofovir alafenamid</w:t>
      </w:r>
      <w:r w:rsidRPr="00F2263F">
        <w:rPr>
          <w:sz w:val="24"/>
          <w:szCs w:val="24"/>
        </w:rPr>
        <w:t>, administreret som F/TAF (25</w:t>
      </w:r>
      <w:r w:rsidR="00C7472A">
        <w:rPr>
          <w:sz w:val="24"/>
          <w:szCs w:val="24"/>
        </w:rPr>
        <w:t> </w:t>
      </w:r>
      <w:r w:rsidRPr="00F2263F">
        <w:rPr>
          <w:sz w:val="24"/>
          <w:szCs w:val="24"/>
        </w:rPr>
        <w:t>mg) eller E/C/F/TAF (10 mg). Den gennemsnitlige C</w:t>
      </w:r>
      <w:r w:rsidRPr="00F2263F">
        <w:rPr>
          <w:sz w:val="24"/>
          <w:szCs w:val="24"/>
          <w:vertAlign w:val="subscript"/>
        </w:rPr>
        <w:t>max</w:t>
      </w:r>
      <w:r w:rsidRPr="00F2263F">
        <w:rPr>
          <w:sz w:val="24"/>
          <w:szCs w:val="24"/>
        </w:rPr>
        <w:t xml:space="preserve"> og AUC</w:t>
      </w:r>
      <w:r w:rsidRPr="00F2263F">
        <w:rPr>
          <w:sz w:val="24"/>
          <w:szCs w:val="24"/>
          <w:vertAlign w:val="subscript"/>
        </w:rPr>
        <w:t>last</w:t>
      </w:r>
      <w:r w:rsidRPr="00F2263F">
        <w:rPr>
          <w:sz w:val="24"/>
          <w:szCs w:val="24"/>
        </w:rPr>
        <w:t xml:space="preserve">, (gennemsnit ± SD) efter indtagelse af mad efter en enkeltdosis med 25 mg </w:t>
      </w:r>
      <w:r w:rsidR="00202D86">
        <w:rPr>
          <w:sz w:val="24"/>
          <w:szCs w:val="24"/>
        </w:rPr>
        <w:t>tenofovir alafenamid</w:t>
      </w:r>
      <w:r w:rsidRPr="00F2263F">
        <w:rPr>
          <w:sz w:val="24"/>
          <w:szCs w:val="24"/>
        </w:rPr>
        <w:t xml:space="preserve">, administreret i et produkt indeholdende emtricitabin og </w:t>
      </w:r>
      <w:r w:rsidR="00202D86">
        <w:rPr>
          <w:sz w:val="24"/>
          <w:szCs w:val="24"/>
        </w:rPr>
        <w:t>tenofovir alafenamid fumarat</w:t>
      </w:r>
      <w:r w:rsidRPr="00F2263F">
        <w:rPr>
          <w:sz w:val="24"/>
          <w:szCs w:val="24"/>
        </w:rPr>
        <w:t xml:space="preserve"> kombinationen var hhv. 0,21 ± 0,13 μg/ml og 0,25 ± 0,11 μg•t/ml. Den gennemsnitlige C</w:t>
      </w:r>
      <w:r w:rsidRPr="00F2263F">
        <w:rPr>
          <w:sz w:val="24"/>
          <w:szCs w:val="24"/>
          <w:vertAlign w:val="subscript"/>
        </w:rPr>
        <w:t>max</w:t>
      </w:r>
      <w:r w:rsidRPr="00F2263F">
        <w:rPr>
          <w:sz w:val="24"/>
          <w:szCs w:val="24"/>
        </w:rPr>
        <w:t xml:space="preserve"> og AUC</w:t>
      </w:r>
      <w:r w:rsidRPr="00F2263F">
        <w:rPr>
          <w:sz w:val="24"/>
          <w:szCs w:val="24"/>
          <w:vertAlign w:val="subscript"/>
        </w:rPr>
        <w:t>last</w:t>
      </w:r>
      <w:r w:rsidRPr="00F2263F">
        <w:rPr>
          <w:sz w:val="24"/>
          <w:szCs w:val="24"/>
        </w:rPr>
        <w:t xml:space="preserve"> efter en enkeltdosis med 10 mg </w:t>
      </w:r>
      <w:r w:rsidR="00202D86">
        <w:rPr>
          <w:sz w:val="24"/>
          <w:szCs w:val="24"/>
        </w:rPr>
        <w:t>tenofovir alafenamid</w:t>
      </w:r>
      <w:r w:rsidRPr="00F2263F">
        <w:rPr>
          <w:sz w:val="24"/>
          <w:szCs w:val="24"/>
        </w:rPr>
        <w:t>, administreret i E/C/F/TAF var hhv. 0,21 ± 0,10 μg/ml og 0,25 ± 0,08 μg•t/ml.</w:t>
      </w:r>
    </w:p>
    <w:p w14:paraId="17A94336" w14:textId="77777777" w:rsidR="00DB1C4E" w:rsidRPr="00F2263F" w:rsidRDefault="00DB1C4E" w:rsidP="00132A6A">
      <w:pPr>
        <w:ind w:left="851"/>
        <w:rPr>
          <w:sz w:val="24"/>
          <w:szCs w:val="24"/>
        </w:rPr>
      </w:pPr>
    </w:p>
    <w:p w14:paraId="53841BCC" w14:textId="63D2ADBF" w:rsidR="00DB1C4E" w:rsidRPr="00F2263F" w:rsidRDefault="00DB1C4E" w:rsidP="00132A6A">
      <w:pPr>
        <w:ind w:left="851"/>
        <w:rPr>
          <w:sz w:val="24"/>
          <w:szCs w:val="24"/>
        </w:rPr>
      </w:pPr>
      <w:r w:rsidRPr="00F2263F">
        <w:rPr>
          <w:sz w:val="24"/>
          <w:szCs w:val="24"/>
        </w:rPr>
        <w:t xml:space="preserve">I forhold til fastende tilstand førte administrationen af </w:t>
      </w:r>
      <w:r w:rsidR="00202D86">
        <w:rPr>
          <w:sz w:val="24"/>
          <w:szCs w:val="24"/>
        </w:rPr>
        <w:t>tenofovir alafenamid</w:t>
      </w:r>
      <w:r w:rsidRPr="00F2263F">
        <w:rPr>
          <w:sz w:val="24"/>
          <w:szCs w:val="24"/>
        </w:rPr>
        <w:t xml:space="preserve"> sammen med et måltid med højt fedtindhold (~800 kcal, 50 % fat) til en reduktion i </w:t>
      </w:r>
      <w:r w:rsidR="00202D86">
        <w:rPr>
          <w:sz w:val="24"/>
          <w:szCs w:val="24"/>
        </w:rPr>
        <w:t>tenofovir alafenamid</w:t>
      </w:r>
      <w:r w:rsidRPr="00F2263F">
        <w:rPr>
          <w:sz w:val="24"/>
          <w:szCs w:val="24"/>
        </w:rPr>
        <w:t xml:space="preserve"> C</w:t>
      </w:r>
      <w:r w:rsidRPr="00F2263F">
        <w:rPr>
          <w:sz w:val="24"/>
          <w:szCs w:val="24"/>
          <w:vertAlign w:val="subscript"/>
        </w:rPr>
        <w:t>max</w:t>
      </w:r>
      <w:r w:rsidRPr="00F2263F">
        <w:rPr>
          <w:sz w:val="24"/>
          <w:szCs w:val="24"/>
        </w:rPr>
        <w:t xml:space="preserve"> (15-37 %) og en forhøjelse i AUC</w:t>
      </w:r>
      <w:r w:rsidRPr="00F2263F">
        <w:rPr>
          <w:sz w:val="24"/>
          <w:szCs w:val="24"/>
          <w:vertAlign w:val="subscript"/>
        </w:rPr>
        <w:t>last</w:t>
      </w:r>
      <w:r w:rsidRPr="00F2263F">
        <w:rPr>
          <w:sz w:val="24"/>
          <w:szCs w:val="24"/>
        </w:rPr>
        <w:t xml:space="preserve"> (17-77 %).</w:t>
      </w:r>
    </w:p>
    <w:p w14:paraId="0E2B4F42" w14:textId="77777777" w:rsidR="00DB1C4E" w:rsidRPr="00F2263F" w:rsidRDefault="00DB1C4E" w:rsidP="00132A6A">
      <w:pPr>
        <w:ind w:left="851"/>
        <w:rPr>
          <w:sz w:val="24"/>
          <w:szCs w:val="24"/>
        </w:rPr>
      </w:pPr>
    </w:p>
    <w:p w14:paraId="2E8C4AE7" w14:textId="77777777" w:rsidR="00DB1C4E" w:rsidRPr="00A718C0" w:rsidRDefault="00DB1C4E" w:rsidP="00132A6A">
      <w:pPr>
        <w:ind w:left="851"/>
        <w:rPr>
          <w:sz w:val="24"/>
          <w:szCs w:val="24"/>
          <w:u w:val="single"/>
        </w:rPr>
      </w:pPr>
      <w:r w:rsidRPr="00A718C0">
        <w:rPr>
          <w:sz w:val="24"/>
          <w:szCs w:val="24"/>
          <w:u w:val="single"/>
        </w:rPr>
        <w:t xml:space="preserve">Fordeling </w:t>
      </w:r>
    </w:p>
    <w:p w14:paraId="57225509" w14:textId="77777777" w:rsidR="00DB1C4E" w:rsidRPr="00F2263F" w:rsidRDefault="00DB1C4E" w:rsidP="00132A6A">
      <w:pPr>
        <w:ind w:left="851"/>
        <w:rPr>
          <w:sz w:val="24"/>
          <w:szCs w:val="24"/>
        </w:rPr>
      </w:pPr>
    </w:p>
    <w:p w14:paraId="5B25214B" w14:textId="77777777" w:rsidR="00DB1C4E" w:rsidRPr="00F2263F" w:rsidRDefault="00DB1C4E" w:rsidP="00132A6A">
      <w:pPr>
        <w:ind w:left="851"/>
        <w:rPr>
          <w:sz w:val="24"/>
          <w:szCs w:val="24"/>
        </w:rPr>
      </w:pPr>
      <w:r w:rsidRPr="00F2263F">
        <w:rPr>
          <w:sz w:val="24"/>
          <w:szCs w:val="24"/>
        </w:rPr>
        <w:t xml:space="preserve">Emtricitabins binding </w:t>
      </w:r>
      <w:r w:rsidRPr="00F2263F">
        <w:rPr>
          <w:i/>
          <w:iCs/>
          <w:sz w:val="24"/>
          <w:szCs w:val="24"/>
        </w:rPr>
        <w:t xml:space="preserve">in vitro </w:t>
      </w:r>
      <w:r w:rsidRPr="00F2263F">
        <w:rPr>
          <w:sz w:val="24"/>
          <w:szCs w:val="24"/>
        </w:rPr>
        <w:t>til humane plasmaproteiner var &lt; 4 % og uafhængig af koncentrationsområdet på 0,02-200 μg/ml. Ved maksimale plasmakoncentrationer var forholdet mellem gennemsnitlig lægemiddelkoncentration i plasma og blodet ~ 1,0 og forholdet mellem gennemsnitlig lægemiddelkoncentration i sæd og plasma var ~ 4,0.</w:t>
      </w:r>
    </w:p>
    <w:p w14:paraId="3A7B3115" w14:textId="77777777" w:rsidR="00DB1C4E" w:rsidRPr="00F2263F" w:rsidRDefault="00DB1C4E" w:rsidP="00132A6A">
      <w:pPr>
        <w:ind w:left="851"/>
        <w:rPr>
          <w:sz w:val="24"/>
          <w:szCs w:val="24"/>
        </w:rPr>
      </w:pPr>
    </w:p>
    <w:p w14:paraId="2316CF9E" w14:textId="21642888" w:rsidR="00DB1C4E" w:rsidRPr="00F2263F" w:rsidRDefault="00DB1C4E" w:rsidP="00132A6A">
      <w:pPr>
        <w:ind w:left="851"/>
        <w:rPr>
          <w:sz w:val="24"/>
          <w:szCs w:val="24"/>
        </w:rPr>
      </w:pPr>
      <w:r w:rsidRPr="00F2263F">
        <w:rPr>
          <w:sz w:val="24"/>
          <w:szCs w:val="24"/>
        </w:rPr>
        <w:t xml:space="preserve">Tenofovirs binding </w:t>
      </w:r>
      <w:r w:rsidRPr="00F2263F">
        <w:rPr>
          <w:i/>
          <w:iCs/>
          <w:sz w:val="24"/>
          <w:szCs w:val="24"/>
        </w:rPr>
        <w:t xml:space="preserve">in vitro </w:t>
      </w:r>
      <w:r w:rsidRPr="00F2263F">
        <w:rPr>
          <w:sz w:val="24"/>
          <w:szCs w:val="24"/>
        </w:rPr>
        <w:t xml:space="preserve">til humane plasmaproteiner er &lt; 0,7 % og uafhængig af koncentrationsområdet på 0,01-25 μg/ml. </w:t>
      </w:r>
      <w:r w:rsidR="00202D86">
        <w:rPr>
          <w:sz w:val="24"/>
          <w:szCs w:val="24"/>
        </w:rPr>
        <w:t>Tenofovir alafenamid</w:t>
      </w:r>
      <w:r w:rsidRPr="00F2263F">
        <w:rPr>
          <w:sz w:val="24"/>
          <w:szCs w:val="24"/>
        </w:rPr>
        <w:t xml:space="preserve">s binding </w:t>
      </w:r>
      <w:r w:rsidRPr="00F2263F">
        <w:rPr>
          <w:i/>
          <w:iCs/>
          <w:sz w:val="24"/>
          <w:szCs w:val="24"/>
        </w:rPr>
        <w:t xml:space="preserve">ex vivo </w:t>
      </w:r>
      <w:r w:rsidRPr="00F2263F">
        <w:rPr>
          <w:sz w:val="24"/>
          <w:szCs w:val="24"/>
        </w:rPr>
        <w:t>til humane plasmaproteiner i prøver indsamlet i løbet af kliniske studier var ca. 80 %.</w:t>
      </w:r>
    </w:p>
    <w:p w14:paraId="3D27A3D6" w14:textId="77777777" w:rsidR="00DB1C4E" w:rsidRPr="00F2263F" w:rsidRDefault="00DB1C4E" w:rsidP="00132A6A">
      <w:pPr>
        <w:ind w:left="851"/>
        <w:rPr>
          <w:sz w:val="24"/>
          <w:szCs w:val="24"/>
        </w:rPr>
      </w:pPr>
    </w:p>
    <w:p w14:paraId="34C50E80" w14:textId="77777777" w:rsidR="00DB1C4E" w:rsidRPr="00A718C0" w:rsidRDefault="00DB1C4E" w:rsidP="00132A6A">
      <w:pPr>
        <w:ind w:left="851"/>
        <w:rPr>
          <w:sz w:val="24"/>
          <w:szCs w:val="24"/>
          <w:u w:val="single"/>
        </w:rPr>
      </w:pPr>
      <w:r w:rsidRPr="00A718C0">
        <w:rPr>
          <w:sz w:val="24"/>
          <w:szCs w:val="24"/>
          <w:u w:val="single"/>
        </w:rPr>
        <w:t>Biotransformation</w:t>
      </w:r>
    </w:p>
    <w:p w14:paraId="06CA2277" w14:textId="77777777" w:rsidR="00DB1C4E" w:rsidRPr="00F2263F" w:rsidRDefault="00DB1C4E" w:rsidP="00132A6A">
      <w:pPr>
        <w:ind w:left="851"/>
        <w:rPr>
          <w:i/>
          <w:iCs/>
          <w:sz w:val="24"/>
          <w:szCs w:val="24"/>
        </w:rPr>
      </w:pPr>
    </w:p>
    <w:p w14:paraId="69F65A2B" w14:textId="2E7C2B7D" w:rsidR="00DB1C4E" w:rsidRPr="00F2263F" w:rsidRDefault="00DB1C4E" w:rsidP="00132A6A">
      <w:pPr>
        <w:ind w:left="851"/>
        <w:rPr>
          <w:sz w:val="24"/>
          <w:szCs w:val="24"/>
        </w:rPr>
      </w:pPr>
      <w:r w:rsidRPr="00F2263F">
        <w:rPr>
          <w:i/>
          <w:iCs/>
          <w:sz w:val="24"/>
          <w:szCs w:val="24"/>
        </w:rPr>
        <w:t>In vitro</w:t>
      </w:r>
      <w:r w:rsidRPr="00F2263F">
        <w:rPr>
          <w:sz w:val="24"/>
          <w:szCs w:val="24"/>
        </w:rPr>
        <w:t>-studier indikerer, at emtricitabin ikke er en hæmmer af humane CYP-enzymer. Efter administration af [</w:t>
      </w:r>
      <w:r w:rsidRPr="00F2263F">
        <w:rPr>
          <w:sz w:val="24"/>
          <w:szCs w:val="24"/>
          <w:vertAlign w:val="superscript"/>
        </w:rPr>
        <w:t>14</w:t>
      </w:r>
      <w:proofErr w:type="gramStart"/>
      <w:r w:rsidRPr="00F2263F">
        <w:rPr>
          <w:sz w:val="24"/>
          <w:szCs w:val="24"/>
        </w:rPr>
        <w:t>C]-</w:t>
      </w:r>
      <w:proofErr w:type="gramEnd"/>
      <w:r w:rsidRPr="00F2263F">
        <w:rPr>
          <w:sz w:val="24"/>
          <w:szCs w:val="24"/>
        </w:rPr>
        <w:t>emtricitabin blev hele emtricitabin-dosis genfundet i urin (~</w:t>
      </w:r>
      <w:r w:rsidR="00C7472A">
        <w:rPr>
          <w:sz w:val="24"/>
          <w:szCs w:val="24"/>
        </w:rPr>
        <w:t> </w:t>
      </w:r>
      <w:r w:rsidRPr="00F2263F">
        <w:rPr>
          <w:sz w:val="24"/>
          <w:szCs w:val="24"/>
        </w:rPr>
        <w:t>86 %) og i fæces (~ 14 %). Tretten procent af dosis blev genfundet i urinen som tre putative metabolitter. Emtricitabins biotransformation omfatter oxidation af thioldelen, så der dannes 3'-sulfoxid-diastereomere (~ 9 % af dosen) og konjugering med glucuronsyre til at danne 2'-O-glucuronid (~ 4 % af dosen). Ingen andre metabolitter kunne identificeres.</w:t>
      </w:r>
    </w:p>
    <w:p w14:paraId="2AEE0674" w14:textId="77777777" w:rsidR="00DB1C4E" w:rsidRPr="00F2263F" w:rsidRDefault="00DB1C4E" w:rsidP="00132A6A">
      <w:pPr>
        <w:ind w:left="851"/>
        <w:rPr>
          <w:sz w:val="24"/>
          <w:szCs w:val="24"/>
        </w:rPr>
      </w:pPr>
    </w:p>
    <w:p w14:paraId="087A5A06" w14:textId="0F5BF4A3" w:rsidR="00DB1C4E" w:rsidRPr="00F2263F" w:rsidRDefault="00DB1C4E" w:rsidP="00132A6A">
      <w:pPr>
        <w:ind w:left="851"/>
        <w:rPr>
          <w:sz w:val="24"/>
          <w:szCs w:val="24"/>
        </w:rPr>
      </w:pPr>
      <w:r w:rsidRPr="00F2263F">
        <w:rPr>
          <w:sz w:val="24"/>
          <w:szCs w:val="24"/>
        </w:rPr>
        <w:t xml:space="preserve">Metabolisme er en større eliminationsvej for </w:t>
      </w:r>
      <w:r w:rsidR="00202D86">
        <w:rPr>
          <w:sz w:val="24"/>
          <w:szCs w:val="24"/>
        </w:rPr>
        <w:t>tenofovir alafenamid</w:t>
      </w:r>
      <w:r w:rsidRPr="00F2263F">
        <w:rPr>
          <w:sz w:val="24"/>
          <w:szCs w:val="24"/>
        </w:rPr>
        <w:t xml:space="preserve"> hos mennesker. Således metaboliseres &gt; 80 % af en oral dosis. </w:t>
      </w:r>
      <w:r w:rsidRPr="00F2263F">
        <w:rPr>
          <w:i/>
          <w:iCs/>
          <w:sz w:val="24"/>
          <w:szCs w:val="24"/>
        </w:rPr>
        <w:t>In vitro</w:t>
      </w:r>
      <w:r w:rsidRPr="00F2263F">
        <w:rPr>
          <w:sz w:val="24"/>
          <w:szCs w:val="24"/>
        </w:rPr>
        <w:t xml:space="preserve">-studier har vist, at </w:t>
      </w:r>
      <w:r w:rsidR="00202D86">
        <w:rPr>
          <w:sz w:val="24"/>
          <w:szCs w:val="24"/>
        </w:rPr>
        <w:t>tenofovir alafenamid</w:t>
      </w:r>
      <w:r w:rsidRPr="00F2263F">
        <w:rPr>
          <w:sz w:val="24"/>
          <w:szCs w:val="24"/>
        </w:rPr>
        <w:t xml:space="preserve"> metaboliseres til tenofovir (primær metabolit) af cathepsin A i PBMC'er (herunder lymfocytter og andre hiv-målceller) og makrofager og af carboxylesterase-1 i hepatocytter. </w:t>
      </w:r>
      <w:r w:rsidRPr="00F2263F">
        <w:rPr>
          <w:i/>
          <w:iCs/>
          <w:sz w:val="24"/>
          <w:szCs w:val="24"/>
        </w:rPr>
        <w:t xml:space="preserve">In vivo </w:t>
      </w:r>
      <w:r w:rsidRPr="00F2263F">
        <w:rPr>
          <w:sz w:val="24"/>
          <w:szCs w:val="24"/>
        </w:rPr>
        <w:t xml:space="preserve">hydrolyseres </w:t>
      </w:r>
      <w:r w:rsidR="00202D86">
        <w:rPr>
          <w:sz w:val="24"/>
          <w:szCs w:val="24"/>
        </w:rPr>
        <w:t>tenofovir alafenamid</w:t>
      </w:r>
      <w:r w:rsidRPr="00F2263F">
        <w:rPr>
          <w:sz w:val="24"/>
          <w:szCs w:val="24"/>
        </w:rPr>
        <w:t xml:space="preserve"> i cellerne til at danne tenofovir (primær metabolit), som fosforyleres til den aktive metabolit tenofovirdiphosphat.</w:t>
      </w:r>
    </w:p>
    <w:p w14:paraId="58DC4F67" w14:textId="3918C2CD" w:rsidR="00DB1C4E" w:rsidRPr="00F2263F" w:rsidRDefault="00DB1C4E" w:rsidP="00132A6A">
      <w:pPr>
        <w:ind w:left="851"/>
        <w:rPr>
          <w:sz w:val="24"/>
          <w:szCs w:val="24"/>
        </w:rPr>
      </w:pPr>
      <w:r w:rsidRPr="00F2263F">
        <w:rPr>
          <w:sz w:val="24"/>
          <w:szCs w:val="24"/>
        </w:rPr>
        <w:t xml:space="preserve">I kliniske studier af mennesker resulterede en 10 mg oral dosis af </w:t>
      </w:r>
      <w:r w:rsidR="00202D86">
        <w:rPr>
          <w:sz w:val="24"/>
          <w:szCs w:val="24"/>
        </w:rPr>
        <w:t>tenofovir alafenamid</w:t>
      </w:r>
      <w:r w:rsidRPr="00F2263F">
        <w:rPr>
          <w:sz w:val="24"/>
          <w:szCs w:val="24"/>
        </w:rPr>
        <w:t xml:space="preserve"> (givet sammen med emtricitabin og elvitegravir og cobicistat) i tenofovirdiphosphat</w:t>
      </w:r>
      <w:r w:rsidR="00C7472A">
        <w:rPr>
          <w:sz w:val="24"/>
          <w:szCs w:val="24"/>
        </w:rPr>
        <w:softHyphen/>
      </w:r>
      <w:r w:rsidRPr="00F2263F">
        <w:rPr>
          <w:sz w:val="24"/>
          <w:szCs w:val="24"/>
        </w:rPr>
        <w:t xml:space="preserve">koncentrationer &gt; 4 gange højere i PBMC'er og &gt; 90 % lavere koncentrationer af tenofovir i plasma sammenlignet med en 245 mg oral dosis af </w:t>
      </w:r>
      <w:r w:rsidR="00202D86">
        <w:rPr>
          <w:sz w:val="24"/>
          <w:szCs w:val="24"/>
        </w:rPr>
        <w:t>tenofovir disoproxil</w:t>
      </w:r>
      <w:r w:rsidRPr="00F2263F">
        <w:rPr>
          <w:sz w:val="24"/>
          <w:szCs w:val="24"/>
        </w:rPr>
        <w:t xml:space="preserve"> (som fumarat) (givet sammen med emtricitabin og elvitegravir og cobicistat).</w:t>
      </w:r>
    </w:p>
    <w:p w14:paraId="16DEF73D" w14:textId="77777777" w:rsidR="00DB1C4E" w:rsidRPr="00F2263F" w:rsidRDefault="00DB1C4E" w:rsidP="00132A6A">
      <w:pPr>
        <w:ind w:left="851"/>
        <w:rPr>
          <w:sz w:val="24"/>
          <w:szCs w:val="24"/>
        </w:rPr>
      </w:pPr>
    </w:p>
    <w:p w14:paraId="02BFAA51" w14:textId="78F8EF72" w:rsidR="00DB1C4E" w:rsidRPr="00F2263F" w:rsidRDefault="00DB1C4E" w:rsidP="00132A6A">
      <w:pPr>
        <w:ind w:left="851"/>
        <w:rPr>
          <w:sz w:val="24"/>
          <w:szCs w:val="24"/>
        </w:rPr>
      </w:pPr>
      <w:r w:rsidRPr="00F2263F">
        <w:rPr>
          <w:i/>
          <w:iCs/>
          <w:sz w:val="24"/>
          <w:szCs w:val="24"/>
        </w:rPr>
        <w:t>In vitro</w:t>
      </w:r>
      <w:r w:rsidRPr="00F2263F">
        <w:rPr>
          <w:sz w:val="24"/>
          <w:szCs w:val="24"/>
        </w:rPr>
        <w:t xml:space="preserve"> metaboliseres </w:t>
      </w:r>
      <w:r w:rsidR="00202D86">
        <w:rPr>
          <w:sz w:val="24"/>
          <w:szCs w:val="24"/>
        </w:rPr>
        <w:t>tenofovir alafenamid</w:t>
      </w:r>
      <w:r w:rsidRPr="00F2263F">
        <w:rPr>
          <w:sz w:val="24"/>
          <w:szCs w:val="24"/>
        </w:rPr>
        <w:t xml:space="preserve"> ikke af CYP1A2, CYP2C8, CYP2C9, CYP2C19 eller CYP2D6. </w:t>
      </w:r>
      <w:r w:rsidR="00202D86">
        <w:rPr>
          <w:sz w:val="24"/>
          <w:szCs w:val="24"/>
        </w:rPr>
        <w:t>Tenofovir alafenamid</w:t>
      </w:r>
      <w:r w:rsidRPr="00F2263F">
        <w:rPr>
          <w:sz w:val="24"/>
          <w:szCs w:val="24"/>
        </w:rPr>
        <w:t xml:space="preserve"> metaboliseres kun minimalt af CYP3A4. Ved samtidig administration af et teststof, den moderate CYP3A-inducer efavirenz, var eksponeringen af </w:t>
      </w:r>
      <w:r w:rsidR="00202D86">
        <w:rPr>
          <w:sz w:val="24"/>
          <w:szCs w:val="24"/>
        </w:rPr>
        <w:t>tenofovir alafenamid</w:t>
      </w:r>
      <w:r w:rsidRPr="00F2263F">
        <w:rPr>
          <w:sz w:val="24"/>
          <w:szCs w:val="24"/>
        </w:rPr>
        <w:t xml:space="preserve"> ikke påvirket signifikant. Efter administration af </w:t>
      </w:r>
      <w:r w:rsidR="00202D86">
        <w:rPr>
          <w:sz w:val="24"/>
          <w:szCs w:val="24"/>
        </w:rPr>
        <w:t>tenofovir alafenamid</w:t>
      </w:r>
      <w:r w:rsidRPr="00F2263F">
        <w:rPr>
          <w:sz w:val="24"/>
          <w:szCs w:val="24"/>
        </w:rPr>
        <w:t xml:space="preserve"> viste plasma [</w:t>
      </w:r>
      <w:r w:rsidRPr="00F2263F">
        <w:rPr>
          <w:sz w:val="24"/>
          <w:szCs w:val="24"/>
          <w:vertAlign w:val="superscript"/>
        </w:rPr>
        <w:t>14</w:t>
      </w:r>
      <w:proofErr w:type="gramStart"/>
      <w:r w:rsidRPr="00F2263F">
        <w:rPr>
          <w:sz w:val="24"/>
          <w:szCs w:val="24"/>
        </w:rPr>
        <w:t>C]-</w:t>
      </w:r>
      <w:proofErr w:type="gramEnd"/>
      <w:r w:rsidRPr="00F2263F">
        <w:rPr>
          <w:sz w:val="24"/>
          <w:szCs w:val="24"/>
        </w:rPr>
        <w:t xml:space="preserve">radioaktivitet en tidsafhængig profil med </w:t>
      </w:r>
      <w:r w:rsidR="00202D86">
        <w:rPr>
          <w:sz w:val="24"/>
          <w:szCs w:val="24"/>
        </w:rPr>
        <w:t>tenofovir alafenamid</w:t>
      </w:r>
      <w:r w:rsidRPr="00F2263F">
        <w:rPr>
          <w:sz w:val="24"/>
          <w:szCs w:val="24"/>
        </w:rPr>
        <w:t xml:space="preserve"> som det hyppigste stof i de første par timer og urinsyre i den resterende periode.</w:t>
      </w:r>
    </w:p>
    <w:p w14:paraId="50E8E9CE" w14:textId="77777777" w:rsidR="00A718C0" w:rsidRDefault="00A718C0" w:rsidP="00132A6A">
      <w:pPr>
        <w:ind w:left="851"/>
        <w:rPr>
          <w:sz w:val="24"/>
          <w:szCs w:val="24"/>
        </w:rPr>
      </w:pPr>
    </w:p>
    <w:p w14:paraId="0DF5A006" w14:textId="50F13772" w:rsidR="00DB1C4E" w:rsidRPr="00A718C0" w:rsidRDefault="00DB1C4E" w:rsidP="00132A6A">
      <w:pPr>
        <w:ind w:left="851"/>
        <w:rPr>
          <w:sz w:val="24"/>
          <w:szCs w:val="24"/>
          <w:u w:val="single"/>
        </w:rPr>
      </w:pPr>
      <w:r w:rsidRPr="00A718C0">
        <w:rPr>
          <w:sz w:val="24"/>
          <w:szCs w:val="24"/>
          <w:u w:val="single"/>
        </w:rPr>
        <w:t>Elimination</w:t>
      </w:r>
    </w:p>
    <w:p w14:paraId="2308BB4F" w14:textId="77777777" w:rsidR="00DB1C4E" w:rsidRPr="00F2263F" w:rsidRDefault="00DB1C4E" w:rsidP="00132A6A">
      <w:pPr>
        <w:ind w:left="851"/>
        <w:rPr>
          <w:sz w:val="24"/>
          <w:szCs w:val="24"/>
        </w:rPr>
      </w:pPr>
    </w:p>
    <w:p w14:paraId="210687DD" w14:textId="77777777" w:rsidR="00DB1C4E" w:rsidRPr="00F2263F" w:rsidRDefault="00DB1C4E" w:rsidP="00132A6A">
      <w:pPr>
        <w:ind w:left="851"/>
        <w:rPr>
          <w:sz w:val="24"/>
          <w:szCs w:val="24"/>
        </w:rPr>
      </w:pPr>
      <w:r w:rsidRPr="00F2263F">
        <w:rPr>
          <w:sz w:val="24"/>
          <w:szCs w:val="24"/>
        </w:rPr>
        <w:t>Emtricitabin udskilles primært gennem nyrerne med komplet genfinding af dosis opnået i urin (ca. 86 %) og fæces (ca. 14 %). 13 % af emtricitabindosen blev genfundet i urinen som tre metabolitter. Emtricitabins systemiske clearance var i gennemsnit 307 ml/min. Efter oral administration er emtricitabins eliminationshalveringstid ca. 10 timer.</w:t>
      </w:r>
    </w:p>
    <w:p w14:paraId="1296EBAD" w14:textId="77777777" w:rsidR="00DB1C4E" w:rsidRPr="00F2263F" w:rsidRDefault="00DB1C4E" w:rsidP="00132A6A">
      <w:pPr>
        <w:ind w:left="851"/>
        <w:rPr>
          <w:sz w:val="24"/>
          <w:szCs w:val="24"/>
        </w:rPr>
      </w:pPr>
    </w:p>
    <w:p w14:paraId="42DBFCC7" w14:textId="30A67CE3" w:rsidR="00DB1C4E" w:rsidRPr="00F2263F" w:rsidRDefault="00DB1C4E" w:rsidP="00132A6A">
      <w:pPr>
        <w:ind w:left="851"/>
        <w:rPr>
          <w:sz w:val="24"/>
          <w:szCs w:val="24"/>
        </w:rPr>
      </w:pPr>
      <w:r w:rsidRPr="00F2263F">
        <w:rPr>
          <w:sz w:val="24"/>
          <w:szCs w:val="24"/>
        </w:rPr>
        <w:t xml:space="preserve">Den renale udskillelse af intakt </w:t>
      </w:r>
      <w:r w:rsidR="00202D86">
        <w:rPr>
          <w:sz w:val="24"/>
          <w:szCs w:val="24"/>
        </w:rPr>
        <w:t>tenofovir alafenamid</w:t>
      </w:r>
      <w:r w:rsidRPr="00F2263F">
        <w:rPr>
          <w:sz w:val="24"/>
          <w:szCs w:val="24"/>
        </w:rPr>
        <w:t xml:space="preserve"> er en mindre metaboliseringsvej med &lt; 1 % af dosen elimineret i urinen. </w:t>
      </w:r>
      <w:r w:rsidR="00202D86">
        <w:rPr>
          <w:sz w:val="24"/>
          <w:szCs w:val="24"/>
        </w:rPr>
        <w:t>Tenofovir alafenamid</w:t>
      </w:r>
      <w:r w:rsidRPr="00F2263F">
        <w:rPr>
          <w:sz w:val="24"/>
          <w:szCs w:val="24"/>
        </w:rPr>
        <w:t xml:space="preserve"> elimineres primært efter metabolisme til tenofovir. </w:t>
      </w:r>
      <w:r w:rsidR="00202D86">
        <w:rPr>
          <w:sz w:val="24"/>
          <w:szCs w:val="24"/>
        </w:rPr>
        <w:t>Tenofovir alafenamid</w:t>
      </w:r>
      <w:r w:rsidRPr="00F2263F">
        <w:rPr>
          <w:sz w:val="24"/>
          <w:szCs w:val="24"/>
        </w:rPr>
        <w:t xml:space="preserve"> og tenofovir har en median halveringstid i plasma på hhv. 0,51 og 32,37 timer. Tenofovir elimineres af nyrerne, både ved glomerulusfiltration og aktiv tubulær sekretion.</w:t>
      </w:r>
    </w:p>
    <w:p w14:paraId="0C7D293A" w14:textId="77777777" w:rsidR="00DB1C4E" w:rsidRPr="00F2263F" w:rsidRDefault="00DB1C4E" w:rsidP="00132A6A">
      <w:pPr>
        <w:ind w:left="851"/>
        <w:rPr>
          <w:sz w:val="24"/>
          <w:szCs w:val="24"/>
        </w:rPr>
      </w:pPr>
    </w:p>
    <w:p w14:paraId="38A33BC3" w14:textId="77777777" w:rsidR="00DB1C4E" w:rsidRPr="00A718C0" w:rsidRDefault="00DB1C4E" w:rsidP="00132A6A">
      <w:pPr>
        <w:ind w:left="851"/>
        <w:rPr>
          <w:sz w:val="24"/>
          <w:szCs w:val="24"/>
          <w:u w:val="single"/>
        </w:rPr>
      </w:pPr>
      <w:r w:rsidRPr="00A718C0">
        <w:rPr>
          <w:sz w:val="24"/>
          <w:szCs w:val="24"/>
          <w:u w:val="single"/>
        </w:rPr>
        <w:t>Farmakokinetik hos særlige populationer</w:t>
      </w:r>
    </w:p>
    <w:p w14:paraId="69386953" w14:textId="77777777" w:rsidR="00DB1C4E" w:rsidRPr="00F2263F" w:rsidRDefault="00DB1C4E" w:rsidP="00132A6A">
      <w:pPr>
        <w:ind w:left="851"/>
        <w:rPr>
          <w:sz w:val="24"/>
          <w:szCs w:val="24"/>
        </w:rPr>
      </w:pPr>
    </w:p>
    <w:p w14:paraId="342D8BEA" w14:textId="77777777" w:rsidR="00DB1C4E" w:rsidRPr="00F2263F" w:rsidRDefault="00DB1C4E" w:rsidP="00132A6A">
      <w:pPr>
        <w:ind w:left="851"/>
        <w:rPr>
          <w:i/>
          <w:iCs/>
          <w:sz w:val="24"/>
          <w:szCs w:val="24"/>
        </w:rPr>
      </w:pPr>
      <w:r w:rsidRPr="00F2263F">
        <w:rPr>
          <w:i/>
          <w:iCs/>
          <w:sz w:val="24"/>
          <w:szCs w:val="24"/>
        </w:rPr>
        <w:t>Alder, køn og etnicitet</w:t>
      </w:r>
    </w:p>
    <w:p w14:paraId="525D6606" w14:textId="0E7F1938" w:rsidR="00DB1C4E" w:rsidRPr="00F2263F" w:rsidRDefault="00DB1C4E" w:rsidP="00132A6A">
      <w:pPr>
        <w:ind w:left="851"/>
        <w:rPr>
          <w:sz w:val="24"/>
          <w:szCs w:val="24"/>
        </w:rPr>
      </w:pPr>
      <w:r w:rsidRPr="00F2263F">
        <w:rPr>
          <w:sz w:val="24"/>
          <w:szCs w:val="24"/>
        </w:rPr>
        <w:t xml:space="preserve">Der er ikke blevet identificeret klinisk relevante farmakokinetiske forskelle på grund af alder, køn eller etnicitet for emtricitabin eller </w:t>
      </w:r>
      <w:r w:rsidR="00202D86">
        <w:rPr>
          <w:sz w:val="24"/>
          <w:szCs w:val="24"/>
        </w:rPr>
        <w:t>tenofovir alafenamid</w:t>
      </w:r>
      <w:r w:rsidRPr="00F2263F">
        <w:rPr>
          <w:sz w:val="24"/>
          <w:szCs w:val="24"/>
        </w:rPr>
        <w:t>.</w:t>
      </w:r>
    </w:p>
    <w:p w14:paraId="641FE219" w14:textId="77777777" w:rsidR="00DB1C4E" w:rsidRPr="00F2263F" w:rsidRDefault="00DB1C4E" w:rsidP="00132A6A">
      <w:pPr>
        <w:ind w:left="851"/>
        <w:rPr>
          <w:sz w:val="24"/>
          <w:szCs w:val="24"/>
        </w:rPr>
      </w:pPr>
    </w:p>
    <w:p w14:paraId="3631C4D4" w14:textId="77777777" w:rsidR="00DB1C4E" w:rsidRPr="00A718C0" w:rsidRDefault="00DB1C4E" w:rsidP="00132A6A">
      <w:pPr>
        <w:ind w:left="851"/>
        <w:rPr>
          <w:sz w:val="24"/>
          <w:szCs w:val="24"/>
          <w:u w:val="single"/>
        </w:rPr>
      </w:pPr>
      <w:r w:rsidRPr="00A718C0">
        <w:rPr>
          <w:sz w:val="24"/>
          <w:szCs w:val="24"/>
          <w:u w:val="single"/>
        </w:rPr>
        <w:t>Pædiatrisk population</w:t>
      </w:r>
    </w:p>
    <w:p w14:paraId="2E58DA80" w14:textId="77777777" w:rsidR="00DB1C4E" w:rsidRPr="00F2263F" w:rsidRDefault="00DB1C4E" w:rsidP="00132A6A">
      <w:pPr>
        <w:ind w:left="851"/>
        <w:rPr>
          <w:sz w:val="24"/>
          <w:szCs w:val="24"/>
        </w:rPr>
      </w:pPr>
    </w:p>
    <w:p w14:paraId="21C3200B" w14:textId="701CEB0A" w:rsidR="00DB1C4E" w:rsidRPr="00F2263F" w:rsidRDefault="00DB1C4E" w:rsidP="00132A6A">
      <w:pPr>
        <w:ind w:left="851"/>
        <w:rPr>
          <w:sz w:val="24"/>
          <w:szCs w:val="24"/>
        </w:rPr>
      </w:pPr>
      <w:r w:rsidRPr="00F2263F">
        <w:rPr>
          <w:sz w:val="24"/>
          <w:szCs w:val="24"/>
        </w:rPr>
        <w:t xml:space="preserve">Eksponeringer for emtricitabin og </w:t>
      </w:r>
      <w:r w:rsidR="00202D86">
        <w:rPr>
          <w:sz w:val="24"/>
          <w:szCs w:val="24"/>
        </w:rPr>
        <w:t>tenofovir alafenamid</w:t>
      </w:r>
      <w:r w:rsidRPr="00F2263F">
        <w:rPr>
          <w:sz w:val="24"/>
          <w:szCs w:val="24"/>
        </w:rPr>
        <w:t xml:space="preserve"> (givet sammen med elvitegravir og cobicistat), der blev opnået hos 24 pædiatriske patienter i alderen 12 til &lt; 18 år, som fik emtricitabin og </w:t>
      </w:r>
      <w:r w:rsidR="00202D86">
        <w:rPr>
          <w:sz w:val="24"/>
          <w:szCs w:val="24"/>
        </w:rPr>
        <w:t>tenofovir alafenamid</w:t>
      </w:r>
      <w:r w:rsidRPr="00F2263F">
        <w:rPr>
          <w:sz w:val="24"/>
          <w:szCs w:val="24"/>
        </w:rPr>
        <w:t>, givet sammen med elvitegravir og cobicistat i studie GS-US-292-0106, var sammenlignelig med eksponeringer opnået hos behandlingsnaive voksne (tabel 7).</w:t>
      </w:r>
    </w:p>
    <w:p w14:paraId="55B0FAAB" w14:textId="6371E95F" w:rsidR="00C7472A" w:rsidRDefault="00C7472A">
      <w:pPr>
        <w:rPr>
          <w:sz w:val="24"/>
          <w:szCs w:val="24"/>
        </w:rPr>
      </w:pPr>
      <w:r>
        <w:rPr>
          <w:sz w:val="24"/>
          <w:szCs w:val="24"/>
        </w:rPr>
        <w:br w:type="page"/>
      </w:r>
    </w:p>
    <w:p w14:paraId="2412D354" w14:textId="77777777" w:rsidR="00DB1C4E" w:rsidRPr="00F2263F" w:rsidRDefault="00DB1C4E" w:rsidP="00132A6A">
      <w:pPr>
        <w:ind w:left="851"/>
        <w:rPr>
          <w:sz w:val="24"/>
          <w:szCs w:val="24"/>
        </w:rPr>
      </w:pPr>
    </w:p>
    <w:p w14:paraId="018D6690" w14:textId="46BEA01E" w:rsidR="00DB1C4E" w:rsidRPr="00F2263F" w:rsidRDefault="00DB1C4E" w:rsidP="00DB1C4E">
      <w:pPr>
        <w:pStyle w:val="Brdtekst"/>
        <w:widowControl/>
        <w:suppressAutoHyphens/>
        <w:kinsoku w:val="0"/>
        <w:overflowPunct w:val="0"/>
        <w:ind w:left="0"/>
        <w:rPr>
          <w:b/>
          <w:bCs/>
          <w:color w:val="000000" w:themeColor="text1"/>
        </w:rPr>
      </w:pPr>
      <w:r w:rsidRPr="00F2263F">
        <w:rPr>
          <w:b/>
          <w:bCs/>
          <w:color w:val="000000" w:themeColor="text1"/>
        </w:rPr>
        <w:t xml:space="preserve">Tabel 7: Farmakokinetik for emtricitabin og </w:t>
      </w:r>
      <w:r w:rsidR="00202D86">
        <w:rPr>
          <w:b/>
          <w:bCs/>
          <w:color w:val="000000" w:themeColor="text1"/>
        </w:rPr>
        <w:t>tenofovir alafenamid</w:t>
      </w:r>
      <w:r w:rsidRPr="00F2263F">
        <w:rPr>
          <w:b/>
          <w:bCs/>
          <w:color w:val="000000" w:themeColor="text1"/>
        </w:rPr>
        <w:t xml:space="preserve"> hos antiretroviral-naive unge og voksne</w:t>
      </w:r>
    </w:p>
    <w:p w14:paraId="28A46021" w14:textId="77777777" w:rsidR="00DB1C4E" w:rsidRPr="00F2263F" w:rsidRDefault="00DB1C4E" w:rsidP="00DB1C4E">
      <w:pPr>
        <w:pStyle w:val="Brdtekst"/>
        <w:widowControl/>
        <w:suppressAutoHyphens/>
        <w:kinsoku w:val="0"/>
        <w:overflowPunct w:val="0"/>
        <w:ind w:left="0"/>
        <w:rPr>
          <w:color w:val="000000" w:themeColor="text1"/>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42"/>
        <w:gridCol w:w="1473"/>
        <w:gridCol w:w="1309"/>
        <w:gridCol w:w="1306"/>
        <w:gridCol w:w="1471"/>
        <w:gridCol w:w="1306"/>
        <w:gridCol w:w="1221"/>
      </w:tblGrid>
      <w:tr w:rsidR="00DB1C4E" w:rsidRPr="00A718C0" w14:paraId="2D30A5D6" w14:textId="77777777" w:rsidTr="00132A6A">
        <w:trPr>
          <w:cantSplit/>
          <w:trHeight w:val="220"/>
        </w:trPr>
        <w:tc>
          <w:tcPr>
            <w:tcW w:w="801" w:type="pct"/>
            <w:tcBorders>
              <w:top w:val="single" w:sz="4" w:space="0" w:color="000000"/>
              <w:left w:val="single" w:sz="4" w:space="0" w:color="000000"/>
              <w:bottom w:val="single" w:sz="4" w:space="0" w:color="000000"/>
              <w:right w:val="single" w:sz="4" w:space="0" w:color="000000"/>
            </w:tcBorders>
          </w:tcPr>
          <w:p w14:paraId="4508A635" w14:textId="77777777" w:rsidR="00DB1C4E" w:rsidRPr="00A718C0" w:rsidRDefault="00DB1C4E">
            <w:pPr>
              <w:pStyle w:val="TableParagraph"/>
              <w:keepNext/>
              <w:keepLines/>
              <w:rPr>
                <w:sz w:val="22"/>
                <w:szCs w:val="22"/>
                <w:lang w:val="ru-RU" w:eastAsia="ru-RU"/>
              </w:rPr>
            </w:pPr>
          </w:p>
        </w:tc>
        <w:tc>
          <w:tcPr>
            <w:tcW w:w="2123" w:type="pct"/>
            <w:gridSpan w:val="3"/>
            <w:tcBorders>
              <w:top w:val="single" w:sz="4" w:space="0" w:color="000000"/>
              <w:left w:val="single" w:sz="4" w:space="0" w:color="000000"/>
              <w:bottom w:val="single" w:sz="4" w:space="0" w:color="000000"/>
              <w:right w:val="single" w:sz="4" w:space="0" w:color="000000"/>
            </w:tcBorders>
            <w:vAlign w:val="center"/>
            <w:hideMark/>
          </w:tcPr>
          <w:p w14:paraId="77DD2AE3" w14:textId="77777777" w:rsidR="00DB1C4E" w:rsidRPr="00A718C0" w:rsidRDefault="00DB1C4E">
            <w:pPr>
              <w:pStyle w:val="TableParagraph"/>
              <w:keepNext/>
              <w:keepLines/>
              <w:jc w:val="center"/>
              <w:rPr>
                <w:b/>
                <w:sz w:val="22"/>
                <w:szCs w:val="22"/>
                <w:lang w:val="ru-RU" w:eastAsia="ru-RU"/>
              </w:rPr>
            </w:pPr>
            <w:r w:rsidRPr="00A718C0">
              <w:rPr>
                <w:b/>
                <w:sz w:val="22"/>
                <w:szCs w:val="22"/>
                <w:lang w:val="ru-RU" w:eastAsia="ru-RU"/>
              </w:rPr>
              <w:t>Unge</w:t>
            </w:r>
          </w:p>
        </w:tc>
        <w:tc>
          <w:tcPr>
            <w:tcW w:w="2076" w:type="pct"/>
            <w:gridSpan w:val="3"/>
            <w:tcBorders>
              <w:top w:val="single" w:sz="4" w:space="0" w:color="000000"/>
              <w:left w:val="single" w:sz="4" w:space="0" w:color="000000"/>
              <w:bottom w:val="single" w:sz="4" w:space="0" w:color="000000"/>
              <w:right w:val="single" w:sz="4" w:space="0" w:color="000000"/>
            </w:tcBorders>
            <w:vAlign w:val="center"/>
            <w:hideMark/>
          </w:tcPr>
          <w:p w14:paraId="7AC330B6" w14:textId="77777777" w:rsidR="00DB1C4E" w:rsidRPr="00A718C0" w:rsidRDefault="00DB1C4E">
            <w:pPr>
              <w:pStyle w:val="TableParagraph"/>
              <w:keepNext/>
              <w:keepLines/>
              <w:jc w:val="center"/>
              <w:rPr>
                <w:b/>
                <w:sz w:val="22"/>
                <w:szCs w:val="22"/>
                <w:lang w:val="ru-RU" w:eastAsia="ru-RU"/>
              </w:rPr>
            </w:pPr>
            <w:r w:rsidRPr="00A718C0">
              <w:rPr>
                <w:b/>
                <w:sz w:val="22"/>
                <w:szCs w:val="22"/>
                <w:lang w:val="ru-RU" w:eastAsia="ru-RU"/>
              </w:rPr>
              <w:t>Voksne</w:t>
            </w:r>
          </w:p>
        </w:tc>
      </w:tr>
      <w:tr w:rsidR="00DB1C4E" w:rsidRPr="00A718C0" w14:paraId="1F3ECF66" w14:textId="77777777" w:rsidTr="00132A6A">
        <w:trPr>
          <w:cantSplit/>
          <w:trHeight w:val="220"/>
        </w:trPr>
        <w:tc>
          <w:tcPr>
            <w:tcW w:w="801" w:type="pct"/>
            <w:tcBorders>
              <w:top w:val="single" w:sz="4" w:space="0" w:color="000000"/>
              <w:left w:val="single" w:sz="4" w:space="0" w:color="000000"/>
              <w:bottom w:val="single" w:sz="4" w:space="0" w:color="000000"/>
              <w:right w:val="single" w:sz="4" w:space="0" w:color="000000"/>
            </w:tcBorders>
          </w:tcPr>
          <w:p w14:paraId="3E56D5FD" w14:textId="77777777" w:rsidR="00DB1C4E" w:rsidRPr="00A718C0" w:rsidRDefault="00DB1C4E">
            <w:pPr>
              <w:pStyle w:val="TableParagraph"/>
              <w:rPr>
                <w:sz w:val="22"/>
                <w:szCs w:val="22"/>
                <w:lang w:val="ru-RU" w:eastAsia="ru-RU"/>
              </w:rPr>
            </w:pPr>
          </w:p>
        </w:tc>
        <w:tc>
          <w:tcPr>
            <w:tcW w:w="765" w:type="pct"/>
            <w:tcBorders>
              <w:top w:val="single" w:sz="4" w:space="0" w:color="000000"/>
              <w:left w:val="single" w:sz="4" w:space="0" w:color="000000"/>
              <w:bottom w:val="single" w:sz="4" w:space="0" w:color="000000"/>
              <w:right w:val="single" w:sz="4" w:space="0" w:color="000000"/>
            </w:tcBorders>
            <w:vAlign w:val="center"/>
            <w:hideMark/>
          </w:tcPr>
          <w:p w14:paraId="245C1D2F" w14:textId="77777777" w:rsidR="00DB1C4E" w:rsidRPr="00A718C0" w:rsidRDefault="00DB1C4E">
            <w:pPr>
              <w:jc w:val="center"/>
              <w:rPr>
                <w:sz w:val="22"/>
                <w:szCs w:val="22"/>
                <w:lang w:val="ru-RU" w:eastAsia="ru-RU"/>
              </w:rPr>
            </w:pPr>
            <w:r w:rsidRPr="00A718C0">
              <w:rPr>
                <w:sz w:val="22"/>
                <w:szCs w:val="22"/>
                <w:lang w:val="ru-RU" w:eastAsia="ru-RU"/>
              </w:rPr>
              <w:t>FTC</w:t>
            </w:r>
            <w:r w:rsidRPr="00A718C0">
              <w:rPr>
                <w:sz w:val="22"/>
                <w:szCs w:val="22"/>
                <w:vertAlign w:val="superscript"/>
                <w:lang w:val="ru-RU" w:eastAsia="ru-RU"/>
              </w:rPr>
              <w:t>a</w:t>
            </w:r>
          </w:p>
        </w:tc>
        <w:tc>
          <w:tcPr>
            <w:tcW w:w="680" w:type="pct"/>
            <w:tcBorders>
              <w:top w:val="single" w:sz="4" w:space="0" w:color="000000"/>
              <w:left w:val="single" w:sz="4" w:space="0" w:color="000000"/>
              <w:bottom w:val="single" w:sz="4" w:space="0" w:color="000000"/>
              <w:right w:val="single" w:sz="4" w:space="0" w:color="000000"/>
            </w:tcBorders>
            <w:vAlign w:val="center"/>
            <w:hideMark/>
          </w:tcPr>
          <w:p w14:paraId="7CD8587B" w14:textId="77777777" w:rsidR="00DB1C4E" w:rsidRPr="00A718C0" w:rsidRDefault="00DB1C4E">
            <w:pPr>
              <w:jc w:val="center"/>
              <w:rPr>
                <w:sz w:val="22"/>
                <w:szCs w:val="22"/>
                <w:lang w:val="ru-RU" w:eastAsia="ru-RU"/>
              </w:rPr>
            </w:pPr>
            <w:r w:rsidRPr="00A718C0">
              <w:rPr>
                <w:sz w:val="22"/>
                <w:szCs w:val="22"/>
                <w:lang w:val="ru-RU" w:eastAsia="ru-RU"/>
              </w:rPr>
              <w:t>TAF</w:t>
            </w:r>
            <w:r w:rsidRPr="00A718C0">
              <w:rPr>
                <w:sz w:val="22"/>
                <w:szCs w:val="22"/>
                <w:vertAlign w:val="superscript"/>
                <w:lang w:val="ru-RU" w:eastAsia="ru-RU"/>
              </w:rPr>
              <w:t>b</w:t>
            </w:r>
          </w:p>
        </w:tc>
        <w:tc>
          <w:tcPr>
            <w:tcW w:w="678" w:type="pct"/>
            <w:tcBorders>
              <w:top w:val="single" w:sz="4" w:space="0" w:color="000000"/>
              <w:left w:val="single" w:sz="4" w:space="0" w:color="000000"/>
              <w:bottom w:val="single" w:sz="4" w:space="0" w:color="000000"/>
              <w:right w:val="single" w:sz="4" w:space="0" w:color="000000"/>
            </w:tcBorders>
            <w:vAlign w:val="center"/>
            <w:hideMark/>
          </w:tcPr>
          <w:p w14:paraId="12C760AC" w14:textId="77777777" w:rsidR="00DB1C4E" w:rsidRPr="00A718C0" w:rsidRDefault="00DB1C4E">
            <w:pPr>
              <w:jc w:val="center"/>
              <w:rPr>
                <w:sz w:val="22"/>
                <w:szCs w:val="22"/>
                <w:lang w:val="ru-RU" w:eastAsia="ru-RU"/>
              </w:rPr>
            </w:pPr>
            <w:r w:rsidRPr="00A718C0">
              <w:rPr>
                <w:sz w:val="22"/>
                <w:szCs w:val="22"/>
                <w:lang w:val="ru-RU" w:eastAsia="ru-RU"/>
              </w:rPr>
              <w:t>TFV</w:t>
            </w:r>
            <w:r w:rsidRPr="00A718C0">
              <w:rPr>
                <w:sz w:val="22"/>
                <w:szCs w:val="22"/>
                <w:vertAlign w:val="superscript"/>
                <w:lang w:val="ru-RU" w:eastAsia="ru-RU"/>
              </w:rPr>
              <w:t>b</w:t>
            </w:r>
          </w:p>
        </w:tc>
        <w:tc>
          <w:tcPr>
            <w:tcW w:w="764" w:type="pct"/>
            <w:tcBorders>
              <w:top w:val="single" w:sz="4" w:space="0" w:color="000000"/>
              <w:left w:val="single" w:sz="4" w:space="0" w:color="000000"/>
              <w:bottom w:val="single" w:sz="4" w:space="0" w:color="000000"/>
              <w:right w:val="single" w:sz="4" w:space="0" w:color="000000"/>
            </w:tcBorders>
            <w:vAlign w:val="center"/>
            <w:hideMark/>
          </w:tcPr>
          <w:p w14:paraId="05D44EE0" w14:textId="77777777" w:rsidR="00DB1C4E" w:rsidRPr="00A718C0" w:rsidRDefault="00DB1C4E">
            <w:pPr>
              <w:jc w:val="center"/>
              <w:rPr>
                <w:sz w:val="22"/>
                <w:szCs w:val="22"/>
                <w:lang w:val="ru-RU" w:eastAsia="ru-RU"/>
              </w:rPr>
            </w:pPr>
            <w:r w:rsidRPr="00A718C0">
              <w:rPr>
                <w:sz w:val="22"/>
                <w:szCs w:val="22"/>
                <w:lang w:val="ru-RU" w:eastAsia="ru-RU"/>
              </w:rPr>
              <w:t>FTC</w:t>
            </w:r>
            <w:r w:rsidRPr="00A718C0">
              <w:rPr>
                <w:sz w:val="22"/>
                <w:szCs w:val="22"/>
                <w:vertAlign w:val="superscript"/>
                <w:lang w:val="ru-RU" w:eastAsia="ru-RU"/>
              </w:rPr>
              <w:t>a</w:t>
            </w:r>
          </w:p>
        </w:tc>
        <w:tc>
          <w:tcPr>
            <w:tcW w:w="678" w:type="pct"/>
            <w:tcBorders>
              <w:top w:val="single" w:sz="4" w:space="0" w:color="000000"/>
              <w:left w:val="single" w:sz="4" w:space="0" w:color="000000"/>
              <w:bottom w:val="single" w:sz="4" w:space="0" w:color="000000"/>
              <w:right w:val="single" w:sz="4" w:space="0" w:color="000000"/>
            </w:tcBorders>
            <w:vAlign w:val="center"/>
            <w:hideMark/>
          </w:tcPr>
          <w:p w14:paraId="3CE2972E" w14:textId="77777777" w:rsidR="00DB1C4E" w:rsidRPr="00A718C0" w:rsidRDefault="00DB1C4E">
            <w:pPr>
              <w:jc w:val="center"/>
              <w:rPr>
                <w:sz w:val="22"/>
                <w:szCs w:val="22"/>
                <w:lang w:val="ru-RU" w:eastAsia="ru-RU"/>
              </w:rPr>
            </w:pPr>
            <w:r w:rsidRPr="00A718C0">
              <w:rPr>
                <w:sz w:val="22"/>
                <w:szCs w:val="22"/>
                <w:lang w:val="ru-RU" w:eastAsia="ru-RU"/>
              </w:rPr>
              <w:t>TAF</w:t>
            </w:r>
            <w:r w:rsidRPr="00A718C0">
              <w:rPr>
                <w:sz w:val="22"/>
                <w:szCs w:val="22"/>
                <w:vertAlign w:val="superscript"/>
                <w:lang w:val="ru-RU" w:eastAsia="ru-RU"/>
              </w:rPr>
              <w:t>c</w:t>
            </w:r>
          </w:p>
        </w:tc>
        <w:tc>
          <w:tcPr>
            <w:tcW w:w="634" w:type="pct"/>
            <w:tcBorders>
              <w:top w:val="single" w:sz="4" w:space="0" w:color="000000"/>
              <w:left w:val="single" w:sz="4" w:space="0" w:color="000000"/>
              <w:bottom w:val="single" w:sz="4" w:space="0" w:color="000000"/>
              <w:right w:val="single" w:sz="4" w:space="0" w:color="000000"/>
            </w:tcBorders>
            <w:vAlign w:val="center"/>
            <w:hideMark/>
          </w:tcPr>
          <w:p w14:paraId="5BCE9534" w14:textId="77777777" w:rsidR="00DB1C4E" w:rsidRPr="00A718C0" w:rsidRDefault="00DB1C4E">
            <w:pPr>
              <w:jc w:val="center"/>
              <w:rPr>
                <w:sz w:val="22"/>
                <w:szCs w:val="22"/>
                <w:lang w:val="ru-RU" w:eastAsia="ru-RU"/>
              </w:rPr>
            </w:pPr>
            <w:r w:rsidRPr="00A718C0">
              <w:rPr>
                <w:sz w:val="22"/>
                <w:szCs w:val="22"/>
                <w:lang w:val="ru-RU" w:eastAsia="ru-RU"/>
              </w:rPr>
              <w:t>TFV</w:t>
            </w:r>
            <w:r w:rsidRPr="00A718C0">
              <w:rPr>
                <w:sz w:val="22"/>
                <w:szCs w:val="22"/>
                <w:vertAlign w:val="superscript"/>
                <w:lang w:val="ru-RU" w:eastAsia="ru-RU"/>
              </w:rPr>
              <w:t>c</w:t>
            </w:r>
          </w:p>
        </w:tc>
      </w:tr>
      <w:tr w:rsidR="00DB1C4E" w:rsidRPr="00A718C0" w14:paraId="1F79380F" w14:textId="77777777" w:rsidTr="00132A6A">
        <w:trPr>
          <w:cantSplit/>
          <w:trHeight w:val="440"/>
        </w:trPr>
        <w:tc>
          <w:tcPr>
            <w:tcW w:w="801" w:type="pct"/>
            <w:tcBorders>
              <w:top w:val="single" w:sz="4" w:space="0" w:color="000000"/>
              <w:left w:val="single" w:sz="4" w:space="0" w:color="000000"/>
              <w:bottom w:val="single" w:sz="4" w:space="0" w:color="000000"/>
              <w:right w:val="single" w:sz="4" w:space="0" w:color="000000"/>
            </w:tcBorders>
            <w:hideMark/>
          </w:tcPr>
          <w:p w14:paraId="47A737EC" w14:textId="77777777" w:rsidR="00DB1C4E" w:rsidRPr="00A718C0" w:rsidRDefault="00DB1C4E">
            <w:pPr>
              <w:ind w:left="142"/>
              <w:rPr>
                <w:b/>
                <w:bCs/>
                <w:sz w:val="22"/>
                <w:szCs w:val="22"/>
                <w:lang w:val="ru-RU" w:eastAsia="ru-RU"/>
              </w:rPr>
            </w:pPr>
            <w:r w:rsidRPr="00A718C0">
              <w:rPr>
                <w:b/>
                <w:bCs/>
                <w:sz w:val="22"/>
                <w:szCs w:val="22"/>
                <w:lang w:val="ru-RU" w:eastAsia="ru-RU"/>
              </w:rPr>
              <w:t>AUC</w:t>
            </w:r>
            <w:r w:rsidRPr="00A718C0">
              <w:rPr>
                <w:b/>
                <w:bCs/>
                <w:sz w:val="22"/>
                <w:szCs w:val="22"/>
                <w:vertAlign w:val="subscript"/>
                <w:lang w:val="ru-RU" w:eastAsia="ru-RU"/>
              </w:rPr>
              <w:t>tau</w:t>
            </w:r>
            <w:r w:rsidRPr="00A718C0">
              <w:rPr>
                <w:b/>
                <w:bCs/>
                <w:sz w:val="22"/>
                <w:szCs w:val="22"/>
                <w:lang w:val="ru-RU" w:eastAsia="ru-RU"/>
              </w:rPr>
              <w:t xml:space="preserve"> (ng•t/ml)</w:t>
            </w:r>
          </w:p>
        </w:tc>
        <w:tc>
          <w:tcPr>
            <w:tcW w:w="765" w:type="pct"/>
            <w:tcBorders>
              <w:top w:val="single" w:sz="4" w:space="0" w:color="000000"/>
              <w:left w:val="single" w:sz="4" w:space="0" w:color="000000"/>
              <w:bottom w:val="single" w:sz="4" w:space="0" w:color="000000"/>
              <w:right w:val="single" w:sz="4" w:space="0" w:color="000000"/>
            </w:tcBorders>
            <w:vAlign w:val="center"/>
            <w:hideMark/>
          </w:tcPr>
          <w:p w14:paraId="75193797" w14:textId="77777777" w:rsidR="00DB1C4E" w:rsidRPr="00A718C0" w:rsidRDefault="00DB1C4E">
            <w:pPr>
              <w:pStyle w:val="TableParagraph"/>
              <w:jc w:val="center"/>
              <w:rPr>
                <w:sz w:val="22"/>
                <w:szCs w:val="22"/>
                <w:lang w:val="ru-RU" w:eastAsia="ru-RU"/>
              </w:rPr>
            </w:pPr>
            <w:r w:rsidRPr="00A718C0">
              <w:rPr>
                <w:sz w:val="22"/>
                <w:szCs w:val="22"/>
                <w:lang w:val="ru-RU" w:eastAsia="ru-RU"/>
              </w:rPr>
              <w:t>14.424,4</w:t>
            </w:r>
          </w:p>
          <w:p w14:paraId="63769A68" w14:textId="77777777" w:rsidR="00DB1C4E" w:rsidRPr="00A718C0" w:rsidRDefault="00DB1C4E">
            <w:pPr>
              <w:pStyle w:val="TableParagraph"/>
              <w:jc w:val="center"/>
              <w:rPr>
                <w:sz w:val="22"/>
                <w:szCs w:val="22"/>
                <w:lang w:val="ru-RU" w:eastAsia="ru-RU"/>
              </w:rPr>
            </w:pPr>
            <w:r w:rsidRPr="00A718C0">
              <w:rPr>
                <w:sz w:val="22"/>
                <w:szCs w:val="22"/>
                <w:lang w:val="ru-RU" w:eastAsia="ru-RU"/>
              </w:rPr>
              <w:t>(23,9)</w:t>
            </w:r>
          </w:p>
        </w:tc>
        <w:tc>
          <w:tcPr>
            <w:tcW w:w="680" w:type="pct"/>
            <w:tcBorders>
              <w:top w:val="single" w:sz="4" w:space="0" w:color="000000"/>
              <w:left w:val="single" w:sz="4" w:space="0" w:color="000000"/>
              <w:bottom w:val="single" w:sz="4" w:space="0" w:color="000000"/>
              <w:right w:val="single" w:sz="4" w:space="0" w:color="000000"/>
            </w:tcBorders>
            <w:vAlign w:val="center"/>
            <w:hideMark/>
          </w:tcPr>
          <w:p w14:paraId="580E800A" w14:textId="77777777" w:rsidR="00DB1C4E" w:rsidRPr="00A718C0" w:rsidRDefault="00DB1C4E">
            <w:pPr>
              <w:pStyle w:val="TableParagraph"/>
              <w:jc w:val="center"/>
              <w:rPr>
                <w:sz w:val="22"/>
                <w:szCs w:val="22"/>
                <w:lang w:val="ru-RU" w:eastAsia="ru-RU"/>
              </w:rPr>
            </w:pPr>
            <w:r w:rsidRPr="00A718C0">
              <w:rPr>
                <w:sz w:val="22"/>
                <w:szCs w:val="22"/>
                <w:lang w:val="ru-RU" w:eastAsia="ru-RU"/>
              </w:rPr>
              <w:t>242,8</w:t>
            </w:r>
          </w:p>
          <w:p w14:paraId="3F52EDED" w14:textId="77777777" w:rsidR="00DB1C4E" w:rsidRPr="00A718C0" w:rsidRDefault="00DB1C4E">
            <w:pPr>
              <w:pStyle w:val="TableParagraph"/>
              <w:jc w:val="center"/>
              <w:rPr>
                <w:sz w:val="22"/>
                <w:szCs w:val="22"/>
                <w:lang w:val="ru-RU" w:eastAsia="ru-RU"/>
              </w:rPr>
            </w:pPr>
            <w:r w:rsidRPr="00A718C0">
              <w:rPr>
                <w:sz w:val="22"/>
                <w:szCs w:val="22"/>
                <w:lang w:val="ru-RU" w:eastAsia="ru-RU"/>
              </w:rPr>
              <w:t>(57,8)</w:t>
            </w:r>
          </w:p>
        </w:tc>
        <w:tc>
          <w:tcPr>
            <w:tcW w:w="678" w:type="pct"/>
            <w:tcBorders>
              <w:top w:val="single" w:sz="4" w:space="0" w:color="000000"/>
              <w:left w:val="single" w:sz="4" w:space="0" w:color="000000"/>
              <w:bottom w:val="single" w:sz="4" w:space="0" w:color="000000"/>
              <w:right w:val="single" w:sz="4" w:space="0" w:color="000000"/>
            </w:tcBorders>
            <w:vAlign w:val="center"/>
            <w:hideMark/>
          </w:tcPr>
          <w:p w14:paraId="6B7E8552" w14:textId="77777777" w:rsidR="00DB1C4E" w:rsidRPr="00A718C0" w:rsidRDefault="00DB1C4E">
            <w:pPr>
              <w:pStyle w:val="TableParagraph"/>
              <w:jc w:val="center"/>
              <w:rPr>
                <w:sz w:val="22"/>
                <w:szCs w:val="22"/>
                <w:lang w:val="ru-RU" w:eastAsia="ru-RU"/>
              </w:rPr>
            </w:pPr>
            <w:r w:rsidRPr="00A718C0">
              <w:rPr>
                <w:sz w:val="22"/>
                <w:szCs w:val="22"/>
                <w:lang w:val="ru-RU" w:eastAsia="ru-RU"/>
              </w:rPr>
              <w:t>275,8</w:t>
            </w:r>
          </w:p>
          <w:p w14:paraId="6FCD8E07" w14:textId="77777777" w:rsidR="00DB1C4E" w:rsidRPr="00A718C0" w:rsidRDefault="00DB1C4E">
            <w:pPr>
              <w:pStyle w:val="TableParagraph"/>
              <w:jc w:val="center"/>
              <w:rPr>
                <w:sz w:val="22"/>
                <w:szCs w:val="22"/>
                <w:lang w:val="ru-RU" w:eastAsia="ru-RU"/>
              </w:rPr>
            </w:pPr>
            <w:r w:rsidRPr="00A718C0">
              <w:rPr>
                <w:sz w:val="22"/>
                <w:szCs w:val="22"/>
                <w:lang w:val="ru-RU" w:eastAsia="ru-RU"/>
              </w:rPr>
              <w:t>(18,4)</w:t>
            </w:r>
          </w:p>
        </w:tc>
        <w:tc>
          <w:tcPr>
            <w:tcW w:w="764" w:type="pct"/>
            <w:tcBorders>
              <w:top w:val="single" w:sz="4" w:space="0" w:color="000000"/>
              <w:left w:val="single" w:sz="4" w:space="0" w:color="000000"/>
              <w:bottom w:val="single" w:sz="4" w:space="0" w:color="000000"/>
              <w:right w:val="single" w:sz="4" w:space="0" w:color="000000"/>
            </w:tcBorders>
            <w:vAlign w:val="center"/>
            <w:hideMark/>
          </w:tcPr>
          <w:p w14:paraId="3BCE8A78" w14:textId="77777777" w:rsidR="00DB1C4E" w:rsidRPr="00A718C0" w:rsidRDefault="00DB1C4E">
            <w:pPr>
              <w:pStyle w:val="TableParagraph"/>
              <w:jc w:val="center"/>
              <w:rPr>
                <w:sz w:val="22"/>
                <w:szCs w:val="22"/>
                <w:lang w:val="ru-RU" w:eastAsia="ru-RU"/>
              </w:rPr>
            </w:pPr>
            <w:r w:rsidRPr="00A718C0">
              <w:rPr>
                <w:sz w:val="22"/>
                <w:szCs w:val="22"/>
                <w:lang w:val="ru-RU" w:eastAsia="ru-RU"/>
              </w:rPr>
              <w:t>11.714,1</w:t>
            </w:r>
          </w:p>
          <w:p w14:paraId="7DA2F508" w14:textId="77777777" w:rsidR="00DB1C4E" w:rsidRPr="00A718C0" w:rsidRDefault="00DB1C4E">
            <w:pPr>
              <w:pStyle w:val="TableParagraph"/>
              <w:jc w:val="center"/>
              <w:rPr>
                <w:sz w:val="22"/>
                <w:szCs w:val="22"/>
                <w:lang w:val="ru-RU" w:eastAsia="ru-RU"/>
              </w:rPr>
            </w:pPr>
            <w:r w:rsidRPr="00A718C0">
              <w:rPr>
                <w:sz w:val="22"/>
                <w:szCs w:val="22"/>
                <w:lang w:val="ru-RU" w:eastAsia="ru-RU"/>
              </w:rPr>
              <w:t>(16,6)</w:t>
            </w:r>
          </w:p>
        </w:tc>
        <w:tc>
          <w:tcPr>
            <w:tcW w:w="678" w:type="pct"/>
            <w:tcBorders>
              <w:top w:val="single" w:sz="4" w:space="0" w:color="000000"/>
              <w:left w:val="single" w:sz="4" w:space="0" w:color="000000"/>
              <w:bottom w:val="single" w:sz="4" w:space="0" w:color="000000"/>
              <w:right w:val="single" w:sz="4" w:space="0" w:color="000000"/>
            </w:tcBorders>
            <w:vAlign w:val="center"/>
            <w:hideMark/>
          </w:tcPr>
          <w:p w14:paraId="6F9F3322" w14:textId="77777777" w:rsidR="00DB1C4E" w:rsidRPr="00A718C0" w:rsidRDefault="00DB1C4E">
            <w:pPr>
              <w:pStyle w:val="TableParagraph"/>
              <w:jc w:val="center"/>
              <w:rPr>
                <w:sz w:val="22"/>
                <w:szCs w:val="22"/>
                <w:lang w:val="ru-RU" w:eastAsia="ru-RU"/>
              </w:rPr>
            </w:pPr>
            <w:r w:rsidRPr="00A718C0">
              <w:rPr>
                <w:sz w:val="22"/>
                <w:szCs w:val="22"/>
                <w:lang w:val="ru-RU" w:eastAsia="ru-RU"/>
              </w:rPr>
              <w:t>206,4</w:t>
            </w:r>
          </w:p>
          <w:p w14:paraId="497989AD" w14:textId="77777777" w:rsidR="00DB1C4E" w:rsidRPr="00A718C0" w:rsidRDefault="00DB1C4E">
            <w:pPr>
              <w:pStyle w:val="TableParagraph"/>
              <w:jc w:val="center"/>
              <w:rPr>
                <w:sz w:val="22"/>
                <w:szCs w:val="22"/>
                <w:lang w:val="ru-RU" w:eastAsia="ru-RU"/>
              </w:rPr>
            </w:pPr>
            <w:r w:rsidRPr="00A718C0">
              <w:rPr>
                <w:sz w:val="22"/>
                <w:szCs w:val="22"/>
                <w:lang w:val="ru-RU" w:eastAsia="ru-RU"/>
              </w:rPr>
              <w:t>(71,8)</w:t>
            </w:r>
          </w:p>
        </w:tc>
        <w:tc>
          <w:tcPr>
            <w:tcW w:w="634" w:type="pct"/>
            <w:tcBorders>
              <w:top w:val="single" w:sz="4" w:space="0" w:color="000000"/>
              <w:left w:val="single" w:sz="4" w:space="0" w:color="000000"/>
              <w:bottom w:val="single" w:sz="4" w:space="0" w:color="000000"/>
              <w:right w:val="single" w:sz="4" w:space="0" w:color="000000"/>
            </w:tcBorders>
            <w:vAlign w:val="center"/>
            <w:hideMark/>
          </w:tcPr>
          <w:p w14:paraId="56A38218" w14:textId="77777777" w:rsidR="00DB1C4E" w:rsidRPr="00A718C0" w:rsidRDefault="00DB1C4E">
            <w:pPr>
              <w:pStyle w:val="TableParagraph"/>
              <w:jc w:val="center"/>
              <w:rPr>
                <w:sz w:val="22"/>
                <w:szCs w:val="22"/>
                <w:lang w:val="ru-RU" w:eastAsia="ru-RU"/>
              </w:rPr>
            </w:pPr>
            <w:r w:rsidRPr="00A718C0">
              <w:rPr>
                <w:sz w:val="22"/>
                <w:szCs w:val="22"/>
                <w:lang w:val="ru-RU" w:eastAsia="ru-RU"/>
              </w:rPr>
              <w:t>292,6</w:t>
            </w:r>
          </w:p>
          <w:p w14:paraId="59C2C129" w14:textId="77777777" w:rsidR="00DB1C4E" w:rsidRPr="00A718C0" w:rsidRDefault="00DB1C4E">
            <w:pPr>
              <w:pStyle w:val="TableParagraph"/>
              <w:jc w:val="center"/>
              <w:rPr>
                <w:sz w:val="22"/>
                <w:szCs w:val="22"/>
                <w:lang w:val="ru-RU" w:eastAsia="ru-RU"/>
              </w:rPr>
            </w:pPr>
            <w:r w:rsidRPr="00A718C0">
              <w:rPr>
                <w:sz w:val="22"/>
                <w:szCs w:val="22"/>
                <w:lang w:val="ru-RU" w:eastAsia="ru-RU"/>
              </w:rPr>
              <w:t>(27,4)</w:t>
            </w:r>
          </w:p>
        </w:tc>
      </w:tr>
      <w:tr w:rsidR="00DB1C4E" w:rsidRPr="00A718C0" w14:paraId="292CCD5F" w14:textId="77777777" w:rsidTr="00132A6A">
        <w:trPr>
          <w:cantSplit/>
          <w:trHeight w:val="459"/>
        </w:trPr>
        <w:tc>
          <w:tcPr>
            <w:tcW w:w="801" w:type="pct"/>
            <w:tcBorders>
              <w:top w:val="single" w:sz="4" w:space="0" w:color="000000"/>
              <w:left w:val="single" w:sz="4" w:space="0" w:color="000000"/>
              <w:bottom w:val="single" w:sz="4" w:space="0" w:color="000000"/>
              <w:right w:val="single" w:sz="4" w:space="0" w:color="000000"/>
            </w:tcBorders>
            <w:hideMark/>
          </w:tcPr>
          <w:p w14:paraId="08685C16" w14:textId="77777777" w:rsidR="00DB1C4E" w:rsidRPr="00A718C0" w:rsidRDefault="00DB1C4E">
            <w:pPr>
              <w:ind w:left="142"/>
              <w:rPr>
                <w:b/>
                <w:bCs/>
                <w:sz w:val="22"/>
                <w:szCs w:val="22"/>
                <w:lang w:val="ru-RU" w:eastAsia="ru-RU"/>
              </w:rPr>
            </w:pPr>
            <w:r w:rsidRPr="00A718C0">
              <w:rPr>
                <w:b/>
                <w:bCs/>
                <w:sz w:val="22"/>
                <w:szCs w:val="22"/>
                <w:lang w:val="ru-RU" w:eastAsia="ru-RU"/>
              </w:rPr>
              <w:t>C</w:t>
            </w:r>
            <w:r w:rsidRPr="00A718C0">
              <w:rPr>
                <w:b/>
                <w:bCs/>
                <w:sz w:val="22"/>
                <w:szCs w:val="22"/>
                <w:vertAlign w:val="subscript"/>
                <w:lang w:val="ru-RU" w:eastAsia="ru-RU"/>
              </w:rPr>
              <w:t>max</w:t>
            </w:r>
            <w:r w:rsidRPr="00A718C0">
              <w:rPr>
                <w:b/>
                <w:bCs/>
                <w:sz w:val="22"/>
                <w:szCs w:val="22"/>
                <w:lang w:val="ru-RU" w:eastAsia="ru-RU"/>
              </w:rPr>
              <w:t xml:space="preserve"> </w:t>
            </w:r>
          </w:p>
          <w:p w14:paraId="26A17A28" w14:textId="77777777" w:rsidR="00DB1C4E" w:rsidRPr="00A718C0" w:rsidRDefault="00DB1C4E">
            <w:pPr>
              <w:ind w:left="142"/>
              <w:rPr>
                <w:b/>
                <w:bCs/>
                <w:sz w:val="22"/>
                <w:szCs w:val="22"/>
                <w:lang w:val="ru-RU" w:eastAsia="ru-RU"/>
              </w:rPr>
            </w:pPr>
            <w:r w:rsidRPr="00A718C0">
              <w:rPr>
                <w:b/>
                <w:bCs/>
                <w:sz w:val="22"/>
                <w:szCs w:val="22"/>
                <w:lang w:val="ru-RU" w:eastAsia="ru-RU"/>
              </w:rPr>
              <w:t>(ng/ml)</w:t>
            </w:r>
          </w:p>
        </w:tc>
        <w:tc>
          <w:tcPr>
            <w:tcW w:w="765" w:type="pct"/>
            <w:tcBorders>
              <w:top w:val="single" w:sz="4" w:space="0" w:color="000000"/>
              <w:left w:val="single" w:sz="4" w:space="0" w:color="000000"/>
              <w:bottom w:val="single" w:sz="4" w:space="0" w:color="000000"/>
              <w:right w:val="single" w:sz="4" w:space="0" w:color="000000"/>
            </w:tcBorders>
            <w:vAlign w:val="center"/>
            <w:hideMark/>
          </w:tcPr>
          <w:p w14:paraId="1BD812EC" w14:textId="77777777" w:rsidR="00DB1C4E" w:rsidRPr="00A718C0" w:rsidRDefault="00DB1C4E">
            <w:pPr>
              <w:pStyle w:val="TableParagraph"/>
              <w:jc w:val="center"/>
              <w:rPr>
                <w:sz w:val="22"/>
                <w:szCs w:val="22"/>
                <w:lang w:val="ru-RU" w:eastAsia="ru-RU"/>
              </w:rPr>
            </w:pPr>
            <w:r w:rsidRPr="00A718C0">
              <w:rPr>
                <w:sz w:val="22"/>
                <w:szCs w:val="22"/>
                <w:lang w:val="ru-RU" w:eastAsia="ru-RU"/>
              </w:rPr>
              <w:t>2.265,0</w:t>
            </w:r>
          </w:p>
          <w:p w14:paraId="4B5A98AA" w14:textId="77777777" w:rsidR="00DB1C4E" w:rsidRPr="00A718C0" w:rsidRDefault="00DB1C4E">
            <w:pPr>
              <w:pStyle w:val="TableParagraph"/>
              <w:jc w:val="center"/>
              <w:rPr>
                <w:sz w:val="22"/>
                <w:szCs w:val="22"/>
                <w:lang w:val="ru-RU" w:eastAsia="ru-RU"/>
              </w:rPr>
            </w:pPr>
            <w:r w:rsidRPr="00A718C0">
              <w:rPr>
                <w:sz w:val="22"/>
                <w:szCs w:val="22"/>
                <w:lang w:val="ru-RU" w:eastAsia="ru-RU"/>
              </w:rPr>
              <w:t>(22,5)</w:t>
            </w:r>
          </w:p>
        </w:tc>
        <w:tc>
          <w:tcPr>
            <w:tcW w:w="680" w:type="pct"/>
            <w:tcBorders>
              <w:top w:val="single" w:sz="4" w:space="0" w:color="000000"/>
              <w:left w:val="single" w:sz="4" w:space="0" w:color="000000"/>
              <w:bottom w:val="single" w:sz="4" w:space="0" w:color="000000"/>
              <w:right w:val="single" w:sz="4" w:space="0" w:color="000000"/>
            </w:tcBorders>
            <w:vAlign w:val="center"/>
            <w:hideMark/>
          </w:tcPr>
          <w:p w14:paraId="6D9F7CAF" w14:textId="77777777" w:rsidR="00DB1C4E" w:rsidRPr="00A718C0" w:rsidRDefault="00DB1C4E">
            <w:pPr>
              <w:pStyle w:val="TableParagraph"/>
              <w:jc w:val="center"/>
              <w:rPr>
                <w:sz w:val="22"/>
                <w:szCs w:val="22"/>
                <w:lang w:val="ru-RU" w:eastAsia="ru-RU"/>
              </w:rPr>
            </w:pPr>
            <w:r w:rsidRPr="00A718C0">
              <w:rPr>
                <w:sz w:val="22"/>
                <w:szCs w:val="22"/>
                <w:lang w:val="ru-RU" w:eastAsia="ru-RU"/>
              </w:rPr>
              <w:t>121,7</w:t>
            </w:r>
          </w:p>
          <w:p w14:paraId="1A7F37FE" w14:textId="77777777" w:rsidR="00DB1C4E" w:rsidRPr="00A718C0" w:rsidRDefault="00DB1C4E">
            <w:pPr>
              <w:pStyle w:val="TableParagraph"/>
              <w:jc w:val="center"/>
              <w:rPr>
                <w:sz w:val="22"/>
                <w:szCs w:val="22"/>
                <w:lang w:val="ru-RU" w:eastAsia="ru-RU"/>
              </w:rPr>
            </w:pPr>
            <w:r w:rsidRPr="00A718C0">
              <w:rPr>
                <w:sz w:val="22"/>
                <w:szCs w:val="22"/>
                <w:lang w:val="ru-RU" w:eastAsia="ru-RU"/>
              </w:rPr>
              <w:t>(46,2)</w:t>
            </w:r>
          </w:p>
        </w:tc>
        <w:tc>
          <w:tcPr>
            <w:tcW w:w="678" w:type="pct"/>
            <w:tcBorders>
              <w:top w:val="single" w:sz="4" w:space="0" w:color="000000"/>
              <w:left w:val="single" w:sz="4" w:space="0" w:color="000000"/>
              <w:bottom w:val="single" w:sz="4" w:space="0" w:color="000000"/>
              <w:right w:val="single" w:sz="4" w:space="0" w:color="000000"/>
            </w:tcBorders>
            <w:vAlign w:val="center"/>
            <w:hideMark/>
          </w:tcPr>
          <w:p w14:paraId="1D93CCD7" w14:textId="77777777" w:rsidR="00DB1C4E" w:rsidRPr="00A718C0" w:rsidRDefault="00DB1C4E">
            <w:pPr>
              <w:pStyle w:val="TableParagraph"/>
              <w:jc w:val="center"/>
              <w:rPr>
                <w:sz w:val="22"/>
                <w:szCs w:val="22"/>
                <w:lang w:val="ru-RU" w:eastAsia="ru-RU"/>
              </w:rPr>
            </w:pPr>
            <w:r w:rsidRPr="00A718C0">
              <w:rPr>
                <w:sz w:val="22"/>
                <w:szCs w:val="22"/>
                <w:lang w:val="ru-RU" w:eastAsia="ru-RU"/>
              </w:rPr>
              <w:t xml:space="preserve">14,6 </w:t>
            </w:r>
          </w:p>
          <w:p w14:paraId="4A26051C" w14:textId="77777777" w:rsidR="00DB1C4E" w:rsidRPr="00A718C0" w:rsidRDefault="00DB1C4E">
            <w:pPr>
              <w:pStyle w:val="TableParagraph"/>
              <w:jc w:val="center"/>
              <w:rPr>
                <w:sz w:val="22"/>
                <w:szCs w:val="22"/>
                <w:lang w:val="ru-RU" w:eastAsia="ru-RU"/>
              </w:rPr>
            </w:pPr>
            <w:r w:rsidRPr="00A718C0">
              <w:rPr>
                <w:sz w:val="22"/>
                <w:szCs w:val="22"/>
                <w:lang w:val="ru-RU" w:eastAsia="ru-RU"/>
              </w:rPr>
              <w:t>(20,0)</w:t>
            </w:r>
          </w:p>
        </w:tc>
        <w:tc>
          <w:tcPr>
            <w:tcW w:w="764" w:type="pct"/>
            <w:tcBorders>
              <w:top w:val="single" w:sz="4" w:space="0" w:color="000000"/>
              <w:left w:val="single" w:sz="4" w:space="0" w:color="000000"/>
              <w:bottom w:val="single" w:sz="4" w:space="0" w:color="000000"/>
              <w:right w:val="single" w:sz="4" w:space="0" w:color="000000"/>
            </w:tcBorders>
            <w:vAlign w:val="center"/>
            <w:hideMark/>
          </w:tcPr>
          <w:p w14:paraId="2F9ED512" w14:textId="77777777" w:rsidR="00DB1C4E" w:rsidRPr="00A718C0" w:rsidRDefault="00DB1C4E">
            <w:pPr>
              <w:pStyle w:val="TableParagraph"/>
              <w:jc w:val="center"/>
              <w:rPr>
                <w:sz w:val="22"/>
                <w:szCs w:val="22"/>
                <w:lang w:val="ru-RU" w:eastAsia="ru-RU"/>
              </w:rPr>
            </w:pPr>
            <w:r w:rsidRPr="00A718C0">
              <w:rPr>
                <w:sz w:val="22"/>
                <w:szCs w:val="22"/>
                <w:lang w:val="ru-RU" w:eastAsia="ru-RU"/>
              </w:rPr>
              <w:t>2.056,3</w:t>
            </w:r>
          </w:p>
          <w:p w14:paraId="7B60DB78" w14:textId="77777777" w:rsidR="00DB1C4E" w:rsidRPr="00A718C0" w:rsidRDefault="00DB1C4E">
            <w:pPr>
              <w:pStyle w:val="TableParagraph"/>
              <w:jc w:val="center"/>
              <w:rPr>
                <w:sz w:val="22"/>
                <w:szCs w:val="22"/>
                <w:lang w:val="ru-RU" w:eastAsia="ru-RU"/>
              </w:rPr>
            </w:pPr>
            <w:r w:rsidRPr="00A718C0">
              <w:rPr>
                <w:sz w:val="22"/>
                <w:szCs w:val="22"/>
                <w:lang w:val="ru-RU" w:eastAsia="ru-RU"/>
              </w:rPr>
              <w:t>(20,2)</w:t>
            </w:r>
          </w:p>
        </w:tc>
        <w:tc>
          <w:tcPr>
            <w:tcW w:w="678" w:type="pct"/>
            <w:tcBorders>
              <w:top w:val="single" w:sz="4" w:space="0" w:color="000000"/>
              <w:left w:val="single" w:sz="4" w:space="0" w:color="000000"/>
              <w:bottom w:val="single" w:sz="4" w:space="0" w:color="000000"/>
              <w:right w:val="single" w:sz="4" w:space="0" w:color="000000"/>
            </w:tcBorders>
            <w:vAlign w:val="center"/>
            <w:hideMark/>
          </w:tcPr>
          <w:p w14:paraId="4DD072D2" w14:textId="77777777" w:rsidR="00DB1C4E" w:rsidRPr="00A718C0" w:rsidRDefault="00DB1C4E">
            <w:pPr>
              <w:pStyle w:val="TableParagraph"/>
              <w:jc w:val="center"/>
              <w:rPr>
                <w:sz w:val="22"/>
                <w:szCs w:val="22"/>
                <w:lang w:val="ru-RU" w:eastAsia="ru-RU"/>
              </w:rPr>
            </w:pPr>
            <w:r w:rsidRPr="00A718C0">
              <w:rPr>
                <w:sz w:val="22"/>
                <w:szCs w:val="22"/>
                <w:lang w:val="ru-RU" w:eastAsia="ru-RU"/>
              </w:rPr>
              <w:t>162,2</w:t>
            </w:r>
          </w:p>
          <w:p w14:paraId="50D1AF3D" w14:textId="77777777" w:rsidR="00DB1C4E" w:rsidRPr="00A718C0" w:rsidRDefault="00DB1C4E">
            <w:pPr>
              <w:pStyle w:val="TableParagraph"/>
              <w:jc w:val="center"/>
              <w:rPr>
                <w:sz w:val="22"/>
                <w:szCs w:val="22"/>
                <w:lang w:val="ru-RU" w:eastAsia="ru-RU"/>
              </w:rPr>
            </w:pPr>
            <w:r w:rsidRPr="00A718C0">
              <w:rPr>
                <w:sz w:val="22"/>
                <w:szCs w:val="22"/>
                <w:lang w:val="ru-RU" w:eastAsia="ru-RU"/>
              </w:rPr>
              <w:t>(51,1)</w:t>
            </w:r>
          </w:p>
        </w:tc>
        <w:tc>
          <w:tcPr>
            <w:tcW w:w="634" w:type="pct"/>
            <w:tcBorders>
              <w:top w:val="single" w:sz="4" w:space="0" w:color="000000"/>
              <w:left w:val="single" w:sz="4" w:space="0" w:color="000000"/>
              <w:bottom w:val="single" w:sz="4" w:space="0" w:color="000000"/>
              <w:right w:val="single" w:sz="4" w:space="0" w:color="000000"/>
            </w:tcBorders>
            <w:vAlign w:val="center"/>
            <w:hideMark/>
          </w:tcPr>
          <w:p w14:paraId="173CA5E8" w14:textId="77777777" w:rsidR="00DB1C4E" w:rsidRPr="00A718C0" w:rsidRDefault="00DB1C4E">
            <w:pPr>
              <w:pStyle w:val="TableParagraph"/>
              <w:jc w:val="center"/>
              <w:rPr>
                <w:sz w:val="22"/>
                <w:szCs w:val="22"/>
                <w:lang w:val="ru-RU" w:eastAsia="ru-RU"/>
              </w:rPr>
            </w:pPr>
            <w:r w:rsidRPr="00A718C0">
              <w:rPr>
                <w:sz w:val="22"/>
                <w:szCs w:val="22"/>
                <w:lang w:val="ru-RU" w:eastAsia="ru-RU"/>
              </w:rPr>
              <w:t>15,2</w:t>
            </w:r>
          </w:p>
          <w:p w14:paraId="0CB57A98" w14:textId="77777777" w:rsidR="00DB1C4E" w:rsidRPr="00A718C0" w:rsidRDefault="00DB1C4E">
            <w:pPr>
              <w:pStyle w:val="TableParagraph"/>
              <w:jc w:val="center"/>
              <w:rPr>
                <w:sz w:val="22"/>
                <w:szCs w:val="22"/>
                <w:lang w:val="ru-RU" w:eastAsia="ru-RU"/>
              </w:rPr>
            </w:pPr>
            <w:r w:rsidRPr="00A718C0">
              <w:rPr>
                <w:sz w:val="22"/>
                <w:szCs w:val="22"/>
                <w:lang w:val="ru-RU" w:eastAsia="ru-RU"/>
              </w:rPr>
              <w:t>(26,1)</w:t>
            </w:r>
          </w:p>
        </w:tc>
      </w:tr>
      <w:tr w:rsidR="00DB1C4E" w:rsidRPr="00A718C0" w14:paraId="66044748" w14:textId="77777777" w:rsidTr="00132A6A">
        <w:trPr>
          <w:cantSplit/>
          <w:trHeight w:val="459"/>
        </w:trPr>
        <w:tc>
          <w:tcPr>
            <w:tcW w:w="801" w:type="pct"/>
            <w:tcBorders>
              <w:top w:val="single" w:sz="4" w:space="0" w:color="000000"/>
              <w:left w:val="single" w:sz="4" w:space="0" w:color="000000"/>
              <w:bottom w:val="single" w:sz="4" w:space="0" w:color="000000"/>
              <w:right w:val="single" w:sz="4" w:space="0" w:color="000000"/>
            </w:tcBorders>
            <w:hideMark/>
          </w:tcPr>
          <w:p w14:paraId="36CF792C" w14:textId="77777777" w:rsidR="00DB1C4E" w:rsidRPr="00A718C0" w:rsidRDefault="00DB1C4E">
            <w:pPr>
              <w:ind w:left="142"/>
              <w:rPr>
                <w:b/>
                <w:bCs/>
                <w:sz w:val="22"/>
                <w:szCs w:val="22"/>
                <w:lang w:val="ru-RU" w:eastAsia="ru-RU"/>
              </w:rPr>
            </w:pPr>
            <w:r w:rsidRPr="00A718C0">
              <w:rPr>
                <w:b/>
                <w:bCs/>
                <w:sz w:val="22"/>
                <w:szCs w:val="22"/>
                <w:lang w:val="ru-RU" w:eastAsia="ru-RU"/>
              </w:rPr>
              <w:t>C</w:t>
            </w:r>
            <w:r w:rsidRPr="00A718C0">
              <w:rPr>
                <w:b/>
                <w:bCs/>
                <w:sz w:val="22"/>
                <w:szCs w:val="22"/>
                <w:vertAlign w:val="subscript"/>
                <w:lang w:val="ru-RU" w:eastAsia="ru-RU"/>
              </w:rPr>
              <w:t>tau</w:t>
            </w:r>
            <w:r w:rsidRPr="00A718C0">
              <w:rPr>
                <w:b/>
                <w:bCs/>
                <w:sz w:val="22"/>
                <w:szCs w:val="22"/>
                <w:lang w:val="ru-RU" w:eastAsia="ru-RU"/>
              </w:rPr>
              <w:t xml:space="preserve"> </w:t>
            </w:r>
          </w:p>
          <w:p w14:paraId="506867A6" w14:textId="77777777" w:rsidR="00DB1C4E" w:rsidRPr="00A718C0" w:rsidRDefault="00DB1C4E">
            <w:pPr>
              <w:ind w:left="142"/>
              <w:rPr>
                <w:b/>
                <w:bCs/>
                <w:sz w:val="22"/>
                <w:szCs w:val="22"/>
                <w:lang w:val="ru-RU" w:eastAsia="ru-RU"/>
              </w:rPr>
            </w:pPr>
            <w:r w:rsidRPr="00A718C0">
              <w:rPr>
                <w:b/>
                <w:bCs/>
                <w:sz w:val="22"/>
                <w:szCs w:val="22"/>
                <w:lang w:val="ru-RU" w:eastAsia="ru-RU"/>
              </w:rPr>
              <w:t>(ng/ml)</w:t>
            </w:r>
          </w:p>
        </w:tc>
        <w:tc>
          <w:tcPr>
            <w:tcW w:w="765" w:type="pct"/>
            <w:tcBorders>
              <w:top w:val="single" w:sz="4" w:space="0" w:color="000000"/>
              <w:left w:val="single" w:sz="4" w:space="0" w:color="000000"/>
              <w:bottom w:val="single" w:sz="4" w:space="0" w:color="000000"/>
              <w:right w:val="single" w:sz="4" w:space="0" w:color="000000"/>
            </w:tcBorders>
            <w:vAlign w:val="center"/>
            <w:hideMark/>
          </w:tcPr>
          <w:p w14:paraId="505D1CE7" w14:textId="77777777" w:rsidR="00DB1C4E" w:rsidRPr="00A718C0" w:rsidRDefault="00DB1C4E">
            <w:pPr>
              <w:jc w:val="center"/>
              <w:rPr>
                <w:sz w:val="22"/>
                <w:szCs w:val="22"/>
                <w:lang w:val="ru-RU" w:eastAsia="ru-RU"/>
              </w:rPr>
            </w:pPr>
            <w:r w:rsidRPr="00A718C0">
              <w:rPr>
                <w:sz w:val="22"/>
                <w:szCs w:val="22"/>
                <w:lang w:val="ru-RU" w:eastAsia="ru-RU"/>
              </w:rPr>
              <w:t xml:space="preserve">102,4 </w:t>
            </w:r>
          </w:p>
          <w:p w14:paraId="1F2A9C57" w14:textId="77777777" w:rsidR="00DB1C4E" w:rsidRPr="00A718C0" w:rsidRDefault="00DB1C4E">
            <w:pPr>
              <w:jc w:val="center"/>
              <w:rPr>
                <w:sz w:val="22"/>
                <w:szCs w:val="22"/>
                <w:lang w:val="ru-RU" w:eastAsia="ru-RU"/>
              </w:rPr>
            </w:pPr>
            <w:r w:rsidRPr="00A718C0">
              <w:rPr>
                <w:sz w:val="22"/>
                <w:szCs w:val="22"/>
                <w:lang w:val="ru-RU" w:eastAsia="ru-RU"/>
              </w:rPr>
              <w:t>(38,9)</w:t>
            </w:r>
            <w:r w:rsidRPr="00A718C0">
              <w:rPr>
                <w:sz w:val="22"/>
                <w:szCs w:val="22"/>
                <w:vertAlign w:val="superscript"/>
                <w:lang w:val="ru-RU" w:eastAsia="ru-RU"/>
              </w:rPr>
              <w:t>b</w:t>
            </w:r>
          </w:p>
        </w:tc>
        <w:tc>
          <w:tcPr>
            <w:tcW w:w="680" w:type="pct"/>
            <w:tcBorders>
              <w:top w:val="single" w:sz="4" w:space="0" w:color="000000"/>
              <w:left w:val="single" w:sz="4" w:space="0" w:color="000000"/>
              <w:bottom w:val="single" w:sz="4" w:space="0" w:color="000000"/>
              <w:right w:val="single" w:sz="4" w:space="0" w:color="000000"/>
            </w:tcBorders>
            <w:vAlign w:val="center"/>
            <w:hideMark/>
          </w:tcPr>
          <w:p w14:paraId="40BC87F4" w14:textId="77777777" w:rsidR="00DB1C4E" w:rsidRPr="00A718C0" w:rsidRDefault="00DB1C4E">
            <w:pPr>
              <w:pStyle w:val="TableParagraph"/>
              <w:jc w:val="center"/>
              <w:rPr>
                <w:sz w:val="22"/>
                <w:szCs w:val="22"/>
                <w:lang w:val="ru-RU" w:eastAsia="ru-RU"/>
              </w:rPr>
            </w:pPr>
            <w:r w:rsidRPr="00A718C0">
              <w:rPr>
                <w:sz w:val="22"/>
                <w:szCs w:val="22"/>
                <w:lang w:val="ru-RU" w:eastAsia="ru-RU"/>
              </w:rPr>
              <w:t>Ikke relevant</w:t>
            </w:r>
          </w:p>
        </w:tc>
        <w:tc>
          <w:tcPr>
            <w:tcW w:w="678" w:type="pct"/>
            <w:tcBorders>
              <w:top w:val="single" w:sz="4" w:space="0" w:color="000000"/>
              <w:left w:val="single" w:sz="4" w:space="0" w:color="000000"/>
              <w:bottom w:val="single" w:sz="4" w:space="0" w:color="000000"/>
              <w:right w:val="single" w:sz="4" w:space="0" w:color="000000"/>
            </w:tcBorders>
            <w:vAlign w:val="center"/>
            <w:hideMark/>
          </w:tcPr>
          <w:p w14:paraId="1BB86705" w14:textId="77777777" w:rsidR="00DB1C4E" w:rsidRPr="00A718C0" w:rsidRDefault="00DB1C4E">
            <w:pPr>
              <w:pStyle w:val="TableParagraph"/>
              <w:jc w:val="center"/>
              <w:rPr>
                <w:sz w:val="22"/>
                <w:szCs w:val="22"/>
                <w:lang w:val="ru-RU" w:eastAsia="ru-RU"/>
              </w:rPr>
            </w:pPr>
            <w:r w:rsidRPr="00A718C0">
              <w:rPr>
                <w:sz w:val="22"/>
                <w:szCs w:val="22"/>
                <w:lang w:val="ru-RU" w:eastAsia="ru-RU"/>
              </w:rPr>
              <w:t xml:space="preserve">10,0 </w:t>
            </w:r>
          </w:p>
          <w:p w14:paraId="0C54FA52" w14:textId="77777777" w:rsidR="00DB1C4E" w:rsidRPr="00A718C0" w:rsidRDefault="00DB1C4E">
            <w:pPr>
              <w:pStyle w:val="TableParagraph"/>
              <w:jc w:val="center"/>
              <w:rPr>
                <w:sz w:val="22"/>
                <w:szCs w:val="22"/>
                <w:lang w:val="ru-RU" w:eastAsia="ru-RU"/>
              </w:rPr>
            </w:pPr>
            <w:r w:rsidRPr="00A718C0">
              <w:rPr>
                <w:sz w:val="22"/>
                <w:szCs w:val="22"/>
                <w:lang w:val="ru-RU" w:eastAsia="ru-RU"/>
              </w:rPr>
              <w:t>(19,6)</w:t>
            </w:r>
          </w:p>
        </w:tc>
        <w:tc>
          <w:tcPr>
            <w:tcW w:w="764" w:type="pct"/>
            <w:tcBorders>
              <w:top w:val="single" w:sz="4" w:space="0" w:color="000000"/>
              <w:left w:val="single" w:sz="4" w:space="0" w:color="000000"/>
              <w:bottom w:val="single" w:sz="4" w:space="0" w:color="000000"/>
              <w:right w:val="single" w:sz="4" w:space="0" w:color="000000"/>
            </w:tcBorders>
            <w:vAlign w:val="center"/>
            <w:hideMark/>
          </w:tcPr>
          <w:p w14:paraId="3313C48D" w14:textId="77777777" w:rsidR="00DB1C4E" w:rsidRPr="00A718C0" w:rsidRDefault="00DB1C4E">
            <w:pPr>
              <w:pStyle w:val="TableParagraph"/>
              <w:jc w:val="center"/>
              <w:rPr>
                <w:sz w:val="22"/>
                <w:szCs w:val="22"/>
                <w:lang w:val="ru-RU" w:eastAsia="ru-RU"/>
              </w:rPr>
            </w:pPr>
            <w:r w:rsidRPr="00A718C0">
              <w:rPr>
                <w:sz w:val="22"/>
                <w:szCs w:val="22"/>
                <w:lang w:val="ru-RU" w:eastAsia="ru-RU"/>
              </w:rPr>
              <w:t xml:space="preserve">95,2 </w:t>
            </w:r>
          </w:p>
          <w:p w14:paraId="186827DF" w14:textId="77777777" w:rsidR="00DB1C4E" w:rsidRPr="00A718C0" w:rsidRDefault="00DB1C4E">
            <w:pPr>
              <w:pStyle w:val="TableParagraph"/>
              <w:jc w:val="center"/>
              <w:rPr>
                <w:sz w:val="22"/>
                <w:szCs w:val="22"/>
                <w:lang w:val="ru-RU" w:eastAsia="ru-RU"/>
              </w:rPr>
            </w:pPr>
            <w:r w:rsidRPr="00A718C0">
              <w:rPr>
                <w:sz w:val="22"/>
                <w:szCs w:val="22"/>
                <w:lang w:val="ru-RU" w:eastAsia="ru-RU"/>
              </w:rPr>
              <w:t>(46,7)</w:t>
            </w:r>
          </w:p>
        </w:tc>
        <w:tc>
          <w:tcPr>
            <w:tcW w:w="678" w:type="pct"/>
            <w:tcBorders>
              <w:top w:val="single" w:sz="4" w:space="0" w:color="000000"/>
              <w:left w:val="single" w:sz="4" w:space="0" w:color="000000"/>
              <w:bottom w:val="single" w:sz="4" w:space="0" w:color="000000"/>
              <w:right w:val="single" w:sz="4" w:space="0" w:color="000000"/>
            </w:tcBorders>
            <w:vAlign w:val="center"/>
            <w:hideMark/>
          </w:tcPr>
          <w:p w14:paraId="6ECE56E6" w14:textId="77777777" w:rsidR="00DB1C4E" w:rsidRPr="00A718C0" w:rsidRDefault="00DB1C4E">
            <w:pPr>
              <w:pStyle w:val="TableParagraph"/>
              <w:jc w:val="center"/>
              <w:rPr>
                <w:sz w:val="22"/>
                <w:szCs w:val="22"/>
                <w:lang w:val="ru-RU" w:eastAsia="ru-RU"/>
              </w:rPr>
            </w:pPr>
            <w:r w:rsidRPr="00A718C0">
              <w:rPr>
                <w:sz w:val="22"/>
                <w:szCs w:val="22"/>
                <w:lang w:val="ru-RU" w:eastAsia="ru-RU"/>
              </w:rPr>
              <w:t>Ikke relevant</w:t>
            </w:r>
          </w:p>
        </w:tc>
        <w:tc>
          <w:tcPr>
            <w:tcW w:w="634" w:type="pct"/>
            <w:tcBorders>
              <w:top w:val="single" w:sz="4" w:space="0" w:color="000000"/>
              <w:left w:val="single" w:sz="4" w:space="0" w:color="000000"/>
              <w:bottom w:val="single" w:sz="4" w:space="0" w:color="000000"/>
              <w:right w:val="single" w:sz="4" w:space="0" w:color="000000"/>
            </w:tcBorders>
            <w:vAlign w:val="center"/>
            <w:hideMark/>
          </w:tcPr>
          <w:p w14:paraId="7CE89AEE" w14:textId="77777777" w:rsidR="00DB1C4E" w:rsidRPr="00A718C0" w:rsidRDefault="00DB1C4E">
            <w:pPr>
              <w:pStyle w:val="TableParagraph"/>
              <w:jc w:val="center"/>
              <w:rPr>
                <w:sz w:val="22"/>
                <w:szCs w:val="22"/>
                <w:lang w:val="ru-RU" w:eastAsia="ru-RU"/>
              </w:rPr>
            </w:pPr>
            <w:r w:rsidRPr="00A718C0">
              <w:rPr>
                <w:sz w:val="22"/>
                <w:szCs w:val="22"/>
                <w:lang w:val="ru-RU" w:eastAsia="ru-RU"/>
              </w:rPr>
              <w:t>10,6</w:t>
            </w:r>
          </w:p>
          <w:p w14:paraId="028C9387" w14:textId="77777777" w:rsidR="00DB1C4E" w:rsidRPr="00A718C0" w:rsidRDefault="00DB1C4E">
            <w:pPr>
              <w:pStyle w:val="TableParagraph"/>
              <w:jc w:val="center"/>
              <w:rPr>
                <w:sz w:val="22"/>
                <w:szCs w:val="22"/>
                <w:lang w:val="ru-RU" w:eastAsia="ru-RU"/>
              </w:rPr>
            </w:pPr>
            <w:r w:rsidRPr="00A718C0">
              <w:rPr>
                <w:sz w:val="22"/>
                <w:szCs w:val="22"/>
                <w:lang w:val="ru-RU" w:eastAsia="ru-RU"/>
              </w:rPr>
              <w:t>(28,5)</w:t>
            </w:r>
          </w:p>
        </w:tc>
      </w:tr>
    </w:tbl>
    <w:p w14:paraId="4D2F7990" w14:textId="5F657AC3" w:rsidR="00DB1C4E" w:rsidRPr="00A718C0" w:rsidRDefault="00DB1C4E" w:rsidP="00DB1C4E">
      <w:pPr>
        <w:pStyle w:val="Brdtekst"/>
        <w:widowControl/>
        <w:suppressAutoHyphens/>
        <w:kinsoku w:val="0"/>
        <w:overflowPunct w:val="0"/>
        <w:ind w:left="0"/>
        <w:rPr>
          <w:color w:val="000000" w:themeColor="text1"/>
          <w:sz w:val="20"/>
          <w:szCs w:val="20"/>
        </w:rPr>
      </w:pPr>
      <w:r w:rsidRPr="00A718C0">
        <w:rPr>
          <w:color w:val="000000" w:themeColor="text1"/>
          <w:sz w:val="20"/>
          <w:szCs w:val="20"/>
        </w:rPr>
        <w:t>E/C/F/TAF = elvitegravir/cobicistat/emtricitabin/</w:t>
      </w:r>
      <w:r w:rsidR="00202D86">
        <w:rPr>
          <w:color w:val="000000" w:themeColor="text1"/>
          <w:sz w:val="20"/>
          <w:szCs w:val="20"/>
        </w:rPr>
        <w:t>tenofovir alafenamid fumarat</w:t>
      </w:r>
    </w:p>
    <w:p w14:paraId="31576314" w14:textId="1058B332" w:rsidR="00DB1C4E" w:rsidRPr="00A718C0" w:rsidRDefault="00DB1C4E" w:rsidP="00DB1C4E">
      <w:pPr>
        <w:pStyle w:val="Brdtekst"/>
        <w:widowControl/>
        <w:suppressAutoHyphens/>
        <w:kinsoku w:val="0"/>
        <w:overflowPunct w:val="0"/>
        <w:ind w:left="0"/>
        <w:rPr>
          <w:color w:val="000000" w:themeColor="text1"/>
          <w:sz w:val="20"/>
          <w:szCs w:val="20"/>
          <w:lang w:val="en-US"/>
        </w:rPr>
      </w:pPr>
      <w:r w:rsidRPr="00A718C0">
        <w:rPr>
          <w:color w:val="000000" w:themeColor="text1"/>
          <w:sz w:val="20"/>
          <w:szCs w:val="20"/>
          <w:lang w:val="en-US"/>
        </w:rPr>
        <w:t xml:space="preserve">FTC = emtricitabin, TAF = </w:t>
      </w:r>
      <w:r w:rsidR="00202D86">
        <w:rPr>
          <w:color w:val="000000" w:themeColor="text1"/>
          <w:sz w:val="20"/>
          <w:szCs w:val="20"/>
          <w:lang w:val="en-US"/>
        </w:rPr>
        <w:t>tenofovir alafenamid fumarat</w:t>
      </w:r>
      <w:r w:rsidRPr="00A718C0">
        <w:rPr>
          <w:color w:val="000000" w:themeColor="text1"/>
          <w:sz w:val="20"/>
          <w:szCs w:val="20"/>
          <w:lang w:val="en-US"/>
        </w:rPr>
        <w:t>, TFV = tenofovir</w:t>
      </w:r>
    </w:p>
    <w:p w14:paraId="0080C0F9" w14:textId="77777777" w:rsidR="00DB1C4E" w:rsidRPr="00A718C0" w:rsidRDefault="00DB1C4E" w:rsidP="00DB1C4E">
      <w:pPr>
        <w:pStyle w:val="Brdtekst"/>
        <w:widowControl/>
        <w:suppressAutoHyphens/>
        <w:kinsoku w:val="0"/>
        <w:overflowPunct w:val="0"/>
        <w:ind w:left="0"/>
        <w:rPr>
          <w:color w:val="000000" w:themeColor="text1"/>
          <w:sz w:val="20"/>
          <w:szCs w:val="20"/>
        </w:rPr>
      </w:pPr>
      <w:r w:rsidRPr="00A718C0">
        <w:rPr>
          <w:color w:val="000000" w:themeColor="text1"/>
          <w:sz w:val="20"/>
          <w:szCs w:val="20"/>
        </w:rPr>
        <w:t>Data vises som gennemsnit (% CV).</w:t>
      </w:r>
    </w:p>
    <w:p w14:paraId="6677C79A" w14:textId="04451A34" w:rsidR="00DB1C4E" w:rsidRPr="00A718C0" w:rsidRDefault="00DB1C4E" w:rsidP="00A718C0">
      <w:pPr>
        <w:pStyle w:val="Brdtekst"/>
        <w:widowControl/>
        <w:suppressAutoHyphens/>
        <w:kinsoku w:val="0"/>
        <w:overflowPunct w:val="0"/>
        <w:ind w:left="284" w:hanging="284"/>
        <w:rPr>
          <w:color w:val="000000" w:themeColor="text1"/>
          <w:sz w:val="20"/>
          <w:szCs w:val="20"/>
          <w:lang w:val="en-US"/>
        </w:rPr>
      </w:pPr>
      <w:r w:rsidRPr="00A718C0">
        <w:rPr>
          <w:color w:val="000000" w:themeColor="text1"/>
          <w:sz w:val="20"/>
          <w:szCs w:val="20"/>
          <w:vertAlign w:val="superscript"/>
          <w:lang w:val="en-US"/>
        </w:rPr>
        <w:t>a</w:t>
      </w:r>
      <w:r w:rsidRPr="00A718C0">
        <w:rPr>
          <w:color w:val="000000" w:themeColor="text1"/>
          <w:sz w:val="20"/>
          <w:szCs w:val="20"/>
          <w:lang w:val="en-US"/>
        </w:rPr>
        <w:t xml:space="preserve"> </w:t>
      </w:r>
      <w:r w:rsidR="00A718C0" w:rsidRPr="00A718C0">
        <w:rPr>
          <w:color w:val="000000" w:themeColor="text1"/>
          <w:sz w:val="20"/>
          <w:szCs w:val="20"/>
          <w:lang w:val="en-US"/>
        </w:rPr>
        <w:tab/>
      </w:r>
      <w:r w:rsidRPr="00A718C0">
        <w:rPr>
          <w:color w:val="000000" w:themeColor="text1"/>
          <w:sz w:val="20"/>
          <w:szCs w:val="20"/>
          <w:lang w:val="en-US"/>
        </w:rPr>
        <w:t>n = 24 unge (GS-US-292-0106), n = 19 voksne (GS-US-292-0102)</w:t>
      </w:r>
    </w:p>
    <w:p w14:paraId="1C31532A" w14:textId="6A0AEC78" w:rsidR="00DB1C4E" w:rsidRPr="00A718C0" w:rsidRDefault="00DB1C4E" w:rsidP="00A718C0">
      <w:pPr>
        <w:pStyle w:val="Brdtekst"/>
        <w:widowControl/>
        <w:suppressAutoHyphens/>
        <w:kinsoku w:val="0"/>
        <w:overflowPunct w:val="0"/>
        <w:ind w:left="284" w:hanging="284"/>
        <w:rPr>
          <w:color w:val="000000" w:themeColor="text1"/>
          <w:sz w:val="20"/>
          <w:szCs w:val="20"/>
        </w:rPr>
      </w:pPr>
      <w:r w:rsidRPr="00A718C0">
        <w:rPr>
          <w:color w:val="000000" w:themeColor="text1"/>
          <w:sz w:val="20"/>
          <w:szCs w:val="20"/>
          <w:vertAlign w:val="superscript"/>
        </w:rPr>
        <w:t>b</w:t>
      </w:r>
      <w:r w:rsidRPr="00A718C0">
        <w:rPr>
          <w:color w:val="000000" w:themeColor="text1"/>
          <w:sz w:val="20"/>
          <w:szCs w:val="20"/>
        </w:rPr>
        <w:t xml:space="preserve"> </w:t>
      </w:r>
      <w:r w:rsidR="00A718C0" w:rsidRPr="00A718C0">
        <w:rPr>
          <w:color w:val="000000" w:themeColor="text1"/>
          <w:sz w:val="20"/>
          <w:szCs w:val="20"/>
        </w:rPr>
        <w:tab/>
      </w:r>
      <w:r w:rsidRPr="00A718C0">
        <w:rPr>
          <w:color w:val="000000" w:themeColor="text1"/>
          <w:sz w:val="20"/>
          <w:szCs w:val="20"/>
        </w:rPr>
        <w:t>n = 23 unge (GS-US-292-0106, populationsfarmakokinetisk analyse)</w:t>
      </w:r>
    </w:p>
    <w:p w14:paraId="2B5026A2" w14:textId="401E9E8C" w:rsidR="00DB1C4E" w:rsidRPr="00A718C0" w:rsidRDefault="00DB1C4E" w:rsidP="00A718C0">
      <w:pPr>
        <w:pStyle w:val="Brdtekst"/>
        <w:widowControl/>
        <w:suppressAutoHyphens/>
        <w:kinsoku w:val="0"/>
        <w:overflowPunct w:val="0"/>
        <w:ind w:left="284" w:hanging="284"/>
        <w:rPr>
          <w:color w:val="000000" w:themeColor="text1"/>
          <w:sz w:val="20"/>
          <w:szCs w:val="20"/>
        </w:rPr>
      </w:pPr>
      <w:r w:rsidRPr="00A718C0">
        <w:rPr>
          <w:color w:val="000000" w:themeColor="text1"/>
          <w:sz w:val="20"/>
          <w:szCs w:val="20"/>
          <w:vertAlign w:val="superscript"/>
        </w:rPr>
        <w:t>c</w:t>
      </w:r>
      <w:r w:rsidRPr="00A718C0">
        <w:rPr>
          <w:color w:val="000000" w:themeColor="text1"/>
          <w:sz w:val="20"/>
          <w:szCs w:val="20"/>
        </w:rPr>
        <w:t xml:space="preserve"> </w:t>
      </w:r>
      <w:r w:rsidR="00A718C0" w:rsidRPr="00A718C0">
        <w:rPr>
          <w:color w:val="000000" w:themeColor="text1"/>
          <w:sz w:val="20"/>
          <w:szCs w:val="20"/>
        </w:rPr>
        <w:tab/>
      </w:r>
      <w:r w:rsidRPr="00A718C0">
        <w:rPr>
          <w:color w:val="000000" w:themeColor="text1"/>
          <w:sz w:val="20"/>
          <w:szCs w:val="20"/>
        </w:rPr>
        <w:t>n = 539 (TAF) eller 841 (TFV) voksne (GS-US-292-0111 og GS-US-292-0104, populationsfarmakokinetisk analyse)</w:t>
      </w:r>
    </w:p>
    <w:p w14:paraId="3CE6ED6B" w14:textId="77777777" w:rsidR="00DB1C4E" w:rsidRPr="00F2263F" w:rsidRDefault="00DB1C4E" w:rsidP="00DB1C4E">
      <w:pPr>
        <w:pStyle w:val="Brdtekst"/>
        <w:widowControl/>
        <w:suppressAutoHyphens/>
        <w:kinsoku w:val="0"/>
        <w:overflowPunct w:val="0"/>
        <w:ind w:left="0"/>
        <w:rPr>
          <w:color w:val="000000" w:themeColor="text1"/>
        </w:rPr>
      </w:pPr>
    </w:p>
    <w:p w14:paraId="022EF02D" w14:textId="77777777" w:rsidR="00DB1C4E" w:rsidRPr="00A718C0" w:rsidRDefault="00DB1C4E" w:rsidP="00132A6A">
      <w:pPr>
        <w:ind w:left="851"/>
        <w:rPr>
          <w:i/>
          <w:sz w:val="24"/>
          <w:szCs w:val="24"/>
        </w:rPr>
      </w:pPr>
      <w:r w:rsidRPr="00A718C0">
        <w:rPr>
          <w:i/>
          <w:sz w:val="24"/>
          <w:szCs w:val="24"/>
        </w:rPr>
        <w:t xml:space="preserve">Nedsat nyrefunktion </w:t>
      </w:r>
    </w:p>
    <w:p w14:paraId="40FBD99D" w14:textId="483D6D13" w:rsidR="00DB1C4E" w:rsidRPr="00F2263F" w:rsidRDefault="00DB1C4E" w:rsidP="00132A6A">
      <w:pPr>
        <w:ind w:left="851"/>
        <w:rPr>
          <w:sz w:val="24"/>
          <w:szCs w:val="24"/>
        </w:rPr>
      </w:pPr>
      <w:r w:rsidRPr="00F2263F">
        <w:rPr>
          <w:sz w:val="24"/>
          <w:szCs w:val="24"/>
        </w:rPr>
        <w:t xml:space="preserve">Der blev ikke observeret nogen klinisk relevante forskelle i farmakokinetikken for </w:t>
      </w:r>
      <w:r w:rsidR="00202D86">
        <w:rPr>
          <w:sz w:val="24"/>
          <w:szCs w:val="24"/>
        </w:rPr>
        <w:t>tenofovir alafenamid</w:t>
      </w:r>
      <w:r w:rsidRPr="00F2263F">
        <w:rPr>
          <w:sz w:val="24"/>
          <w:szCs w:val="24"/>
        </w:rPr>
        <w:t xml:space="preserve"> eller tenofovir hos raske personer og hos patienter med svært nedsat nyrefunktion (estimeret CrCl </w:t>
      </w:r>
      <w:r w:rsidRPr="00A718C0">
        <w:rPr>
          <w:bCs/>
          <w:sz w:val="24"/>
          <w:szCs w:val="24"/>
        </w:rPr>
        <w:t xml:space="preserve">≥ </w:t>
      </w:r>
      <w:r w:rsidRPr="00F2263F">
        <w:rPr>
          <w:sz w:val="24"/>
          <w:szCs w:val="24"/>
        </w:rPr>
        <w:t xml:space="preserve">15 ml/min og &lt; 30 ml/min) i et fase 1-studie af </w:t>
      </w:r>
      <w:r w:rsidR="00202D86">
        <w:rPr>
          <w:sz w:val="24"/>
          <w:szCs w:val="24"/>
        </w:rPr>
        <w:t>tenofovir alafenamid</w:t>
      </w:r>
      <w:r w:rsidRPr="00F2263F">
        <w:rPr>
          <w:sz w:val="24"/>
          <w:szCs w:val="24"/>
        </w:rPr>
        <w:t>. I et separat fase 1-studie udelukkende med emtricitabin, var gennemsnitlig systemisk emtricitabin eksponering højere hos patienter med svært nedsat nyrefunktion (estimeret CrCl &lt; 30 ml/min) (33,7 μg</w:t>
      </w:r>
      <w:r w:rsidRPr="00F2263F">
        <w:rPr>
          <w:b/>
          <w:bCs/>
          <w:sz w:val="24"/>
          <w:szCs w:val="24"/>
        </w:rPr>
        <w:t>•</w:t>
      </w:r>
      <w:r w:rsidRPr="00F2263F">
        <w:rPr>
          <w:sz w:val="24"/>
          <w:szCs w:val="24"/>
        </w:rPr>
        <w:t>t/ml) end hos personer med normal nyrefunktion (11,8 μg</w:t>
      </w:r>
      <w:r w:rsidRPr="00F2263F">
        <w:rPr>
          <w:b/>
          <w:bCs/>
          <w:sz w:val="24"/>
          <w:szCs w:val="24"/>
        </w:rPr>
        <w:t>•</w:t>
      </w:r>
      <w:r w:rsidRPr="00F2263F">
        <w:rPr>
          <w:sz w:val="24"/>
          <w:szCs w:val="24"/>
        </w:rPr>
        <w:t xml:space="preserve">t/ml). Sikkerheden af emtricitabin og </w:t>
      </w:r>
      <w:r w:rsidR="00202D86">
        <w:rPr>
          <w:sz w:val="24"/>
          <w:szCs w:val="24"/>
        </w:rPr>
        <w:t>tenofovir alafenamid</w:t>
      </w:r>
      <w:r w:rsidRPr="00F2263F">
        <w:rPr>
          <w:sz w:val="24"/>
          <w:szCs w:val="24"/>
        </w:rPr>
        <w:t xml:space="preserve"> er ikke klarlagt hos patienter med svært nedsat nyrefunktion (estimeret CrCl ≥ 15 ml/min og &lt;</w:t>
      </w:r>
      <w:r w:rsidR="00C7472A">
        <w:rPr>
          <w:sz w:val="24"/>
          <w:szCs w:val="24"/>
        </w:rPr>
        <w:t> </w:t>
      </w:r>
      <w:r w:rsidRPr="00F2263F">
        <w:rPr>
          <w:sz w:val="24"/>
          <w:szCs w:val="24"/>
        </w:rPr>
        <w:t>30</w:t>
      </w:r>
      <w:r w:rsidR="00C7472A">
        <w:rPr>
          <w:sz w:val="24"/>
          <w:szCs w:val="24"/>
        </w:rPr>
        <w:t> </w:t>
      </w:r>
      <w:r w:rsidRPr="00F2263F">
        <w:rPr>
          <w:sz w:val="24"/>
          <w:szCs w:val="24"/>
        </w:rPr>
        <w:t>ml/min).</w:t>
      </w:r>
    </w:p>
    <w:p w14:paraId="18D82DEF" w14:textId="77777777" w:rsidR="00DB1C4E" w:rsidRPr="00F2263F" w:rsidRDefault="00DB1C4E" w:rsidP="00132A6A">
      <w:pPr>
        <w:ind w:left="851"/>
        <w:rPr>
          <w:sz w:val="24"/>
          <w:szCs w:val="24"/>
        </w:rPr>
      </w:pPr>
    </w:p>
    <w:p w14:paraId="60556156" w14:textId="053D9742" w:rsidR="00DB1C4E" w:rsidRPr="00F2263F" w:rsidRDefault="00DB1C4E" w:rsidP="00132A6A">
      <w:pPr>
        <w:ind w:left="851"/>
        <w:rPr>
          <w:sz w:val="24"/>
          <w:szCs w:val="24"/>
        </w:rPr>
      </w:pPr>
      <w:r w:rsidRPr="00F2263F">
        <w:rPr>
          <w:sz w:val="24"/>
          <w:szCs w:val="24"/>
        </w:rPr>
        <w:t xml:space="preserve">Eksponering for emtricitabin og tenofovir hos 12 patienter med nyresygdom i slutstadiet (estimeret CrCl &lt; 15 ml/min) i kronisk hæmodialyse, som fik emtricitabin og </w:t>
      </w:r>
      <w:r w:rsidR="00202D86">
        <w:rPr>
          <w:sz w:val="24"/>
          <w:szCs w:val="24"/>
        </w:rPr>
        <w:t>tenofovir alafenamid</w:t>
      </w:r>
      <w:r w:rsidRPr="00F2263F">
        <w:rPr>
          <w:sz w:val="24"/>
          <w:szCs w:val="24"/>
        </w:rPr>
        <w:t xml:space="preserve"> i kombination med elvitegravir og cobicistat som en fastdosis kombinationstablet (E/C/F/TAF) i studie GS-US-292-1825, var signifikant højere end hos patienter med normal nyrefunktion. Der blev ikke observeret nogen klinisk relevante forskelle i farmakokinetikken for </w:t>
      </w:r>
      <w:r w:rsidR="00202D86">
        <w:rPr>
          <w:sz w:val="24"/>
          <w:szCs w:val="24"/>
        </w:rPr>
        <w:t>tenofovir alafenamid</w:t>
      </w:r>
      <w:r w:rsidRPr="00F2263F">
        <w:rPr>
          <w:sz w:val="24"/>
          <w:szCs w:val="24"/>
        </w:rPr>
        <w:t xml:space="preserve"> hos patienter med nyresygdom i slutstadiet i kronisk hæmodialyse sammenlignet med hos patienter med normal nyrefunktion. Der identificeredes ingen nye sikkerhedsproblemer hos patienter med nyresygdom i slutstadiet i kronisk hæmodialyse, som fik emtricitabin og </w:t>
      </w:r>
      <w:r w:rsidR="00202D86">
        <w:rPr>
          <w:sz w:val="24"/>
          <w:szCs w:val="24"/>
        </w:rPr>
        <w:t>tenofovir alafenamid</w:t>
      </w:r>
      <w:r w:rsidRPr="00F2263F">
        <w:rPr>
          <w:sz w:val="24"/>
          <w:szCs w:val="24"/>
        </w:rPr>
        <w:t xml:space="preserve"> i kombination med elvitegravir og cobicistat som en fastdosis kombinationstablet (se pkt. 4.8).</w:t>
      </w:r>
    </w:p>
    <w:p w14:paraId="4684137B" w14:textId="77777777" w:rsidR="00DB1C4E" w:rsidRPr="00F2263F" w:rsidRDefault="00DB1C4E" w:rsidP="00132A6A">
      <w:pPr>
        <w:ind w:left="851"/>
        <w:rPr>
          <w:sz w:val="24"/>
          <w:szCs w:val="24"/>
        </w:rPr>
      </w:pPr>
    </w:p>
    <w:p w14:paraId="53EC3D75" w14:textId="10CDC602" w:rsidR="00DB1C4E" w:rsidRPr="00F2263F" w:rsidRDefault="00DB1C4E" w:rsidP="00132A6A">
      <w:pPr>
        <w:ind w:left="851"/>
        <w:rPr>
          <w:sz w:val="24"/>
          <w:szCs w:val="24"/>
        </w:rPr>
      </w:pPr>
      <w:r w:rsidRPr="00F2263F">
        <w:rPr>
          <w:sz w:val="24"/>
          <w:szCs w:val="24"/>
        </w:rPr>
        <w:t xml:space="preserve">Der foreligger ingen farmakokinetiske data om emtricitabin eller </w:t>
      </w:r>
      <w:r w:rsidR="00202D86">
        <w:rPr>
          <w:sz w:val="24"/>
          <w:szCs w:val="24"/>
        </w:rPr>
        <w:t>tenofovir alafenamid</w:t>
      </w:r>
      <w:r w:rsidRPr="00F2263F">
        <w:rPr>
          <w:sz w:val="24"/>
          <w:szCs w:val="24"/>
        </w:rPr>
        <w:t xml:space="preserve"> hos patienter med nyresygdom i slutstadiet (estimeret CrCl &lt; 15 ml/min), som ikke er i kronisk hæmodialyse. Sikkerheden af emtricitabin og </w:t>
      </w:r>
      <w:r w:rsidR="00202D86">
        <w:rPr>
          <w:sz w:val="24"/>
          <w:szCs w:val="24"/>
        </w:rPr>
        <w:t>tenofovir alafenamid</w:t>
      </w:r>
      <w:r w:rsidRPr="00F2263F">
        <w:rPr>
          <w:sz w:val="24"/>
          <w:szCs w:val="24"/>
        </w:rPr>
        <w:t xml:space="preserve"> er ikke klarlagt hos disse patienter.</w:t>
      </w:r>
    </w:p>
    <w:p w14:paraId="28FEA14C" w14:textId="77777777" w:rsidR="00DB1C4E" w:rsidRPr="00F2263F" w:rsidRDefault="00DB1C4E" w:rsidP="00132A6A">
      <w:pPr>
        <w:ind w:left="851"/>
        <w:rPr>
          <w:sz w:val="24"/>
          <w:szCs w:val="24"/>
        </w:rPr>
      </w:pPr>
    </w:p>
    <w:p w14:paraId="4B7EBABF" w14:textId="77777777" w:rsidR="00DB1C4E" w:rsidRPr="00A718C0" w:rsidRDefault="00DB1C4E" w:rsidP="00132A6A">
      <w:pPr>
        <w:ind w:left="851"/>
        <w:rPr>
          <w:i/>
          <w:sz w:val="24"/>
          <w:szCs w:val="24"/>
        </w:rPr>
      </w:pPr>
      <w:r w:rsidRPr="00A718C0">
        <w:rPr>
          <w:i/>
          <w:sz w:val="24"/>
          <w:szCs w:val="24"/>
        </w:rPr>
        <w:t>Nedsat leverfunktion</w:t>
      </w:r>
    </w:p>
    <w:p w14:paraId="57CF1EEE" w14:textId="77777777" w:rsidR="00DB1C4E" w:rsidRPr="00F2263F" w:rsidRDefault="00DB1C4E" w:rsidP="00132A6A">
      <w:pPr>
        <w:ind w:left="851"/>
        <w:rPr>
          <w:sz w:val="24"/>
          <w:szCs w:val="24"/>
        </w:rPr>
      </w:pPr>
      <w:r w:rsidRPr="00F2263F">
        <w:rPr>
          <w:sz w:val="24"/>
          <w:szCs w:val="24"/>
        </w:rPr>
        <w:t>Emtricitabins farmakokinetik er ikke undersøgt hos personer med nedsat leverfunktion. Imidlertid metaboliseres emtricitabin ikke signifikant af leverenzymer, så påvirkningen af nedsat leverfunktion bør være begrænset.</w:t>
      </w:r>
    </w:p>
    <w:p w14:paraId="3FE27FBB" w14:textId="77777777" w:rsidR="00DB1C4E" w:rsidRPr="00F2263F" w:rsidRDefault="00DB1C4E" w:rsidP="00132A6A">
      <w:pPr>
        <w:ind w:left="851"/>
        <w:rPr>
          <w:sz w:val="24"/>
          <w:szCs w:val="24"/>
        </w:rPr>
      </w:pPr>
    </w:p>
    <w:p w14:paraId="6F4AF8A8" w14:textId="1F4793CC" w:rsidR="00DB1C4E" w:rsidRPr="00F2263F" w:rsidRDefault="00DB1C4E" w:rsidP="00132A6A">
      <w:pPr>
        <w:ind w:left="851"/>
        <w:rPr>
          <w:sz w:val="24"/>
          <w:szCs w:val="24"/>
        </w:rPr>
      </w:pPr>
      <w:r w:rsidRPr="00F2263F">
        <w:rPr>
          <w:sz w:val="24"/>
          <w:szCs w:val="24"/>
        </w:rPr>
        <w:lastRenderedPageBreak/>
        <w:t xml:space="preserve">Der blev ikke observeret klinisk relevante ændringer i farmakokinetikken for </w:t>
      </w:r>
      <w:r w:rsidR="00202D86">
        <w:rPr>
          <w:sz w:val="24"/>
          <w:szCs w:val="24"/>
        </w:rPr>
        <w:t>tenofovir alafenamid</w:t>
      </w:r>
      <w:r w:rsidRPr="00F2263F">
        <w:rPr>
          <w:sz w:val="24"/>
          <w:szCs w:val="24"/>
        </w:rPr>
        <w:t xml:space="preserve"> eller dets metabolit tenofovir hos patienter med let eller moderat nedsat leverfunktion. Den totale plasmakoncentration af </w:t>
      </w:r>
      <w:r w:rsidR="00202D86">
        <w:rPr>
          <w:sz w:val="24"/>
          <w:szCs w:val="24"/>
        </w:rPr>
        <w:t>tenofovir alafenamid</w:t>
      </w:r>
      <w:r w:rsidRPr="00F2263F">
        <w:rPr>
          <w:sz w:val="24"/>
          <w:szCs w:val="24"/>
        </w:rPr>
        <w:t xml:space="preserve"> og tenofovir var lavere hos patienter med svært nedsat leverfunktion end hos personer med normal leverfunktion. Når der korrigeres for proteinbinding, er plasmakoncentrationerne af ubundet (frit) </w:t>
      </w:r>
      <w:r w:rsidR="00202D86">
        <w:rPr>
          <w:sz w:val="24"/>
          <w:szCs w:val="24"/>
        </w:rPr>
        <w:t>tenofovir alafenamid</w:t>
      </w:r>
      <w:r w:rsidRPr="00F2263F">
        <w:rPr>
          <w:sz w:val="24"/>
          <w:szCs w:val="24"/>
        </w:rPr>
        <w:t xml:space="preserve"> sammenlignelige ved svært nedsat leverfunktion og normal leverfunktion.</w:t>
      </w:r>
    </w:p>
    <w:p w14:paraId="2A322910" w14:textId="77777777" w:rsidR="00DB1C4E" w:rsidRPr="00F2263F" w:rsidRDefault="00DB1C4E" w:rsidP="00132A6A">
      <w:pPr>
        <w:ind w:left="851"/>
        <w:rPr>
          <w:sz w:val="24"/>
          <w:szCs w:val="24"/>
        </w:rPr>
      </w:pPr>
    </w:p>
    <w:p w14:paraId="615E112B" w14:textId="77777777" w:rsidR="00DB1C4E" w:rsidRPr="00A718C0" w:rsidRDefault="00DB1C4E" w:rsidP="00132A6A">
      <w:pPr>
        <w:ind w:left="851"/>
        <w:rPr>
          <w:i/>
          <w:sz w:val="24"/>
          <w:szCs w:val="24"/>
        </w:rPr>
      </w:pPr>
      <w:r w:rsidRPr="00A718C0">
        <w:rPr>
          <w:i/>
          <w:sz w:val="24"/>
          <w:szCs w:val="24"/>
        </w:rPr>
        <w:t>Samtidig infektion med hepatitis B- og/eller hepatitis C-virus</w:t>
      </w:r>
    </w:p>
    <w:p w14:paraId="70C58DF6" w14:textId="7AAD3E55" w:rsidR="00DB1C4E" w:rsidRPr="00F2263F" w:rsidRDefault="00DB1C4E" w:rsidP="00132A6A">
      <w:pPr>
        <w:ind w:left="851"/>
        <w:rPr>
          <w:sz w:val="24"/>
          <w:szCs w:val="24"/>
        </w:rPr>
      </w:pPr>
      <w:r w:rsidRPr="00F2263F">
        <w:rPr>
          <w:sz w:val="24"/>
          <w:szCs w:val="24"/>
        </w:rPr>
        <w:t xml:space="preserve">Emtricitabins og </w:t>
      </w:r>
      <w:r w:rsidR="00202D86">
        <w:rPr>
          <w:sz w:val="24"/>
          <w:szCs w:val="24"/>
        </w:rPr>
        <w:t>tenofovir alafenamid</w:t>
      </w:r>
      <w:r w:rsidRPr="00F2263F">
        <w:rPr>
          <w:sz w:val="24"/>
          <w:szCs w:val="24"/>
        </w:rPr>
        <w:t>s farmakokinetik er ikke blevet fuldt evalueret hos patienter med samtidig infektion med HBV og/eller HCV.</w:t>
      </w:r>
    </w:p>
    <w:p w14:paraId="49CBE619" w14:textId="77777777" w:rsidR="009260DE" w:rsidRPr="00F2263F" w:rsidRDefault="009260DE" w:rsidP="009260DE">
      <w:pPr>
        <w:tabs>
          <w:tab w:val="left" w:pos="851"/>
        </w:tabs>
        <w:ind w:left="851"/>
        <w:rPr>
          <w:sz w:val="24"/>
          <w:szCs w:val="24"/>
        </w:rPr>
      </w:pPr>
    </w:p>
    <w:p w14:paraId="2E4733F6" w14:textId="77777777" w:rsidR="009260DE" w:rsidRPr="00F2263F" w:rsidRDefault="009260DE" w:rsidP="009260DE">
      <w:pPr>
        <w:tabs>
          <w:tab w:val="left" w:pos="851"/>
        </w:tabs>
        <w:ind w:left="851" w:hanging="851"/>
        <w:rPr>
          <w:b/>
          <w:sz w:val="24"/>
          <w:szCs w:val="24"/>
        </w:rPr>
      </w:pPr>
      <w:r w:rsidRPr="00F2263F">
        <w:rPr>
          <w:b/>
          <w:sz w:val="24"/>
          <w:szCs w:val="24"/>
        </w:rPr>
        <w:t>5.3</w:t>
      </w:r>
      <w:r w:rsidRPr="00F2263F">
        <w:rPr>
          <w:b/>
          <w:sz w:val="24"/>
          <w:szCs w:val="24"/>
        </w:rPr>
        <w:tab/>
      </w:r>
      <w:r w:rsidR="00BD7931" w:rsidRPr="00F2263F">
        <w:rPr>
          <w:b/>
          <w:sz w:val="24"/>
          <w:szCs w:val="24"/>
        </w:rPr>
        <w:t>Non-</w:t>
      </w:r>
      <w:r w:rsidRPr="00F2263F">
        <w:rPr>
          <w:b/>
          <w:sz w:val="24"/>
          <w:szCs w:val="24"/>
        </w:rPr>
        <w:t>kliniske sikkerhedsdata</w:t>
      </w:r>
    </w:p>
    <w:p w14:paraId="73505382" w14:textId="77777777" w:rsidR="00DB1C4E" w:rsidRPr="00F2263F" w:rsidRDefault="00DB1C4E" w:rsidP="00132A6A">
      <w:pPr>
        <w:ind w:left="851"/>
        <w:rPr>
          <w:sz w:val="24"/>
          <w:szCs w:val="24"/>
        </w:rPr>
      </w:pPr>
      <w:r w:rsidRPr="00F2263F">
        <w:rPr>
          <w:sz w:val="24"/>
          <w:szCs w:val="24"/>
        </w:rPr>
        <w:t>Non-kliniske data for emtricitabin viser ingen speciel risiko for mennesker vurderet ud fra konventionelle studier af sikkerhedsfarmakologi, toksicitet efter gentagne doser, genotoksicitet, karcinogent potentiale samt reproduktions- og udviklingstoksicitet. Emtricitabin har vist lavt karcinogent potentiale hos mus og rotter.</w:t>
      </w:r>
    </w:p>
    <w:p w14:paraId="6BA0A4C0" w14:textId="77777777" w:rsidR="00DB1C4E" w:rsidRPr="00F2263F" w:rsidRDefault="00DB1C4E" w:rsidP="00132A6A">
      <w:pPr>
        <w:ind w:left="851"/>
        <w:rPr>
          <w:sz w:val="24"/>
          <w:szCs w:val="24"/>
        </w:rPr>
      </w:pPr>
    </w:p>
    <w:p w14:paraId="0CDD43C7" w14:textId="60E771F9" w:rsidR="00DB1C4E" w:rsidRPr="00F2263F" w:rsidRDefault="00DB1C4E" w:rsidP="00132A6A">
      <w:pPr>
        <w:ind w:left="851"/>
        <w:rPr>
          <w:sz w:val="24"/>
          <w:szCs w:val="24"/>
        </w:rPr>
      </w:pPr>
      <w:r w:rsidRPr="00F2263F">
        <w:rPr>
          <w:sz w:val="24"/>
          <w:szCs w:val="24"/>
        </w:rPr>
        <w:t xml:space="preserve">Non-kliniske studier af </w:t>
      </w:r>
      <w:r w:rsidR="00202D86">
        <w:rPr>
          <w:sz w:val="24"/>
          <w:szCs w:val="24"/>
        </w:rPr>
        <w:t>tenofovir alafenamid</w:t>
      </w:r>
      <w:r w:rsidRPr="00F2263F">
        <w:rPr>
          <w:sz w:val="24"/>
          <w:szCs w:val="24"/>
        </w:rPr>
        <w:t xml:space="preserve"> hos rotter og hunde viste, at knogler og nyrer var de primære målorganer for toksicitet. Knogletoksicitet blev observeret som nedsat BMD hos rotter og hunde ved eksponeringer for tenofovir, der var mindst fire gange større, end hvad der forventes efter administration af emtricitabin og </w:t>
      </w:r>
      <w:r w:rsidR="00202D86">
        <w:rPr>
          <w:sz w:val="24"/>
          <w:szCs w:val="24"/>
        </w:rPr>
        <w:t>tenofovir alafenamid fumarat</w:t>
      </w:r>
      <w:r w:rsidRPr="00F2263F">
        <w:rPr>
          <w:sz w:val="24"/>
          <w:szCs w:val="24"/>
        </w:rPr>
        <w:t xml:space="preserve"> kombinationen. En minimal infiltration af histiocytter var til stede i øjet på hunde ved eksponeringer over for hhv. </w:t>
      </w:r>
      <w:r w:rsidR="00202D86">
        <w:rPr>
          <w:sz w:val="24"/>
          <w:szCs w:val="24"/>
        </w:rPr>
        <w:t>tenofovir alafenamid</w:t>
      </w:r>
      <w:r w:rsidRPr="00F2263F">
        <w:rPr>
          <w:sz w:val="24"/>
          <w:szCs w:val="24"/>
        </w:rPr>
        <w:t xml:space="preserve"> og tenofovir, der var ca. 4 og 17 gange større, end hvad der forventes efter administration af emtricitabin og </w:t>
      </w:r>
      <w:r w:rsidR="00202D86">
        <w:rPr>
          <w:sz w:val="24"/>
          <w:szCs w:val="24"/>
        </w:rPr>
        <w:t>tenofovir alafenamid fumarat</w:t>
      </w:r>
      <w:r w:rsidRPr="00F2263F">
        <w:rPr>
          <w:sz w:val="24"/>
          <w:szCs w:val="24"/>
        </w:rPr>
        <w:t xml:space="preserve"> kombinationen.</w:t>
      </w:r>
    </w:p>
    <w:p w14:paraId="1F7DDDAC" w14:textId="77777777" w:rsidR="00DB1C4E" w:rsidRPr="00F2263F" w:rsidRDefault="00DB1C4E" w:rsidP="00132A6A">
      <w:pPr>
        <w:ind w:left="851"/>
        <w:rPr>
          <w:sz w:val="24"/>
          <w:szCs w:val="24"/>
        </w:rPr>
      </w:pPr>
    </w:p>
    <w:p w14:paraId="3AADC1B0" w14:textId="5E9A90F0" w:rsidR="00DB1C4E" w:rsidRPr="00F2263F" w:rsidRDefault="00202D86" w:rsidP="00132A6A">
      <w:pPr>
        <w:ind w:left="851"/>
        <w:rPr>
          <w:sz w:val="24"/>
          <w:szCs w:val="24"/>
        </w:rPr>
      </w:pPr>
      <w:r>
        <w:rPr>
          <w:sz w:val="24"/>
          <w:szCs w:val="24"/>
        </w:rPr>
        <w:t>Tenofovir alafenamid</w:t>
      </w:r>
      <w:r w:rsidR="00DB1C4E" w:rsidRPr="00F2263F">
        <w:rPr>
          <w:sz w:val="24"/>
          <w:szCs w:val="24"/>
        </w:rPr>
        <w:t xml:space="preserve"> var ikke mutagent eller klastogent i konventionelle genotoksicitets-assays.</w:t>
      </w:r>
    </w:p>
    <w:p w14:paraId="36EC4B3D" w14:textId="77777777" w:rsidR="00DB1C4E" w:rsidRPr="00F2263F" w:rsidRDefault="00DB1C4E" w:rsidP="00132A6A">
      <w:pPr>
        <w:ind w:left="851"/>
        <w:rPr>
          <w:sz w:val="24"/>
          <w:szCs w:val="24"/>
        </w:rPr>
      </w:pPr>
    </w:p>
    <w:p w14:paraId="220F35E2" w14:textId="05E6752E" w:rsidR="00DB1C4E" w:rsidRPr="00F2263F" w:rsidRDefault="00DB1C4E" w:rsidP="00132A6A">
      <w:pPr>
        <w:ind w:left="851"/>
        <w:rPr>
          <w:sz w:val="24"/>
          <w:szCs w:val="24"/>
        </w:rPr>
      </w:pPr>
      <w:r w:rsidRPr="00F2263F">
        <w:rPr>
          <w:sz w:val="24"/>
          <w:szCs w:val="24"/>
        </w:rPr>
        <w:t xml:space="preserve">Da der er en lavere eksponering for tenofovir hos rotter og mus efter administration af </w:t>
      </w:r>
      <w:r w:rsidR="00202D86">
        <w:rPr>
          <w:sz w:val="24"/>
          <w:szCs w:val="24"/>
        </w:rPr>
        <w:t>tenofovir alafenamid</w:t>
      </w:r>
      <w:r w:rsidRPr="00F2263F">
        <w:rPr>
          <w:sz w:val="24"/>
          <w:szCs w:val="24"/>
        </w:rPr>
        <w:t xml:space="preserve"> sammenlignet med </w:t>
      </w:r>
      <w:r w:rsidR="00202D86">
        <w:rPr>
          <w:sz w:val="24"/>
          <w:szCs w:val="24"/>
        </w:rPr>
        <w:t>tenofovir disoproxil fumarat</w:t>
      </w:r>
      <w:r w:rsidRPr="00F2263F">
        <w:rPr>
          <w:sz w:val="24"/>
          <w:szCs w:val="24"/>
        </w:rPr>
        <w:t xml:space="preserve">, blev der kun udført karcinogenicitetsstudier og et peri-postnatalt studie hos rotter med </w:t>
      </w:r>
      <w:r w:rsidR="00202D86">
        <w:rPr>
          <w:sz w:val="24"/>
          <w:szCs w:val="24"/>
        </w:rPr>
        <w:t>tenofovir disoproxil fumarat</w:t>
      </w:r>
      <w:r w:rsidRPr="00F2263F">
        <w:rPr>
          <w:sz w:val="24"/>
          <w:szCs w:val="24"/>
        </w:rPr>
        <w:t xml:space="preserve">. Ingen speciel risiko for mennesker blev vist i konventionelle studier af karcinogent potentiale og reproduktions- og udviklingstoksicitet. Studier af reproduktionstoksicitet udført hos rotter og kaniner viste ingen virkninger hverken på parrings-, fertilitets-, graviditets- eller fosterparametre. </w:t>
      </w:r>
      <w:r w:rsidR="00202D86">
        <w:rPr>
          <w:sz w:val="24"/>
          <w:szCs w:val="24"/>
        </w:rPr>
        <w:t>Tenofovir disoproxil fumarat</w:t>
      </w:r>
      <w:r w:rsidRPr="00F2263F">
        <w:rPr>
          <w:sz w:val="24"/>
          <w:szCs w:val="24"/>
        </w:rPr>
        <w:t xml:space="preserve"> reducerede imidlertid afkommets levedygtighed og vægt i peri-postnatale toksicitetsstudier ved doser, der var toksiske for moderen.</w:t>
      </w:r>
    </w:p>
    <w:p w14:paraId="4D5E5125" w14:textId="77777777" w:rsidR="009260DE" w:rsidRPr="00F2263F" w:rsidRDefault="009260DE" w:rsidP="009260DE">
      <w:pPr>
        <w:tabs>
          <w:tab w:val="left" w:pos="851"/>
        </w:tabs>
        <w:ind w:left="851"/>
        <w:rPr>
          <w:sz w:val="24"/>
          <w:szCs w:val="24"/>
        </w:rPr>
      </w:pPr>
    </w:p>
    <w:p w14:paraId="365BE191" w14:textId="77777777" w:rsidR="009260DE" w:rsidRPr="00F2263F" w:rsidRDefault="009260DE" w:rsidP="009260DE">
      <w:pPr>
        <w:tabs>
          <w:tab w:val="left" w:pos="851"/>
        </w:tabs>
        <w:ind w:left="851"/>
        <w:rPr>
          <w:sz w:val="24"/>
          <w:szCs w:val="24"/>
        </w:rPr>
      </w:pPr>
    </w:p>
    <w:p w14:paraId="7DE94B71" w14:textId="77777777" w:rsidR="009260DE" w:rsidRPr="00F2263F" w:rsidRDefault="009260DE" w:rsidP="009260DE">
      <w:pPr>
        <w:tabs>
          <w:tab w:val="left" w:pos="851"/>
        </w:tabs>
        <w:ind w:left="851" w:hanging="851"/>
        <w:rPr>
          <w:b/>
          <w:sz w:val="24"/>
          <w:szCs w:val="24"/>
        </w:rPr>
      </w:pPr>
      <w:r w:rsidRPr="00F2263F">
        <w:rPr>
          <w:b/>
          <w:sz w:val="24"/>
          <w:szCs w:val="24"/>
        </w:rPr>
        <w:t>6.</w:t>
      </w:r>
      <w:r w:rsidRPr="00F2263F">
        <w:rPr>
          <w:b/>
          <w:sz w:val="24"/>
          <w:szCs w:val="24"/>
        </w:rPr>
        <w:tab/>
        <w:t>FARMACEUTISKE OPLYSNINGER</w:t>
      </w:r>
    </w:p>
    <w:p w14:paraId="7A003119" w14:textId="77777777" w:rsidR="009260DE" w:rsidRPr="00F2263F" w:rsidRDefault="009260DE" w:rsidP="009260DE">
      <w:pPr>
        <w:tabs>
          <w:tab w:val="left" w:pos="851"/>
        </w:tabs>
        <w:ind w:left="851"/>
        <w:rPr>
          <w:sz w:val="24"/>
          <w:szCs w:val="24"/>
        </w:rPr>
      </w:pPr>
    </w:p>
    <w:p w14:paraId="74688071" w14:textId="77777777" w:rsidR="009260DE" w:rsidRPr="00F2263F" w:rsidRDefault="009260DE" w:rsidP="009260DE">
      <w:pPr>
        <w:tabs>
          <w:tab w:val="left" w:pos="851"/>
        </w:tabs>
        <w:ind w:left="851" w:hanging="851"/>
        <w:rPr>
          <w:b/>
          <w:sz w:val="24"/>
          <w:szCs w:val="24"/>
        </w:rPr>
      </w:pPr>
      <w:r w:rsidRPr="00F2263F">
        <w:rPr>
          <w:b/>
          <w:sz w:val="24"/>
          <w:szCs w:val="24"/>
        </w:rPr>
        <w:t>6.1</w:t>
      </w:r>
      <w:r w:rsidRPr="00F2263F">
        <w:rPr>
          <w:b/>
          <w:sz w:val="24"/>
          <w:szCs w:val="24"/>
        </w:rPr>
        <w:tab/>
        <w:t>Hjælpestoffer</w:t>
      </w:r>
    </w:p>
    <w:p w14:paraId="1A819055" w14:textId="77777777" w:rsidR="00A718C0" w:rsidRDefault="00A718C0" w:rsidP="00132A6A">
      <w:pPr>
        <w:ind w:left="851"/>
        <w:rPr>
          <w:sz w:val="24"/>
          <w:szCs w:val="24"/>
        </w:rPr>
      </w:pPr>
    </w:p>
    <w:p w14:paraId="4AD49498" w14:textId="30ADE6F2" w:rsidR="00DB1C4E" w:rsidRPr="00A718C0" w:rsidRDefault="00DB1C4E" w:rsidP="00132A6A">
      <w:pPr>
        <w:ind w:left="851"/>
        <w:rPr>
          <w:sz w:val="24"/>
          <w:szCs w:val="24"/>
          <w:u w:val="single"/>
        </w:rPr>
      </w:pPr>
      <w:r w:rsidRPr="00A718C0">
        <w:rPr>
          <w:sz w:val="24"/>
          <w:szCs w:val="24"/>
          <w:u w:val="single"/>
        </w:rPr>
        <w:t>Tabletkerne</w:t>
      </w:r>
    </w:p>
    <w:p w14:paraId="6196A526" w14:textId="77777777" w:rsidR="00DB1C4E" w:rsidRPr="00F2263F" w:rsidRDefault="00DB1C4E" w:rsidP="00132A6A">
      <w:pPr>
        <w:ind w:left="851"/>
        <w:rPr>
          <w:sz w:val="24"/>
          <w:szCs w:val="24"/>
        </w:rPr>
      </w:pPr>
      <w:r w:rsidRPr="00F2263F">
        <w:rPr>
          <w:sz w:val="24"/>
          <w:szCs w:val="24"/>
        </w:rPr>
        <w:t>Mikrokrystallinsk cellulose</w:t>
      </w:r>
    </w:p>
    <w:p w14:paraId="6B4AA028" w14:textId="77777777" w:rsidR="00DB1C4E" w:rsidRPr="00F2263F" w:rsidRDefault="00DB1C4E" w:rsidP="00132A6A">
      <w:pPr>
        <w:ind w:left="851"/>
        <w:rPr>
          <w:sz w:val="24"/>
          <w:szCs w:val="24"/>
        </w:rPr>
      </w:pPr>
      <w:r w:rsidRPr="00F2263F">
        <w:rPr>
          <w:sz w:val="24"/>
          <w:szCs w:val="24"/>
        </w:rPr>
        <w:t>Croscarmellosenatrium</w:t>
      </w:r>
    </w:p>
    <w:p w14:paraId="28EF1A51" w14:textId="77777777" w:rsidR="00DB1C4E" w:rsidRPr="00F2263F" w:rsidRDefault="00DB1C4E" w:rsidP="00132A6A">
      <w:pPr>
        <w:ind w:left="851"/>
        <w:rPr>
          <w:sz w:val="24"/>
          <w:szCs w:val="24"/>
        </w:rPr>
      </w:pPr>
      <w:r w:rsidRPr="00F2263F">
        <w:rPr>
          <w:sz w:val="24"/>
          <w:szCs w:val="24"/>
        </w:rPr>
        <w:t>Magnesiumstearat</w:t>
      </w:r>
    </w:p>
    <w:p w14:paraId="77D14B99" w14:textId="77777777" w:rsidR="00DB1C4E" w:rsidRPr="00F2263F" w:rsidRDefault="00DB1C4E" w:rsidP="00132A6A">
      <w:pPr>
        <w:ind w:left="851"/>
        <w:rPr>
          <w:sz w:val="24"/>
          <w:szCs w:val="24"/>
        </w:rPr>
      </w:pPr>
      <w:r w:rsidRPr="00F2263F">
        <w:rPr>
          <w:sz w:val="24"/>
          <w:szCs w:val="24"/>
        </w:rPr>
        <w:t>Hypromellose</w:t>
      </w:r>
    </w:p>
    <w:p w14:paraId="334E12EF" w14:textId="77777777" w:rsidR="00DB1C4E" w:rsidRPr="00F2263F" w:rsidRDefault="00DB1C4E" w:rsidP="00132A6A">
      <w:pPr>
        <w:ind w:left="851"/>
        <w:rPr>
          <w:sz w:val="24"/>
          <w:szCs w:val="24"/>
        </w:rPr>
      </w:pPr>
    </w:p>
    <w:p w14:paraId="28E270BA" w14:textId="77777777" w:rsidR="00FC122F" w:rsidRPr="00A718C0" w:rsidRDefault="00FC122F" w:rsidP="00FC122F">
      <w:pPr>
        <w:ind w:left="851"/>
        <w:rPr>
          <w:sz w:val="24"/>
          <w:szCs w:val="24"/>
          <w:u w:val="single"/>
        </w:rPr>
      </w:pPr>
      <w:r w:rsidRPr="00A718C0">
        <w:rPr>
          <w:sz w:val="24"/>
          <w:szCs w:val="24"/>
          <w:u w:val="single"/>
        </w:rPr>
        <w:lastRenderedPageBreak/>
        <w:t>Filmovertræk</w:t>
      </w:r>
    </w:p>
    <w:p w14:paraId="587EEDD8" w14:textId="77777777" w:rsidR="00FC122F" w:rsidRDefault="00FC122F" w:rsidP="00132A6A">
      <w:pPr>
        <w:ind w:left="851"/>
        <w:rPr>
          <w:sz w:val="24"/>
          <w:szCs w:val="24"/>
          <w:u w:val="single"/>
        </w:rPr>
      </w:pPr>
    </w:p>
    <w:p w14:paraId="1A4B18C5" w14:textId="120B59C1" w:rsidR="00FC122F" w:rsidRPr="00FC122F" w:rsidRDefault="00FC122F" w:rsidP="00132A6A">
      <w:pPr>
        <w:ind w:left="851"/>
        <w:rPr>
          <w:i/>
          <w:sz w:val="24"/>
          <w:szCs w:val="24"/>
          <w:u w:val="single"/>
        </w:rPr>
      </w:pPr>
      <w:r w:rsidRPr="00FC122F">
        <w:rPr>
          <w:i/>
          <w:sz w:val="24"/>
          <w:szCs w:val="24"/>
          <w:u w:val="single"/>
        </w:rPr>
        <w:t>200/10 mg</w:t>
      </w:r>
    </w:p>
    <w:p w14:paraId="2A10E15B" w14:textId="77777777" w:rsidR="00DB1C4E" w:rsidRPr="00F2263F" w:rsidRDefault="00DB1C4E" w:rsidP="00132A6A">
      <w:pPr>
        <w:ind w:left="851"/>
        <w:rPr>
          <w:sz w:val="24"/>
          <w:szCs w:val="24"/>
        </w:rPr>
      </w:pPr>
      <w:r w:rsidRPr="00F2263F">
        <w:rPr>
          <w:sz w:val="24"/>
          <w:szCs w:val="24"/>
        </w:rPr>
        <w:t>Polyvinylalkohol</w:t>
      </w:r>
    </w:p>
    <w:p w14:paraId="64A21FE5" w14:textId="77777777" w:rsidR="00DB1C4E" w:rsidRPr="00F2263F" w:rsidRDefault="00DB1C4E" w:rsidP="00132A6A">
      <w:pPr>
        <w:ind w:left="851"/>
        <w:rPr>
          <w:sz w:val="24"/>
          <w:szCs w:val="24"/>
        </w:rPr>
      </w:pPr>
      <w:r w:rsidRPr="00F2263F">
        <w:rPr>
          <w:sz w:val="24"/>
          <w:szCs w:val="24"/>
        </w:rPr>
        <w:t>Titandioxid (E171)</w:t>
      </w:r>
    </w:p>
    <w:p w14:paraId="3AAE8B1A" w14:textId="77777777" w:rsidR="00DB1C4E" w:rsidRPr="00F2263F" w:rsidRDefault="00DB1C4E" w:rsidP="00132A6A">
      <w:pPr>
        <w:ind w:left="851"/>
        <w:rPr>
          <w:sz w:val="24"/>
          <w:szCs w:val="24"/>
        </w:rPr>
      </w:pPr>
      <w:r w:rsidRPr="00F2263F">
        <w:rPr>
          <w:sz w:val="24"/>
          <w:szCs w:val="24"/>
        </w:rPr>
        <w:t>Macrogol</w:t>
      </w:r>
    </w:p>
    <w:p w14:paraId="551B4866" w14:textId="77777777" w:rsidR="00DB1C4E" w:rsidRPr="00F2263F" w:rsidRDefault="00DB1C4E" w:rsidP="00132A6A">
      <w:pPr>
        <w:ind w:left="851"/>
        <w:rPr>
          <w:sz w:val="24"/>
          <w:szCs w:val="24"/>
        </w:rPr>
      </w:pPr>
      <w:r w:rsidRPr="00F2263F">
        <w:rPr>
          <w:sz w:val="24"/>
          <w:szCs w:val="24"/>
        </w:rPr>
        <w:t>Talcum</w:t>
      </w:r>
    </w:p>
    <w:p w14:paraId="12B556BC" w14:textId="77777777" w:rsidR="00DB1C4E" w:rsidRPr="00F2263F" w:rsidRDefault="00DB1C4E" w:rsidP="00132A6A">
      <w:pPr>
        <w:ind w:left="851"/>
        <w:rPr>
          <w:sz w:val="24"/>
          <w:szCs w:val="24"/>
        </w:rPr>
      </w:pPr>
      <w:r w:rsidRPr="00F2263F">
        <w:rPr>
          <w:sz w:val="24"/>
          <w:szCs w:val="24"/>
        </w:rPr>
        <w:t>Jernoxid, sort (E172)</w:t>
      </w:r>
    </w:p>
    <w:p w14:paraId="73811C69" w14:textId="5F1FF223" w:rsidR="009260DE" w:rsidRPr="00FC122F" w:rsidRDefault="009260DE" w:rsidP="00FC122F">
      <w:pPr>
        <w:ind w:left="851"/>
        <w:rPr>
          <w:sz w:val="24"/>
          <w:szCs w:val="24"/>
        </w:rPr>
      </w:pPr>
    </w:p>
    <w:p w14:paraId="781D040D" w14:textId="04C1D31A" w:rsidR="00FC122F" w:rsidRPr="00FC122F" w:rsidRDefault="00FC122F" w:rsidP="00FC122F">
      <w:pPr>
        <w:ind w:left="851"/>
        <w:rPr>
          <w:i/>
          <w:sz w:val="24"/>
          <w:szCs w:val="24"/>
          <w:u w:val="single"/>
        </w:rPr>
      </w:pPr>
      <w:r w:rsidRPr="00FC122F">
        <w:rPr>
          <w:i/>
          <w:sz w:val="24"/>
          <w:szCs w:val="24"/>
          <w:u w:val="single"/>
        </w:rPr>
        <w:t>200/25 mg</w:t>
      </w:r>
    </w:p>
    <w:p w14:paraId="3CCC879F" w14:textId="77777777" w:rsidR="00FC122F" w:rsidRPr="00FC122F" w:rsidRDefault="00FC122F" w:rsidP="00FC122F">
      <w:pPr>
        <w:pStyle w:val="Brdtekst"/>
        <w:widowControl/>
        <w:suppressAutoHyphens/>
        <w:kinsoku w:val="0"/>
        <w:overflowPunct w:val="0"/>
        <w:ind w:left="851"/>
        <w:rPr>
          <w:color w:val="000000" w:themeColor="text1"/>
        </w:rPr>
      </w:pPr>
      <w:r w:rsidRPr="00FC122F">
        <w:rPr>
          <w:color w:val="000000" w:themeColor="text1"/>
        </w:rPr>
        <w:t>Polyvinylalkohol</w:t>
      </w:r>
    </w:p>
    <w:p w14:paraId="0D7BA739" w14:textId="77777777" w:rsidR="00FC122F" w:rsidRPr="00FC122F" w:rsidRDefault="00FC122F" w:rsidP="00FC122F">
      <w:pPr>
        <w:pStyle w:val="Brdtekst"/>
        <w:widowControl/>
        <w:suppressAutoHyphens/>
        <w:kinsoku w:val="0"/>
        <w:overflowPunct w:val="0"/>
        <w:ind w:left="851"/>
        <w:rPr>
          <w:color w:val="000000" w:themeColor="text1"/>
        </w:rPr>
      </w:pPr>
      <w:r w:rsidRPr="00FC122F">
        <w:rPr>
          <w:color w:val="000000" w:themeColor="text1"/>
        </w:rPr>
        <w:t>Titandioxid (E171)</w:t>
      </w:r>
    </w:p>
    <w:p w14:paraId="5BCADB9F" w14:textId="77777777" w:rsidR="00FC122F" w:rsidRPr="00FC122F" w:rsidRDefault="00FC122F" w:rsidP="00FC122F">
      <w:pPr>
        <w:pStyle w:val="Brdtekst"/>
        <w:widowControl/>
        <w:suppressAutoHyphens/>
        <w:kinsoku w:val="0"/>
        <w:overflowPunct w:val="0"/>
        <w:ind w:left="851"/>
        <w:rPr>
          <w:color w:val="000000" w:themeColor="text1"/>
        </w:rPr>
      </w:pPr>
      <w:r w:rsidRPr="00FC122F">
        <w:rPr>
          <w:color w:val="000000" w:themeColor="text1"/>
        </w:rPr>
        <w:t>Macrogol</w:t>
      </w:r>
    </w:p>
    <w:p w14:paraId="10583928" w14:textId="77777777" w:rsidR="00FC122F" w:rsidRPr="00FC122F" w:rsidRDefault="00FC122F" w:rsidP="00FC122F">
      <w:pPr>
        <w:pStyle w:val="Brdtekst"/>
        <w:widowControl/>
        <w:suppressAutoHyphens/>
        <w:kinsoku w:val="0"/>
        <w:overflowPunct w:val="0"/>
        <w:ind w:left="851"/>
        <w:rPr>
          <w:color w:val="000000" w:themeColor="text1"/>
        </w:rPr>
      </w:pPr>
      <w:r w:rsidRPr="00FC122F">
        <w:rPr>
          <w:color w:val="000000" w:themeColor="text1"/>
        </w:rPr>
        <w:t>Talcum</w:t>
      </w:r>
    </w:p>
    <w:p w14:paraId="67991DE7" w14:textId="77777777" w:rsidR="00FC122F" w:rsidRPr="00FC122F" w:rsidRDefault="00FC122F" w:rsidP="00FC122F">
      <w:pPr>
        <w:ind w:left="851"/>
        <w:rPr>
          <w:sz w:val="24"/>
          <w:szCs w:val="24"/>
        </w:rPr>
      </w:pPr>
    </w:p>
    <w:p w14:paraId="3B2BCAC0" w14:textId="77777777" w:rsidR="009260DE" w:rsidRPr="00F2263F" w:rsidRDefault="009260DE" w:rsidP="009260DE">
      <w:pPr>
        <w:tabs>
          <w:tab w:val="left" w:pos="851"/>
        </w:tabs>
        <w:ind w:left="851" w:hanging="851"/>
        <w:rPr>
          <w:b/>
          <w:sz w:val="24"/>
          <w:szCs w:val="24"/>
        </w:rPr>
      </w:pPr>
      <w:r w:rsidRPr="00F2263F">
        <w:rPr>
          <w:b/>
          <w:sz w:val="24"/>
          <w:szCs w:val="24"/>
        </w:rPr>
        <w:t>6.2</w:t>
      </w:r>
      <w:r w:rsidRPr="00F2263F">
        <w:rPr>
          <w:b/>
          <w:sz w:val="24"/>
          <w:szCs w:val="24"/>
        </w:rPr>
        <w:tab/>
        <w:t>Uforligeligheder</w:t>
      </w:r>
    </w:p>
    <w:p w14:paraId="4818B70B" w14:textId="77777777" w:rsidR="00DB1C4E" w:rsidRPr="00F2263F" w:rsidRDefault="00DB1C4E" w:rsidP="00132A6A">
      <w:pPr>
        <w:ind w:left="851"/>
        <w:rPr>
          <w:sz w:val="24"/>
          <w:szCs w:val="24"/>
          <w:lang w:eastAsia="da-DK"/>
        </w:rPr>
      </w:pPr>
      <w:r w:rsidRPr="00F2263F">
        <w:rPr>
          <w:sz w:val="24"/>
          <w:szCs w:val="24"/>
        </w:rPr>
        <w:t>Ikke relevant.</w:t>
      </w:r>
    </w:p>
    <w:p w14:paraId="26994CF1" w14:textId="77777777" w:rsidR="009260DE" w:rsidRPr="00F2263F" w:rsidRDefault="009260DE" w:rsidP="009260DE">
      <w:pPr>
        <w:tabs>
          <w:tab w:val="left" w:pos="851"/>
        </w:tabs>
        <w:ind w:left="851"/>
        <w:rPr>
          <w:sz w:val="24"/>
          <w:szCs w:val="24"/>
        </w:rPr>
      </w:pPr>
    </w:p>
    <w:p w14:paraId="62298D3E" w14:textId="77777777" w:rsidR="009260DE" w:rsidRPr="00F2263F" w:rsidRDefault="009260DE" w:rsidP="009260DE">
      <w:pPr>
        <w:tabs>
          <w:tab w:val="left" w:pos="851"/>
        </w:tabs>
        <w:ind w:left="851" w:hanging="851"/>
        <w:rPr>
          <w:b/>
          <w:sz w:val="24"/>
          <w:szCs w:val="24"/>
        </w:rPr>
      </w:pPr>
      <w:r w:rsidRPr="00F2263F">
        <w:rPr>
          <w:b/>
          <w:sz w:val="24"/>
          <w:szCs w:val="24"/>
        </w:rPr>
        <w:t>6.3</w:t>
      </w:r>
      <w:r w:rsidRPr="00F2263F">
        <w:rPr>
          <w:b/>
          <w:sz w:val="24"/>
          <w:szCs w:val="24"/>
        </w:rPr>
        <w:tab/>
        <w:t>Opbevaringstid</w:t>
      </w:r>
    </w:p>
    <w:p w14:paraId="1A5CCF90" w14:textId="77777777" w:rsidR="00DB1C4E" w:rsidRPr="00F2263F" w:rsidRDefault="00DB1C4E" w:rsidP="00132A6A">
      <w:pPr>
        <w:ind w:left="851"/>
        <w:rPr>
          <w:sz w:val="24"/>
          <w:szCs w:val="24"/>
          <w:lang w:eastAsia="da-DK"/>
        </w:rPr>
      </w:pPr>
      <w:r w:rsidRPr="00F2263F">
        <w:rPr>
          <w:sz w:val="24"/>
          <w:szCs w:val="24"/>
        </w:rPr>
        <w:t>18 måneder</w:t>
      </w:r>
    </w:p>
    <w:p w14:paraId="7F838692" w14:textId="77777777" w:rsidR="00FC122F" w:rsidRDefault="00FC122F" w:rsidP="00132A6A">
      <w:pPr>
        <w:ind w:left="851"/>
        <w:rPr>
          <w:color w:val="000000" w:themeColor="text1"/>
          <w:sz w:val="24"/>
          <w:szCs w:val="24"/>
        </w:rPr>
      </w:pPr>
    </w:p>
    <w:p w14:paraId="0DDCB43C" w14:textId="660F9993" w:rsidR="00A718C0" w:rsidRDefault="00DB1C4E" w:rsidP="00132A6A">
      <w:pPr>
        <w:ind w:left="851"/>
        <w:rPr>
          <w:color w:val="000000" w:themeColor="text1"/>
          <w:sz w:val="24"/>
          <w:szCs w:val="24"/>
        </w:rPr>
      </w:pPr>
      <w:r w:rsidRPr="00FC122F">
        <w:rPr>
          <w:color w:val="000000" w:themeColor="text1"/>
          <w:sz w:val="24"/>
          <w:szCs w:val="24"/>
          <w:u w:val="single"/>
        </w:rPr>
        <w:t>Holdbarhed efter første åbning af beholder:</w:t>
      </w:r>
      <w:r w:rsidRPr="00F2263F">
        <w:rPr>
          <w:color w:val="000000" w:themeColor="text1"/>
          <w:sz w:val="24"/>
          <w:szCs w:val="24"/>
        </w:rPr>
        <w:t xml:space="preserve"> 30 dage. </w:t>
      </w:r>
    </w:p>
    <w:p w14:paraId="759399F5" w14:textId="22C5806E" w:rsidR="00DB1C4E" w:rsidRPr="00F2263F" w:rsidRDefault="00DB1C4E" w:rsidP="00132A6A">
      <w:pPr>
        <w:ind w:left="851"/>
        <w:rPr>
          <w:color w:val="000000" w:themeColor="text1"/>
          <w:sz w:val="24"/>
          <w:szCs w:val="24"/>
        </w:rPr>
      </w:pPr>
      <w:r w:rsidRPr="00F2263F">
        <w:rPr>
          <w:color w:val="000000" w:themeColor="text1"/>
          <w:sz w:val="24"/>
          <w:szCs w:val="24"/>
        </w:rPr>
        <w:t>Opbevares ved temperaturer under 25</w:t>
      </w:r>
      <w:r w:rsidR="00A718C0">
        <w:rPr>
          <w:color w:val="000000" w:themeColor="text1"/>
          <w:sz w:val="24"/>
          <w:szCs w:val="24"/>
        </w:rPr>
        <w:t xml:space="preserve"> </w:t>
      </w:r>
      <w:r w:rsidRPr="00F2263F">
        <w:rPr>
          <w:color w:val="000000" w:themeColor="text1"/>
          <w:sz w:val="24"/>
          <w:szCs w:val="24"/>
        </w:rPr>
        <w:t>°C.</w:t>
      </w:r>
    </w:p>
    <w:p w14:paraId="33582F5B" w14:textId="77777777" w:rsidR="009260DE" w:rsidRPr="00F2263F" w:rsidRDefault="009260DE" w:rsidP="009260DE">
      <w:pPr>
        <w:tabs>
          <w:tab w:val="left" w:pos="851"/>
        </w:tabs>
        <w:ind w:left="851"/>
        <w:rPr>
          <w:sz w:val="24"/>
          <w:szCs w:val="24"/>
        </w:rPr>
      </w:pPr>
    </w:p>
    <w:p w14:paraId="591D8C00" w14:textId="77777777" w:rsidR="009260DE" w:rsidRPr="00F2263F" w:rsidRDefault="009260DE" w:rsidP="009260DE">
      <w:pPr>
        <w:tabs>
          <w:tab w:val="left" w:pos="851"/>
        </w:tabs>
        <w:ind w:left="851" w:hanging="851"/>
        <w:rPr>
          <w:b/>
          <w:sz w:val="24"/>
          <w:szCs w:val="24"/>
        </w:rPr>
      </w:pPr>
      <w:r w:rsidRPr="00F2263F">
        <w:rPr>
          <w:b/>
          <w:sz w:val="24"/>
          <w:szCs w:val="24"/>
        </w:rPr>
        <w:t>6.4</w:t>
      </w:r>
      <w:r w:rsidRPr="00F2263F">
        <w:rPr>
          <w:b/>
          <w:sz w:val="24"/>
          <w:szCs w:val="24"/>
        </w:rPr>
        <w:tab/>
        <w:t>Særlige opbevaringsforhold</w:t>
      </w:r>
    </w:p>
    <w:p w14:paraId="49C942D1" w14:textId="77777777" w:rsidR="00DB1C4E" w:rsidRPr="00F2263F" w:rsidRDefault="00DB1C4E" w:rsidP="00132A6A">
      <w:pPr>
        <w:ind w:left="851"/>
        <w:rPr>
          <w:sz w:val="24"/>
          <w:szCs w:val="24"/>
          <w:lang w:eastAsia="da-DK"/>
        </w:rPr>
      </w:pPr>
      <w:r w:rsidRPr="00F2263F">
        <w:rPr>
          <w:sz w:val="24"/>
          <w:szCs w:val="24"/>
        </w:rPr>
        <w:t>Opbevares ved temperaturer under 30 °C. Opbevares i originalemballagen for at beskytte mod fugt.</w:t>
      </w:r>
    </w:p>
    <w:p w14:paraId="4915240B" w14:textId="200924B8" w:rsidR="00DB1C4E" w:rsidRPr="00F2263F" w:rsidRDefault="00DB1C4E" w:rsidP="00132A6A">
      <w:pPr>
        <w:ind w:left="851"/>
        <w:rPr>
          <w:color w:val="000000" w:themeColor="text1"/>
          <w:sz w:val="24"/>
          <w:szCs w:val="24"/>
        </w:rPr>
      </w:pPr>
      <w:r w:rsidRPr="00F2263F">
        <w:rPr>
          <w:color w:val="000000" w:themeColor="text1"/>
          <w:sz w:val="24"/>
          <w:szCs w:val="24"/>
        </w:rPr>
        <w:t xml:space="preserve">Opbevaringsbetingelser efter første åbning af lægemidlet, se </w:t>
      </w:r>
      <w:r w:rsidR="00C7472A">
        <w:rPr>
          <w:color w:val="000000" w:themeColor="text1"/>
          <w:sz w:val="24"/>
          <w:szCs w:val="24"/>
        </w:rPr>
        <w:t>pkt.</w:t>
      </w:r>
      <w:r w:rsidRPr="00F2263F">
        <w:rPr>
          <w:color w:val="000000" w:themeColor="text1"/>
          <w:sz w:val="24"/>
          <w:szCs w:val="24"/>
        </w:rPr>
        <w:t xml:space="preserve"> 6.3.</w:t>
      </w:r>
    </w:p>
    <w:p w14:paraId="1593D426" w14:textId="77777777" w:rsidR="009260DE" w:rsidRPr="00F2263F" w:rsidRDefault="009260DE" w:rsidP="009260DE">
      <w:pPr>
        <w:tabs>
          <w:tab w:val="left" w:pos="851"/>
        </w:tabs>
        <w:ind w:left="851"/>
        <w:rPr>
          <w:sz w:val="24"/>
          <w:szCs w:val="24"/>
        </w:rPr>
      </w:pPr>
    </w:p>
    <w:p w14:paraId="633E708C" w14:textId="77777777" w:rsidR="009260DE" w:rsidRPr="00F2263F" w:rsidRDefault="009260DE" w:rsidP="009260DE">
      <w:pPr>
        <w:tabs>
          <w:tab w:val="left" w:pos="851"/>
        </w:tabs>
        <w:ind w:left="851" w:hanging="851"/>
        <w:rPr>
          <w:b/>
          <w:sz w:val="24"/>
          <w:szCs w:val="24"/>
        </w:rPr>
      </w:pPr>
      <w:r w:rsidRPr="00F2263F">
        <w:rPr>
          <w:b/>
          <w:sz w:val="24"/>
          <w:szCs w:val="24"/>
        </w:rPr>
        <w:t>6.5</w:t>
      </w:r>
      <w:r w:rsidRPr="00F2263F">
        <w:rPr>
          <w:b/>
          <w:sz w:val="24"/>
          <w:szCs w:val="24"/>
        </w:rPr>
        <w:tab/>
        <w:t>Emballagetype og pakningsstørrelser</w:t>
      </w:r>
    </w:p>
    <w:p w14:paraId="5C4CA6AA" w14:textId="77777777" w:rsidR="00DB1C4E" w:rsidRPr="00F2263F" w:rsidRDefault="00DB1C4E" w:rsidP="00132A6A">
      <w:pPr>
        <w:ind w:left="851"/>
        <w:rPr>
          <w:sz w:val="24"/>
          <w:szCs w:val="24"/>
        </w:rPr>
      </w:pPr>
      <w:r w:rsidRPr="00F2263F">
        <w:rPr>
          <w:sz w:val="24"/>
          <w:szCs w:val="24"/>
        </w:rPr>
        <w:t>Hvid højdensitets-polyethylen (HDPE)-beholder. Beholderen lukkes med et hvidt børnesikret skruelåg af polypropylen (PP) med integreret tørremiddel.</w:t>
      </w:r>
    </w:p>
    <w:p w14:paraId="03A2B023" w14:textId="77777777" w:rsidR="00DB1C4E" w:rsidRPr="00F2263F" w:rsidRDefault="00DB1C4E" w:rsidP="00132A6A">
      <w:pPr>
        <w:ind w:left="851"/>
        <w:rPr>
          <w:sz w:val="24"/>
          <w:szCs w:val="24"/>
        </w:rPr>
      </w:pPr>
    </w:p>
    <w:p w14:paraId="134BE32B" w14:textId="586A8C2E" w:rsidR="00DB1C4E" w:rsidRPr="00E0456F" w:rsidRDefault="00DB1C4E" w:rsidP="00E0456F">
      <w:pPr>
        <w:ind w:left="851"/>
        <w:rPr>
          <w:sz w:val="24"/>
          <w:szCs w:val="24"/>
        </w:rPr>
      </w:pPr>
      <w:r w:rsidRPr="00E0456F">
        <w:rPr>
          <w:sz w:val="24"/>
          <w:szCs w:val="24"/>
        </w:rPr>
        <w:t>Følgende pakningsstørrelser er tilgængelige: 30, 60 eller 90 tabletter (ydre karton indeholder en indlægsseddel og en, to eller tre beholdere á 30 tabletter).</w:t>
      </w:r>
    </w:p>
    <w:p w14:paraId="6156A1CA" w14:textId="698E58FF" w:rsidR="00DB1C4E" w:rsidRPr="00E0456F" w:rsidRDefault="00DB1C4E" w:rsidP="00E0456F">
      <w:pPr>
        <w:ind w:left="851"/>
        <w:rPr>
          <w:sz w:val="24"/>
          <w:szCs w:val="24"/>
        </w:rPr>
      </w:pPr>
    </w:p>
    <w:p w14:paraId="5389B2ED" w14:textId="77777777" w:rsidR="00DB1C4E" w:rsidRPr="00F2263F" w:rsidRDefault="00DB1C4E" w:rsidP="00132A6A">
      <w:pPr>
        <w:ind w:left="851"/>
        <w:rPr>
          <w:sz w:val="24"/>
          <w:szCs w:val="24"/>
        </w:rPr>
      </w:pPr>
      <w:r w:rsidRPr="00F2263F">
        <w:rPr>
          <w:sz w:val="24"/>
          <w:szCs w:val="24"/>
        </w:rPr>
        <w:t>Ikke alle pakningsstørrelser er nødvendigvis markedsført.</w:t>
      </w:r>
    </w:p>
    <w:p w14:paraId="12F57DCD" w14:textId="77777777" w:rsidR="009260DE" w:rsidRPr="00F2263F" w:rsidRDefault="009260DE" w:rsidP="009260DE">
      <w:pPr>
        <w:tabs>
          <w:tab w:val="left" w:pos="851"/>
        </w:tabs>
        <w:ind w:left="851"/>
        <w:rPr>
          <w:sz w:val="24"/>
          <w:szCs w:val="24"/>
        </w:rPr>
      </w:pPr>
    </w:p>
    <w:p w14:paraId="6EE7EDD2" w14:textId="77777777" w:rsidR="009260DE" w:rsidRPr="00F2263F" w:rsidRDefault="009260DE" w:rsidP="009260DE">
      <w:pPr>
        <w:tabs>
          <w:tab w:val="left" w:pos="851"/>
        </w:tabs>
        <w:ind w:left="851" w:hanging="851"/>
        <w:rPr>
          <w:b/>
          <w:sz w:val="24"/>
          <w:szCs w:val="24"/>
        </w:rPr>
      </w:pPr>
      <w:r w:rsidRPr="00F2263F">
        <w:rPr>
          <w:b/>
          <w:sz w:val="24"/>
          <w:szCs w:val="24"/>
        </w:rPr>
        <w:t>6.6</w:t>
      </w:r>
      <w:r w:rsidRPr="00F2263F">
        <w:rPr>
          <w:b/>
          <w:sz w:val="24"/>
          <w:szCs w:val="24"/>
        </w:rPr>
        <w:tab/>
        <w:t xml:space="preserve">Regler for </w:t>
      </w:r>
      <w:r w:rsidR="00BD7931" w:rsidRPr="00F2263F">
        <w:rPr>
          <w:b/>
          <w:sz w:val="24"/>
          <w:szCs w:val="24"/>
        </w:rPr>
        <w:t>bortskaffelse</w:t>
      </w:r>
      <w:r w:rsidRPr="00F2263F">
        <w:rPr>
          <w:b/>
          <w:sz w:val="24"/>
          <w:szCs w:val="24"/>
        </w:rPr>
        <w:t xml:space="preserve"> og anden håndtering</w:t>
      </w:r>
    </w:p>
    <w:p w14:paraId="25FCD214" w14:textId="77777777" w:rsidR="00DB1C4E" w:rsidRPr="00F2263F" w:rsidRDefault="00DB1C4E" w:rsidP="00132A6A">
      <w:pPr>
        <w:ind w:left="851"/>
        <w:rPr>
          <w:sz w:val="24"/>
          <w:szCs w:val="24"/>
        </w:rPr>
      </w:pPr>
      <w:r w:rsidRPr="00F2263F">
        <w:rPr>
          <w:sz w:val="24"/>
          <w:szCs w:val="24"/>
        </w:rPr>
        <w:t>Ingen særlige krav til bortskaffelse.</w:t>
      </w:r>
    </w:p>
    <w:p w14:paraId="6F1411B8" w14:textId="77777777" w:rsidR="00DB1C4E" w:rsidRPr="00F2263F" w:rsidRDefault="00DB1C4E" w:rsidP="00132A6A">
      <w:pPr>
        <w:ind w:left="851"/>
        <w:rPr>
          <w:sz w:val="24"/>
          <w:szCs w:val="24"/>
        </w:rPr>
      </w:pPr>
    </w:p>
    <w:p w14:paraId="6FF8B27B" w14:textId="77777777" w:rsidR="00DB1C4E" w:rsidRPr="00F2263F" w:rsidRDefault="00DB1C4E" w:rsidP="00132A6A">
      <w:pPr>
        <w:ind w:left="851"/>
        <w:rPr>
          <w:sz w:val="24"/>
          <w:szCs w:val="24"/>
        </w:rPr>
      </w:pPr>
      <w:r w:rsidRPr="00F2263F">
        <w:rPr>
          <w:sz w:val="24"/>
          <w:szCs w:val="24"/>
        </w:rPr>
        <w:t>Ikke anvendt lægemiddel samt affald heraf skal bortskaffes i henhold til lokale retningslinjer.</w:t>
      </w:r>
    </w:p>
    <w:p w14:paraId="35B07A85" w14:textId="77777777" w:rsidR="009260DE" w:rsidRPr="00F2263F" w:rsidRDefault="009260DE" w:rsidP="000730CA">
      <w:pPr>
        <w:tabs>
          <w:tab w:val="left" w:pos="851"/>
        </w:tabs>
        <w:ind w:left="851"/>
        <w:rPr>
          <w:sz w:val="24"/>
          <w:szCs w:val="24"/>
        </w:rPr>
      </w:pPr>
    </w:p>
    <w:p w14:paraId="4E58FF68" w14:textId="77777777" w:rsidR="009260DE" w:rsidRPr="00F2263F" w:rsidRDefault="009260DE" w:rsidP="009260DE">
      <w:pPr>
        <w:tabs>
          <w:tab w:val="left" w:pos="851"/>
        </w:tabs>
        <w:ind w:left="851" w:hanging="851"/>
        <w:rPr>
          <w:b/>
          <w:sz w:val="24"/>
          <w:szCs w:val="24"/>
        </w:rPr>
      </w:pPr>
      <w:r w:rsidRPr="00F2263F">
        <w:rPr>
          <w:b/>
          <w:sz w:val="24"/>
          <w:szCs w:val="24"/>
        </w:rPr>
        <w:t>7.</w:t>
      </w:r>
      <w:r w:rsidRPr="00F2263F">
        <w:rPr>
          <w:b/>
          <w:sz w:val="24"/>
          <w:szCs w:val="24"/>
        </w:rPr>
        <w:tab/>
        <w:t>INDEHAVER AF MARKEDSFØRINGSTILLADELSEN</w:t>
      </w:r>
    </w:p>
    <w:p w14:paraId="37073CE3" w14:textId="77777777" w:rsidR="00DB1C4E" w:rsidRPr="00F2263F" w:rsidRDefault="00DB1C4E" w:rsidP="00132A6A">
      <w:pPr>
        <w:ind w:left="851"/>
        <w:rPr>
          <w:sz w:val="24"/>
          <w:szCs w:val="24"/>
          <w:lang w:eastAsia="da-DK"/>
        </w:rPr>
      </w:pPr>
      <w:r w:rsidRPr="00F2263F">
        <w:rPr>
          <w:sz w:val="24"/>
          <w:szCs w:val="24"/>
        </w:rPr>
        <w:t>Zentiva k.s.</w:t>
      </w:r>
    </w:p>
    <w:p w14:paraId="2BB79001" w14:textId="77777777" w:rsidR="00DB1C4E" w:rsidRPr="00F2263F" w:rsidRDefault="00DB1C4E" w:rsidP="00132A6A">
      <w:pPr>
        <w:ind w:left="851"/>
        <w:rPr>
          <w:sz w:val="24"/>
          <w:szCs w:val="24"/>
        </w:rPr>
      </w:pPr>
      <w:r w:rsidRPr="00F2263F">
        <w:rPr>
          <w:sz w:val="24"/>
          <w:szCs w:val="24"/>
        </w:rPr>
        <w:t>U Kabelovny 130</w:t>
      </w:r>
    </w:p>
    <w:p w14:paraId="3C1C5167" w14:textId="77777777" w:rsidR="00DB1C4E" w:rsidRPr="00F2263F" w:rsidRDefault="00DB1C4E" w:rsidP="00132A6A">
      <w:pPr>
        <w:ind w:left="851"/>
        <w:rPr>
          <w:sz w:val="24"/>
          <w:szCs w:val="24"/>
        </w:rPr>
      </w:pPr>
      <w:r w:rsidRPr="00F2263F">
        <w:rPr>
          <w:sz w:val="24"/>
          <w:szCs w:val="24"/>
        </w:rPr>
        <w:t>102 37 Prag 10</w:t>
      </w:r>
    </w:p>
    <w:p w14:paraId="256BAA7F" w14:textId="77777777" w:rsidR="00DB1C4E" w:rsidRPr="00F2263F" w:rsidRDefault="00DB1C4E" w:rsidP="00132A6A">
      <w:pPr>
        <w:ind w:left="851"/>
        <w:rPr>
          <w:sz w:val="24"/>
          <w:szCs w:val="24"/>
        </w:rPr>
      </w:pPr>
      <w:r w:rsidRPr="00F2263F">
        <w:rPr>
          <w:sz w:val="24"/>
          <w:szCs w:val="24"/>
        </w:rPr>
        <w:t>Tjekkiet</w:t>
      </w:r>
    </w:p>
    <w:p w14:paraId="25BFF351" w14:textId="424EC3DC" w:rsidR="00E0456F" w:rsidRDefault="00E0456F">
      <w:pPr>
        <w:rPr>
          <w:sz w:val="24"/>
          <w:szCs w:val="24"/>
        </w:rPr>
      </w:pPr>
      <w:r>
        <w:rPr>
          <w:sz w:val="24"/>
          <w:szCs w:val="24"/>
        </w:rPr>
        <w:br w:type="page"/>
      </w:r>
    </w:p>
    <w:p w14:paraId="62BCAFCD" w14:textId="77777777" w:rsidR="009260DE" w:rsidRPr="00F2263F" w:rsidRDefault="009260DE" w:rsidP="00132A6A">
      <w:pPr>
        <w:ind w:left="851"/>
        <w:rPr>
          <w:sz w:val="24"/>
          <w:szCs w:val="24"/>
        </w:rPr>
      </w:pPr>
    </w:p>
    <w:p w14:paraId="4FE625FE" w14:textId="77777777" w:rsidR="00641C65" w:rsidRPr="00F2263F" w:rsidRDefault="00641C65" w:rsidP="00132A6A">
      <w:pPr>
        <w:ind w:left="851"/>
        <w:rPr>
          <w:sz w:val="24"/>
          <w:szCs w:val="24"/>
        </w:rPr>
      </w:pPr>
      <w:r w:rsidRPr="00F2263F">
        <w:rPr>
          <w:b/>
          <w:sz w:val="24"/>
          <w:szCs w:val="24"/>
        </w:rPr>
        <w:t>Repræsentant</w:t>
      </w:r>
    </w:p>
    <w:p w14:paraId="1D3758C8" w14:textId="77777777" w:rsidR="00DB1C4E" w:rsidRPr="00F2263F" w:rsidRDefault="00DB1C4E" w:rsidP="00132A6A">
      <w:pPr>
        <w:ind w:left="851"/>
        <w:rPr>
          <w:sz w:val="24"/>
          <w:szCs w:val="24"/>
          <w:lang w:eastAsia="da-DK"/>
        </w:rPr>
      </w:pPr>
      <w:r w:rsidRPr="00F2263F">
        <w:rPr>
          <w:sz w:val="24"/>
          <w:szCs w:val="24"/>
        </w:rPr>
        <w:t>Zentiva Denmark ApS</w:t>
      </w:r>
    </w:p>
    <w:p w14:paraId="6F55A939" w14:textId="77777777" w:rsidR="00DB1C4E" w:rsidRPr="00F2263F" w:rsidRDefault="00DB1C4E" w:rsidP="00132A6A">
      <w:pPr>
        <w:ind w:left="851"/>
        <w:rPr>
          <w:sz w:val="24"/>
          <w:szCs w:val="24"/>
        </w:rPr>
      </w:pPr>
      <w:r w:rsidRPr="00F2263F">
        <w:rPr>
          <w:sz w:val="24"/>
          <w:szCs w:val="24"/>
        </w:rPr>
        <w:t xml:space="preserve">Fuglevangsvej 11 </w:t>
      </w:r>
    </w:p>
    <w:p w14:paraId="4449F53B" w14:textId="77777777" w:rsidR="00DB1C4E" w:rsidRPr="00F2263F" w:rsidRDefault="00DB1C4E" w:rsidP="00132A6A">
      <w:pPr>
        <w:ind w:left="851"/>
        <w:rPr>
          <w:sz w:val="24"/>
          <w:szCs w:val="24"/>
        </w:rPr>
      </w:pPr>
      <w:r w:rsidRPr="00F2263F">
        <w:rPr>
          <w:sz w:val="24"/>
          <w:szCs w:val="24"/>
        </w:rPr>
        <w:t>1962 Frederiksberg</w:t>
      </w:r>
    </w:p>
    <w:p w14:paraId="4DA33E70" w14:textId="77777777" w:rsidR="00641C65" w:rsidRPr="00F2263F" w:rsidRDefault="00641C65" w:rsidP="009260DE">
      <w:pPr>
        <w:tabs>
          <w:tab w:val="left" w:pos="851"/>
        </w:tabs>
        <w:ind w:left="851"/>
        <w:rPr>
          <w:sz w:val="24"/>
          <w:szCs w:val="24"/>
        </w:rPr>
      </w:pPr>
    </w:p>
    <w:p w14:paraId="0A9F1F04" w14:textId="77777777" w:rsidR="009260DE" w:rsidRPr="00F2263F" w:rsidRDefault="009260DE" w:rsidP="009260DE">
      <w:pPr>
        <w:tabs>
          <w:tab w:val="left" w:pos="851"/>
        </w:tabs>
        <w:ind w:left="851" w:hanging="851"/>
        <w:rPr>
          <w:b/>
          <w:sz w:val="24"/>
          <w:szCs w:val="24"/>
        </w:rPr>
      </w:pPr>
      <w:r w:rsidRPr="00F2263F">
        <w:rPr>
          <w:b/>
          <w:sz w:val="24"/>
          <w:szCs w:val="24"/>
        </w:rPr>
        <w:t>8.</w:t>
      </w:r>
      <w:r w:rsidRPr="00F2263F">
        <w:rPr>
          <w:b/>
          <w:sz w:val="24"/>
          <w:szCs w:val="24"/>
        </w:rPr>
        <w:tab/>
        <w:t>MARKEDSFØRINGSTILLADELSESNUMMER (</w:t>
      </w:r>
      <w:r w:rsidR="00BF6243" w:rsidRPr="00F2263F">
        <w:rPr>
          <w:b/>
          <w:sz w:val="24"/>
          <w:szCs w:val="24"/>
        </w:rPr>
        <w:t>-</w:t>
      </w:r>
      <w:r w:rsidRPr="00F2263F">
        <w:rPr>
          <w:b/>
          <w:sz w:val="24"/>
          <w:szCs w:val="24"/>
        </w:rPr>
        <w:t>NUMRE)</w:t>
      </w:r>
    </w:p>
    <w:p w14:paraId="15758524" w14:textId="6F35456F" w:rsidR="009260DE" w:rsidRPr="00F2263F" w:rsidRDefault="00DB1C4E" w:rsidP="009260DE">
      <w:pPr>
        <w:tabs>
          <w:tab w:val="left" w:pos="851"/>
        </w:tabs>
        <w:ind w:left="851"/>
        <w:rPr>
          <w:sz w:val="24"/>
          <w:szCs w:val="24"/>
        </w:rPr>
      </w:pPr>
      <w:r w:rsidRPr="00F2263F">
        <w:rPr>
          <w:sz w:val="24"/>
          <w:szCs w:val="24"/>
        </w:rPr>
        <w:t>200/10 mg: 72435</w:t>
      </w:r>
    </w:p>
    <w:p w14:paraId="2EB5A5E5" w14:textId="1C22438C" w:rsidR="00DB1C4E" w:rsidRPr="00F2263F" w:rsidRDefault="00DB1C4E" w:rsidP="009260DE">
      <w:pPr>
        <w:tabs>
          <w:tab w:val="left" w:pos="851"/>
        </w:tabs>
        <w:ind w:left="851"/>
        <w:rPr>
          <w:sz w:val="24"/>
          <w:szCs w:val="24"/>
        </w:rPr>
      </w:pPr>
      <w:r w:rsidRPr="00F2263F">
        <w:rPr>
          <w:sz w:val="24"/>
          <w:szCs w:val="24"/>
        </w:rPr>
        <w:t>200/25 mg: 72438</w:t>
      </w:r>
    </w:p>
    <w:p w14:paraId="36F6A0EB" w14:textId="77777777" w:rsidR="009260DE" w:rsidRPr="00F2263F" w:rsidRDefault="009260DE" w:rsidP="009260DE">
      <w:pPr>
        <w:tabs>
          <w:tab w:val="left" w:pos="851"/>
        </w:tabs>
        <w:ind w:left="851"/>
        <w:jc w:val="both"/>
        <w:rPr>
          <w:sz w:val="24"/>
          <w:szCs w:val="24"/>
        </w:rPr>
      </w:pPr>
    </w:p>
    <w:p w14:paraId="7B5BB47B" w14:textId="77777777" w:rsidR="009260DE" w:rsidRPr="00F2263F" w:rsidRDefault="009260DE" w:rsidP="009260DE">
      <w:pPr>
        <w:tabs>
          <w:tab w:val="left" w:pos="851"/>
        </w:tabs>
        <w:ind w:left="851" w:hanging="851"/>
        <w:rPr>
          <w:b/>
          <w:sz w:val="24"/>
          <w:szCs w:val="24"/>
        </w:rPr>
      </w:pPr>
      <w:r w:rsidRPr="00F2263F">
        <w:rPr>
          <w:b/>
          <w:sz w:val="24"/>
          <w:szCs w:val="24"/>
        </w:rPr>
        <w:t>9.</w:t>
      </w:r>
      <w:r w:rsidRPr="00F2263F">
        <w:rPr>
          <w:b/>
          <w:sz w:val="24"/>
          <w:szCs w:val="24"/>
        </w:rPr>
        <w:tab/>
        <w:t>DATO FOR FØRSTE MARKEDSFØRINGSTILLADELSE</w:t>
      </w:r>
    </w:p>
    <w:p w14:paraId="0827DE0E" w14:textId="0B7F2034" w:rsidR="009260DE" w:rsidRPr="00F2263F" w:rsidRDefault="008C6C21" w:rsidP="009260DE">
      <w:pPr>
        <w:tabs>
          <w:tab w:val="left" w:pos="851"/>
        </w:tabs>
        <w:ind w:left="851"/>
        <w:rPr>
          <w:sz w:val="24"/>
          <w:szCs w:val="24"/>
        </w:rPr>
      </w:pPr>
      <w:r>
        <w:rPr>
          <w:sz w:val="24"/>
          <w:szCs w:val="24"/>
        </w:rPr>
        <w:t>13. oktober 2025</w:t>
      </w:r>
    </w:p>
    <w:p w14:paraId="7C7E6CDD" w14:textId="77777777" w:rsidR="009260DE" w:rsidRPr="00F2263F" w:rsidRDefault="009260DE" w:rsidP="009260DE">
      <w:pPr>
        <w:tabs>
          <w:tab w:val="left" w:pos="851"/>
        </w:tabs>
        <w:ind w:left="851"/>
        <w:rPr>
          <w:sz w:val="24"/>
          <w:szCs w:val="24"/>
        </w:rPr>
      </w:pPr>
    </w:p>
    <w:p w14:paraId="192359D1" w14:textId="77777777" w:rsidR="009260DE" w:rsidRPr="00F2263F" w:rsidRDefault="009260DE" w:rsidP="009260DE">
      <w:pPr>
        <w:tabs>
          <w:tab w:val="left" w:pos="851"/>
        </w:tabs>
        <w:ind w:left="851" w:hanging="851"/>
        <w:rPr>
          <w:b/>
          <w:sz w:val="24"/>
          <w:szCs w:val="24"/>
        </w:rPr>
      </w:pPr>
      <w:r w:rsidRPr="00F2263F">
        <w:rPr>
          <w:b/>
          <w:sz w:val="24"/>
          <w:szCs w:val="24"/>
        </w:rPr>
        <w:t>10.</w:t>
      </w:r>
      <w:r w:rsidRPr="00F2263F">
        <w:rPr>
          <w:b/>
          <w:sz w:val="24"/>
          <w:szCs w:val="24"/>
        </w:rPr>
        <w:tab/>
        <w:t>DATO FOR ÆNDRING AF TEKSTEN</w:t>
      </w:r>
    </w:p>
    <w:p w14:paraId="7C396064" w14:textId="2F968F11" w:rsidR="009260DE" w:rsidRPr="00F2263F" w:rsidRDefault="00100280" w:rsidP="009260DE">
      <w:pPr>
        <w:tabs>
          <w:tab w:val="left" w:pos="851"/>
        </w:tabs>
        <w:ind w:left="851"/>
        <w:rPr>
          <w:sz w:val="24"/>
          <w:szCs w:val="24"/>
        </w:rPr>
      </w:pPr>
      <w:r w:rsidRPr="00F2263F">
        <w:rPr>
          <w:sz w:val="24"/>
          <w:szCs w:val="24"/>
        </w:rPr>
        <w:t>-</w:t>
      </w:r>
    </w:p>
    <w:sectPr w:rsidR="009260DE" w:rsidRPr="00F2263F"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B03BDE" w14:textId="77777777" w:rsidR="00202D86" w:rsidRDefault="00202D86">
      <w:r>
        <w:separator/>
      </w:r>
    </w:p>
  </w:endnote>
  <w:endnote w:type="continuationSeparator" w:id="0">
    <w:p w14:paraId="4CA9416D" w14:textId="77777777" w:rsidR="00202D86" w:rsidRDefault="00202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4EE57" w14:textId="77777777" w:rsidR="00202D86" w:rsidRDefault="00202D86">
    <w:pPr>
      <w:pStyle w:val="Sidefod"/>
      <w:pBdr>
        <w:bottom w:val="single" w:sz="6" w:space="1" w:color="auto"/>
      </w:pBdr>
    </w:pPr>
  </w:p>
  <w:p w14:paraId="42786608" w14:textId="77777777" w:rsidR="00202D86" w:rsidRDefault="00202D86" w:rsidP="00C42586">
    <w:pPr>
      <w:pStyle w:val="Sidefod"/>
      <w:tabs>
        <w:tab w:val="clear" w:pos="4819"/>
        <w:tab w:val="left" w:pos="8505"/>
      </w:tabs>
      <w:rPr>
        <w:i/>
        <w:sz w:val="18"/>
        <w:szCs w:val="18"/>
      </w:rPr>
    </w:pPr>
  </w:p>
  <w:p w14:paraId="1FEF2670" w14:textId="08D89567" w:rsidR="00202D86" w:rsidRPr="00B373D7" w:rsidRDefault="00202D86"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Pr>
        <w:i/>
        <w:noProof/>
        <w:sz w:val="18"/>
        <w:szCs w:val="18"/>
      </w:rPr>
      <w:t>Emtricitabine-Tenofovir alafenamide Zentiva, filmovertrukne tabletter 200+10 mg og 200+25 mg.docx</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936D1E" w14:textId="77777777" w:rsidR="00202D86" w:rsidRDefault="00202D86">
      <w:r>
        <w:separator/>
      </w:r>
    </w:p>
  </w:footnote>
  <w:footnote w:type="continuationSeparator" w:id="0">
    <w:p w14:paraId="06D6DBD0" w14:textId="77777777" w:rsidR="00202D86" w:rsidRDefault="00202D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4"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96B"/>
    <w:rsid w:val="000259B9"/>
    <w:rsid w:val="00041491"/>
    <w:rsid w:val="00050D16"/>
    <w:rsid w:val="00053DFA"/>
    <w:rsid w:val="000730CA"/>
    <w:rsid w:val="00074F2A"/>
    <w:rsid w:val="000A1CA8"/>
    <w:rsid w:val="000A466B"/>
    <w:rsid w:val="000B058C"/>
    <w:rsid w:val="000D68B0"/>
    <w:rsid w:val="000E4EE6"/>
    <w:rsid w:val="00100280"/>
    <w:rsid w:val="00132A6A"/>
    <w:rsid w:val="001454E2"/>
    <w:rsid w:val="00202D86"/>
    <w:rsid w:val="00206CE8"/>
    <w:rsid w:val="0021526C"/>
    <w:rsid w:val="00283A2B"/>
    <w:rsid w:val="002B30AD"/>
    <w:rsid w:val="002C1EC0"/>
    <w:rsid w:val="002C2C01"/>
    <w:rsid w:val="003A29AE"/>
    <w:rsid w:val="003A32D7"/>
    <w:rsid w:val="003B4074"/>
    <w:rsid w:val="003C361F"/>
    <w:rsid w:val="003C769A"/>
    <w:rsid w:val="003D3A90"/>
    <w:rsid w:val="003F1838"/>
    <w:rsid w:val="004251C1"/>
    <w:rsid w:val="0045746C"/>
    <w:rsid w:val="004574DA"/>
    <w:rsid w:val="00464989"/>
    <w:rsid w:val="0049104B"/>
    <w:rsid w:val="004E3B12"/>
    <w:rsid w:val="00532310"/>
    <w:rsid w:val="00540318"/>
    <w:rsid w:val="00565F0F"/>
    <w:rsid w:val="00594A86"/>
    <w:rsid w:val="00596D86"/>
    <w:rsid w:val="00637F5A"/>
    <w:rsid w:val="00641C65"/>
    <w:rsid w:val="006560B1"/>
    <w:rsid w:val="006756DD"/>
    <w:rsid w:val="006C0E37"/>
    <w:rsid w:val="0071241E"/>
    <w:rsid w:val="00737275"/>
    <w:rsid w:val="00740EEC"/>
    <w:rsid w:val="0078011A"/>
    <w:rsid w:val="00782AF4"/>
    <w:rsid w:val="00790EE7"/>
    <w:rsid w:val="007B6649"/>
    <w:rsid w:val="0082576E"/>
    <w:rsid w:val="00855B0B"/>
    <w:rsid w:val="0089346F"/>
    <w:rsid w:val="008C6C21"/>
    <w:rsid w:val="008D5A42"/>
    <w:rsid w:val="00907F75"/>
    <w:rsid w:val="0092096B"/>
    <w:rsid w:val="009260DE"/>
    <w:rsid w:val="0093258A"/>
    <w:rsid w:val="009763E8"/>
    <w:rsid w:val="009C7BA3"/>
    <w:rsid w:val="009D1F5A"/>
    <w:rsid w:val="00A10294"/>
    <w:rsid w:val="00A718C0"/>
    <w:rsid w:val="00B003BF"/>
    <w:rsid w:val="00B23088"/>
    <w:rsid w:val="00B373D7"/>
    <w:rsid w:val="00B55271"/>
    <w:rsid w:val="00BD7931"/>
    <w:rsid w:val="00BF6243"/>
    <w:rsid w:val="00C36276"/>
    <w:rsid w:val="00C42586"/>
    <w:rsid w:val="00C45F6B"/>
    <w:rsid w:val="00C60CCD"/>
    <w:rsid w:val="00C7472A"/>
    <w:rsid w:val="00C84483"/>
    <w:rsid w:val="00C95551"/>
    <w:rsid w:val="00CB20D7"/>
    <w:rsid w:val="00D020B0"/>
    <w:rsid w:val="00D11748"/>
    <w:rsid w:val="00D237F6"/>
    <w:rsid w:val="00D34D98"/>
    <w:rsid w:val="00D366CF"/>
    <w:rsid w:val="00D93992"/>
    <w:rsid w:val="00DA07FE"/>
    <w:rsid w:val="00DB1C4E"/>
    <w:rsid w:val="00E0456F"/>
    <w:rsid w:val="00E108AA"/>
    <w:rsid w:val="00E3749A"/>
    <w:rsid w:val="00E7437F"/>
    <w:rsid w:val="00E865B8"/>
    <w:rsid w:val="00EC0B9B"/>
    <w:rsid w:val="00ED5E9F"/>
    <w:rsid w:val="00EF0A4B"/>
    <w:rsid w:val="00F2263F"/>
    <w:rsid w:val="00F66D4F"/>
    <w:rsid w:val="00FB6D01"/>
    <w:rsid w:val="00FC122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AF3B33"/>
  <w15:chartTrackingRefBased/>
  <w15:docId w15:val="{997805A5-8E4F-4E9C-BCD3-3C800A498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styleId="Brdtekst">
    <w:name w:val="Body Text"/>
    <w:basedOn w:val="Normal"/>
    <w:link w:val="BrdtekstTegn"/>
    <w:uiPriority w:val="1"/>
    <w:semiHidden/>
    <w:unhideWhenUsed/>
    <w:qFormat/>
    <w:rsid w:val="00DB1C4E"/>
    <w:pPr>
      <w:widowControl w:val="0"/>
      <w:autoSpaceDE w:val="0"/>
      <w:autoSpaceDN w:val="0"/>
      <w:adjustRightInd w:val="0"/>
      <w:ind w:left="118"/>
    </w:pPr>
    <w:rPr>
      <w:sz w:val="24"/>
      <w:szCs w:val="24"/>
      <w:lang w:eastAsia="da-DK"/>
    </w:rPr>
  </w:style>
  <w:style w:type="character" w:customStyle="1" w:styleId="BrdtekstTegn">
    <w:name w:val="Brødtekst Tegn"/>
    <w:basedOn w:val="Standardskrifttypeiafsnit"/>
    <w:link w:val="Brdtekst"/>
    <w:uiPriority w:val="1"/>
    <w:semiHidden/>
    <w:rsid w:val="00DB1C4E"/>
    <w:rPr>
      <w:sz w:val="24"/>
      <w:szCs w:val="24"/>
    </w:rPr>
  </w:style>
  <w:style w:type="paragraph" w:customStyle="1" w:styleId="TableParagraph">
    <w:name w:val="Table Paragraph"/>
    <w:basedOn w:val="Normal"/>
    <w:uiPriority w:val="1"/>
    <w:qFormat/>
    <w:rsid w:val="00DB1C4E"/>
    <w:pPr>
      <w:widowControl w:val="0"/>
      <w:autoSpaceDE w:val="0"/>
      <w:autoSpaceDN w:val="0"/>
      <w:adjustRightInd w:val="0"/>
    </w:pPr>
    <w:rPr>
      <w:sz w:val="24"/>
      <w:szCs w:val="24"/>
      <w:lang w:eastAsia="da-DK"/>
    </w:rPr>
  </w:style>
  <w:style w:type="table" w:styleId="Tabel-Gitter">
    <w:name w:val="Table Grid"/>
    <w:basedOn w:val="Tabel-Normal"/>
    <w:uiPriority w:val="39"/>
    <w:rsid w:val="00DB1C4E"/>
    <w:pPr>
      <w:widowControl w:val="0"/>
      <w:autoSpaceDE w:val="0"/>
      <w:autoSpaceDN w:val="0"/>
    </w:pPr>
    <w:rPr>
      <w:rFonts w:asciiTheme="minorHAnsi" w:eastAsiaTheme="minorHAnsi" w:hAnsiTheme="minorHAnsi" w:cstheme="minorBid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unhideWhenUsed/>
    <w:rsid w:val="00DB1C4E"/>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14005">
      <w:bodyDiv w:val="1"/>
      <w:marLeft w:val="0"/>
      <w:marRight w:val="0"/>
      <w:marTop w:val="0"/>
      <w:marBottom w:val="0"/>
      <w:divBdr>
        <w:top w:val="none" w:sz="0" w:space="0" w:color="auto"/>
        <w:left w:val="none" w:sz="0" w:space="0" w:color="auto"/>
        <w:bottom w:val="none" w:sz="0" w:space="0" w:color="auto"/>
        <w:right w:val="none" w:sz="0" w:space="0" w:color="auto"/>
      </w:divBdr>
    </w:div>
    <w:div w:id="145559439">
      <w:bodyDiv w:val="1"/>
      <w:marLeft w:val="0"/>
      <w:marRight w:val="0"/>
      <w:marTop w:val="0"/>
      <w:marBottom w:val="0"/>
      <w:divBdr>
        <w:top w:val="none" w:sz="0" w:space="0" w:color="auto"/>
        <w:left w:val="none" w:sz="0" w:space="0" w:color="auto"/>
        <w:bottom w:val="none" w:sz="0" w:space="0" w:color="auto"/>
        <w:right w:val="none" w:sz="0" w:space="0" w:color="auto"/>
      </w:divBdr>
    </w:div>
    <w:div w:id="159077544">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05071195">
      <w:bodyDiv w:val="1"/>
      <w:marLeft w:val="0"/>
      <w:marRight w:val="0"/>
      <w:marTop w:val="0"/>
      <w:marBottom w:val="0"/>
      <w:divBdr>
        <w:top w:val="none" w:sz="0" w:space="0" w:color="auto"/>
        <w:left w:val="none" w:sz="0" w:space="0" w:color="auto"/>
        <w:bottom w:val="none" w:sz="0" w:space="0" w:color="auto"/>
        <w:right w:val="none" w:sz="0" w:space="0" w:color="auto"/>
      </w:divBdr>
    </w:div>
    <w:div w:id="206841885">
      <w:bodyDiv w:val="1"/>
      <w:marLeft w:val="0"/>
      <w:marRight w:val="0"/>
      <w:marTop w:val="0"/>
      <w:marBottom w:val="0"/>
      <w:divBdr>
        <w:top w:val="none" w:sz="0" w:space="0" w:color="auto"/>
        <w:left w:val="none" w:sz="0" w:space="0" w:color="auto"/>
        <w:bottom w:val="none" w:sz="0" w:space="0" w:color="auto"/>
        <w:right w:val="none" w:sz="0" w:space="0" w:color="auto"/>
      </w:divBdr>
    </w:div>
    <w:div w:id="213397117">
      <w:bodyDiv w:val="1"/>
      <w:marLeft w:val="0"/>
      <w:marRight w:val="0"/>
      <w:marTop w:val="0"/>
      <w:marBottom w:val="0"/>
      <w:divBdr>
        <w:top w:val="none" w:sz="0" w:space="0" w:color="auto"/>
        <w:left w:val="none" w:sz="0" w:space="0" w:color="auto"/>
        <w:bottom w:val="none" w:sz="0" w:space="0" w:color="auto"/>
        <w:right w:val="none" w:sz="0" w:space="0" w:color="auto"/>
      </w:divBdr>
    </w:div>
    <w:div w:id="298652248">
      <w:bodyDiv w:val="1"/>
      <w:marLeft w:val="0"/>
      <w:marRight w:val="0"/>
      <w:marTop w:val="0"/>
      <w:marBottom w:val="0"/>
      <w:divBdr>
        <w:top w:val="none" w:sz="0" w:space="0" w:color="auto"/>
        <w:left w:val="none" w:sz="0" w:space="0" w:color="auto"/>
        <w:bottom w:val="none" w:sz="0" w:space="0" w:color="auto"/>
        <w:right w:val="none" w:sz="0" w:space="0" w:color="auto"/>
      </w:divBdr>
    </w:div>
    <w:div w:id="404645896">
      <w:bodyDiv w:val="1"/>
      <w:marLeft w:val="0"/>
      <w:marRight w:val="0"/>
      <w:marTop w:val="0"/>
      <w:marBottom w:val="0"/>
      <w:divBdr>
        <w:top w:val="none" w:sz="0" w:space="0" w:color="auto"/>
        <w:left w:val="none" w:sz="0" w:space="0" w:color="auto"/>
        <w:bottom w:val="none" w:sz="0" w:space="0" w:color="auto"/>
        <w:right w:val="none" w:sz="0" w:space="0" w:color="auto"/>
      </w:divBdr>
    </w:div>
    <w:div w:id="550847607">
      <w:bodyDiv w:val="1"/>
      <w:marLeft w:val="0"/>
      <w:marRight w:val="0"/>
      <w:marTop w:val="0"/>
      <w:marBottom w:val="0"/>
      <w:divBdr>
        <w:top w:val="none" w:sz="0" w:space="0" w:color="auto"/>
        <w:left w:val="none" w:sz="0" w:space="0" w:color="auto"/>
        <w:bottom w:val="none" w:sz="0" w:space="0" w:color="auto"/>
        <w:right w:val="none" w:sz="0" w:space="0" w:color="auto"/>
      </w:divBdr>
    </w:div>
    <w:div w:id="567233930">
      <w:bodyDiv w:val="1"/>
      <w:marLeft w:val="0"/>
      <w:marRight w:val="0"/>
      <w:marTop w:val="0"/>
      <w:marBottom w:val="0"/>
      <w:divBdr>
        <w:top w:val="none" w:sz="0" w:space="0" w:color="auto"/>
        <w:left w:val="none" w:sz="0" w:space="0" w:color="auto"/>
        <w:bottom w:val="none" w:sz="0" w:space="0" w:color="auto"/>
        <w:right w:val="none" w:sz="0" w:space="0" w:color="auto"/>
      </w:divBdr>
    </w:div>
    <w:div w:id="600183310">
      <w:bodyDiv w:val="1"/>
      <w:marLeft w:val="0"/>
      <w:marRight w:val="0"/>
      <w:marTop w:val="0"/>
      <w:marBottom w:val="0"/>
      <w:divBdr>
        <w:top w:val="none" w:sz="0" w:space="0" w:color="auto"/>
        <w:left w:val="none" w:sz="0" w:space="0" w:color="auto"/>
        <w:bottom w:val="none" w:sz="0" w:space="0" w:color="auto"/>
        <w:right w:val="none" w:sz="0" w:space="0" w:color="auto"/>
      </w:divBdr>
    </w:div>
    <w:div w:id="690035438">
      <w:bodyDiv w:val="1"/>
      <w:marLeft w:val="0"/>
      <w:marRight w:val="0"/>
      <w:marTop w:val="0"/>
      <w:marBottom w:val="0"/>
      <w:divBdr>
        <w:top w:val="none" w:sz="0" w:space="0" w:color="auto"/>
        <w:left w:val="none" w:sz="0" w:space="0" w:color="auto"/>
        <w:bottom w:val="none" w:sz="0" w:space="0" w:color="auto"/>
        <w:right w:val="none" w:sz="0" w:space="0" w:color="auto"/>
      </w:divBdr>
    </w:div>
    <w:div w:id="777020716">
      <w:bodyDiv w:val="1"/>
      <w:marLeft w:val="0"/>
      <w:marRight w:val="0"/>
      <w:marTop w:val="0"/>
      <w:marBottom w:val="0"/>
      <w:divBdr>
        <w:top w:val="none" w:sz="0" w:space="0" w:color="auto"/>
        <w:left w:val="none" w:sz="0" w:space="0" w:color="auto"/>
        <w:bottom w:val="none" w:sz="0" w:space="0" w:color="auto"/>
        <w:right w:val="none" w:sz="0" w:space="0" w:color="auto"/>
      </w:divBdr>
    </w:div>
    <w:div w:id="1130243639">
      <w:bodyDiv w:val="1"/>
      <w:marLeft w:val="0"/>
      <w:marRight w:val="0"/>
      <w:marTop w:val="0"/>
      <w:marBottom w:val="0"/>
      <w:divBdr>
        <w:top w:val="none" w:sz="0" w:space="0" w:color="auto"/>
        <w:left w:val="none" w:sz="0" w:space="0" w:color="auto"/>
        <w:bottom w:val="none" w:sz="0" w:space="0" w:color="auto"/>
        <w:right w:val="none" w:sz="0" w:space="0" w:color="auto"/>
      </w:divBdr>
    </w:div>
    <w:div w:id="1145925922">
      <w:bodyDiv w:val="1"/>
      <w:marLeft w:val="0"/>
      <w:marRight w:val="0"/>
      <w:marTop w:val="0"/>
      <w:marBottom w:val="0"/>
      <w:divBdr>
        <w:top w:val="none" w:sz="0" w:space="0" w:color="auto"/>
        <w:left w:val="none" w:sz="0" w:space="0" w:color="auto"/>
        <w:bottom w:val="none" w:sz="0" w:space="0" w:color="auto"/>
        <w:right w:val="none" w:sz="0" w:space="0" w:color="auto"/>
      </w:divBdr>
    </w:div>
    <w:div w:id="1189100043">
      <w:bodyDiv w:val="1"/>
      <w:marLeft w:val="0"/>
      <w:marRight w:val="0"/>
      <w:marTop w:val="0"/>
      <w:marBottom w:val="0"/>
      <w:divBdr>
        <w:top w:val="none" w:sz="0" w:space="0" w:color="auto"/>
        <w:left w:val="none" w:sz="0" w:space="0" w:color="auto"/>
        <w:bottom w:val="none" w:sz="0" w:space="0" w:color="auto"/>
        <w:right w:val="none" w:sz="0" w:space="0" w:color="auto"/>
      </w:divBdr>
    </w:div>
    <w:div w:id="1258901862">
      <w:bodyDiv w:val="1"/>
      <w:marLeft w:val="0"/>
      <w:marRight w:val="0"/>
      <w:marTop w:val="0"/>
      <w:marBottom w:val="0"/>
      <w:divBdr>
        <w:top w:val="none" w:sz="0" w:space="0" w:color="auto"/>
        <w:left w:val="none" w:sz="0" w:space="0" w:color="auto"/>
        <w:bottom w:val="none" w:sz="0" w:space="0" w:color="auto"/>
        <w:right w:val="none" w:sz="0" w:space="0" w:color="auto"/>
      </w:divBdr>
    </w:div>
    <w:div w:id="1324235101">
      <w:bodyDiv w:val="1"/>
      <w:marLeft w:val="0"/>
      <w:marRight w:val="0"/>
      <w:marTop w:val="0"/>
      <w:marBottom w:val="0"/>
      <w:divBdr>
        <w:top w:val="none" w:sz="0" w:space="0" w:color="auto"/>
        <w:left w:val="none" w:sz="0" w:space="0" w:color="auto"/>
        <w:bottom w:val="none" w:sz="0" w:space="0" w:color="auto"/>
        <w:right w:val="none" w:sz="0" w:space="0" w:color="auto"/>
      </w:divBdr>
    </w:div>
    <w:div w:id="1345783175">
      <w:bodyDiv w:val="1"/>
      <w:marLeft w:val="0"/>
      <w:marRight w:val="0"/>
      <w:marTop w:val="0"/>
      <w:marBottom w:val="0"/>
      <w:divBdr>
        <w:top w:val="none" w:sz="0" w:space="0" w:color="auto"/>
        <w:left w:val="none" w:sz="0" w:space="0" w:color="auto"/>
        <w:bottom w:val="none" w:sz="0" w:space="0" w:color="auto"/>
        <w:right w:val="none" w:sz="0" w:space="0" w:color="auto"/>
      </w:divBdr>
    </w:div>
    <w:div w:id="1444034014">
      <w:bodyDiv w:val="1"/>
      <w:marLeft w:val="0"/>
      <w:marRight w:val="0"/>
      <w:marTop w:val="0"/>
      <w:marBottom w:val="0"/>
      <w:divBdr>
        <w:top w:val="none" w:sz="0" w:space="0" w:color="auto"/>
        <w:left w:val="none" w:sz="0" w:space="0" w:color="auto"/>
        <w:bottom w:val="none" w:sz="0" w:space="0" w:color="auto"/>
        <w:right w:val="none" w:sz="0" w:space="0" w:color="auto"/>
      </w:divBdr>
    </w:div>
    <w:div w:id="1497501105">
      <w:bodyDiv w:val="1"/>
      <w:marLeft w:val="0"/>
      <w:marRight w:val="0"/>
      <w:marTop w:val="0"/>
      <w:marBottom w:val="0"/>
      <w:divBdr>
        <w:top w:val="none" w:sz="0" w:space="0" w:color="auto"/>
        <w:left w:val="none" w:sz="0" w:space="0" w:color="auto"/>
        <w:bottom w:val="none" w:sz="0" w:space="0" w:color="auto"/>
        <w:right w:val="none" w:sz="0" w:space="0" w:color="auto"/>
      </w:divBdr>
    </w:div>
    <w:div w:id="1518041434">
      <w:bodyDiv w:val="1"/>
      <w:marLeft w:val="0"/>
      <w:marRight w:val="0"/>
      <w:marTop w:val="0"/>
      <w:marBottom w:val="0"/>
      <w:divBdr>
        <w:top w:val="none" w:sz="0" w:space="0" w:color="auto"/>
        <w:left w:val="none" w:sz="0" w:space="0" w:color="auto"/>
        <w:bottom w:val="none" w:sz="0" w:space="0" w:color="auto"/>
        <w:right w:val="none" w:sz="0" w:space="0" w:color="auto"/>
      </w:divBdr>
    </w:div>
    <w:div w:id="1532644552">
      <w:bodyDiv w:val="1"/>
      <w:marLeft w:val="0"/>
      <w:marRight w:val="0"/>
      <w:marTop w:val="0"/>
      <w:marBottom w:val="0"/>
      <w:divBdr>
        <w:top w:val="none" w:sz="0" w:space="0" w:color="auto"/>
        <w:left w:val="none" w:sz="0" w:space="0" w:color="auto"/>
        <w:bottom w:val="none" w:sz="0" w:space="0" w:color="auto"/>
        <w:right w:val="none" w:sz="0" w:space="0" w:color="auto"/>
      </w:divBdr>
    </w:div>
    <w:div w:id="2043284419">
      <w:bodyDiv w:val="1"/>
      <w:marLeft w:val="0"/>
      <w:marRight w:val="0"/>
      <w:marTop w:val="0"/>
      <w:marBottom w:val="0"/>
      <w:divBdr>
        <w:top w:val="none" w:sz="0" w:space="0" w:color="auto"/>
        <w:left w:val="none" w:sz="0" w:space="0" w:color="auto"/>
        <w:bottom w:val="none" w:sz="0" w:space="0" w:color="auto"/>
        <w:right w:val="none" w:sz="0" w:space="0" w:color="auto"/>
      </w:divBdr>
    </w:div>
    <w:div w:id="2076079497">
      <w:bodyDiv w:val="1"/>
      <w:marLeft w:val="0"/>
      <w:marRight w:val="0"/>
      <w:marTop w:val="0"/>
      <w:marBottom w:val="0"/>
      <w:divBdr>
        <w:top w:val="none" w:sz="0" w:space="0" w:color="auto"/>
        <w:left w:val="none" w:sz="0" w:space="0" w:color="auto"/>
        <w:bottom w:val="none" w:sz="0" w:space="0" w:color="auto"/>
        <w:right w:val="none" w:sz="0" w:space="0" w:color="auto"/>
      </w:divBdr>
    </w:div>
    <w:div w:id="210595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egemiddelstyrelsen.dk/da/bivirkninger/bivirkninger-ved-medicin/meld-en-bivirknin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141</TotalTime>
  <Pages>34</Pages>
  <Words>10725</Words>
  <Characters>68379</Characters>
  <Application>Microsoft Office Word</Application>
  <DocSecurity>0</DocSecurity>
  <Lines>569</Lines>
  <Paragraphs>157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2024084281, MT</dc:description>
  <cp:lastModifiedBy>Gitte Jørgensen</cp:lastModifiedBy>
  <cp:revision>13</cp:revision>
  <cp:lastPrinted>2012-08-22T08:53:00Z</cp:lastPrinted>
  <dcterms:created xsi:type="dcterms:W3CDTF">2025-10-07T06:36:00Z</dcterms:created>
  <dcterms:modified xsi:type="dcterms:W3CDTF">2025-10-13T13:06:00Z</dcterms:modified>
</cp:coreProperties>
</file>