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4F4" w:rsidRPr="00071814" w:rsidRDefault="007564F4" w:rsidP="007564F4">
      <w:pPr>
        <w:rPr>
          <w:sz w:val="24"/>
          <w:szCs w:val="24"/>
        </w:rPr>
      </w:pPr>
      <w:bookmarkStart w:id="0" w:name="_GoBack"/>
      <w:bookmarkEnd w:id="0"/>
      <w:r w:rsidRPr="00071814">
        <w:rPr>
          <w:noProof/>
          <w:sz w:val="24"/>
          <w:szCs w:val="24"/>
          <w:lang w:eastAsia="da-DK"/>
        </w:rPr>
        <w:drawing>
          <wp:anchor distT="0" distB="0" distL="114300" distR="114300" simplePos="0" relativeHeight="251659264" behindDoc="0" locked="0" layoutInCell="1" allowOverlap="1" wp14:anchorId="747E384D" wp14:editId="2942CE1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71814">
        <w:rPr>
          <w:sz w:val="24"/>
          <w:szCs w:val="24"/>
        </w:rPr>
        <w:br w:type="textWrapping" w:clear="all"/>
      </w:r>
    </w:p>
    <w:p w:rsidR="001A0E29" w:rsidRDefault="001A0E29" w:rsidP="00B0027B">
      <w:pPr>
        <w:pStyle w:val="Titel"/>
        <w:tabs>
          <w:tab w:val="right" w:pos="9356"/>
        </w:tabs>
        <w:jc w:val="left"/>
        <w:rPr>
          <w:b w:val="0"/>
          <w:szCs w:val="24"/>
          <w:lang w:eastAsia="en-US"/>
        </w:rPr>
      </w:pPr>
    </w:p>
    <w:p w:rsidR="007564F4" w:rsidRDefault="007564F4" w:rsidP="00B0027B">
      <w:pPr>
        <w:pStyle w:val="Titel"/>
        <w:tabs>
          <w:tab w:val="right" w:pos="9356"/>
        </w:tabs>
        <w:jc w:val="left"/>
        <w:rPr>
          <w:b w:val="0"/>
          <w:szCs w:val="24"/>
          <w:lang w:eastAsia="en-US"/>
        </w:rPr>
      </w:pPr>
      <w:r w:rsidRPr="00071814">
        <w:rPr>
          <w:b w:val="0"/>
          <w:szCs w:val="24"/>
          <w:lang w:eastAsia="en-US"/>
        </w:rPr>
        <w:tab/>
      </w:r>
      <w:r w:rsidR="00F46E38">
        <w:rPr>
          <w:szCs w:val="24"/>
        </w:rPr>
        <w:t>6. januar 2025</w:t>
      </w:r>
    </w:p>
    <w:p w:rsidR="00B0027B" w:rsidRPr="00071814" w:rsidRDefault="00B0027B" w:rsidP="00B0027B">
      <w:pPr>
        <w:pStyle w:val="Titel"/>
        <w:tabs>
          <w:tab w:val="right" w:pos="9356"/>
        </w:tabs>
        <w:jc w:val="left"/>
        <w:rPr>
          <w:b w:val="0"/>
          <w:szCs w:val="24"/>
          <w:lang w:eastAsia="en-US"/>
        </w:rPr>
      </w:pPr>
    </w:p>
    <w:p w:rsidR="007564F4" w:rsidRPr="00071814" w:rsidRDefault="007564F4" w:rsidP="007564F4">
      <w:pPr>
        <w:pStyle w:val="Titel"/>
        <w:jc w:val="left"/>
        <w:rPr>
          <w:b w:val="0"/>
          <w:szCs w:val="24"/>
        </w:rPr>
      </w:pPr>
    </w:p>
    <w:p w:rsidR="007564F4" w:rsidRPr="00071814" w:rsidRDefault="007564F4" w:rsidP="007564F4">
      <w:pPr>
        <w:jc w:val="center"/>
        <w:rPr>
          <w:b/>
          <w:sz w:val="24"/>
          <w:szCs w:val="24"/>
        </w:rPr>
      </w:pPr>
      <w:r w:rsidRPr="00071814">
        <w:rPr>
          <w:b/>
          <w:sz w:val="24"/>
          <w:szCs w:val="24"/>
        </w:rPr>
        <w:t>PRODUKTRESUMÉ</w:t>
      </w:r>
    </w:p>
    <w:p w:rsidR="007564F4" w:rsidRPr="00071814" w:rsidRDefault="007C2465" w:rsidP="007C2465">
      <w:pPr>
        <w:tabs>
          <w:tab w:val="left" w:pos="410"/>
        </w:tabs>
        <w:rPr>
          <w:b/>
          <w:sz w:val="24"/>
          <w:szCs w:val="24"/>
        </w:rPr>
      </w:pPr>
      <w:r>
        <w:rPr>
          <w:b/>
          <w:sz w:val="24"/>
          <w:szCs w:val="24"/>
        </w:rPr>
        <w:tab/>
      </w:r>
    </w:p>
    <w:p w:rsidR="007564F4" w:rsidRPr="00071814" w:rsidRDefault="007564F4" w:rsidP="007564F4">
      <w:pPr>
        <w:jc w:val="center"/>
        <w:rPr>
          <w:b/>
          <w:sz w:val="24"/>
          <w:szCs w:val="24"/>
        </w:rPr>
      </w:pPr>
      <w:r w:rsidRPr="00071814">
        <w:rPr>
          <w:b/>
          <w:sz w:val="24"/>
          <w:szCs w:val="24"/>
        </w:rPr>
        <w:t>for</w:t>
      </w:r>
    </w:p>
    <w:p w:rsidR="007564F4" w:rsidRPr="00071814" w:rsidRDefault="007564F4" w:rsidP="007564F4">
      <w:pPr>
        <w:jc w:val="center"/>
        <w:rPr>
          <w:b/>
          <w:sz w:val="24"/>
          <w:szCs w:val="24"/>
        </w:rPr>
      </w:pPr>
    </w:p>
    <w:p w:rsidR="007564F4" w:rsidRPr="00071814" w:rsidRDefault="007564F4" w:rsidP="007564F4">
      <w:pPr>
        <w:jc w:val="center"/>
        <w:rPr>
          <w:b/>
          <w:sz w:val="24"/>
          <w:szCs w:val="24"/>
        </w:rPr>
      </w:pPr>
      <w:r w:rsidRPr="00071814">
        <w:rPr>
          <w:b/>
          <w:sz w:val="24"/>
          <w:szCs w:val="24"/>
        </w:rPr>
        <w:t>Emtricitabine/Tenofovir disoproxil "Accordpharma", filmovertrukne tabletter</w:t>
      </w:r>
    </w:p>
    <w:p w:rsidR="007564F4" w:rsidRPr="00071814" w:rsidRDefault="007564F4" w:rsidP="007564F4">
      <w:pPr>
        <w:jc w:val="both"/>
        <w:rPr>
          <w:sz w:val="24"/>
          <w:szCs w:val="24"/>
        </w:rPr>
      </w:pPr>
    </w:p>
    <w:p w:rsidR="007564F4" w:rsidRPr="00071814" w:rsidRDefault="007564F4" w:rsidP="007564F4">
      <w:pPr>
        <w:jc w:val="both"/>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0.</w:t>
      </w:r>
      <w:r w:rsidRPr="00071814">
        <w:rPr>
          <w:b/>
          <w:sz w:val="24"/>
          <w:szCs w:val="24"/>
        </w:rPr>
        <w:tab/>
        <w:t>D.SP.NR.</w:t>
      </w:r>
    </w:p>
    <w:p w:rsidR="007564F4" w:rsidRPr="00071814" w:rsidRDefault="007564F4" w:rsidP="007564F4">
      <w:pPr>
        <w:tabs>
          <w:tab w:val="left" w:pos="851"/>
        </w:tabs>
        <w:ind w:left="851"/>
        <w:rPr>
          <w:sz w:val="24"/>
          <w:szCs w:val="24"/>
        </w:rPr>
      </w:pPr>
      <w:r w:rsidRPr="00071814">
        <w:rPr>
          <w:sz w:val="24"/>
          <w:szCs w:val="24"/>
        </w:rPr>
        <w:t>31038</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1.</w:t>
      </w:r>
      <w:r w:rsidRPr="00071814">
        <w:rPr>
          <w:b/>
          <w:sz w:val="24"/>
          <w:szCs w:val="24"/>
        </w:rPr>
        <w:tab/>
        <w:t>LÆGEMIDLETS NAVN</w:t>
      </w:r>
    </w:p>
    <w:p w:rsidR="007564F4" w:rsidRPr="00B0027B" w:rsidRDefault="007564F4" w:rsidP="007564F4">
      <w:pPr>
        <w:tabs>
          <w:tab w:val="left" w:pos="851"/>
        </w:tabs>
        <w:ind w:left="851"/>
        <w:rPr>
          <w:sz w:val="28"/>
          <w:szCs w:val="24"/>
        </w:rPr>
      </w:pPr>
      <w:r w:rsidRPr="00B0027B">
        <w:rPr>
          <w:sz w:val="24"/>
        </w:rPr>
        <w:t>Emtricitabine/Tenofovir disoproxil "Accordpharma"</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2.</w:t>
      </w:r>
      <w:r w:rsidRPr="00071814">
        <w:rPr>
          <w:b/>
          <w:sz w:val="24"/>
          <w:szCs w:val="24"/>
        </w:rPr>
        <w:tab/>
        <w:t>KVALITATIV OG KVANTITATIV SAMMENSÆTNING</w:t>
      </w:r>
    </w:p>
    <w:p w:rsidR="004B15A2" w:rsidRPr="00467589" w:rsidRDefault="004B15A2" w:rsidP="004B15A2">
      <w:pPr>
        <w:tabs>
          <w:tab w:val="left" w:pos="851"/>
        </w:tabs>
        <w:ind w:left="851"/>
        <w:rPr>
          <w:sz w:val="24"/>
          <w:szCs w:val="24"/>
        </w:rPr>
      </w:pPr>
      <w:r w:rsidRPr="00467589">
        <w:rPr>
          <w:sz w:val="24"/>
          <w:szCs w:val="24"/>
        </w:rPr>
        <w:t>Hver filmovertrukket tablet indeholder 200 mg emtricitabin og 245 mg tenofovirdisoproxil (svarende til 300 mg tenofovirdisoproxilfumarat eller 136 mg tenofovir).</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rPr>
          <w:sz w:val="24"/>
          <w:szCs w:val="24"/>
          <w:u w:val="single"/>
        </w:rPr>
      </w:pPr>
      <w:r w:rsidRPr="00071814">
        <w:rPr>
          <w:sz w:val="24"/>
          <w:szCs w:val="24"/>
          <w:u w:val="single"/>
        </w:rPr>
        <w:t>Hjælpestof, som behandleren skal være opmærksom på</w:t>
      </w:r>
    </w:p>
    <w:p w:rsidR="007564F4" w:rsidRPr="00071814" w:rsidRDefault="007564F4" w:rsidP="007564F4">
      <w:pPr>
        <w:tabs>
          <w:tab w:val="left" w:pos="851"/>
        </w:tabs>
        <w:ind w:left="851"/>
        <w:rPr>
          <w:sz w:val="24"/>
          <w:szCs w:val="24"/>
        </w:rPr>
      </w:pPr>
      <w:r w:rsidRPr="00071814">
        <w:rPr>
          <w:sz w:val="24"/>
          <w:szCs w:val="24"/>
        </w:rPr>
        <w:t>Hver tablet indeholder 162 mg lactose (som lactosemonohydrat).</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rPr>
          <w:sz w:val="24"/>
          <w:szCs w:val="24"/>
        </w:rPr>
      </w:pPr>
      <w:r w:rsidRPr="00071814">
        <w:rPr>
          <w:sz w:val="24"/>
          <w:szCs w:val="24"/>
        </w:rPr>
        <w:t>Alle hjælpestoffer er anført under pkt. 6.1.</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3.</w:t>
      </w:r>
      <w:r w:rsidRPr="00071814">
        <w:rPr>
          <w:b/>
          <w:sz w:val="24"/>
          <w:szCs w:val="24"/>
        </w:rPr>
        <w:tab/>
        <w:t>LÆGEMIDDELFORM</w:t>
      </w:r>
    </w:p>
    <w:p w:rsidR="007564F4" w:rsidRPr="00071814" w:rsidRDefault="007564F4" w:rsidP="007564F4">
      <w:pPr>
        <w:pStyle w:val="Brdtekst"/>
        <w:tabs>
          <w:tab w:val="left" w:pos="851"/>
        </w:tabs>
        <w:ind w:left="851"/>
        <w:rPr>
          <w:sz w:val="24"/>
          <w:szCs w:val="24"/>
          <w:lang w:val="da-DK"/>
        </w:rPr>
      </w:pPr>
      <w:r w:rsidRPr="00071814">
        <w:rPr>
          <w:sz w:val="24"/>
          <w:szCs w:val="24"/>
          <w:lang w:val="da-DK"/>
        </w:rPr>
        <w:t>Filmovertrukne tabletter</w:t>
      </w:r>
    </w:p>
    <w:p w:rsidR="007564F4" w:rsidRPr="00071814" w:rsidRDefault="007564F4" w:rsidP="007564F4">
      <w:pPr>
        <w:pStyle w:val="Brdtekst"/>
        <w:tabs>
          <w:tab w:val="left" w:pos="851"/>
        </w:tabs>
        <w:ind w:left="851"/>
        <w:rPr>
          <w:sz w:val="24"/>
          <w:szCs w:val="24"/>
          <w:lang w:val="da-DK"/>
        </w:rPr>
      </w:pPr>
    </w:p>
    <w:p w:rsidR="007564F4" w:rsidRPr="00021B0F" w:rsidRDefault="007564F4" w:rsidP="007564F4">
      <w:pPr>
        <w:pStyle w:val="Brdtekst"/>
        <w:tabs>
          <w:tab w:val="left" w:pos="851"/>
        </w:tabs>
        <w:ind w:left="851"/>
        <w:rPr>
          <w:sz w:val="24"/>
          <w:szCs w:val="24"/>
          <w:lang w:val="da-DK"/>
        </w:rPr>
      </w:pPr>
      <w:r w:rsidRPr="00021B0F">
        <w:rPr>
          <w:sz w:val="24"/>
          <w:szCs w:val="24"/>
          <w:lang w:val="da-DK"/>
        </w:rPr>
        <w:t>Blå, kapselformede, filmovertrukne tabletter, der måler ca. 19 mm×9 mm; på den ene side præget med ”H” og på den anden side med ”E44”.</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4.</w:t>
      </w:r>
      <w:r w:rsidRPr="00071814">
        <w:rPr>
          <w:b/>
          <w:sz w:val="24"/>
          <w:szCs w:val="24"/>
        </w:rPr>
        <w:tab/>
        <w:t>KLINISKE OPLYSNINGER</w:t>
      </w:r>
    </w:p>
    <w:p w:rsidR="007564F4" w:rsidRPr="00071814" w:rsidRDefault="007564F4" w:rsidP="007564F4">
      <w:pPr>
        <w:tabs>
          <w:tab w:val="left" w:pos="851"/>
        </w:tabs>
        <w:ind w:left="851"/>
        <w:rPr>
          <w:b/>
          <w:sz w:val="24"/>
          <w:szCs w:val="24"/>
        </w:rPr>
      </w:pPr>
    </w:p>
    <w:p w:rsidR="007564F4" w:rsidRPr="00B0027B" w:rsidRDefault="007564F4" w:rsidP="00B0027B">
      <w:pPr>
        <w:tabs>
          <w:tab w:val="left" w:pos="851"/>
        </w:tabs>
        <w:ind w:left="851" w:hanging="851"/>
        <w:rPr>
          <w:b/>
          <w:sz w:val="24"/>
          <w:szCs w:val="24"/>
          <w:u w:val="single"/>
        </w:rPr>
      </w:pPr>
      <w:r w:rsidRPr="00071814">
        <w:rPr>
          <w:b/>
          <w:sz w:val="24"/>
          <w:szCs w:val="24"/>
        </w:rPr>
        <w:t>4.1</w:t>
      </w:r>
      <w:r w:rsidRPr="00071814">
        <w:rPr>
          <w:b/>
          <w:sz w:val="24"/>
          <w:szCs w:val="24"/>
        </w:rPr>
        <w:tab/>
        <w:t>Terapeutiske indikationer</w:t>
      </w:r>
    </w:p>
    <w:p w:rsidR="007564F4" w:rsidRPr="00071814" w:rsidRDefault="007564F4" w:rsidP="007564F4">
      <w:pPr>
        <w:tabs>
          <w:tab w:val="left" w:pos="851"/>
        </w:tabs>
        <w:ind w:left="851"/>
        <w:rPr>
          <w:sz w:val="24"/>
          <w:szCs w:val="24"/>
          <w:u w:val="single"/>
        </w:rPr>
      </w:pPr>
      <w:r w:rsidRPr="00071814">
        <w:rPr>
          <w:sz w:val="24"/>
          <w:szCs w:val="24"/>
          <w:u w:val="single"/>
        </w:rPr>
        <w:t>Behandling af HIV 1-infektion</w:t>
      </w:r>
    </w:p>
    <w:p w:rsidR="007564F4" w:rsidRPr="00071814" w:rsidRDefault="007564F4" w:rsidP="007564F4">
      <w:pPr>
        <w:pStyle w:val="Brdtekst"/>
        <w:tabs>
          <w:tab w:val="left" w:pos="851"/>
        </w:tabs>
        <w:ind w:left="851"/>
        <w:rPr>
          <w:sz w:val="24"/>
          <w:szCs w:val="24"/>
          <w:lang w:val="da-DK"/>
        </w:rPr>
      </w:pPr>
      <w:r w:rsidRPr="00071814">
        <w:rPr>
          <w:sz w:val="24"/>
          <w:szCs w:val="24"/>
          <w:lang w:val="da-DK"/>
        </w:rPr>
        <w:t>Emtricitabine/Tenofovir disoproxil "Accordpharma" er indiceret i antiretroviral kombinationsbehandling af HIV 1-inficerede voksne (se pkt. 5.1).</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pStyle w:val="Brdtekst"/>
        <w:tabs>
          <w:tab w:val="left" w:pos="851"/>
        </w:tabs>
        <w:ind w:left="851"/>
        <w:rPr>
          <w:sz w:val="24"/>
          <w:szCs w:val="24"/>
          <w:lang w:val="da-DK"/>
        </w:rPr>
      </w:pPr>
      <w:r w:rsidRPr="00071814">
        <w:rPr>
          <w:sz w:val="24"/>
          <w:szCs w:val="24"/>
          <w:lang w:val="da-DK"/>
        </w:rPr>
        <w:t>Emtricitabine/Tenofovir disoproxil "Accordpharma" er også indiceret til behandling af HIV 1-inficerede unge med NRTI-resistens eller -toksicitet, der udelukker brug af førstevalgspræparater (se pkt. 4.2, 4.4 og 5.1).</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tabs>
          <w:tab w:val="left" w:pos="851"/>
        </w:tabs>
        <w:ind w:left="851"/>
        <w:rPr>
          <w:sz w:val="24"/>
          <w:szCs w:val="24"/>
          <w:u w:val="single"/>
        </w:rPr>
      </w:pPr>
      <w:r w:rsidRPr="00071814">
        <w:rPr>
          <w:sz w:val="24"/>
          <w:szCs w:val="24"/>
          <w:u w:val="single"/>
        </w:rPr>
        <w:t>Profylakse før eksponering (Pre-exposure prophylaxis, PrEP)</w:t>
      </w:r>
    </w:p>
    <w:p w:rsidR="007564F4" w:rsidRPr="00071814" w:rsidRDefault="007564F4" w:rsidP="007564F4">
      <w:pPr>
        <w:pStyle w:val="Brdtekst"/>
        <w:tabs>
          <w:tab w:val="left" w:pos="851"/>
        </w:tabs>
        <w:ind w:left="851"/>
        <w:rPr>
          <w:sz w:val="24"/>
          <w:szCs w:val="24"/>
          <w:lang w:val="da-DK"/>
        </w:rPr>
      </w:pPr>
      <w:r w:rsidRPr="00071814">
        <w:rPr>
          <w:sz w:val="24"/>
          <w:szCs w:val="24"/>
          <w:lang w:val="da-DK"/>
        </w:rPr>
        <w:t xml:space="preserve">Emtricitabine/Tenofovir disoproxil "Accordpharma" er i kombination med god praksis for </w:t>
      </w:r>
      <w:r w:rsidRPr="00071814">
        <w:rPr>
          <w:sz w:val="24"/>
          <w:szCs w:val="24"/>
          <w:lang w:val="da-DK"/>
        </w:rPr>
        <w:lastRenderedPageBreak/>
        <w:t>sikker sex indiceret som profylakse før eksponering for at mindske risikoen for seksuelt erhvervet HIV 1-infektion hos meget udsatte voksne og unge (se pkt. 4.2, 4.4 og 5.1).</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4.2</w:t>
      </w:r>
      <w:r w:rsidRPr="00071814">
        <w:rPr>
          <w:b/>
          <w:sz w:val="24"/>
          <w:szCs w:val="24"/>
        </w:rPr>
        <w:tab/>
        <w:t xml:space="preserve">Dosering og </w:t>
      </w:r>
      <w:r w:rsidR="00C730E8">
        <w:rPr>
          <w:b/>
          <w:sz w:val="24"/>
          <w:szCs w:val="24"/>
        </w:rPr>
        <w:t>administration</w:t>
      </w:r>
    </w:p>
    <w:p w:rsidR="007564F4" w:rsidRPr="00071814" w:rsidRDefault="007564F4" w:rsidP="007564F4">
      <w:pPr>
        <w:pStyle w:val="Brdtekst"/>
        <w:tabs>
          <w:tab w:val="left" w:pos="851"/>
        </w:tabs>
        <w:ind w:left="851"/>
        <w:rPr>
          <w:sz w:val="24"/>
          <w:szCs w:val="24"/>
          <w:lang w:val="da-DK"/>
        </w:rPr>
      </w:pPr>
      <w:r w:rsidRPr="00071814">
        <w:rPr>
          <w:sz w:val="24"/>
          <w:szCs w:val="24"/>
          <w:lang w:val="da-DK"/>
        </w:rPr>
        <w:t>Emtricitabine/Tenofovir disoproxil "Accordpharma" skal initieres af en læge med erfaring i behandlingen af HIV-infektion.</w:t>
      </w:r>
    </w:p>
    <w:p w:rsidR="007564F4" w:rsidRPr="00071814" w:rsidRDefault="007564F4" w:rsidP="007564F4">
      <w:pPr>
        <w:pStyle w:val="Brdtekst"/>
        <w:tabs>
          <w:tab w:val="left" w:pos="851"/>
        </w:tabs>
        <w:ind w:left="851"/>
        <w:rPr>
          <w:sz w:val="24"/>
          <w:szCs w:val="24"/>
          <w:u w:val="single"/>
          <w:lang w:val="da-DK"/>
        </w:rPr>
      </w:pPr>
    </w:p>
    <w:p w:rsidR="007564F4" w:rsidRPr="00071814" w:rsidRDefault="007564F4" w:rsidP="007564F4">
      <w:pPr>
        <w:pStyle w:val="Brdtekst"/>
        <w:tabs>
          <w:tab w:val="left" w:pos="851"/>
        </w:tabs>
        <w:ind w:left="851"/>
        <w:rPr>
          <w:b/>
          <w:sz w:val="24"/>
          <w:szCs w:val="24"/>
          <w:lang w:val="da-DK"/>
        </w:rPr>
      </w:pPr>
      <w:r w:rsidRPr="00071814">
        <w:rPr>
          <w:b/>
          <w:sz w:val="24"/>
          <w:szCs w:val="24"/>
          <w:lang w:val="da-DK"/>
        </w:rPr>
        <w:t>Dosering</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tabs>
          <w:tab w:val="left" w:pos="851"/>
        </w:tabs>
        <w:ind w:left="851"/>
        <w:rPr>
          <w:sz w:val="24"/>
          <w:szCs w:val="24"/>
        </w:rPr>
      </w:pPr>
      <w:r w:rsidRPr="00071814">
        <w:rPr>
          <w:sz w:val="24"/>
          <w:szCs w:val="24"/>
          <w:u w:val="single"/>
        </w:rPr>
        <w:t>Behandling af HIV hos voksne og unge i alderen 12 år og derover, der vejer mindst 35 kg:</w:t>
      </w:r>
      <w:r w:rsidRPr="00071814">
        <w:rPr>
          <w:sz w:val="24"/>
          <w:szCs w:val="24"/>
        </w:rPr>
        <w:t>En tablet en gang daglig.</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tabs>
          <w:tab w:val="left" w:pos="851"/>
        </w:tabs>
        <w:ind w:left="851"/>
        <w:rPr>
          <w:sz w:val="24"/>
          <w:szCs w:val="24"/>
          <w:u w:val="single"/>
        </w:rPr>
      </w:pPr>
      <w:r w:rsidRPr="00071814">
        <w:rPr>
          <w:sz w:val="24"/>
          <w:szCs w:val="24"/>
          <w:u w:val="single"/>
        </w:rPr>
        <w:t>Forebyggelse af HIV hos voksne og unge i alderen 12 år og derover, der vejer mindst 35 kg</w:t>
      </w:r>
    </w:p>
    <w:p w:rsidR="007564F4" w:rsidRPr="00071814" w:rsidRDefault="007564F4" w:rsidP="007564F4">
      <w:pPr>
        <w:tabs>
          <w:tab w:val="left" w:pos="851"/>
        </w:tabs>
        <w:ind w:left="851"/>
        <w:rPr>
          <w:sz w:val="24"/>
          <w:szCs w:val="24"/>
        </w:rPr>
      </w:pPr>
      <w:r w:rsidRPr="00071814">
        <w:rPr>
          <w:sz w:val="24"/>
          <w:szCs w:val="24"/>
        </w:rPr>
        <w:t>En tablet en gang daglig.</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pStyle w:val="Brdtekst"/>
        <w:tabs>
          <w:tab w:val="left" w:pos="851"/>
        </w:tabs>
        <w:ind w:left="851"/>
        <w:rPr>
          <w:sz w:val="24"/>
          <w:szCs w:val="24"/>
          <w:lang w:val="da-DK"/>
        </w:rPr>
      </w:pPr>
      <w:r w:rsidRPr="00071814">
        <w:rPr>
          <w:sz w:val="24"/>
          <w:szCs w:val="24"/>
          <w:lang w:val="da-DK"/>
        </w:rPr>
        <w:t>Der findes separate præparater med emtricitabin og tenofovirdisoproxil til behandling af HIV 1- infektion, hvis det bliver nødvendigt at seponere eller ændre dosen af ét af Emtricitabine/Tenofovir disoproxil "Accordpharma"s indholdsstoffer. Se produktresuméerne til disse lægemidler.</w:t>
      </w:r>
    </w:p>
    <w:p w:rsidR="007564F4" w:rsidRPr="00071814" w:rsidRDefault="007564F4" w:rsidP="007564F4">
      <w:pPr>
        <w:pStyle w:val="Brdtekst"/>
        <w:tabs>
          <w:tab w:val="left" w:pos="851"/>
        </w:tabs>
        <w:ind w:left="851"/>
        <w:rPr>
          <w:sz w:val="24"/>
          <w:szCs w:val="24"/>
          <w:lang w:val="da-DK"/>
        </w:rPr>
      </w:pPr>
    </w:p>
    <w:p w:rsidR="004B15A2" w:rsidRPr="00467589" w:rsidRDefault="004B15A2" w:rsidP="004B15A2">
      <w:pPr>
        <w:pStyle w:val="Brdtekst"/>
        <w:tabs>
          <w:tab w:val="left" w:pos="851"/>
        </w:tabs>
        <w:ind w:left="851"/>
        <w:rPr>
          <w:sz w:val="24"/>
          <w:szCs w:val="24"/>
          <w:lang w:val="da-DK"/>
        </w:rPr>
      </w:pPr>
      <w:r w:rsidRPr="00467589">
        <w:rPr>
          <w:sz w:val="24"/>
          <w:szCs w:val="24"/>
          <w:lang w:val="da-DK"/>
        </w:rPr>
        <w:t xml:space="preserve">Hvis en patient glemmer at tage en dosis </w:t>
      </w:r>
      <w:r w:rsidRPr="00A92787">
        <w:rPr>
          <w:sz w:val="24"/>
          <w:lang w:val="da-DK"/>
        </w:rPr>
        <w:t>Emtricitabine/Tenofovir disoproxil "Accordpharma"</w:t>
      </w:r>
      <w:r w:rsidRPr="00467589">
        <w:rPr>
          <w:sz w:val="24"/>
          <w:szCs w:val="24"/>
          <w:lang w:val="da-DK"/>
        </w:rPr>
        <w:t xml:space="preserve"> i 12 timer efter tidspunktet, hvor dosen normalt skulle tages, skal patienten tage </w:t>
      </w:r>
      <w:r w:rsidRPr="00A92787">
        <w:rPr>
          <w:sz w:val="24"/>
          <w:lang w:val="da-DK"/>
        </w:rPr>
        <w:t>Emtricitabine/Tenofovir disoproxil "Accordpharma"</w:t>
      </w:r>
      <w:r w:rsidRPr="00467589">
        <w:rPr>
          <w:sz w:val="24"/>
          <w:szCs w:val="24"/>
          <w:lang w:val="da-DK"/>
        </w:rPr>
        <w:t xml:space="preserve"> sammen med mad så snart som muligt og derefter fortsætte i henhold til den normale doseringsplan. Hvis en patient glemmer at tage en dosis </w:t>
      </w:r>
      <w:r w:rsidRPr="00A92787">
        <w:rPr>
          <w:sz w:val="24"/>
          <w:lang w:val="da-DK"/>
        </w:rPr>
        <w:t>Emtricitabine/Tenofovir disoproxil "Accordpharma"</w:t>
      </w:r>
      <w:r w:rsidRPr="00467589">
        <w:rPr>
          <w:sz w:val="24"/>
          <w:szCs w:val="24"/>
          <w:lang w:val="da-DK"/>
        </w:rPr>
        <w:t xml:space="preserve"> i mere end 12 timer, og det næsten er tid til næste dosis, skal den glemte dosis ikke tages, men den normale doseringsplan genoptages.</w:t>
      </w:r>
    </w:p>
    <w:p w:rsidR="004B15A2" w:rsidRPr="00467589" w:rsidRDefault="004B15A2" w:rsidP="004B15A2">
      <w:pPr>
        <w:pStyle w:val="Brdtekst"/>
        <w:tabs>
          <w:tab w:val="left" w:pos="851"/>
        </w:tabs>
        <w:ind w:left="851"/>
        <w:rPr>
          <w:sz w:val="24"/>
          <w:szCs w:val="24"/>
          <w:lang w:val="da-DK"/>
        </w:rPr>
      </w:pPr>
    </w:p>
    <w:p w:rsidR="004B15A2" w:rsidRPr="00467589" w:rsidRDefault="004B15A2" w:rsidP="004B15A2">
      <w:pPr>
        <w:pStyle w:val="Brdtekst"/>
        <w:tabs>
          <w:tab w:val="left" w:pos="851"/>
        </w:tabs>
        <w:ind w:left="851"/>
        <w:rPr>
          <w:sz w:val="24"/>
          <w:szCs w:val="24"/>
          <w:lang w:val="da-DK"/>
        </w:rPr>
      </w:pPr>
      <w:r w:rsidRPr="00467589">
        <w:rPr>
          <w:sz w:val="24"/>
          <w:szCs w:val="24"/>
          <w:lang w:val="da-DK"/>
        </w:rPr>
        <w:t xml:space="preserve">Hvis patienten kaster op inden for 1 time efter at have taget </w:t>
      </w:r>
      <w:r w:rsidRPr="00A92787">
        <w:rPr>
          <w:sz w:val="24"/>
          <w:lang w:val="da-DK"/>
        </w:rPr>
        <w:t>Emtricitabine/Tenofovir disoproxil "Accordpharma"</w:t>
      </w:r>
      <w:r w:rsidRPr="00467589">
        <w:rPr>
          <w:sz w:val="24"/>
          <w:szCs w:val="24"/>
          <w:lang w:val="da-DK"/>
        </w:rPr>
        <w:t xml:space="preserve">, skal der tages en ny tablet. Hvis patienten kaster op mere end 1 time efter at have taget </w:t>
      </w:r>
      <w:r w:rsidRPr="00A92787">
        <w:rPr>
          <w:sz w:val="24"/>
          <w:lang w:val="da-DK"/>
        </w:rPr>
        <w:t>Emtricitabine/Tenofovir disoproxil "Accordpharma"</w:t>
      </w:r>
      <w:r w:rsidRPr="00467589">
        <w:rPr>
          <w:sz w:val="24"/>
          <w:szCs w:val="24"/>
          <w:lang w:val="da-DK"/>
        </w:rPr>
        <w:t>, må patienten ikke tage en ny dosis.</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pStyle w:val="Brdtekst"/>
        <w:tabs>
          <w:tab w:val="left" w:pos="851"/>
        </w:tabs>
        <w:ind w:left="851"/>
        <w:rPr>
          <w:sz w:val="24"/>
          <w:szCs w:val="24"/>
          <w:lang w:val="da-DK"/>
        </w:rPr>
      </w:pPr>
      <w:r w:rsidRPr="00071814">
        <w:rPr>
          <w:sz w:val="24"/>
          <w:szCs w:val="24"/>
          <w:u w:val="single"/>
          <w:lang w:val="da-DK"/>
        </w:rPr>
        <w:t>Særlige populationer</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pStyle w:val="Brdtekst"/>
        <w:tabs>
          <w:tab w:val="left" w:pos="851"/>
        </w:tabs>
        <w:ind w:left="851"/>
        <w:rPr>
          <w:i/>
          <w:sz w:val="24"/>
          <w:szCs w:val="24"/>
          <w:lang w:val="da-DK"/>
        </w:rPr>
      </w:pPr>
      <w:r w:rsidRPr="00071814">
        <w:rPr>
          <w:i/>
          <w:sz w:val="24"/>
          <w:szCs w:val="24"/>
          <w:lang w:val="da-DK"/>
        </w:rPr>
        <w:t>Ældre</w:t>
      </w:r>
    </w:p>
    <w:p w:rsidR="007564F4" w:rsidRPr="00071814" w:rsidRDefault="007564F4" w:rsidP="007564F4">
      <w:pPr>
        <w:pStyle w:val="Brdtekst"/>
        <w:tabs>
          <w:tab w:val="left" w:pos="851"/>
        </w:tabs>
        <w:ind w:left="851"/>
        <w:rPr>
          <w:sz w:val="24"/>
          <w:szCs w:val="24"/>
          <w:lang w:val="da-DK"/>
        </w:rPr>
      </w:pPr>
      <w:r w:rsidRPr="00071814">
        <w:rPr>
          <w:sz w:val="24"/>
          <w:szCs w:val="24"/>
          <w:lang w:val="da-DK"/>
        </w:rPr>
        <w:t>Dosisjustering er ikke nødvendig (se pkt. 5.2).</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pStyle w:val="Brdtekst"/>
        <w:tabs>
          <w:tab w:val="left" w:pos="851"/>
        </w:tabs>
        <w:ind w:left="851"/>
        <w:rPr>
          <w:i/>
          <w:sz w:val="24"/>
          <w:szCs w:val="24"/>
          <w:lang w:val="da-DK"/>
        </w:rPr>
      </w:pPr>
      <w:r w:rsidRPr="00071814">
        <w:rPr>
          <w:i/>
          <w:sz w:val="24"/>
          <w:szCs w:val="24"/>
          <w:lang w:val="da-DK"/>
        </w:rPr>
        <w:t>Nedsat nyrefunktion</w:t>
      </w:r>
    </w:p>
    <w:p w:rsidR="007564F4" w:rsidRPr="00071814" w:rsidRDefault="007564F4" w:rsidP="007564F4">
      <w:pPr>
        <w:pStyle w:val="Brdtekst"/>
        <w:tabs>
          <w:tab w:val="left" w:pos="851"/>
        </w:tabs>
        <w:ind w:left="851"/>
        <w:rPr>
          <w:sz w:val="24"/>
          <w:szCs w:val="24"/>
          <w:lang w:val="da-DK"/>
        </w:rPr>
      </w:pPr>
      <w:r w:rsidRPr="00071814">
        <w:rPr>
          <w:sz w:val="24"/>
          <w:szCs w:val="24"/>
          <w:lang w:val="da-DK"/>
        </w:rPr>
        <w:t>Emtricitabin og tenofovir udskilles via nyrerne, og eksponeringen for emtricitabin og tenofovir øges hos personer med nedsat nyrefunktion (se pkt. 4.4 og 5.2).</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tabs>
          <w:tab w:val="left" w:pos="851"/>
        </w:tabs>
        <w:ind w:left="851"/>
        <w:rPr>
          <w:i/>
          <w:sz w:val="24"/>
          <w:szCs w:val="24"/>
        </w:rPr>
      </w:pPr>
      <w:r>
        <w:rPr>
          <w:i/>
          <w:sz w:val="24"/>
          <w:szCs w:val="24"/>
        </w:rPr>
        <w:t>Voksne med nedsat nyrefunktion</w:t>
      </w:r>
    </w:p>
    <w:p w:rsidR="00021B0F" w:rsidRDefault="00021B0F" w:rsidP="00021B0F">
      <w:pPr>
        <w:pStyle w:val="Brdtekst"/>
        <w:tabs>
          <w:tab w:val="left" w:pos="851"/>
        </w:tabs>
        <w:ind w:left="851"/>
        <w:rPr>
          <w:sz w:val="24"/>
          <w:szCs w:val="24"/>
          <w:lang w:val="da-DK"/>
        </w:rPr>
      </w:pPr>
      <w:r>
        <w:rPr>
          <w:sz w:val="24"/>
          <w:lang w:val="da-DK"/>
        </w:rPr>
        <w:t>Emtricitabine/Tenofovir disoproxil "Accordpharma"</w:t>
      </w:r>
      <w:r>
        <w:rPr>
          <w:sz w:val="24"/>
          <w:szCs w:val="24"/>
          <w:lang w:val="da-DK"/>
        </w:rPr>
        <w:t xml:space="preserve"> bør kun anvendes hos personer med kreatininclearance (CrCl) &lt; 80 ml/min, hvis de potentielle fordele anses for at opveje de potentielle risici. Se tabel 1.</w:t>
      </w:r>
    </w:p>
    <w:p w:rsidR="007564F4" w:rsidRDefault="007564F4" w:rsidP="007564F4">
      <w:pPr>
        <w:rPr>
          <w:sz w:val="24"/>
          <w:szCs w:val="24"/>
        </w:rPr>
      </w:pPr>
      <w:r>
        <w:rPr>
          <w:sz w:val="24"/>
          <w:szCs w:val="24"/>
        </w:rPr>
        <w:br w:type="page"/>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pStyle w:val="Overskrift1"/>
        <w:tabs>
          <w:tab w:val="left" w:pos="851"/>
        </w:tabs>
        <w:spacing w:before="0" w:after="0"/>
        <w:ind w:left="851"/>
        <w:rPr>
          <w:rFonts w:ascii="Times New Roman" w:hAnsi="Times New Roman"/>
          <w:sz w:val="24"/>
          <w:szCs w:val="24"/>
        </w:rPr>
      </w:pPr>
      <w:r w:rsidRPr="00071814">
        <w:rPr>
          <w:rFonts w:ascii="Times New Roman" w:hAnsi="Times New Roman"/>
          <w:sz w:val="24"/>
          <w:szCs w:val="24"/>
        </w:rPr>
        <w:t>Tabel 1: Doseringsanbefalinger hos voksne med nedsat nyrefunktion</w:t>
      </w:r>
    </w:p>
    <w:p w:rsidR="007564F4" w:rsidRPr="00071814" w:rsidRDefault="007564F4" w:rsidP="007564F4">
      <w:pPr>
        <w:pStyle w:val="Brdtekst"/>
        <w:tabs>
          <w:tab w:val="left" w:pos="851"/>
        </w:tabs>
        <w:ind w:left="851"/>
        <w:rPr>
          <w:b/>
          <w:sz w:val="24"/>
          <w:szCs w:val="24"/>
          <w:lang w:val="da-DK"/>
        </w:rPr>
      </w:pPr>
    </w:p>
    <w:tbl>
      <w:tblPr>
        <w:tblStyle w:val="TableNormal1"/>
        <w:tblW w:w="92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6"/>
        <w:gridCol w:w="3096"/>
        <w:gridCol w:w="3096"/>
      </w:tblGrid>
      <w:tr w:rsidR="004B15A2" w:rsidRPr="00467589" w:rsidTr="004B15A2">
        <w:trPr>
          <w:trHeight w:val="230"/>
        </w:trPr>
        <w:tc>
          <w:tcPr>
            <w:tcW w:w="3096" w:type="dxa"/>
          </w:tcPr>
          <w:p w:rsidR="004B15A2" w:rsidRPr="00467589" w:rsidRDefault="004B15A2" w:rsidP="004B15A2">
            <w:pPr>
              <w:pStyle w:val="TableParagraph"/>
              <w:ind w:left="132"/>
              <w:rPr>
                <w:rFonts w:ascii="Times New Roman" w:hAnsi="Times New Roman" w:cs="Times New Roman"/>
                <w:sz w:val="24"/>
                <w:szCs w:val="24"/>
                <w:lang w:val="da-DK"/>
              </w:rPr>
            </w:pPr>
          </w:p>
        </w:tc>
        <w:tc>
          <w:tcPr>
            <w:tcW w:w="3096" w:type="dxa"/>
          </w:tcPr>
          <w:p w:rsidR="004B15A2" w:rsidRPr="00A92787" w:rsidRDefault="004B15A2" w:rsidP="004B15A2">
            <w:pPr>
              <w:pStyle w:val="TableParagraph"/>
              <w:ind w:left="155"/>
              <w:rPr>
                <w:rFonts w:ascii="Times New Roman" w:hAnsi="Times New Roman" w:cs="Times New Roman"/>
                <w:b/>
                <w:sz w:val="24"/>
                <w:szCs w:val="24"/>
                <w:lang w:val="da-DK"/>
              </w:rPr>
            </w:pPr>
            <w:r w:rsidRPr="00A92787">
              <w:rPr>
                <w:b/>
                <w:sz w:val="24"/>
                <w:szCs w:val="24"/>
                <w:lang w:val="da-DK"/>
              </w:rPr>
              <w:t>Behandling af HIV 1-infektion</w:t>
            </w:r>
          </w:p>
        </w:tc>
        <w:tc>
          <w:tcPr>
            <w:tcW w:w="3096" w:type="dxa"/>
          </w:tcPr>
          <w:p w:rsidR="004B15A2" w:rsidRPr="00A92787" w:rsidRDefault="004B15A2" w:rsidP="004B15A2">
            <w:pPr>
              <w:pStyle w:val="TableParagraph"/>
              <w:ind w:left="177"/>
              <w:rPr>
                <w:rFonts w:ascii="Times New Roman" w:hAnsi="Times New Roman" w:cs="Times New Roman"/>
                <w:b/>
                <w:sz w:val="24"/>
                <w:szCs w:val="24"/>
                <w:lang w:val="da-DK"/>
              </w:rPr>
            </w:pPr>
            <w:r w:rsidRPr="00A92787">
              <w:rPr>
                <w:b/>
                <w:sz w:val="24"/>
                <w:szCs w:val="24"/>
                <w:lang w:val="da-DK"/>
              </w:rPr>
              <w:t>Profylakse før eksponering</w:t>
            </w:r>
          </w:p>
        </w:tc>
      </w:tr>
      <w:tr w:rsidR="004B15A2" w:rsidRPr="00467589" w:rsidTr="004B15A2">
        <w:trPr>
          <w:trHeight w:val="2070"/>
        </w:trPr>
        <w:tc>
          <w:tcPr>
            <w:tcW w:w="3096" w:type="dxa"/>
          </w:tcPr>
          <w:p w:rsidR="004B15A2" w:rsidRPr="00467589" w:rsidRDefault="004B15A2" w:rsidP="004B15A2">
            <w:pPr>
              <w:pStyle w:val="TableParagraph"/>
              <w:tabs>
                <w:tab w:val="left" w:pos="851"/>
              </w:tabs>
              <w:ind w:left="132"/>
              <w:rPr>
                <w:rFonts w:ascii="Times New Roman" w:hAnsi="Times New Roman" w:cs="Times New Roman"/>
                <w:sz w:val="24"/>
                <w:szCs w:val="24"/>
                <w:lang w:val="da-DK"/>
              </w:rPr>
            </w:pPr>
            <w:r w:rsidRPr="00467589">
              <w:rPr>
                <w:rFonts w:ascii="Times New Roman" w:hAnsi="Times New Roman" w:cs="Times New Roman"/>
                <w:sz w:val="24"/>
                <w:szCs w:val="24"/>
                <w:lang w:val="da-DK"/>
              </w:rPr>
              <w:t>Let nedsat nyrefunktion (CrCl 50</w:t>
            </w:r>
            <w:r w:rsidRPr="00467589">
              <w:rPr>
                <w:rFonts w:ascii="Times New Roman" w:hAnsi="Times New Roman" w:cs="Times New Roman"/>
                <w:sz w:val="24"/>
                <w:szCs w:val="24"/>
                <w:lang w:val="da-DK"/>
              </w:rPr>
              <w:noBreakHyphen/>
              <w:t>80 ml/min)</w:t>
            </w:r>
          </w:p>
        </w:tc>
        <w:tc>
          <w:tcPr>
            <w:tcW w:w="3096" w:type="dxa"/>
          </w:tcPr>
          <w:p w:rsidR="004B15A2" w:rsidRPr="00467589" w:rsidRDefault="004B15A2" w:rsidP="004B15A2">
            <w:pPr>
              <w:pStyle w:val="TableParagraph"/>
              <w:ind w:left="155"/>
              <w:rPr>
                <w:rFonts w:ascii="Times New Roman" w:hAnsi="Times New Roman" w:cs="Times New Roman"/>
                <w:sz w:val="24"/>
                <w:szCs w:val="24"/>
                <w:lang w:val="da-DK"/>
              </w:rPr>
            </w:pPr>
            <w:r w:rsidRPr="00467589">
              <w:rPr>
                <w:rFonts w:ascii="Times New Roman" w:hAnsi="Times New Roman" w:cs="Times New Roman"/>
                <w:sz w:val="24"/>
                <w:szCs w:val="24"/>
                <w:lang w:val="da-DK"/>
              </w:rPr>
              <w:t>Begrænsede data fra kliniske studier understøtter dosering én gang daglig (se pkt. 4.4).</w:t>
            </w:r>
          </w:p>
        </w:tc>
        <w:tc>
          <w:tcPr>
            <w:tcW w:w="3096" w:type="dxa"/>
          </w:tcPr>
          <w:p w:rsidR="004B15A2" w:rsidRPr="00467589" w:rsidRDefault="004B15A2" w:rsidP="004B15A2">
            <w:pPr>
              <w:pStyle w:val="TableParagraph"/>
              <w:ind w:left="177"/>
              <w:rPr>
                <w:rFonts w:ascii="Times New Roman" w:hAnsi="Times New Roman" w:cs="Times New Roman"/>
                <w:sz w:val="24"/>
                <w:szCs w:val="24"/>
                <w:lang w:val="da-DK"/>
              </w:rPr>
            </w:pPr>
            <w:r w:rsidRPr="00467589">
              <w:rPr>
                <w:rFonts w:ascii="Times New Roman" w:hAnsi="Times New Roman" w:cs="Times New Roman"/>
                <w:sz w:val="24"/>
                <w:szCs w:val="24"/>
                <w:lang w:val="da-DK"/>
              </w:rPr>
              <w:t>Begrænsede data fra kliniske studier understøtter dosering én gang daglig hos personer uden HIV 1- infektion med CrCl 60</w:t>
            </w:r>
            <w:r w:rsidRPr="00467589">
              <w:rPr>
                <w:rFonts w:ascii="Times New Roman" w:hAnsi="Times New Roman" w:cs="Times New Roman"/>
                <w:sz w:val="24"/>
                <w:szCs w:val="24"/>
                <w:lang w:val="da-DK"/>
              </w:rPr>
              <w:noBreakHyphen/>
              <w:t>80 ml/min. Anbefales ikke til personer uden HIV 1-infektion med CrCl &lt; 60 ml/min, da det ikke er undersøgt hos denne population (se pkt. 4.4 og 5.2).</w:t>
            </w:r>
          </w:p>
        </w:tc>
      </w:tr>
      <w:tr w:rsidR="004B15A2" w:rsidRPr="00467589" w:rsidTr="004B15A2">
        <w:trPr>
          <w:trHeight w:val="2070"/>
        </w:trPr>
        <w:tc>
          <w:tcPr>
            <w:tcW w:w="3096" w:type="dxa"/>
          </w:tcPr>
          <w:p w:rsidR="004B15A2" w:rsidRPr="00467589" w:rsidRDefault="004B15A2" w:rsidP="004B15A2">
            <w:pPr>
              <w:pStyle w:val="TableParagraph"/>
              <w:tabs>
                <w:tab w:val="left" w:pos="851"/>
              </w:tabs>
              <w:ind w:left="132"/>
              <w:rPr>
                <w:rFonts w:ascii="Times New Roman" w:hAnsi="Times New Roman" w:cs="Times New Roman"/>
                <w:sz w:val="24"/>
                <w:szCs w:val="24"/>
                <w:lang w:val="da-DK"/>
              </w:rPr>
            </w:pPr>
            <w:r w:rsidRPr="00467589">
              <w:rPr>
                <w:rFonts w:ascii="Times New Roman" w:hAnsi="Times New Roman" w:cs="Times New Roman"/>
                <w:sz w:val="24"/>
                <w:szCs w:val="24"/>
                <w:lang w:val="da-DK"/>
              </w:rPr>
              <w:t>Moderat nedsat nyrefunktion (CrCl 30-49 ml/min)</w:t>
            </w:r>
          </w:p>
        </w:tc>
        <w:tc>
          <w:tcPr>
            <w:tcW w:w="3096" w:type="dxa"/>
          </w:tcPr>
          <w:p w:rsidR="004B15A2" w:rsidRPr="00467589" w:rsidRDefault="004B15A2" w:rsidP="004B15A2">
            <w:pPr>
              <w:pStyle w:val="TableParagraph"/>
              <w:ind w:left="155"/>
              <w:rPr>
                <w:rFonts w:ascii="Times New Roman" w:hAnsi="Times New Roman" w:cs="Times New Roman"/>
                <w:sz w:val="24"/>
                <w:szCs w:val="24"/>
                <w:lang w:val="da-DK"/>
              </w:rPr>
            </w:pPr>
            <w:r w:rsidRPr="00467589">
              <w:rPr>
                <w:rFonts w:ascii="Times New Roman" w:hAnsi="Times New Roman" w:cs="Times New Roman"/>
                <w:sz w:val="24"/>
                <w:szCs w:val="24"/>
                <w:lang w:val="da-DK"/>
              </w:rPr>
              <w:t>Ud fra modellering af farmakokinetiske data for enkeltdosis af emtricitabin og tenofovirdisoproxil hos ikke-HIV- inficerede forsøgspersoner med varierende grader af nedsat nyrefunktion anbefales det at administrere hver 48. time (se pkt. 4.4).</w:t>
            </w:r>
          </w:p>
        </w:tc>
        <w:tc>
          <w:tcPr>
            <w:tcW w:w="3096" w:type="dxa"/>
          </w:tcPr>
          <w:p w:rsidR="004B15A2" w:rsidRPr="00467589" w:rsidRDefault="004B15A2" w:rsidP="004B15A2">
            <w:pPr>
              <w:pStyle w:val="TableParagraph"/>
              <w:ind w:left="177"/>
              <w:rPr>
                <w:rFonts w:ascii="Times New Roman" w:hAnsi="Times New Roman" w:cs="Times New Roman"/>
                <w:sz w:val="24"/>
                <w:szCs w:val="24"/>
                <w:lang w:val="da-DK"/>
              </w:rPr>
            </w:pPr>
            <w:r w:rsidRPr="00467589">
              <w:rPr>
                <w:rFonts w:ascii="Times New Roman" w:hAnsi="Times New Roman" w:cs="Times New Roman"/>
                <w:sz w:val="24"/>
                <w:szCs w:val="24"/>
                <w:lang w:val="da-DK"/>
              </w:rPr>
              <w:t>Anbefales ikke til denne population.</w:t>
            </w:r>
          </w:p>
        </w:tc>
      </w:tr>
      <w:tr w:rsidR="004B15A2" w:rsidRPr="00467589" w:rsidTr="004B15A2">
        <w:trPr>
          <w:trHeight w:val="688"/>
        </w:trPr>
        <w:tc>
          <w:tcPr>
            <w:tcW w:w="3096" w:type="dxa"/>
          </w:tcPr>
          <w:p w:rsidR="004B15A2" w:rsidRPr="00467589" w:rsidRDefault="004B15A2" w:rsidP="004B15A2">
            <w:pPr>
              <w:pStyle w:val="TableParagraph"/>
              <w:tabs>
                <w:tab w:val="left" w:pos="851"/>
              </w:tabs>
              <w:ind w:left="132"/>
              <w:rPr>
                <w:rFonts w:ascii="Times New Roman" w:hAnsi="Times New Roman" w:cs="Times New Roman"/>
                <w:sz w:val="24"/>
                <w:szCs w:val="24"/>
                <w:lang w:val="da-DK"/>
              </w:rPr>
            </w:pPr>
            <w:r w:rsidRPr="00467589">
              <w:rPr>
                <w:rFonts w:ascii="Times New Roman" w:hAnsi="Times New Roman" w:cs="Times New Roman"/>
                <w:sz w:val="24"/>
                <w:szCs w:val="24"/>
                <w:lang w:val="da-DK"/>
              </w:rPr>
              <w:t>Svært nedsat nyrefunktion (CrCl &lt; 30 ml/min) og hæmodialysepatienter</w:t>
            </w:r>
          </w:p>
        </w:tc>
        <w:tc>
          <w:tcPr>
            <w:tcW w:w="3096" w:type="dxa"/>
          </w:tcPr>
          <w:p w:rsidR="004B15A2" w:rsidRPr="00467589" w:rsidRDefault="004B15A2" w:rsidP="004B15A2">
            <w:pPr>
              <w:pStyle w:val="TableParagraph"/>
              <w:ind w:left="155"/>
              <w:rPr>
                <w:rFonts w:ascii="Times New Roman" w:hAnsi="Times New Roman" w:cs="Times New Roman"/>
                <w:sz w:val="24"/>
                <w:szCs w:val="24"/>
                <w:lang w:val="da-DK"/>
              </w:rPr>
            </w:pPr>
            <w:r w:rsidRPr="00467589">
              <w:rPr>
                <w:rFonts w:ascii="Times New Roman" w:hAnsi="Times New Roman" w:cs="Times New Roman"/>
                <w:sz w:val="24"/>
                <w:szCs w:val="24"/>
                <w:lang w:val="da-DK"/>
              </w:rPr>
              <w:t>Anbefales ikke, fordi der ikke kan opnås passende dosisreduktioner med kombinationstabletten.</w:t>
            </w:r>
          </w:p>
        </w:tc>
        <w:tc>
          <w:tcPr>
            <w:tcW w:w="3096" w:type="dxa"/>
          </w:tcPr>
          <w:p w:rsidR="004B15A2" w:rsidRPr="00467589" w:rsidRDefault="004B15A2" w:rsidP="004B15A2">
            <w:pPr>
              <w:pStyle w:val="TableParagraph"/>
              <w:ind w:left="177"/>
              <w:rPr>
                <w:rFonts w:ascii="Times New Roman" w:hAnsi="Times New Roman" w:cs="Times New Roman"/>
                <w:sz w:val="24"/>
                <w:szCs w:val="24"/>
                <w:lang w:val="da-DK"/>
              </w:rPr>
            </w:pPr>
            <w:r w:rsidRPr="00467589">
              <w:rPr>
                <w:rFonts w:ascii="Times New Roman" w:hAnsi="Times New Roman" w:cs="Times New Roman"/>
                <w:sz w:val="24"/>
                <w:szCs w:val="24"/>
                <w:lang w:val="da-DK"/>
              </w:rPr>
              <w:t>Anbefales ikke til denne population.</w:t>
            </w:r>
          </w:p>
        </w:tc>
      </w:tr>
    </w:tbl>
    <w:p w:rsidR="007564F4" w:rsidRPr="00071814" w:rsidRDefault="007564F4" w:rsidP="007564F4">
      <w:pPr>
        <w:pStyle w:val="Brdtekst"/>
        <w:tabs>
          <w:tab w:val="left" w:pos="851"/>
        </w:tabs>
        <w:ind w:left="851"/>
        <w:rPr>
          <w:b/>
          <w:sz w:val="24"/>
          <w:szCs w:val="24"/>
          <w:lang w:val="da-DK"/>
        </w:rPr>
      </w:pPr>
    </w:p>
    <w:p w:rsidR="007564F4" w:rsidRPr="00071814" w:rsidRDefault="007564F4" w:rsidP="007564F4">
      <w:pPr>
        <w:tabs>
          <w:tab w:val="left" w:pos="851"/>
        </w:tabs>
        <w:ind w:left="851"/>
        <w:rPr>
          <w:i/>
          <w:sz w:val="24"/>
          <w:szCs w:val="24"/>
        </w:rPr>
      </w:pPr>
      <w:r w:rsidRPr="00071814">
        <w:rPr>
          <w:i/>
          <w:sz w:val="24"/>
          <w:szCs w:val="24"/>
        </w:rPr>
        <w:t>Pædiatriske patienter med nedsat nyrefunktion</w:t>
      </w:r>
    </w:p>
    <w:p w:rsidR="007564F4" w:rsidRPr="00071814" w:rsidRDefault="007564F4" w:rsidP="007564F4">
      <w:pPr>
        <w:pStyle w:val="Brdtekst"/>
        <w:tabs>
          <w:tab w:val="left" w:pos="851"/>
        </w:tabs>
        <w:ind w:left="851"/>
        <w:rPr>
          <w:sz w:val="24"/>
          <w:szCs w:val="24"/>
          <w:lang w:val="da-DK"/>
        </w:rPr>
      </w:pPr>
      <w:r w:rsidRPr="00071814">
        <w:rPr>
          <w:sz w:val="24"/>
          <w:szCs w:val="24"/>
          <w:lang w:val="da-DK"/>
        </w:rPr>
        <w:t>Frarådes hos personer under 18 år med nedsat nyrefunktion (se pkt. 4.4).</w:t>
      </w:r>
    </w:p>
    <w:p w:rsidR="007564F4" w:rsidRPr="00071814" w:rsidRDefault="007564F4" w:rsidP="007564F4">
      <w:pPr>
        <w:pStyle w:val="Brdtekst"/>
        <w:tabs>
          <w:tab w:val="left" w:pos="851"/>
        </w:tabs>
        <w:ind w:left="851"/>
        <w:rPr>
          <w:sz w:val="24"/>
          <w:szCs w:val="24"/>
          <w:lang w:val="da-DK"/>
        </w:rPr>
      </w:pPr>
    </w:p>
    <w:p w:rsidR="007564F4" w:rsidRDefault="007564F4" w:rsidP="007564F4">
      <w:pPr>
        <w:pStyle w:val="Brdtekst"/>
        <w:tabs>
          <w:tab w:val="left" w:pos="851"/>
        </w:tabs>
        <w:ind w:left="851"/>
        <w:rPr>
          <w:i/>
          <w:sz w:val="24"/>
          <w:szCs w:val="24"/>
          <w:lang w:val="da-DK"/>
        </w:rPr>
      </w:pPr>
      <w:r>
        <w:rPr>
          <w:i/>
          <w:sz w:val="24"/>
          <w:szCs w:val="24"/>
          <w:lang w:val="da-DK"/>
        </w:rPr>
        <w:t>Nedsat leverfunktion</w:t>
      </w:r>
    </w:p>
    <w:p w:rsidR="007564F4" w:rsidRPr="00071814" w:rsidRDefault="007564F4" w:rsidP="007564F4">
      <w:pPr>
        <w:pStyle w:val="Brdtekst"/>
        <w:tabs>
          <w:tab w:val="left" w:pos="851"/>
        </w:tabs>
        <w:ind w:left="851"/>
        <w:rPr>
          <w:sz w:val="24"/>
          <w:szCs w:val="24"/>
          <w:lang w:val="da-DK"/>
        </w:rPr>
      </w:pPr>
      <w:r w:rsidRPr="00071814">
        <w:rPr>
          <w:sz w:val="24"/>
          <w:szCs w:val="24"/>
          <w:lang w:val="da-DK"/>
        </w:rPr>
        <w:t>Dosisjustering er ikke nødvendig hos patienter med nedsat leverfunktion (se pkt. 4.4 og 5.2).</w:t>
      </w:r>
    </w:p>
    <w:p w:rsidR="007564F4" w:rsidRPr="00071814" w:rsidRDefault="007564F4" w:rsidP="007564F4">
      <w:pPr>
        <w:pStyle w:val="Brdtekst"/>
        <w:tabs>
          <w:tab w:val="left" w:pos="851"/>
        </w:tabs>
        <w:ind w:left="851"/>
        <w:rPr>
          <w:sz w:val="24"/>
          <w:szCs w:val="24"/>
          <w:lang w:val="da-DK"/>
        </w:rPr>
      </w:pPr>
    </w:p>
    <w:p w:rsidR="007564F4" w:rsidRDefault="007564F4" w:rsidP="007564F4">
      <w:pPr>
        <w:tabs>
          <w:tab w:val="left" w:pos="851"/>
        </w:tabs>
        <w:ind w:left="851"/>
        <w:rPr>
          <w:i/>
          <w:sz w:val="24"/>
          <w:szCs w:val="24"/>
        </w:rPr>
      </w:pPr>
      <w:r>
        <w:rPr>
          <w:i/>
          <w:sz w:val="24"/>
          <w:szCs w:val="24"/>
        </w:rPr>
        <w:t>Pædiatrisk population</w:t>
      </w:r>
    </w:p>
    <w:p w:rsidR="007564F4" w:rsidRPr="00071814" w:rsidRDefault="007564F4" w:rsidP="007564F4">
      <w:pPr>
        <w:tabs>
          <w:tab w:val="left" w:pos="851"/>
        </w:tabs>
        <w:ind w:left="851"/>
        <w:rPr>
          <w:sz w:val="24"/>
          <w:szCs w:val="24"/>
        </w:rPr>
      </w:pPr>
      <w:r w:rsidRPr="00071814">
        <w:rPr>
          <w:sz w:val="24"/>
          <w:szCs w:val="24"/>
        </w:rPr>
        <w:t>Emtricitabin/tenofovirdisoproxils sikkerhed og virkning hos børn og unge under 12 år er ikke klarlagt (se pkt. 5.2).</w:t>
      </w:r>
    </w:p>
    <w:p w:rsidR="007564F4" w:rsidRPr="00071814" w:rsidRDefault="007564F4" w:rsidP="007564F4">
      <w:pPr>
        <w:pStyle w:val="Brdtekst"/>
        <w:tabs>
          <w:tab w:val="left" w:pos="851"/>
        </w:tabs>
        <w:ind w:left="851"/>
        <w:rPr>
          <w:sz w:val="24"/>
          <w:szCs w:val="24"/>
          <w:u w:val="single"/>
          <w:lang w:val="da-DK"/>
        </w:rPr>
      </w:pPr>
    </w:p>
    <w:p w:rsidR="007564F4" w:rsidRPr="007C62D5" w:rsidRDefault="007564F4" w:rsidP="007564F4">
      <w:pPr>
        <w:pStyle w:val="Brdtekst"/>
        <w:tabs>
          <w:tab w:val="left" w:pos="851"/>
        </w:tabs>
        <w:ind w:left="851"/>
        <w:rPr>
          <w:b/>
          <w:sz w:val="24"/>
          <w:szCs w:val="24"/>
          <w:lang w:val="da-DK"/>
        </w:rPr>
      </w:pPr>
      <w:r w:rsidRPr="007C62D5">
        <w:rPr>
          <w:b/>
          <w:sz w:val="24"/>
          <w:szCs w:val="24"/>
          <w:lang w:val="da-DK"/>
        </w:rPr>
        <w:t>Administration</w:t>
      </w:r>
    </w:p>
    <w:p w:rsidR="007564F4" w:rsidRDefault="007564F4" w:rsidP="007564F4">
      <w:pPr>
        <w:pStyle w:val="Brdtekst"/>
        <w:tabs>
          <w:tab w:val="left" w:pos="851"/>
        </w:tabs>
        <w:ind w:left="851"/>
        <w:rPr>
          <w:sz w:val="24"/>
          <w:szCs w:val="24"/>
          <w:lang w:val="da-DK"/>
        </w:rPr>
      </w:pPr>
      <w:r>
        <w:rPr>
          <w:sz w:val="24"/>
          <w:szCs w:val="24"/>
          <w:lang w:val="da-DK"/>
        </w:rPr>
        <w:t>Oral anvendelse.</w:t>
      </w:r>
    </w:p>
    <w:p w:rsidR="00021B0F" w:rsidRDefault="00021B0F" w:rsidP="00021B0F">
      <w:pPr>
        <w:pStyle w:val="Brdtekst"/>
        <w:tabs>
          <w:tab w:val="left" w:pos="851"/>
        </w:tabs>
        <w:ind w:left="851"/>
        <w:rPr>
          <w:sz w:val="24"/>
          <w:szCs w:val="24"/>
          <w:lang w:val="da-DK"/>
        </w:rPr>
      </w:pPr>
      <w:r>
        <w:rPr>
          <w:sz w:val="24"/>
          <w:lang w:val="da-DK"/>
        </w:rPr>
        <w:t>Emtricitabine/Tenofovir disoproxil "Accordpharma"</w:t>
      </w:r>
      <w:r>
        <w:rPr>
          <w:sz w:val="24"/>
          <w:szCs w:val="24"/>
          <w:lang w:val="da-DK"/>
        </w:rPr>
        <w:t xml:space="preserve"> skal helst tages sammen med mad.</w:t>
      </w:r>
    </w:p>
    <w:p w:rsidR="007564F4" w:rsidRPr="00071814" w:rsidRDefault="007564F4" w:rsidP="007564F4">
      <w:pPr>
        <w:pStyle w:val="Brdtekst"/>
        <w:tabs>
          <w:tab w:val="left" w:pos="851"/>
        </w:tabs>
        <w:ind w:left="851"/>
        <w:rPr>
          <w:sz w:val="24"/>
          <w:szCs w:val="24"/>
          <w:lang w:val="da-DK"/>
        </w:rPr>
      </w:pPr>
    </w:p>
    <w:p w:rsidR="007564F4" w:rsidRPr="00071814" w:rsidRDefault="007564F4" w:rsidP="007564F4">
      <w:pPr>
        <w:pStyle w:val="Brdtekst"/>
        <w:tabs>
          <w:tab w:val="left" w:pos="851"/>
        </w:tabs>
        <w:ind w:left="851"/>
        <w:rPr>
          <w:sz w:val="24"/>
          <w:szCs w:val="24"/>
          <w:lang w:val="da-DK"/>
        </w:rPr>
      </w:pPr>
      <w:r w:rsidRPr="00071814">
        <w:rPr>
          <w:sz w:val="24"/>
          <w:szCs w:val="24"/>
          <w:lang w:val="da-DK"/>
        </w:rPr>
        <w:t>De filmovertrukne tabletter kan administreres umiddelbart efter, at tabletten er opløst i cirka 100 ml vand, appelsinjuice eller druesaft.</w:t>
      </w:r>
    </w:p>
    <w:p w:rsidR="007564F4" w:rsidRDefault="007564F4" w:rsidP="007564F4">
      <w:pPr>
        <w:rPr>
          <w:sz w:val="24"/>
          <w:szCs w:val="24"/>
        </w:rPr>
      </w:pPr>
      <w:r>
        <w:rPr>
          <w:sz w:val="24"/>
          <w:szCs w:val="24"/>
        </w:rPr>
        <w:br w:type="page"/>
      </w:r>
    </w:p>
    <w:p w:rsidR="007564F4" w:rsidRPr="00071814" w:rsidRDefault="007564F4" w:rsidP="007564F4">
      <w:pPr>
        <w:tabs>
          <w:tab w:val="left" w:pos="851"/>
        </w:tabs>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4.3</w:t>
      </w:r>
      <w:r w:rsidRPr="00071814">
        <w:rPr>
          <w:b/>
          <w:sz w:val="24"/>
          <w:szCs w:val="24"/>
        </w:rPr>
        <w:tab/>
        <w:t>Kontraindikationer</w:t>
      </w:r>
    </w:p>
    <w:p w:rsidR="007564F4" w:rsidRPr="007017AE" w:rsidRDefault="007564F4" w:rsidP="007564F4">
      <w:pPr>
        <w:pStyle w:val="Brdtekst"/>
        <w:tabs>
          <w:tab w:val="left" w:pos="851"/>
        </w:tabs>
        <w:ind w:left="851"/>
        <w:rPr>
          <w:sz w:val="24"/>
          <w:szCs w:val="24"/>
          <w:lang w:val="da-DK"/>
        </w:rPr>
      </w:pPr>
      <w:r w:rsidRPr="007017AE">
        <w:rPr>
          <w:sz w:val="24"/>
          <w:szCs w:val="24"/>
          <w:lang w:val="da-DK"/>
        </w:rPr>
        <w:t xml:space="preserve">Overfølsomhed over for de aktive stoffer eller over for et eller flere af hjælpestofferne anført i pkt. 6.1. </w:t>
      </w:r>
    </w:p>
    <w:p w:rsidR="007564F4" w:rsidRPr="007017AE" w:rsidRDefault="007564F4" w:rsidP="007564F4">
      <w:pPr>
        <w:pStyle w:val="Brdtekst"/>
        <w:tabs>
          <w:tab w:val="left" w:pos="851"/>
        </w:tabs>
        <w:ind w:left="851"/>
        <w:rPr>
          <w:sz w:val="24"/>
          <w:szCs w:val="24"/>
          <w:lang w:val="da-DK"/>
        </w:rPr>
      </w:pPr>
      <w:r w:rsidRPr="007017AE">
        <w:rPr>
          <w:sz w:val="24"/>
          <w:szCs w:val="24"/>
          <w:lang w:val="da-DK"/>
        </w:rPr>
        <w:t>Profylaktisk brug af emtricitabin/tenofovirdisoproxil før eksponering hos personer med ukendt eller positiv HIV 1-status.</w:t>
      </w:r>
    </w:p>
    <w:p w:rsidR="007564F4" w:rsidRPr="00071814" w:rsidRDefault="007564F4" w:rsidP="007564F4">
      <w:pPr>
        <w:tabs>
          <w:tab w:val="left" w:pos="851"/>
        </w:tabs>
        <w:ind w:left="851"/>
        <w:rPr>
          <w:sz w:val="24"/>
          <w:szCs w:val="24"/>
        </w:rPr>
      </w:pPr>
    </w:p>
    <w:p w:rsidR="007564F4" w:rsidRPr="00021B0F" w:rsidRDefault="007564F4" w:rsidP="00021B0F">
      <w:pPr>
        <w:tabs>
          <w:tab w:val="left" w:pos="851"/>
        </w:tabs>
        <w:ind w:left="851" w:hanging="851"/>
        <w:rPr>
          <w:b/>
          <w:sz w:val="24"/>
          <w:szCs w:val="24"/>
        </w:rPr>
      </w:pPr>
      <w:r w:rsidRPr="00071814">
        <w:rPr>
          <w:b/>
          <w:sz w:val="24"/>
          <w:szCs w:val="24"/>
        </w:rPr>
        <w:t>4.4</w:t>
      </w:r>
      <w:r w:rsidRPr="00071814">
        <w:rPr>
          <w:b/>
          <w:sz w:val="24"/>
          <w:szCs w:val="24"/>
        </w:rPr>
        <w:tab/>
        <w:t>Særlige advarsler og forsigtighedsregler vedrørende brugen</w:t>
      </w: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Patienter med HIV 1, som indeholder mutationer</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bør undgås hos tidligere antiretroviral-erfarne patienter med HIV 1, som har K65R-mutationen (se pkt. 5.1).</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Generel strategi til forebyggelse af HIV 1-infektion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er ikke altid effektivt med hensyn til at forebygge smitte med HIV 1. Det vides ikke, hvor lang tid der går efter start af behandling med emtricitabin/tenofovirdisoproxil, før den beskyttende virkning opnås.</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bør kun bruges som profylakse før eksponering i forbindelse med en samlet strategi for forebyggelse af HIV 1-infektion, herunder brug af andre HIV 1-forebyggende foranstaltninger (f.eks. konsekvent og korrekt brug af kondom, viden om HIV 1-status, regelmæssig test for andre seksuelt overførte infektioner).</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Risiko for resiste</w:t>
      </w:r>
      <w:r>
        <w:rPr>
          <w:i/>
          <w:sz w:val="24"/>
          <w:szCs w:val="24"/>
        </w:rPr>
        <w:t>ns med uopdaget HIV 1-infektion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bør kun anvendes til at mindske risikoen for at få HIV 1 hos personer, der bekræftes at være HIV-negative (se pkt. 4.3). De skal testes for stadig at være HIV-negative med hyppige mellemrum (f.eks. mindst hver 3. måned) ved hjælp af en kombineret antigen/antistof-test, så længe de tager emtricitabin/tenofovirdisoproxil som profylakse før eksponering.</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udgør ikke i sig selv et komplet regime til behandling af HIV 1, og der er fremkommet HIV 1-resistente mutationer hos personer med uopdaget HIV 1-infektion, der kun tager emtricitabin/tenofovirdisoproxil.</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Hvis der findes kliniske symptomer svarende til akut virusinfektion, og der er mistanke om nylige (&lt; 1 måned) eksponeringer for HIV 1, bør brugen af emtricitabin/tenofovirdisoproxil udsættes mindst en måned og HIV 1- status bekræftes før påbegyndelse af emtricitabin/tenofovirdisoproxil som profylakse før eksponering.</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Pr>
          <w:i/>
          <w:sz w:val="24"/>
          <w:szCs w:val="24"/>
        </w:rPr>
        <w:t>Betydning af adhærens</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Der er en stærk korrelation mellem emtricitabin/tenofovirdisoproxil-behandlingens effektivitet med hensyn til at reducere risikoen for at få HIV 1 og adhærens påvist ved målbare lægemiddelniveauer i blodet (se pkt. 5.1). Personer uden HIV 1-infektion skal med jævne mellemrum tilrådes at overholde den anbefalede daglige doserinsplan for Emtricitabine/Tenofovir disoproxil "Accordpharma" meget nøje.</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Patienter med hepatitis B- eller C-virusinfektion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HIV 1-inficerede patienter med kronisk hepatitis B eller C behandlet med antiretroviral behandling har øget risiko for alvorlige og potentielt dødelige hepatiske bivirkninger. Læger skal henholde sig til gældende retningslinjer for HIV-behandling ved håndtering af HIV-infektion hos patienter med samtidig infektion med hepatitis B-virus (HBV) eller hepatitis C-virus (HCV).</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Sikkerheden og virkningen af emtricitabin/tenofovirdisoproxil som proylakse før eksponering hos patienter med HBV- eller HCV-infektion er ikke fastlagt.</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sz w:val="24"/>
          <w:szCs w:val="24"/>
        </w:rPr>
      </w:pPr>
      <w:r w:rsidRPr="00D23352">
        <w:rPr>
          <w:sz w:val="24"/>
          <w:szCs w:val="24"/>
        </w:rPr>
        <w:t xml:space="preserve">I tilfælde af samtidig antiviral behandling for hepatitis B eller C henvises også til de relevante produktresuméer for disse lægemidler. Se også under </w:t>
      </w:r>
      <w:r w:rsidRPr="00D23352">
        <w:rPr>
          <w:i/>
          <w:sz w:val="24"/>
          <w:szCs w:val="24"/>
        </w:rPr>
        <w:t xml:space="preserve">Brug med ledipasvir og sofosbuvir eller sofosbuvir og velpatasvir </w:t>
      </w:r>
      <w:r w:rsidRPr="00D23352">
        <w:rPr>
          <w:sz w:val="24"/>
          <w:szCs w:val="24"/>
        </w:rPr>
        <w:t>nedenfor.</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Tenofovirdisoproxil er indiceret til behandling af HBV, og emtricitabin har udvist aktivitet over for HBV i farmakodynamiske studier, men emtricitabin/tenofovirdisoproxils sikkerhed og virkning er ikke blevet specifikt fastslået hos patienter med kronisk HBV-infektion.</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Seponering af emtricitabin/tenofovirdisoproxil hos patienter, der er inficeret med HBV, kan være forbundet med svær, akut forværring af hepatitis. Patienter, som er inficeret med HBV, og som seponerer emtricitabin/tenofovirdisoproxil, bør monitoreres nøje med både klinisk og laboratoriemæssig opfølgning i flere måneder, efter at behandlingen er stoppet. Hvis det er relevant, kan genoptagelse af hepatitis B-behandling være berettiget. Hos patienter med fremskreden leversygdom eller cirrose, frarådes seponering, da forværring af hepatitis efter behandlingen kan føre til hepatisk dekompensation.</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Leversygdom</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Emtricitabin/tenofovirdisoproxils sikkerhed og virkning er ikke blevet fastslået hos patienter med signifikante underliggende leversygdomme. Farmakokinetikken af tenofovir er blevet undersøgt hos patienter med nedsat leverfunktion, og dosisjustering er ikke nødvendig. Farmakokinetikken af emtricitabin er ikke undersøgt hos patienter med nedsat leverfunktion. På grund af minimal hepatisk metabolisme og den renale eliminationsvej for emtricitabin er det usandsynligt, at dosisjustering af emtricitabin/tenofovirdisoproxil er nødvendig hos patienter med nedsat leverfunktion (se pkt. 4.2 og 5.2).</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HIV 1-inficerede patienter med eksisterende leverdysfunktion, herunder kronisk aktiv hepatitis, har en øget hyppighed af leverfunktionsabnormiteter under antiretroviral kombinationsbehandling (CART) og bør monitoreres i henhold til gældende praksis. Hvis der er tegn på forværret leversygdom hos sådanne patienter, skal det overvejes at afbryde eller seponere behandlingen.</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Indvirkning på nyrer og knogler hos voksne</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Indvirkning på nyrerne</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 og tenofovir udskilles primært renalt ved en kombination af glomerulær filtrering og aktiv tubulær sekretion. Nyresvigt, nedsat nyrefunktion, forhøjet kreatinin, hypofosfatæmi og proksimal tubulopati (herunder Fanconis syndrom) er blevet rapporteret ved brug af tenofovirdisoproxil (se pkt. 4.8).</w:t>
      </w:r>
    </w:p>
    <w:p w:rsidR="007564F4" w:rsidRPr="00D23352" w:rsidRDefault="007564F4" w:rsidP="007564F4">
      <w:pPr>
        <w:pStyle w:val="Brdtekst"/>
        <w:tabs>
          <w:tab w:val="left" w:pos="851"/>
        </w:tabs>
        <w:ind w:left="851"/>
        <w:rPr>
          <w:sz w:val="24"/>
          <w:szCs w:val="24"/>
          <w:lang w:val="da-DK"/>
        </w:rPr>
      </w:pPr>
    </w:p>
    <w:p w:rsidR="007564F4" w:rsidRPr="00D23352" w:rsidRDefault="007564F4" w:rsidP="00B0027B">
      <w:pPr>
        <w:keepNext/>
        <w:tabs>
          <w:tab w:val="left" w:pos="851"/>
        </w:tabs>
        <w:ind w:left="851"/>
        <w:rPr>
          <w:i/>
          <w:sz w:val="24"/>
          <w:szCs w:val="24"/>
        </w:rPr>
      </w:pPr>
      <w:r w:rsidRPr="00D23352">
        <w:rPr>
          <w:i/>
          <w:sz w:val="24"/>
          <w:szCs w:val="24"/>
        </w:rPr>
        <w:t>Monitorering af nyrefunktionen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Inden påbegyndelse af emtricitabin/tenofovirdisoproxil til behandling af HIV 1-infektion eller til brug som profylakse før eksponering anbefales det at beregne kreatininclearance hos alle personer.</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 xml:space="preserve">Hos personer uden risikofaktorer for nyresygdom anbefales det, at nyrefunktionen (kreatininclearance og serumfosfat) monitoreres efter 2-4 ugers behandling, efter 3 </w:t>
      </w:r>
      <w:r w:rsidRPr="00D23352">
        <w:rPr>
          <w:sz w:val="24"/>
          <w:szCs w:val="24"/>
          <w:lang w:val="da-DK"/>
        </w:rPr>
        <w:lastRenderedPageBreak/>
        <w:t>måneder og derefter hver 3-6 måned.</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sz w:val="24"/>
          <w:szCs w:val="24"/>
        </w:rPr>
      </w:pPr>
      <w:r w:rsidRPr="00D23352">
        <w:rPr>
          <w:sz w:val="24"/>
          <w:szCs w:val="24"/>
        </w:rPr>
        <w:t>Hos personer med risikofaktorer for nyresygdom skal nyrefunktionen monitoreres hyppigere.</w:t>
      </w:r>
    </w:p>
    <w:p w:rsidR="007564F4" w:rsidRPr="00D23352" w:rsidRDefault="007564F4" w:rsidP="007564F4">
      <w:pPr>
        <w:tabs>
          <w:tab w:val="left" w:pos="851"/>
        </w:tabs>
        <w:ind w:left="851"/>
        <w:rPr>
          <w:sz w:val="24"/>
          <w:szCs w:val="24"/>
        </w:rPr>
      </w:pPr>
    </w:p>
    <w:p w:rsidR="007564F4" w:rsidRPr="00D23352" w:rsidRDefault="007564F4" w:rsidP="007564F4">
      <w:pPr>
        <w:tabs>
          <w:tab w:val="left" w:pos="851"/>
        </w:tabs>
        <w:ind w:left="851"/>
        <w:rPr>
          <w:sz w:val="24"/>
          <w:szCs w:val="24"/>
        </w:rPr>
      </w:pPr>
      <w:r w:rsidRPr="00D23352">
        <w:rPr>
          <w:sz w:val="24"/>
          <w:szCs w:val="24"/>
        </w:rPr>
        <w:t xml:space="preserve">Se også under </w:t>
      </w:r>
      <w:r w:rsidRPr="00D23352">
        <w:rPr>
          <w:i/>
          <w:sz w:val="24"/>
          <w:szCs w:val="24"/>
          <w:u w:val="single"/>
        </w:rPr>
        <w:t>Samtidig administration af andre lægemidler</w:t>
      </w:r>
      <w:r w:rsidRPr="00D23352">
        <w:rPr>
          <w:i/>
          <w:sz w:val="24"/>
          <w:szCs w:val="24"/>
        </w:rPr>
        <w:t xml:space="preserve"> </w:t>
      </w:r>
      <w:r w:rsidRPr="00D23352">
        <w:rPr>
          <w:sz w:val="24"/>
          <w:szCs w:val="24"/>
        </w:rPr>
        <w:t>nedenfor.</w:t>
      </w:r>
    </w:p>
    <w:p w:rsidR="007564F4" w:rsidRPr="00D23352" w:rsidRDefault="007564F4" w:rsidP="007564F4">
      <w:pPr>
        <w:tabs>
          <w:tab w:val="left" w:pos="851"/>
        </w:tabs>
        <w:ind w:left="851"/>
        <w:rPr>
          <w:sz w:val="24"/>
          <w:szCs w:val="24"/>
        </w:rPr>
      </w:pPr>
    </w:p>
    <w:p w:rsidR="007564F4" w:rsidRPr="00D23352" w:rsidRDefault="007564F4" w:rsidP="007564F4">
      <w:pPr>
        <w:tabs>
          <w:tab w:val="left" w:pos="851"/>
        </w:tabs>
        <w:ind w:left="851"/>
        <w:rPr>
          <w:i/>
          <w:sz w:val="24"/>
          <w:szCs w:val="24"/>
        </w:rPr>
      </w:pPr>
      <w:r w:rsidRPr="00D23352">
        <w:rPr>
          <w:i/>
          <w:sz w:val="24"/>
          <w:szCs w:val="24"/>
        </w:rPr>
        <w:t>Håndtering af nedsat nyrefunktion hos HIV 1-inficerede patienter</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Hvis serumphosphat er &lt; 1,5 mg/dl (0,48 mmol/l), eller kreatininclearance er reduceret til &lt; 50 ml/min hos patienter, der får emtricitabin/tenofovirdisoproxil, bør nyrefunktionen revurderes inden for en uge, herunder måling af blodglucose, blodkalium og uringlucose (se pkt. 4.8, proksimal tubulopati). Det bør overvejes at afbryde behandlingen med emtricitabin/tenofovirdisoproxil hos patienter, hvor kreatininclearance falder til &lt; 50 ml/min eller serumphosphat til &lt; 1,0 mg/dl (0,32 mmol/l). Det bør også overvejes at afbryde behandlingen med emtricitabin/tenofovirdisoproxil i tilfælde af progredierende fald i nyrefunktionen, når ingen anden årsag er blevet identificeret.</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renale sikkerhed er kun blevet undersøgt i meget begrænset omfang hos HIV 1-inficerede patienter med nedsat nyrefunktion (kreatininclearance &lt; 80 ml/min). Det anbefales at justere doseringsintervallet hos HIV 1-inficerede patienter med kreatininclearance 30−49 ml/min (se pkt. 4.2). Begrænsede data fra kliniske studier tyder på, at det forlængede doseringsinterval ikke er optimalt og kunne resultere i øget toksicitet og muligvis utilstrækkeligt respons. I et lille klinisk studie havde en undergruppe af patienter med kreatininclearance mellem 50 og 60 ml/min, som fik tenofovirdisoproxil i kombination med emtricitabin en gang i døgnet, 2−4 gange højere eksponering for tenofovir og forværring af nyrefunktionen (se pkt. 5.2). Det er derfor nødvendigt nøje at vurdere fordele og risici, når emtricitabin/tenofovirdisoproxil anvendes til patienter med kreatininclearance &lt; 60 ml/min, og nyrefunktionen bør monitoreres omhyggeligt. Det kliniske respons på behandlingen bør endvidere monitoreres nøje hos patienter, der får emtricitabin/tenofovirdisoproxil med et forlænget doseringsinterval. Emtricitabin/tenofovirdisoproxil anbefales ikke til patienter med svært nedsat nyrefunktion (kreatininclearance &lt; 30 ml/min) og hos patienter, som skal have hæmodialyse, da de nødvendige dosisreduktioner ikke kan opnås med kombinationstabletten (se pkt. 4.2 og 5.2).</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Håndtering af nedsat nyrefunktion ved profylakse før eksponering</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er ikke blevet undersøgt hos personer uden HIV 1-infektion med kreatininclearance &lt; 60 ml/min og anbefales derfor ikke til denne population. Hvis serumphosphat er &lt; 1,5 mg/dl (0,48 mmol/l) eller kreatininclearance reduceret til &lt; 60 ml/min hos en person, der får emtricitabin/ tenofovirdisoproxil som profylakse før eksponering, skal nyrefunktionen revurderes inden for en uge, herunder måling af blodglucose, blodkalium og uringlucose (se pkt. 4.8, proksimal tubulopati). Det bør overvejes at afbryde brugen af emtricitabin/tenofovirdisoproxil hos personer, hvor kreatininclearance er faldet til &lt; 60 ml/min eller serumphosphat til &lt; 1,0 mg/dl (0,32 mmol/l), ligesom det bør overvejes at afbryde behandlingen i tilfælde af progredierende fald i nyrefunktionen, når ingen anden årsag er blevet identificeret.</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Indvirkning på knogler</w:t>
      </w:r>
    </w:p>
    <w:p w:rsidR="001755DF" w:rsidRDefault="001755DF" w:rsidP="001755DF">
      <w:pPr>
        <w:autoSpaceDE w:val="0"/>
        <w:autoSpaceDN w:val="0"/>
        <w:adjustRightInd w:val="0"/>
        <w:ind w:left="851"/>
        <w:rPr>
          <w:color w:val="000000"/>
          <w:sz w:val="24"/>
          <w:szCs w:val="24"/>
        </w:rPr>
      </w:pPr>
      <w:r>
        <w:rPr>
          <w:color w:val="000000"/>
          <w:sz w:val="24"/>
          <w:szCs w:val="24"/>
        </w:rPr>
        <w:t xml:space="preserve">Knogleabnormiteter såsom osteomalaci, der kan manifestere sig som vedvarende eller forværrede knoglesmerter, og som i sjældne tilfælde kan medvirke til frakturer, kan </w:t>
      </w:r>
      <w:r>
        <w:rPr>
          <w:color w:val="000000"/>
          <w:sz w:val="24"/>
          <w:szCs w:val="24"/>
        </w:rPr>
        <w:lastRenderedPageBreak/>
        <w:t xml:space="preserve">forekomme i forbindelse med proksimal renal tubulopati induceret af tenofovirdisoproxil (se pkt. 4.8). </w:t>
      </w:r>
    </w:p>
    <w:p w:rsidR="00021B0F" w:rsidRDefault="00021B0F" w:rsidP="001755DF">
      <w:pPr>
        <w:tabs>
          <w:tab w:val="left" w:pos="851"/>
        </w:tabs>
        <w:ind w:left="851"/>
        <w:rPr>
          <w:i/>
          <w:sz w:val="24"/>
          <w:szCs w:val="24"/>
        </w:rPr>
      </w:pPr>
    </w:p>
    <w:p w:rsidR="004B15A2" w:rsidRDefault="004B15A2" w:rsidP="004B15A2">
      <w:pPr>
        <w:ind w:left="851"/>
        <w:rPr>
          <w:color w:val="000000"/>
          <w:sz w:val="24"/>
          <w:szCs w:val="24"/>
        </w:rPr>
      </w:pPr>
      <w:r w:rsidRPr="00467589">
        <w:rPr>
          <w:color w:val="000000"/>
          <w:sz w:val="24"/>
          <w:szCs w:val="24"/>
        </w:rPr>
        <w:t>Hvis der er formodning om knogleabnormiteter, eller disse påvises, skal relevant konsultation foretages.</w:t>
      </w:r>
    </w:p>
    <w:p w:rsidR="004B15A2" w:rsidRPr="00467589" w:rsidRDefault="004B15A2" w:rsidP="004B15A2">
      <w:pPr>
        <w:ind w:left="851"/>
        <w:rPr>
          <w:color w:val="000000"/>
          <w:sz w:val="24"/>
          <w:szCs w:val="24"/>
        </w:rPr>
      </w:pPr>
    </w:p>
    <w:p w:rsidR="004B15A2" w:rsidRPr="004B15A2" w:rsidRDefault="004B15A2" w:rsidP="004B15A2">
      <w:pPr>
        <w:autoSpaceDE w:val="0"/>
        <w:autoSpaceDN w:val="0"/>
        <w:adjustRightInd w:val="0"/>
        <w:ind w:left="851"/>
        <w:rPr>
          <w:i/>
          <w:iCs/>
          <w:sz w:val="24"/>
          <w:szCs w:val="22"/>
        </w:rPr>
      </w:pPr>
      <w:r w:rsidRPr="004B15A2">
        <w:rPr>
          <w:i/>
          <w:iCs/>
          <w:sz w:val="24"/>
          <w:szCs w:val="22"/>
        </w:rPr>
        <w:t>Behandling af HIV-1-infektion</w:t>
      </w:r>
    </w:p>
    <w:p w:rsidR="004B15A2" w:rsidRPr="004B15A2" w:rsidRDefault="004B15A2" w:rsidP="004B15A2">
      <w:pPr>
        <w:pStyle w:val="Brdtekst"/>
        <w:tabs>
          <w:tab w:val="left" w:pos="851"/>
        </w:tabs>
        <w:ind w:left="851"/>
        <w:rPr>
          <w:sz w:val="24"/>
          <w:lang w:val="da-DK"/>
        </w:rPr>
      </w:pPr>
      <w:r w:rsidRPr="004B15A2">
        <w:rPr>
          <w:sz w:val="24"/>
          <w:lang w:val="sv-SE"/>
        </w:rPr>
        <w:t xml:space="preserve">Fald i knoglemineraltætheden (BMD) er blevet observeret med tenofovirdisoproxil i randomiserede kontrollerede, kliniske forsøg med en varighed på op til 144 uger hos hiv- eller HBV-inficerede patienter. </w:t>
      </w:r>
      <w:r w:rsidRPr="004B15A2">
        <w:rPr>
          <w:sz w:val="24"/>
          <w:lang w:val="da-DK"/>
        </w:rPr>
        <w:t>Disse fald i BMD blev generelt forbedret efter behandlingsophør.</w:t>
      </w:r>
    </w:p>
    <w:p w:rsidR="001755DF" w:rsidRPr="00D23352" w:rsidRDefault="001755DF" w:rsidP="001755DF">
      <w:pPr>
        <w:pStyle w:val="Brdtekst"/>
        <w:tabs>
          <w:tab w:val="left" w:pos="851"/>
        </w:tabs>
        <w:ind w:left="851"/>
        <w:rPr>
          <w:sz w:val="24"/>
          <w:szCs w:val="24"/>
          <w:lang w:val="da-DK"/>
        </w:rPr>
      </w:pPr>
    </w:p>
    <w:p w:rsidR="004B15A2" w:rsidRPr="00467589" w:rsidRDefault="004B15A2" w:rsidP="004B15A2">
      <w:pPr>
        <w:pStyle w:val="Brdtekst"/>
        <w:tabs>
          <w:tab w:val="left" w:pos="851"/>
        </w:tabs>
        <w:ind w:left="851"/>
        <w:rPr>
          <w:sz w:val="24"/>
          <w:szCs w:val="24"/>
          <w:lang w:val="da-DK"/>
        </w:rPr>
      </w:pPr>
      <w:r w:rsidRPr="00467589">
        <w:rPr>
          <w:sz w:val="24"/>
          <w:szCs w:val="24"/>
          <w:lang w:val="da-DK"/>
        </w:rPr>
        <w:t xml:space="preserve">I andre studier (prospektive og tværgående) sås de mest udtalte fald i BMD hos patienter, som fik tenofovirdisoproxil som del af et regime, der indeholdt en boostet proteasehæmmer. I betragtning af knogleabnormiteter forbundet med tenofovirdisoproxil og begrænsningerne af langtidsdata vedrørende tenofovirdisoproxils virkning på knoglesundhed og frakturrisiko, bør </w:t>
      </w:r>
      <w:r w:rsidRPr="00A92787">
        <w:rPr>
          <w:lang w:val="da-DK"/>
        </w:rPr>
        <w:t>alternative</w:t>
      </w:r>
      <w:r>
        <w:rPr>
          <w:lang w:val="da-DK"/>
        </w:rPr>
        <w:t xml:space="preserve"> </w:t>
      </w:r>
      <w:r w:rsidRPr="00467589">
        <w:rPr>
          <w:sz w:val="24"/>
          <w:szCs w:val="24"/>
          <w:lang w:val="da-DK"/>
        </w:rPr>
        <w:t>behandlingsregimer generelt overvejes til patienter med osteoporose</w:t>
      </w:r>
      <w:r>
        <w:rPr>
          <w:sz w:val="24"/>
          <w:szCs w:val="24"/>
          <w:lang w:val="da-DK"/>
        </w:rPr>
        <w:t>eller tidigare</w:t>
      </w:r>
      <w:r w:rsidRPr="00467589">
        <w:rPr>
          <w:sz w:val="24"/>
          <w:szCs w:val="24"/>
          <w:lang w:val="da-DK"/>
        </w:rPr>
        <w:t xml:space="preserve"> knoglebrud.</w:t>
      </w:r>
    </w:p>
    <w:p w:rsidR="007564F4" w:rsidRPr="00F46E38" w:rsidRDefault="007564F4" w:rsidP="004B15A2">
      <w:pPr>
        <w:pStyle w:val="Brdtekst"/>
        <w:tabs>
          <w:tab w:val="left" w:pos="851"/>
        </w:tabs>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Profylakse før eksponering</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 xml:space="preserve">I kliniske studier med personer uden HIV 1-infektion blev der observeret små fald i BMD. I et studie med 498 mænd varierede middelændringerne i BMD fra </w:t>
      </w:r>
      <w:r w:rsidRPr="00D23352">
        <w:rPr>
          <w:i/>
          <w:sz w:val="24"/>
          <w:szCs w:val="24"/>
          <w:lang w:val="da-DK"/>
        </w:rPr>
        <w:t xml:space="preserve">baseline </w:t>
      </w:r>
      <w:r w:rsidRPr="00D23352">
        <w:rPr>
          <w:sz w:val="24"/>
          <w:szCs w:val="24"/>
          <w:lang w:val="da-DK"/>
        </w:rPr>
        <w:t>til uge 24 fra -0,4</w:t>
      </w:r>
      <w:r>
        <w:rPr>
          <w:sz w:val="24"/>
          <w:szCs w:val="24"/>
          <w:lang w:val="da-DK"/>
        </w:rPr>
        <w:t xml:space="preserve"> %</w:t>
      </w:r>
      <w:r w:rsidRPr="00D23352">
        <w:rPr>
          <w:sz w:val="24"/>
          <w:szCs w:val="24"/>
          <w:lang w:val="da-DK"/>
        </w:rPr>
        <w:t xml:space="preserve"> til -1,0</w:t>
      </w:r>
      <w:r>
        <w:rPr>
          <w:sz w:val="24"/>
          <w:szCs w:val="24"/>
          <w:lang w:val="da-DK"/>
        </w:rPr>
        <w:t xml:space="preserve"> %</w:t>
      </w:r>
      <w:r w:rsidRPr="00D23352">
        <w:rPr>
          <w:sz w:val="24"/>
          <w:szCs w:val="24"/>
          <w:lang w:val="da-DK"/>
        </w:rPr>
        <w:t xml:space="preserve"> i hoften, rygsøjlen, lårbenshalsen og trochanter hos mænd, der fik daglig profylakse med emtricitabin/tenofovirdisoproxil 200/245 mg filmovertrukne tabletter (n = 247) </w:t>
      </w:r>
      <w:r w:rsidRPr="00D23352">
        <w:rPr>
          <w:i/>
          <w:sz w:val="24"/>
          <w:szCs w:val="24"/>
          <w:lang w:val="da-DK"/>
        </w:rPr>
        <w:t xml:space="preserve">versus </w:t>
      </w:r>
      <w:r w:rsidRPr="00D23352">
        <w:rPr>
          <w:sz w:val="24"/>
          <w:szCs w:val="24"/>
          <w:lang w:val="da-DK"/>
        </w:rPr>
        <w:t>placebo (n = 251).</w:t>
      </w:r>
    </w:p>
    <w:p w:rsidR="007564F4" w:rsidRPr="00D23352" w:rsidRDefault="007564F4" w:rsidP="007564F4">
      <w:pPr>
        <w:pStyle w:val="Brdtekst"/>
        <w:tabs>
          <w:tab w:val="left" w:pos="851"/>
        </w:tabs>
        <w:ind w:left="851"/>
        <w:rPr>
          <w:sz w:val="24"/>
          <w:szCs w:val="24"/>
          <w:lang w:val="da-DK"/>
        </w:rPr>
      </w:pPr>
    </w:p>
    <w:p w:rsidR="004B15A2" w:rsidRPr="00467589" w:rsidRDefault="004B15A2" w:rsidP="004B15A2">
      <w:pPr>
        <w:pStyle w:val="Brdtekst"/>
        <w:tabs>
          <w:tab w:val="left" w:pos="851"/>
        </w:tabs>
        <w:ind w:left="851"/>
        <w:rPr>
          <w:sz w:val="24"/>
          <w:szCs w:val="24"/>
          <w:lang w:val="da-DK"/>
        </w:rPr>
      </w:pPr>
      <w:r w:rsidRPr="00467589">
        <w:rPr>
          <w:sz w:val="24"/>
          <w:szCs w:val="24"/>
          <w:u w:val="single"/>
          <w:lang w:val="da-DK"/>
        </w:rPr>
        <w:t>Indvirkning på nyrer og knogler hos den pædiatriske population</w:t>
      </w:r>
    </w:p>
    <w:p w:rsidR="004B15A2" w:rsidRPr="00467589" w:rsidRDefault="004B15A2" w:rsidP="004B15A2">
      <w:pPr>
        <w:pStyle w:val="Brdtekst"/>
        <w:tabs>
          <w:tab w:val="left" w:pos="851"/>
        </w:tabs>
        <w:ind w:left="851"/>
        <w:rPr>
          <w:sz w:val="24"/>
          <w:szCs w:val="24"/>
          <w:lang w:val="da-DK"/>
        </w:rPr>
      </w:pPr>
      <w:r w:rsidRPr="00467589">
        <w:rPr>
          <w:sz w:val="24"/>
          <w:szCs w:val="24"/>
          <w:lang w:val="da-DK"/>
        </w:rPr>
        <w:t xml:space="preserve">Der er usikkerhed om langtidsvirkningen af tenofovirdisoproxils toksiske virkninger på nyrer og knogler under behandling af </w:t>
      </w:r>
      <w:r w:rsidRPr="00467589">
        <w:rPr>
          <w:spacing w:val="-2"/>
          <w:sz w:val="24"/>
          <w:szCs w:val="24"/>
          <w:lang w:val="da-DK"/>
        </w:rPr>
        <w:t xml:space="preserve">HIV </w:t>
      </w:r>
      <w:r w:rsidRPr="00467589">
        <w:rPr>
          <w:sz w:val="24"/>
          <w:szCs w:val="24"/>
          <w:lang w:val="da-DK"/>
        </w:rPr>
        <w:t xml:space="preserve">1-infektion hos den pædiatriske population og langtidsvirkningen af emtricitabin/tenofovirdisoproxil på nyrer og knogler, når det anvendes til profylakse før eksponering hos ikke-inficerede unge (se pkt. 5.1). Reversibiliteten af nefrotoksicitet efter afbrydelse af tenofovirdisoproxil i behandlingen af </w:t>
      </w:r>
      <w:r w:rsidRPr="00467589">
        <w:rPr>
          <w:spacing w:val="-2"/>
          <w:sz w:val="24"/>
          <w:szCs w:val="24"/>
          <w:lang w:val="da-DK"/>
        </w:rPr>
        <w:t xml:space="preserve">HIV </w:t>
      </w:r>
      <w:r w:rsidRPr="00467589">
        <w:rPr>
          <w:sz w:val="24"/>
          <w:szCs w:val="24"/>
          <w:lang w:val="da-DK"/>
        </w:rPr>
        <w:t>1, eller efter afbrydelse af emtricitabin/tenofovirdisoproxil ved profylakse før eksponering, kan desuden ikke fastlægges fuldt</w:t>
      </w:r>
      <w:r w:rsidRPr="00467589">
        <w:rPr>
          <w:spacing w:val="-3"/>
          <w:sz w:val="24"/>
          <w:szCs w:val="24"/>
          <w:lang w:val="da-DK"/>
        </w:rPr>
        <w:t xml:space="preserve"> </w:t>
      </w:r>
      <w:r w:rsidRPr="00467589">
        <w:rPr>
          <w:sz w:val="24"/>
          <w:szCs w:val="24"/>
          <w:lang w:val="da-DK"/>
        </w:rPr>
        <w:t>ud.</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Multidisciplinær tilgang anbefales for at afveje benefit/risk-forholdet ved brugen af emtricitabin/ tenofovirdisoproxil til behandling af HIV 1-infektion eller profylakse før eksponering, for at kunne træffe afgørelse om relevant monitorering under behandlingen (herunder beslutning om seponering) og for at overveje behovet for supplerende behandling hos den enkelte patient.</w:t>
      </w:r>
    </w:p>
    <w:p w:rsidR="001755DF" w:rsidRDefault="001755DF" w:rsidP="004B15A2">
      <w:pPr>
        <w:pStyle w:val="Brdtekst"/>
        <w:tabs>
          <w:tab w:val="left" w:pos="851"/>
        </w:tabs>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Personer bør genevalueres ved hvert besøg for at bestemme, om de har en vedvarende høj risiko for HIV 1-infektion, når de anvender emtricitabin/tenofovirdisoproxil til profylakse før eksponering. Risikoen for HIV 1-infektion bør afvejes mod muligheden for påvirkning af nyrer og knogler ved langtidsbehandling med emtricitabin/tenofovirdisoproxil.</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Indvirkning på nyrerne</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Renale bivirkninger svarende til proksimal renal tubulopati er blevet rapporteret hos HIV 1-inficerede pædiatriske patienter i alderen 2 til &lt; 12 år i det kliniske studie GS-US-104-0352 (se pkt. 4.8 og 5.1).</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lastRenderedPageBreak/>
        <w:t>Monitorering af nyrefunktionen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Nyrefunktionen (kreatininclearance og serumphosphat) skal evalueres før der startes på emtricitabin/tenofovirdisoproxil til behandling af HIV 1 eller til profylakse før eksponering, og den bør monitoreres under brugen på samme måde som hos voksne (se ovenfor).</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Håndtering af nyrefunktion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Hvis serumphosphat bekræftes at være &lt; 3,0 mg/dl (0,96 mmol/l) hos en pædiatrisk patient, der får emtricitabin/tenofovirdisoproxil, skal nyrefunktionen revurderes inden for en uge, herunder måling af blodglucose, blodkalium og uringlucose (se pkt. 4.8, proksimal tubulopati). Hvis nyreabnormiteter mistænkes eller påvises, bør der tages kontakt til en nefrolog med henblik på at overveje, om brugen af emtricitabin/tenofovirdisoproxil skal afbrydes. Afbrydelse af brugen af emtricitabin/tenofovirdisoproxil bør også overvejes i tilfælde af progredierende nedsat nyrefunktion, når ingen anden årsag er blevet påvist.</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Kombinationsbehandling og risiko for nefrotoksicitet</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Der gælder samme anbefalinger som hos voksne (se under samtidig administration af andre lægemidler nedenfor).</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Nedsat nyrefunktion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frarådes hos personer under 18 år med nedsat nyrefunktion (se pkt. 4.2). Emtricitabin/tenofovirdisoproxil bør ikke initieres hos pædiatriske patienter med nedsat nyrefunktion, og emtricitabin/tenofovirdisoproxil bør seponeres hos pædiatriske patienter, der udvikler nedsat nyrefunktion under brugen.</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keepNext/>
        <w:tabs>
          <w:tab w:val="left" w:pos="851"/>
        </w:tabs>
        <w:ind w:left="851"/>
        <w:rPr>
          <w:i/>
          <w:sz w:val="24"/>
          <w:szCs w:val="24"/>
        </w:rPr>
      </w:pPr>
      <w:r w:rsidRPr="00D23352">
        <w:rPr>
          <w:i/>
          <w:sz w:val="24"/>
          <w:szCs w:val="24"/>
        </w:rPr>
        <w:t>Indvirkning på knogler</w:t>
      </w:r>
    </w:p>
    <w:p w:rsidR="00171FF2" w:rsidRPr="00D23352" w:rsidRDefault="00171FF2" w:rsidP="00171FF2">
      <w:pPr>
        <w:pStyle w:val="Brdtekst"/>
        <w:keepNext/>
        <w:tabs>
          <w:tab w:val="left" w:pos="851"/>
        </w:tabs>
        <w:ind w:left="851"/>
        <w:rPr>
          <w:sz w:val="24"/>
          <w:szCs w:val="24"/>
          <w:lang w:val="da-DK"/>
        </w:rPr>
      </w:pPr>
      <w:r w:rsidRPr="00D23352">
        <w:rPr>
          <w:sz w:val="24"/>
          <w:szCs w:val="24"/>
          <w:lang w:val="da-DK"/>
        </w:rPr>
        <w:t>Brug af tenofovirdisoproxil kan forårsage et fald i knoglemineraltæthed (BMD). Indvirkningen af tenofovirdisoproxil-associerede ændringer i BMD på knoglesundheden på langt sigt og på den fremtidige frakturrisiko er</w:t>
      </w:r>
      <w:r>
        <w:rPr>
          <w:sz w:val="24"/>
          <w:szCs w:val="24"/>
          <w:lang w:val="da-DK"/>
        </w:rPr>
        <w:t xml:space="preserve"> uvis</w:t>
      </w:r>
      <w:r w:rsidRPr="00D23352">
        <w:rPr>
          <w:sz w:val="24"/>
          <w:szCs w:val="24"/>
          <w:lang w:val="da-DK"/>
        </w:rPr>
        <w:t xml:space="preserve"> (se pkt.</w:t>
      </w:r>
      <w:r w:rsidRPr="00D23352">
        <w:rPr>
          <w:spacing w:val="-8"/>
          <w:sz w:val="24"/>
          <w:szCs w:val="24"/>
          <w:lang w:val="da-DK"/>
        </w:rPr>
        <w:t xml:space="preserve"> </w:t>
      </w:r>
      <w:r w:rsidRPr="00D23352">
        <w:rPr>
          <w:sz w:val="24"/>
          <w:szCs w:val="24"/>
          <w:lang w:val="da-DK"/>
        </w:rPr>
        <w:t>5.1).</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Hvis knogleabnormiteter mistænkes eller påvises under brugen af emtricitabin/tenofovirdisoproxil hos en pædiatrisk patient, bør der søges råd hos en endokrinolog og/eller en</w:t>
      </w:r>
      <w:r w:rsidRPr="00D23352">
        <w:rPr>
          <w:spacing w:val="-7"/>
          <w:sz w:val="24"/>
          <w:szCs w:val="24"/>
          <w:lang w:val="da-DK"/>
        </w:rPr>
        <w:t xml:space="preserve"> </w:t>
      </w:r>
      <w:r w:rsidRPr="00D23352">
        <w:rPr>
          <w:sz w:val="24"/>
          <w:szCs w:val="24"/>
          <w:lang w:val="da-DK"/>
        </w:rPr>
        <w:t>nefrolog.</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Vægt og metaboliske parametre</w:t>
      </w:r>
    </w:p>
    <w:p w:rsidR="007564F4" w:rsidRPr="00D23352" w:rsidRDefault="007564F4" w:rsidP="00C730E8">
      <w:pPr>
        <w:pStyle w:val="Brdtekst"/>
        <w:widowControl/>
        <w:tabs>
          <w:tab w:val="left" w:pos="851"/>
        </w:tabs>
        <w:ind w:left="851"/>
        <w:rPr>
          <w:sz w:val="24"/>
          <w:szCs w:val="24"/>
          <w:lang w:val="da-DK"/>
        </w:rPr>
      </w:pPr>
      <w:r w:rsidRPr="00D23352">
        <w:rPr>
          <w:sz w:val="24"/>
          <w:szCs w:val="24"/>
          <w:lang w:val="da-DK"/>
        </w:rPr>
        <w:t>En stigning i vægt og i niveauet af blodlipider og blodglucose kan forekomme under antiretroviral behandling. Sådanne ændringer kan delvist være knyttet til sygdomskontrol og livsstil. For lipider er der i visse tilfælde evidens for en behandlingsrelateret virkning, mens der for vægtstigning ikke er nogen stærk evidens, som relaterer dette til en bestemt behandling. Med hensyn til monitorering af blodlipider og blodglucose henvises til relevante retningslinjer for HIV-behandling. Lipidforstyrrelser bør behandles i henhold til klinisk praksis.</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i/>
          <w:sz w:val="24"/>
          <w:szCs w:val="24"/>
          <w:lang w:val="da-DK"/>
        </w:rPr>
      </w:pPr>
      <w:r w:rsidRPr="00D23352">
        <w:rPr>
          <w:sz w:val="24"/>
          <w:szCs w:val="24"/>
          <w:u w:val="single"/>
          <w:lang w:val="da-DK"/>
        </w:rPr>
        <w:t xml:space="preserve">Mitokondriel dysfunktion efter eksponering </w:t>
      </w:r>
      <w:r w:rsidRPr="00D23352">
        <w:rPr>
          <w:i/>
          <w:sz w:val="24"/>
          <w:szCs w:val="24"/>
          <w:u w:val="single"/>
          <w:lang w:val="da-DK"/>
        </w:rPr>
        <w:t>in utero</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 xml:space="preserve">Nukleosid-/nukleotid-analoger kan påvirke mitokondriefunktionen i varierende grad; dette er mest udtalt for stavudin, didanosin og zidovudin. Der er rapporteret om mitokondriel dysfunktion hos HIV-negative spædbørn, som har været eksponeret for nukleosidanaloger </w:t>
      </w:r>
      <w:r w:rsidRPr="00D23352">
        <w:rPr>
          <w:i/>
          <w:sz w:val="24"/>
          <w:szCs w:val="24"/>
          <w:lang w:val="da-DK"/>
        </w:rPr>
        <w:t xml:space="preserve">in utero </w:t>
      </w:r>
      <w:r w:rsidRPr="00D23352">
        <w:rPr>
          <w:sz w:val="24"/>
          <w:szCs w:val="24"/>
          <w:lang w:val="da-DK"/>
        </w:rPr>
        <w:t xml:space="preserve">og/eller postnatalt. Det har hovedsageligt drejet sig om behandling med regimer indeholdende zidovudin. De hyppigst rapporterede bivirkninger er hæmatologiske forstyrrelser (anæmi, neutropeni) og metaboliske forstyrrelser (hyperlaktatæmi, hyperlipasæmi). Bivirkningerne har ofte været forbigående. Sent forekommende </w:t>
      </w:r>
      <w:r w:rsidRPr="00D23352">
        <w:rPr>
          <w:sz w:val="24"/>
          <w:szCs w:val="24"/>
          <w:lang w:val="da-DK"/>
        </w:rPr>
        <w:lastRenderedPageBreak/>
        <w:t xml:space="preserve">neurologiske forstyrrelser er i sjældne tilfælde blevet rapporteret (hypertoni, kramper, unormal adfærd). Hvorvidt sådanne neurologiske forstyrrelser er forbigående eller permanente er p.t. ikke kendt. Mitokondriel dysfunktion bør overvejes hos alle børn med svære kliniske symptomer af ukendt ætiologi, især neurologiske symptomer, der har været eksponeret for nukleosid-/nukleotid- analoger </w:t>
      </w:r>
      <w:r w:rsidRPr="00D23352">
        <w:rPr>
          <w:i/>
          <w:sz w:val="24"/>
          <w:szCs w:val="24"/>
          <w:lang w:val="da-DK"/>
        </w:rPr>
        <w:t>in utero</w:t>
      </w:r>
      <w:r w:rsidRPr="00D23352">
        <w:rPr>
          <w:sz w:val="24"/>
          <w:szCs w:val="24"/>
          <w:lang w:val="da-DK"/>
        </w:rPr>
        <w:t>. Disse fund påvirker ikke de aktuelle nationale anbefalinger vedrørende antiretroviral behandling hos gravide med henblik på at undgå vertikal HIV-overførsel.</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Immunreaktiveringssyndrom</w:t>
      </w:r>
    </w:p>
    <w:p w:rsidR="001755DF" w:rsidRPr="00D23352" w:rsidRDefault="001755DF" w:rsidP="001755DF">
      <w:pPr>
        <w:pStyle w:val="Brdtekst"/>
        <w:tabs>
          <w:tab w:val="left" w:pos="851"/>
        </w:tabs>
        <w:ind w:left="851"/>
        <w:rPr>
          <w:sz w:val="24"/>
          <w:szCs w:val="24"/>
          <w:lang w:val="da-DK"/>
        </w:rPr>
      </w:pPr>
      <w:r w:rsidRPr="00D23352">
        <w:rPr>
          <w:sz w:val="24"/>
          <w:szCs w:val="24"/>
          <w:lang w:val="da-DK"/>
        </w:rPr>
        <w:t xml:space="preserve">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D23352">
        <w:rPr>
          <w:i/>
          <w:sz w:val="24"/>
          <w:szCs w:val="24"/>
          <w:lang w:val="da-DK"/>
        </w:rPr>
        <w:t xml:space="preserve">Pneumocystis jirovecii </w:t>
      </w:r>
      <w:r w:rsidRPr="00D23352">
        <w:rPr>
          <w:sz w:val="24"/>
          <w:szCs w:val="24"/>
          <w:lang w:val="da-DK"/>
        </w:rPr>
        <w:t>pneumoni Alle inflammatoriske symptomer bør vurderes og behandling påbegyndes efter behov.</w:t>
      </w:r>
    </w:p>
    <w:p w:rsidR="001755DF" w:rsidRPr="00D23352" w:rsidRDefault="001755DF" w:rsidP="001755DF">
      <w:pPr>
        <w:pStyle w:val="Brdtekst"/>
        <w:tabs>
          <w:tab w:val="left" w:pos="851"/>
        </w:tabs>
        <w:ind w:left="851"/>
        <w:rPr>
          <w:sz w:val="24"/>
          <w:szCs w:val="24"/>
          <w:lang w:val="da-DK"/>
        </w:rPr>
      </w:pPr>
      <w:r w:rsidRPr="00D23352">
        <w:rPr>
          <w:sz w:val="24"/>
          <w:szCs w:val="24"/>
          <w:lang w:val="da-DK"/>
        </w:rPr>
        <w:t>Autoimmune lidelser (såsom Graves sygdom</w:t>
      </w:r>
      <w:r>
        <w:rPr>
          <w:sz w:val="24"/>
          <w:szCs w:val="24"/>
          <w:lang w:val="da-DK"/>
        </w:rPr>
        <w:t xml:space="preserve"> </w:t>
      </w:r>
      <w:r w:rsidRPr="007A666A">
        <w:rPr>
          <w:color w:val="000000"/>
          <w:sz w:val="24"/>
          <w:szCs w:val="24"/>
          <w:lang w:val="da-DK"/>
        </w:rPr>
        <w:t>og autoimmun hepatitis</w:t>
      </w:r>
      <w:r w:rsidRPr="00D23352">
        <w:rPr>
          <w:sz w:val="24"/>
          <w:szCs w:val="24"/>
          <w:lang w:val="da-DK"/>
        </w:rPr>
        <w:t>) er også rapporteret at forekomme i forbindelse med immunreaktivering. Tiden til udbrud er mere variabel og kan være mange måneder efter initiering af behandling.</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Opportunistiske infektioner</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HIV 1-inficerede patienter, som får emtricitabin/tenofovirdisoproxil eller anden antiretroviral behandling, kan fortsætte med at udvikle opportunistiske infektioner og andre komplikationer som følge af HIV-infektion og bør derfor forblive under nøje klinisk observation af læger, som har erfaring med behandling af patienter med HIV-associerede sygdomme.</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Osteonekrose</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 xml:space="preserve">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w:t>
      </w:r>
      <w:r w:rsidRPr="00D23352">
        <w:rPr>
          <w:i/>
          <w:sz w:val="24"/>
          <w:szCs w:val="24"/>
          <w:lang w:val="da-DK"/>
        </w:rPr>
        <w:t xml:space="preserve">Body Mass Index </w:t>
      </w:r>
      <w:r w:rsidRPr="00D23352">
        <w:rPr>
          <w:sz w:val="24"/>
          <w:szCs w:val="24"/>
          <w:lang w:val="da-DK"/>
        </w:rPr>
        <w:t>(BMI)). Patienter, der oplever ømme og smertende led, ledstivhed eller bevægelsesbesvær bør rådes til at søge</w:t>
      </w:r>
      <w:r w:rsidRPr="00D23352">
        <w:rPr>
          <w:spacing w:val="1"/>
          <w:sz w:val="24"/>
          <w:szCs w:val="24"/>
          <w:lang w:val="da-DK"/>
        </w:rPr>
        <w:t xml:space="preserve"> </w:t>
      </w:r>
      <w:r w:rsidRPr="00D23352">
        <w:rPr>
          <w:sz w:val="24"/>
          <w:szCs w:val="24"/>
          <w:lang w:val="da-DK"/>
        </w:rPr>
        <w:t>læge.</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Samtidig administration af andre</w:t>
      </w:r>
      <w:r w:rsidRPr="00D23352">
        <w:rPr>
          <w:spacing w:val="-8"/>
          <w:sz w:val="24"/>
          <w:szCs w:val="24"/>
          <w:u w:val="single"/>
          <w:lang w:val="da-DK"/>
        </w:rPr>
        <w:t xml:space="preserve"> </w:t>
      </w:r>
      <w:r w:rsidRPr="00D23352">
        <w:rPr>
          <w:sz w:val="24"/>
          <w:szCs w:val="24"/>
          <w:u w:val="single"/>
          <w:lang w:val="da-DK"/>
        </w:rPr>
        <w:t>lægemidler</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bør undgås ved samtidig eller nylig brug af et nefrotoksisk lægemiddel (se pkt. 4.5). Hvis samtidig brug med nefrotoksiske lægemidler ikke kan undgås, bør nyrefunktionen monitoreres ugentligt.</w:t>
      </w:r>
    </w:p>
    <w:p w:rsidR="007564F4" w:rsidRPr="00D23352" w:rsidRDefault="007564F4" w:rsidP="007564F4">
      <w:pPr>
        <w:pStyle w:val="Brdtekst"/>
        <w:tabs>
          <w:tab w:val="left" w:pos="851"/>
        </w:tabs>
        <w:ind w:left="851"/>
        <w:rPr>
          <w:sz w:val="24"/>
          <w:szCs w:val="24"/>
          <w:lang w:val="da-DK"/>
        </w:rPr>
      </w:pPr>
    </w:p>
    <w:p w:rsidR="007564F4" w:rsidRPr="00D23352" w:rsidRDefault="007564F4" w:rsidP="00C730E8">
      <w:pPr>
        <w:pStyle w:val="Brdtekst"/>
        <w:widowControl/>
        <w:tabs>
          <w:tab w:val="left" w:pos="851"/>
        </w:tabs>
        <w:ind w:left="851"/>
        <w:rPr>
          <w:sz w:val="24"/>
          <w:szCs w:val="24"/>
          <w:lang w:val="da-DK"/>
        </w:rPr>
      </w:pPr>
      <w:r w:rsidRPr="00D23352">
        <w:rPr>
          <w:sz w:val="24"/>
          <w:szCs w:val="24"/>
          <w:lang w:val="da-DK"/>
        </w:rPr>
        <w:t>Tilfælde af akut nyresvigt efter påbegyndelse af multiple ikke-steroide anti-inflammatoriske lægemidler (NSAID) eller NSAID i høj dosis er rapporteret hos HIV 1-inficerede patienter, som blev behandlet med tenofovirdisoproxil og havde risikofaktorer for nedsat nyrefunktion. Hvis emtricitabin/tenofovirdisoproxil administreres samtidig med et NSAID, skal nyrefunktionen monitoreres med passende intervaller.</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Der er rapporteret en højere risiko for nedsat nyrefunktion hos HIV 1-inficerede patienter, der fik tenofovirdisoproxil i kombination med en ritonavir- eller cobicistat-boostet proteasehæmmer. Tæt monitorering af nyrefunktionen hos disse patienter (se pkt. 4.5) er nødvendig. Samtidig behandling med tenofovirdisoproxil og en boosted proteasehæmmer skal evalueres omhyggeligt hos HIV 1- inficerede patienter med renale risikofaktorer.</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lastRenderedPageBreak/>
        <w:t>Emtricitabin/tenofovirdisoproxil bør ikke administreres sammen med andre lægemidler, som indeholder emtricitabin, tenofovirdisoproxil, tenofoviralafenamid eller andre cytidinanaloger, såsom lamivudin (se pkt. 4.5). Emtricitabin/tenofovirdisoproxil bør ikke administreres sammen med adefovirdipivoxil.</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tabs>
          <w:tab w:val="left" w:pos="851"/>
        </w:tabs>
        <w:ind w:left="851"/>
        <w:rPr>
          <w:i/>
          <w:sz w:val="24"/>
          <w:szCs w:val="24"/>
        </w:rPr>
      </w:pPr>
      <w:r w:rsidRPr="00D23352">
        <w:rPr>
          <w:i/>
          <w:sz w:val="24"/>
          <w:szCs w:val="24"/>
        </w:rPr>
        <w:t>Brug med ledipasvir og sofosbuvir, sofosbuvir og velpatasvir eller sofosbuvir, velpatasvir og voxilaprevir</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Det er vist, at samtidig administration af tenofovirdisoproxil og ledipasvir/sofosbuvir, sofosbuvir/velpatasvir eller sofosbuvir/velpatasvir/voxilaprevir øger plasmakoncentrationen af tenofovir, især når de anvendes sammen med et HIV-regime, der indeholder tenofovirdisoproxil og en farmakokinetisk forstærker (ritonavir eller cobicistat).</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Sikkerheden af tenofovirdisoproxil ved administration sammen med ledipasvir/sofosbuvir, sofosbuvir/velpatasvir eller sofosvubir/velpatasvir/voxilaprevir og en farmakokinetisk forstærker er ikke klarlagt. De potentielle risici og fordele forbundet med samtidig administration bør overvejes, specielt hos patienter med øget risiko for renal dysfunktion. Patienter, der får ledipasvir/sofosbuvir, sofosbuvir/velpatasvir eller sofosbuvir/velpatasvir/voxilaprevir sammen med tenofovirdisoproxil og en boostet HIV-proteasehæmmer, bør overvåges for bivirkninger relateret til tenofovirdisoproxil.</w:t>
      </w:r>
    </w:p>
    <w:p w:rsidR="007564F4" w:rsidRPr="00D23352" w:rsidRDefault="007564F4" w:rsidP="007564F4">
      <w:pPr>
        <w:pStyle w:val="Brdtekst"/>
        <w:tabs>
          <w:tab w:val="left" w:pos="851"/>
        </w:tabs>
        <w:ind w:left="851"/>
        <w:rPr>
          <w:sz w:val="24"/>
          <w:szCs w:val="24"/>
          <w:lang w:val="da-DK"/>
        </w:rPr>
      </w:pPr>
    </w:p>
    <w:p w:rsidR="00B0027B" w:rsidRDefault="00B0027B" w:rsidP="00B0027B">
      <w:pPr>
        <w:tabs>
          <w:tab w:val="left" w:pos="851"/>
        </w:tabs>
        <w:ind w:left="851"/>
        <w:rPr>
          <w:i/>
          <w:sz w:val="24"/>
          <w:szCs w:val="24"/>
        </w:rPr>
      </w:pPr>
      <w:r>
        <w:rPr>
          <w:i/>
          <w:sz w:val="24"/>
          <w:szCs w:val="24"/>
        </w:rPr>
        <w:t>Samtidig administration af tenofovirdisoproxil og didanosin</w:t>
      </w:r>
    </w:p>
    <w:p w:rsidR="00B0027B" w:rsidRDefault="00B0027B" w:rsidP="00B0027B">
      <w:pPr>
        <w:pStyle w:val="Brdtekst"/>
        <w:tabs>
          <w:tab w:val="left" w:pos="851"/>
        </w:tabs>
        <w:ind w:left="851"/>
        <w:rPr>
          <w:sz w:val="24"/>
          <w:szCs w:val="24"/>
          <w:lang w:val="da-DK"/>
        </w:rPr>
      </w:pPr>
      <w:r>
        <w:rPr>
          <w:sz w:val="24"/>
          <w:szCs w:val="24"/>
          <w:lang w:val="da-DK"/>
        </w:rPr>
        <w:t>Samtidig administration af tenofovirdisoproxil og didanosin anbefales ikke (se pkt. 4.5).</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Tredobbelt nukleosidbehandling</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 xml:space="preserve">Der har været rapporteret høj forekomst af virologisk svigt og fremkomst af resistens på et tidligt tidspunkt hos </w:t>
      </w:r>
      <w:r w:rsidRPr="00D23352">
        <w:rPr>
          <w:spacing w:val="-2"/>
          <w:sz w:val="24"/>
          <w:szCs w:val="24"/>
          <w:lang w:val="da-DK"/>
        </w:rPr>
        <w:t xml:space="preserve">HIV </w:t>
      </w:r>
      <w:r w:rsidRPr="00D23352">
        <w:rPr>
          <w:sz w:val="24"/>
          <w:szCs w:val="24"/>
          <w:lang w:val="da-DK"/>
        </w:rPr>
        <w:t xml:space="preserve">1-inficerede patienter, når tenofovirdisoproxil blev kombineret med lamivudin og abacavir eller med lamivudin og didanosin som regime én gang </w:t>
      </w:r>
      <w:r>
        <w:rPr>
          <w:sz w:val="24"/>
          <w:szCs w:val="24"/>
          <w:lang w:val="da-DK"/>
        </w:rPr>
        <w:t>daglig</w:t>
      </w:r>
      <w:r w:rsidRPr="00D23352">
        <w:rPr>
          <w:sz w:val="24"/>
          <w:szCs w:val="24"/>
          <w:lang w:val="da-DK"/>
        </w:rPr>
        <w:t>. Der er en tæt strukturel lighed mellem lamivudin og emtricitabin og lighed i farmakokinetikken og farmakodynamikken mellem disse to stoffer. De samme problemer kan derfor muligvis optræde, hvis emtricitabin/tenofovirdisoproxil administreres sammen med en tredje</w:t>
      </w:r>
      <w:r w:rsidRPr="00D23352">
        <w:rPr>
          <w:spacing w:val="1"/>
          <w:sz w:val="24"/>
          <w:szCs w:val="24"/>
          <w:lang w:val="da-DK"/>
        </w:rPr>
        <w:t xml:space="preserve"> </w:t>
      </w:r>
      <w:r w:rsidRPr="00D23352">
        <w:rPr>
          <w:sz w:val="24"/>
          <w:szCs w:val="24"/>
          <w:lang w:val="da-DK"/>
        </w:rPr>
        <w:t>nukleosidanalog.</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Ældre</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Emtricitabin/tenofovirdisoproxil er ikke blevet undersøgt hos personer over 65 år. Da det er mere sandsynligt, at personer over 65 år har nedsat nyrefunktion, skal der udvises forsigtighed ved administration af emtricitabin/tenofovirdisoproxil til ældre mennesker.</w:t>
      </w:r>
    </w:p>
    <w:p w:rsidR="007564F4" w:rsidRPr="00D23352" w:rsidRDefault="007564F4" w:rsidP="007564F4">
      <w:pPr>
        <w:pStyle w:val="Brdtekst"/>
        <w:tabs>
          <w:tab w:val="left" w:pos="851"/>
        </w:tabs>
        <w:ind w:left="851"/>
        <w:rPr>
          <w:sz w:val="24"/>
          <w:szCs w:val="24"/>
          <w:lang w:val="da-DK"/>
        </w:rPr>
      </w:pPr>
    </w:p>
    <w:p w:rsidR="007564F4" w:rsidRPr="00D23352" w:rsidRDefault="007564F4" w:rsidP="00C730E8">
      <w:pPr>
        <w:pStyle w:val="Brdtekst"/>
        <w:keepNext/>
        <w:tabs>
          <w:tab w:val="left" w:pos="851"/>
        </w:tabs>
        <w:ind w:left="851"/>
        <w:rPr>
          <w:sz w:val="24"/>
          <w:szCs w:val="24"/>
          <w:lang w:val="da-DK"/>
        </w:rPr>
      </w:pPr>
      <w:r w:rsidRPr="00D23352">
        <w:rPr>
          <w:sz w:val="24"/>
          <w:szCs w:val="24"/>
          <w:u w:val="single"/>
          <w:lang w:val="da-DK"/>
        </w:rPr>
        <w:t>Hjælpestoffer</w:t>
      </w:r>
    </w:p>
    <w:p w:rsidR="007564F4" w:rsidRDefault="001755DF" w:rsidP="00C730E8">
      <w:pPr>
        <w:pStyle w:val="Brdtekst"/>
        <w:widowControl/>
        <w:tabs>
          <w:tab w:val="left" w:pos="851"/>
        </w:tabs>
        <w:ind w:left="851"/>
        <w:rPr>
          <w:sz w:val="24"/>
          <w:szCs w:val="24"/>
          <w:lang w:val="da-DK"/>
        </w:rPr>
      </w:pPr>
      <w:r w:rsidRPr="00D23352">
        <w:rPr>
          <w:sz w:val="24"/>
          <w:szCs w:val="24"/>
          <w:lang w:val="da-DK"/>
        </w:rPr>
        <w:t>Emtricitabine/Tenofovir disoproxil "Accordpharma" indeholder lactosemonohydrat.</w:t>
      </w:r>
      <w:r>
        <w:rPr>
          <w:sz w:val="24"/>
          <w:szCs w:val="24"/>
          <w:lang w:val="da-DK"/>
        </w:rPr>
        <w:t xml:space="preserve"> Bør ikke anvendes til patienter med hereditær galactoseintolerans, total lactasemangel eller glucose/galactosemalabsorption. </w:t>
      </w:r>
    </w:p>
    <w:p w:rsidR="001755DF" w:rsidRDefault="001755DF" w:rsidP="001755DF">
      <w:pPr>
        <w:pStyle w:val="Brdtekst"/>
        <w:tabs>
          <w:tab w:val="left" w:pos="851"/>
        </w:tabs>
        <w:ind w:left="851"/>
        <w:rPr>
          <w:sz w:val="24"/>
          <w:szCs w:val="24"/>
          <w:lang w:val="da-DK"/>
        </w:rPr>
      </w:pPr>
      <w:r w:rsidRPr="001755DF">
        <w:rPr>
          <w:sz w:val="24"/>
          <w:szCs w:val="24"/>
          <w:lang w:val="da-DK"/>
        </w:rPr>
        <w:t>Dette lægemiddel indeholder mindre end 1 mmol (23 mg) natrium pr. tablet, dvs. det er i det væsentlige natriumfrit.</w:t>
      </w:r>
    </w:p>
    <w:p w:rsidR="001755DF" w:rsidRPr="001755DF" w:rsidRDefault="001755DF" w:rsidP="001755DF">
      <w:pPr>
        <w:pStyle w:val="Brdtekst"/>
        <w:tabs>
          <w:tab w:val="left" w:pos="851"/>
        </w:tabs>
        <w:ind w:left="851"/>
        <w:rPr>
          <w:sz w:val="24"/>
          <w:szCs w:val="24"/>
          <w:lang w:val="da-DK"/>
        </w:rPr>
      </w:pPr>
    </w:p>
    <w:p w:rsidR="007564F4" w:rsidRPr="00071814" w:rsidRDefault="007564F4" w:rsidP="00021B0F">
      <w:pPr>
        <w:keepNext/>
        <w:tabs>
          <w:tab w:val="left" w:pos="851"/>
        </w:tabs>
        <w:ind w:left="851" w:hanging="851"/>
        <w:rPr>
          <w:b/>
          <w:sz w:val="24"/>
          <w:szCs w:val="24"/>
        </w:rPr>
      </w:pPr>
      <w:r w:rsidRPr="00071814">
        <w:rPr>
          <w:b/>
          <w:sz w:val="24"/>
          <w:szCs w:val="24"/>
        </w:rPr>
        <w:t>4.5</w:t>
      </w:r>
      <w:r w:rsidRPr="00071814">
        <w:rPr>
          <w:b/>
          <w:sz w:val="24"/>
          <w:szCs w:val="24"/>
        </w:rPr>
        <w:tab/>
        <w:t>Interaktion med andre lægemidler og andre former for interaktion</w:t>
      </w:r>
    </w:p>
    <w:p w:rsidR="00B0027B" w:rsidRDefault="00B0027B" w:rsidP="00B0027B">
      <w:pPr>
        <w:widowControl w:val="0"/>
        <w:tabs>
          <w:tab w:val="left" w:pos="851"/>
        </w:tabs>
        <w:autoSpaceDE w:val="0"/>
        <w:autoSpaceDN w:val="0"/>
        <w:ind w:left="851"/>
        <w:rPr>
          <w:sz w:val="24"/>
          <w:szCs w:val="24"/>
        </w:rPr>
      </w:pPr>
      <w:r>
        <w:rPr>
          <w:sz w:val="24"/>
          <w:szCs w:val="24"/>
        </w:rPr>
        <w:t>Interaktionsstudier er kun udført hos voksne.</w:t>
      </w:r>
    </w:p>
    <w:p w:rsidR="00B0027B" w:rsidRDefault="00B0027B" w:rsidP="00B0027B">
      <w:pPr>
        <w:widowControl w:val="0"/>
        <w:tabs>
          <w:tab w:val="left" w:pos="851"/>
        </w:tabs>
        <w:autoSpaceDE w:val="0"/>
        <w:autoSpaceDN w:val="0"/>
        <w:ind w:left="851"/>
        <w:rPr>
          <w:sz w:val="24"/>
          <w:szCs w:val="24"/>
        </w:rPr>
      </w:pPr>
    </w:p>
    <w:p w:rsidR="00B0027B" w:rsidRDefault="00B0027B" w:rsidP="00B0027B">
      <w:pPr>
        <w:widowControl w:val="0"/>
        <w:tabs>
          <w:tab w:val="left" w:pos="851"/>
        </w:tabs>
        <w:autoSpaceDE w:val="0"/>
        <w:autoSpaceDN w:val="0"/>
        <w:ind w:left="851"/>
        <w:rPr>
          <w:sz w:val="24"/>
          <w:szCs w:val="24"/>
        </w:rPr>
      </w:pPr>
      <w:r>
        <w:rPr>
          <w:sz w:val="24"/>
          <w:szCs w:val="24"/>
        </w:rPr>
        <w:t>Da dette lægemiddel indeholder emtricitabin og tenofovirdisoproxil, kan interaktioner, som er identificeret med disse lægemidler individuelt, forekomme med emtricitabin/tenofovirdisoproxil. Interaktionsstudier er kun udført hos voksne.</w:t>
      </w:r>
    </w:p>
    <w:p w:rsidR="00B0027B" w:rsidRDefault="00B0027B" w:rsidP="00B0027B">
      <w:pPr>
        <w:widowControl w:val="0"/>
        <w:tabs>
          <w:tab w:val="left" w:pos="851"/>
        </w:tabs>
        <w:autoSpaceDE w:val="0"/>
        <w:autoSpaceDN w:val="0"/>
        <w:ind w:left="851"/>
        <w:rPr>
          <w:sz w:val="24"/>
          <w:szCs w:val="24"/>
        </w:rPr>
      </w:pPr>
    </w:p>
    <w:p w:rsidR="00B0027B" w:rsidRDefault="00B0027B" w:rsidP="00B0027B">
      <w:pPr>
        <w:widowControl w:val="0"/>
        <w:tabs>
          <w:tab w:val="left" w:pos="851"/>
        </w:tabs>
        <w:autoSpaceDE w:val="0"/>
        <w:autoSpaceDN w:val="0"/>
        <w:ind w:left="851"/>
        <w:rPr>
          <w:sz w:val="24"/>
          <w:szCs w:val="24"/>
        </w:rPr>
      </w:pPr>
      <w:r>
        <w:rPr>
          <w:sz w:val="24"/>
          <w:szCs w:val="24"/>
        </w:rPr>
        <w:lastRenderedPageBreak/>
        <w:t xml:space="preserve">Emtricitabins og tenofovirs farmakokinetik ved </w:t>
      </w:r>
      <w:r>
        <w:rPr>
          <w:i/>
          <w:sz w:val="24"/>
          <w:szCs w:val="24"/>
        </w:rPr>
        <w:t xml:space="preserve">steady state </w:t>
      </w:r>
      <w:r>
        <w:rPr>
          <w:sz w:val="24"/>
          <w:szCs w:val="24"/>
        </w:rPr>
        <w:t xml:space="preserve">blev ikke påvirket ved samtidig administration af emtricitabin og tenofovirdisoproxil </w:t>
      </w:r>
      <w:r>
        <w:rPr>
          <w:i/>
          <w:sz w:val="24"/>
          <w:szCs w:val="24"/>
        </w:rPr>
        <w:t xml:space="preserve">versus </w:t>
      </w:r>
      <w:r>
        <w:rPr>
          <w:sz w:val="24"/>
          <w:szCs w:val="24"/>
        </w:rPr>
        <w:t>administration af hvert lægemiddel alene.</w:t>
      </w:r>
    </w:p>
    <w:p w:rsidR="00B0027B" w:rsidRDefault="00B0027B" w:rsidP="00B0027B">
      <w:pPr>
        <w:widowControl w:val="0"/>
        <w:tabs>
          <w:tab w:val="left" w:pos="851"/>
        </w:tabs>
        <w:autoSpaceDE w:val="0"/>
        <w:autoSpaceDN w:val="0"/>
        <w:ind w:left="851"/>
        <w:rPr>
          <w:sz w:val="24"/>
          <w:szCs w:val="24"/>
        </w:rPr>
      </w:pPr>
    </w:p>
    <w:p w:rsidR="00B0027B" w:rsidRDefault="00B0027B" w:rsidP="00B0027B">
      <w:pPr>
        <w:widowControl w:val="0"/>
        <w:tabs>
          <w:tab w:val="left" w:pos="851"/>
        </w:tabs>
        <w:autoSpaceDE w:val="0"/>
        <w:autoSpaceDN w:val="0"/>
        <w:ind w:left="851"/>
        <w:rPr>
          <w:sz w:val="24"/>
          <w:szCs w:val="24"/>
        </w:rPr>
      </w:pPr>
      <w:r>
        <w:rPr>
          <w:i/>
          <w:sz w:val="24"/>
          <w:szCs w:val="24"/>
        </w:rPr>
        <w:t xml:space="preserve">In vitro </w:t>
      </w:r>
      <w:r>
        <w:rPr>
          <w:sz w:val="24"/>
          <w:szCs w:val="24"/>
        </w:rPr>
        <w:t>og kliniske farmakokinetiske interaktionsstudier har vist en lav risiko for CYP450-medierede interaktioner, hvor emtricitabin og tenofovirdisoproxil er involveret sammen med andre lægemidler.</w:t>
      </w:r>
    </w:p>
    <w:p w:rsidR="00B0027B" w:rsidRDefault="00B0027B" w:rsidP="00B0027B">
      <w:pPr>
        <w:widowControl w:val="0"/>
        <w:tabs>
          <w:tab w:val="left" w:pos="851"/>
        </w:tabs>
        <w:autoSpaceDE w:val="0"/>
        <w:autoSpaceDN w:val="0"/>
        <w:ind w:left="851"/>
        <w:rPr>
          <w:sz w:val="24"/>
          <w:szCs w:val="24"/>
        </w:rPr>
      </w:pPr>
    </w:p>
    <w:p w:rsidR="00B0027B" w:rsidRDefault="00B0027B" w:rsidP="00B0027B">
      <w:pPr>
        <w:widowControl w:val="0"/>
        <w:tabs>
          <w:tab w:val="left" w:pos="851"/>
        </w:tabs>
        <w:autoSpaceDE w:val="0"/>
        <w:autoSpaceDN w:val="0"/>
        <w:ind w:left="851"/>
        <w:rPr>
          <w:sz w:val="24"/>
          <w:szCs w:val="24"/>
        </w:rPr>
      </w:pPr>
      <w:r>
        <w:rPr>
          <w:sz w:val="24"/>
          <w:szCs w:val="24"/>
          <w:u w:val="single"/>
        </w:rPr>
        <w:t>Samtidig brug anbefales ikke</w:t>
      </w:r>
    </w:p>
    <w:p w:rsidR="00B0027B" w:rsidRDefault="00B0027B" w:rsidP="00B0027B">
      <w:pPr>
        <w:widowControl w:val="0"/>
        <w:tabs>
          <w:tab w:val="left" w:pos="851"/>
        </w:tabs>
        <w:autoSpaceDE w:val="0"/>
        <w:autoSpaceDN w:val="0"/>
        <w:ind w:left="851"/>
        <w:rPr>
          <w:sz w:val="24"/>
          <w:szCs w:val="24"/>
        </w:rPr>
      </w:pPr>
      <w:r>
        <w:rPr>
          <w:sz w:val="24"/>
          <w:szCs w:val="24"/>
        </w:rPr>
        <w:t>Emtricitabin/tenofovirdisoproxil bør ikke administreres samtidig med andre lægemidler, som indholder emtricitabin, tenofovirdisoproxil, tenofoviralafenamid eller andre cytidinanaloger, såsom lamivudin (se pkt. 4.4). Emtricitabin/tenofovirdisoproxil bør ikke administreres samtidig med adefovirdipivoxil.</w:t>
      </w:r>
    </w:p>
    <w:p w:rsidR="00B0027B" w:rsidRDefault="00B0027B" w:rsidP="00B0027B">
      <w:pPr>
        <w:widowControl w:val="0"/>
        <w:tabs>
          <w:tab w:val="left" w:pos="851"/>
        </w:tabs>
        <w:autoSpaceDE w:val="0"/>
        <w:autoSpaceDN w:val="0"/>
        <w:ind w:left="851"/>
        <w:rPr>
          <w:sz w:val="24"/>
          <w:szCs w:val="24"/>
        </w:rPr>
      </w:pPr>
    </w:p>
    <w:p w:rsidR="00B0027B" w:rsidRDefault="00B0027B" w:rsidP="00B0027B">
      <w:pPr>
        <w:widowControl w:val="0"/>
        <w:tabs>
          <w:tab w:val="left" w:pos="851"/>
        </w:tabs>
        <w:autoSpaceDE w:val="0"/>
        <w:autoSpaceDN w:val="0"/>
        <w:ind w:left="851"/>
        <w:rPr>
          <w:i/>
          <w:sz w:val="24"/>
          <w:szCs w:val="24"/>
        </w:rPr>
      </w:pPr>
      <w:r>
        <w:rPr>
          <w:i/>
          <w:sz w:val="24"/>
          <w:szCs w:val="24"/>
        </w:rPr>
        <w:t>Didanosin</w:t>
      </w:r>
    </w:p>
    <w:p w:rsidR="00B0027B" w:rsidRDefault="00B0027B" w:rsidP="00B0027B">
      <w:pPr>
        <w:widowControl w:val="0"/>
        <w:tabs>
          <w:tab w:val="left" w:pos="851"/>
        </w:tabs>
        <w:autoSpaceDE w:val="0"/>
        <w:autoSpaceDN w:val="0"/>
        <w:ind w:left="851"/>
        <w:rPr>
          <w:sz w:val="24"/>
          <w:szCs w:val="24"/>
        </w:rPr>
      </w:pPr>
      <w:r>
        <w:rPr>
          <w:sz w:val="24"/>
          <w:szCs w:val="24"/>
        </w:rPr>
        <w:t>Samtidig administration af emtricitabin/tenofovirdisoproxil og didanosin anbefales ikke (se pkt. 4.4 og tabel 2).</w:t>
      </w:r>
    </w:p>
    <w:p w:rsidR="00B0027B" w:rsidRDefault="00B0027B" w:rsidP="00B0027B">
      <w:pPr>
        <w:widowControl w:val="0"/>
        <w:tabs>
          <w:tab w:val="left" w:pos="851"/>
        </w:tabs>
        <w:autoSpaceDE w:val="0"/>
        <w:autoSpaceDN w:val="0"/>
        <w:ind w:left="851"/>
        <w:rPr>
          <w:sz w:val="24"/>
          <w:szCs w:val="24"/>
        </w:rPr>
      </w:pPr>
    </w:p>
    <w:p w:rsidR="00B0027B" w:rsidRDefault="00B0027B" w:rsidP="00B0027B">
      <w:pPr>
        <w:widowControl w:val="0"/>
        <w:tabs>
          <w:tab w:val="left" w:pos="851"/>
        </w:tabs>
        <w:autoSpaceDE w:val="0"/>
        <w:autoSpaceDN w:val="0"/>
        <w:ind w:left="851"/>
        <w:rPr>
          <w:i/>
          <w:sz w:val="24"/>
          <w:szCs w:val="24"/>
        </w:rPr>
      </w:pPr>
      <w:r>
        <w:rPr>
          <w:i/>
          <w:sz w:val="24"/>
          <w:szCs w:val="24"/>
        </w:rPr>
        <w:t>Lægemidler, som udskilles gennem nyrerne</w:t>
      </w:r>
    </w:p>
    <w:p w:rsidR="00B0027B" w:rsidRDefault="00B0027B" w:rsidP="00B0027B">
      <w:pPr>
        <w:widowControl w:val="0"/>
        <w:tabs>
          <w:tab w:val="left" w:pos="851"/>
        </w:tabs>
        <w:autoSpaceDE w:val="0"/>
        <w:autoSpaceDN w:val="0"/>
        <w:ind w:left="851"/>
        <w:rPr>
          <w:sz w:val="24"/>
          <w:szCs w:val="24"/>
        </w:rPr>
      </w:pPr>
      <w:r>
        <w:rPr>
          <w:sz w:val="24"/>
          <w:szCs w:val="24"/>
        </w:rPr>
        <w:t>Da emtricitabin og tenofovir primært udskilles gennem nyrerne, kan administration af emtricitabin/tenofovirdisoproxil sammen med lægemidler, der reducerer nyrefunktionen eller konkurrerer om aktiv tubulær sekretion (f.eks. cidofovir) øge serumkoncentrationerne af emtricitabin, tenofovir og/eller de samtidigt administrerede lægemidler.</w:t>
      </w:r>
    </w:p>
    <w:p w:rsidR="00B0027B" w:rsidRDefault="00B0027B" w:rsidP="00B0027B">
      <w:pPr>
        <w:widowControl w:val="0"/>
        <w:tabs>
          <w:tab w:val="left" w:pos="851"/>
        </w:tabs>
        <w:autoSpaceDE w:val="0"/>
        <w:autoSpaceDN w:val="0"/>
        <w:ind w:left="851"/>
        <w:rPr>
          <w:sz w:val="24"/>
          <w:szCs w:val="24"/>
        </w:rPr>
      </w:pPr>
    </w:p>
    <w:p w:rsidR="00B0027B" w:rsidRDefault="00B0027B" w:rsidP="00B0027B">
      <w:pPr>
        <w:widowControl w:val="0"/>
        <w:tabs>
          <w:tab w:val="left" w:pos="851"/>
        </w:tabs>
        <w:autoSpaceDE w:val="0"/>
        <w:autoSpaceDN w:val="0"/>
        <w:ind w:left="851"/>
        <w:rPr>
          <w:sz w:val="24"/>
          <w:szCs w:val="24"/>
        </w:rPr>
      </w:pPr>
      <w:r>
        <w:rPr>
          <w:sz w:val="24"/>
          <w:szCs w:val="24"/>
        </w:rPr>
        <w:t>Brug af emtricitabin/tenofovirdisoproxil bør undgås ved samtidig eller nylig brug af et nefrotoksisk lægemiddel. Eksempler herpå omfatter, men er ikke begrænsede til, aminoglykosider, amphotericin B, foscarnet, ganciclovir, pentamidin, vancomycin, cidofovir eller interleukin-2 (se pkt. 4.4).</w:t>
      </w:r>
    </w:p>
    <w:p w:rsidR="00B0027B" w:rsidRDefault="00B0027B" w:rsidP="00B0027B">
      <w:pPr>
        <w:widowControl w:val="0"/>
        <w:tabs>
          <w:tab w:val="left" w:pos="851"/>
        </w:tabs>
        <w:autoSpaceDE w:val="0"/>
        <w:autoSpaceDN w:val="0"/>
        <w:ind w:left="851"/>
        <w:rPr>
          <w:sz w:val="24"/>
          <w:szCs w:val="24"/>
        </w:rPr>
      </w:pPr>
    </w:p>
    <w:p w:rsidR="00B0027B" w:rsidRDefault="00B0027B" w:rsidP="00B0027B">
      <w:pPr>
        <w:widowControl w:val="0"/>
        <w:tabs>
          <w:tab w:val="left" w:pos="851"/>
        </w:tabs>
        <w:autoSpaceDE w:val="0"/>
        <w:autoSpaceDN w:val="0"/>
        <w:ind w:left="851"/>
        <w:rPr>
          <w:sz w:val="24"/>
          <w:szCs w:val="24"/>
        </w:rPr>
      </w:pPr>
      <w:r>
        <w:rPr>
          <w:sz w:val="24"/>
          <w:szCs w:val="24"/>
          <w:u w:val="single"/>
        </w:rPr>
        <w:t>Andre interaktioner</w:t>
      </w:r>
    </w:p>
    <w:p w:rsidR="00B0027B" w:rsidRDefault="00B0027B" w:rsidP="00B0027B">
      <w:pPr>
        <w:widowControl w:val="0"/>
        <w:tabs>
          <w:tab w:val="left" w:pos="851"/>
        </w:tabs>
        <w:autoSpaceDE w:val="0"/>
        <w:autoSpaceDN w:val="0"/>
        <w:ind w:left="851"/>
        <w:rPr>
          <w:sz w:val="24"/>
          <w:szCs w:val="24"/>
        </w:rPr>
      </w:pPr>
      <w:r>
        <w:rPr>
          <w:sz w:val="24"/>
          <w:szCs w:val="24"/>
        </w:rPr>
        <w:t>Interaktioner mellem emtricitabin/tenofovirdisoproxil eller dets individuelle komponent(er) og andre lægemidler ses i tabel 2 nedenfor (stigning er angivet som ”↑”, fald som ”↓”, ingen ændring som ”↔”, to gange daglig som ”b.i.d.”, og en gang daglig som ”q.d.“). 90 % konfidensinterval er vist i parenteser, hvis det er muligt.</w:t>
      </w:r>
    </w:p>
    <w:p w:rsidR="00B0027B" w:rsidRDefault="00B0027B" w:rsidP="00B0027B">
      <w:pPr>
        <w:widowControl w:val="0"/>
        <w:tabs>
          <w:tab w:val="left" w:pos="851"/>
        </w:tabs>
        <w:autoSpaceDE w:val="0"/>
        <w:autoSpaceDN w:val="0"/>
        <w:ind w:left="851"/>
        <w:rPr>
          <w:sz w:val="24"/>
          <w:szCs w:val="24"/>
        </w:rPr>
      </w:pPr>
    </w:p>
    <w:p w:rsidR="00021B0F" w:rsidRDefault="00021B0F" w:rsidP="00021B0F">
      <w:pPr>
        <w:keepNext/>
        <w:widowControl w:val="0"/>
        <w:tabs>
          <w:tab w:val="left" w:pos="851"/>
        </w:tabs>
        <w:autoSpaceDE w:val="0"/>
        <w:autoSpaceDN w:val="0"/>
        <w:ind w:left="851"/>
        <w:outlineLvl w:val="0"/>
        <w:rPr>
          <w:b/>
          <w:bCs/>
          <w:sz w:val="24"/>
          <w:szCs w:val="24"/>
        </w:rPr>
      </w:pPr>
      <w:r>
        <w:rPr>
          <w:b/>
          <w:bCs/>
          <w:sz w:val="24"/>
          <w:szCs w:val="24"/>
        </w:rPr>
        <w:t>Tabel 2: Interaktion mellem emtricitabin/tenofovirdisoproxil eller dets individuelle komponent(er) og andre lægemidler</w:t>
      </w:r>
    </w:p>
    <w:p w:rsidR="00021B0F" w:rsidRDefault="00021B0F" w:rsidP="00021B0F">
      <w:pPr>
        <w:keepNext/>
        <w:widowControl w:val="0"/>
        <w:tabs>
          <w:tab w:val="left" w:pos="851"/>
        </w:tabs>
        <w:autoSpaceDE w:val="0"/>
        <w:autoSpaceDN w:val="0"/>
        <w:ind w:left="851"/>
        <w:outlineLvl w:val="0"/>
        <w:rPr>
          <w:b/>
          <w:bCs/>
          <w:sz w:val="24"/>
          <w:szCs w:val="24"/>
        </w:rPr>
      </w:pPr>
    </w:p>
    <w:tbl>
      <w:tblPr>
        <w:tblStyle w:val="Tabel-Gitter"/>
        <w:tblW w:w="0" w:type="auto"/>
        <w:tblLayout w:type="fixed"/>
        <w:tblLook w:val="04A0" w:firstRow="1" w:lastRow="0" w:firstColumn="1" w:lastColumn="0" w:noHBand="0" w:noVBand="1"/>
      </w:tblPr>
      <w:tblGrid>
        <w:gridCol w:w="3369"/>
        <w:gridCol w:w="2835"/>
        <w:gridCol w:w="3086"/>
      </w:tblGrid>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keepNext/>
              <w:rPr>
                <w:rFonts w:ascii="Times New Roman" w:hAnsi="Times New Roman"/>
                <w:b/>
                <w:sz w:val="20"/>
                <w:szCs w:val="20"/>
                <w:lang w:val="da-DK"/>
              </w:rPr>
            </w:pPr>
            <w:r w:rsidRPr="00467589">
              <w:rPr>
                <w:b/>
                <w:sz w:val="20"/>
              </w:rPr>
              <w:t>Lægemiddel iht. terapeutisk område</w:t>
            </w:r>
          </w:p>
        </w:tc>
        <w:tc>
          <w:tcPr>
            <w:tcW w:w="2835"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keepNext/>
              <w:rPr>
                <w:rFonts w:ascii="Times New Roman" w:hAnsi="Times New Roman"/>
                <w:b/>
                <w:sz w:val="20"/>
                <w:szCs w:val="20"/>
                <w:lang w:val="da-DK"/>
              </w:rPr>
            </w:pPr>
            <w:r w:rsidRPr="00467589">
              <w:rPr>
                <w:rFonts w:ascii="Times New Roman" w:hAnsi="Times New Roman"/>
                <w:b/>
                <w:sz w:val="20"/>
                <w:szCs w:val="20"/>
                <w:lang w:val="da-DK"/>
              </w:rPr>
              <w:t xml:space="preserve">Virkning på lægemiddelkoncentrationer Gennemsnitlig ændring </w:t>
            </w:r>
            <w:proofErr w:type="gramStart"/>
            <w:r w:rsidRPr="00467589">
              <w:rPr>
                <w:rFonts w:ascii="Times New Roman" w:hAnsi="Times New Roman"/>
                <w:b/>
                <w:sz w:val="20"/>
                <w:szCs w:val="20"/>
                <w:lang w:val="da-DK"/>
              </w:rPr>
              <w:t>( %</w:t>
            </w:r>
            <w:proofErr w:type="gramEnd"/>
            <w:r w:rsidRPr="00467589">
              <w:rPr>
                <w:rFonts w:ascii="Times New Roman" w:hAnsi="Times New Roman"/>
                <w:b/>
                <w:sz w:val="20"/>
                <w:szCs w:val="20"/>
                <w:lang w:val="da-DK"/>
              </w:rPr>
              <w:t>) i AUC, Cmax, Cmin med 90 % konfidensintervaller hvis muligt (mekanisme)</w:t>
            </w:r>
          </w:p>
        </w:tc>
        <w:tc>
          <w:tcPr>
            <w:tcW w:w="3086"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keepNext/>
              <w:rPr>
                <w:rFonts w:ascii="Times New Roman" w:hAnsi="Times New Roman"/>
                <w:b/>
                <w:sz w:val="20"/>
                <w:szCs w:val="20"/>
                <w:lang w:val="da-DK"/>
              </w:rPr>
            </w:pPr>
            <w:r w:rsidRPr="00467589">
              <w:rPr>
                <w:rFonts w:ascii="Times New Roman" w:hAnsi="Times New Roman"/>
                <w:b/>
                <w:sz w:val="20"/>
                <w:szCs w:val="20"/>
                <w:lang w:val="da-DK"/>
              </w:rPr>
              <w:t>Anbefaling vedr. samtidig administration af emtricitabin 200 mg og tenofovirdisoproxil 245 mg</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keepNext/>
              <w:rPr>
                <w:rFonts w:ascii="Times New Roman" w:hAnsi="Times New Roman"/>
                <w:b/>
                <w:i/>
                <w:sz w:val="20"/>
                <w:szCs w:val="20"/>
                <w:lang w:val="da-DK"/>
              </w:rPr>
            </w:pPr>
            <w:r w:rsidRPr="00467589">
              <w:rPr>
                <w:b/>
                <w:i/>
                <w:sz w:val="20"/>
              </w:rPr>
              <w:t>ANTIINFEKTIVA</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b/>
                <w:sz w:val="20"/>
                <w:szCs w:val="20"/>
                <w:lang w:val="da-DK"/>
              </w:rPr>
            </w:pPr>
            <w:r w:rsidRPr="00467589">
              <w:rPr>
                <w:b/>
                <w:sz w:val="20"/>
              </w:rPr>
              <w:t>Antiretrovirale lægemidler</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b/>
                <w:sz w:val="20"/>
                <w:szCs w:val="20"/>
                <w:lang w:val="da-DK"/>
              </w:rPr>
            </w:pPr>
            <w:r w:rsidRPr="00467589">
              <w:rPr>
                <w:b/>
                <w:sz w:val="20"/>
              </w:rPr>
              <w:t>Proteasehæmmere</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Atazanavir/Ritonavir/ Tenofovirdisoproxil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(300 mg q.d./100 mg q.d./245 mg q.d.)</w:t>
            </w:r>
          </w:p>
        </w:tc>
        <w:tc>
          <w:tcPr>
            <w:tcW w:w="2835"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Atazanavir: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 25 % (↓ 42 til ↓ 3)</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 28 % (↓ 50 til ↑ 5)</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 26 % (↓ 46 til ↑ 10)</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Tenofovir: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 37 %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lastRenderedPageBreak/>
              <w:t>Cmax: ↑ 34 %</w:t>
            </w:r>
          </w:p>
          <w:p w:rsidR="004B15A2" w:rsidRPr="00A92787" w:rsidRDefault="004B15A2" w:rsidP="004B15A2">
            <w:pPr>
              <w:rPr>
                <w:rFonts w:ascii="Times New Roman" w:hAnsi="Times New Roman"/>
                <w:sz w:val="20"/>
                <w:szCs w:val="20"/>
                <w:lang w:val="da-DK"/>
              </w:rPr>
            </w:pPr>
            <w:r w:rsidRPr="00467589">
              <w:rPr>
                <w:sz w:val="20"/>
              </w:rPr>
              <w:t>Cmin: ↑ 29 %</w:t>
            </w:r>
          </w:p>
        </w:tc>
        <w:tc>
          <w:tcPr>
            <w:tcW w:w="3086" w:type="dxa"/>
            <w:vMerge w:val="restart"/>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sv-SE"/>
              </w:rPr>
              <w:lastRenderedPageBreak/>
              <w:t xml:space="preserve">Der er ingen anbefalet dosisjustering. Den forøgede tenofovir-eksponering kan øge risikoen for bivirkninger af tenofovir, herunder renale lidelser. </w:t>
            </w:r>
            <w:r w:rsidRPr="00467589">
              <w:rPr>
                <w:sz w:val="20"/>
              </w:rPr>
              <w:t xml:space="preserve">Nyrefunktionen skal monitoreres </w:t>
            </w:r>
            <w:r w:rsidRPr="00467589">
              <w:rPr>
                <w:sz w:val="20"/>
              </w:rPr>
              <w:lastRenderedPageBreak/>
              <w:t>tæt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lastRenderedPageBreak/>
              <w:t>Atazanavir/Ritonavir/Emtricitabin</w:t>
            </w:r>
          </w:p>
        </w:tc>
        <w:tc>
          <w:tcPr>
            <w:tcW w:w="2835"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Interaktion er ikke undersøgt.</w:t>
            </w:r>
          </w:p>
        </w:tc>
        <w:tc>
          <w:tcPr>
            <w:tcW w:w="3086" w:type="dxa"/>
            <w:vMerge/>
            <w:tcBorders>
              <w:top w:val="single" w:sz="4" w:space="0" w:color="auto"/>
              <w:left w:val="single" w:sz="4" w:space="0" w:color="auto"/>
              <w:bottom w:val="single" w:sz="4" w:space="0" w:color="auto"/>
              <w:right w:val="single" w:sz="4" w:space="0" w:color="auto"/>
            </w:tcBorders>
            <w:vAlign w:val="center"/>
            <w:hideMark/>
          </w:tcPr>
          <w:p w:rsidR="004B15A2" w:rsidRPr="00A92787" w:rsidRDefault="004B15A2" w:rsidP="004B15A2">
            <w:pPr>
              <w:rPr>
                <w:rFonts w:ascii="Times New Roman" w:hAnsi="Times New Roman"/>
                <w:sz w:val="20"/>
                <w:szCs w:val="20"/>
                <w:lang w:val="da-DK"/>
              </w:rPr>
            </w:pP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 xml:space="preserve">Darunavir/ritonavir/ tenofovirdisoproxil </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(300 mg q.d./100 mg q.d./245 mg q.d.)</w:t>
            </w:r>
          </w:p>
        </w:tc>
        <w:tc>
          <w:tcPr>
            <w:tcW w:w="2835"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Darunavir:</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min</w:t>
            </w:r>
            <w:r w:rsidRPr="00467589">
              <w:rPr>
                <w:rFonts w:ascii="Times New Roman" w:hAnsi="Times New Roman"/>
                <w:position w:val="2"/>
                <w:sz w:val="20"/>
                <w:szCs w:val="20"/>
                <w:lang w:val="da-DK"/>
              </w:rPr>
              <w:t>: ↔</w:t>
            </w:r>
          </w:p>
          <w:p w:rsidR="004B15A2" w:rsidRPr="00467589" w:rsidRDefault="004B15A2" w:rsidP="004B15A2">
            <w:pPr>
              <w:tabs>
                <w:tab w:val="left" w:pos="851"/>
              </w:tabs>
              <w:rPr>
                <w:rFonts w:ascii="Times New Roman" w:hAnsi="Times New Roman"/>
                <w:b/>
                <w:sz w:val="20"/>
                <w:szCs w:val="20"/>
                <w:lang w:val="da-DK"/>
              </w:rPr>
            </w:pP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Tenofovir:</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AUC: ↑ 22 %</w:t>
            </w:r>
          </w:p>
          <w:p w:rsidR="004B15A2" w:rsidRPr="00A92787" w:rsidRDefault="004B15A2" w:rsidP="004B15A2">
            <w:pPr>
              <w:rPr>
                <w:rFonts w:ascii="Times New Roman" w:hAnsi="Times New Roman"/>
                <w:sz w:val="20"/>
                <w:szCs w:val="20"/>
                <w:lang w:val="da-DK"/>
              </w:rPr>
            </w:pPr>
            <w:r w:rsidRPr="00467589">
              <w:rPr>
                <w:position w:val="2"/>
                <w:sz w:val="20"/>
              </w:rPr>
              <w:t>C</w:t>
            </w:r>
            <w:r w:rsidRPr="00467589">
              <w:rPr>
                <w:sz w:val="20"/>
              </w:rPr>
              <w:t>min</w:t>
            </w:r>
            <w:r w:rsidRPr="00467589">
              <w:rPr>
                <w:position w:val="2"/>
                <w:sz w:val="20"/>
              </w:rPr>
              <w:t>: ↑ 37 %</w:t>
            </w:r>
          </w:p>
        </w:tc>
        <w:tc>
          <w:tcPr>
            <w:tcW w:w="3086" w:type="dxa"/>
            <w:vMerge w:val="restart"/>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sv-SE"/>
              </w:rPr>
              <w:t xml:space="preserve">Der er ingen anbefalet dosisjustering. Den forøgede tenofovir-eksponering kan øge risikoen for bivirkninger af tenofovir, herunder renale lidelser. </w:t>
            </w:r>
            <w:r w:rsidRPr="00467589">
              <w:rPr>
                <w:sz w:val="20"/>
              </w:rPr>
              <w:t>Nyrefunktionen skal monitoreres tæt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Darunavir/Ritonavir/Emtricitabin</w:t>
            </w:r>
          </w:p>
        </w:tc>
        <w:tc>
          <w:tcPr>
            <w:tcW w:w="2835"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Interaktion er ikke undersøgt.</w:t>
            </w:r>
          </w:p>
        </w:tc>
        <w:tc>
          <w:tcPr>
            <w:tcW w:w="3086" w:type="dxa"/>
            <w:vMerge/>
            <w:tcBorders>
              <w:top w:val="single" w:sz="4" w:space="0" w:color="auto"/>
              <w:left w:val="single" w:sz="4" w:space="0" w:color="auto"/>
              <w:bottom w:val="single" w:sz="4" w:space="0" w:color="auto"/>
              <w:right w:val="single" w:sz="4" w:space="0" w:color="auto"/>
            </w:tcBorders>
            <w:vAlign w:val="center"/>
            <w:hideMark/>
          </w:tcPr>
          <w:p w:rsidR="004B15A2" w:rsidRPr="00A92787" w:rsidRDefault="004B15A2" w:rsidP="004B15A2">
            <w:pPr>
              <w:rPr>
                <w:rFonts w:ascii="Times New Roman" w:hAnsi="Times New Roman"/>
                <w:sz w:val="20"/>
                <w:szCs w:val="20"/>
                <w:lang w:val="da-DK"/>
              </w:rPr>
            </w:pP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B15A2" w:rsidRDefault="004B15A2" w:rsidP="004B15A2">
            <w:pPr>
              <w:rPr>
                <w:rFonts w:ascii="Times New Roman" w:hAnsi="Times New Roman"/>
                <w:sz w:val="20"/>
                <w:szCs w:val="20"/>
              </w:rPr>
            </w:pPr>
            <w:r w:rsidRPr="00467589">
              <w:rPr>
                <w:sz w:val="20"/>
              </w:rPr>
              <w:t>Lopinavir/Ritonavir/ Tenofovirdisoproxil (400 mg b.i.d.</w:t>
            </w:r>
          </w:p>
          <w:p w:rsidR="004B15A2" w:rsidRPr="00A92787" w:rsidRDefault="004B15A2" w:rsidP="004B15A2">
            <w:pPr>
              <w:rPr>
                <w:rFonts w:ascii="Times New Roman" w:hAnsi="Times New Roman"/>
                <w:sz w:val="20"/>
                <w:szCs w:val="20"/>
                <w:lang w:val="da-DK"/>
              </w:rPr>
            </w:pPr>
            <w:r w:rsidRPr="00467589">
              <w:rPr>
                <w:sz w:val="20"/>
              </w:rPr>
              <w:t>/100 mg b.i.d./245 mg q.d.)</w:t>
            </w:r>
          </w:p>
        </w:tc>
        <w:tc>
          <w:tcPr>
            <w:tcW w:w="2835" w:type="dxa"/>
            <w:tcBorders>
              <w:top w:val="single" w:sz="4" w:space="0" w:color="auto"/>
              <w:left w:val="single" w:sz="4" w:space="0" w:color="auto"/>
              <w:bottom w:val="single" w:sz="4" w:space="0" w:color="auto"/>
              <w:right w:val="single" w:sz="4" w:space="0" w:color="auto"/>
            </w:tcBorders>
          </w:tcPr>
          <w:p w:rsidR="004B15A2" w:rsidRPr="004B15A2" w:rsidRDefault="004B15A2" w:rsidP="004B15A2">
            <w:pPr>
              <w:rPr>
                <w:rFonts w:ascii="Times New Roman" w:hAnsi="Times New Roman"/>
                <w:sz w:val="20"/>
                <w:szCs w:val="20"/>
              </w:rPr>
            </w:pPr>
            <w:r w:rsidRPr="00467589">
              <w:rPr>
                <w:sz w:val="20"/>
              </w:rPr>
              <w:t>Lopinavir/Ritonavir:</w:t>
            </w:r>
          </w:p>
          <w:p w:rsidR="004B15A2" w:rsidRPr="004B15A2" w:rsidRDefault="004B15A2" w:rsidP="004B15A2">
            <w:pPr>
              <w:rPr>
                <w:rFonts w:ascii="Times New Roman" w:hAnsi="Times New Roman"/>
                <w:sz w:val="20"/>
                <w:szCs w:val="20"/>
              </w:rPr>
            </w:pPr>
            <w:r w:rsidRPr="00467589">
              <w:rPr>
                <w:sz w:val="20"/>
              </w:rPr>
              <w:t>AUC: ↔</w:t>
            </w:r>
          </w:p>
          <w:p w:rsidR="004B15A2" w:rsidRPr="004B15A2" w:rsidRDefault="004B15A2" w:rsidP="004B15A2">
            <w:pPr>
              <w:rPr>
                <w:rFonts w:ascii="Times New Roman" w:hAnsi="Times New Roman"/>
                <w:sz w:val="20"/>
                <w:szCs w:val="20"/>
              </w:rPr>
            </w:pPr>
            <w:r w:rsidRPr="00467589">
              <w:rPr>
                <w:sz w:val="20"/>
              </w:rPr>
              <w:t>Cmax: ↔</w:t>
            </w:r>
          </w:p>
          <w:p w:rsidR="004B15A2" w:rsidRPr="004B15A2" w:rsidRDefault="004B15A2" w:rsidP="004B15A2">
            <w:pPr>
              <w:rPr>
                <w:rFonts w:ascii="Times New Roman" w:hAnsi="Times New Roman"/>
                <w:sz w:val="20"/>
                <w:szCs w:val="20"/>
              </w:rPr>
            </w:pPr>
            <w:r w:rsidRPr="00467589">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Tenofovir:</w:t>
            </w:r>
          </w:p>
          <w:p w:rsidR="004B15A2" w:rsidRPr="004B15A2" w:rsidRDefault="004B15A2" w:rsidP="004B15A2">
            <w:pPr>
              <w:rPr>
                <w:rFonts w:ascii="Times New Roman" w:hAnsi="Times New Roman"/>
                <w:sz w:val="20"/>
                <w:szCs w:val="20"/>
              </w:rPr>
            </w:pPr>
            <w:r w:rsidRPr="00C1274B">
              <w:rPr>
                <w:sz w:val="20"/>
              </w:rPr>
              <w:t>AUC: ↑ 32 % (↑ 25 til ↑ 38)</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 51 % (↑ 37 til ↑ 66)</w:t>
            </w:r>
          </w:p>
        </w:tc>
        <w:tc>
          <w:tcPr>
            <w:tcW w:w="3086" w:type="dxa"/>
            <w:vMerge w:val="restart"/>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sv-SE"/>
              </w:rPr>
              <w:t xml:space="preserve">Der er ingen anbefalet dosisjustering. Den forøgede tenofovir-eksponering kan øge risikoen for bivirkninger af tenofovir, herunder renale lidelser. </w:t>
            </w:r>
            <w:r w:rsidRPr="00467589">
              <w:rPr>
                <w:sz w:val="20"/>
              </w:rPr>
              <w:t>Nyrefunktionen skal monitoreres tæt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Lopinavir/Ritonavir/Emtricitabin</w:t>
            </w:r>
          </w:p>
        </w:tc>
        <w:tc>
          <w:tcPr>
            <w:tcW w:w="2835"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Interaktion er ikke undersøgt.</w:t>
            </w:r>
          </w:p>
        </w:tc>
        <w:tc>
          <w:tcPr>
            <w:tcW w:w="3086" w:type="dxa"/>
            <w:vMerge/>
            <w:tcBorders>
              <w:top w:val="single" w:sz="4" w:space="0" w:color="auto"/>
              <w:left w:val="single" w:sz="4" w:space="0" w:color="auto"/>
              <w:bottom w:val="single" w:sz="4" w:space="0" w:color="auto"/>
              <w:right w:val="single" w:sz="4" w:space="0" w:color="auto"/>
            </w:tcBorders>
            <w:vAlign w:val="center"/>
            <w:hideMark/>
          </w:tcPr>
          <w:p w:rsidR="004B15A2" w:rsidRPr="00A92787" w:rsidRDefault="004B15A2" w:rsidP="004B15A2">
            <w:pPr>
              <w:rPr>
                <w:rFonts w:ascii="Times New Roman" w:hAnsi="Times New Roman"/>
                <w:sz w:val="20"/>
                <w:szCs w:val="20"/>
                <w:lang w:val="da-DK"/>
              </w:rPr>
            </w:pP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b/>
                <w:sz w:val="20"/>
                <w:szCs w:val="20"/>
                <w:lang w:val="da-DK"/>
              </w:rPr>
            </w:pPr>
            <w:r w:rsidRPr="00467589">
              <w:rPr>
                <w:b/>
                <w:sz w:val="20"/>
              </w:rPr>
              <w:t>NRTI'er</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Didanosin/Tenofovirdisoproxil</w:t>
            </w:r>
          </w:p>
        </w:tc>
        <w:tc>
          <w:tcPr>
            <w:tcW w:w="2835"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Samtidig administration af tenofovirdisoproxil og didanosin resulterer i en 40-60 % stigning i systemisk eksponering for didanosin.</w:t>
            </w:r>
          </w:p>
        </w:tc>
        <w:tc>
          <w:tcPr>
            <w:tcW w:w="3086" w:type="dxa"/>
            <w:vMerge w:val="restart"/>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Samtidig administration af emtricitabin/tenofovirdisoproxil og didanosin kan ikke anbefales (se pkt. 4.4).</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A92787">
              <w:rPr>
                <w:sz w:val="20"/>
                <w:lang w:val="sv-SE"/>
              </w:rPr>
              <w:t>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Didanosin/Emtricitabin</w:t>
            </w:r>
          </w:p>
        </w:tc>
        <w:tc>
          <w:tcPr>
            <w:tcW w:w="2835"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Interaktion er ikke undersøgt.</w:t>
            </w:r>
          </w:p>
        </w:tc>
        <w:tc>
          <w:tcPr>
            <w:tcW w:w="3086" w:type="dxa"/>
            <w:vMerge/>
            <w:tcBorders>
              <w:top w:val="single" w:sz="4" w:space="0" w:color="auto"/>
              <w:left w:val="single" w:sz="4" w:space="0" w:color="auto"/>
              <w:bottom w:val="single" w:sz="4" w:space="0" w:color="auto"/>
              <w:right w:val="single" w:sz="4" w:space="0" w:color="auto"/>
            </w:tcBorders>
            <w:vAlign w:val="center"/>
            <w:hideMark/>
          </w:tcPr>
          <w:p w:rsidR="004B15A2" w:rsidRPr="00A92787" w:rsidRDefault="004B15A2" w:rsidP="004B15A2">
            <w:pPr>
              <w:rPr>
                <w:rFonts w:ascii="Times New Roman" w:hAnsi="Times New Roman"/>
                <w:sz w:val="20"/>
                <w:szCs w:val="20"/>
                <w:lang w:val="da-DK"/>
              </w:rPr>
            </w:pP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Lamivudin/Tenofovirdisoproxil</w:t>
            </w:r>
          </w:p>
        </w:tc>
        <w:tc>
          <w:tcPr>
            <w:tcW w:w="2835" w:type="dxa"/>
            <w:tcBorders>
              <w:top w:val="single" w:sz="4" w:space="0" w:color="auto"/>
              <w:left w:val="single" w:sz="4" w:space="0" w:color="auto"/>
              <w:bottom w:val="single" w:sz="4" w:space="0" w:color="auto"/>
              <w:right w:val="single" w:sz="4" w:space="0" w:color="auto"/>
            </w:tcBorders>
          </w:tcPr>
          <w:p w:rsidR="004B15A2" w:rsidRPr="00A92787" w:rsidRDefault="004B15A2" w:rsidP="004B15A2">
            <w:pPr>
              <w:rPr>
                <w:rFonts w:ascii="Times New Roman" w:hAnsi="Times New Roman"/>
                <w:sz w:val="20"/>
                <w:szCs w:val="20"/>
                <w:lang w:val="da-DK"/>
              </w:rPr>
            </w:pPr>
            <w:r w:rsidRPr="004B15A2">
              <w:rPr>
                <w:sz w:val="20"/>
                <w:lang w:val="da-DK"/>
              </w:rPr>
              <w:t>Lamivudin:</w:t>
            </w:r>
          </w:p>
          <w:p w:rsidR="004B15A2" w:rsidRPr="00A92787" w:rsidRDefault="004B15A2" w:rsidP="004B15A2">
            <w:pPr>
              <w:rPr>
                <w:rFonts w:ascii="Times New Roman" w:hAnsi="Times New Roman"/>
                <w:sz w:val="20"/>
                <w:szCs w:val="20"/>
                <w:lang w:val="da-DK"/>
              </w:rPr>
            </w:pPr>
            <w:r w:rsidRPr="004B15A2">
              <w:rPr>
                <w:sz w:val="20"/>
                <w:lang w:val="da-DK"/>
              </w:rPr>
              <w:t>AUC: ↓ 3 % (↓ 8 til ↑ 15)</w:t>
            </w:r>
          </w:p>
          <w:p w:rsidR="004B15A2" w:rsidRPr="00A92787" w:rsidRDefault="004B15A2" w:rsidP="004B15A2">
            <w:pPr>
              <w:rPr>
                <w:rFonts w:ascii="Times New Roman" w:hAnsi="Times New Roman"/>
                <w:sz w:val="20"/>
                <w:szCs w:val="20"/>
                <w:lang w:val="da-DK"/>
              </w:rPr>
            </w:pPr>
            <w:r w:rsidRPr="004B15A2">
              <w:rPr>
                <w:sz w:val="20"/>
                <w:lang w:val="da-DK"/>
              </w:rPr>
              <w:t>Cmax: ↓ 24 % (↓ 44 til ↓ 12)</w:t>
            </w:r>
          </w:p>
          <w:p w:rsidR="004B15A2" w:rsidRPr="00A92787" w:rsidRDefault="004B15A2" w:rsidP="004B15A2">
            <w:pPr>
              <w:rPr>
                <w:rFonts w:ascii="Times New Roman" w:hAnsi="Times New Roman"/>
                <w:sz w:val="20"/>
                <w:szCs w:val="20"/>
                <w:lang w:val="da-DK"/>
              </w:rPr>
            </w:pPr>
            <w:r w:rsidRPr="004B15A2">
              <w:rPr>
                <w:sz w:val="20"/>
                <w:lang w:val="da-DK"/>
              </w:rPr>
              <w:t>Cmin: IB</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Tenofovir:</w:t>
            </w:r>
          </w:p>
          <w:p w:rsidR="004B15A2" w:rsidRPr="00A92787" w:rsidRDefault="004B15A2" w:rsidP="004B15A2">
            <w:pPr>
              <w:rPr>
                <w:rFonts w:ascii="Times New Roman" w:hAnsi="Times New Roman"/>
                <w:sz w:val="20"/>
                <w:szCs w:val="20"/>
                <w:lang w:val="da-DK"/>
              </w:rPr>
            </w:pPr>
            <w:r w:rsidRPr="004B15A2">
              <w:rPr>
                <w:sz w:val="20"/>
                <w:lang w:val="da-DK"/>
              </w:rPr>
              <w:t>AUC: ↓ 4 % (↓ 15 til ↑ 8)</w:t>
            </w:r>
          </w:p>
          <w:p w:rsidR="004B15A2" w:rsidRPr="00A92787" w:rsidRDefault="004B15A2" w:rsidP="004B15A2">
            <w:pPr>
              <w:rPr>
                <w:rFonts w:ascii="Times New Roman" w:hAnsi="Times New Roman"/>
                <w:sz w:val="20"/>
                <w:szCs w:val="20"/>
                <w:lang w:val="da-DK"/>
              </w:rPr>
            </w:pPr>
            <w:r w:rsidRPr="00467589">
              <w:rPr>
                <w:sz w:val="20"/>
              </w:rPr>
              <w:t xml:space="preserve">Cmax: ↑ 102 % (↓ 96 til ↑ </w:t>
            </w:r>
            <w:r w:rsidRPr="00467589">
              <w:rPr>
                <w:sz w:val="20"/>
              </w:rPr>
              <w:lastRenderedPageBreak/>
              <w:t>108)</w:t>
            </w:r>
          </w:p>
          <w:p w:rsidR="004B15A2" w:rsidRPr="00A92787" w:rsidRDefault="004B15A2" w:rsidP="004B15A2">
            <w:pPr>
              <w:rPr>
                <w:rFonts w:ascii="Times New Roman" w:hAnsi="Times New Roman"/>
                <w:sz w:val="20"/>
                <w:szCs w:val="20"/>
                <w:lang w:val="da-DK"/>
              </w:rPr>
            </w:pPr>
            <w:r w:rsidRPr="00467589">
              <w:rPr>
                <w:sz w:val="20"/>
              </w:rPr>
              <w:t>Cmin: IB</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da-DK"/>
              </w:rPr>
              <w:lastRenderedPageBreak/>
              <w:t>Lamivudin og emtricitabin/ tenofovirdisoproxil må ikke administreres samtidigt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Efavirenz/Tenofovirdisoproxil</w:t>
            </w:r>
          </w:p>
        </w:tc>
        <w:tc>
          <w:tcPr>
            <w:tcW w:w="2835" w:type="dxa"/>
            <w:tcBorders>
              <w:top w:val="single" w:sz="4" w:space="0" w:color="auto"/>
              <w:left w:val="single" w:sz="4" w:space="0" w:color="auto"/>
              <w:bottom w:val="single" w:sz="4" w:space="0" w:color="auto"/>
              <w:right w:val="single" w:sz="4" w:space="0" w:color="auto"/>
            </w:tcBorders>
          </w:tcPr>
          <w:p w:rsidR="004B15A2" w:rsidRPr="00A92787" w:rsidRDefault="004B15A2" w:rsidP="004B15A2">
            <w:pPr>
              <w:rPr>
                <w:rFonts w:ascii="Times New Roman" w:hAnsi="Times New Roman"/>
                <w:sz w:val="20"/>
                <w:szCs w:val="20"/>
                <w:lang w:val="da-DK"/>
              </w:rPr>
            </w:pPr>
            <w:r w:rsidRPr="004B15A2">
              <w:rPr>
                <w:sz w:val="20"/>
                <w:lang w:val="da-DK"/>
              </w:rPr>
              <w:t>Efavirenz:</w:t>
            </w:r>
          </w:p>
          <w:p w:rsidR="004B15A2" w:rsidRPr="00A92787" w:rsidRDefault="004B15A2" w:rsidP="004B15A2">
            <w:pPr>
              <w:rPr>
                <w:rFonts w:ascii="Times New Roman" w:hAnsi="Times New Roman"/>
                <w:sz w:val="20"/>
                <w:szCs w:val="20"/>
                <w:lang w:val="da-DK"/>
              </w:rPr>
            </w:pPr>
            <w:r w:rsidRPr="004B15A2">
              <w:rPr>
                <w:sz w:val="20"/>
                <w:lang w:val="da-DK"/>
              </w:rPr>
              <w:t>AUC: ↓ 4 % (↓ 7 til ↓ 1)</w:t>
            </w:r>
          </w:p>
          <w:p w:rsidR="004B15A2" w:rsidRPr="00A92787" w:rsidRDefault="004B15A2" w:rsidP="004B15A2">
            <w:pPr>
              <w:rPr>
                <w:rFonts w:ascii="Times New Roman" w:hAnsi="Times New Roman"/>
                <w:sz w:val="20"/>
                <w:szCs w:val="20"/>
                <w:lang w:val="da-DK"/>
              </w:rPr>
            </w:pPr>
            <w:r w:rsidRPr="004B15A2">
              <w:rPr>
                <w:sz w:val="20"/>
                <w:lang w:val="da-DK"/>
              </w:rPr>
              <w:t>Cmax: ↓ 4 % (↓ 9 til ↑ 2)</w:t>
            </w:r>
          </w:p>
          <w:p w:rsidR="004B15A2" w:rsidRPr="00A92787" w:rsidRDefault="004B15A2" w:rsidP="004B15A2">
            <w:pPr>
              <w:rPr>
                <w:rFonts w:ascii="Times New Roman" w:hAnsi="Times New Roman"/>
                <w:sz w:val="20"/>
                <w:szCs w:val="20"/>
                <w:lang w:val="da-DK"/>
              </w:rPr>
            </w:pPr>
            <w:r w:rsidRPr="004B15A2">
              <w:rPr>
                <w:sz w:val="20"/>
                <w:lang w:val="da-DK"/>
              </w:rPr>
              <w:t>Cmin: IB</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Tenofovir:</w:t>
            </w:r>
          </w:p>
          <w:p w:rsidR="004B15A2" w:rsidRPr="00A92787" w:rsidRDefault="004B15A2" w:rsidP="004B15A2">
            <w:pPr>
              <w:rPr>
                <w:rFonts w:ascii="Times New Roman" w:hAnsi="Times New Roman"/>
                <w:sz w:val="20"/>
                <w:szCs w:val="20"/>
                <w:lang w:val="da-DK"/>
              </w:rPr>
            </w:pPr>
            <w:r w:rsidRPr="004B15A2">
              <w:rPr>
                <w:sz w:val="20"/>
                <w:lang w:val="da-DK"/>
              </w:rPr>
              <w:t>AUC: ↓ 1 % (↓ 8 til ↑ 6)</w:t>
            </w:r>
          </w:p>
          <w:p w:rsidR="004B15A2" w:rsidRPr="00A92787" w:rsidRDefault="004B15A2" w:rsidP="004B15A2">
            <w:pPr>
              <w:rPr>
                <w:rFonts w:ascii="Times New Roman" w:hAnsi="Times New Roman"/>
                <w:sz w:val="20"/>
                <w:szCs w:val="20"/>
                <w:lang w:val="da-DK"/>
              </w:rPr>
            </w:pPr>
            <w:r w:rsidRPr="00467589">
              <w:rPr>
                <w:sz w:val="20"/>
              </w:rPr>
              <w:t>Cmax: ↑ 7 % (↓ 6 til ↑ 22)</w:t>
            </w:r>
          </w:p>
          <w:p w:rsidR="004B15A2" w:rsidRPr="00A92787" w:rsidRDefault="004B15A2" w:rsidP="004B15A2">
            <w:pPr>
              <w:rPr>
                <w:rFonts w:ascii="Times New Roman" w:hAnsi="Times New Roman"/>
                <w:sz w:val="20"/>
                <w:szCs w:val="20"/>
                <w:lang w:val="da-DK"/>
              </w:rPr>
            </w:pPr>
            <w:r w:rsidRPr="00467589">
              <w:rPr>
                <w:sz w:val="20"/>
              </w:rPr>
              <w:t>Cmin: IB</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da-DK"/>
              </w:rPr>
              <w:t>Dosisjustering af efavirenz er ikke nødvendig.</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b/>
                <w:i/>
                <w:sz w:val="20"/>
                <w:szCs w:val="20"/>
                <w:lang w:val="da-DK"/>
              </w:rPr>
            </w:pPr>
            <w:r w:rsidRPr="00467589">
              <w:rPr>
                <w:b/>
                <w:i/>
                <w:sz w:val="20"/>
              </w:rPr>
              <w:t>ANTIINFEKTIVA</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b/>
                <w:sz w:val="20"/>
                <w:szCs w:val="20"/>
                <w:lang w:val="da-DK"/>
              </w:rPr>
            </w:pPr>
            <w:r w:rsidRPr="00467589">
              <w:rPr>
                <w:rFonts w:ascii="Times New Roman" w:hAnsi="Times New Roman"/>
                <w:b/>
                <w:sz w:val="20"/>
                <w:szCs w:val="20"/>
                <w:lang w:val="da-DK"/>
              </w:rPr>
              <w:t>Hepatitis B-virus (HBV) antivirale midler</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Adefovirdipivoxil/Tenofovirdisoproxil</w:t>
            </w:r>
          </w:p>
        </w:tc>
        <w:tc>
          <w:tcPr>
            <w:tcW w:w="2835" w:type="dxa"/>
            <w:tcBorders>
              <w:top w:val="single" w:sz="4" w:space="0" w:color="auto"/>
              <w:left w:val="single" w:sz="4" w:space="0" w:color="auto"/>
              <w:bottom w:val="single" w:sz="4" w:space="0" w:color="auto"/>
              <w:right w:val="single" w:sz="4" w:space="0" w:color="auto"/>
            </w:tcBorders>
          </w:tcPr>
          <w:p w:rsidR="004B15A2" w:rsidRPr="00A92787" w:rsidRDefault="004B15A2" w:rsidP="004B15A2">
            <w:pPr>
              <w:rPr>
                <w:rFonts w:ascii="Times New Roman" w:hAnsi="Times New Roman"/>
                <w:sz w:val="20"/>
                <w:szCs w:val="20"/>
                <w:lang w:val="da-DK"/>
              </w:rPr>
            </w:pPr>
            <w:r w:rsidRPr="004B15A2">
              <w:rPr>
                <w:sz w:val="20"/>
                <w:lang w:val="da-DK"/>
              </w:rPr>
              <w:t>Adefovirdipivoxil:</w:t>
            </w:r>
          </w:p>
          <w:p w:rsidR="004B15A2" w:rsidRPr="00A92787" w:rsidRDefault="004B15A2" w:rsidP="004B15A2">
            <w:pPr>
              <w:rPr>
                <w:rFonts w:ascii="Times New Roman" w:hAnsi="Times New Roman"/>
                <w:sz w:val="20"/>
                <w:szCs w:val="20"/>
                <w:lang w:val="da-DK"/>
              </w:rPr>
            </w:pPr>
            <w:r w:rsidRPr="004B15A2">
              <w:rPr>
                <w:sz w:val="20"/>
                <w:lang w:val="da-DK"/>
              </w:rPr>
              <w:t>AUC: ↓ 11 % (↓ 14 til ↓ 7)</w:t>
            </w:r>
          </w:p>
          <w:p w:rsidR="004B15A2" w:rsidRPr="00A92787" w:rsidRDefault="004B15A2" w:rsidP="004B15A2">
            <w:pPr>
              <w:rPr>
                <w:rFonts w:ascii="Times New Roman" w:hAnsi="Times New Roman"/>
                <w:sz w:val="20"/>
                <w:szCs w:val="20"/>
                <w:lang w:val="da-DK"/>
              </w:rPr>
            </w:pPr>
            <w:r w:rsidRPr="004B15A2">
              <w:rPr>
                <w:sz w:val="20"/>
                <w:lang w:val="da-DK"/>
              </w:rPr>
              <w:t>Cmax: ↓ 7 % (↓ 13 til ↓ 0)</w:t>
            </w:r>
          </w:p>
          <w:p w:rsidR="004B15A2" w:rsidRPr="00A92787" w:rsidRDefault="004B15A2" w:rsidP="004B15A2">
            <w:pPr>
              <w:rPr>
                <w:rFonts w:ascii="Times New Roman" w:hAnsi="Times New Roman"/>
                <w:sz w:val="20"/>
                <w:szCs w:val="20"/>
                <w:lang w:val="da-DK"/>
              </w:rPr>
            </w:pPr>
            <w:r w:rsidRPr="004B15A2">
              <w:rPr>
                <w:sz w:val="20"/>
                <w:lang w:val="da-DK"/>
              </w:rPr>
              <w:t>Cmin: IB</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Tenofovir:</w:t>
            </w:r>
          </w:p>
          <w:p w:rsidR="004B15A2" w:rsidRPr="00A92787" w:rsidRDefault="004B15A2" w:rsidP="004B15A2">
            <w:pPr>
              <w:rPr>
                <w:rFonts w:ascii="Times New Roman" w:hAnsi="Times New Roman"/>
                <w:sz w:val="20"/>
                <w:szCs w:val="20"/>
                <w:lang w:val="da-DK"/>
              </w:rPr>
            </w:pPr>
            <w:r w:rsidRPr="004B15A2">
              <w:rPr>
                <w:sz w:val="20"/>
                <w:lang w:val="da-DK"/>
              </w:rPr>
              <w:t>AUC: ↓ 2 % (↓ 5 til ↑ 0)</w:t>
            </w:r>
          </w:p>
          <w:p w:rsidR="004B15A2" w:rsidRPr="00A92787" w:rsidRDefault="004B15A2" w:rsidP="004B15A2">
            <w:pPr>
              <w:rPr>
                <w:rFonts w:ascii="Times New Roman" w:hAnsi="Times New Roman"/>
                <w:sz w:val="20"/>
                <w:szCs w:val="20"/>
                <w:lang w:val="da-DK"/>
              </w:rPr>
            </w:pPr>
            <w:r w:rsidRPr="00467589">
              <w:rPr>
                <w:sz w:val="20"/>
              </w:rPr>
              <w:t>Cmax: ↓ 1 % (↓ 7 til ↑ 6)</w:t>
            </w:r>
          </w:p>
          <w:p w:rsidR="004B15A2" w:rsidRPr="00A92787" w:rsidRDefault="004B15A2" w:rsidP="004B15A2">
            <w:pPr>
              <w:rPr>
                <w:rFonts w:ascii="Times New Roman" w:hAnsi="Times New Roman"/>
                <w:sz w:val="20"/>
                <w:szCs w:val="20"/>
                <w:lang w:val="da-DK"/>
              </w:rPr>
            </w:pPr>
            <w:r w:rsidRPr="00467589">
              <w:rPr>
                <w:sz w:val="20"/>
              </w:rPr>
              <w:t>Cmin: IB</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da-DK"/>
              </w:rPr>
              <w:t>Adefovirdipivoxil og emtricitabin/tenofovirdisoproxil må ikke administreres samtidigt (se pkt. 4.4).</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b/>
                <w:sz w:val="20"/>
                <w:szCs w:val="20"/>
                <w:lang w:val="da-DK"/>
              </w:rPr>
            </w:pPr>
            <w:r w:rsidRPr="00467589">
              <w:rPr>
                <w:rFonts w:ascii="Times New Roman" w:hAnsi="Times New Roman"/>
                <w:b/>
                <w:sz w:val="20"/>
                <w:szCs w:val="20"/>
                <w:lang w:val="da-DK"/>
              </w:rPr>
              <w:t>Antivirale midler mod hepatitis C-virus (HCV)</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Ledipasvir/Sofosbuvir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(90 mg/400 mg q.d.) </w:t>
            </w:r>
          </w:p>
          <w:p w:rsidR="004B15A2" w:rsidRPr="004B15A2" w:rsidRDefault="004B15A2" w:rsidP="004B15A2">
            <w:pPr>
              <w:rPr>
                <w:rFonts w:ascii="Times New Roman" w:hAnsi="Times New Roman"/>
                <w:sz w:val="20"/>
                <w:szCs w:val="20"/>
              </w:rPr>
            </w:pPr>
            <w:r w:rsidRPr="00C1274B">
              <w:rPr>
                <w:sz w:val="20"/>
              </w:rPr>
              <w:t>+ Atazanavir/Ritonavir</w:t>
            </w:r>
          </w:p>
          <w:p w:rsidR="004B15A2" w:rsidRPr="004B15A2" w:rsidRDefault="004B15A2" w:rsidP="004B15A2">
            <w:pPr>
              <w:rPr>
                <w:rFonts w:ascii="Times New Roman" w:hAnsi="Times New Roman"/>
                <w:sz w:val="20"/>
                <w:szCs w:val="20"/>
              </w:rPr>
            </w:pPr>
            <w:r w:rsidRPr="00C1274B">
              <w:rPr>
                <w:sz w:val="20"/>
              </w:rPr>
              <w:t xml:space="preserve">(300 mg q.d./100 mg q.d.) </w:t>
            </w:r>
          </w:p>
          <w:p w:rsidR="004B15A2" w:rsidRPr="004B15A2" w:rsidRDefault="004B15A2" w:rsidP="004B15A2">
            <w:pPr>
              <w:rPr>
                <w:rFonts w:ascii="Times New Roman" w:hAnsi="Times New Roman"/>
                <w:sz w:val="20"/>
                <w:szCs w:val="20"/>
              </w:rPr>
            </w:pPr>
            <w:r w:rsidRPr="00C1274B">
              <w:rPr>
                <w:sz w:val="20"/>
              </w:rPr>
              <w:t>+ Emtricitabin/ Tenofovirdisoproxil</w:t>
            </w:r>
          </w:p>
          <w:p w:rsidR="004B15A2" w:rsidRPr="004B15A2" w:rsidRDefault="004B15A2" w:rsidP="004B15A2">
            <w:pPr>
              <w:rPr>
                <w:rFonts w:ascii="Times New Roman" w:hAnsi="Times New Roman"/>
                <w:sz w:val="20"/>
                <w:szCs w:val="20"/>
              </w:rPr>
            </w:pPr>
            <w:r w:rsidRPr="00467589">
              <w:rPr>
                <w:sz w:val="20"/>
              </w:rPr>
              <w:t>(200 mg/245 mg q.d.)</w:t>
            </w:r>
            <w:r w:rsidRPr="00467589">
              <w:rPr>
                <w:sz w:val="20"/>
                <w:vertAlign w:val="superscript"/>
              </w:rPr>
              <w:t>1</w:t>
            </w:r>
          </w:p>
        </w:tc>
        <w:tc>
          <w:tcPr>
            <w:tcW w:w="2835" w:type="dxa"/>
            <w:tcBorders>
              <w:top w:val="single" w:sz="4" w:space="0" w:color="auto"/>
              <w:left w:val="single" w:sz="4" w:space="0" w:color="auto"/>
              <w:bottom w:val="single" w:sz="4" w:space="0" w:color="auto"/>
              <w:right w:val="single" w:sz="4" w:space="0" w:color="auto"/>
            </w:tcBorders>
          </w:tcPr>
          <w:p w:rsidR="004B15A2" w:rsidRPr="004B15A2" w:rsidRDefault="004B15A2" w:rsidP="004B15A2">
            <w:pPr>
              <w:rPr>
                <w:rFonts w:ascii="Times New Roman" w:hAnsi="Times New Roman"/>
                <w:sz w:val="20"/>
                <w:szCs w:val="20"/>
              </w:rPr>
            </w:pPr>
            <w:r w:rsidRPr="00C1274B">
              <w:rPr>
                <w:sz w:val="20"/>
              </w:rPr>
              <w:t>Ledipasvir:</w:t>
            </w:r>
          </w:p>
          <w:p w:rsidR="004B15A2" w:rsidRPr="004B15A2" w:rsidRDefault="004B15A2" w:rsidP="004B15A2">
            <w:pPr>
              <w:rPr>
                <w:rFonts w:ascii="Times New Roman" w:hAnsi="Times New Roman"/>
                <w:sz w:val="20"/>
                <w:szCs w:val="20"/>
              </w:rPr>
            </w:pPr>
            <w:r w:rsidRPr="00C1274B">
              <w:rPr>
                <w:sz w:val="20"/>
              </w:rPr>
              <w:t>AUC: ↑ 96 % (↑ 74 til ↑ 121)</w:t>
            </w:r>
          </w:p>
          <w:p w:rsidR="004B15A2" w:rsidRPr="004B15A2" w:rsidRDefault="004B15A2" w:rsidP="004B15A2">
            <w:pPr>
              <w:rPr>
                <w:rFonts w:ascii="Times New Roman" w:hAnsi="Times New Roman"/>
                <w:sz w:val="20"/>
                <w:szCs w:val="20"/>
              </w:rPr>
            </w:pPr>
            <w:r w:rsidRPr="00C1274B">
              <w:rPr>
                <w:sz w:val="20"/>
              </w:rPr>
              <w:t>Cmax: ↑ 68 % (↑ 54 til ↑ 84)</w:t>
            </w:r>
          </w:p>
          <w:p w:rsidR="004B15A2" w:rsidRPr="004B15A2" w:rsidRDefault="004B15A2" w:rsidP="004B15A2">
            <w:pPr>
              <w:rPr>
                <w:rFonts w:ascii="Times New Roman" w:hAnsi="Times New Roman"/>
                <w:sz w:val="20"/>
                <w:szCs w:val="20"/>
              </w:rPr>
            </w:pPr>
            <w:r w:rsidRPr="00C1274B">
              <w:rPr>
                <w:sz w:val="20"/>
              </w:rPr>
              <w:t>Cmin: ↑ 118 % (↑ 91 til ↑ 150)</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Sofosbuvir: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GS-331007</w:t>
            </w:r>
            <w:r w:rsidRPr="00C1274B">
              <w:rPr>
                <w:sz w:val="20"/>
                <w:vertAlign w:val="superscript"/>
              </w:rPr>
              <w:t>2</w:t>
            </w:r>
            <w:r w:rsidRPr="00C1274B">
              <w:rPr>
                <w:sz w:val="20"/>
              </w:rPr>
              <w:t>:</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 42 % (↑ 34 til ↑ 49)</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Atazanavir: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 63 % (↑ 45 til ↑ 84)</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Ritonavir: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 45 % (↑ 27 til ↑ 64)</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Emtricitabin:</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Tenofovir: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 47 % (↑ 37 til ↑ 58)</w:t>
            </w:r>
          </w:p>
          <w:p w:rsidR="004B15A2" w:rsidRPr="004B15A2" w:rsidRDefault="004B15A2" w:rsidP="004B15A2">
            <w:pPr>
              <w:rPr>
                <w:rFonts w:ascii="Times New Roman" w:hAnsi="Times New Roman"/>
                <w:sz w:val="20"/>
                <w:szCs w:val="20"/>
              </w:rPr>
            </w:pPr>
            <w:r w:rsidRPr="00C1274B">
              <w:rPr>
                <w:sz w:val="20"/>
              </w:rPr>
              <w:t>Cmin: ↑ 47 % (↑ 38 til ↑ 57)</w:t>
            </w:r>
          </w:p>
        </w:tc>
        <w:tc>
          <w:tcPr>
            <w:tcW w:w="3086"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Øget plasmakoncentration af tenofovir som følge af samtidig administration af tenofovirdisoproxil, ledipasvir/sofosbuvir og atazanavir/ritonavir kan øge risikoen for bivirkninger relaterede til tenofovirdisoproxil, herunder nyrerelaterede bivirkninger. Sikkerheden af tenofovirdisoproxil sammen med ledipasvir/sofosbuvir og en farmakokinetisk booster (f.eks. ritonavir eller cobicistat) er ikke klarlagt.</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Hvis der ikke er andre alternativer, skal kombinationen anvendes med forsigtighed med hyppig monitorering af nyrefunkionen,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A92787">
              <w:rPr>
                <w:sz w:val="20"/>
                <w:lang w:val="sv-SE"/>
              </w:rPr>
              <w:t>Ledipasvir/Sofosbuvir</w:t>
            </w:r>
          </w:p>
          <w:p w:rsidR="004B15A2" w:rsidRPr="00467589" w:rsidRDefault="004B15A2" w:rsidP="004B15A2">
            <w:pPr>
              <w:rPr>
                <w:rFonts w:ascii="Times New Roman" w:hAnsi="Times New Roman"/>
                <w:sz w:val="20"/>
                <w:szCs w:val="20"/>
                <w:lang w:val="da-DK"/>
              </w:rPr>
            </w:pPr>
            <w:r w:rsidRPr="00A92787">
              <w:rPr>
                <w:sz w:val="20"/>
                <w:lang w:val="sv-SE"/>
              </w:rPr>
              <w:t>(90 mg/400 mg q.d.)</w:t>
            </w:r>
          </w:p>
          <w:p w:rsidR="004B15A2" w:rsidRPr="004B15A2" w:rsidRDefault="004B15A2" w:rsidP="004B15A2">
            <w:pPr>
              <w:rPr>
                <w:rFonts w:ascii="Times New Roman" w:hAnsi="Times New Roman"/>
                <w:sz w:val="20"/>
                <w:szCs w:val="20"/>
              </w:rPr>
            </w:pPr>
            <w:r w:rsidRPr="00C1274B">
              <w:rPr>
                <w:sz w:val="20"/>
              </w:rPr>
              <w:lastRenderedPageBreak/>
              <w:t>+ Darunavir/Ritonavir</w:t>
            </w:r>
          </w:p>
          <w:p w:rsidR="004B15A2" w:rsidRPr="004B15A2" w:rsidRDefault="004B15A2" w:rsidP="004B15A2">
            <w:pPr>
              <w:rPr>
                <w:rFonts w:ascii="Times New Roman" w:hAnsi="Times New Roman"/>
                <w:sz w:val="20"/>
                <w:szCs w:val="20"/>
              </w:rPr>
            </w:pPr>
            <w:r w:rsidRPr="00C1274B">
              <w:rPr>
                <w:sz w:val="20"/>
              </w:rPr>
              <w:t>(800 mg q.d./100 mg q.d.)</w:t>
            </w:r>
          </w:p>
          <w:p w:rsidR="004B15A2" w:rsidRPr="004B15A2" w:rsidRDefault="004B15A2" w:rsidP="004B15A2">
            <w:pPr>
              <w:rPr>
                <w:rFonts w:ascii="Times New Roman" w:hAnsi="Times New Roman"/>
                <w:sz w:val="20"/>
                <w:szCs w:val="20"/>
              </w:rPr>
            </w:pPr>
            <w:r w:rsidRPr="00C1274B">
              <w:rPr>
                <w:sz w:val="20"/>
              </w:rPr>
              <w:t>+ Emtricitabin/ Tenofovirdisoproxil</w:t>
            </w:r>
          </w:p>
          <w:p w:rsidR="004B15A2" w:rsidRPr="004B15A2" w:rsidRDefault="004B15A2" w:rsidP="004B15A2">
            <w:pPr>
              <w:rPr>
                <w:rFonts w:ascii="Times New Roman" w:hAnsi="Times New Roman"/>
                <w:sz w:val="20"/>
                <w:szCs w:val="20"/>
              </w:rPr>
            </w:pPr>
            <w:r w:rsidRPr="00467589">
              <w:rPr>
                <w:sz w:val="20"/>
              </w:rPr>
              <w:t>(200 mg/245 mg q.d.)</w:t>
            </w:r>
            <w:r w:rsidRPr="00467589">
              <w:rPr>
                <w:sz w:val="20"/>
                <w:vertAlign w:val="superscript"/>
              </w:rPr>
              <w:t>1</w:t>
            </w:r>
          </w:p>
        </w:tc>
        <w:tc>
          <w:tcPr>
            <w:tcW w:w="2835" w:type="dxa"/>
            <w:tcBorders>
              <w:top w:val="single" w:sz="4" w:space="0" w:color="auto"/>
              <w:left w:val="single" w:sz="4" w:space="0" w:color="auto"/>
              <w:bottom w:val="single" w:sz="4" w:space="0" w:color="auto"/>
              <w:right w:val="single" w:sz="4" w:space="0" w:color="auto"/>
            </w:tcBorders>
          </w:tcPr>
          <w:p w:rsidR="004B15A2" w:rsidRPr="004B15A2" w:rsidRDefault="004B15A2" w:rsidP="004B15A2">
            <w:pPr>
              <w:rPr>
                <w:rFonts w:ascii="Times New Roman" w:hAnsi="Times New Roman"/>
                <w:sz w:val="20"/>
                <w:szCs w:val="20"/>
              </w:rPr>
            </w:pPr>
            <w:r w:rsidRPr="00C1274B">
              <w:rPr>
                <w:sz w:val="20"/>
              </w:rPr>
              <w:lastRenderedPageBreak/>
              <w:t>Ledipasvir: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lastRenderedPageBreak/>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Sofosbuvir:</w:t>
            </w:r>
          </w:p>
          <w:p w:rsidR="004B15A2" w:rsidRPr="004B15A2" w:rsidRDefault="004B15A2" w:rsidP="004B15A2">
            <w:pPr>
              <w:rPr>
                <w:rFonts w:ascii="Times New Roman" w:hAnsi="Times New Roman"/>
                <w:sz w:val="20"/>
                <w:szCs w:val="20"/>
              </w:rPr>
            </w:pPr>
            <w:r w:rsidRPr="00C1274B">
              <w:rPr>
                <w:sz w:val="20"/>
              </w:rPr>
              <w:t>AUC: ↓ 27 % (↓ 35 til ↓ 18)</w:t>
            </w:r>
          </w:p>
          <w:p w:rsidR="004B15A2" w:rsidRPr="004B15A2" w:rsidRDefault="004B15A2" w:rsidP="004B15A2">
            <w:pPr>
              <w:rPr>
                <w:rFonts w:ascii="Times New Roman" w:hAnsi="Times New Roman"/>
                <w:sz w:val="20"/>
                <w:szCs w:val="20"/>
              </w:rPr>
            </w:pPr>
            <w:r w:rsidRPr="00C1274B">
              <w:rPr>
                <w:sz w:val="20"/>
              </w:rPr>
              <w:t>Cmax: ↓ 37 % (↓ 48 til ↓ 25)</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GS-331007</w:t>
            </w:r>
            <w:r w:rsidRPr="00C1274B">
              <w:rPr>
                <w:sz w:val="20"/>
                <w:vertAlign w:val="superscript"/>
              </w:rPr>
              <w:t>2</w:t>
            </w:r>
            <w:r w:rsidRPr="00C1274B">
              <w:rPr>
                <w:sz w:val="20"/>
              </w:rPr>
              <w:t>:</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Darunavir: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Ritonavir: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 48 % (↑ 34 til ↑ 63)</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Emtricitabin:</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Tenofovir:</w:t>
            </w:r>
          </w:p>
          <w:p w:rsidR="004B15A2" w:rsidRPr="004B15A2" w:rsidRDefault="004B15A2" w:rsidP="004B15A2">
            <w:pPr>
              <w:rPr>
                <w:rFonts w:ascii="Times New Roman" w:hAnsi="Times New Roman"/>
                <w:sz w:val="20"/>
                <w:szCs w:val="20"/>
              </w:rPr>
            </w:pPr>
            <w:r w:rsidRPr="00C1274B">
              <w:rPr>
                <w:sz w:val="20"/>
              </w:rPr>
              <w:t>AUC: ↑ 50 % (↑ 42 til ↑ 59)</w:t>
            </w:r>
          </w:p>
          <w:p w:rsidR="004B15A2" w:rsidRPr="004B15A2" w:rsidRDefault="004B15A2" w:rsidP="004B15A2">
            <w:pPr>
              <w:rPr>
                <w:rFonts w:ascii="Times New Roman" w:hAnsi="Times New Roman"/>
                <w:sz w:val="20"/>
                <w:szCs w:val="20"/>
              </w:rPr>
            </w:pPr>
            <w:r w:rsidRPr="00C1274B">
              <w:rPr>
                <w:sz w:val="20"/>
              </w:rPr>
              <w:t>Cmax: ↑ 64 % (↑ 54 til ↑ 74)</w:t>
            </w:r>
          </w:p>
          <w:p w:rsidR="004B15A2" w:rsidRPr="00A92787" w:rsidRDefault="004B15A2" w:rsidP="004B15A2">
            <w:pPr>
              <w:rPr>
                <w:rFonts w:ascii="Times New Roman" w:hAnsi="Times New Roman"/>
                <w:sz w:val="20"/>
                <w:szCs w:val="20"/>
                <w:lang w:val="da-DK"/>
              </w:rPr>
            </w:pPr>
            <w:r w:rsidRPr="00467589">
              <w:rPr>
                <w:sz w:val="20"/>
              </w:rPr>
              <w:t>Cmin: ↑ 59 % (↑ 49 til ↑ 70)</w:t>
            </w:r>
          </w:p>
        </w:tc>
        <w:tc>
          <w:tcPr>
            <w:tcW w:w="3086"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B15A2">
              <w:rPr>
                <w:sz w:val="20"/>
                <w:lang w:val="da-DK"/>
              </w:rPr>
              <w:lastRenderedPageBreak/>
              <w:t xml:space="preserve">Øget plasmakoncentration af tenofovir som følge af samtidig </w:t>
            </w:r>
            <w:r w:rsidRPr="004B15A2">
              <w:rPr>
                <w:sz w:val="20"/>
                <w:lang w:val="da-DK"/>
              </w:rPr>
              <w:lastRenderedPageBreak/>
              <w:t xml:space="preserve">administration af tenofovirdisoproxil, ledipasvir/sofosbuvir og atazanavir/ritonavir kan øge risikoen for bivirkninger relaterede til tenofovirdisoproxil, herunder nyrerelaterede bivirkninger. </w:t>
            </w:r>
            <w:r w:rsidRPr="00A92787">
              <w:rPr>
                <w:sz w:val="20"/>
                <w:lang w:val="sv-SE"/>
              </w:rPr>
              <w:t>Sikkerheden af tenofovirdisoproxil sammen med ledipasvir/sofosbuvir og en farmakokinetisk booster (f.eks. ritonavir eller cobicistat) er ikke klarlagt.</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A92787">
              <w:rPr>
                <w:sz w:val="20"/>
                <w:lang w:val="sv-SE"/>
              </w:rPr>
              <w:t xml:space="preserve">Hvis der ikke er andre alternativer, </w:t>
            </w:r>
            <w:proofErr w:type="gramStart"/>
            <w:r w:rsidRPr="00A92787">
              <w:rPr>
                <w:sz w:val="20"/>
                <w:lang w:val="sv-SE"/>
              </w:rPr>
              <w:t>skal kombinationen</w:t>
            </w:r>
            <w:proofErr w:type="gramEnd"/>
            <w:r w:rsidRPr="00A92787">
              <w:rPr>
                <w:sz w:val="20"/>
                <w:lang w:val="sv-SE"/>
              </w:rPr>
              <w:t xml:space="preserve"> anvendes med forsigtighed og hyppig monitorering af nyrefunktionen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lastRenderedPageBreak/>
              <w:t>Ledipasvir/Sofosbuvir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(90 mg/400 mg q.d.) + Efavirenz/Emtricitabin/ Tenofovirdisoproxil</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(600 mg/200 mg/245 mg q.d.)</w:t>
            </w:r>
          </w:p>
        </w:tc>
        <w:tc>
          <w:tcPr>
            <w:tcW w:w="2835"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Ledipasvir:</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AUC: ↓ 34 % (↓ 41 til ↓ 25)</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max</w:t>
            </w:r>
            <w:r w:rsidRPr="00467589">
              <w:rPr>
                <w:rFonts w:ascii="Times New Roman" w:hAnsi="Times New Roman"/>
                <w:position w:val="2"/>
                <w:sz w:val="20"/>
                <w:szCs w:val="20"/>
                <w:lang w:val="da-DK"/>
              </w:rPr>
              <w:t>: ↓ 34 % (↓ 41 til ↑</w:t>
            </w:r>
            <w:r w:rsidRPr="00467589">
              <w:rPr>
                <w:rFonts w:ascii="Times New Roman" w:hAnsi="Times New Roman"/>
                <w:spacing w:val="-9"/>
                <w:position w:val="2"/>
                <w:sz w:val="20"/>
                <w:szCs w:val="20"/>
                <w:lang w:val="da-DK"/>
              </w:rPr>
              <w:t xml:space="preserve"> </w:t>
            </w:r>
            <w:r w:rsidRPr="00467589">
              <w:rPr>
                <w:rFonts w:ascii="Times New Roman" w:hAnsi="Times New Roman"/>
                <w:position w:val="2"/>
                <w:sz w:val="20"/>
                <w:szCs w:val="20"/>
                <w:lang w:val="da-DK"/>
              </w:rPr>
              <w:t>25)</w:t>
            </w:r>
          </w:p>
          <w:p w:rsidR="004B15A2" w:rsidRPr="00467589" w:rsidRDefault="004B15A2" w:rsidP="004B15A2">
            <w:pPr>
              <w:rPr>
                <w:rFonts w:ascii="Times New Roman" w:hAnsi="Times New Roman"/>
                <w:sz w:val="20"/>
                <w:szCs w:val="20"/>
                <w:lang w:val="da-DK"/>
              </w:rPr>
            </w:pP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min</w:t>
            </w:r>
            <w:r w:rsidRPr="00467589">
              <w:rPr>
                <w:rFonts w:ascii="Times New Roman" w:hAnsi="Times New Roman"/>
                <w:position w:val="2"/>
                <w:sz w:val="20"/>
                <w:szCs w:val="20"/>
                <w:lang w:val="da-DK"/>
              </w:rPr>
              <w:t>: ↓ 34 % (↓ 43 til ↑</w:t>
            </w:r>
            <w:r w:rsidRPr="00467589">
              <w:rPr>
                <w:rFonts w:ascii="Times New Roman" w:hAnsi="Times New Roman"/>
                <w:spacing w:val="-10"/>
                <w:position w:val="2"/>
                <w:sz w:val="20"/>
                <w:szCs w:val="20"/>
                <w:lang w:val="da-DK"/>
              </w:rPr>
              <w:t xml:space="preserve"> </w:t>
            </w:r>
            <w:r w:rsidRPr="00467589">
              <w:rPr>
                <w:rFonts w:ascii="Times New Roman" w:hAnsi="Times New Roman"/>
                <w:position w:val="2"/>
                <w:sz w:val="20"/>
                <w:szCs w:val="20"/>
                <w:lang w:val="da-DK"/>
              </w:rPr>
              <w:t>24)</w:t>
            </w:r>
          </w:p>
          <w:p w:rsidR="004B15A2" w:rsidRPr="00467589" w:rsidRDefault="004B15A2" w:rsidP="004B15A2">
            <w:pPr>
              <w:tabs>
                <w:tab w:val="left" w:pos="851"/>
              </w:tabs>
              <w:rPr>
                <w:rFonts w:ascii="Times New Roman" w:hAnsi="Times New Roman"/>
                <w:b/>
                <w:sz w:val="20"/>
                <w:szCs w:val="20"/>
                <w:lang w:val="da-DK"/>
              </w:rPr>
            </w:pP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Sofosbuvir:</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max</w:t>
            </w:r>
            <w:r w:rsidRPr="00467589">
              <w:rPr>
                <w:rFonts w:ascii="Times New Roman" w:hAnsi="Times New Roman"/>
                <w:position w:val="2"/>
                <w:sz w:val="20"/>
                <w:szCs w:val="20"/>
                <w:lang w:val="da-DK"/>
              </w:rPr>
              <w:t>: ↔</w:t>
            </w:r>
          </w:p>
          <w:p w:rsidR="004B15A2" w:rsidRPr="00467589" w:rsidRDefault="004B15A2" w:rsidP="004B15A2">
            <w:pPr>
              <w:tabs>
                <w:tab w:val="left" w:pos="851"/>
              </w:tabs>
              <w:rPr>
                <w:rFonts w:ascii="Times New Roman" w:hAnsi="Times New Roman"/>
                <w:b/>
                <w:sz w:val="20"/>
                <w:szCs w:val="20"/>
                <w:lang w:val="da-DK"/>
              </w:rPr>
            </w:pP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GS-331007</w:t>
            </w:r>
            <w:r w:rsidRPr="00467589">
              <w:rPr>
                <w:rFonts w:ascii="Times New Roman" w:hAnsi="Times New Roman"/>
                <w:position w:val="7"/>
                <w:sz w:val="20"/>
                <w:szCs w:val="20"/>
                <w:lang w:val="da-DK"/>
              </w:rPr>
              <w:t>2</w:t>
            </w:r>
            <w:r w:rsidRPr="00467589">
              <w:rPr>
                <w:rFonts w:ascii="Times New Roman" w:hAnsi="Times New Roman"/>
                <w:sz w:val="20"/>
                <w:szCs w:val="20"/>
                <w:lang w:val="da-DK"/>
              </w:rPr>
              <w:t>:</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max</w:t>
            </w:r>
            <w:r w:rsidRPr="00467589">
              <w:rPr>
                <w:rFonts w:ascii="Times New Roman" w:hAnsi="Times New Roman"/>
                <w:position w:val="2"/>
                <w:sz w:val="20"/>
                <w:szCs w:val="20"/>
                <w:lang w:val="da-DK"/>
              </w:rPr>
              <w:t>:</w:t>
            </w:r>
            <w:r w:rsidRPr="00467589">
              <w:rPr>
                <w:rFonts w:ascii="Times New Roman" w:hAnsi="Times New Roman"/>
                <w:spacing w:val="-5"/>
                <w:position w:val="2"/>
                <w:sz w:val="20"/>
                <w:szCs w:val="20"/>
                <w:lang w:val="da-DK"/>
              </w:rPr>
              <w:t xml:space="preserve"> </w:t>
            </w:r>
            <w:r w:rsidRPr="00467589">
              <w:rPr>
                <w:rFonts w:ascii="Times New Roman" w:hAnsi="Times New Roman"/>
                <w:position w:val="2"/>
                <w:sz w:val="20"/>
                <w:szCs w:val="20"/>
                <w:lang w:val="da-DK"/>
              </w:rPr>
              <w:t>↔</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min</w:t>
            </w:r>
            <w:r w:rsidRPr="00467589">
              <w:rPr>
                <w:rFonts w:ascii="Times New Roman" w:hAnsi="Times New Roman"/>
                <w:position w:val="2"/>
                <w:sz w:val="20"/>
                <w:szCs w:val="20"/>
                <w:lang w:val="da-DK"/>
              </w:rPr>
              <w:t>:</w:t>
            </w:r>
            <w:r w:rsidRPr="00467589">
              <w:rPr>
                <w:rFonts w:ascii="Times New Roman" w:hAnsi="Times New Roman"/>
                <w:spacing w:val="-6"/>
                <w:position w:val="2"/>
                <w:sz w:val="20"/>
                <w:szCs w:val="20"/>
                <w:lang w:val="da-DK"/>
              </w:rPr>
              <w:t xml:space="preserve"> </w:t>
            </w:r>
            <w:r w:rsidRPr="00467589">
              <w:rPr>
                <w:rFonts w:ascii="Times New Roman" w:hAnsi="Times New Roman"/>
                <w:position w:val="2"/>
                <w:sz w:val="20"/>
                <w:szCs w:val="20"/>
                <w:lang w:val="da-DK"/>
              </w:rPr>
              <w:t>↔</w:t>
            </w:r>
          </w:p>
          <w:p w:rsidR="004B15A2" w:rsidRPr="00467589" w:rsidRDefault="004B15A2" w:rsidP="004B15A2">
            <w:pPr>
              <w:tabs>
                <w:tab w:val="left" w:pos="851"/>
              </w:tabs>
              <w:rPr>
                <w:rFonts w:ascii="Times New Roman" w:hAnsi="Times New Roman"/>
                <w:b/>
                <w:sz w:val="20"/>
                <w:szCs w:val="20"/>
                <w:lang w:val="da-DK"/>
              </w:rPr>
            </w:pP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Efavirenz:</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max</w:t>
            </w:r>
            <w:r w:rsidRPr="00467589">
              <w:rPr>
                <w:rFonts w:ascii="Times New Roman" w:hAnsi="Times New Roman"/>
                <w:position w:val="2"/>
                <w:sz w:val="20"/>
                <w:szCs w:val="20"/>
                <w:lang w:val="da-DK"/>
              </w:rPr>
              <w:t>:</w:t>
            </w:r>
            <w:r w:rsidRPr="00467589">
              <w:rPr>
                <w:rFonts w:ascii="Times New Roman" w:hAnsi="Times New Roman"/>
                <w:spacing w:val="-5"/>
                <w:position w:val="2"/>
                <w:sz w:val="20"/>
                <w:szCs w:val="20"/>
                <w:lang w:val="da-DK"/>
              </w:rPr>
              <w:t xml:space="preserve"> </w:t>
            </w:r>
            <w:r w:rsidRPr="00467589">
              <w:rPr>
                <w:rFonts w:ascii="Times New Roman" w:hAnsi="Times New Roman"/>
                <w:position w:val="2"/>
                <w:sz w:val="20"/>
                <w:szCs w:val="20"/>
                <w:lang w:val="da-DK"/>
              </w:rPr>
              <w:t>↔</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min</w:t>
            </w:r>
            <w:r w:rsidRPr="00467589">
              <w:rPr>
                <w:rFonts w:ascii="Times New Roman" w:hAnsi="Times New Roman"/>
                <w:position w:val="2"/>
                <w:sz w:val="20"/>
                <w:szCs w:val="20"/>
                <w:lang w:val="da-DK"/>
              </w:rPr>
              <w:t>:</w:t>
            </w:r>
            <w:r w:rsidRPr="00467589">
              <w:rPr>
                <w:rFonts w:ascii="Times New Roman" w:hAnsi="Times New Roman"/>
                <w:spacing w:val="-6"/>
                <w:position w:val="2"/>
                <w:sz w:val="20"/>
                <w:szCs w:val="20"/>
                <w:lang w:val="da-DK"/>
              </w:rPr>
              <w:t xml:space="preserve"> </w:t>
            </w:r>
            <w:r w:rsidRPr="00467589">
              <w:rPr>
                <w:rFonts w:ascii="Times New Roman" w:hAnsi="Times New Roman"/>
                <w:position w:val="2"/>
                <w:sz w:val="20"/>
                <w:szCs w:val="20"/>
                <w:lang w:val="da-DK"/>
              </w:rPr>
              <w:t>↔</w:t>
            </w:r>
          </w:p>
          <w:p w:rsidR="004B15A2" w:rsidRPr="00467589" w:rsidRDefault="004B15A2" w:rsidP="004B15A2">
            <w:pPr>
              <w:tabs>
                <w:tab w:val="left" w:pos="851"/>
              </w:tabs>
              <w:rPr>
                <w:rFonts w:ascii="Times New Roman" w:hAnsi="Times New Roman"/>
                <w:b/>
                <w:sz w:val="20"/>
                <w:szCs w:val="20"/>
                <w:lang w:val="da-DK"/>
              </w:rPr>
            </w:pP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Emtricitabin:</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max</w:t>
            </w:r>
            <w:r w:rsidRPr="00467589">
              <w:rPr>
                <w:rFonts w:ascii="Times New Roman" w:hAnsi="Times New Roman"/>
                <w:position w:val="2"/>
                <w:sz w:val="20"/>
                <w:szCs w:val="20"/>
                <w:lang w:val="da-DK"/>
              </w:rPr>
              <w:t>:</w:t>
            </w:r>
            <w:r w:rsidRPr="00467589">
              <w:rPr>
                <w:rFonts w:ascii="Times New Roman" w:hAnsi="Times New Roman"/>
                <w:spacing w:val="-5"/>
                <w:position w:val="2"/>
                <w:sz w:val="20"/>
                <w:szCs w:val="20"/>
                <w:lang w:val="da-DK"/>
              </w:rPr>
              <w:t xml:space="preserve"> </w:t>
            </w:r>
            <w:r w:rsidRPr="00467589">
              <w:rPr>
                <w:rFonts w:ascii="Times New Roman" w:hAnsi="Times New Roman"/>
                <w:position w:val="2"/>
                <w:sz w:val="20"/>
                <w:szCs w:val="20"/>
                <w:lang w:val="da-DK"/>
              </w:rPr>
              <w:t>↔</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position w:val="2"/>
                <w:sz w:val="20"/>
                <w:szCs w:val="20"/>
                <w:lang w:val="da-DK"/>
              </w:rPr>
              <w:t>C</w:t>
            </w:r>
            <w:r w:rsidRPr="00467589">
              <w:rPr>
                <w:rFonts w:ascii="Times New Roman" w:hAnsi="Times New Roman"/>
                <w:sz w:val="20"/>
                <w:szCs w:val="20"/>
                <w:lang w:val="da-DK"/>
              </w:rPr>
              <w:t>min</w:t>
            </w:r>
            <w:r w:rsidRPr="00467589">
              <w:rPr>
                <w:rFonts w:ascii="Times New Roman" w:hAnsi="Times New Roman"/>
                <w:position w:val="2"/>
                <w:sz w:val="20"/>
                <w:szCs w:val="20"/>
                <w:lang w:val="da-DK"/>
              </w:rPr>
              <w:t>:</w:t>
            </w:r>
            <w:r w:rsidRPr="00467589">
              <w:rPr>
                <w:rFonts w:ascii="Times New Roman" w:hAnsi="Times New Roman"/>
                <w:spacing w:val="-6"/>
                <w:position w:val="2"/>
                <w:sz w:val="20"/>
                <w:szCs w:val="20"/>
                <w:lang w:val="da-DK"/>
              </w:rPr>
              <w:t xml:space="preserve"> </w:t>
            </w:r>
            <w:r w:rsidRPr="00467589">
              <w:rPr>
                <w:rFonts w:ascii="Times New Roman" w:hAnsi="Times New Roman"/>
                <w:position w:val="2"/>
                <w:sz w:val="20"/>
                <w:szCs w:val="20"/>
                <w:lang w:val="da-DK"/>
              </w:rPr>
              <w:t>↔</w:t>
            </w:r>
          </w:p>
          <w:p w:rsidR="004B15A2" w:rsidRPr="00467589" w:rsidRDefault="004B15A2" w:rsidP="004B15A2">
            <w:pPr>
              <w:tabs>
                <w:tab w:val="left" w:pos="851"/>
              </w:tabs>
              <w:rPr>
                <w:rFonts w:ascii="Times New Roman" w:hAnsi="Times New Roman"/>
                <w:b/>
                <w:sz w:val="20"/>
                <w:szCs w:val="20"/>
                <w:lang w:val="da-DK"/>
              </w:rPr>
            </w:pP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Tenofovir:</w:t>
            </w:r>
          </w:p>
          <w:p w:rsidR="004B15A2" w:rsidRPr="00467589" w:rsidRDefault="004B15A2" w:rsidP="004B15A2">
            <w:pPr>
              <w:tabs>
                <w:tab w:val="left" w:pos="851"/>
              </w:tabs>
              <w:rPr>
                <w:rFonts w:ascii="Times New Roman" w:hAnsi="Times New Roman"/>
                <w:sz w:val="20"/>
                <w:szCs w:val="20"/>
                <w:lang w:val="da-DK"/>
              </w:rPr>
            </w:pPr>
            <w:r w:rsidRPr="00467589">
              <w:rPr>
                <w:rFonts w:ascii="Times New Roman" w:hAnsi="Times New Roman"/>
                <w:sz w:val="20"/>
                <w:szCs w:val="20"/>
                <w:lang w:val="da-DK"/>
              </w:rPr>
              <w:t>AUC: ↑ 98 % (↑ 77 til ↑ 123)</w:t>
            </w:r>
          </w:p>
          <w:p w:rsidR="004B15A2" w:rsidRPr="00A92787" w:rsidRDefault="004B15A2" w:rsidP="004B15A2">
            <w:pPr>
              <w:tabs>
                <w:tab w:val="left" w:pos="851"/>
              </w:tabs>
              <w:rPr>
                <w:rFonts w:ascii="Times New Roman" w:hAnsi="Times New Roman"/>
                <w:sz w:val="20"/>
                <w:szCs w:val="20"/>
                <w:lang w:val="da-DK"/>
              </w:rPr>
            </w:pPr>
            <w:r w:rsidRPr="00467589">
              <w:rPr>
                <w:position w:val="2"/>
                <w:sz w:val="20"/>
              </w:rPr>
              <w:t>C</w:t>
            </w:r>
            <w:r w:rsidRPr="00467589">
              <w:rPr>
                <w:sz w:val="20"/>
              </w:rPr>
              <w:t>max</w:t>
            </w:r>
            <w:r w:rsidRPr="00467589">
              <w:rPr>
                <w:position w:val="2"/>
                <w:sz w:val="20"/>
              </w:rPr>
              <w:t>: ↑ 79 % (↑ 56 til ↑ 104)</w:t>
            </w:r>
          </w:p>
          <w:p w:rsidR="004B15A2" w:rsidRPr="00A92787" w:rsidRDefault="004B15A2" w:rsidP="004B15A2">
            <w:pPr>
              <w:rPr>
                <w:rFonts w:ascii="Times New Roman" w:hAnsi="Times New Roman"/>
                <w:sz w:val="20"/>
                <w:szCs w:val="20"/>
                <w:lang w:val="da-DK"/>
              </w:rPr>
            </w:pPr>
            <w:r w:rsidRPr="00467589">
              <w:rPr>
                <w:position w:val="2"/>
                <w:sz w:val="20"/>
              </w:rPr>
              <w:lastRenderedPageBreak/>
              <w:t>C</w:t>
            </w:r>
            <w:r w:rsidRPr="00467589">
              <w:rPr>
                <w:sz w:val="20"/>
              </w:rPr>
              <w:t>min</w:t>
            </w:r>
            <w:r w:rsidRPr="00467589">
              <w:rPr>
                <w:position w:val="2"/>
                <w:sz w:val="20"/>
              </w:rPr>
              <w:t>: ↑ 163 % (↑ 137 til ↑ 197)</w:t>
            </w:r>
          </w:p>
        </w:tc>
        <w:tc>
          <w:tcPr>
            <w:tcW w:w="3086"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A92787">
              <w:rPr>
                <w:sz w:val="20"/>
                <w:lang w:val="da-DK"/>
              </w:rPr>
              <w:lastRenderedPageBreak/>
              <w:t xml:space="preserve">Anbefaling for dosisjustering foreligger ikke. </w:t>
            </w:r>
            <w:r w:rsidRPr="00467589">
              <w:rPr>
                <w:rFonts w:ascii="Times New Roman" w:hAnsi="Times New Roman"/>
                <w:sz w:val="20"/>
                <w:szCs w:val="20"/>
                <w:lang w:val="da-DK"/>
              </w:rPr>
              <w:t xml:space="preserve">Den forøgede tenofovir-eksponering kan medføre forstærkede bivirkninger af tenofovirdisoproxil, herunder nyrerelaterede bivirkninger. </w:t>
            </w:r>
            <w:r w:rsidRPr="00467589">
              <w:rPr>
                <w:sz w:val="20"/>
              </w:rPr>
              <w:t>Nyrefunktionen skal monitoreres tæt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Ledipasvir/Sofosbuvir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(90 mg/400 mg q.d.)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Emtricitabin/Rilpivirin/ Tenofovirdisoproxil</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(200 mg/25 mg/245 mg q.d.)</w:t>
            </w:r>
          </w:p>
        </w:tc>
        <w:tc>
          <w:tcPr>
            <w:tcW w:w="2835"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Ledipasvir: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Sofosbuvir: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GS-331007</w:t>
            </w:r>
            <w:r w:rsidRPr="00467589">
              <w:rPr>
                <w:rFonts w:ascii="Times New Roman" w:hAnsi="Times New Roman"/>
                <w:sz w:val="20"/>
                <w:szCs w:val="20"/>
                <w:vertAlign w:val="superscript"/>
                <w:lang w:val="da-DK"/>
              </w:rPr>
              <w:t>2</w:t>
            </w:r>
            <w:r w:rsidRPr="00467589">
              <w:rPr>
                <w:rFonts w:ascii="Times New Roman" w:hAnsi="Times New Roman"/>
                <w:sz w:val="20"/>
                <w:szCs w:val="20"/>
                <w:lang w:val="da-DK"/>
              </w:rPr>
              <w:t>:</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Emtricitabin:</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Rilpivirin:</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Tenofovir: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 40 % (↑ 31 til ↑ 50) 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 91 % (↑ 74 til ↑ 110)</w:t>
            </w:r>
          </w:p>
        </w:tc>
        <w:tc>
          <w:tcPr>
            <w:tcW w:w="3086"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Der er ingen anbefalet</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dosisjustering. Den forøgede tenofovir-eksponering kan forstærke virkningen af bivirkninger ved tenofovirdisoproxil, herunder nyresygdomme. </w:t>
            </w:r>
            <w:r w:rsidRPr="00467589">
              <w:rPr>
                <w:sz w:val="20"/>
              </w:rPr>
              <w:t>Nyrefunktionen skal monitoreres tæt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Ledipasvir/Sofosbuvir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(90 mg/400 mg q.d.)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 Dolutegravir (50 mg q.d.)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Emtricitabin/Tenofovirdisoproxil (200 mg/245 mg q.d.)</w:t>
            </w:r>
          </w:p>
        </w:tc>
        <w:tc>
          <w:tcPr>
            <w:tcW w:w="2835"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Sofosbuvir: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GS-331007</w:t>
            </w:r>
            <w:r w:rsidRPr="00467589">
              <w:rPr>
                <w:rFonts w:ascii="Times New Roman" w:hAnsi="Times New Roman"/>
                <w:sz w:val="20"/>
                <w:szCs w:val="20"/>
                <w:vertAlign w:val="superscript"/>
                <w:lang w:val="da-DK"/>
              </w:rPr>
              <w:t>2</w:t>
            </w:r>
            <w:r w:rsidRPr="00467589">
              <w:rPr>
                <w:rFonts w:ascii="Times New Roman" w:hAnsi="Times New Roman"/>
                <w:sz w:val="20"/>
                <w:szCs w:val="20"/>
                <w:lang w:val="da-DK"/>
              </w:rPr>
              <w:t>:</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Ledipasvir: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Dolutegravir: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Emtricitabin:</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Tenofovir: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 65 % (↑ 59 til ↑ 71)</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 61 % (↑ 51 til ↑ 72)</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 115 % (↑ 105 til ↑ 126)</w:t>
            </w:r>
          </w:p>
        </w:tc>
        <w:tc>
          <w:tcPr>
            <w:tcW w:w="3086"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Dosisjustering af efavirenz er ikke nødvendig. Den forøgede tenofovir- eksponering kan forstærke bivirkninger relateret til tenofovirdisoproxil, herunder nyrerelaterede bivirkninger.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Nyrefunktionen skal monitoreres tæt (se pkt. 4.4).</w:t>
            </w:r>
          </w:p>
          <w:p w:rsidR="004B15A2" w:rsidRPr="00467589" w:rsidRDefault="004B15A2" w:rsidP="004B15A2">
            <w:pPr>
              <w:rPr>
                <w:rFonts w:ascii="Times New Roman" w:hAnsi="Times New Roman"/>
                <w:sz w:val="20"/>
                <w:szCs w:val="20"/>
                <w:lang w:val="da-DK"/>
              </w:rPr>
            </w:pP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A92787">
              <w:rPr>
                <w:sz w:val="20"/>
                <w:lang w:val="sv-SE"/>
              </w:rPr>
              <w:t xml:space="preserve">Sofosbuvir/Velpatasvir </w:t>
            </w:r>
          </w:p>
          <w:p w:rsidR="004B15A2" w:rsidRPr="00467589" w:rsidRDefault="004B15A2" w:rsidP="004B15A2">
            <w:pPr>
              <w:rPr>
                <w:rFonts w:ascii="Times New Roman" w:hAnsi="Times New Roman"/>
                <w:sz w:val="20"/>
                <w:szCs w:val="20"/>
                <w:lang w:val="da-DK"/>
              </w:rPr>
            </w:pPr>
            <w:r w:rsidRPr="00A92787">
              <w:rPr>
                <w:sz w:val="20"/>
                <w:lang w:val="sv-SE"/>
              </w:rPr>
              <w:t>(400 mg/100 mg q.d.)</w:t>
            </w:r>
          </w:p>
          <w:p w:rsidR="004B15A2" w:rsidRPr="004B15A2" w:rsidRDefault="004B15A2" w:rsidP="004B15A2">
            <w:pPr>
              <w:rPr>
                <w:rFonts w:ascii="Times New Roman" w:hAnsi="Times New Roman"/>
                <w:sz w:val="20"/>
                <w:szCs w:val="20"/>
              </w:rPr>
            </w:pPr>
            <w:r w:rsidRPr="00C1274B">
              <w:rPr>
                <w:sz w:val="20"/>
              </w:rPr>
              <w:t xml:space="preserve">+ Atazanavir/Ritonavir </w:t>
            </w:r>
          </w:p>
          <w:p w:rsidR="004B15A2" w:rsidRPr="004B15A2" w:rsidRDefault="004B15A2" w:rsidP="004B15A2">
            <w:pPr>
              <w:rPr>
                <w:rFonts w:ascii="Times New Roman" w:hAnsi="Times New Roman"/>
                <w:sz w:val="20"/>
                <w:szCs w:val="20"/>
              </w:rPr>
            </w:pPr>
            <w:r w:rsidRPr="00C1274B">
              <w:rPr>
                <w:sz w:val="20"/>
              </w:rPr>
              <w:lastRenderedPageBreak/>
              <w:t xml:space="preserve">(300 mg q.d./100 mg q.d.) </w:t>
            </w:r>
          </w:p>
          <w:p w:rsidR="004B15A2" w:rsidRPr="004B15A2" w:rsidRDefault="004B15A2" w:rsidP="004B15A2">
            <w:pPr>
              <w:rPr>
                <w:rFonts w:ascii="Times New Roman" w:hAnsi="Times New Roman"/>
                <w:sz w:val="20"/>
                <w:szCs w:val="20"/>
              </w:rPr>
            </w:pPr>
            <w:r w:rsidRPr="00C1274B">
              <w:rPr>
                <w:sz w:val="20"/>
              </w:rPr>
              <w:t>+ Emtricitabin/Tenofovirdisoproxil</w:t>
            </w:r>
          </w:p>
          <w:p w:rsidR="004B15A2" w:rsidRPr="004B15A2" w:rsidRDefault="004B15A2" w:rsidP="004B15A2">
            <w:pPr>
              <w:rPr>
                <w:rFonts w:ascii="Times New Roman" w:hAnsi="Times New Roman"/>
                <w:sz w:val="20"/>
                <w:szCs w:val="20"/>
              </w:rPr>
            </w:pPr>
            <w:r w:rsidRPr="00467589">
              <w:rPr>
                <w:sz w:val="20"/>
              </w:rPr>
              <w:t>(200 mg/245 mg q.d.)</w:t>
            </w:r>
          </w:p>
        </w:tc>
        <w:tc>
          <w:tcPr>
            <w:tcW w:w="2835" w:type="dxa"/>
            <w:tcBorders>
              <w:top w:val="single" w:sz="4" w:space="0" w:color="auto"/>
              <w:left w:val="single" w:sz="4" w:space="0" w:color="auto"/>
              <w:bottom w:val="single" w:sz="4" w:space="0" w:color="auto"/>
              <w:right w:val="single" w:sz="4" w:space="0" w:color="auto"/>
            </w:tcBorders>
          </w:tcPr>
          <w:p w:rsidR="004B15A2" w:rsidRPr="004B15A2" w:rsidRDefault="004B15A2" w:rsidP="004B15A2">
            <w:pPr>
              <w:tabs>
                <w:tab w:val="left" w:pos="851"/>
              </w:tabs>
              <w:rPr>
                <w:rFonts w:ascii="Times New Roman" w:hAnsi="Times New Roman"/>
                <w:sz w:val="20"/>
                <w:szCs w:val="20"/>
              </w:rPr>
            </w:pPr>
            <w:r w:rsidRPr="00C1274B">
              <w:rPr>
                <w:sz w:val="20"/>
              </w:rPr>
              <w:lastRenderedPageBreak/>
              <w:t>Sofosbuvir:</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w:t>
            </w:r>
          </w:p>
          <w:p w:rsidR="004B15A2" w:rsidRPr="004B15A2" w:rsidRDefault="004B15A2" w:rsidP="004B15A2">
            <w:pPr>
              <w:tabs>
                <w:tab w:val="left" w:pos="851"/>
              </w:tabs>
              <w:rPr>
                <w:rFonts w:ascii="Times New Roman" w:hAnsi="Times New Roman"/>
                <w:b/>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GS 331007</w:t>
            </w:r>
            <w:r w:rsidRPr="00C1274B">
              <w:rPr>
                <w:position w:val="7"/>
                <w:sz w:val="20"/>
              </w:rPr>
              <w:t>2</w:t>
            </w:r>
            <w:r w:rsidRPr="00C1274B">
              <w:rPr>
                <w:sz w:val="20"/>
              </w:rPr>
              <w:t>:</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sz w:val="20"/>
              </w:rPr>
              <w:t>Cmax: ↔</w:t>
            </w:r>
          </w:p>
          <w:p w:rsidR="004B15A2" w:rsidRPr="004B15A2" w:rsidRDefault="004B15A2" w:rsidP="004B15A2">
            <w:pPr>
              <w:tabs>
                <w:tab w:val="left" w:pos="851"/>
              </w:tabs>
              <w:rPr>
                <w:rFonts w:ascii="Times New Roman" w:hAnsi="Times New Roman"/>
                <w:sz w:val="20"/>
                <w:szCs w:val="20"/>
              </w:rPr>
            </w:pPr>
            <w:r w:rsidRPr="00C1274B">
              <w:rPr>
                <w:sz w:val="20"/>
              </w:rPr>
              <w:t>Cmin: ↑ 42 % (↑ 37 til ↑ 49)</w:t>
            </w:r>
          </w:p>
          <w:p w:rsidR="004B15A2" w:rsidRPr="004B15A2" w:rsidRDefault="004B15A2" w:rsidP="004B15A2">
            <w:pPr>
              <w:tabs>
                <w:tab w:val="left" w:pos="851"/>
              </w:tabs>
              <w:rPr>
                <w:rFonts w:ascii="Times New Roman" w:hAnsi="Times New Roman"/>
                <w:b/>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Velpatasvir:</w:t>
            </w:r>
          </w:p>
          <w:p w:rsidR="004B15A2" w:rsidRPr="004B15A2" w:rsidRDefault="004B15A2" w:rsidP="004B15A2">
            <w:pPr>
              <w:tabs>
                <w:tab w:val="left" w:pos="851"/>
              </w:tabs>
              <w:rPr>
                <w:rFonts w:ascii="Times New Roman" w:hAnsi="Times New Roman"/>
                <w:sz w:val="20"/>
                <w:szCs w:val="20"/>
              </w:rPr>
            </w:pPr>
            <w:r w:rsidRPr="00C1274B">
              <w:rPr>
                <w:sz w:val="20"/>
              </w:rPr>
              <w:t>AUC: ↑ 142 % (↑ 123 til ↑ 164)</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 55 % (↑ 41 til ↑ 71)</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min</w:t>
            </w:r>
            <w:r w:rsidRPr="00C1274B">
              <w:rPr>
                <w:position w:val="2"/>
                <w:sz w:val="20"/>
              </w:rPr>
              <w:t>: ↑ 301 % (↑ 257 til ↑ 350)</w:t>
            </w:r>
          </w:p>
          <w:p w:rsidR="004B15A2" w:rsidRPr="004B15A2" w:rsidRDefault="004B15A2" w:rsidP="004B15A2">
            <w:pPr>
              <w:tabs>
                <w:tab w:val="left" w:pos="851"/>
              </w:tabs>
              <w:rPr>
                <w:rFonts w:ascii="Times New Roman" w:hAnsi="Times New Roman"/>
                <w:b/>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Atazanavir:</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min</w:t>
            </w:r>
            <w:r w:rsidRPr="00C1274B">
              <w:rPr>
                <w:position w:val="2"/>
                <w:sz w:val="20"/>
              </w:rPr>
              <w:t>: ↑ 39 % (↑ 20 til ↑ 61)</w:t>
            </w:r>
          </w:p>
          <w:p w:rsidR="004B15A2" w:rsidRPr="004B15A2" w:rsidRDefault="004B15A2" w:rsidP="004B15A2">
            <w:pPr>
              <w:tabs>
                <w:tab w:val="left" w:pos="851"/>
              </w:tabs>
              <w:rPr>
                <w:rFonts w:ascii="Times New Roman" w:hAnsi="Times New Roman"/>
                <w:b/>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Ritonavir:</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min</w:t>
            </w:r>
            <w:r w:rsidRPr="00C1274B">
              <w:rPr>
                <w:position w:val="2"/>
                <w:sz w:val="20"/>
              </w:rPr>
              <w:t>: ↑ 29 % (↑ 15 til ↑ 44)</w:t>
            </w:r>
          </w:p>
          <w:p w:rsidR="004B15A2" w:rsidRPr="004B15A2" w:rsidRDefault="004B15A2" w:rsidP="004B15A2">
            <w:pPr>
              <w:tabs>
                <w:tab w:val="left" w:pos="851"/>
              </w:tabs>
              <w:rPr>
                <w:rFonts w:ascii="Times New Roman" w:hAnsi="Times New Roman"/>
                <w:b/>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Emtricitabin:</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w:t>
            </w:r>
            <w:r w:rsidRPr="00C1274B">
              <w:rPr>
                <w:spacing w:val="-5"/>
                <w:position w:val="2"/>
                <w:sz w:val="20"/>
              </w:rPr>
              <w:t xml:space="preserve"> </w:t>
            </w:r>
            <w:r w:rsidRPr="00C1274B">
              <w:rPr>
                <w:position w:val="2"/>
                <w:sz w:val="20"/>
              </w:rPr>
              <w:t>↔</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min</w:t>
            </w:r>
            <w:r w:rsidRPr="00C1274B">
              <w:rPr>
                <w:position w:val="2"/>
                <w:sz w:val="20"/>
              </w:rPr>
              <w:t>:</w:t>
            </w:r>
            <w:r w:rsidRPr="00C1274B">
              <w:rPr>
                <w:spacing w:val="-6"/>
                <w:position w:val="2"/>
                <w:sz w:val="20"/>
              </w:rPr>
              <w:t xml:space="preserve"> </w:t>
            </w:r>
            <w:r w:rsidRPr="00C1274B">
              <w:rPr>
                <w:position w:val="2"/>
                <w:sz w:val="20"/>
              </w:rPr>
              <w:t>↔</w:t>
            </w:r>
          </w:p>
          <w:p w:rsidR="004B15A2" w:rsidRPr="004B15A2" w:rsidRDefault="004B15A2" w:rsidP="004B15A2">
            <w:pPr>
              <w:tabs>
                <w:tab w:val="left" w:pos="851"/>
              </w:tabs>
              <w:rPr>
                <w:rFonts w:ascii="Times New Roman" w:hAnsi="Times New Roman"/>
                <w:b/>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Tenofovir:</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A92787" w:rsidRDefault="004B15A2" w:rsidP="004B15A2">
            <w:pPr>
              <w:tabs>
                <w:tab w:val="left" w:pos="851"/>
              </w:tabs>
              <w:rPr>
                <w:rFonts w:ascii="Times New Roman" w:hAnsi="Times New Roman"/>
                <w:sz w:val="20"/>
                <w:szCs w:val="20"/>
                <w:lang w:val="da-DK"/>
              </w:rPr>
            </w:pPr>
            <w:r w:rsidRPr="00467589">
              <w:rPr>
                <w:position w:val="2"/>
                <w:sz w:val="20"/>
              </w:rPr>
              <w:t>C</w:t>
            </w:r>
            <w:r w:rsidRPr="00467589">
              <w:rPr>
                <w:sz w:val="20"/>
              </w:rPr>
              <w:t>max</w:t>
            </w:r>
            <w:r w:rsidRPr="00467589">
              <w:rPr>
                <w:position w:val="2"/>
                <w:sz w:val="20"/>
              </w:rPr>
              <w:t>: ↑ 55 % (↑ 43 til ↑</w:t>
            </w:r>
            <w:r w:rsidRPr="00467589">
              <w:rPr>
                <w:spacing w:val="-9"/>
                <w:position w:val="2"/>
                <w:sz w:val="20"/>
              </w:rPr>
              <w:t xml:space="preserve"> </w:t>
            </w:r>
            <w:r w:rsidRPr="00467589">
              <w:rPr>
                <w:position w:val="2"/>
                <w:sz w:val="20"/>
              </w:rPr>
              <w:t>68)</w:t>
            </w:r>
          </w:p>
          <w:p w:rsidR="004B15A2" w:rsidRPr="00A92787" w:rsidRDefault="004B15A2" w:rsidP="004B15A2">
            <w:pPr>
              <w:rPr>
                <w:rFonts w:ascii="Times New Roman" w:hAnsi="Times New Roman"/>
                <w:sz w:val="20"/>
                <w:szCs w:val="20"/>
                <w:lang w:val="da-DK"/>
              </w:rPr>
            </w:pPr>
            <w:r w:rsidRPr="00467589">
              <w:rPr>
                <w:position w:val="2"/>
                <w:sz w:val="20"/>
              </w:rPr>
              <w:t>C</w:t>
            </w:r>
            <w:r w:rsidRPr="00467589">
              <w:rPr>
                <w:sz w:val="20"/>
              </w:rPr>
              <w:t>min</w:t>
            </w:r>
            <w:r w:rsidRPr="00467589">
              <w:rPr>
                <w:position w:val="2"/>
                <w:sz w:val="20"/>
              </w:rPr>
              <w:t>: ↑ 39 % (↑ 31 til ↑</w:t>
            </w:r>
            <w:r w:rsidRPr="00467589">
              <w:rPr>
                <w:spacing w:val="-10"/>
                <w:position w:val="2"/>
                <w:sz w:val="20"/>
              </w:rPr>
              <w:t xml:space="preserve"> </w:t>
            </w:r>
            <w:r w:rsidRPr="00467589">
              <w:rPr>
                <w:position w:val="2"/>
                <w:sz w:val="20"/>
              </w:rPr>
              <w:t>48)</w:t>
            </w:r>
          </w:p>
        </w:tc>
        <w:tc>
          <w:tcPr>
            <w:tcW w:w="3086"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tabs>
                <w:tab w:val="left" w:pos="851"/>
              </w:tabs>
              <w:rPr>
                <w:rFonts w:ascii="Times New Roman" w:hAnsi="Times New Roman"/>
                <w:sz w:val="20"/>
                <w:szCs w:val="20"/>
                <w:lang w:val="da-DK"/>
              </w:rPr>
            </w:pPr>
            <w:r w:rsidRPr="004B15A2">
              <w:rPr>
                <w:sz w:val="20"/>
                <w:lang w:val="da-DK"/>
              </w:rPr>
              <w:lastRenderedPageBreak/>
              <w:t xml:space="preserve">Øget plasmakoncentration af tenofovir som følge af samtidig administration af </w:t>
            </w:r>
            <w:r w:rsidRPr="004B15A2">
              <w:rPr>
                <w:sz w:val="20"/>
                <w:lang w:val="da-DK"/>
              </w:rPr>
              <w:lastRenderedPageBreak/>
              <w:t xml:space="preserve">tenofovirdisoproxil, sofosbuvir/velpatasvir og atazanavir/ritonavir kan øge risikoen for bivirkninger relateret til tenofovirdisoproxil, herunder nyrerelaterede bivirkninger. </w:t>
            </w:r>
            <w:r w:rsidRPr="00A92787">
              <w:rPr>
                <w:sz w:val="20"/>
                <w:lang w:val="sv-SE"/>
              </w:rPr>
              <w:t>Sikkerheden af tenofovirdisoproxil sammen med sofosbuvir/velpatasvir og en farmakokinetisk booster (f.eks. ritonavir eller cobicistat) er ikke</w:t>
            </w:r>
            <w:r w:rsidRPr="00A92787">
              <w:rPr>
                <w:spacing w:val="-6"/>
                <w:sz w:val="20"/>
                <w:lang w:val="sv-SE"/>
              </w:rPr>
              <w:t xml:space="preserve"> </w:t>
            </w:r>
            <w:r w:rsidRPr="00A92787">
              <w:rPr>
                <w:sz w:val="20"/>
                <w:lang w:val="sv-SE"/>
              </w:rPr>
              <w:t>klarlagt.</w:t>
            </w:r>
          </w:p>
          <w:p w:rsidR="004B15A2" w:rsidRPr="00467589" w:rsidRDefault="004B15A2" w:rsidP="004B15A2">
            <w:pPr>
              <w:tabs>
                <w:tab w:val="left" w:pos="851"/>
              </w:tabs>
              <w:rPr>
                <w:rFonts w:ascii="Times New Roman" w:hAnsi="Times New Roman"/>
                <w:b/>
                <w:sz w:val="20"/>
                <w:szCs w:val="20"/>
                <w:lang w:val="da-DK"/>
              </w:rPr>
            </w:pPr>
          </w:p>
          <w:p w:rsidR="004B15A2" w:rsidRPr="00467589" w:rsidRDefault="004B15A2" w:rsidP="004B15A2">
            <w:pPr>
              <w:tabs>
                <w:tab w:val="left" w:pos="851"/>
              </w:tabs>
              <w:rPr>
                <w:rFonts w:ascii="Times New Roman" w:hAnsi="Times New Roman"/>
                <w:sz w:val="20"/>
                <w:szCs w:val="20"/>
                <w:lang w:val="da-DK"/>
              </w:rPr>
            </w:pPr>
            <w:r w:rsidRPr="00A92787">
              <w:rPr>
                <w:sz w:val="20"/>
                <w:lang w:val="sv-SE"/>
              </w:rPr>
              <w:t>Kombinationen skal anvendes med forsigtighed og med hyppig monitorering af nyrefunktionen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tabs>
                <w:tab w:val="left" w:pos="851"/>
              </w:tabs>
              <w:rPr>
                <w:rFonts w:ascii="Times New Roman" w:hAnsi="Times New Roman"/>
                <w:sz w:val="20"/>
                <w:szCs w:val="20"/>
                <w:lang w:val="da-DK"/>
              </w:rPr>
            </w:pPr>
            <w:r w:rsidRPr="00A92787">
              <w:rPr>
                <w:sz w:val="20"/>
                <w:lang w:val="sv-SE"/>
              </w:rPr>
              <w:lastRenderedPageBreak/>
              <w:t xml:space="preserve">Sofosbuvir/Velpatasvir </w:t>
            </w:r>
          </w:p>
          <w:p w:rsidR="004B15A2" w:rsidRPr="00467589" w:rsidRDefault="004B15A2" w:rsidP="004B15A2">
            <w:pPr>
              <w:tabs>
                <w:tab w:val="left" w:pos="851"/>
              </w:tabs>
              <w:rPr>
                <w:rFonts w:ascii="Times New Roman" w:hAnsi="Times New Roman"/>
                <w:sz w:val="20"/>
                <w:szCs w:val="20"/>
                <w:lang w:val="da-DK"/>
              </w:rPr>
            </w:pPr>
            <w:r w:rsidRPr="00A92787">
              <w:rPr>
                <w:sz w:val="20"/>
                <w:lang w:val="sv-SE"/>
              </w:rPr>
              <w:t xml:space="preserve">(400 mg/100 mg q.d.) </w:t>
            </w:r>
          </w:p>
          <w:p w:rsidR="004B15A2" w:rsidRPr="004B15A2" w:rsidRDefault="004B15A2" w:rsidP="004B15A2">
            <w:pPr>
              <w:tabs>
                <w:tab w:val="left" w:pos="851"/>
              </w:tabs>
              <w:rPr>
                <w:rFonts w:ascii="Times New Roman" w:hAnsi="Times New Roman"/>
                <w:sz w:val="20"/>
                <w:szCs w:val="20"/>
              </w:rPr>
            </w:pPr>
            <w:r w:rsidRPr="00C1274B">
              <w:rPr>
                <w:sz w:val="20"/>
              </w:rPr>
              <w:t>+ Darunavir/Ritonavir</w:t>
            </w:r>
          </w:p>
          <w:p w:rsidR="004B15A2" w:rsidRPr="004B15A2" w:rsidRDefault="004B15A2" w:rsidP="004B15A2">
            <w:pPr>
              <w:tabs>
                <w:tab w:val="left" w:pos="851"/>
              </w:tabs>
              <w:rPr>
                <w:rFonts w:ascii="Times New Roman" w:hAnsi="Times New Roman"/>
                <w:sz w:val="20"/>
                <w:szCs w:val="20"/>
              </w:rPr>
            </w:pPr>
            <w:r w:rsidRPr="00C1274B">
              <w:rPr>
                <w:sz w:val="20"/>
              </w:rPr>
              <w:t xml:space="preserve">(800 mg q.d./100 mg q.d.) </w:t>
            </w:r>
          </w:p>
          <w:p w:rsidR="004B15A2" w:rsidRPr="004B15A2" w:rsidRDefault="004B15A2" w:rsidP="004B15A2">
            <w:pPr>
              <w:tabs>
                <w:tab w:val="left" w:pos="851"/>
              </w:tabs>
              <w:rPr>
                <w:rFonts w:ascii="Times New Roman" w:hAnsi="Times New Roman"/>
                <w:sz w:val="20"/>
                <w:szCs w:val="20"/>
              </w:rPr>
            </w:pPr>
            <w:r w:rsidRPr="00C1274B">
              <w:rPr>
                <w:sz w:val="20"/>
              </w:rPr>
              <w:t>+ Emtricitabin/ Tenofovirdisoproxil</w:t>
            </w:r>
          </w:p>
          <w:p w:rsidR="004B15A2" w:rsidRPr="004B15A2" w:rsidRDefault="004B15A2" w:rsidP="004B15A2">
            <w:pPr>
              <w:rPr>
                <w:rFonts w:ascii="Times New Roman" w:hAnsi="Times New Roman"/>
                <w:sz w:val="20"/>
                <w:szCs w:val="20"/>
              </w:rPr>
            </w:pPr>
            <w:r w:rsidRPr="00467589">
              <w:rPr>
                <w:sz w:val="20"/>
              </w:rPr>
              <w:t>(200 mg/245 mg q.d.)</w:t>
            </w:r>
          </w:p>
        </w:tc>
        <w:tc>
          <w:tcPr>
            <w:tcW w:w="2835" w:type="dxa"/>
            <w:tcBorders>
              <w:top w:val="single" w:sz="4" w:space="0" w:color="auto"/>
              <w:left w:val="single" w:sz="4" w:space="0" w:color="auto"/>
              <w:bottom w:val="single" w:sz="4" w:space="0" w:color="auto"/>
              <w:right w:val="single" w:sz="4" w:space="0" w:color="auto"/>
            </w:tcBorders>
          </w:tcPr>
          <w:p w:rsidR="004B15A2" w:rsidRPr="004B15A2" w:rsidRDefault="004B15A2" w:rsidP="004B15A2">
            <w:pPr>
              <w:tabs>
                <w:tab w:val="left" w:pos="851"/>
              </w:tabs>
              <w:rPr>
                <w:rFonts w:ascii="Times New Roman" w:hAnsi="Times New Roman"/>
                <w:sz w:val="20"/>
                <w:szCs w:val="20"/>
              </w:rPr>
            </w:pPr>
            <w:r w:rsidRPr="00C1274B">
              <w:rPr>
                <w:sz w:val="20"/>
              </w:rPr>
              <w:t>Sofosbuvir:</w:t>
            </w:r>
          </w:p>
          <w:p w:rsidR="004B15A2" w:rsidRPr="004B15A2" w:rsidRDefault="004B15A2" w:rsidP="004B15A2">
            <w:pPr>
              <w:tabs>
                <w:tab w:val="left" w:pos="851"/>
              </w:tabs>
              <w:rPr>
                <w:rFonts w:ascii="Times New Roman" w:hAnsi="Times New Roman"/>
                <w:sz w:val="20"/>
                <w:szCs w:val="20"/>
              </w:rPr>
            </w:pPr>
            <w:r w:rsidRPr="00C1274B">
              <w:rPr>
                <w:sz w:val="20"/>
              </w:rPr>
              <w:t>AUC: ↓ 28 % (↓ 34 til ↓ 20)</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 38 % (↓ 46 til ↓ 29)</w:t>
            </w:r>
          </w:p>
          <w:p w:rsidR="004B15A2" w:rsidRPr="004B15A2" w:rsidRDefault="004B15A2" w:rsidP="004B15A2">
            <w:pPr>
              <w:tabs>
                <w:tab w:val="left" w:pos="851"/>
              </w:tabs>
              <w:rPr>
                <w:rFonts w:ascii="Times New Roman" w:hAnsi="Times New Roman"/>
                <w:b/>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GS-331007</w:t>
            </w:r>
            <w:r w:rsidRPr="00C1274B">
              <w:rPr>
                <w:position w:val="7"/>
                <w:sz w:val="20"/>
              </w:rPr>
              <w:t>2</w:t>
            </w:r>
            <w:r w:rsidRPr="00C1274B">
              <w:rPr>
                <w:sz w:val="20"/>
              </w:rPr>
              <w:t>:</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w:t>
            </w:r>
            <w:r w:rsidRPr="00C1274B">
              <w:rPr>
                <w:spacing w:val="-5"/>
                <w:position w:val="2"/>
                <w:sz w:val="20"/>
              </w:rPr>
              <w:t xml:space="preserve"> </w:t>
            </w:r>
            <w:r w:rsidRPr="00C1274B">
              <w:rPr>
                <w:position w:val="2"/>
                <w:sz w:val="20"/>
              </w:rPr>
              <w:t>↔</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min</w:t>
            </w:r>
            <w:r w:rsidRPr="00C1274B">
              <w:rPr>
                <w:position w:val="2"/>
                <w:sz w:val="20"/>
              </w:rPr>
              <w:t>:</w:t>
            </w:r>
            <w:r w:rsidRPr="00C1274B">
              <w:rPr>
                <w:spacing w:val="-6"/>
                <w:position w:val="2"/>
                <w:sz w:val="20"/>
              </w:rPr>
              <w:t xml:space="preserve"> </w:t>
            </w:r>
            <w:r w:rsidRPr="00C1274B">
              <w:rPr>
                <w:position w:val="2"/>
                <w:sz w:val="20"/>
              </w:rPr>
              <w:t>↔</w:t>
            </w:r>
          </w:p>
          <w:p w:rsidR="004B15A2" w:rsidRPr="004B15A2" w:rsidRDefault="004B15A2" w:rsidP="004B15A2">
            <w:pPr>
              <w:tabs>
                <w:tab w:val="left" w:pos="851"/>
              </w:tabs>
              <w:rPr>
                <w:rFonts w:ascii="Times New Roman" w:hAnsi="Times New Roman"/>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Velpatasvir:</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position w:val="2"/>
                <w:sz w:val="20"/>
                <w:szCs w:val="20"/>
              </w:rPr>
            </w:pPr>
            <w:r w:rsidRPr="00C1274B">
              <w:rPr>
                <w:position w:val="2"/>
                <w:sz w:val="20"/>
              </w:rPr>
              <w:t>C</w:t>
            </w:r>
            <w:r w:rsidRPr="00C1274B">
              <w:rPr>
                <w:sz w:val="20"/>
              </w:rPr>
              <w:t>max</w:t>
            </w:r>
            <w:r w:rsidRPr="00C1274B">
              <w:rPr>
                <w:position w:val="2"/>
                <w:sz w:val="20"/>
              </w:rPr>
              <w:t>: ↓ 24 % (↓ 35 til ↓ 11)</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min</w:t>
            </w:r>
            <w:r w:rsidRPr="00C1274B">
              <w:rPr>
                <w:position w:val="2"/>
                <w:sz w:val="20"/>
              </w:rPr>
              <w:t>: ↔</w:t>
            </w:r>
          </w:p>
          <w:p w:rsidR="004B15A2" w:rsidRPr="004B15A2" w:rsidRDefault="004B15A2" w:rsidP="004B15A2">
            <w:pPr>
              <w:tabs>
                <w:tab w:val="left" w:pos="851"/>
              </w:tabs>
              <w:rPr>
                <w:rFonts w:ascii="Times New Roman" w:hAnsi="Times New Roman"/>
                <w:b/>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Darunavir:</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w:t>
            </w:r>
          </w:p>
          <w:p w:rsidR="004B15A2" w:rsidRPr="004B15A2" w:rsidRDefault="004B15A2" w:rsidP="004B15A2">
            <w:pPr>
              <w:tabs>
                <w:tab w:val="left" w:pos="851"/>
              </w:tabs>
              <w:rPr>
                <w:rFonts w:ascii="Times New Roman" w:hAnsi="Times New Roman"/>
                <w:position w:val="2"/>
                <w:sz w:val="20"/>
                <w:szCs w:val="20"/>
              </w:rPr>
            </w:pPr>
            <w:r w:rsidRPr="00C1274B">
              <w:rPr>
                <w:position w:val="2"/>
                <w:sz w:val="20"/>
              </w:rPr>
              <w:t>C</w:t>
            </w:r>
            <w:r w:rsidRPr="00C1274B">
              <w:rPr>
                <w:sz w:val="20"/>
              </w:rPr>
              <w:t>min</w:t>
            </w:r>
            <w:r w:rsidRPr="00C1274B">
              <w:rPr>
                <w:position w:val="2"/>
                <w:sz w:val="20"/>
              </w:rPr>
              <w:t>: ↔</w:t>
            </w:r>
          </w:p>
          <w:p w:rsidR="004B15A2" w:rsidRPr="004B15A2" w:rsidRDefault="004B15A2" w:rsidP="004B15A2">
            <w:pPr>
              <w:tabs>
                <w:tab w:val="left" w:pos="851"/>
              </w:tabs>
              <w:rPr>
                <w:rFonts w:ascii="Times New Roman" w:hAnsi="Times New Roman"/>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Ritonavir:</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w:t>
            </w:r>
          </w:p>
          <w:p w:rsidR="004B15A2" w:rsidRPr="004B15A2" w:rsidRDefault="004B15A2" w:rsidP="004B15A2">
            <w:pPr>
              <w:tabs>
                <w:tab w:val="left" w:pos="851"/>
              </w:tabs>
              <w:rPr>
                <w:rFonts w:ascii="Times New Roman" w:hAnsi="Times New Roman"/>
                <w:position w:val="2"/>
                <w:sz w:val="20"/>
                <w:szCs w:val="20"/>
              </w:rPr>
            </w:pPr>
            <w:r w:rsidRPr="00C1274B">
              <w:rPr>
                <w:position w:val="2"/>
                <w:sz w:val="20"/>
              </w:rPr>
              <w:t>C</w:t>
            </w:r>
            <w:r w:rsidRPr="00C1274B">
              <w:rPr>
                <w:sz w:val="20"/>
              </w:rPr>
              <w:t>min</w:t>
            </w:r>
            <w:r w:rsidRPr="00C1274B">
              <w:rPr>
                <w:position w:val="2"/>
                <w:sz w:val="20"/>
              </w:rPr>
              <w:t>: ↔</w:t>
            </w:r>
          </w:p>
          <w:p w:rsidR="004B15A2" w:rsidRPr="004B15A2" w:rsidRDefault="004B15A2" w:rsidP="004B15A2">
            <w:pPr>
              <w:tabs>
                <w:tab w:val="left" w:pos="851"/>
              </w:tabs>
              <w:rPr>
                <w:rFonts w:ascii="Times New Roman" w:hAnsi="Times New Roman"/>
                <w:position w:val="2"/>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lastRenderedPageBreak/>
              <w:t>Emtricitabin:</w:t>
            </w:r>
          </w:p>
          <w:p w:rsidR="004B15A2" w:rsidRPr="004B15A2" w:rsidRDefault="004B15A2" w:rsidP="004B15A2">
            <w:pPr>
              <w:tabs>
                <w:tab w:val="left" w:pos="851"/>
              </w:tabs>
              <w:rPr>
                <w:rFonts w:ascii="Times New Roman" w:hAnsi="Times New Roman"/>
                <w:sz w:val="20"/>
                <w:szCs w:val="20"/>
              </w:rPr>
            </w:pPr>
            <w:r w:rsidRPr="00C1274B">
              <w:rPr>
                <w:sz w:val="20"/>
              </w:rPr>
              <w:t>AUC: ↔</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w:t>
            </w:r>
          </w:p>
          <w:p w:rsidR="004B15A2" w:rsidRPr="004B15A2" w:rsidRDefault="004B15A2" w:rsidP="004B15A2">
            <w:pPr>
              <w:tabs>
                <w:tab w:val="left" w:pos="851"/>
              </w:tabs>
              <w:rPr>
                <w:rFonts w:ascii="Times New Roman" w:hAnsi="Times New Roman"/>
                <w:position w:val="2"/>
                <w:sz w:val="20"/>
                <w:szCs w:val="20"/>
              </w:rPr>
            </w:pPr>
            <w:r w:rsidRPr="00C1274B">
              <w:rPr>
                <w:position w:val="2"/>
                <w:sz w:val="20"/>
              </w:rPr>
              <w:t>C</w:t>
            </w:r>
            <w:r w:rsidRPr="00C1274B">
              <w:rPr>
                <w:sz w:val="20"/>
              </w:rPr>
              <w:t>min</w:t>
            </w:r>
            <w:r w:rsidRPr="00C1274B">
              <w:rPr>
                <w:position w:val="2"/>
                <w:sz w:val="20"/>
              </w:rPr>
              <w:t>: ↔</w:t>
            </w:r>
          </w:p>
          <w:p w:rsidR="004B15A2" w:rsidRPr="004B15A2" w:rsidRDefault="004B15A2" w:rsidP="004B15A2">
            <w:pPr>
              <w:tabs>
                <w:tab w:val="left" w:pos="851"/>
              </w:tabs>
              <w:rPr>
                <w:rFonts w:ascii="Times New Roman" w:hAnsi="Times New Roman"/>
                <w:sz w:val="20"/>
                <w:szCs w:val="20"/>
              </w:rPr>
            </w:pPr>
          </w:p>
          <w:p w:rsidR="004B15A2" w:rsidRPr="004B15A2" w:rsidRDefault="004B15A2" w:rsidP="004B15A2">
            <w:pPr>
              <w:tabs>
                <w:tab w:val="left" w:pos="851"/>
              </w:tabs>
              <w:rPr>
                <w:rFonts w:ascii="Times New Roman" w:hAnsi="Times New Roman"/>
                <w:sz w:val="20"/>
                <w:szCs w:val="20"/>
              </w:rPr>
            </w:pPr>
            <w:r w:rsidRPr="00C1274B">
              <w:rPr>
                <w:sz w:val="20"/>
              </w:rPr>
              <w:t>Tenofovir:</w:t>
            </w:r>
          </w:p>
          <w:p w:rsidR="004B15A2" w:rsidRPr="004B15A2" w:rsidRDefault="004B15A2" w:rsidP="004B15A2">
            <w:pPr>
              <w:tabs>
                <w:tab w:val="left" w:pos="851"/>
              </w:tabs>
              <w:rPr>
                <w:rFonts w:ascii="Times New Roman" w:hAnsi="Times New Roman"/>
                <w:sz w:val="20"/>
                <w:szCs w:val="20"/>
              </w:rPr>
            </w:pPr>
            <w:r w:rsidRPr="00C1274B">
              <w:rPr>
                <w:sz w:val="20"/>
              </w:rPr>
              <w:t>AUC: ↑ 39 % (↑ 33 til ↑ 44)</w:t>
            </w:r>
          </w:p>
          <w:p w:rsidR="004B15A2" w:rsidRPr="004B15A2" w:rsidRDefault="004B15A2" w:rsidP="004B15A2">
            <w:pPr>
              <w:tabs>
                <w:tab w:val="left" w:pos="851"/>
              </w:tabs>
              <w:rPr>
                <w:rFonts w:ascii="Times New Roman" w:hAnsi="Times New Roman"/>
                <w:sz w:val="20"/>
                <w:szCs w:val="20"/>
              </w:rPr>
            </w:pPr>
            <w:r w:rsidRPr="00C1274B">
              <w:rPr>
                <w:position w:val="2"/>
                <w:sz w:val="20"/>
              </w:rPr>
              <w:t>C</w:t>
            </w:r>
            <w:r w:rsidRPr="00C1274B">
              <w:rPr>
                <w:sz w:val="20"/>
              </w:rPr>
              <w:t>max</w:t>
            </w:r>
            <w:r w:rsidRPr="00C1274B">
              <w:rPr>
                <w:position w:val="2"/>
                <w:sz w:val="20"/>
              </w:rPr>
              <w:t>: ↑ 55 % (↑ 45 til ↑</w:t>
            </w:r>
            <w:r w:rsidRPr="00C1274B">
              <w:rPr>
                <w:spacing w:val="-9"/>
                <w:position w:val="2"/>
                <w:sz w:val="20"/>
              </w:rPr>
              <w:t xml:space="preserve"> </w:t>
            </w:r>
            <w:r w:rsidRPr="00C1274B">
              <w:rPr>
                <w:position w:val="2"/>
                <w:sz w:val="20"/>
              </w:rPr>
              <w:t>66)</w:t>
            </w:r>
          </w:p>
          <w:p w:rsidR="004B15A2" w:rsidRPr="00A92787" w:rsidRDefault="004B15A2" w:rsidP="004B15A2">
            <w:pPr>
              <w:rPr>
                <w:rFonts w:ascii="Times New Roman" w:hAnsi="Times New Roman"/>
                <w:sz w:val="20"/>
                <w:szCs w:val="20"/>
                <w:lang w:val="da-DK"/>
              </w:rPr>
            </w:pPr>
            <w:r w:rsidRPr="00467589">
              <w:rPr>
                <w:position w:val="2"/>
                <w:sz w:val="20"/>
              </w:rPr>
              <w:t>C</w:t>
            </w:r>
            <w:r w:rsidRPr="00467589">
              <w:rPr>
                <w:sz w:val="20"/>
              </w:rPr>
              <w:t>min</w:t>
            </w:r>
            <w:r w:rsidRPr="00467589">
              <w:rPr>
                <w:position w:val="2"/>
                <w:sz w:val="20"/>
              </w:rPr>
              <w:t>: ↑ 52 % (↑ 45 til ↑</w:t>
            </w:r>
            <w:r w:rsidRPr="00467589">
              <w:rPr>
                <w:spacing w:val="-10"/>
                <w:position w:val="2"/>
                <w:sz w:val="20"/>
              </w:rPr>
              <w:t xml:space="preserve"> </w:t>
            </w:r>
            <w:r w:rsidRPr="00467589">
              <w:rPr>
                <w:position w:val="2"/>
                <w:sz w:val="20"/>
              </w:rPr>
              <w:t>59)</w:t>
            </w:r>
          </w:p>
        </w:tc>
        <w:tc>
          <w:tcPr>
            <w:tcW w:w="3086"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B15A2">
              <w:rPr>
                <w:sz w:val="20"/>
                <w:lang w:val="da-DK"/>
              </w:rPr>
              <w:lastRenderedPageBreak/>
              <w:t xml:space="preserve">Øget plasmakoncentration af tenofovir som følge af samtidig administration af tenofovirdisoproxil, sofosbuvir/velpatasvir og darunavir/ritonavir kan øge risikoen for bivirkninger relateret til tenofovirdisoproxil, herunder nyrerelaterede bivirkninger. </w:t>
            </w:r>
            <w:r w:rsidRPr="00A92787">
              <w:rPr>
                <w:sz w:val="20"/>
                <w:lang w:val="sv-SE"/>
              </w:rPr>
              <w:t>Sikkerheden af tenofovirdisoproxil sammen med sofosbuvir/velpatasvir og en farmakokinetisk booster (f.eks. ritonavir eller cobicistat) er ikke klarlagt.</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A92787">
              <w:rPr>
                <w:sz w:val="20"/>
                <w:lang w:val="sv-SE"/>
              </w:rPr>
              <w:t>Kombinationen skal anvendes med forsigtighed og med hyppig monitorering af nyrefunktionen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A92787">
              <w:rPr>
                <w:sz w:val="20"/>
                <w:lang w:val="sv-SE"/>
              </w:rPr>
              <w:t>Sofosbuvir/Velpatasvir</w:t>
            </w:r>
          </w:p>
          <w:p w:rsidR="004B15A2" w:rsidRPr="004B15A2" w:rsidRDefault="004B15A2" w:rsidP="004B15A2">
            <w:pPr>
              <w:rPr>
                <w:rFonts w:ascii="Times New Roman" w:hAnsi="Times New Roman"/>
                <w:sz w:val="20"/>
                <w:szCs w:val="20"/>
              </w:rPr>
            </w:pPr>
            <w:r w:rsidRPr="00A92787">
              <w:rPr>
                <w:sz w:val="20"/>
                <w:lang w:val="sv-SE"/>
              </w:rPr>
              <w:t xml:space="preserve">(400 mg/100 mg q.d.) </w:t>
            </w:r>
            <w:r w:rsidRPr="00467589">
              <w:rPr>
                <w:sz w:val="20"/>
              </w:rPr>
              <w:t>+</w:t>
            </w:r>
          </w:p>
          <w:p w:rsidR="004B15A2" w:rsidRPr="004B15A2" w:rsidRDefault="004B15A2" w:rsidP="004B15A2">
            <w:pPr>
              <w:rPr>
                <w:rFonts w:ascii="Times New Roman" w:hAnsi="Times New Roman"/>
                <w:sz w:val="20"/>
                <w:szCs w:val="20"/>
              </w:rPr>
            </w:pPr>
            <w:r w:rsidRPr="00467589">
              <w:rPr>
                <w:sz w:val="20"/>
              </w:rPr>
              <w:t>Lopinavir/Ritonavir</w:t>
            </w:r>
          </w:p>
          <w:p w:rsidR="004B15A2" w:rsidRPr="004B15A2" w:rsidRDefault="004B15A2" w:rsidP="004B15A2">
            <w:pPr>
              <w:rPr>
                <w:rFonts w:ascii="Times New Roman" w:hAnsi="Times New Roman"/>
                <w:sz w:val="20"/>
                <w:szCs w:val="20"/>
              </w:rPr>
            </w:pPr>
            <w:r w:rsidRPr="00467589">
              <w:rPr>
                <w:sz w:val="20"/>
              </w:rPr>
              <w:t>(800 mg/200 mg q.d.) +</w:t>
            </w:r>
          </w:p>
          <w:p w:rsidR="004B15A2" w:rsidRPr="004B15A2" w:rsidRDefault="004B15A2" w:rsidP="004B15A2">
            <w:pPr>
              <w:rPr>
                <w:rFonts w:ascii="Times New Roman" w:hAnsi="Times New Roman"/>
                <w:sz w:val="20"/>
                <w:szCs w:val="20"/>
              </w:rPr>
            </w:pPr>
            <w:r w:rsidRPr="00467589">
              <w:rPr>
                <w:sz w:val="20"/>
              </w:rPr>
              <w:t xml:space="preserve">Emtricitabin/Tenofovirdisoproxil </w:t>
            </w:r>
          </w:p>
          <w:p w:rsidR="004B15A2" w:rsidRPr="004B15A2" w:rsidRDefault="004B15A2" w:rsidP="004B15A2">
            <w:pPr>
              <w:rPr>
                <w:rFonts w:ascii="Times New Roman" w:hAnsi="Times New Roman"/>
                <w:sz w:val="20"/>
                <w:szCs w:val="20"/>
              </w:rPr>
            </w:pPr>
            <w:r w:rsidRPr="00467589">
              <w:rPr>
                <w:sz w:val="20"/>
              </w:rPr>
              <w:t>(200 mg/245 mg q.d.)</w:t>
            </w:r>
          </w:p>
        </w:tc>
        <w:tc>
          <w:tcPr>
            <w:tcW w:w="2835" w:type="dxa"/>
            <w:tcBorders>
              <w:top w:val="single" w:sz="4" w:space="0" w:color="auto"/>
              <w:left w:val="single" w:sz="4" w:space="0" w:color="auto"/>
              <w:bottom w:val="single" w:sz="4" w:space="0" w:color="auto"/>
              <w:right w:val="single" w:sz="4" w:space="0" w:color="auto"/>
            </w:tcBorders>
          </w:tcPr>
          <w:p w:rsidR="004B15A2" w:rsidRPr="004B15A2" w:rsidRDefault="004B15A2" w:rsidP="004B15A2">
            <w:pPr>
              <w:rPr>
                <w:rFonts w:ascii="Times New Roman" w:hAnsi="Times New Roman"/>
                <w:sz w:val="20"/>
                <w:szCs w:val="20"/>
              </w:rPr>
            </w:pPr>
            <w:r w:rsidRPr="00C1274B">
              <w:rPr>
                <w:sz w:val="20"/>
              </w:rPr>
              <w:t>Sofosbuvir:</w:t>
            </w:r>
          </w:p>
          <w:p w:rsidR="004B15A2" w:rsidRPr="004B15A2" w:rsidRDefault="004B15A2" w:rsidP="004B15A2">
            <w:pPr>
              <w:rPr>
                <w:rFonts w:ascii="Times New Roman" w:hAnsi="Times New Roman"/>
                <w:sz w:val="20"/>
                <w:szCs w:val="20"/>
              </w:rPr>
            </w:pPr>
            <w:r w:rsidRPr="00C1274B">
              <w:rPr>
                <w:sz w:val="20"/>
              </w:rPr>
              <w:t>AUC: ↓ 29 % (↓ 36 til ↓ 22)</w:t>
            </w:r>
          </w:p>
          <w:p w:rsidR="004B15A2" w:rsidRPr="004B15A2" w:rsidRDefault="004B15A2" w:rsidP="004B15A2">
            <w:pPr>
              <w:rPr>
                <w:rFonts w:ascii="Times New Roman" w:hAnsi="Times New Roman"/>
                <w:sz w:val="20"/>
                <w:szCs w:val="20"/>
              </w:rPr>
            </w:pPr>
            <w:r w:rsidRPr="00C1274B">
              <w:rPr>
                <w:sz w:val="20"/>
              </w:rPr>
              <w:t>Cmax: ↓ 41 % (↓ 51 til ↓ 29)</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GS-331007</w:t>
            </w:r>
            <w:r w:rsidRPr="00C1274B">
              <w:rPr>
                <w:sz w:val="20"/>
                <w:vertAlign w:val="superscript"/>
              </w:rPr>
              <w:t>2</w:t>
            </w:r>
            <w:r w:rsidRPr="00C1274B">
              <w:rPr>
                <w:sz w:val="20"/>
              </w:rPr>
              <w:t>:</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Velpatasvir: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 30 % (↓ 41 til ↓ 17)</w:t>
            </w:r>
          </w:p>
          <w:p w:rsidR="004B15A2" w:rsidRPr="004B15A2" w:rsidRDefault="004B15A2" w:rsidP="004B15A2">
            <w:pPr>
              <w:rPr>
                <w:rFonts w:ascii="Times New Roman" w:hAnsi="Times New Roman"/>
                <w:sz w:val="20"/>
                <w:szCs w:val="20"/>
              </w:rPr>
            </w:pPr>
            <w:r w:rsidRPr="00C1274B">
              <w:rPr>
                <w:sz w:val="20"/>
              </w:rPr>
              <w:t>Cmin: ↑ 63 % (↑ 43 til ↑ 85)</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Lopinavir: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Ritonavir: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Emtricitabin:</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Tenofovir: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 42 % (↑ 27 til ↑ 57)</w:t>
            </w:r>
          </w:p>
          <w:p w:rsidR="004B15A2" w:rsidRPr="00A92787" w:rsidRDefault="004B15A2" w:rsidP="004B15A2">
            <w:pPr>
              <w:rPr>
                <w:rFonts w:ascii="Times New Roman" w:hAnsi="Times New Roman"/>
                <w:sz w:val="20"/>
                <w:szCs w:val="20"/>
                <w:lang w:val="da-DK"/>
              </w:rPr>
            </w:pPr>
            <w:r w:rsidRPr="00467589">
              <w:rPr>
                <w:sz w:val="20"/>
              </w:rPr>
              <w:t>Cmin: ↔</w:t>
            </w:r>
          </w:p>
        </w:tc>
        <w:tc>
          <w:tcPr>
            <w:tcW w:w="3086"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B15A2">
              <w:rPr>
                <w:sz w:val="20"/>
                <w:lang w:val="da-DK"/>
              </w:rPr>
              <w:t xml:space="preserve">Øget plasmakoncentration af tenofovir som følge af samtidig administration af tenofovirdisoproxil, sofosbuvir/velpatasvir og lopinavir/ritonavir kan øge risikoen for bivirkninger relateret til tenofovirdisoproxil, herunder nyrerelaterede bivirkninger. </w:t>
            </w:r>
            <w:r w:rsidRPr="00A92787">
              <w:rPr>
                <w:sz w:val="20"/>
                <w:lang w:val="sv-SE"/>
              </w:rPr>
              <w:t>Sikkerheden af tenofovirdisoproxil sammen med sofosbuvir/velpatasvir og en farmakokinetisk booster (f.eks. ritonavir eller cobicistat) er ikke klarlagt. Kombinationen skal anvendes med forsigtighed og med hyppig monitorering af nyrefunktionen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Sofosbuvir/Velpatasvir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(400 mg/100 mg q.d.) </w:t>
            </w:r>
          </w:p>
          <w:p w:rsidR="004B15A2" w:rsidRPr="004B15A2" w:rsidRDefault="004B15A2" w:rsidP="004B15A2">
            <w:pPr>
              <w:rPr>
                <w:rFonts w:ascii="Times New Roman" w:hAnsi="Times New Roman"/>
                <w:sz w:val="20"/>
                <w:szCs w:val="20"/>
              </w:rPr>
            </w:pPr>
            <w:r w:rsidRPr="00A92787">
              <w:rPr>
                <w:sz w:val="20"/>
                <w:lang w:val="sv-SE"/>
              </w:rPr>
              <w:t xml:space="preserve">+ Raltegravir (400 mg b.i.d) </w:t>
            </w:r>
          </w:p>
          <w:p w:rsidR="004B15A2" w:rsidRPr="004B15A2" w:rsidRDefault="004B15A2" w:rsidP="004B15A2">
            <w:pPr>
              <w:rPr>
                <w:rFonts w:ascii="Times New Roman" w:hAnsi="Times New Roman"/>
                <w:sz w:val="20"/>
                <w:szCs w:val="20"/>
              </w:rPr>
            </w:pPr>
            <w:r w:rsidRPr="00467589">
              <w:rPr>
                <w:sz w:val="20"/>
              </w:rPr>
              <w:t>+ Emtricitabin/Tenofovirdisoproxil</w:t>
            </w:r>
          </w:p>
          <w:p w:rsidR="004B15A2" w:rsidRPr="00A92787" w:rsidRDefault="004B15A2" w:rsidP="004B15A2">
            <w:pPr>
              <w:rPr>
                <w:rFonts w:ascii="Times New Roman" w:hAnsi="Times New Roman"/>
                <w:sz w:val="20"/>
                <w:szCs w:val="20"/>
                <w:lang w:val="da-DK"/>
              </w:rPr>
            </w:pPr>
            <w:r w:rsidRPr="00467589">
              <w:rPr>
                <w:sz w:val="20"/>
              </w:rPr>
              <w:t>(200 mg/245 mg q.d.)</w:t>
            </w:r>
          </w:p>
        </w:tc>
        <w:tc>
          <w:tcPr>
            <w:tcW w:w="2835" w:type="dxa"/>
            <w:tcBorders>
              <w:top w:val="single" w:sz="4" w:space="0" w:color="auto"/>
              <w:left w:val="single" w:sz="4" w:space="0" w:color="auto"/>
              <w:bottom w:val="single" w:sz="4" w:space="0" w:color="auto"/>
              <w:right w:val="single" w:sz="4" w:space="0" w:color="auto"/>
            </w:tcBorders>
          </w:tcPr>
          <w:p w:rsidR="004B15A2" w:rsidRPr="00A92787" w:rsidRDefault="004B15A2" w:rsidP="004B15A2">
            <w:pPr>
              <w:rPr>
                <w:rFonts w:ascii="Times New Roman" w:hAnsi="Times New Roman"/>
                <w:sz w:val="20"/>
                <w:szCs w:val="20"/>
                <w:lang w:val="da-DK"/>
              </w:rPr>
            </w:pPr>
            <w:r w:rsidRPr="004B15A2">
              <w:rPr>
                <w:sz w:val="20"/>
                <w:lang w:val="da-DK"/>
              </w:rPr>
              <w:t>Sofosbuvir:</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GS-331007</w:t>
            </w:r>
            <w:r w:rsidRPr="004B15A2">
              <w:rPr>
                <w:sz w:val="20"/>
                <w:vertAlign w:val="superscript"/>
                <w:lang w:val="da-DK"/>
              </w:rPr>
              <w:t>2</w:t>
            </w:r>
            <w:r w:rsidRPr="004B15A2">
              <w:rPr>
                <w:sz w:val="20"/>
                <w:lang w:val="da-DK"/>
              </w:rPr>
              <w:t>:</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w:t>
            </w:r>
          </w:p>
          <w:p w:rsidR="004B15A2" w:rsidRPr="00A92787" w:rsidRDefault="004B15A2" w:rsidP="004B15A2">
            <w:pPr>
              <w:rPr>
                <w:rFonts w:ascii="Times New Roman" w:hAnsi="Times New Roman"/>
                <w:sz w:val="20"/>
                <w:szCs w:val="20"/>
                <w:lang w:val="da-DK"/>
              </w:rPr>
            </w:pPr>
            <w:r w:rsidRPr="004B15A2">
              <w:rPr>
                <w:sz w:val="20"/>
                <w:lang w:val="da-DK"/>
              </w:rPr>
              <w:t>Cmin: ↔</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Velpatasvir:</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w:t>
            </w:r>
          </w:p>
          <w:p w:rsidR="004B15A2" w:rsidRPr="00A92787" w:rsidRDefault="004B15A2" w:rsidP="004B15A2">
            <w:pPr>
              <w:rPr>
                <w:rFonts w:ascii="Times New Roman" w:hAnsi="Times New Roman"/>
                <w:sz w:val="20"/>
                <w:szCs w:val="20"/>
                <w:lang w:val="da-DK"/>
              </w:rPr>
            </w:pPr>
            <w:r w:rsidRPr="004B15A2">
              <w:rPr>
                <w:sz w:val="20"/>
                <w:lang w:val="da-DK"/>
              </w:rPr>
              <w:t>Cmin: ↔</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Raltegravir:</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lastRenderedPageBreak/>
              <w:t>Cmax: ↔</w:t>
            </w:r>
          </w:p>
          <w:p w:rsidR="004B15A2" w:rsidRPr="00A92787" w:rsidRDefault="004B15A2" w:rsidP="004B15A2">
            <w:pPr>
              <w:rPr>
                <w:rFonts w:ascii="Times New Roman" w:hAnsi="Times New Roman"/>
                <w:sz w:val="20"/>
                <w:szCs w:val="20"/>
                <w:lang w:val="da-DK"/>
              </w:rPr>
            </w:pPr>
            <w:r w:rsidRPr="004B15A2">
              <w:rPr>
                <w:sz w:val="20"/>
                <w:lang w:val="da-DK"/>
              </w:rPr>
              <w:t>Cmin: ↓ 21 % (↓ 58 til ↑ 48)</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Emtricitabin:</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w:t>
            </w:r>
          </w:p>
          <w:p w:rsidR="004B15A2" w:rsidRPr="00A92787" w:rsidRDefault="004B15A2" w:rsidP="004B15A2">
            <w:pPr>
              <w:rPr>
                <w:rFonts w:ascii="Times New Roman" w:hAnsi="Times New Roman"/>
                <w:sz w:val="20"/>
                <w:szCs w:val="20"/>
                <w:lang w:val="da-DK"/>
              </w:rPr>
            </w:pPr>
            <w:r w:rsidRPr="004B15A2">
              <w:rPr>
                <w:sz w:val="20"/>
                <w:lang w:val="da-DK"/>
              </w:rPr>
              <w:t>Cmin: ↔</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Tenofovir:</w:t>
            </w:r>
          </w:p>
          <w:p w:rsidR="004B15A2" w:rsidRPr="00A92787" w:rsidRDefault="004B15A2" w:rsidP="004B15A2">
            <w:pPr>
              <w:rPr>
                <w:rFonts w:ascii="Times New Roman" w:hAnsi="Times New Roman"/>
                <w:sz w:val="20"/>
                <w:szCs w:val="20"/>
                <w:lang w:val="da-DK"/>
              </w:rPr>
            </w:pPr>
            <w:r w:rsidRPr="004B15A2">
              <w:rPr>
                <w:sz w:val="20"/>
                <w:lang w:val="da-DK"/>
              </w:rPr>
              <w:t>AUC: ↑ 40 % (↑ 34 til ↑ 45)</w:t>
            </w:r>
          </w:p>
          <w:p w:rsidR="004B15A2" w:rsidRPr="00A92787" w:rsidRDefault="004B15A2" w:rsidP="004B15A2">
            <w:pPr>
              <w:rPr>
                <w:rFonts w:ascii="Times New Roman" w:hAnsi="Times New Roman"/>
                <w:sz w:val="20"/>
                <w:szCs w:val="20"/>
                <w:lang w:val="da-DK"/>
              </w:rPr>
            </w:pPr>
            <w:r w:rsidRPr="004B15A2">
              <w:rPr>
                <w:sz w:val="20"/>
                <w:lang w:val="da-DK"/>
              </w:rPr>
              <w:t>Cmax: ↑ 46 % (↑ 39 til ↑ 54)</w:t>
            </w:r>
          </w:p>
          <w:p w:rsidR="004B15A2" w:rsidRPr="00A92787" w:rsidRDefault="004B15A2" w:rsidP="004B15A2">
            <w:pPr>
              <w:rPr>
                <w:rFonts w:ascii="Times New Roman" w:hAnsi="Times New Roman"/>
                <w:sz w:val="20"/>
                <w:szCs w:val="20"/>
                <w:lang w:val="da-DK"/>
              </w:rPr>
            </w:pPr>
            <w:r w:rsidRPr="004B15A2">
              <w:rPr>
                <w:sz w:val="20"/>
                <w:lang w:val="da-DK"/>
              </w:rPr>
              <w:t>Cmin: ↑ 70 % (↑ 61 til ↑ 79)</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da-DK"/>
              </w:rPr>
              <w:lastRenderedPageBreak/>
              <w:t xml:space="preserve">Anbefaling for dosisjustering foreligger ikke. Den forøgede tenofovireksponering kan forstærke bivirkninger relateret til tenofovirdisoproxil, herunder nyrerelaterede bivirkninger. </w:t>
            </w:r>
            <w:r w:rsidRPr="00467589">
              <w:rPr>
                <w:sz w:val="20"/>
              </w:rPr>
              <w:t>Nyrefunktionen skal monitoreres tæt (se pkt. 4.4).</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A92787">
              <w:rPr>
                <w:sz w:val="20"/>
                <w:lang w:val="sv-SE"/>
              </w:rPr>
              <w:t xml:space="preserve">Sofosbuvir/Velpatasvir </w:t>
            </w:r>
          </w:p>
          <w:p w:rsidR="004B15A2" w:rsidRPr="00467589" w:rsidRDefault="004B15A2" w:rsidP="004B15A2">
            <w:pPr>
              <w:rPr>
                <w:rFonts w:ascii="Times New Roman" w:hAnsi="Times New Roman"/>
                <w:sz w:val="20"/>
                <w:szCs w:val="20"/>
                <w:lang w:val="da-DK"/>
              </w:rPr>
            </w:pPr>
            <w:r w:rsidRPr="00A92787">
              <w:rPr>
                <w:sz w:val="20"/>
                <w:lang w:val="sv-SE"/>
              </w:rPr>
              <w:t xml:space="preserve">(400 mg/100 mg q.d.) </w:t>
            </w:r>
          </w:p>
          <w:p w:rsidR="004B15A2" w:rsidRPr="00467589" w:rsidRDefault="004B15A2" w:rsidP="004B15A2">
            <w:pPr>
              <w:rPr>
                <w:rFonts w:ascii="Times New Roman" w:hAnsi="Times New Roman"/>
                <w:sz w:val="20"/>
                <w:szCs w:val="20"/>
                <w:lang w:val="da-DK"/>
              </w:rPr>
            </w:pPr>
            <w:r w:rsidRPr="004B15A2">
              <w:rPr>
                <w:sz w:val="20"/>
                <w:lang w:val="da-DK"/>
              </w:rPr>
              <w:t>+Efavirenz/Emtricitabin/</w:t>
            </w:r>
          </w:p>
          <w:p w:rsidR="004B15A2" w:rsidRPr="00467589" w:rsidRDefault="004B15A2" w:rsidP="004B15A2">
            <w:pPr>
              <w:rPr>
                <w:rFonts w:ascii="Times New Roman" w:hAnsi="Times New Roman"/>
                <w:sz w:val="20"/>
                <w:szCs w:val="20"/>
                <w:lang w:val="da-DK"/>
              </w:rPr>
            </w:pPr>
            <w:r w:rsidRPr="004B15A2">
              <w:rPr>
                <w:sz w:val="20"/>
                <w:lang w:val="da-DK"/>
              </w:rPr>
              <w:t>Tenofovirdisoproxil</w:t>
            </w:r>
          </w:p>
          <w:p w:rsidR="004B15A2" w:rsidRPr="00467589" w:rsidRDefault="004B15A2" w:rsidP="004B15A2">
            <w:pPr>
              <w:rPr>
                <w:rFonts w:ascii="Times New Roman" w:hAnsi="Times New Roman"/>
                <w:sz w:val="20"/>
                <w:szCs w:val="20"/>
                <w:lang w:val="da-DK"/>
              </w:rPr>
            </w:pPr>
            <w:r w:rsidRPr="004B15A2">
              <w:rPr>
                <w:sz w:val="20"/>
                <w:lang w:val="da-DK"/>
              </w:rPr>
              <w:t>(600 mg/200 mg/245 mg q.d.)</w:t>
            </w:r>
          </w:p>
        </w:tc>
        <w:tc>
          <w:tcPr>
            <w:tcW w:w="2835"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B15A2">
              <w:rPr>
                <w:sz w:val="20"/>
                <w:lang w:val="da-DK"/>
              </w:rPr>
              <w:t>Sofosbuvir:</w:t>
            </w:r>
          </w:p>
          <w:p w:rsidR="004B15A2" w:rsidRPr="00467589" w:rsidRDefault="004B15A2" w:rsidP="004B15A2">
            <w:pPr>
              <w:rPr>
                <w:rFonts w:ascii="Times New Roman" w:hAnsi="Times New Roman"/>
                <w:sz w:val="20"/>
                <w:szCs w:val="20"/>
                <w:lang w:val="da-DK"/>
              </w:rPr>
            </w:pPr>
            <w:r w:rsidRPr="004B15A2">
              <w:rPr>
                <w:sz w:val="20"/>
                <w:lang w:val="da-DK"/>
              </w:rPr>
              <w:t>AUC: ↔</w:t>
            </w:r>
          </w:p>
          <w:p w:rsidR="004B15A2" w:rsidRPr="00467589" w:rsidRDefault="004B15A2" w:rsidP="004B15A2">
            <w:pPr>
              <w:rPr>
                <w:rFonts w:ascii="Times New Roman" w:hAnsi="Times New Roman"/>
                <w:sz w:val="20"/>
                <w:szCs w:val="20"/>
                <w:lang w:val="da-DK"/>
              </w:rPr>
            </w:pPr>
            <w:r w:rsidRPr="004B15A2">
              <w:rPr>
                <w:sz w:val="20"/>
                <w:lang w:val="da-DK"/>
              </w:rPr>
              <w:t>Cmax: ↑ 38 % (↑ 14 til ↑ 67)</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B15A2">
              <w:rPr>
                <w:sz w:val="20"/>
                <w:lang w:val="da-DK"/>
              </w:rPr>
              <w:t>GS-331007</w:t>
            </w:r>
            <w:r w:rsidRPr="004B15A2">
              <w:rPr>
                <w:sz w:val="20"/>
                <w:vertAlign w:val="superscript"/>
                <w:lang w:val="da-DK"/>
              </w:rPr>
              <w:t>2</w:t>
            </w:r>
            <w:r w:rsidRPr="004B15A2">
              <w:rPr>
                <w:sz w:val="20"/>
                <w:lang w:val="da-DK"/>
              </w:rPr>
              <w:t>:</w:t>
            </w:r>
          </w:p>
          <w:p w:rsidR="004B15A2" w:rsidRPr="00467589" w:rsidRDefault="004B15A2" w:rsidP="004B15A2">
            <w:pPr>
              <w:rPr>
                <w:rFonts w:ascii="Times New Roman" w:hAnsi="Times New Roman"/>
                <w:sz w:val="20"/>
                <w:szCs w:val="20"/>
                <w:lang w:val="da-DK"/>
              </w:rPr>
            </w:pPr>
            <w:r w:rsidRPr="004B15A2">
              <w:rPr>
                <w:sz w:val="20"/>
                <w:lang w:val="da-DK"/>
              </w:rPr>
              <w:t>AUC: ↔</w:t>
            </w:r>
          </w:p>
          <w:p w:rsidR="004B15A2" w:rsidRPr="00467589" w:rsidRDefault="004B15A2" w:rsidP="004B15A2">
            <w:pPr>
              <w:rPr>
                <w:rFonts w:ascii="Times New Roman" w:hAnsi="Times New Roman"/>
                <w:sz w:val="20"/>
                <w:szCs w:val="20"/>
                <w:lang w:val="da-DK"/>
              </w:rPr>
            </w:pPr>
            <w:r w:rsidRPr="004B15A2">
              <w:rPr>
                <w:sz w:val="20"/>
                <w:lang w:val="da-DK"/>
              </w:rPr>
              <w:t>Cmax: ↔</w:t>
            </w:r>
          </w:p>
          <w:p w:rsidR="004B15A2" w:rsidRPr="00467589" w:rsidRDefault="004B15A2" w:rsidP="004B15A2">
            <w:pPr>
              <w:rPr>
                <w:rFonts w:ascii="Times New Roman" w:hAnsi="Times New Roman"/>
                <w:sz w:val="20"/>
                <w:szCs w:val="20"/>
                <w:lang w:val="da-DK"/>
              </w:rPr>
            </w:pPr>
            <w:r w:rsidRPr="004B15A2">
              <w:rPr>
                <w:sz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B15A2">
              <w:rPr>
                <w:sz w:val="20"/>
                <w:lang w:val="da-DK"/>
              </w:rPr>
              <w:t>Velpatasvir:</w:t>
            </w:r>
          </w:p>
          <w:p w:rsidR="004B15A2" w:rsidRPr="00467589" w:rsidRDefault="004B15A2" w:rsidP="004B15A2">
            <w:pPr>
              <w:rPr>
                <w:rFonts w:ascii="Times New Roman" w:hAnsi="Times New Roman"/>
                <w:sz w:val="20"/>
                <w:szCs w:val="20"/>
                <w:lang w:val="da-DK"/>
              </w:rPr>
            </w:pPr>
            <w:r w:rsidRPr="004B15A2">
              <w:rPr>
                <w:sz w:val="20"/>
                <w:lang w:val="da-DK"/>
              </w:rPr>
              <w:t>AUC: ↓ 53 % (↓ 61 til ↓ 43)</w:t>
            </w:r>
          </w:p>
          <w:p w:rsidR="004B15A2" w:rsidRPr="00467589" w:rsidRDefault="004B15A2" w:rsidP="004B15A2">
            <w:pPr>
              <w:rPr>
                <w:rFonts w:ascii="Times New Roman" w:hAnsi="Times New Roman"/>
                <w:sz w:val="20"/>
                <w:szCs w:val="20"/>
                <w:lang w:val="da-DK"/>
              </w:rPr>
            </w:pPr>
            <w:r w:rsidRPr="004B15A2">
              <w:rPr>
                <w:sz w:val="20"/>
                <w:lang w:val="da-DK"/>
              </w:rPr>
              <w:t>Cmax: ↓ 47 % (↓ 57 til ↓ 36)</w:t>
            </w:r>
          </w:p>
          <w:p w:rsidR="004B15A2" w:rsidRPr="00467589" w:rsidRDefault="004B15A2" w:rsidP="004B15A2">
            <w:pPr>
              <w:rPr>
                <w:rFonts w:ascii="Times New Roman" w:hAnsi="Times New Roman"/>
                <w:sz w:val="20"/>
                <w:szCs w:val="20"/>
                <w:lang w:val="da-DK"/>
              </w:rPr>
            </w:pPr>
            <w:r w:rsidRPr="004B15A2">
              <w:rPr>
                <w:sz w:val="20"/>
                <w:lang w:val="da-DK"/>
              </w:rPr>
              <w:t>Cmin: ↓ 57 % (↓ 64 til ↓ 48)</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B15A2">
              <w:rPr>
                <w:sz w:val="20"/>
                <w:lang w:val="da-DK"/>
              </w:rPr>
              <w:t>Efavirenz:</w:t>
            </w:r>
          </w:p>
          <w:p w:rsidR="004B15A2" w:rsidRPr="00467589" w:rsidRDefault="004B15A2" w:rsidP="004B15A2">
            <w:pPr>
              <w:rPr>
                <w:rFonts w:ascii="Times New Roman" w:hAnsi="Times New Roman"/>
                <w:sz w:val="20"/>
                <w:szCs w:val="20"/>
                <w:lang w:val="da-DK"/>
              </w:rPr>
            </w:pPr>
            <w:r w:rsidRPr="004B15A2">
              <w:rPr>
                <w:sz w:val="20"/>
                <w:lang w:val="da-DK"/>
              </w:rPr>
              <w:t>AUC: ↔</w:t>
            </w:r>
          </w:p>
          <w:p w:rsidR="004B15A2" w:rsidRPr="00467589" w:rsidRDefault="004B15A2" w:rsidP="004B15A2">
            <w:pPr>
              <w:rPr>
                <w:rFonts w:ascii="Times New Roman" w:hAnsi="Times New Roman"/>
                <w:sz w:val="20"/>
                <w:szCs w:val="20"/>
                <w:lang w:val="da-DK"/>
              </w:rPr>
            </w:pPr>
            <w:r w:rsidRPr="004B15A2">
              <w:rPr>
                <w:sz w:val="20"/>
                <w:lang w:val="da-DK"/>
              </w:rPr>
              <w:t>Cmax: ↔</w:t>
            </w:r>
          </w:p>
          <w:p w:rsidR="004B15A2" w:rsidRPr="00467589" w:rsidRDefault="004B15A2" w:rsidP="004B15A2">
            <w:pPr>
              <w:rPr>
                <w:rFonts w:ascii="Times New Roman" w:hAnsi="Times New Roman"/>
                <w:sz w:val="20"/>
                <w:szCs w:val="20"/>
                <w:lang w:val="da-DK"/>
              </w:rPr>
            </w:pPr>
            <w:r w:rsidRPr="004B15A2">
              <w:rPr>
                <w:sz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B15A2">
              <w:rPr>
                <w:sz w:val="20"/>
                <w:lang w:val="da-DK"/>
              </w:rPr>
              <w:t>Emtricitabin:</w:t>
            </w:r>
          </w:p>
          <w:p w:rsidR="004B15A2" w:rsidRPr="00467589" w:rsidRDefault="004B15A2" w:rsidP="004B15A2">
            <w:pPr>
              <w:rPr>
                <w:rFonts w:ascii="Times New Roman" w:hAnsi="Times New Roman"/>
                <w:sz w:val="20"/>
                <w:szCs w:val="20"/>
                <w:lang w:val="da-DK"/>
              </w:rPr>
            </w:pPr>
            <w:r w:rsidRPr="004B15A2">
              <w:rPr>
                <w:sz w:val="20"/>
                <w:lang w:val="da-DK"/>
              </w:rPr>
              <w:t>AUC: ↔</w:t>
            </w:r>
          </w:p>
          <w:p w:rsidR="004B15A2" w:rsidRPr="00467589" w:rsidRDefault="004B15A2" w:rsidP="004B15A2">
            <w:pPr>
              <w:rPr>
                <w:rFonts w:ascii="Times New Roman" w:hAnsi="Times New Roman"/>
                <w:sz w:val="20"/>
                <w:szCs w:val="20"/>
                <w:lang w:val="da-DK"/>
              </w:rPr>
            </w:pPr>
            <w:r w:rsidRPr="004B15A2">
              <w:rPr>
                <w:sz w:val="20"/>
                <w:lang w:val="da-DK"/>
              </w:rPr>
              <w:t>Cmax: ↔</w:t>
            </w:r>
          </w:p>
          <w:p w:rsidR="004B15A2" w:rsidRPr="00467589" w:rsidRDefault="004B15A2" w:rsidP="004B15A2">
            <w:pPr>
              <w:rPr>
                <w:rFonts w:ascii="Times New Roman" w:hAnsi="Times New Roman"/>
                <w:sz w:val="20"/>
                <w:szCs w:val="20"/>
                <w:lang w:val="da-DK"/>
              </w:rPr>
            </w:pPr>
            <w:r w:rsidRPr="004B15A2">
              <w:rPr>
                <w:sz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B15A2">
              <w:rPr>
                <w:sz w:val="20"/>
                <w:lang w:val="da-DK"/>
              </w:rPr>
              <w:t>Tenofovir:</w:t>
            </w:r>
          </w:p>
          <w:p w:rsidR="004B15A2" w:rsidRPr="00467589" w:rsidRDefault="004B15A2" w:rsidP="004B15A2">
            <w:pPr>
              <w:rPr>
                <w:rFonts w:ascii="Times New Roman" w:hAnsi="Times New Roman"/>
                <w:sz w:val="20"/>
                <w:szCs w:val="20"/>
                <w:lang w:val="da-DK"/>
              </w:rPr>
            </w:pPr>
            <w:r w:rsidRPr="004B15A2">
              <w:rPr>
                <w:sz w:val="20"/>
                <w:lang w:val="da-DK"/>
              </w:rPr>
              <w:t>AUC: ↑ 81 % (↑ 68 til ↑ 94)</w:t>
            </w:r>
          </w:p>
          <w:p w:rsidR="004B15A2" w:rsidRPr="00A92787" w:rsidRDefault="004B15A2" w:rsidP="004B15A2">
            <w:pPr>
              <w:rPr>
                <w:rFonts w:ascii="Times New Roman" w:hAnsi="Times New Roman"/>
                <w:sz w:val="20"/>
                <w:szCs w:val="20"/>
                <w:lang w:val="da-DK"/>
              </w:rPr>
            </w:pPr>
            <w:r w:rsidRPr="00A92787">
              <w:rPr>
                <w:sz w:val="20"/>
                <w:lang w:val="da-DK"/>
              </w:rPr>
              <w:t>Cmax: ↑ 77 % (↑ 53 til ↑ 104)</w:t>
            </w:r>
          </w:p>
          <w:p w:rsidR="004B15A2" w:rsidRPr="00A92787" w:rsidRDefault="004B15A2" w:rsidP="004B15A2">
            <w:pPr>
              <w:rPr>
                <w:rFonts w:ascii="Times New Roman" w:hAnsi="Times New Roman"/>
                <w:sz w:val="20"/>
                <w:szCs w:val="20"/>
                <w:lang w:val="da-DK"/>
              </w:rPr>
            </w:pPr>
            <w:r w:rsidRPr="00A92787">
              <w:rPr>
                <w:sz w:val="20"/>
                <w:lang w:val="da-DK"/>
              </w:rPr>
              <w:t>Cmin: ↑ 121 % (↑ 100 til ↑ 143)</w:t>
            </w:r>
          </w:p>
          <w:p w:rsidR="004B15A2" w:rsidRPr="00A92787" w:rsidRDefault="004B15A2" w:rsidP="004B15A2">
            <w:pPr>
              <w:rPr>
                <w:rFonts w:ascii="Times New Roman" w:hAnsi="Times New Roman"/>
                <w:sz w:val="20"/>
                <w:szCs w:val="20"/>
                <w:lang w:val="da-DK"/>
              </w:rPr>
            </w:pPr>
          </w:p>
        </w:tc>
        <w:tc>
          <w:tcPr>
            <w:tcW w:w="3086"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A92787">
              <w:rPr>
                <w:sz w:val="20"/>
                <w:lang w:val="sv-SE"/>
              </w:rPr>
              <w:t>Samtidig administration af sofosbuvir/velpatasvir og efavirenz forventes at reducere plasmakoncentrationen af velpatasvir. Samtidig administration af sofosbuvir/velpatasvir og regimer indeholdende efavirenz frarådes.</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Sofosbuvir/Velpatasvir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(400 mg/100 mg q.d.)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Emtricitabin/Rilpivirin/</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Tenofovirdisoproxil</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(200 mg/25 mg/245 mg q.d.)</w:t>
            </w:r>
          </w:p>
          <w:p w:rsidR="004B15A2" w:rsidRPr="00467589" w:rsidRDefault="004B15A2" w:rsidP="004B15A2">
            <w:pPr>
              <w:rPr>
                <w:rFonts w:ascii="Times New Roman" w:hAnsi="Times New Roman"/>
                <w:sz w:val="20"/>
                <w:szCs w:val="20"/>
                <w:lang w:val="da-DK"/>
              </w:rPr>
            </w:pPr>
          </w:p>
        </w:tc>
        <w:tc>
          <w:tcPr>
            <w:tcW w:w="2835"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Sofosbuvir: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GS-331007</w:t>
            </w:r>
            <w:r w:rsidRPr="00467589">
              <w:rPr>
                <w:rFonts w:ascii="Times New Roman" w:hAnsi="Times New Roman"/>
                <w:sz w:val="20"/>
                <w:szCs w:val="20"/>
                <w:vertAlign w:val="superscript"/>
                <w:lang w:val="da-DK"/>
              </w:rPr>
              <w:t>2</w:t>
            </w:r>
            <w:r w:rsidRPr="00467589">
              <w:rPr>
                <w:rFonts w:ascii="Times New Roman" w:hAnsi="Times New Roman"/>
                <w:sz w:val="20"/>
                <w:szCs w:val="20"/>
                <w:lang w:val="da-DK"/>
              </w:rPr>
              <w:t>:</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Velpatasvir: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Emtricitabin:</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lastRenderedPageBreak/>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Rilpivirin:</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Tenofovir:</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AUC: ↑ 40 % (↑ 34 til ↑ 46)</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Cmax: ↑ 44 % (↑ 33 til ↑ 55)</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Cmin: ↑ 84 % (↑ 76 til ↑ 92)</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da-DK"/>
              </w:rPr>
              <w:lastRenderedPageBreak/>
              <w:t xml:space="preserve">Anbefaling for dosisjustering foreligger ikke. </w:t>
            </w:r>
            <w:r w:rsidRPr="00467589">
              <w:rPr>
                <w:rFonts w:ascii="Times New Roman" w:hAnsi="Times New Roman"/>
                <w:sz w:val="20"/>
                <w:szCs w:val="20"/>
                <w:lang w:val="da-DK"/>
              </w:rPr>
              <w:t xml:space="preserve">Den forøgede tenofovireksponering kan forstærke bivirkninger relateret til tenofovirdisoproxil, herunder nyrerelaterede bivirkninger. </w:t>
            </w:r>
            <w:r w:rsidRPr="00467589">
              <w:rPr>
                <w:sz w:val="20"/>
              </w:rPr>
              <w:t>Nyrefunktionen skal monitoreres tæt (se pkt. 4.4).</w:t>
            </w:r>
          </w:p>
        </w:tc>
      </w:tr>
      <w:tr w:rsidR="004B15A2" w:rsidRPr="00467589" w:rsidTr="004B15A2">
        <w:trPr>
          <w:trHeight w:val="9199"/>
        </w:trPr>
        <w:tc>
          <w:tcPr>
            <w:tcW w:w="3369"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B15A2">
              <w:rPr>
                <w:sz w:val="20"/>
                <w:lang w:val="da-DK"/>
              </w:rPr>
              <w:t>Sofosbuvir/velpatasvir/voxilaprevir (400 mg/100 mg/100 mg+100 mg q.d.)</w:t>
            </w:r>
            <w:r w:rsidRPr="004B15A2">
              <w:rPr>
                <w:sz w:val="20"/>
                <w:vertAlign w:val="superscript"/>
                <w:lang w:val="da-DK"/>
              </w:rPr>
              <w:t>3</w:t>
            </w:r>
            <w:r w:rsidRPr="004B15A2">
              <w:rPr>
                <w:sz w:val="20"/>
                <w:lang w:val="da-DK"/>
              </w:rPr>
              <w:t xml:space="preserve"> + Darunavir (800 mg q.d.) </w:t>
            </w:r>
          </w:p>
          <w:p w:rsidR="004B15A2" w:rsidRPr="00467589" w:rsidRDefault="004B15A2" w:rsidP="004B15A2">
            <w:pPr>
              <w:rPr>
                <w:rFonts w:ascii="Times New Roman" w:hAnsi="Times New Roman"/>
                <w:sz w:val="20"/>
                <w:szCs w:val="20"/>
                <w:lang w:val="da-DK"/>
              </w:rPr>
            </w:pPr>
            <w:r w:rsidRPr="004B15A2">
              <w:rPr>
                <w:sz w:val="20"/>
                <w:lang w:val="da-DK"/>
              </w:rPr>
              <w:t>+ Ritonavir (100 mg q.d.)</w:t>
            </w:r>
          </w:p>
          <w:p w:rsidR="004B15A2" w:rsidRPr="00467589" w:rsidRDefault="004B15A2" w:rsidP="004B15A2">
            <w:pPr>
              <w:rPr>
                <w:rFonts w:ascii="Times New Roman" w:hAnsi="Times New Roman"/>
                <w:sz w:val="20"/>
                <w:szCs w:val="20"/>
                <w:lang w:val="da-DK"/>
              </w:rPr>
            </w:pPr>
            <w:r w:rsidRPr="004B15A2">
              <w:rPr>
                <w:sz w:val="20"/>
                <w:lang w:val="da-DK"/>
              </w:rPr>
              <w:t>+ Emtricitabin/tenofovirdisoproxil (200 mg/245 mg q.d.)</w:t>
            </w:r>
          </w:p>
          <w:p w:rsidR="004B15A2" w:rsidRPr="00467589" w:rsidRDefault="004B15A2" w:rsidP="004B15A2">
            <w:pPr>
              <w:rPr>
                <w:rFonts w:ascii="Times New Roman" w:hAnsi="Times New Roman"/>
                <w:sz w:val="20"/>
                <w:szCs w:val="20"/>
                <w:lang w:val="da-DK"/>
              </w:rPr>
            </w:pPr>
          </w:p>
        </w:tc>
        <w:tc>
          <w:tcPr>
            <w:tcW w:w="2835" w:type="dxa"/>
            <w:tcBorders>
              <w:top w:val="single" w:sz="4" w:space="0" w:color="auto"/>
              <w:left w:val="single" w:sz="4" w:space="0" w:color="auto"/>
              <w:bottom w:val="single" w:sz="4" w:space="0" w:color="auto"/>
              <w:right w:val="single" w:sz="4" w:space="0" w:color="auto"/>
            </w:tcBorders>
          </w:tcPr>
          <w:p w:rsidR="004B15A2" w:rsidRPr="004B15A2" w:rsidRDefault="004B15A2" w:rsidP="004B15A2">
            <w:pPr>
              <w:rPr>
                <w:rFonts w:ascii="Times New Roman" w:hAnsi="Times New Roman"/>
                <w:sz w:val="20"/>
                <w:szCs w:val="20"/>
              </w:rPr>
            </w:pPr>
            <w:r w:rsidRPr="00467589">
              <w:rPr>
                <w:sz w:val="20"/>
              </w:rPr>
              <w:t>Sofosbuvir:</w:t>
            </w:r>
          </w:p>
          <w:p w:rsidR="004B15A2" w:rsidRPr="004B15A2" w:rsidRDefault="004B15A2" w:rsidP="004B15A2">
            <w:pPr>
              <w:rPr>
                <w:rFonts w:ascii="Times New Roman" w:hAnsi="Times New Roman"/>
                <w:sz w:val="20"/>
                <w:szCs w:val="20"/>
              </w:rPr>
            </w:pPr>
            <w:r w:rsidRPr="00467589">
              <w:rPr>
                <w:sz w:val="20"/>
              </w:rPr>
              <w:t>AUC: ↔</w:t>
            </w:r>
          </w:p>
          <w:p w:rsidR="004B15A2" w:rsidRPr="004B15A2" w:rsidRDefault="004B15A2" w:rsidP="004B15A2">
            <w:pPr>
              <w:rPr>
                <w:rFonts w:ascii="Times New Roman" w:hAnsi="Times New Roman"/>
                <w:sz w:val="20"/>
                <w:szCs w:val="20"/>
              </w:rPr>
            </w:pPr>
            <w:r w:rsidRPr="00467589">
              <w:rPr>
                <w:sz w:val="20"/>
              </w:rPr>
              <w:t>Cmax: ↓ 30 %</w:t>
            </w:r>
          </w:p>
          <w:p w:rsidR="004B15A2" w:rsidRPr="004B15A2" w:rsidRDefault="004B15A2" w:rsidP="004B15A2">
            <w:pPr>
              <w:rPr>
                <w:rFonts w:ascii="Times New Roman" w:hAnsi="Times New Roman"/>
                <w:sz w:val="20"/>
                <w:szCs w:val="20"/>
              </w:rPr>
            </w:pPr>
            <w:r w:rsidRPr="00467589">
              <w:rPr>
                <w:sz w:val="20"/>
              </w:rPr>
              <w:t>Cmin: N/A</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467589">
              <w:rPr>
                <w:sz w:val="20"/>
              </w:rPr>
              <w:t>GS-331007</w:t>
            </w:r>
            <w:r w:rsidRPr="00467589">
              <w:rPr>
                <w:sz w:val="20"/>
                <w:vertAlign w:val="superscript"/>
              </w:rPr>
              <w:t>2</w:t>
            </w:r>
            <w:r w:rsidRPr="00467589">
              <w:rPr>
                <w:sz w:val="20"/>
              </w:rPr>
              <w:t>:</w:t>
            </w:r>
          </w:p>
          <w:p w:rsidR="004B15A2" w:rsidRPr="004B15A2" w:rsidRDefault="004B15A2" w:rsidP="004B15A2">
            <w:pPr>
              <w:rPr>
                <w:rFonts w:ascii="Times New Roman" w:hAnsi="Times New Roman"/>
                <w:sz w:val="20"/>
                <w:szCs w:val="20"/>
              </w:rPr>
            </w:pPr>
            <w:r w:rsidRPr="00467589">
              <w:rPr>
                <w:sz w:val="20"/>
              </w:rPr>
              <w:t>AUC: ↔</w:t>
            </w:r>
          </w:p>
          <w:p w:rsidR="004B15A2" w:rsidRPr="004B15A2" w:rsidRDefault="004B15A2" w:rsidP="004B15A2">
            <w:pPr>
              <w:rPr>
                <w:rFonts w:ascii="Times New Roman" w:hAnsi="Times New Roman"/>
                <w:sz w:val="20"/>
                <w:szCs w:val="20"/>
              </w:rPr>
            </w:pPr>
            <w:proofErr w:type="gramStart"/>
            <w:r w:rsidRPr="00467589">
              <w:rPr>
                <w:sz w:val="20"/>
              </w:rPr>
              <w:t>Cmax:↔</w:t>
            </w:r>
            <w:proofErr w:type="gramEnd"/>
          </w:p>
          <w:p w:rsidR="004B15A2" w:rsidRPr="004B15A2" w:rsidRDefault="004B15A2" w:rsidP="004B15A2">
            <w:pPr>
              <w:rPr>
                <w:rFonts w:ascii="Times New Roman" w:hAnsi="Times New Roman"/>
                <w:sz w:val="20"/>
                <w:szCs w:val="20"/>
              </w:rPr>
            </w:pPr>
            <w:r w:rsidRPr="00467589">
              <w:rPr>
                <w:sz w:val="20"/>
              </w:rPr>
              <w:t>Cmin: N/A</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Velpatasvir: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Voxilaprevir:</w:t>
            </w:r>
          </w:p>
          <w:p w:rsidR="004B15A2" w:rsidRPr="004B15A2" w:rsidRDefault="004B15A2" w:rsidP="004B15A2">
            <w:pPr>
              <w:rPr>
                <w:rFonts w:ascii="Times New Roman" w:hAnsi="Times New Roman"/>
                <w:sz w:val="20"/>
                <w:szCs w:val="20"/>
              </w:rPr>
            </w:pPr>
            <w:r w:rsidRPr="00C1274B">
              <w:rPr>
                <w:sz w:val="20"/>
              </w:rPr>
              <w:t>AUC: ↑ 143 %</w:t>
            </w:r>
          </w:p>
          <w:p w:rsidR="004B15A2" w:rsidRPr="004B15A2" w:rsidRDefault="004B15A2" w:rsidP="004B15A2">
            <w:pPr>
              <w:rPr>
                <w:rFonts w:ascii="Times New Roman" w:hAnsi="Times New Roman"/>
                <w:sz w:val="20"/>
                <w:szCs w:val="20"/>
              </w:rPr>
            </w:pPr>
            <w:proofErr w:type="gramStart"/>
            <w:r w:rsidRPr="00C1274B">
              <w:rPr>
                <w:sz w:val="20"/>
              </w:rPr>
              <w:t>Cmax:↑</w:t>
            </w:r>
            <w:proofErr w:type="gramEnd"/>
            <w:r w:rsidRPr="00C1274B">
              <w:rPr>
                <w:sz w:val="20"/>
              </w:rPr>
              <w:t xml:space="preserve"> 72 %</w:t>
            </w:r>
          </w:p>
          <w:p w:rsidR="004B15A2" w:rsidRPr="004B15A2" w:rsidRDefault="004B15A2" w:rsidP="004B15A2">
            <w:pPr>
              <w:rPr>
                <w:rFonts w:ascii="Times New Roman" w:hAnsi="Times New Roman"/>
                <w:sz w:val="20"/>
                <w:szCs w:val="20"/>
              </w:rPr>
            </w:pPr>
            <w:r w:rsidRPr="00C1274B">
              <w:rPr>
                <w:sz w:val="20"/>
              </w:rPr>
              <w:t>Cmin: ↑ 300 %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Darunavir:</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 34 %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Ritonavir:</w:t>
            </w:r>
          </w:p>
          <w:p w:rsidR="004B15A2" w:rsidRPr="004B15A2" w:rsidRDefault="004B15A2" w:rsidP="004B15A2">
            <w:pPr>
              <w:rPr>
                <w:rFonts w:ascii="Times New Roman" w:hAnsi="Times New Roman"/>
                <w:sz w:val="20"/>
                <w:szCs w:val="20"/>
              </w:rPr>
            </w:pPr>
            <w:r w:rsidRPr="00C1274B">
              <w:rPr>
                <w:sz w:val="20"/>
              </w:rPr>
              <w:t>AUC: ↑ 45 %</w:t>
            </w:r>
          </w:p>
          <w:p w:rsidR="004B15A2" w:rsidRPr="004B15A2" w:rsidRDefault="004B15A2" w:rsidP="004B15A2">
            <w:pPr>
              <w:rPr>
                <w:rFonts w:ascii="Times New Roman" w:hAnsi="Times New Roman"/>
                <w:sz w:val="20"/>
                <w:szCs w:val="20"/>
              </w:rPr>
            </w:pPr>
            <w:r w:rsidRPr="00C1274B">
              <w:rPr>
                <w:sz w:val="20"/>
              </w:rPr>
              <w:t>Cmax: ↑ 60 %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4B15A2" w:rsidRDefault="004B15A2" w:rsidP="004B15A2">
            <w:pPr>
              <w:rPr>
                <w:rFonts w:ascii="Times New Roman" w:hAnsi="Times New Roman"/>
                <w:sz w:val="20"/>
                <w:szCs w:val="20"/>
              </w:rPr>
            </w:pPr>
            <w:r w:rsidRPr="00C1274B">
              <w:rPr>
                <w:sz w:val="20"/>
              </w:rPr>
              <w:t>Emtricitabin:</w:t>
            </w:r>
          </w:p>
          <w:p w:rsidR="004B15A2" w:rsidRPr="004B15A2" w:rsidRDefault="004B15A2" w:rsidP="004B15A2">
            <w:pPr>
              <w:rPr>
                <w:rFonts w:ascii="Times New Roman" w:hAnsi="Times New Roman"/>
                <w:sz w:val="20"/>
                <w:szCs w:val="20"/>
              </w:rPr>
            </w:pPr>
            <w:r w:rsidRPr="00C1274B">
              <w:rPr>
                <w:sz w:val="20"/>
              </w:rPr>
              <w:t>AUC: ↔</w:t>
            </w:r>
          </w:p>
          <w:p w:rsidR="004B15A2" w:rsidRPr="004B15A2" w:rsidRDefault="004B15A2" w:rsidP="004B15A2">
            <w:pPr>
              <w:rPr>
                <w:rFonts w:ascii="Times New Roman" w:hAnsi="Times New Roman"/>
                <w:sz w:val="20"/>
                <w:szCs w:val="20"/>
              </w:rPr>
            </w:pPr>
            <w:r w:rsidRPr="00C1274B">
              <w:rPr>
                <w:sz w:val="20"/>
              </w:rPr>
              <w:t>Cmax: ↔</w:t>
            </w:r>
          </w:p>
          <w:p w:rsidR="004B15A2" w:rsidRPr="004B15A2" w:rsidRDefault="004B15A2" w:rsidP="004B15A2">
            <w:pPr>
              <w:rPr>
                <w:rFonts w:ascii="Times New Roman" w:hAnsi="Times New Roman"/>
                <w:sz w:val="20"/>
                <w:szCs w:val="20"/>
              </w:rPr>
            </w:pPr>
            <w:r w:rsidRPr="00C1274B">
              <w:rPr>
                <w:sz w:val="20"/>
              </w:rPr>
              <w:t>Cmin: ↔</w:t>
            </w:r>
          </w:p>
          <w:p w:rsidR="004B15A2" w:rsidRPr="004B15A2" w:rsidRDefault="004B15A2" w:rsidP="004B15A2">
            <w:pPr>
              <w:rPr>
                <w:rFonts w:ascii="Times New Roman" w:hAnsi="Times New Roman"/>
                <w:sz w:val="20"/>
                <w:szCs w:val="20"/>
              </w:rPr>
            </w:pPr>
          </w:p>
          <w:p w:rsidR="004B15A2" w:rsidRPr="00A92787" w:rsidRDefault="004B15A2" w:rsidP="004B15A2">
            <w:pPr>
              <w:rPr>
                <w:rFonts w:ascii="Times New Roman" w:hAnsi="Times New Roman"/>
                <w:sz w:val="20"/>
                <w:szCs w:val="20"/>
                <w:lang w:val="da-DK"/>
              </w:rPr>
            </w:pPr>
            <w:r w:rsidRPr="00467589">
              <w:rPr>
                <w:sz w:val="20"/>
              </w:rPr>
              <w:t>Tenofovir:</w:t>
            </w:r>
          </w:p>
          <w:p w:rsidR="004B15A2" w:rsidRPr="00A92787" w:rsidRDefault="004B15A2" w:rsidP="004B15A2">
            <w:pPr>
              <w:rPr>
                <w:rFonts w:ascii="Times New Roman" w:hAnsi="Times New Roman"/>
                <w:sz w:val="20"/>
                <w:szCs w:val="20"/>
                <w:lang w:val="da-DK"/>
              </w:rPr>
            </w:pPr>
            <w:r w:rsidRPr="00467589">
              <w:rPr>
                <w:sz w:val="20"/>
              </w:rPr>
              <w:t>AUC: ↑ 39 %</w:t>
            </w:r>
          </w:p>
          <w:p w:rsidR="004B15A2" w:rsidRPr="00A92787" w:rsidRDefault="004B15A2" w:rsidP="004B15A2">
            <w:pPr>
              <w:rPr>
                <w:rFonts w:ascii="Times New Roman" w:hAnsi="Times New Roman"/>
                <w:sz w:val="20"/>
                <w:szCs w:val="20"/>
                <w:lang w:val="da-DK"/>
              </w:rPr>
            </w:pPr>
            <w:r w:rsidRPr="00467589">
              <w:rPr>
                <w:sz w:val="20"/>
              </w:rPr>
              <w:t>Cmax: ↑ 48 %</w:t>
            </w:r>
          </w:p>
          <w:p w:rsidR="004B15A2" w:rsidRPr="00A92787" w:rsidRDefault="004B15A2" w:rsidP="004B15A2">
            <w:pPr>
              <w:rPr>
                <w:rFonts w:ascii="Times New Roman" w:hAnsi="Times New Roman"/>
                <w:sz w:val="20"/>
                <w:szCs w:val="20"/>
                <w:lang w:val="da-DK"/>
              </w:rPr>
            </w:pPr>
            <w:r w:rsidRPr="00467589">
              <w:rPr>
                <w:sz w:val="20"/>
              </w:rPr>
              <w:t>Cmin: ↑ 47 %</w:t>
            </w:r>
          </w:p>
          <w:p w:rsidR="004B15A2" w:rsidRPr="00A92787" w:rsidRDefault="004B15A2" w:rsidP="004B15A2">
            <w:pPr>
              <w:rPr>
                <w:rFonts w:ascii="Times New Roman" w:hAnsi="Times New Roman"/>
                <w:sz w:val="20"/>
                <w:szCs w:val="20"/>
                <w:lang w:val="da-DK"/>
              </w:rPr>
            </w:pPr>
          </w:p>
        </w:tc>
        <w:tc>
          <w:tcPr>
            <w:tcW w:w="3086" w:type="dxa"/>
            <w:tcBorders>
              <w:top w:val="single" w:sz="4" w:space="0" w:color="auto"/>
              <w:left w:val="single" w:sz="4" w:space="0" w:color="auto"/>
              <w:bottom w:val="single" w:sz="4" w:space="0" w:color="auto"/>
              <w:right w:val="single" w:sz="4" w:space="0" w:color="auto"/>
            </w:tcBorders>
          </w:tcPr>
          <w:p w:rsidR="004B15A2" w:rsidRPr="00467589" w:rsidRDefault="004B15A2" w:rsidP="004B15A2">
            <w:pPr>
              <w:rPr>
                <w:rFonts w:ascii="Times New Roman" w:hAnsi="Times New Roman"/>
                <w:sz w:val="20"/>
                <w:szCs w:val="20"/>
                <w:lang w:val="da-DK"/>
              </w:rPr>
            </w:pPr>
            <w:r w:rsidRPr="004B15A2">
              <w:rPr>
                <w:sz w:val="20"/>
                <w:lang w:val="da-DK"/>
              </w:rPr>
              <w:t>Øget plasmakoncentration af tenofovir som følge af samtidig administration af tenofovirdisoproxil, sofosbuvir/velpatasvir/voxila previr og darunavir/ritonavir kan øge risikoen for bivirkninger relateret til tenofovirdisoproxil, herunder nyrerelaterede bivirkninger. Sikkerheden af tenofovirdisoproxil sammen med sofosbuvir/velpatasvir/voxila previr og en farmakokinetisk booster (f.eks. ritonavir eller cobicistat) er ikke klarlagt.</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A92787">
              <w:rPr>
                <w:sz w:val="20"/>
                <w:lang w:val="sv-SE"/>
              </w:rPr>
              <w:t>Kombinationen skal anvendes med forsigtighed og med hyppig monitorering af nyrefunktionen (se pkt. 4.4).</w:t>
            </w:r>
          </w:p>
          <w:p w:rsidR="004B15A2" w:rsidRPr="00467589" w:rsidRDefault="004B15A2" w:rsidP="004B15A2">
            <w:pPr>
              <w:rPr>
                <w:rFonts w:ascii="Times New Roman" w:hAnsi="Times New Roman"/>
                <w:sz w:val="20"/>
                <w:szCs w:val="20"/>
                <w:lang w:val="da-DK"/>
              </w:rPr>
            </w:pP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xml:space="preserve">Sofosbuvir (400 mg q.d.) </w:t>
            </w:r>
          </w:p>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 Efavirenz/Emtricitabin/ Tenofovirdisoproxil</w:t>
            </w:r>
          </w:p>
          <w:p w:rsidR="004B15A2" w:rsidRPr="00A92787" w:rsidRDefault="004B15A2" w:rsidP="004B15A2">
            <w:pPr>
              <w:rPr>
                <w:rFonts w:ascii="Times New Roman" w:hAnsi="Times New Roman"/>
                <w:sz w:val="20"/>
                <w:szCs w:val="20"/>
                <w:lang w:val="da-DK"/>
              </w:rPr>
            </w:pPr>
            <w:r w:rsidRPr="00467589">
              <w:rPr>
                <w:sz w:val="20"/>
              </w:rPr>
              <w:t>(600 mg/200 mg/245 mg q.d.)</w:t>
            </w:r>
          </w:p>
        </w:tc>
        <w:tc>
          <w:tcPr>
            <w:tcW w:w="2835" w:type="dxa"/>
            <w:tcBorders>
              <w:top w:val="single" w:sz="4" w:space="0" w:color="auto"/>
              <w:left w:val="single" w:sz="4" w:space="0" w:color="auto"/>
              <w:bottom w:val="single" w:sz="4" w:space="0" w:color="auto"/>
              <w:right w:val="single" w:sz="4" w:space="0" w:color="auto"/>
            </w:tcBorders>
          </w:tcPr>
          <w:p w:rsidR="004B15A2" w:rsidRPr="00A92787" w:rsidRDefault="004B15A2" w:rsidP="004B15A2">
            <w:pPr>
              <w:rPr>
                <w:rFonts w:ascii="Times New Roman" w:hAnsi="Times New Roman"/>
                <w:sz w:val="20"/>
                <w:szCs w:val="20"/>
                <w:lang w:val="da-DK"/>
              </w:rPr>
            </w:pPr>
            <w:r w:rsidRPr="004B15A2">
              <w:rPr>
                <w:sz w:val="20"/>
                <w:lang w:val="da-DK"/>
              </w:rPr>
              <w:t>Sofosbuvir:</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 19 % (↓ 40 til ↑ 10)</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GS-331007</w:t>
            </w:r>
            <w:r w:rsidRPr="004B15A2">
              <w:rPr>
                <w:sz w:val="20"/>
                <w:vertAlign w:val="superscript"/>
                <w:lang w:val="da-DK"/>
              </w:rPr>
              <w:t>2</w:t>
            </w:r>
            <w:r w:rsidRPr="004B15A2">
              <w:rPr>
                <w:sz w:val="20"/>
                <w:lang w:val="da-DK"/>
              </w:rPr>
              <w:t>:</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 23 % (↓ 30 til ↑ 16)</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lastRenderedPageBreak/>
              <w:t>Efavirenz:</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w:t>
            </w:r>
          </w:p>
          <w:p w:rsidR="004B15A2" w:rsidRPr="00A92787" w:rsidRDefault="004B15A2" w:rsidP="004B15A2">
            <w:pPr>
              <w:rPr>
                <w:rFonts w:ascii="Times New Roman" w:hAnsi="Times New Roman"/>
                <w:sz w:val="20"/>
                <w:szCs w:val="20"/>
                <w:lang w:val="da-DK"/>
              </w:rPr>
            </w:pPr>
            <w:r w:rsidRPr="004B15A2">
              <w:rPr>
                <w:sz w:val="20"/>
                <w:lang w:val="da-DK"/>
              </w:rPr>
              <w:t>Cmin: ↔</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Emtricitabin:</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w:t>
            </w:r>
          </w:p>
          <w:p w:rsidR="004B15A2" w:rsidRPr="00A92787" w:rsidRDefault="004B15A2" w:rsidP="004B15A2">
            <w:pPr>
              <w:rPr>
                <w:rFonts w:ascii="Times New Roman" w:hAnsi="Times New Roman"/>
                <w:sz w:val="20"/>
                <w:szCs w:val="20"/>
                <w:lang w:val="da-DK"/>
              </w:rPr>
            </w:pPr>
            <w:r w:rsidRPr="004B15A2">
              <w:rPr>
                <w:sz w:val="20"/>
                <w:lang w:val="da-DK"/>
              </w:rPr>
              <w:t>Cmin: ↔</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Tenofovir:</w:t>
            </w:r>
          </w:p>
          <w:p w:rsidR="004B15A2" w:rsidRPr="00A92787" w:rsidRDefault="004B15A2" w:rsidP="004B15A2">
            <w:pPr>
              <w:rPr>
                <w:rFonts w:ascii="Times New Roman" w:hAnsi="Times New Roman"/>
                <w:sz w:val="20"/>
                <w:szCs w:val="20"/>
                <w:lang w:val="da-DK"/>
              </w:rPr>
            </w:pPr>
            <w:r w:rsidRPr="004B15A2">
              <w:rPr>
                <w:sz w:val="20"/>
                <w:lang w:val="da-DK"/>
              </w:rPr>
              <w:t>AUC: ↔</w:t>
            </w:r>
          </w:p>
          <w:p w:rsidR="004B15A2" w:rsidRPr="00A92787" w:rsidRDefault="004B15A2" w:rsidP="004B15A2">
            <w:pPr>
              <w:rPr>
                <w:rFonts w:ascii="Times New Roman" w:hAnsi="Times New Roman"/>
                <w:sz w:val="20"/>
                <w:szCs w:val="20"/>
                <w:lang w:val="da-DK"/>
              </w:rPr>
            </w:pPr>
            <w:r w:rsidRPr="004B15A2">
              <w:rPr>
                <w:sz w:val="20"/>
                <w:lang w:val="da-DK"/>
              </w:rPr>
              <w:t>Cmax: ↑ 25 % (↑ 8 til ↑ 45)</w:t>
            </w:r>
          </w:p>
          <w:p w:rsidR="004B15A2" w:rsidRPr="00A92787" w:rsidRDefault="004B15A2" w:rsidP="004B15A2">
            <w:pPr>
              <w:rPr>
                <w:rFonts w:ascii="Times New Roman" w:hAnsi="Times New Roman"/>
                <w:sz w:val="20"/>
                <w:szCs w:val="20"/>
                <w:lang w:val="da-DK"/>
              </w:rPr>
            </w:pPr>
            <w:r w:rsidRPr="00467589">
              <w:rPr>
                <w:sz w:val="20"/>
              </w:rPr>
              <w:t>Cmin: ↔</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lastRenderedPageBreak/>
              <w:t>Dosisjustering er ikke nødvendig.</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Ribavirin/Tenofovirdisoproxil</w:t>
            </w:r>
          </w:p>
        </w:tc>
        <w:tc>
          <w:tcPr>
            <w:tcW w:w="2835" w:type="dxa"/>
            <w:tcBorders>
              <w:top w:val="single" w:sz="4" w:space="0" w:color="auto"/>
              <w:left w:val="single" w:sz="4" w:space="0" w:color="auto"/>
              <w:bottom w:val="single" w:sz="4" w:space="0" w:color="auto"/>
              <w:right w:val="single" w:sz="4" w:space="0" w:color="auto"/>
            </w:tcBorders>
            <w:hideMark/>
          </w:tcPr>
          <w:p w:rsidR="004B15A2" w:rsidRPr="004B15A2" w:rsidRDefault="004B15A2" w:rsidP="004B15A2">
            <w:pPr>
              <w:rPr>
                <w:rFonts w:ascii="Times New Roman" w:hAnsi="Times New Roman"/>
                <w:sz w:val="20"/>
                <w:szCs w:val="20"/>
              </w:rPr>
            </w:pPr>
            <w:r w:rsidRPr="00467589">
              <w:rPr>
                <w:sz w:val="20"/>
              </w:rPr>
              <w:t>Ribavirin:</w:t>
            </w:r>
          </w:p>
          <w:p w:rsidR="004B15A2" w:rsidRPr="004B15A2" w:rsidRDefault="004B15A2" w:rsidP="004B15A2">
            <w:pPr>
              <w:rPr>
                <w:rFonts w:ascii="Times New Roman" w:hAnsi="Times New Roman"/>
                <w:sz w:val="20"/>
                <w:szCs w:val="20"/>
              </w:rPr>
            </w:pPr>
            <w:r w:rsidRPr="00467589">
              <w:rPr>
                <w:sz w:val="20"/>
              </w:rPr>
              <w:t>AUC: ↑ 26 % (↑ 20 to ↑ 32)</w:t>
            </w:r>
          </w:p>
          <w:p w:rsidR="004B15A2" w:rsidRPr="004B15A2" w:rsidRDefault="004B15A2" w:rsidP="004B15A2">
            <w:pPr>
              <w:rPr>
                <w:rFonts w:ascii="Times New Roman" w:hAnsi="Times New Roman"/>
                <w:sz w:val="20"/>
                <w:szCs w:val="20"/>
              </w:rPr>
            </w:pPr>
            <w:r w:rsidRPr="00467589">
              <w:rPr>
                <w:sz w:val="20"/>
              </w:rPr>
              <w:t>Cmax: ↓ 5 % (↓ 11 to ↑ 1)</w:t>
            </w:r>
          </w:p>
          <w:p w:rsidR="004B15A2" w:rsidRPr="00A92787" w:rsidRDefault="004B15A2" w:rsidP="004B15A2">
            <w:pPr>
              <w:rPr>
                <w:rFonts w:ascii="Times New Roman" w:hAnsi="Times New Roman"/>
                <w:sz w:val="20"/>
                <w:szCs w:val="20"/>
                <w:lang w:val="da-DK"/>
              </w:rPr>
            </w:pPr>
            <w:r w:rsidRPr="00467589">
              <w:rPr>
                <w:sz w:val="20"/>
              </w:rPr>
              <w:t>Cmin: IB</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da-DK"/>
              </w:rPr>
              <w:t>Dosisjustering af ribavirin er ikke nødvendig.</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b/>
                <w:sz w:val="20"/>
                <w:szCs w:val="20"/>
                <w:lang w:val="da-DK"/>
              </w:rPr>
            </w:pPr>
            <w:r w:rsidRPr="00467589">
              <w:rPr>
                <w:b/>
                <w:sz w:val="20"/>
              </w:rPr>
              <w:t>Antivirale midler mod herpesvirus</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Famciclovir/Emtricitabin</w:t>
            </w:r>
          </w:p>
        </w:tc>
        <w:tc>
          <w:tcPr>
            <w:tcW w:w="2835" w:type="dxa"/>
            <w:tcBorders>
              <w:top w:val="single" w:sz="4" w:space="0" w:color="auto"/>
              <w:left w:val="single" w:sz="4" w:space="0" w:color="auto"/>
              <w:bottom w:val="single" w:sz="4" w:space="0" w:color="auto"/>
              <w:right w:val="single" w:sz="4" w:space="0" w:color="auto"/>
            </w:tcBorders>
          </w:tcPr>
          <w:p w:rsidR="004B15A2" w:rsidRPr="00A92787" w:rsidRDefault="004B15A2" w:rsidP="004B15A2">
            <w:pPr>
              <w:rPr>
                <w:rFonts w:ascii="Times New Roman" w:hAnsi="Times New Roman"/>
                <w:sz w:val="20"/>
                <w:szCs w:val="20"/>
                <w:lang w:val="da-DK"/>
              </w:rPr>
            </w:pPr>
            <w:r w:rsidRPr="004B15A2">
              <w:rPr>
                <w:sz w:val="20"/>
                <w:lang w:val="da-DK"/>
              </w:rPr>
              <w:t>Famciclovir:</w:t>
            </w:r>
          </w:p>
          <w:p w:rsidR="004B15A2" w:rsidRPr="00A92787" w:rsidRDefault="004B15A2" w:rsidP="004B15A2">
            <w:pPr>
              <w:rPr>
                <w:rFonts w:ascii="Times New Roman" w:hAnsi="Times New Roman"/>
                <w:sz w:val="20"/>
                <w:szCs w:val="20"/>
                <w:lang w:val="da-DK"/>
              </w:rPr>
            </w:pPr>
            <w:r w:rsidRPr="004B15A2">
              <w:rPr>
                <w:sz w:val="20"/>
                <w:lang w:val="da-DK"/>
              </w:rPr>
              <w:t>AUC: ↓ 9 % (↓ 16 til ↓ 1)</w:t>
            </w:r>
          </w:p>
          <w:p w:rsidR="004B15A2" w:rsidRPr="00A92787" w:rsidRDefault="004B15A2" w:rsidP="004B15A2">
            <w:pPr>
              <w:rPr>
                <w:rFonts w:ascii="Times New Roman" w:hAnsi="Times New Roman"/>
                <w:sz w:val="20"/>
                <w:szCs w:val="20"/>
                <w:lang w:val="da-DK"/>
              </w:rPr>
            </w:pPr>
            <w:r w:rsidRPr="004B15A2">
              <w:rPr>
                <w:sz w:val="20"/>
                <w:lang w:val="da-DK"/>
              </w:rPr>
              <w:t>Cmax: ↓ 7 % (↓ 22 til ↑ 11)</w:t>
            </w:r>
          </w:p>
          <w:p w:rsidR="004B15A2" w:rsidRPr="00467589" w:rsidRDefault="004B15A2" w:rsidP="004B15A2">
            <w:pPr>
              <w:rPr>
                <w:rFonts w:ascii="Times New Roman" w:hAnsi="Times New Roman"/>
                <w:sz w:val="20"/>
                <w:szCs w:val="20"/>
                <w:lang w:val="da-DK"/>
              </w:rPr>
            </w:pPr>
            <w:r w:rsidRPr="004B15A2">
              <w:rPr>
                <w:sz w:val="20"/>
                <w:lang w:val="da-DK"/>
              </w:rPr>
              <w:t>Cmin: IB</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B15A2">
              <w:rPr>
                <w:sz w:val="20"/>
                <w:lang w:val="da-DK"/>
              </w:rPr>
              <w:t>Emtricitabin:</w:t>
            </w:r>
          </w:p>
          <w:p w:rsidR="004B15A2" w:rsidRPr="00467589" w:rsidRDefault="004B15A2" w:rsidP="004B15A2">
            <w:pPr>
              <w:rPr>
                <w:rFonts w:ascii="Times New Roman" w:hAnsi="Times New Roman"/>
                <w:sz w:val="20"/>
                <w:szCs w:val="20"/>
                <w:lang w:val="da-DK"/>
              </w:rPr>
            </w:pPr>
            <w:r w:rsidRPr="004B15A2">
              <w:rPr>
                <w:sz w:val="20"/>
                <w:lang w:val="da-DK"/>
              </w:rPr>
              <w:t>AUC: ↓ 7 % (↓ 13 til ↓ 1)</w:t>
            </w:r>
          </w:p>
          <w:p w:rsidR="004B15A2" w:rsidRPr="00A92787" w:rsidRDefault="004B15A2" w:rsidP="004B15A2">
            <w:pPr>
              <w:rPr>
                <w:rFonts w:ascii="Times New Roman" w:hAnsi="Times New Roman"/>
                <w:sz w:val="20"/>
                <w:szCs w:val="20"/>
                <w:lang w:val="da-DK"/>
              </w:rPr>
            </w:pPr>
            <w:r w:rsidRPr="00467589">
              <w:rPr>
                <w:sz w:val="20"/>
              </w:rPr>
              <w:t>Cmax: ↓ 11 % (↓ 20 til ↑ 1)</w:t>
            </w:r>
          </w:p>
          <w:p w:rsidR="004B15A2" w:rsidRPr="00A92787" w:rsidRDefault="004B15A2" w:rsidP="004B15A2">
            <w:pPr>
              <w:rPr>
                <w:rFonts w:ascii="Times New Roman" w:hAnsi="Times New Roman"/>
                <w:sz w:val="20"/>
                <w:szCs w:val="20"/>
                <w:lang w:val="da-DK"/>
              </w:rPr>
            </w:pPr>
            <w:r w:rsidRPr="00467589">
              <w:rPr>
                <w:sz w:val="20"/>
              </w:rPr>
              <w:t>Cmin: IB</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da-DK"/>
              </w:rPr>
              <w:t>Dosisjustering af famciclovir er ikke nødvendig.</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b/>
                <w:sz w:val="20"/>
                <w:szCs w:val="20"/>
                <w:lang w:val="da-DK"/>
              </w:rPr>
            </w:pPr>
            <w:r w:rsidRPr="00467589">
              <w:rPr>
                <w:b/>
                <w:sz w:val="20"/>
              </w:rPr>
              <w:t>Antimykobakterielle midler</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Rifampicin/Tenofovirdisoproxil</w:t>
            </w:r>
          </w:p>
        </w:tc>
        <w:tc>
          <w:tcPr>
            <w:tcW w:w="2835"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B15A2">
              <w:rPr>
                <w:sz w:val="20"/>
                <w:lang w:val="da-DK"/>
              </w:rPr>
              <w:t>Tenofovir:</w:t>
            </w:r>
          </w:p>
          <w:p w:rsidR="004B15A2" w:rsidRPr="00A92787" w:rsidRDefault="004B15A2" w:rsidP="004B15A2">
            <w:pPr>
              <w:rPr>
                <w:rFonts w:ascii="Times New Roman" w:hAnsi="Times New Roman"/>
                <w:sz w:val="20"/>
                <w:szCs w:val="20"/>
                <w:lang w:val="da-DK"/>
              </w:rPr>
            </w:pPr>
            <w:r w:rsidRPr="004B15A2">
              <w:rPr>
                <w:sz w:val="20"/>
                <w:lang w:val="da-DK"/>
              </w:rPr>
              <w:t>AUC: ↓ 12 % (↓ 16 til ↓ 8)</w:t>
            </w:r>
          </w:p>
          <w:p w:rsidR="004B15A2" w:rsidRPr="00A92787" w:rsidRDefault="004B15A2" w:rsidP="004B15A2">
            <w:pPr>
              <w:rPr>
                <w:rFonts w:ascii="Times New Roman" w:hAnsi="Times New Roman"/>
                <w:sz w:val="20"/>
                <w:szCs w:val="20"/>
                <w:lang w:val="da-DK"/>
              </w:rPr>
            </w:pPr>
            <w:r w:rsidRPr="004B15A2">
              <w:rPr>
                <w:sz w:val="20"/>
                <w:lang w:val="da-DK"/>
              </w:rPr>
              <w:t>Cmax: ↓ 16 % (↓ 22 til ↓ 10)</w:t>
            </w:r>
          </w:p>
          <w:p w:rsidR="004B15A2" w:rsidRPr="00A92787" w:rsidRDefault="004B15A2" w:rsidP="004B15A2">
            <w:pPr>
              <w:rPr>
                <w:rFonts w:ascii="Times New Roman" w:hAnsi="Times New Roman"/>
                <w:sz w:val="20"/>
                <w:szCs w:val="20"/>
                <w:lang w:val="da-DK"/>
              </w:rPr>
            </w:pPr>
            <w:r w:rsidRPr="00467589">
              <w:rPr>
                <w:sz w:val="20"/>
              </w:rPr>
              <w:t>Cmin: ↓ 15 % (↓ 12 til ↓ 9)</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Dosisjustering er ikke nødvendig.</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b/>
                <w:i/>
                <w:sz w:val="20"/>
                <w:szCs w:val="20"/>
                <w:lang w:val="da-DK"/>
              </w:rPr>
            </w:pPr>
            <w:r w:rsidRPr="00467589">
              <w:rPr>
                <w:b/>
                <w:i/>
                <w:sz w:val="20"/>
              </w:rPr>
              <w:t>ORALE KONTRACEPTIVA</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Norgestimat/Ethinylestradiol/</w:t>
            </w:r>
          </w:p>
          <w:p w:rsidR="004B15A2" w:rsidRPr="00A92787" w:rsidRDefault="004B15A2" w:rsidP="004B15A2">
            <w:pPr>
              <w:rPr>
                <w:rFonts w:ascii="Times New Roman" w:hAnsi="Times New Roman"/>
                <w:sz w:val="20"/>
                <w:szCs w:val="20"/>
                <w:lang w:val="da-DK"/>
              </w:rPr>
            </w:pPr>
            <w:r w:rsidRPr="00467589">
              <w:rPr>
                <w:sz w:val="20"/>
              </w:rPr>
              <w:t>Tenofovirdisoproxil</w:t>
            </w:r>
          </w:p>
        </w:tc>
        <w:tc>
          <w:tcPr>
            <w:tcW w:w="2835" w:type="dxa"/>
            <w:tcBorders>
              <w:top w:val="single" w:sz="4" w:space="0" w:color="auto"/>
              <w:left w:val="single" w:sz="4" w:space="0" w:color="auto"/>
              <w:bottom w:val="single" w:sz="4" w:space="0" w:color="auto"/>
              <w:right w:val="single" w:sz="4" w:space="0" w:color="auto"/>
            </w:tcBorders>
          </w:tcPr>
          <w:p w:rsidR="004B15A2" w:rsidRPr="00A92787" w:rsidRDefault="004B15A2" w:rsidP="004B15A2">
            <w:pPr>
              <w:rPr>
                <w:rFonts w:ascii="Times New Roman" w:hAnsi="Times New Roman"/>
                <w:sz w:val="20"/>
                <w:szCs w:val="20"/>
                <w:lang w:val="da-DK"/>
              </w:rPr>
            </w:pPr>
            <w:r w:rsidRPr="004B15A2">
              <w:rPr>
                <w:sz w:val="20"/>
                <w:lang w:val="da-DK"/>
              </w:rPr>
              <w:t>Norgestimat:</w:t>
            </w:r>
          </w:p>
          <w:p w:rsidR="004B15A2" w:rsidRPr="00A92787" w:rsidRDefault="004B15A2" w:rsidP="004B15A2">
            <w:pPr>
              <w:rPr>
                <w:rFonts w:ascii="Times New Roman" w:hAnsi="Times New Roman"/>
                <w:sz w:val="20"/>
                <w:szCs w:val="20"/>
                <w:lang w:val="da-DK"/>
              </w:rPr>
            </w:pPr>
            <w:r w:rsidRPr="004B15A2">
              <w:rPr>
                <w:sz w:val="20"/>
                <w:lang w:val="da-DK"/>
              </w:rPr>
              <w:t>AUC: ↓ 4 % (↓ 32 til ↑ 34)</w:t>
            </w:r>
          </w:p>
          <w:p w:rsidR="004B15A2" w:rsidRPr="00A92787" w:rsidRDefault="004B15A2" w:rsidP="004B15A2">
            <w:pPr>
              <w:rPr>
                <w:rFonts w:ascii="Times New Roman" w:hAnsi="Times New Roman"/>
                <w:sz w:val="20"/>
                <w:szCs w:val="20"/>
                <w:lang w:val="da-DK"/>
              </w:rPr>
            </w:pPr>
            <w:r w:rsidRPr="004B15A2">
              <w:rPr>
                <w:sz w:val="20"/>
                <w:lang w:val="da-DK"/>
              </w:rPr>
              <w:t>Cmax: ↓ 5 % (↓ 27 til ↑ 24)</w:t>
            </w:r>
          </w:p>
          <w:p w:rsidR="004B15A2" w:rsidRPr="00A92787" w:rsidRDefault="004B15A2" w:rsidP="004B15A2">
            <w:pPr>
              <w:rPr>
                <w:rFonts w:ascii="Times New Roman" w:hAnsi="Times New Roman"/>
                <w:sz w:val="20"/>
                <w:szCs w:val="20"/>
                <w:lang w:val="da-DK"/>
              </w:rPr>
            </w:pPr>
            <w:r w:rsidRPr="004B15A2">
              <w:rPr>
                <w:sz w:val="20"/>
                <w:lang w:val="da-DK"/>
              </w:rPr>
              <w:t>Cmin: IB</w:t>
            </w:r>
          </w:p>
          <w:p w:rsidR="004B15A2" w:rsidRPr="00A92787" w:rsidRDefault="004B15A2" w:rsidP="004B15A2">
            <w:pPr>
              <w:rPr>
                <w:rFonts w:ascii="Times New Roman" w:hAnsi="Times New Roman"/>
                <w:sz w:val="20"/>
                <w:szCs w:val="20"/>
                <w:lang w:val="da-DK"/>
              </w:rPr>
            </w:pPr>
          </w:p>
          <w:p w:rsidR="004B15A2" w:rsidRPr="00A92787" w:rsidRDefault="004B15A2" w:rsidP="004B15A2">
            <w:pPr>
              <w:rPr>
                <w:rFonts w:ascii="Times New Roman" w:hAnsi="Times New Roman"/>
                <w:sz w:val="20"/>
                <w:szCs w:val="20"/>
                <w:lang w:val="da-DK"/>
              </w:rPr>
            </w:pPr>
            <w:r w:rsidRPr="004B15A2">
              <w:rPr>
                <w:sz w:val="20"/>
                <w:lang w:val="da-DK"/>
              </w:rPr>
              <w:t>Ethinylestradiol:</w:t>
            </w:r>
          </w:p>
          <w:p w:rsidR="004B15A2" w:rsidRPr="00A92787" w:rsidRDefault="004B15A2" w:rsidP="004B15A2">
            <w:pPr>
              <w:rPr>
                <w:rFonts w:ascii="Times New Roman" w:hAnsi="Times New Roman"/>
                <w:sz w:val="20"/>
                <w:szCs w:val="20"/>
                <w:lang w:val="da-DK"/>
              </w:rPr>
            </w:pPr>
            <w:r w:rsidRPr="004B15A2">
              <w:rPr>
                <w:sz w:val="20"/>
                <w:lang w:val="da-DK"/>
              </w:rPr>
              <w:t>AUC: ↓ 4 % (↓ 9 til ↑ 0)</w:t>
            </w:r>
          </w:p>
          <w:p w:rsidR="004B15A2" w:rsidRPr="00A92787" w:rsidRDefault="004B15A2" w:rsidP="004B15A2">
            <w:pPr>
              <w:rPr>
                <w:rFonts w:ascii="Times New Roman" w:hAnsi="Times New Roman"/>
                <w:sz w:val="20"/>
                <w:szCs w:val="20"/>
                <w:lang w:val="da-DK"/>
              </w:rPr>
            </w:pPr>
            <w:r w:rsidRPr="004B15A2">
              <w:rPr>
                <w:sz w:val="20"/>
                <w:lang w:val="da-DK"/>
              </w:rPr>
              <w:t>Cmax: ↓ 6 % (↓ 13 til ↑ 0)</w:t>
            </w:r>
          </w:p>
          <w:p w:rsidR="004B15A2" w:rsidRPr="00A92787" w:rsidRDefault="004B15A2" w:rsidP="004B15A2">
            <w:pPr>
              <w:rPr>
                <w:rFonts w:ascii="Times New Roman" w:hAnsi="Times New Roman"/>
                <w:sz w:val="20"/>
                <w:szCs w:val="20"/>
                <w:lang w:val="da-DK"/>
              </w:rPr>
            </w:pPr>
            <w:r w:rsidRPr="00467589">
              <w:rPr>
                <w:sz w:val="20"/>
              </w:rPr>
              <w:t>Cmin: ↓ 2 % (↓ 9 til ↑ 6)</w:t>
            </w:r>
          </w:p>
          <w:p w:rsidR="004B15A2" w:rsidRPr="00A92787" w:rsidRDefault="004B15A2" w:rsidP="004B15A2">
            <w:pPr>
              <w:rPr>
                <w:rFonts w:ascii="Times New Roman" w:hAnsi="Times New Roman"/>
                <w:sz w:val="20"/>
                <w:szCs w:val="20"/>
                <w:lang w:val="da-DK"/>
              </w:rPr>
            </w:pPr>
          </w:p>
        </w:tc>
        <w:tc>
          <w:tcPr>
            <w:tcW w:w="3086"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Dosisjustering af norgestimat/ethinylestradiol er ikke nødvendig.</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b/>
                <w:i/>
                <w:sz w:val="20"/>
                <w:szCs w:val="20"/>
                <w:lang w:val="da-DK"/>
              </w:rPr>
            </w:pPr>
            <w:r w:rsidRPr="00467589">
              <w:rPr>
                <w:b/>
                <w:i/>
                <w:sz w:val="20"/>
              </w:rPr>
              <w:t>IMMUNSUPPRESSIVA</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Tacrolimus/Tenofovirdisoproxil/</w:t>
            </w:r>
          </w:p>
          <w:p w:rsidR="004B15A2" w:rsidRPr="00A92787" w:rsidRDefault="004B15A2" w:rsidP="004B15A2">
            <w:pPr>
              <w:rPr>
                <w:rFonts w:ascii="Times New Roman" w:hAnsi="Times New Roman"/>
                <w:sz w:val="20"/>
                <w:szCs w:val="20"/>
                <w:lang w:val="da-DK"/>
              </w:rPr>
            </w:pPr>
            <w:r w:rsidRPr="00467589">
              <w:rPr>
                <w:sz w:val="20"/>
              </w:rPr>
              <w:t>Emtricitabin</w:t>
            </w:r>
          </w:p>
        </w:tc>
        <w:tc>
          <w:tcPr>
            <w:tcW w:w="2835" w:type="dxa"/>
            <w:tcBorders>
              <w:top w:val="single" w:sz="4" w:space="0" w:color="auto"/>
              <w:left w:val="single" w:sz="4" w:space="0" w:color="auto"/>
              <w:bottom w:val="single" w:sz="4" w:space="0" w:color="auto"/>
              <w:right w:val="single" w:sz="4" w:space="0" w:color="auto"/>
            </w:tcBorders>
          </w:tcPr>
          <w:p w:rsidR="004B15A2" w:rsidRPr="00A92787" w:rsidRDefault="004B15A2" w:rsidP="004B15A2">
            <w:pPr>
              <w:rPr>
                <w:rFonts w:ascii="Times New Roman" w:hAnsi="Times New Roman"/>
                <w:sz w:val="20"/>
                <w:szCs w:val="20"/>
                <w:lang w:val="da-DK"/>
              </w:rPr>
            </w:pPr>
            <w:r w:rsidRPr="004B15A2">
              <w:rPr>
                <w:sz w:val="20"/>
                <w:lang w:val="da-DK"/>
              </w:rPr>
              <w:t>Tacrolimus:</w:t>
            </w:r>
          </w:p>
          <w:p w:rsidR="004B15A2" w:rsidRPr="00A92787" w:rsidRDefault="004B15A2" w:rsidP="004B15A2">
            <w:pPr>
              <w:rPr>
                <w:rFonts w:ascii="Times New Roman" w:hAnsi="Times New Roman"/>
                <w:sz w:val="20"/>
                <w:szCs w:val="20"/>
                <w:lang w:val="da-DK"/>
              </w:rPr>
            </w:pPr>
            <w:r w:rsidRPr="004B15A2">
              <w:rPr>
                <w:sz w:val="20"/>
                <w:lang w:val="da-DK"/>
              </w:rPr>
              <w:t>AUC: ↑ 4 % (↓ 3 til ↑ 11)</w:t>
            </w:r>
          </w:p>
          <w:p w:rsidR="004B15A2" w:rsidRPr="00A92787" w:rsidRDefault="004B15A2" w:rsidP="004B15A2">
            <w:pPr>
              <w:rPr>
                <w:rFonts w:ascii="Times New Roman" w:hAnsi="Times New Roman"/>
                <w:sz w:val="20"/>
                <w:szCs w:val="20"/>
                <w:lang w:val="da-DK"/>
              </w:rPr>
            </w:pPr>
            <w:r w:rsidRPr="004B15A2">
              <w:rPr>
                <w:sz w:val="20"/>
                <w:lang w:val="da-DK"/>
              </w:rPr>
              <w:t>Cmax: ↑ 3 % (↓ 3 til ↑ 9)</w:t>
            </w:r>
          </w:p>
          <w:p w:rsidR="004B15A2" w:rsidRPr="00467589" w:rsidRDefault="004B15A2" w:rsidP="004B15A2">
            <w:pPr>
              <w:rPr>
                <w:rFonts w:ascii="Times New Roman" w:hAnsi="Times New Roman"/>
                <w:sz w:val="20"/>
                <w:szCs w:val="20"/>
                <w:lang w:val="da-DK"/>
              </w:rPr>
            </w:pPr>
            <w:r w:rsidRPr="004B15A2">
              <w:rPr>
                <w:sz w:val="20"/>
                <w:lang w:val="da-DK"/>
              </w:rPr>
              <w:t>Cmin: IB</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B15A2">
              <w:rPr>
                <w:sz w:val="20"/>
                <w:lang w:val="da-DK"/>
              </w:rPr>
              <w:t>Emtricitabin:</w:t>
            </w:r>
          </w:p>
          <w:p w:rsidR="004B15A2" w:rsidRPr="00467589" w:rsidRDefault="004B15A2" w:rsidP="004B15A2">
            <w:pPr>
              <w:rPr>
                <w:rFonts w:ascii="Times New Roman" w:hAnsi="Times New Roman"/>
                <w:sz w:val="20"/>
                <w:szCs w:val="20"/>
                <w:lang w:val="da-DK"/>
              </w:rPr>
            </w:pPr>
            <w:r w:rsidRPr="004B15A2">
              <w:rPr>
                <w:sz w:val="20"/>
                <w:lang w:val="da-DK"/>
              </w:rPr>
              <w:t>AUC: ↓ 5 % (↓ 9 til ↓ 1)</w:t>
            </w:r>
          </w:p>
          <w:p w:rsidR="004B15A2" w:rsidRPr="00467589" w:rsidRDefault="004B15A2" w:rsidP="004B15A2">
            <w:pPr>
              <w:rPr>
                <w:rFonts w:ascii="Times New Roman" w:hAnsi="Times New Roman"/>
                <w:sz w:val="20"/>
                <w:szCs w:val="20"/>
                <w:lang w:val="da-DK"/>
              </w:rPr>
            </w:pPr>
            <w:r w:rsidRPr="004B15A2">
              <w:rPr>
                <w:sz w:val="20"/>
                <w:lang w:val="da-DK"/>
              </w:rPr>
              <w:t>Cmax: ↓ 11 % (↓ 17 til ↓ 5)</w:t>
            </w:r>
          </w:p>
          <w:p w:rsidR="004B15A2" w:rsidRPr="00467589" w:rsidRDefault="004B15A2" w:rsidP="004B15A2">
            <w:pPr>
              <w:rPr>
                <w:rFonts w:ascii="Times New Roman" w:hAnsi="Times New Roman"/>
                <w:sz w:val="20"/>
                <w:szCs w:val="20"/>
                <w:lang w:val="da-DK"/>
              </w:rPr>
            </w:pPr>
            <w:r w:rsidRPr="004B15A2">
              <w:rPr>
                <w:sz w:val="20"/>
                <w:lang w:val="da-DK"/>
              </w:rPr>
              <w:t>Cmin: IB</w:t>
            </w:r>
          </w:p>
          <w:p w:rsidR="004B15A2" w:rsidRPr="00467589" w:rsidRDefault="004B15A2" w:rsidP="004B15A2">
            <w:pPr>
              <w:rPr>
                <w:rFonts w:ascii="Times New Roman" w:hAnsi="Times New Roman"/>
                <w:sz w:val="20"/>
                <w:szCs w:val="20"/>
                <w:lang w:val="da-DK"/>
              </w:rPr>
            </w:pPr>
          </w:p>
          <w:p w:rsidR="004B15A2" w:rsidRPr="00467589" w:rsidRDefault="004B15A2" w:rsidP="004B15A2">
            <w:pPr>
              <w:rPr>
                <w:rFonts w:ascii="Times New Roman" w:hAnsi="Times New Roman"/>
                <w:sz w:val="20"/>
                <w:szCs w:val="20"/>
                <w:lang w:val="da-DK"/>
              </w:rPr>
            </w:pPr>
            <w:r w:rsidRPr="004B15A2">
              <w:rPr>
                <w:sz w:val="20"/>
                <w:lang w:val="da-DK"/>
              </w:rPr>
              <w:t>Tenofovir:</w:t>
            </w:r>
          </w:p>
          <w:p w:rsidR="004B15A2" w:rsidRPr="00467589" w:rsidRDefault="004B15A2" w:rsidP="004B15A2">
            <w:pPr>
              <w:rPr>
                <w:rFonts w:ascii="Times New Roman" w:hAnsi="Times New Roman"/>
                <w:sz w:val="20"/>
                <w:szCs w:val="20"/>
                <w:lang w:val="da-DK"/>
              </w:rPr>
            </w:pPr>
            <w:r w:rsidRPr="00F46E38">
              <w:rPr>
                <w:sz w:val="20"/>
                <w:lang w:val="da-DK"/>
              </w:rPr>
              <w:t>AUC: ↑ 6 % (↓ 1 til ↑ 13)</w:t>
            </w:r>
          </w:p>
          <w:p w:rsidR="004B15A2" w:rsidRPr="00467589" w:rsidRDefault="004B15A2" w:rsidP="004B15A2">
            <w:pPr>
              <w:rPr>
                <w:rFonts w:ascii="Times New Roman" w:hAnsi="Times New Roman"/>
                <w:sz w:val="20"/>
                <w:szCs w:val="20"/>
                <w:lang w:val="da-DK"/>
              </w:rPr>
            </w:pPr>
            <w:r w:rsidRPr="00F46E38">
              <w:rPr>
                <w:sz w:val="20"/>
                <w:lang w:val="da-DK"/>
              </w:rPr>
              <w:t>Cmax: ↑ 13 % (↑ 1 til ↑ 27)</w:t>
            </w:r>
          </w:p>
          <w:p w:rsidR="004B15A2" w:rsidRPr="00467589" w:rsidRDefault="004B15A2" w:rsidP="004B15A2">
            <w:pPr>
              <w:rPr>
                <w:rFonts w:ascii="Times New Roman" w:hAnsi="Times New Roman"/>
                <w:sz w:val="20"/>
                <w:szCs w:val="20"/>
                <w:lang w:val="da-DK"/>
              </w:rPr>
            </w:pPr>
            <w:r w:rsidRPr="00F46E38">
              <w:rPr>
                <w:sz w:val="20"/>
                <w:lang w:val="da-DK"/>
              </w:rPr>
              <w:lastRenderedPageBreak/>
              <w:t>Cmin: IB</w:t>
            </w:r>
          </w:p>
        </w:tc>
        <w:tc>
          <w:tcPr>
            <w:tcW w:w="3086"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A92787">
              <w:rPr>
                <w:sz w:val="20"/>
                <w:lang w:val="da-DK"/>
              </w:rPr>
              <w:lastRenderedPageBreak/>
              <w:t>Dosisjustering af tacrolimus er ikke nødvendig.</w:t>
            </w:r>
          </w:p>
        </w:tc>
      </w:tr>
      <w:tr w:rsidR="004B15A2" w:rsidRPr="00467589" w:rsidTr="004B15A2">
        <w:tc>
          <w:tcPr>
            <w:tcW w:w="9290" w:type="dxa"/>
            <w:gridSpan w:val="3"/>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b/>
                <w:i/>
                <w:sz w:val="20"/>
              </w:rPr>
              <w:t>NARKOTISKE ANALGETIKA</w:t>
            </w:r>
          </w:p>
        </w:tc>
      </w:tr>
      <w:tr w:rsidR="004B15A2" w:rsidRPr="00467589" w:rsidTr="004B15A2">
        <w:tc>
          <w:tcPr>
            <w:tcW w:w="3369"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67589">
              <w:rPr>
                <w:sz w:val="20"/>
              </w:rPr>
              <w:t>Methadon/Tenofovirdisoproxil</w:t>
            </w:r>
          </w:p>
        </w:tc>
        <w:tc>
          <w:tcPr>
            <w:tcW w:w="2835" w:type="dxa"/>
            <w:tcBorders>
              <w:top w:val="single" w:sz="4" w:space="0" w:color="auto"/>
              <w:left w:val="single" w:sz="4" w:space="0" w:color="auto"/>
              <w:bottom w:val="single" w:sz="4" w:space="0" w:color="auto"/>
              <w:right w:val="single" w:sz="4" w:space="0" w:color="auto"/>
            </w:tcBorders>
            <w:hideMark/>
          </w:tcPr>
          <w:p w:rsidR="004B15A2" w:rsidRPr="00A92787" w:rsidRDefault="004B15A2" w:rsidP="004B15A2">
            <w:pPr>
              <w:rPr>
                <w:rFonts w:ascii="Times New Roman" w:hAnsi="Times New Roman"/>
                <w:sz w:val="20"/>
                <w:szCs w:val="20"/>
                <w:lang w:val="da-DK"/>
              </w:rPr>
            </w:pPr>
            <w:r w:rsidRPr="004B15A2">
              <w:rPr>
                <w:sz w:val="20"/>
                <w:lang w:val="da-DK"/>
              </w:rPr>
              <w:t>Methadon:</w:t>
            </w:r>
          </w:p>
          <w:p w:rsidR="004B15A2" w:rsidRPr="00A92787" w:rsidRDefault="004B15A2" w:rsidP="004B15A2">
            <w:pPr>
              <w:rPr>
                <w:rFonts w:ascii="Times New Roman" w:hAnsi="Times New Roman"/>
                <w:sz w:val="20"/>
                <w:szCs w:val="20"/>
                <w:lang w:val="da-DK"/>
              </w:rPr>
            </w:pPr>
            <w:r w:rsidRPr="004B15A2">
              <w:rPr>
                <w:sz w:val="20"/>
                <w:lang w:val="da-DK"/>
              </w:rPr>
              <w:t>AUC: ↑ 5 % (↓ 2 til ↑ 13)</w:t>
            </w:r>
          </w:p>
          <w:p w:rsidR="004B15A2" w:rsidRPr="00A92787" w:rsidRDefault="004B15A2" w:rsidP="004B15A2">
            <w:pPr>
              <w:rPr>
                <w:rFonts w:ascii="Times New Roman" w:hAnsi="Times New Roman"/>
                <w:sz w:val="20"/>
                <w:szCs w:val="20"/>
                <w:lang w:val="da-DK"/>
              </w:rPr>
            </w:pPr>
            <w:r w:rsidRPr="004B15A2">
              <w:rPr>
                <w:sz w:val="20"/>
                <w:lang w:val="da-DK"/>
              </w:rPr>
              <w:t>Cmax: ↑ 5 % (↓ 3 til ↑ 14)</w:t>
            </w:r>
          </w:p>
          <w:p w:rsidR="004B15A2" w:rsidRPr="00A92787" w:rsidRDefault="004B15A2" w:rsidP="004B15A2">
            <w:pPr>
              <w:rPr>
                <w:rFonts w:ascii="Times New Roman" w:hAnsi="Times New Roman"/>
                <w:sz w:val="20"/>
                <w:szCs w:val="20"/>
                <w:lang w:val="da-DK"/>
              </w:rPr>
            </w:pPr>
            <w:r w:rsidRPr="00467589">
              <w:rPr>
                <w:sz w:val="20"/>
              </w:rPr>
              <w:t>Cmin: IB</w:t>
            </w:r>
          </w:p>
        </w:tc>
        <w:tc>
          <w:tcPr>
            <w:tcW w:w="3086" w:type="dxa"/>
            <w:tcBorders>
              <w:top w:val="single" w:sz="4" w:space="0" w:color="auto"/>
              <w:left w:val="single" w:sz="4" w:space="0" w:color="auto"/>
              <w:bottom w:val="single" w:sz="4" w:space="0" w:color="auto"/>
              <w:right w:val="single" w:sz="4" w:space="0" w:color="auto"/>
            </w:tcBorders>
            <w:hideMark/>
          </w:tcPr>
          <w:p w:rsidR="004B15A2" w:rsidRPr="00467589" w:rsidRDefault="004B15A2" w:rsidP="004B15A2">
            <w:pPr>
              <w:rPr>
                <w:rFonts w:ascii="Times New Roman" w:hAnsi="Times New Roman"/>
                <w:sz w:val="20"/>
                <w:szCs w:val="20"/>
                <w:lang w:val="da-DK"/>
              </w:rPr>
            </w:pPr>
            <w:r w:rsidRPr="00467589">
              <w:rPr>
                <w:rFonts w:ascii="Times New Roman" w:hAnsi="Times New Roman"/>
                <w:sz w:val="20"/>
                <w:szCs w:val="20"/>
                <w:lang w:val="da-DK"/>
              </w:rPr>
              <w:t>Dosisjustering af methadone er ikke nødvendig</w:t>
            </w:r>
          </w:p>
        </w:tc>
      </w:tr>
    </w:tbl>
    <w:p w:rsidR="00021B0F" w:rsidRDefault="00021B0F" w:rsidP="00021B0F">
      <w:pPr>
        <w:keepNext/>
        <w:widowControl w:val="0"/>
        <w:tabs>
          <w:tab w:val="left" w:pos="851"/>
        </w:tabs>
        <w:autoSpaceDE w:val="0"/>
        <w:autoSpaceDN w:val="0"/>
        <w:ind w:left="851"/>
        <w:outlineLvl w:val="0"/>
        <w:rPr>
          <w:b/>
          <w:bCs/>
          <w:sz w:val="24"/>
          <w:szCs w:val="24"/>
        </w:rPr>
      </w:pPr>
    </w:p>
    <w:p w:rsidR="00021B0F" w:rsidRDefault="00021B0F" w:rsidP="00021B0F">
      <w:pPr>
        <w:widowControl w:val="0"/>
        <w:tabs>
          <w:tab w:val="left" w:pos="1134"/>
        </w:tabs>
        <w:autoSpaceDE w:val="0"/>
        <w:autoSpaceDN w:val="0"/>
        <w:ind w:left="1134" w:hanging="283"/>
        <w:rPr>
          <w:sz w:val="20"/>
        </w:rPr>
      </w:pPr>
      <w:r>
        <w:rPr>
          <w:sz w:val="20"/>
        </w:rPr>
        <w:t>IB</w:t>
      </w:r>
      <w:r>
        <w:rPr>
          <w:sz w:val="20"/>
        </w:rPr>
        <w:tab/>
        <w:t>= ikke beregnet.</w:t>
      </w:r>
    </w:p>
    <w:p w:rsidR="00021B0F" w:rsidRDefault="00021B0F" w:rsidP="00021B0F">
      <w:pPr>
        <w:widowControl w:val="0"/>
        <w:tabs>
          <w:tab w:val="left" w:pos="1134"/>
        </w:tabs>
        <w:autoSpaceDE w:val="0"/>
        <w:autoSpaceDN w:val="0"/>
        <w:ind w:left="1134" w:hanging="283"/>
        <w:rPr>
          <w:sz w:val="20"/>
        </w:rPr>
      </w:pPr>
      <w:r>
        <w:rPr>
          <w:sz w:val="20"/>
        </w:rPr>
        <w:t>N/A = ikke relevant.</w:t>
      </w:r>
    </w:p>
    <w:p w:rsidR="00021B0F" w:rsidRDefault="00021B0F" w:rsidP="00021B0F">
      <w:pPr>
        <w:widowControl w:val="0"/>
        <w:tabs>
          <w:tab w:val="left" w:pos="1134"/>
        </w:tabs>
        <w:autoSpaceDE w:val="0"/>
        <w:autoSpaceDN w:val="0"/>
        <w:ind w:left="1134" w:hanging="283"/>
        <w:rPr>
          <w:sz w:val="20"/>
        </w:rPr>
      </w:pPr>
      <w:r>
        <w:rPr>
          <w:sz w:val="20"/>
          <w:vertAlign w:val="superscript"/>
        </w:rPr>
        <w:t>1</w:t>
      </w:r>
      <w:r>
        <w:rPr>
          <w:position w:val="6"/>
          <w:sz w:val="20"/>
        </w:rPr>
        <w:tab/>
      </w:r>
      <w:r>
        <w:rPr>
          <w:sz w:val="20"/>
        </w:rPr>
        <w:t>Data genereret fra samtidig dosering af ledipasvir/sofosbuvir. Forskudt administration (12 timers mellemrum) gav tilsvarende resultater.</w:t>
      </w:r>
    </w:p>
    <w:p w:rsidR="00021B0F" w:rsidRDefault="00021B0F" w:rsidP="00021B0F">
      <w:pPr>
        <w:widowControl w:val="0"/>
        <w:tabs>
          <w:tab w:val="left" w:pos="1134"/>
        </w:tabs>
        <w:autoSpaceDE w:val="0"/>
        <w:autoSpaceDN w:val="0"/>
        <w:ind w:left="1134" w:hanging="283"/>
        <w:rPr>
          <w:sz w:val="20"/>
        </w:rPr>
      </w:pPr>
      <w:r>
        <w:rPr>
          <w:sz w:val="20"/>
          <w:vertAlign w:val="superscript"/>
        </w:rPr>
        <w:t>2</w:t>
      </w:r>
      <w:r>
        <w:rPr>
          <w:sz w:val="20"/>
          <w:vertAlign w:val="superscript"/>
        </w:rPr>
        <w:tab/>
      </w:r>
      <w:r>
        <w:rPr>
          <w:sz w:val="20"/>
        </w:rPr>
        <w:t>Den primære cirkulerende sofosbuvirmetabolit.</w:t>
      </w:r>
    </w:p>
    <w:p w:rsidR="00021B0F" w:rsidRDefault="00021B0F" w:rsidP="00021B0F">
      <w:pPr>
        <w:widowControl w:val="0"/>
        <w:tabs>
          <w:tab w:val="left" w:pos="1134"/>
        </w:tabs>
        <w:autoSpaceDE w:val="0"/>
        <w:autoSpaceDN w:val="0"/>
        <w:ind w:left="1134" w:hanging="283"/>
        <w:rPr>
          <w:sz w:val="20"/>
        </w:rPr>
      </w:pPr>
      <w:r>
        <w:rPr>
          <w:sz w:val="20"/>
          <w:vertAlign w:val="superscript"/>
        </w:rPr>
        <w:t>3</w:t>
      </w:r>
      <w:r>
        <w:rPr>
          <w:sz w:val="20"/>
          <w:vertAlign w:val="superscript"/>
        </w:rPr>
        <w:tab/>
      </w:r>
      <w:r>
        <w:rPr>
          <w:sz w:val="20"/>
        </w:rPr>
        <w:t>Studiet blev udført med yderligere voxilaprevir 100 mg for at opnå de forventede voxilaprevir-eksponeringer hos HCV-inficerede patienter.</w:t>
      </w:r>
    </w:p>
    <w:p w:rsidR="00B0027B" w:rsidRDefault="00B0027B" w:rsidP="00B0027B">
      <w:pPr>
        <w:tabs>
          <w:tab w:val="left" w:pos="851"/>
        </w:tabs>
        <w:ind w:left="851"/>
        <w:rPr>
          <w:sz w:val="24"/>
          <w:szCs w:val="24"/>
        </w:rPr>
      </w:pPr>
    </w:p>
    <w:p w:rsidR="00B0027B" w:rsidRDefault="00B0027B" w:rsidP="00B0027B">
      <w:pPr>
        <w:tabs>
          <w:tab w:val="left" w:pos="851"/>
        </w:tabs>
        <w:ind w:left="851" w:hanging="851"/>
        <w:rPr>
          <w:b/>
          <w:sz w:val="24"/>
          <w:szCs w:val="24"/>
        </w:rPr>
      </w:pPr>
      <w:r>
        <w:rPr>
          <w:b/>
          <w:sz w:val="24"/>
          <w:szCs w:val="24"/>
        </w:rPr>
        <w:t>4.6</w:t>
      </w:r>
      <w:r>
        <w:rPr>
          <w:b/>
          <w:sz w:val="24"/>
          <w:szCs w:val="24"/>
        </w:rPr>
        <w:tab/>
      </w:r>
      <w:r w:rsidR="00C730E8">
        <w:rPr>
          <w:b/>
          <w:sz w:val="24"/>
          <w:szCs w:val="24"/>
        </w:rPr>
        <w:t>Fertilitet, g</w:t>
      </w:r>
      <w:r>
        <w:rPr>
          <w:b/>
          <w:sz w:val="24"/>
          <w:szCs w:val="24"/>
        </w:rPr>
        <w:t>raviditet og amning</w:t>
      </w:r>
    </w:p>
    <w:p w:rsidR="00B0027B" w:rsidRDefault="00B0027B" w:rsidP="00B0027B">
      <w:pPr>
        <w:pStyle w:val="Brdtekst"/>
        <w:tabs>
          <w:tab w:val="left" w:pos="851"/>
        </w:tabs>
        <w:ind w:left="851"/>
        <w:rPr>
          <w:sz w:val="24"/>
          <w:szCs w:val="24"/>
          <w:lang w:val="da-DK"/>
        </w:rPr>
      </w:pPr>
      <w:r>
        <w:rPr>
          <w:sz w:val="24"/>
          <w:szCs w:val="24"/>
          <w:u w:val="single"/>
          <w:lang w:val="da-DK"/>
        </w:rPr>
        <w:t>Graviditet</w:t>
      </w:r>
    </w:p>
    <w:p w:rsidR="00B0027B" w:rsidRDefault="00B0027B" w:rsidP="00B0027B">
      <w:pPr>
        <w:pStyle w:val="Brdtekst"/>
        <w:tabs>
          <w:tab w:val="left" w:pos="851"/>
        </w:tabs>
        <w:ind w:left="851"/>
        <w:rPr>
          <w:sz w:val="24"/>
          <w:szCs w:val="24"/>
          <w:lang w:val="da-DK"/>
        </w:rPr>
      </w:pPr>
      <w:r>
        <w:rPr>
          <w:sz w:val="24"/>
          <w:szCs w:val="24"/>
          <w:lang w:val="sv-SE"/>
        </w:rPr>
        <w:t>Data fra anvendelse af</w:t>
      </w:r>
      <w:r>
        <w:rPr>
          <w:sz w:val="24"/>
          <w:szCs w:val="24"/>
          <w:lang w:val="da-DK"/>
        </w:rPr>
        <w:t xml:space="preserve"> emtricitabin og tenofovirdisoproxil hos</w:t>
      </w:r>
      <w:r>
        <w:rPr>
          <w:sz w:val="24"/>
          <w:szCs w:val="24"/>
          <w:lang w:val="sv-SE"/>
        </w:rPr>
        <w:t xml:space="preserve"> et stort antal gravide kvinder (mere end 1000) indikerer ingen misdannelser eller føtal/neonatal toksicitet. </w:t>
      </w:r>
      <w:r>
        <w:rPr>
          <w:sz w:val="24"/>
          <w:szCs w:val="24"/>
          <w:lang w:val="da-DK"/>
        </w:rPr>
        <w:t>Dyrestudier med emtricitabin og tenofovirdisoproxil indikerer ikke reproduktionstoksicitet (se pkt. 5.3). Hvis det er indiceret, kan anvendelse af emtricitabin/tenofovirdisoproxil derfor overvejes under graviditet.</w:t>
      </w:r>
    </w:p>
    <w:p w:rsidR="00B0027B" w:rsidRDefault="00B0027B" w:rsidP="00B0027B">
      <w:pPr>
        <w:pStyle w:val="Brdtekst"/>
        <w:tabs>
          <w:tab w:val="left" w:pos="851"/>
        </w:tabs>
        <w:ind w:left="851"/>
        <w:rPr>
          <w:sz w:val="24"/>
          <w:szCs w:val="24"/>
          <w:lang w:val="da-DK"/>
        </w:rPr>
      </w:pPr>
    </w:p>
    <w:p w:rsidR="00B0027B" w:rsidRDefault="00B0027B" w:rsidP="00B0027B">
      <w:pPr>
        <w:pStyle w:val="Brdtekst"/>
        <w:tabs>
          <w:tab w:val="left" w:pos="851"/>
        </w:tabs>
        <w:ind w:left="851"/>
        <w:rPr>
          <w:sz w:val="24"/>
          <w:szCs w:val="24"/>
          <w:lang w:val="da-DK"/>
        </w:rPr>
      </w:pPr>
      <w:r>
        <w:rPr>
          <w:sz w:val="24"/>
          <w:szCs w:val="24"/>
          <w:u w:val="single"/>
          <w:lang w:val="da-DK"/>
        </w:rPr>
        <w:t>Amning</w:t>
      </w:r>
    </w:p>
    <w:p w:rsidR="00E07B01" w:rsidRPr="00E07B01" w:rsidRDefault="00E07B01" w:rsidP="00E07B01">
      <w:pPr>
        <w:pStyle w:val="Brdtekst"/>
        <w:tabs>
          <w:tab w:val="left" w:pos="851"/>
        </w:tabs>
        <w:ind w:left="851"/>
        <w:rPr>
          <w:sz w:val="24"/>
          <w:szCs w:val="24"/>
          <w:lang w:val="da-DK"/>
        </w:rPr>
      </w:pPr>
      <w:r w:rsidRPr="00E07B01">
        <w:rPr>
          <w:sz w:val="24"/>
          <w:szCs w:val="24"/>
          <w:lang w:val="da-DK"/>
        </w:rPr>
        <w:t>Emtricitabin og tenofovir udskilles i human mælk. Der foreligger utilstrækkelige data for virkningen af emtricitabin og tenofovir på det ammede barn. Emtricitabin/tenofovirdisoproxil bør derfor ikke anvendes under amning.</w:t>
      </w:r>
    </w:p>
    <w:p w:rsidR="00E07B01" w:rsidRPr="00E07B01" w:rsidRDefault="00E07B01" w:rsidP="00E07B01">
      <w:pPr>
        <w:pStyle w:val="Brdtekst"/>
        <w:tabs>
          <w:tab w:val="left" w:pos="851"/>
        </w:tabs>
        <w:ind w:left="851"/>
        <w:rPr>
          <w:sz w:val="24"/>
          <w:szCs w:val="24"/>
          <w:lang w:val="da-DK"/>
        </w:rPr>
      </w:pPr>
    </w:p>
    <w:p w:rsidR="004B15A2" w:rsidRPr="00467589" w:rsidRDefault="004B15A2" w:rsidP="004B15A2">
      <w:pPr>
        <w:pStyle w:val="Brdtekst"/>
        <w:tabs>
          <w:tab w:val="left" w:pos="851"/>
        </w:tabs>
        <w:ind w:left="851"/>
        <w:rPr>
          <w:sz w:val="24"/>
          <w:szCs w:val="24"/>
          <w:lang w:val="da-DK"/>
        </w:rPr>
      </w:pPr>
      <w:r w:rsidRPr="00467589">
        <w:rPr>
          <w:sz w:val="24"/>
          <w:szCs w:val="24"/>
          <w:lang w:val="da-DK"/>
        </w:rPr>
        <w:t>For at undgå overførsel af HIV til spædbørn anbefales det, at kvinder, der lever med HIV, ikke ammer deres børn.</w:t>
      </w:r>
    </w:p>
    <w:p w:rsidR="00B0027B" w:rsidRDefault="00B0027B" w:rsidP="00B0027B">
      <w:pPr>
        <w:pStyle w:val="Brdtekst"/>
        <w:tabs>
          <w:tab w:val="left" w:pos="851"/>
        </w:tabs>
        <w:ind w:left="851"/>
        <w:rPr>
          <w:sz w:val="24"/>
          <w:szCs w:val="24"/>
          <w:lang w:val="da-DK"/>
        </w:rPr>
      </w:pPr>
    </w:p>
    <w:p w:rsidR="00B0027B" w:rsidRDefault="00B0027B" w:rsidP="00B0027B">
      <w:pPr>
        <w:pStyle w:val="Brdtekst"/>
        <w:tabs>
          <w:tab w:val="left" w:pos="851"/>
        </w:tabs>
        <w:ind w:left="851"/>
        <w:rPr>
          <w:sz w:val="24"/>
          <w:szCs w:val="24"/>
          <w:lang w:val="da-DK"/>
        </w:rPr>
      </w:pPr>
      <w:r>
        <w:rPr>
          <w:sz w:val="24"/>
          <w:szCs w:val="24"/>
          <w:u w:val="single"/>
          <w:lang w:val="da-DK"/>
        </w:rPr>
        <w:t>Fertilitet</w:t>
      </w:r>
    </w:p>
    <w:p w:rsidR="00B0027B" w:rsidRDefault="00B0027B" w:rsidP="00B0027B">
      <w:pPr>
        <w:pStyle w:val="Brdtekst"/>
        <w:tabs>
          <w:tab w:val="left" w:pos="851"/>
        </w:tabs>
        <w:ind w:left="851"/>
        <w:rPr>
          <w:sz w:val="24"/>
          <w:szCs w:val="24"/>
          <w:lang w:val="da-DK"/>
        </w:rPr>
      </w:pPr>
      <w:r>
        <w:rPr>
          <w:sz w:val="24"/>
          <w:szCs w:val="24"/>
          <w:lang w:val="da-DK"/>
        </w:rPr>
        <w:t>Der foreligger ingen humane data vedrørende virkningen af emtricitabin/tenofovirdisoproxil. Dyrestudier indikerer ingen skadelige virkninger af emtricitabin eller tenofovirdisoproxil på fertiliteten.</w:t>
      </w:r>
    </w:p>
    <w:p w:rsidR="007564F4" w:rsidRPr="00D23352" w:rsidRDefault="007564F4" w:rsidP="007564F4">
      <w:pPr>
        <w:pStyle w:val="Brdtekst"/>
        <w:tabs>
          <w:tab w:val="left" w:pos="851"/>
        </w:tabs>
        <w:ind w:left="851"/>
        <w:rPr>
          <w:sz w:val="24"/>
          <w:szCs w:val="24"/>
          <w:lang w:val="da-DK"/>
        </w:rPr>
      </w:pPr>
    </w:p>
    <w:p w:rsidR="007564F4" w:rsidRPr="00071814" w:rsidRDefault="007564F4" w:rsidP="007564F4">
      <w:pPr>
        <w:tabs>
          <w:tab w:val="left" w:pos="851"/>
        </w:tabs>
        <w:ind w:left="851" w:hanging="851"/>
        <w:rPr>
          <w:b/>
          <w:sz w:val="24"/>
          <w:szCs w:val="24"/>
        </w:rPr>
      </w:pPr>
      <w:r w:rsidRPr="00071814">
        <w:rPr>
          <w:b/>
          <w:sz w:val="24"/>
          <w:szCs w:val="24"/>
        </w:rPr>
        <w:t>4.7</w:t>
      </w:r>
      <w:r w:rsidRPr="00071814">
        <w:rPr>
          <w:b/>
          <w:sz w:val="24"/>
          <w:szCs w:val="24"/>
        </w:rPr>
        <w:tab/>
        <w:t xml:space="preserve">Virkning på evnen til at føre motorkøretøj </w:t>
      </w:r>
      <w:r w:rsidR="00C730E8">
        <w:rPr>
          <w:b/>
          <w:sz w:val="24"/>
          <w:szCs w:val="24"/>
        </w:rPr>
        <w:t xml:space="preserve">og </w:t>
      </w:r>
      <w:r w:rsidRPr="00071814">
        <w:rPr>
          <w:b/>
          <w:sz w:val="24"/>
          <w:szCs w:val="24"/>
        </w:rPr>
        <w:t>betjene maskiner</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Ikke mærkning</w:t>
      </w:r>
      <w:r>
        <w:rPr>
          <w:sz w:val="24"/>
          <w:szCs w:val="24"/>
          <w:lang w:val="da-DK"/>
        </w:rPr>
        <w:t>.</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Der er ikke foretaget studier af virkningen på evnen til at føre motorkøretøj og betjene maskiner. Personer i behandling bør dog underrettes om, at svimmelhed er blevet indberettet som en bivirkning både under behandling med emtricitabin og med tenofovirdisoproxil.</w:t>
      </w:r>
    </w:p>
    <w:p w:rsidR="007564F4" w:rsidRPr="00071814" w:rsidRDefault="007564F4" w:rsidP="007564F4">
      <w:pPr>
        <w:tabs>
          <w:tab w:val="left" w:pos="851"/>
        </w:tabs>
        <w:ind w:left="851"/>
        <w:rPr>
          <w:sz w:val="24"/>
          <w:szCs w:val="24"/>
        </w:rPr>
      </w:pPr>
    </w:p>
    <w:p w:rsidR="007564F4" w:rsidRPr="00B0027B" w:rsidRDefault="007564F4" w:rsidP="00B0027B">
      <w:pPr>
        <w:tabs>
          <w:tab w:val="left" w:pos="851"/>
        </w:tabs>
        <w:ind w:left="851" w:hanging="851"/>
        <w:rPr>
          <w:b/>
          <w:sz w:val="24"/>
          <w:szCs w:val="24"/>
        </w:rPr>
      </w:pPr>
      <w:r w:rsidRPr="00071814">
        <w:rPr>
          <w:b/>
          <w:sz w:val="24"/>
          <w:szCs w:val="24"/>
        </w:rPr>
        <w:t>4.8</w:t>
      </w:r>
      <w:r w:rsidRPr="00071814">
        <w:rPr>
          <w:b/>
          <w:sz w:val="24"/>
          <w:szCs w:val="24"/>
        </w:rPr>
        <w:tab/>
        <w:t>Bivirkninger</w:t>
      </w:r>
    </w:p>
    <w:p w:rsidR="007564F4" w:rsidRPr="005E028C" w:rsidRDefault="007564F4" w:rsidP="007564F4">
      <w:pPr>
        <w:pStyle w:val="Brdtekst"/>
        <w:tabs>
          <w:tab w:val="left" w:pos="851"/>
        </w:tabs>
        <w:ind w:left="851"/>
        <w:rPr>
          <w:sz w:val="24"/>
          <w:szCs w:val="24"/>
          <w:lang w:val="da-DK"/>
        </w:rPr>
      </w:pPr>
      <w:r w:rsidRPr="005E028C">
        <w:rPr>
          <w:sz w:val="24"/>
          <w:szCs w:val="24"/>
          <w:u w:val="single"/>
          <w:lang w:val="da-DK"/>
        </w:rPr>
        <w:t>Resumé af sikkerhedsprofil</w:t>
      </w:r>
    </w:p>
    <w:p w:rsidR="007564F4" w:rsidRDefault="007564F4" w:rsidP="007564F4">
      <w:pPr>
        <w:pStyle w:val="Brdtekst"/>
        <w:tabs>
          <w:tab w:val="left" w:pos="851"/>
        </w:tabs>
        <w:ind w:left="851"/>
        <w:rPr>
          <w:i/>
          <w:sz w:val="24"/>
          <w:szCs w:val="24"/>
          <w:lang w:val="sv-SE"/>
        </w:rPr>
      </w:pPr>
    </w:p>
    <w:p w:rsidR="001755DF" w:rsidRPr="007A666A" w:rsidRDefault="001755DF" w:rsidP="001755DF">
      <w:pPr>
        <w:pStyle w:val="Brdtekst"/>
        <w:tabs>
          <w:tab w:val="left" w:pos="851"/>
        </w:tabs>
        <w:ind w:left="851"/>
        <w:rPr>
          <w:i/>
          <w:sz w:val="24"/>
          <w:szCs w:val="24"/>
          <w:lang w:val="da-DK"/>
        </w:rPr>
      </w:pPr>
      <w:r w:rsidRPr="007A666A">
        <w:rPr>
          <w:i/>
          <w:sz w:val="24"/>
          <w:szCs w:val="24"/>
          <w:lang w:val="da-DK"/>
        </w:rPr>
        <w:t>HIV 1-infektion</w:t>
      </w:r>
    </w:p>
    <w:p w:rsidR="001755DF" w:rsidRPr="007A666A" w:rsidRDefault="001755DF" w:rsidP="001755DF">
      <w:pPr>
        <w:pStyle w:val="Brdtekst"/>
        <w:tabs>
          <w:tab w:val="left" w:pos="851"/>
        </w:tabs>
        <w:ind w:left="851"/>
        <w:rPr>
          <w:sz w:val="24"/>
          <w:szCs w:val="24"/>
          <w:lang w:val="da-DK"/>
        </w:rPr>
      </w:pPr>
      <w:r w:rsidRPr="007A666A">
        <w:rPr>
          <w:sz w:val="24"/>
          <w:szCs w:val="24"/>
          <w:lang w:val="da-DK"/>
        </w:rPr>
        <w:t>I et åbent, randomiseret klinisk studie hos voksne (GS-01-934, se pkt. 5.1) var de hyppigst indberettede bivirkninger, som blev anset for at have en mulig eller sandsynlig forbindelse til emtricitabin og/eller tenofovirdisoproxil, kvalme (12 %) og diarré (7 %). Emtricitabins og tenofovirdisoproxils sikkerhedsprofiler i denne studie svarede til de tidligere erfaringer med disse komponenter, når disse var blevet administreret sammen med andre antiretrovirale stoffer.</w:t>
      </w:r>
    </w:p>
    <w:p w:rsidR="007564F4" w:rsidRPr="001755DF" w:rsidRDefault="007564F4" w:rsidP="007564F4">
      <w:pPr>
        <w:pStyle w:val="Brdtekst"/>
        <w:tabs>
          <w:tab w:val="left" w:pos="851"/>
        </w:tabs>
        <w:ind w:left="851"/>
        <w:rPr>
          <w:sz w:val="24"/>
          <w:szCs w:val="24"/>
          <w:lang w:val="da-DK"/>
        </w:rPr>
      </w:pPr>
    </w:p>
    <w:p w:rsidR="004B15A2" w:rsidRPr="00A92787" w:rsidRDefault="004B15A2" w:rsidP="004B15A2">
      <w:pPr>
        <w:pStyle w:val="Brdtekst"/>
        <w:tabs>
          <w:tab w:val="left" w:pos="851"/>
        </w:tabs>
        <w:ind w:left="851"/>
        <w:rPr>
          <w:i/>
          <w:sz w:val="24"/>
          <w:szCs w:val="24"/>
          <w:lang w:val="da-DK"/>
        </w:rPr>
      </w:pPr>
      <w:r w:rsidRPr="00A92787">
        <w:rPr>
          <w:i/>
          <w:sz w:val="24"/>
          <w:szCs w:val="24"/>
          <w:lang w:val="da-DK"/>
        </w:rPr>
        <w:t>Profylakse før eksponering</w:t>
      </w:r>
    </w:p>
    <w:p w:rsidR="007564F4" w:rsidRPr="00D23352" w:rsidRDefault="007564F4" w:rsidP="00E07B01">
      <w:pPr>
        <w:pStyle w:val="Brdtekst"/>
        <w:widowControl/>
        <w:tabs>
          <w:tab w:val="left" w:pos="851"/>
        </w:tabs>
        <w:ind w:left="851"/>
        <w:rPr>
          <w:sz w:val="24"/>
          <w:szCs w:val="24"/>
          <w:lang w:val="da-DK"/>
        </w:rPr>
      </w:pPr>
      <w:r w:rsidRPr="00D23352">
        <w:rPr>
          <w:sz w:val="24"/>
          <w:szCs w:val="24"/>
          <w:lang w:val="sv-SE"/>
        </w:rPr>
        <w:t>Der blev ikke identificeret nogen nye bivirkninger fra emtricitabin/tenofovirdisoproxil i to randomiserede placebokontrollerede studier (iPrEx, Partners PrEP)</w:t>
      </w:r>
      <w:r>
        <w:rPr>
          <w:sz w:val="24"/>
          <w:szCs w:val="24"/>
          <w:lang w:val="sv-SE"/>
        </w:rPr>
        <w:t xml:space="preserve">, hvor </w:t>
      </w:r>
      <w:proofErr w:type="gramStart"/>
      <w:r>
        <w:rPr>
          <w:sz w:val="24"/>
          <w:szCs w:val="24"/>
          <w:lang w:val="sv-SE"/>
        </w:rPr>
        <w:t>2.830</w:t>
      </w:r>
      <w:proofErr w:type="gramEnd"/>
      <w:r>
        <w:rPr>
          <w:sz w:val="24"/>
          <w:szCs w:val="24"/>
          <w:lang w:val="sv-SE"/>
        </w:rPr>
        <w:t xml:space="preserve"> voksne uden HIV 1-</w:t>
      </w:r>
      <w:r w:rsidRPr="00D23352">
        <w:rPr>
          <w:sz w:val="24"/>
          <w:szCs w:val="24"/>
          <w:lang w:val="sv-SE"/>
        </w:rPr>
        <w:t xml:space="preserve">infektion fik emtricitabin/tenofovirdisoproxil én gang </w:t>
      </w:r>
      <w:r>
        <w:rPr>
          <w:sz w:val="24"/>
          <w:szCs w:val="24"/>
          <w:lang w:val="sv-SE"/>
        </w:rPr>
        <w:t>daglig</w:t>
      </w:r>
      <w:r w:rsidRPr="00D23352">
        <w:rPr>
          <w:sz w:val="24"/>
          <w:szCs w:val="24"/>
          <w:lang w:val="sv-SE"/>
        </w:rPr>
        <w:t xml:space="preserve"> som profylakse før eksponering. </w:t>
      </w:r>
      <w:r w:rsidRPr="00D23352">
        <w:rPr>
          <w:sz w:val="24"/>
          <w:szCs w:val="24"/>
          <w:lang w:val="da-DK"/>
        </w:rPr>
        <w:t>Patienterne blev gennemsnitligt fulgt i henholdsvis 71 uger og 87 uger. Den hyppigste bivirkning i emtricitabin/tenofovirdisoproxil-gruppen i iPrEx-studiet var hovedpine (1</w:t>
      </w:r>
      <w:r>
        <w:rPr>
          <w:sz w:val="24"/>
          <w:szCs w:val="24"/>
          <w:lang w:val="da-DK"/>
        </w:rPr>
        <w:t xml:space="preserve"> %</w:t>
      </w:r>
      <w:r w:rsidRPr="00D23352">
        <w:rPr>
          <w:sz w:val="24"/>
          <w:szCs w:val="24"/>
          <w:lang w:val="da-DK"/>
        </w:rPr>
        <w:t>).</w:t>
      </w:r>
      <w:r w:rsidR="004E12F3">
        <w:rPr>
          <w:sz w:val="24"/>
          <w:szCs w:val="24"/>
          <w:lang w:val="da-DK"/>
        </w:rPr>
        <w:br/>
      </w: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Tabel over bivirkninger</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De bivirkninger, som blev anset for i det mindste at have en mulig forbindelse til behandlingen med indholdsstofferne i emtricitabin/tenofovirdisoproxil fra kliniske studier og erfaringer hos HIV 1-inficerede patienter efter markedsføring er opført i tabel 3, nedenfor, efter systemorganklasse og frekvens. Inden for hver enkelt frekvensgruppe er bivirkningerne opstillet efter, hvor alvorlige de er. De alvorligste bivirkninger er anført først. Frekvens er defineret som meget almindelig (≥ 1/10), almindelig (≥ 1/100 til &lt; 1/10), ikke almindelig (≥ 1/1.000 til &lt; 1/100) eller sjælden (≥ 1/10.000 til &lt; 1/1.000).</w:t>
      </w:r>
    </w:p>
    <w:p w:rsidR="007564F4" w:rsidRDefault="007564F4" w:rsidP="007564F4">
      <w:pPr>
        <w:rPr>
          <w:sz w:val="24"/>
          <w:szCs w:val="24"/>
        </w:rPr>
      </w:pPr>
    </w:p>
    <w:p w:rsidR="007564F4" w:rsidRPr="004B300B" w:rsidRDefault="007564F4" w:rsidP="007564F4">
      <w:pPr>
        <w:pStyle w:val="Brdtekst"/>
        <w:tabs>
          <w:tab w:val="left" w:pos="851"/>
        </w:tabs>
        <w:ind w:left="851"/>
        <w:rPr>
          <w:b/>
          <w:sz w:val="24"/>
          <w:szCs w:val="24"/>
          <w:lang w:val="da-DK"/>
        </w:rPr>
      </w:pPr>
      <w:r w:rsidRPr="004B300B">
        <w:rPr>
          <w:b/>
          <w:sz w:val="24"/>
          <w:szCs w:val="24"/>
          <w:lang w:val="da-DK"/>
        </w:rPr>
        <w:t>Tabel 3: Resumé af bivirkninger forbundet med de individuelle komponenter af emtricitabin/tenofovirdisoproxil 200 mg/245 mg filmovertrukne tabletter baseret på erfaringer fra kliniske studier og efter markedsføring</w:t>
      </w:r>
    </w:p>
    <w:p w:rsidR="007564F4" w:rsidRDefault="007564F4" w:rsidP="007564F4">
      <w:pPr>
        <w:pStyle w:val="Brdtekst"/>
        <w:tabs>
          <w:tab w:val="left" w:pos="851"/>
        </w:tabs>
        <w:ind w:left="851"/>
        <w:rPr>
          <w:b/>
          <w:sz w:val="24"/>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247"/>
        <w:gridCol w:w="3227"/>
      </w:tblGrid>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b/>
                <w:sz w:val="24"/>
                <w:szCs w:val="24"/>
              </w:rPr>
            </w:pPr>
            <w:r>
              <w:rPr>
                <w:b/>
                <w:sz w:val="24"/>
                <w:szCs w:val="24"/>
              </w:rPr>
              <w:t>Frekvens</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b/>
                <w:sz w:val="24"/>
                <w:szCs w:val="24"/>
              </w:rPr>
            </w:pPr>
            <w:r>
              <w:rPr>
                <w:b/>
                <w:sz w:val="24"/>
                <w:szCs w:val="24"/>
              </w:rPr>
              <w:t>Emtricitabin</w:t>
            </w: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b/>
                <w:sz w:val="24"/>
                <w:szCs w:val="24"/>
              </w:rPr>
            </w:pPr>
            <w:r>
              <w:rPr>
                <w:b/>
                <w:sz w:val="24"/>
                <w:szCs w:val="24"/>
              </w:rPr>
              <w:t>Tenofovirdisoproxil</w:t>
            </w: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pPr>
              <w:rPr>
                <w:sz w:val="24"/>
                <w:szCs w:val="24"/>
              </w:rPr>
            </w:pPr>
            <w:r>
              <w:rPr>
                <w:i/>
                <w:iCs/>
                <w:sz w:val="24"/>
                <w:szCs w:val="24"/>
              </w:rPr>
              <w:t xml:space="preserve">Blod og lymfesystem: </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Neutropeni</w:t>
            </w:r>
          </w:p>
        </w:tc>
        <w:tc>
          <w:tcPr>
            <w:tcW w:w="167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Ikke 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Anæmi</w:t>
            </w:r>
            <w:r>
              <w:rPr>
                <w:sz w:val="24"/>
                <w:szCs w:val="24"/>
                <w:vertAlign w:val="superscript"/>
              </w:rPr>
              <w:t>2</w:t>
            </w:r>
          </w:p>
        </w:tc>
        <w:tc>
          <w:tcPr>
            <w:tcW w:w="167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pPr>
              <w:rPr>
                <w:i/>
                <w:sz w:val="24"/>
                <w:szCs w:val="24"/>
              </w:rPr>
            </w:pPr>
            <w:r>
              <w:rPr>
                <w:i/>
                <w:sz w:val="24"/>
                <w:szCs w:val="24"/>
              </w:rPr>
              <w:t>Immunsystemet:</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Allergiske reaktioner</w:t>
            </w:r>
          </w:p>
        </w:tc>
        <w:tc>
          <w:tcPr>
            <w:tcW w:w="167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pPr>
              <w:rPr>
                <w:i/>
                <w:sz w:val="24"/>
                <w:szCs w:val="24"/>
              </w:rPr>
            </w:pPr>
            <w:r>
              <w:rPr>
                <w:i/>
                <w:sz w:val="24"/>
                <w:szCs w:val="24"/>
              </w:rPr>
              <w:t>Metabolisme og ernæring:</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Meget almindelig:</w:t>
            </w:r>
          </w:p>
        </w:tc>
        <w:tc>
          <w:tcPr>
            <w:tcW w:w="168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Hypofosfatæmi</w:t>
            </w:r>
            <w:r>
              <w:rPr>
                <w:sz w:val="24"/>
                <w:szCs w:val="24"/>
                <w:vertAlign w:val="superscript"/>
              </w:rPr>
              <w:t>1</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Hyperglykæmi, hypertriglyceridæmi</w:t>
            </w:r>
          </w:p>
        </w:tc>
        <w:tc>
          <w:tcPr>
            <w:tcW w:w="167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Ikke almindelig:</w:t>
            </w:r>
          </w:p>
        </w:tc>
        <w:tc>
          <w:tcPr>
            <w:tcW w:w="168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Hypokaliæmi</w:t>
            </w:r>
            <w:r>
              <w:rPr>
                <w:sz w:val="24"/>
                <w:szCs w:val="24"/>
                <w:vertAlign w:val="superscript"/>
              </w:rPr>
              <w:t>1</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Sjælden:</w:t>
            </w:r>
          </w:p>
        </w:tc>
        <w:tc>
          <w:tcPr>
            <w:tcW w:w="168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Laktatacidose</w:t>
            </w: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pPr>
              <w:rPr>
                <w:i/>
                <w:sz w:val="24"/>
                <w:szCs w:val="24"/>
              </w:rPr>
            </w:pPr>
            <w:r>
              <w:rPr>
                <w:i/>
                <w:sz w:val="24"/>
                <w:szCs w:val="24"/>
              </w:rPr>
              <w:t>Psykiske forstyrrelser:</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Insomnia, unormale drømme</w:t>
            </w:r>
          </w:p>
        </w:tc>
        <w:tc>
          <w:tcPr>
            <w:tcW w:w="167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pPr>
              <w:rPr>
                <w:i/>
                <w:sz w:val="24"/>
                <w:szCs w:val="24"/>
              </w:rPr>
            </w:pPr>
            <w:r>
              <w:rPr>
                <w:i/>
                <w:sz w:val="24"/>
                <w:szCs w:val="24"/>
              </w:rPr>
              <w:t>Nervesystemet:</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Meget 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Hovedpine</w:t>
            </w: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Svimmelhed</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Svimmelhed</w:t>
            </w: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Hovedpine</w:t>
            </w: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pPr>
              <w:rPr>
                <w:i/>
                <w:sz w:val="24"/>
                <w:szCs w:val="24"/>
              </w:rPr>
            </w:pPr>
            <w:r>
              <w:rPr>
                <w:i/>
                <w:sz w:val="24"/>
                <w:szCs w:val="24"/>
              </w:rPr>
              <w:t>Mave-tarm-kanalen:</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Meget 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Diarré, kvalme</w:t>
            </w: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Diarré, opkastning, kvalme</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r>
              <w:rPr>
                <w:sz w:val="24"/>
                <w:szCs w:val="24"/>
              </w:rPr>
              <w:t xml:space="preserve">Forhøjet amylase herunder forhøjet pancreasamylase, forhøjet serum-lipase, opkastning, abdominalsmerter, dyspepsi </w:t>
            </w:r>
          </w:p>
          <w:p w:rsidR="008A36FE" w:rsidRDefault="008A36FE">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Abdominalsmerter, abdominal distension, flatulens</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Ikke almindelig:</w:t>
            </w:r>
          </w:p>
        </w:tc>
        <w:tc>
          <w:tcPr>
            <w:tcW w:w="168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Pancreatitis</w:t>
            </w: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rsidP="004B15A2">
            <w:pPr>
              <w:keepNext/>
              <w:rPr>
                <w:i/>
                <w:sz w:val="24"/>
                <w:szCs w:val="24"/>
              </w:rPr>
            </w:pPr>
            <w:r>
              <w:rPr>
                <w:i/>
                <w:sz w:val="24"/>
                <w:szCs w:val="24"/>
              </w:rPr>
              <w:lastRenderedPageBreak/>
              <w:t>Lever og galdeveje:</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Forhøjet serum-aspartat aminotransferase (ASAT) og/eller forhøjet serum alanin aminotransferase (ALAT), hyperbilirubinæmi</w:t>
            </w: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Forhøjede aminotransaminaser</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Sjælden:</w:t>
            </w:r>
          </w:p>
        </w:tc>
        <w:tc>
          <w:tcPr>
            <w:tcW w:w="168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Steatosis hepatis, hepatitis</w:t>
            </w: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pPr>
              <w:keepNext/>
              <w:rPr>
                <w:i/>
                <w:sz w:val="24"/>
                <w:szCs w:val="24"/>
              </w:rPr>
            </w:pPr>
            <w:r>
              <w:rPr>
                <w:i/>
                <w:sz w:val="24"/>
                <w:szCs w:val="24"/>
              </w:rPr>
              <w:t>Hud og subkutane væv:</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Meget almindelig:</w:t>
            </w:r>
          </w:p>
        </w:tc>
        <w:tc>
          <w:tcPr>
            <w:tcW w:w="168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Udslæt</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Vesikulobulløst udslæt, pustuløst udslæt, makulopapuløst udslæt, udslæt, pruritus, urticaria, misfarvning af huden (øget pigmentering)</w:t>
            </w:r>
            <w:r>
              <w:rPr>
                <w:sz w:val="24"/>
                <w:szCs w:val="24"/>
                <w:vertAlign w:val="superscript"/>
              </w:rPr>
              <w:t>2</w:t>
            </w:r>
          </w:p>
        </w:tc>
        <w:tc>
          <w:tcPr>
            <w:tcW w:w="167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Ikke 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Angioødem</w:t>
            </w:r>
            <w:r>
              <w:rPr>
                <w:sz w:val="24"/>
                <w:szCs w:val="24"/>
                <w:vertAlign w:val="superscript"/>
              </w:rPr>
              <w:t>3</w:t>
            </w:r>
          </w:p>
        </w:tc>
        <w:tc>
          <w:tcPr>
            <w:tcW w:w="167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Sjælden:</w:t>
            </w:r>
          </w:p>
        </w:tc>
        <w:tc>
          <w:tcPr>
            <w:tcW w:w="168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Angioødem</w:t>
            </w:r>
          </w:p>
        </w:tc>
      </w:tr>
      <w:tr w:rsidR="008A36FE"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8A36FE" w:rsidRDefault="008A36FE">
            <w:pPr>
              <w:rPr>
                <w:i/>
                <w:sz w:val="24"/>
                <w:szCs w:val="24"/>
              </w:rPr>
            </w:pPr>
            <w:r>
              <w:rPr>
                <w:i/>
                <w:sz w:val="24"/>
                <w:szCs w:val="24"/>
              </w:rPr>
              <w:t>Knogler, led, muskler og bindevæv:</w:t>
            </w:r>
          </w:p>
        </w:tc>
      </w:tr>
      <w:tr w:rsidR="008A36FE" w:rsidTr="008A36FE">
        <w:tc>
          <w:tcPr>
            <w:tcW w:w="1638"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Meget almindelig:</w:t>
            </w:r>
          </w:p>
        </w:tc>
        <w:tc>
          <w:tcPr>
            <w:tcW w:w="1686" w:type="pct"/>
            <w:tcBorders>
              <w:top w:val="single" w:sz="4" w:space="0" w:color="auto"/>
              <w:left w:val="single" w:sz="4" w:space="0" w:color="auto"/>
              <w:bottom w:val="single" w:sz="4" w:space="0" w:color="auto"/>
              <w:right w:val="single" w:sz="4" w:space="0" w:color="auto"/>
            </w:tcBorders>
            <w:hideMark/>
          </w:tcPr>
          <w:p w:rsidR="008A36FE" w:rsidRDefault="008A36FE">
            <w:pPr>
              <w:rPr>
                <w:sz w:val="24"/>
                <w:szCs w:val="24"/>
              </w:rPr>
            </w:pPr>
            <w:r>
              <w:rPr>
                <w:sz w:val="24"/>
                <w:szCs w:val="24"/>
              </w:rPr>
              <w:t>Forhøjet kreatinkinase</w:t>
            </w:r>
          </w:p>
        </w:tc>
        <w:tc>
          <w:tcPr>
            <w:tcW w:w="1676" w:type="pct"/>
            <w:tcBorders>
              <w:top w:val="single" w:sz="4" w:space="0" w:color="auto"/>
              <w:left w:val="single" w:sz="4" w:space="0" w:color="auto"/>
              <w:bottom w:val="single" w:sz="4" w:space="0" w:color="auto"/>
              <w:right w:val="single" w:sz="4" w:space="0" w:color="auto"/>
            </w:tcBorders>
          </w:tcPr>
          <w:p w:rsidR="008A36FE" w:rsidRDefault="008A36FE">
            <w:pPr>
              <w:rPr>
                <w:sz w:val="24"/>
                <w:szCs w:val="24"/>
              </w:rPr>
            </w:pPr>
          </w:p>
        </w:tc>
      </w:tr>
      <w:tr w:rsidR="004B15A2" w:rsidTr="008A36FE">
        <w:tc>
          <w:tcPr>
            <w:tcW w:w="1638" w:type="pct"/>
            <w:tcBorders>
              <w:top w:val="single" w:sz="4" w:space="0" w:color="auto"/>
              <w:left w:val="single" w:sz="4" w:space="0" w:color="auto"/>
              <w:bottom w:val="single" w:sz="4" w:space="0" w:color="auto"/>
              <w:right w:val="single" w:sz="4" w:space="0" w:color="auto"/>
            </w:tcBorders>
          </w:tcPr>
          <w:p w:rsidR="004B15A2" w:rsidRPr="00467589" w:rsidRDefault="004B15A2" w:rsidP="004B15A2">
            <w:pPr>
              <w:rPr>
                <w:sz w:val="24"/>
                <w:szCs w:val="24"/>
              </w:rPr>
            </w:pPr>
            <w:r>
              <w:t>Ikke kendt</w:t>
            </w:r>
          </w:p>
        </w:tc>
        <w:tc>
          <w:tcPr>
            <w:tcW w:w="1686" w:type="pct"/>
            <w:tcBorders>
              <w:top w:val="single" w:sz="4" w:space="0" w:color="auto"/>
              <w:left w:val="single" w:sz="4" w:space="0" w:color="auto"/>
              <w:bottom w:val="single" w:sz="4" w:space="0" w:color="auto"/>
              <w:right w:val="single" w:sz="4" w:space="0" w:color="auto"/>
            </w:tcBorders>
          </w:tcPr>
          <w:p w:rsidR="004B15A2" w:rsidRDefault="004B15A2" w:rsidP="004B15A2">
            <w:pPr>
              <w:rPr>
                <w:sz w:val="24"/>
                <w:szCs w:val="24"/>
              </w:rPr>
            </w:pPr>
          </w:p>
        </w:tc>
        <w:tc>
          <w:tcPr>
            <w:tcW w:w="1676" w:type="pct"/>
            <w:tcBorders>
              <w:top w:val="single" w:sz="4" w:space="0" w:color="auto"/>
              <w:left w:val="single" w:sz="4" w:space="0" w:color="auto"/>
              <w:bottom w:val="single" w:sz="4" w:space="0" w:color="auto"/>
              <w:right w:val="single" w:sz="4" w:space="0" w:color="auto"/>
            </w:tcBorders>
          </w:tcPr>
          <w:p w:rsidR="004B15A2" w:rsidRPr="00467589" w:rsidRDefault="004B15A2" w:rsidP="004B15A2">
            <w:pPr>
              <w:rPr>
                <w:sz w:val="24"/>
                <w:szCs w:val="24"/>
              </w:rPr>
            </w:pPr>
            <w:r w:rsidRPr="00DC0E2C">
              <w:rPr>
                <w:sz w:val="24"/>
                <w:szCs w:val="24"/>
              </w:rPr>
              <w:t>Nedsat knogletæthed</w:t>
            </w:r>
          </w:p>
        </w:tc>
      </w:tr>
      <w:tr w:rsidR="004B15A2" w:rsidTr="008A36FE">
        <w:tc>
          <w:tcPr>
            <w:tcW w:w="1638"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Ikke almindelig:</w:t>
            </w:r>
          </w:p>
        </w:tc>
        <w:tc>
          <w:tcPr>
            <w:tcW w:w="1686" w:type="pct"/>
            <w:tcBorders>
              <w:top w:val="single" w:sz="4" w:space="0" w:color="auto"/>
              <w:left w:val="single" w:sz="4" w:space="0" w:color="auto"/>
              <w:bottom w:val="single" w:sz="4" w:space="0" w:color="auto"/>
              <w:right w:val="single" w:sz="4" w:space="0" w:color="auto"/>
            </w:tcBorders>
          </w:tcPr>
          <w:p w:rsidR="004B15A2" w:rsidRDefault="004B15A2" w:rsidP="004B15A2">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Rhabdomyolyse</w:t>
            </w:r>
            <w:r>
              <w:rPr>
                <w:sz w:val="24"/>
                <w:szCs w:val="24"/>
                <w:vertAlign w:val="superscript"/>
              </w:rPr>
              <w:t>1</w:t>
            </w:r>
            <w:r>
              <w:rPr>
                <w:sz w:val="24"/>
                <w:szCs w:val="24"/>
              </w:rPr>
              <w:t>, muskelsvækkelse</w:t>
            </w:r>
            <w:r>
              <w:rPr>
                <w:sz w:val="24"/>
                <w:szCs w:val="24"/>
                <w:vertAlign w:val="superscript"/>
              </w:rPr>
              <w:t>1</w:t>
            </w:r>
          </w:p>
        </w:tc>
      </w:tr>
      <w:tr w:rsidR="004B15A2" w:rsidTr="008A36FE">
        <w:tc>
          <w:tcPr>
            <w:tcW w:w="1638"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Sjælden:</w:t>
            </w:r>
          </w:p>
        </w:tc>
        <w:tc>
          <w:tcPr>
            <w:tcW w:w="1686" w:type="pct"/>
            <w:tcBorders>
              <w:top w:val="single" w:sz="4" w:space="0" w:color="auto"/>
              <w:left w:val="single" w:sz="4" w:space="0" w:color="auto"/>
              <w:bottom w:val="single" w:sz="4" w:space="0" w:color="auto"/>
              <w:right w:val="single" w:sz="4" w:space="0" w:color="auto"/>
            </w:tcBorders>
          </w:tcPr>
          <w:p w:rsidR="004B15A2" w:rsidRDefault="004B15A2" w:rsidP="004B15A2">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vertAlign w:val="superscript"/>
              </w:rPr>
            </w:pPr>
            <w:r>
              <w:rPr>
                <w:sz w:val="24"/>
                <w:szCs w:val="24"/>
              </w:rPr>
              <w:t>Osteomalaci (manifesteret som knoglesmerter, i sjældne tilfælde medvirkende årsag til frakturer)</w:t>
            </w:r>
            <w:r>
              <w:rPr>
                <w:sz w:val="24"/>
                <w:szCs w:val="24"/>
                <w:vertAlign w:val="superscript"/>
              </w:rPr>
              <w:t>1,3</w:t>
            </w:r>
            <w:r>
              <w:rPr>
                <w:sz w:val="24"/>
                <w:szCs w:val="24"/>
              </w:rPr>
              <w:t>, myopati</w:t>
            </w:r>
            <w:r>
              <w:rPr>
                <w:sz w:val="24"/>
                <w:szCs w:val="24"/>
                <w:vertAlign w:val="superscript"/>
              </w:rPr>
              <w:t>1</w:t>
            </w:r>
          </w:p>
        </w:tc>
      </w:tr>
      <w:tr w:rsidR="004B15A2"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B15A2" w:rsidRDefault="004B15A2" w:rsidP="004B15A2">
            <w:pPr>
              <w:rPr>
                <w:i/>
                <w:sz w:val="24"/>
                <w:szCs w:val="24"/>
              </w:rPr>
            </w:pPr>
            <w:r>
              <w:rPr>
                <w:i/>
                <w:sz w:val="24"/>
                <w:szCs w:val="24"/>
              </w:rPr>
              <w:t>Nyrer og urinveje:</w:t>
            </w:r>
          </w:p>
        </w:tc>
      </w:tr>
      <w:tr w:rsidR="004B15A2" w:rsidTr="008A36FE">
        <w:tc>
          <w:tcPr>
            <w:tcW w:w="1638"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Ikke almindelig:</w:t>
            </w:r>
          </w:p>
        </w:tc>
        <w:tc>
          <w:tcPr>
            <w:tcW w:w="1686" w:type="pct"/>
            <w:tcBorders>
              <w:top w:val="single" w:sz="4" w:space="0" w:color="auto"/>
              <w:left w:val="single" w:sz="4" w:space="0" w:color="auto"/>
              <w:bottom w:val="single" w:sz="4" w:space="0" w:color="auto"/>
              <w:right w:val="single" w:sz="4" w:space="0" w:color="auto"/>
            </w:tcBorders>
          </w:tcPr>
          <w:p w:rsidR="004B15A2" w:rsidRDefault="004B15A2" w:rsidP="004B15A2">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Øget kreatinin, proteinuri, proksimal renal tubulopati, herunder Fanconis syndrom</w:t>
            </w:r>
          </w:p>
        </w:tc>
      </w:tr>
      <w:tr w:rsidR="004B15A2" w:rsidTr="008A36FE">
        <w:tc>
          <w:tcPr>
            <w:tcW w:w="1638"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Sjælden:</w:t>
            </w:r>
          </w:p>
        </w:tc>
        <w:tc>
          <w:tcPr>
            <w:tcW w:w="1686" w:type="pct"/>
            <w:tcBorders>
              <w:top w:val="single" w:sz="4" w:space="0" w:color="auto"/>
              <w:left w:val="single" w:sz="4" w:space="0" w:color="auto"/>
              <w:bottom w:val="single" w:sz="4" w:space="0" w:color="auto"/>
              <w:right w:val="single" w:sz="4" w:space="0" w:color="auto"/>
            </w:tcBorders>
          </w:tcPr>
          <w:p w:rsidR="004B15A2" w:rsidRDefault="004B15A2" w:rsidP="004B15A2">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Nyresvigt (akut og kronisk), akut tubulær nekrose, nefritis (herunder akut interstitiel nefritis)</w:t>
            </w:r>
            <w:r>
              <w:rPr>
                <w:sz w:val="24"/>
                <w:szCs w:val="24"/>
                <w:vertAlign w:val="superscript"/>
              </w:rPr>
              <w:t>3</w:t>
            </w:r>
            <w:r>
              <w:rPr>
                <w:sz w:val="24"/>
                <w:szCs w:val="24"/>
              </w:rPr>
              <w:t>, nefrogen diabetes insipidus</w:t>
            </w:r>
          </w:p>
        </w:tc>
      </w:tr>
      <w:tr w:rsidR="004B15A2" w:rsidTr="008A36FE">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B15A2" w:rsidRDefault="004B15A2" w:rsidP="004B15A2">
            <w:pPr>
              <w:rPr>
                <w:i/>
                <w:sz w:val="24"/>
                <w:szCs w:val="24"/>
              </w:rPr>
            </w:pPr>
            <w:r>
              <w:rPr>
                <w:i/>
                <w:sz w:val="24"/>
                <w:szCs w:val="24"/>
              </w:rPr>
              <w:t>Almene symptomer og reaktioner på administrationsstedet:</w:t>
            </w:r>
          </w:p>
        </w:tc>
      </w:tr>
      <w:tr w:rsidR="004B15A2" w:rsidTr="008A36FE">
        <w:tc>
          <w:tcPr>
            <w:tcW w:w="1638"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Meget almindelig:</w:t>
            </w:r>
          </w:p>
        </w:tc>
        <w:tc>
          <w:tcPr>
            <w:tcW w:w="1686" w:type="pct"/>
            <w:tcBorders>
              <w:top w:val="single" w:sz="4" w:space="0" w:color="auto"/>
              <w:left w:val="single" w:sz="4" w:space="0" w:color="auto"/>
              <w:bottom w:val="single" w:sz="4" w:space="0" w:color="auto"/>
              <w:right w:val="single" w:sz="4" w:space="0" w:color="auto"/>
            </w:tcBorders>
          </w:tcPr>
          <w:p w:rsidR="004B15A2" w:rsidRDefault="004B15A2" w:rsidP="004B15A2">
            <w:pPr>
              <w:rPr>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Asteni</w:t>
            </w:r>
          </w:p>
        </w:tc>
      </w:tr>
      <w:tr w:rsidR="004B15A2" w:rsidTr="008A36FE">
        <w:tc>
          <w:tcPr>
            <w:tcW w:w="1638"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Almindelig:</w:t>
            </w:r>
          </w:p>
        </w:tc>
        <w:tc>
          <w:tcPr>
            <w:tcW w:w="1686" w:type="pct"/>
            <w:tcBorders>
              <w:top w:val="single" w:sz="4" w:space="0" w:color="auto"/>
              <w:left w:val="single" w:sz="4" w:space="0" w:color="auto"/>
              <w:bottom w:val="single" w:sz="4" w:space="0" w:color="auto"/>
              <w:right w:val="single" w:sz="4" w:space="0" w:color="auto"/>
            </w:tcBorders>
            <w:hideMark/>
          </w:tcPr>
          <w:p w:rsidR="004B15A2" w:rsidRDefault="004B15A2" w:rsidP="004B15A2">
            <w:pPr>
              <w:rPr>
                <w:sz w:val="24"/>
                <w:szCs w:val="24"/>
              </w:rPr>
            </w:pPr>
            <w:r>
              <w:rPr>
                <w:sz w:val="24"/>
                <w:szCs w:val="24"/>
              </w:rPr>
              <w:t>Smerter, asteni</w:t>
            </w:r>
          </w:p>
        </w:tc>
        <w:tc>
          <w:tcPr>
            <w:tcW w:w="1676" w:type="pct"/>
            <w:tcBorders>
              <w:top w:val="single" w:sz="4" w:space="0" w:color="auto"/>
              <w:left w:val="single" w:sz="4" w:space="0" w:color="auto"/>
              <w:bottom w:val="single" w:sz="4" w:space="0" w:color="auto"/>
              <w:right w:val="single" w:sz="4" w:space="0" w:color="auto"/>
            </w:tcBorders>
          </w:tcPr>
          <w:p w:rsidR="004B15A2" w:rsidRDefault="004B15A2" w:rsidP="004B15A2">
            <w:pPr>
              <w:rPr>
                <w:sz w:val="24"/>
                <w:szCs w:val="24"/>
              </w:rPr>
            </w:pPr>
          </w:p>
        </w:tc>
      </w:tr>
    </w:tbl>
    <w:p w:rsidR="004B15A2" w:rsidRDefault="004B15A2" w:rsidP="008A36FE">
      <w:pPr>
        <w:tabs>
          <w:tab w:val="left" w:pos="1815"/>
        </w:tabs>
        <w:ind w:left="1134" w:hanging="283"/>
        <w:rPr>
          <w:position w:val="6"/>
          <w:sz w:val="20"/>
        </w:rPr>
      </w:pPr>
    </w:p>
    <w:p w:rsidR="008A36FE" w:rsidRDefault="008A36FE" w:rsidP="008A36FE">
      <w:pPr>
        <w:tabs>
          <w:tab w:val="left" w:pos="1815"/>
        </w:tabs>
        <w:ind w:left="1134" w:hanging="283"/>
        <w:rPr>
          <w:sz w:val="20"/>
        </w:rPr>
      </w:pPr>
      <w:r>
        <w:rPr>
          <w:position w:val="6"/>
          <w:sz w:val="20"/>
        </w:rPr>
        <w:t>1</w:t>
      </w:r>
      <w:r>
        <w:rPr>
          <w:position w:val="6"/>
          <w:sz w:val="20"/>
        </w:rPr>
        <w:tab/>
      </w:r>
      <w:r>
        <w:rPr>
          <w:sz w:val="20"/>
        </w:rPr>
        <w:t>Denne bivirkning kan forekomme som resultat af proksimal renal tubulopati. Den anses ikke som årsagsmæssigt forbundet med tenofovirdisoproxil, hvis denne tilstand ikke er til stede.</w:t>
      </w:r>
    </w:p>
    <w:p w:rsidR="008A36FE" w:rsidRDefault="008A36FE" w:rsidP="008A36FE">
      <w:pPr>
        <w:tabs>
          <w:tab w:val="left" w:pos="851"/>
        </w:tabs>
        <w:ind w:left="1134" w:hanging="283"/>
        <w:rPr>
          <w:sz w:val="20"/>
        </w:rPr>
      </w:pPr>
      <w:r>
        <w:rPr>
          <w:position w:val="6"/>
          <w:sz w:val="20"/>
        </w:rPr>
        <w:t>2</w:t>
      </w:r>
      <w:r>
        <w:rPr>
          <w:position w:val="6"/>
          <w:sz w:val="20"/>
        </w:rPr>
        <w:tab/>
      </w:r>
      <w:r>
        <w:rPr>
          <w:sz w:val="20"/>
        </w:rPr>
        <w:t>Anæmi var almindelig og misfarvning af huden (øget pigmentering) var meget almindelig, når emtricitabin blev administreret til pædiatriske patienter.</w:t>
      </w:r>
    </w:p>
    <w:p w:rsidR="008A36FE" w:rsidRDefault="008A36FE" w:rsidP="008A36FE">
      <w:pPr>
        <w:tabs>
          <w:tab w:val="left" w:pos="851"/>
        </w:tabs>
        <w:ind w:left="1134" w:hanging="283"/>
        <w:rPr>
          <w:sz w:val="20"/>
        </w:rPr>
      </w:pPr>
      <w:r>
        <w:rPr>
          <w:position w:val="6"/>
          <w:sz w:val="20"/>
        </w:rPr>
        <w:t>3</w:t>
      </w:r>
      <w:r>
        <w:rPr>
          <w:position w:val="6"/>
          <w:sz w:val="20"/>
        </w:rPr>
        <w:tab/>
      </w:r>
      <w:r>
        <w:rPr>
          <w:sz w:val="20"/>
        </w:rPr>
        <w:t>Denne bivirkning, som blev identificeret under sikkerhedsovervågningen efter markedsføring, blev ikke observeret i randomiserede, kontrollerede, kliniske studier af emtricitabin hos voksne, eller i kliniske studier af emtricitabin hos pædiatriske HIV-patienter, eller i randomiserede, kontrollerede kliniske studier eller i programmet for forlænget adgang til tenofovirdisoproxil. Frekvenskategorien blev estimeret ud fra en statistisk beregning baseret på det totale antal patienter eksponeret for emtricitabin i randomiserede, kontrollerede kliniske studier (n = 1.563) eller tenofovirdisoproxil i randomiserede, kontrollerede, kliniske studier og i programmet for forlænget adgang (n = 7.319).</w:t>
      </w:r>
    </w:p>
    <w:p w:rsidR="008A36FE" w:rsidRDefault="008A36FE" w:rsidP="008A36FE">
      <w:pPr>
        <w:tabs>
          <w:tab w:val="left" w:pos="851"/>
        </w:tabs>
        <w:ind w:left="1134" w:hanging="283"/>
        <w:rPr>
          <w:sz w:val="20"/>
        </w:rPr>
      </w:pPr>
    </w:p>
    <w:p w:rsidR="007564F4" w:rsidRDefault="007564F4" w:rsidP="007564F4">
      <w:pPr>
        <w:pStyle w:val="Brdtekst"/>
        <w:tabs>
          <w:tab w:val="left" w:pos="851"/>
        </w:tabs>
        <w:ind w:left="851"/>
        <w:rPr>
          <w:sz w:val="24"/>
          <w:szCs w:val="24"/>
          <w:lang w:val="da-DK"/>
        </w:rPr>
      </w:pPr>
    </w:p>
    <w:p w:rsidR="008A36FE" w:rsidRPr="00D23352" w:rsidRDefault="008A36FE"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lastRenderedPageBreak/>
        <w:t>Beskrivelse af udvalgte bivirkninger</w:t>
      </w:r>
    </w:p>
    <w:p w:rsidR="007564F4" w:rsidRPr="00D23352" w:rsidRDefault="007564F4" w:rsidP="007564F4">
      <w:pPr>
        <w:pStyle w:val="Brdtekst"/>
        <w:tabs>
          <w:tab w:val="left" w:pos="851"/>
        </w:tabs>
        <w:ind w:left="851"/>
        <w:rPr>
          <w:sz w:val="24"/>
          <w:szCs w:val="24"/>
          <w:lang w:val="da-DK"/>
        </w:rPr>
      </w:pPr>
    </w:p>
    <w:p w:rsidR="007564F4" w:rsidRDefault="007564F4" w:rsidP="007564F4">
      <w:pPr>
        <w:pStyle w:val="Brdtekst"/>
        <w:tabs>
          <w:tab w:val="left" w:pos="851"/>
        </w:tabs>
        <w:ind w:left="851"/>
        <w:rPr>
          <w:sz w:val="24"/>
          <w:szCs w:val="24"/>
          <w:lang w:val="da-DK"/>
        </w:rPr>
      </w:pPr>
      <w:r w:rsidRPr="00D23352">
        <w:rPr>
          <w:i/>
          <w:sz w:val="24"/>
          <w:szCs w:val="24"/>
          <w:lang w:val="da-DK"/>
        </w:rPr>
        <w:t>Nedsat nyrefunktion</w:t>
      </w:r>
    </w:p>
    <w:p w:rsidR="007564F4" w:rsidRPr="00D23352" w:rsidRDefault="007564F4" w:rsidP="00B0027B">
      <w:pPr>
        <w:pStyle w:val="Brdtekst"/>
        <w:widowControl/>
        <w:tabs>
          <w:tab w:val="left" w:pos="851"/>
        </w:tabs>
        <w:ind w:left="851"/>
        <w:rPr>
          <w:sz w:val="24"/>
          <w:szCs w:val="24"/>
          <w:lang w:val="da-DK"/>
        </w:rPr>
      </w:pPr>
      <w:r w:rsidRPr="00D23352">
        <w:rPr>
          <w:sz w:val="24"/>
          <w:szCs w:val="24"/>
          <w:lang w:val="da-DK"/>
        </w:rPr>
        <w:t xml:space="preserve">Da emtricitabin/tenofovirdisoproxil kan foråsage nyreskader, anbefales monitorering af nyrefunktionen (se pkt. 4.4). Proksimal renal tubulopati gik generelt væk eller blev bedre efter seponering af tenofovirdisoproxil. Hos nogle HIV 1-inficerede patienter returnerede kreatininclearance imidlertid ikke helt til </w:t>
      </w:r>
      <w:r w:rsidRPr="00D23352">
        <w:rPr>
          <w:i/>
          <w:sz w:val="24"/>
          <w:szCs w:val="24"/>
          <w:lang w:val="da-DK"/>
        </w:rPr>
        <w:t>baseline</w:t>
      </w:r>
      <w:r w:rsidRPr="00D23352">
        <w:rPr>
          <w:sz w:val="24"/>
          <w:szCs w:val="24"/>
          <w:lang w:val="da-DK"/>
        </w:rPr>
        <w:t xml:space="preserve">-niveauet, trods seponering af tenofovirdisoproxil. Patienter med risiko for nedsat nyrefunktion (såsom patienter med renale risikofaktorer ved </w:t>
      </w:r>
      <w:r w:rsidRPr="00D23352">
        <w:rPr>
          <w:i/>
          <w:sz w:val="24"/>
          <w:szCs w:val="24"/>
          <w:lang w:val="da-DK"/>
        </w:rPr>
        <w:t xml:space="preserve">baseline </w:t>
      </w:r>
      <w:r w:rsidRPr="00D23352">
        <w:rPr>
          <w:sz w:val="24"/>
          <w:szCs w:val="24"/>
          <w:lang w:val="da-DK"/>
        </w:rPr>
        <w:t>eller fremskreden HIV-sygdom eller patienter, der samtidig fik nefrotoksiske lægemidler) har en øget risiko for at opleve en ufuldstændig bedring af nyrefunktionen, trods seponering af tenofovirdisoproxil (se pkt. 4.4).</w:t>
      </w:r>
    </w:p>
    <w:p w:rsidR="007564F4" w:rsidRPr="00D23352" w:rsidRDefault="007564F4" w:rsidP="007564F4">
      <w:pPr>
        <w:pStyle w:val="Brdtekst"/>
        <w:tabs>
          <w:tab w:val="left" w:pos="851"/>
        </w:tabs>
        <w:ind w:left="851"/>
        <w:rPr>
          <w:sz w:val="24"/>
          <w:szCs w:val="24"/>
          <w:lang w:val="da-DK"/>
        </w:rPr>
      </w:pPr>
    </w:p>
    <w:p w:rsidR="00B0027B" w:rsidRDefault="00B0027B" w:rsidP="00B0027B">
      <w:pPr>
        <w:pStyle w:val="Brdtekst"/>
        <w:tabs>
          <w:tab w:val="left" w:pos="851"/>
        </w:tabs>
        <w:ind w:left="851"/>
        <w:rPr>
          <w:i/>
          <w:sz w:val="24"/>
          <w:szCs w:val="24"/>
          <w:lang w:val="da-DK"/>
        </w:rPr>
      </w:pPr>
      <w:r>
        <w:rPr>
          <w:i/>
          <w:sz w:val="24"/>
          <w:szCs w:val="24"/>
          <w:lang w:val="da-DK"/>
        </w:rPr>
        <w:t>Laktatacidose</w:t>
      </w:r>
    </w:p>
    <w:p w:rsidR="001755DF" w:rsidRDefault="001755DF" w:rsidP="001755DF">
      <w:pPr>
        <w:pStyle w:val="Brdtekst"/>
        <w:tabs>
          <w:tab w:val="left" w:pos="851"/>
        </w:tabs>
        <w:ind w:left="851"/>
        <w:rPr>
          <w:sz w:val="24"/>
          <w:szCs w:val="24"/>
          <w:lang w:val="da-DK"/>
        </w:rPr>
      </w:pPr>
      <w:r>
        <w:rPr>
          <w:sz w:val="24"/>
          <w:szCs w:val="24"/>
          <w:lang w:val="da-DK"/>
        </w:rPr>
        <w:t>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p>
    <w:p w:rsidR="007564F4" w:rsidRPr="00D23352" w:rsidRDefault="007564F4" w:rsidP="007564F4">
      <w:pPr>
        <w:pStyle w:val="Brdtekst"/>
        <w:tabs>
          <w:tab w:val="left" w:pos="851"/>
        </w:tabs>
        <w:ind w:left="851"/>
        <w:rPr>
          <w:sz w:val="24"/>
          <w:szCs w:val="24"/>
          <w:lang w:val="da-DK"/>
        </w:rPr>
      </w:pPr>
    </w:p>
    <w:p w:rsidR="007564F4" w:rsidRDefault="007564F4" w:rsidP="007564F4">
      <w:pPr>
        <w:pStyle w:val="Brdtekst"/>
        <w:tabs>
          <w:tab w:val="left" w:pos="851"/>
        </w:tabs>
        <w:ind w:left="851"/>
        <w:rPr>
          <w:i/>
          <w:sz w:val="24"/>
          <w:szCs w:val="24"/>
          <w:lang w:val="da-DK"/>
        </w:rPr>
      </w:pPr>
      <w:r>
        <w:rPr>
          <w:i/>
          <w:sz w:val="24"/>
          <w:szCs w:val="24"/>
          <w:lang w:val="da-DK"/>
        </w:rPr>
        <w:t>Metaboliske parametre</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Kropsvægt og niveauerne af lipid og glucose i blodet kan stige under antiretroviral behandling (se pkt. 4.4).</w:t>
      </w:r>
    </w:p>
    <w:p w:rsidR="007564F4" w:rsidRPr="00D23352" w:rsidRDefault="007564F4" w:rsidP="007564F4">
      <w:pPr>
        <w:pStyle w:val="Brdtekst"/>
        <w:tabs>
          <w:tab w:val="left" w:pos="851"/>
        </w:tabs>
        <w:ind w:left="851"/>
        <w:rPr>
          <w:sz w:val="24"/>
          <w:szCs w:val="24"/>
          <w:lang w:val="da-DK"/>
        </w:rPr>
      </w:pPr>
    </w:p>
    <w:p w:rsidR="007564F4" w:rsidRDefault="007564F4" w:rsidP="007564F4">
      <w:pPr>
        <w:pStyle w:val="Brdtekst"/>
        <w:tabs>
          <w:tab w:val="left" w:pos="851"/>
        </w:tabs>
        <w:ind w:left="851"/>
        <w:rPr>
          <w:i/>
          <w:sz w:val="24"/>
          <w:szCs w:val="24"/>
          <w:lang w:val="da-DK"/>
        </w:rPr>
      </w:pPr>
      <w:r>
        <w:rPr>
          <w:i/>
          <w:sz w:val="24"/>
          <w:szCs w:val="24"/>
          <w:lang w:val="da-DK"/>
        </w:rPr>
        <w:t>Immunreaktiveringssyndrom</w:t>
      </w:r>
    </w:p>
    <w:p w:rsidR="007564F4" w:rsidRPr="00D23352" w:rsidRDefault="001755DF" w:rsidP="001755DF">
      <w:pPr>
        <w:pStyle w:val="Brdtekst"/>
        <w:tabs>
          <w:tab w:val="left" w:pos="851"/>
        </w:tabs>
        <w:ind w:left="851"/>
        <w:rPr>
          <w:sz w:val="24"/>
          <w:szCs w:val="24"/>
          <w:lang w:val="da-DK"/>
        </w:rPr>
      </w:pPr>
      <w:r w:rsidRPr="00D23352">
        <w:rPr>
          <w:sz w:val="24"/>
          <w:szCs w:val="24"/>
          <w:lang w:val="da-DK"/>
        </w:rPr>
        <w:t>Hos HIV-inficerede patienter med svær immuninsufficiens kan der ved påbegyndelse af CART opstå en inflammatorisk reaktion på asymptomatiske eller residuale opportunistiske infektioner. Autoimmune lidelser (såsom Graves sygdom</w:t>
      </w:r>
      <w:r>
        <w:rPr>
          <w:sz w:val="24"/>
          <w:szCs w:val="24"/>
          <w:lang w:val="da-DK"/>
        </w:rPr>
        <w:t xml:space="preserve"> </w:t>
      </w:r>
      <w:r w:rsidRPr="00CC77A2">
        <w:rPr>
          <w:sz w:val="24"/>
          <w:szCs w:val="24"/>
          <w:lang w:val="da-DK"/>
        </w:rPr>
        <w:t>og autoimmun hepatitis</w:t>
      </w:r>
      <w:r w:rsidRPr="00D23352">
        <w:rPr>
          <w:sz w:val="24"/>
          <w:szCs w:val="24"/>
          <w:lang w:val="da-DK"/>
        </w:rPr>
        <w:t>) er også set; tiden til udbrud er mere variabel og kan være mange måneder efter initiering af behandling (se pkt. 4.4).</w:t>
      </w:r>
    </w:p>
    <w:p w:rsidR="007564F4" w:rsidRPr="00D23352" w:rsidRDefault="007564F4" w:rsidP="007564F4">
      <w:pPr>
        <w:pStyle w:val="Brdtekst"/>
        <w:tabs>
          <w:tab w:val="left" w:pos="851"/>
        </w:tabs>
        <w:ind w:left="851"/>
        <w:rPr>
          <w:sz w:val="24"/>
          <w:szCs w:val="24"/>
          <w:lang w:val="da-DK"/>
        </w:rPr>
      </w:pPr>
    </w:p>
    <w:p w:rsidR="007564F4" w:rsidRDefault="007564F4" w:rsidP="007564F4">
      <w:pPr>
        <w:pStyle w:val="Brdtekst"/>
        <w:tabs>
          <w:tab w:val="left" w:pos="851"/>
        </w:tabs>
        <w:ind w:left="851"/>
        <w:rPr>
          <w:i/>
          <w:sz w:val="24"/>
          <w:szCs w:val="24"/>
          <w:lang w:val="da-DK"/>
        </w:rPr>
      </w:pPr>
      <w:r>
        <w:rPr>
          <w:i/>
          <w:sz w:val="24"/>
          <w:szCs w:val="24"/>
          <w:lang w:val="da-DK"/>
        </w:rPr>
        <w:t>Osteonekrose</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Tilfælde af osteonekrose er rapporteret, specielt hos patienter med generelt anerkendte risikofaktorer, fremskreden HIV-sygdom eller langvarig CART. Hyppigheden er ukendt (se pkt. 4.4).</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Pædiatrisk population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Vurderingen af bivirkninger i forbindelse med emtricitabin er baseret på erfaringer fra tre pædiatriske studier (n = 169), hvor behandlingsnaive (n = 123) og behandlingserfarne (n = 46) pædiatriske HIV- inficerede patienter i alderen 4 måneder til 18 år blev behandlet med emtricitabin i kombination med andre antiretrovirale stoffer. Udover de bivirkninger, der blev rapporteret hos voksne, forekom anæmi (9,5</w:t>
      </w:r>
      <w:r>
        <w:rPr>
          <w:sz w:val="24"/>
          <w:szCs w:val="24"/>
          <w:lang w:val="da-DK"/>
        </w:rPr>
        <w:t xml:space="preserve"> %</w:t>
      </w:r>
      <w:r w:rsidRPr="00D23352">
        <w:rPr>
          <w:sz w:val="24"/>
          <w:szCs w:val="24"/>
          <w:lang w:val="da-DK"/>
        </w:rPr>
        <w:t>) og misfarvning af huden (31,8</w:t>
      </w:r>
      <w:r>
        <w:rPr>
          <w:sz w:val="24"/>
          <w:szCs w:val="24"/>
          <w:lang w:val="da-DK"/>
        </w:rPr>
        <w:t xml:space="preserve"> %</w:t>
      </w:r>
      <w:r w:rsidRPr="00D23352">
        <w:rPr>
          <w:sz w:val="24"/>
          <w:szCs w:val="24"/>
          <w:lang w:val="da-DK"/>
        </w:rPr>
        <w:t>) hyppigere hos pædiatriske patienter end hos voksne i de kliniske studier (se pkt. 4.8, Tabel over bivirkninger).</w:t>
      </w:r>
    </w:p>
    <w:p w:rsidR="007564F4" w:rsidRPr="00D23352" w:rsidRDefault="007564F4" w:rsidP="007564F4">
      <w:pPr>
        <w:tabs>
          <w:tab w:val="left" w:pos="851"/>
        </w:tabs>
        <w:ind w:left="851"/>
        <w:rPr>
          <w:sz w:val="24"/>
          <w:szCs w:val="24"/>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 xml:space="preserve">Vurderingen af bivirkninger i forbindelse med tenofovirdisoproxil er baseret på to randomiserede studier (studierne GS-US-104-0321 og GS-US-104-0352) hos 184 HIV 1-inficerede pædiatriske patienter (2 år til &lt; 18 år), som fik behandling med tenofovirdisoproxil (n = 93) eller placebo/aktiv komparator (n = 91) i kombination med andre antiretrovirale stoffer i 48 uger (se pkt. 5.1). De bivirkninger, der blev observeret hos pædiatriske patienter, som fik tenofovirdisoproxil, svarede til dem, der blev observeret i kliniske studier af tenofovirdisoproxil hos voksne (se pkt. 4.8 Tabel over bivirkninger og </w:t>
      </w:r>
      <w:r w:rsidRPr="00D23352">
        <w:rPr>
          <w:sz w:val="24"/>
          <w:szCs w:val="24"/>
          <w:lang w:val="da-DK"/>
        </w:rPr>
        <w:lastRenderedPageBreak/>
        <w:t>5.1).</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lang w:val="da-DK"/>
        </w:rPr>
        <w:t xml:space="preserve">Nedsat BMD er blevet rapporteret hos pædiatriske patienter. Hos </w:t>
      </w:r>
      <w:r w:rsidRPr="00D23352">
        <w:rPr>
          <w:spacing w:val="-2"/>
          <w:sz w:val="24"/>
          <w:szCs w:val="24"/>
          <w:lang w:val="da-DK"/>
        </w:rPr>
        <w:t xml:space="preserve">HIV </w:t>
      </w:r>
      <w:r w:rsidRPr="00D23352">
        <w:rPr>
          <w:sz w:val="24"/>
          <w:szCs w:val="24"/>
          <w:lang w:val="da-DK"/>
        </w:rPr>
        <w:t>1-inficerede unge (12</w:t>
      </w:r>
      <w:r w:rsidRPr="00D23352">
        <w:rPr>
          <w:spacing w:val="-22"/>
          <w:sz w:val="24"/>
          <w:szCs w:val="24"/>
          <w:lang w:val="da-DK"/>
        </w:rPr>
        <w:t xml:space="preserve"> </w:t>
      </w:r>
      <w:r w:rsidRPr="00D23352">
        <w:rPr>
          <w:sz w:val="24"/>
          <w:szCs w:val="24"/>
          <w:lang w:val="da-DK"/>
        </w:rPr>
        <w:t xml:space="preserve">til &lt; 18 år) var de observerede BMD Z-scorer hos de forsøgspersoner, som fik tenofovirdisoproxil, lavere end hos de forsøgspersoner, der fik placebo. Hos </w:t>
      </w:r>
      <w:r w:rsidRPr="00D23352">
        <w:rPr>
          <w:spacing w:val="-2"/>
          <w:sz w:val="24"/>
          <w:szCs w:val="24"/>
          <w:lang w:val="da-DK"/>
        </w:rPr>
        <w:t xml:space="preserve">HIV </w:t>
      </w:r>
      <w:r w:rsidRPr="00D23352">
        <w:rPr>
          <w:sz w:val="24"/>
          <w:szCs w:val="24"/>
          <w:lang w:val="da-DK"/>
        </w:rPr>
        <w:t>1-inficerede børn (2-15 år) var de observerede BMD Z-scorer hos de forsøgspersoner, der skiftede til tenofovirdisoproxil, lavere end hos de forsøgspersoner, der fortsatte med et regime indeholdende stavudin eller zidovudin (se pkt.</w:t>
      </w:r>
      <w:r w:rsidRPr="00D23352">
        <w:rPr>
          <w:spacing w:val="-13"/>
          <w:sz w:val="24"/>
          <w:szCs w:val="24"/>
          <w:lang w:val="da-DK"/>
        </w:rPr>
        <w:t xml:space="preserve"> </w:t>
      </w:r>
      <w:r w:rsidRPr="00D23352">
        <w:rPr>
          <w:sz w:val="24"/>
          <w:szCs w:val="24"/>
          <w:lang w:val="da-DK"/>
        </w:rPr>
        <w:t>4.4 og 5.1).</w:t>
      </w:r>
    </w:p>
    <w:p w:rsidR="007564F4" w:rsidRPr="00D23352" w:rsidRDefault="007564F4" w:rsidP="007564F4">
      <w:pPr>
        <w:pStyle w:val="Brdtekst"/>
        <w:tabs>
          <w:tab w:val="left" w:pos="851"/>
        </w:tabs>
        <w:ind w:left="851"/>
        <w:rPr>
          <w:sz w:val="24"/>
          <w:szCs w:val="24"/>
          <w:lang w:val="da-DK"/>
        </w:rPr>
      </w:pPr>
    </w:p>
    <w:p w:rsidR="001755DF" w:rsidRPr="00D23352" w:rsidRDefault="001755DF" w:rsidP="001755DF">
      <w:pPr>
        <w:pStyle w:val="Brdtekst"/>
        <w:widowControl/>
        <w:tabs>
          <w:tab w:val="left" w:pos="851"/>
        </w:tabs>
        <w:ind w:left="851"/>
        <w:rPr>
          <w:sz w:val="24"/>
          <w:szCs w:val="24"/>
          <w:lang w:val="da-DK"/>
        </w:rPr>
      </w:pPr>
      <w:r w:rsidRPr="00D23352">
        <w:rPr>
          <w:sz w:val="24"/>
          <w:szCs w:val="24"/>
          <w:lang w:val="da-DK"/>
        </w:rPr>
        <w:t>I studiet GS-US-104-0352 blev 89 HIV 1-inficerede pædiatriske patienter med en medianalder på 7 år (2-15 år) eksponeret for tenofovirdisoproxil i en median periode på 33</w:t>
      </w:r>
      <w:r>
        <w:rPr>
          <w:sz w:val="24"/>
          <w:szCs w:val="24"/>
          <w:lang w:val="da-DK"/>
        </w:rPr>
        <w:t>1</w:t>
      </w:r>
      <w:r w:rsidRPr="00D23352">
        <w:rPr>
          <w:sz w:val="24"/>
          <w:szCs w:val="24"/>
          <w:lang w:val="da-DK"/>
        </w:rPr>
        <w:t xml:space="preserve"> uger. </w:t>
      </w:r>
      <w:r w:rsidRPr="007A666A">
        <w:rPr>
          <w:sz w:val="24"/>
          <w:szCs w:val="24"/>
          <w:lang w:val="da-DK"/>
        </w:rPr>
        <w:t xml:space="preserve">Otte </w:t>
      </w:r>
      <w:r w:rsidRPr="00D23352">
        <w:rPr>
          <w:sz w:val="24"/>
          <w:szCs w:val="24"/>
          <w:lang w:val="da-DK"/>
        </w:rPr>
        <w:t xml:space="preserve">af de 89 patienter </w:t>
      </w:r>
      <w:r>
        <w:rPr>
          <w:sz w:val="24"/>
          <w:szCs w:val="24"/>
          <w:lang w:val="da-DK"/>
        </w:rPr>
        <w:t xml:space="preserve">(9,0%) </w:t>
      </w:r>
      <w:r w:rsidRPr="00D23352">
        <w:rPr>
          <w:sz w:val="24"/>
          <w:szCs w:val="24"/>
          <w:lang w:val="da-DK"/>
        </w:rPr>
        <w:t xml:space="preserve">seponerede </w:t>
      </w:r>
      <w:r w:rsidRPr="007A666A">
        <w:rPr>
          <w:sz w:val="24"/>
          <w:szCs w:val="24"/>
          <w:lang w:val="da-DK"/>
        </w:rPr>
        <w:t>studiemedicinen</w:t>
      </w:r>
      <w:r w:rsidRPr="007A666A">
        <w:rPr>
          <w:lang w:val="da-DK"/>
        </w:rPr>
        <w:t xml:space="preserve"> </w:t>
      </w:r>
      <w:r w:rsidRPr="00D23352">
        <w:rPr>
          <w:sz w:val="24"/>
          <w:szCs w:val="24"/>
          <w:lang w:val="da-DK"/>
        </w:rPr>
        <w:t xml:space="preserve">på grund af </w:t>
      </w:r>
      <w:r w:rsidRPr="009B18E0">
        <w:rPr>
          <w:sz w:val="24"/>
          <w:szCs w:val="24"/>
          <w:lang w:val="da-DK"/>
        </w:rPr>
        <w:t>nyre</w:t>
      </w:r>
      <w:r w:rsidRPr="00D23352">
        <w:rPr>
          <w:sz w:val="24"/>
          <w:szCs w:val="24"/>
          <w:lang w:val="da-DK"/>
        </w:rPr>
        <w:t>bivirkninger</w:t>
      </w:r>
      <w:r>
        <w:rPr>
          <w:sz w:val="24"/>
          <w:szCs w:val="24"/>
          <w:lang w:val="da-DK"/>
        </w:rPr>
        <w:t xml:space="preserve">. </w:t>
      </w:r>
      <w:r w:rsidRPr="00740F89">
        <w:rPr>
          <w:sz w:val="24"/>
          <w:szCs w:val="24"/>
          <w:lang w:val="da-DK"/>
        </w:rPr>
        <w:t>Fem forsøgsdeltagere (5,6 %) havde laboratoriefund</w:t>
      </w:r>
      <w:r w:rsidRPr="00D23352">
        <w:rPr>
          <w:sz w:val="24"/>
          <w:szCs w:val="24"/>
          <w:lang w:val="da-DK"/>
        </w:rPr>
        <w:t xml:space="preserve">, der var </w:t>
      </w:r>
      <w:r>
        <w:rPr>
          <w:sz w:val="24"/>
          <w:szCs w:val="24"/>
          <w:lang w:val="da-DK"/>
        </w:rPr>
        <w:t>klinisk</w:t>
      </w:r>
      <w:r w:rsidRPr="00D23352">
        <w:rPr>
          <w:sz w:val="24"/>
          <w:szCs w:val="24"/>
          <w:lang w:val="da-DK"/>
        </w:rPr>
        <w:t xml:space="preserve"> overensstemme</w:t>
      </w:r>
      <w:r>
        <w:rPr>
          <w:sz w:val="24"/>
          <w:szCs w:val="24"/>
          <w:lang w:val="da-DK"/>
        </w:rPr>
        <w:t>nde</w:t>
      </w:r>
      <w:r w:rsidRPr="00D23352">
        <w:rPr>
          <w:sz w:val="24"/>
          <w:szCs w:val="24"/>
          <w:lang w:val="da-DK"/>
        </w:rPr>
        <w:t xml:space="preserve"> med proksimal renal tubulopati</w:t>
      </w:r>
      <w:r>
        <w:rPr>
          <w:sz w:val="24"/>
          <w:szCs w:val="24"/>
          <w:lang w:val="da-DK"/>
        </w:rPr>
        <w:t xml:space="preserve">, </w:t>
      </w:r>
      <w:r w:rsidRPr="00A23010">
        <w:rPr>
          <w:sz w:val="24"/>
          <w:szCs w:val="24"/>
          <w:lang w:val="da-DK"/>
        </w:rPr>
        <w:t>og 4 af disse seponerede behandlingen med tenofovirdisoproxil</w:t>
      </w:r>
      <w:r w:rsidRPr="00D23352">
        <w:rPr>
          <w:sz w:val="24"/>
          <w:szCs w:val="24"/>
          <w:lang w:val="da-DK"/>
        </w:rPr>
        <w:t>. 7 patienter havde en estimeret glomerulær filtrationshastighed (GFR) mellem 70 og 90 ml/min/1,73 m</w:t>
      </w:r>
      <w:r w:rsidRPr="00D23352">
        <w:rPr>
          <w:position w:val="8"/>
          <w:sz w:val="24"/>
          <w:szCs w:val="24"/>
          <w:lang w:val="da-DK"/>
        </w:rPr>
        <w:t>2</w:t>
      </w:r>
      <w:r w:rsidRPr="00D23352">
        <w:rPr>
          <w:sz w:val="24"/>
          <w:szCs w:val="24"/>
          <w:lang w:val="da-DK"/>
        </w:rPr>
        <w:t xml:space="preserve">. Under behandlingen oplevede </w:t>
      </w:r>
      <w:r>
        <w:rPr>
          <w:sz w:val="24"/>
          <w:szCs w:val="24"/>
          <w:lang w:val="da-DK"/>
        </w:rPr>
        <w:t>3</w:t>
      </w:r>
      <w:r w:rsidRPr="00D23352">
        <w:rPr>
          <w:sz w:val="24"/>
          <w:szCs w:val="24"/>
          <w:lang w:val="da-DK"/>
        </w:rPr>
        <w:t xml:space="preserve"> af disse patienter et klinisk betydningsfuldt fald i estimeret GFR, som blev forbedret efter seponering af tenofovirdisoproxil.</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Andre særlige populationer</w:t>
      </w:r>
    </w:p>
    <w:p w:rsidR="007564F4" w:rsidRPr="00D23352" w:rsidRDefault="007564F4" w:rsidP="007564F4">
      <w:pPr>
        <w:pStyle w:val="Brdtekst"/>
        <w:tabs>
          <w:tab w:val="left" w:pos="851"/>
        </w:tabs>
        <w:ind w:left="851"/>
        <w:rPr>
          <w:sz w:val="24"/>
          <w:szCs w:val="24"/>
          <w:lang w:val="da-DK"/>
        </w:rPr>
      </w:pPr>
    </w:p>
    <w:p w:rsidR="007564F4" w:rsidRDefault="007564F4" w:rsidP="007564F4">
      <w:pPr>
        <w:pStyle w:val="Brdtekst"/>
        <w:tabs>
          <w:tab w:val="left" w:pos="851"/>
        </w:tabs>
        <w:ind w:left="851"/>
        <w:rPr>
          <w:i/>
          <w:sz w:val="24"/>
          <w:szCs w:val="24"/>
          <w:lang w:val="da-DK"/>
        </w:rPr>
      </w:pPr>
      <w:r w:rsidRPr="00D23352">
        <w:rPr>
          <w:i/>
          <w:sz w:val="24"/>
          <w:szCs w:val="24"/>
          <w:lang w:val="da-DK"/>
        </w:rPr>
        <w:t>P</w:t>
      </w:r>
      <w:r>
        <w:rPr>
          <w:i/>
          <w:sz w:val="24"/>
          <w:szCs w:val="24"/>
          <w:lang w:val="da-DK"/>
        </w:rPr>
        <w:t>ersoner med nedsat nyrefunktion</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Da tenofovirdisoproxil kan forårsage nefrotoksicitet, anbefales tæt monitorering af nyrefunktionen hos alle voksne med nedsat nyrefunktion, som får emtricitabin/tenofovirdisoproxil (se pkt. 4.2, 4.4 og 5.2). Emtricitabin/tenofovirdisoproxil frarådes hos personer under 18 år med nedsat nyrefunktion (se pkt. 4.2 og 4.4).</w:t>
      </w:r>
    </w:p>
    <w:p w:rsidR="007564F4" w:rsidRPr="00D23352" w:rsidRDefault="007564F4" w:rsidP="007564F4">
      <w:pPr>
        <w:pStyle w:val="Brdtekst"/>
        <w:tabs>
          <w:tab w:val="left" w:pos="851"/>
        </w:tabs>
        <w:ind w:left="851"/>
        <w:rPr>
          <w:sz w:val="24"/>
          <w:szCs w:val="24"/>
          <w:lang w:val="da-DK"/>
        </w:rPr>
      </w:pPr>
    </w:p>
    <w:p w:rsidR="007564F4" w:rsidRDefault="007564F4" w:rsidP="007564F4">
      <w:pPr>
        <w:pStyle w:val="Brdtekst"/>
        <w:tabs>
          <w:tab w:val="left" w:pos="851"/>
        </w:tabs>
        <w:ind w:left="851"/>
        <w:rPr>
          <w:i/>
          <w:sz w:val="24"/>
          <w:szCs w:val="24"/>
          <w:lang w:val="da-DK"/>
        </w:rPr>
      </w:pPr>
      <w:r w:rsidRPr="00D23352">
        <w:rPr>
          <w:i/>
          <w:sz w:val="24"/>
          <w:szCs w:val="24"/>
          <w:lang w:val="da-DK"/>
        </w:rPr>
        <w:t>Patienter, som både er inficerede med HIV/HBV eller HCV</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I studie GS-01-934 lignede bivirkningsprofilen for emtricitabin og tenofovirdisoproxil hos et begrænset antal HIV-inficerede patienter, der samtidig var inficeret med HBV (n = 13) eller HCV (n = 26), bivirkningsprofilen hos patienter, som kun er inficerede med HIV. Som det kunne forventes, forekom stigninger i ASAT og ALAT dog hyppigere hos denne patientpopulation end i den generelle HIV-inficerede population.</w:t>
      </w:r>
    </w:p>
    <w:p w:rsidR="007564F4" w:rsidRPr="00D23352" w:rsidRDefault="007564F4" w:rsidP="007564F4">
      <w:pPr>
        <w:pStyle w:val="Brdtekst"/>
        <w:tabs>
          <w:tab w:val="left" w:pos="851"/>
        </w:tabs>
        <w:ind w:left="851"/>
        <w:rPr>
          <w:sz w:val="24"/>
          <w:szCs w:val="24"/>
          <w:lang w:val="da-DK"/>
        </w:rPr>
      </w:pPr>
    </w:p>
    <w:p w:rsidR="007564F4" w:rsidRDefault="007564F4" w:rsidP="007564F4">
      <w:pPr>
        <w:tabs>
          <w:tab w:val="left" w:pos="851"/>
        </w:tabs>
        <w:ind w:left="851"/>
        <w:jc w:val="both"/>
        <w:rPr>
          <w:i/>
          <w:sz w:val="24"/>
          <w:szCs w:val="24"/>
        </w:rPr>
      </w:pPr>
      <w:r w:rsidRPr="00D23352">
        <w:rPr>
          <w:i/>
          <w:sz w:val="24"/>
          <w:szCs w:val="24"/>
        </w:rPr>
        <w:t>Hepatitis-eksacerbationer efter seponering af behandling</w:t>
      </w:r>
    </w:p>
    <w:p w:rsidR="007564F4" w:rsidRPr="00D23352" w:rsidRDefault="007564F4" w:rsidP="007564F4">
      <w:pPr>
        <w:tabs>
          <w:tab w:val="left" w:pos="851"/>
        </w:tabs>
        <w:ind w:left="851"/>
        <w:jc w:val="both"/>
        <w:rPr>
          <w:sz w:val="24"/>
          <w:szCs w:val="24"/>
        </w:rPr>
      </w:pPr>
      <w:r w:rsidRPr="00D23352">
        <w:rPr>
          <w:sz w:val="24"/>
          <w:szCs w:val="24"/>
        </w:rPr>
        <w:t>Hos HBV-inficerede patienter er der forekommet klinisk og laboratoriemæssig evidens for hepatitis efter seponering af behandlingen (se pkt. 4.4).</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pStyle w:val="Brdtekst"/>
        <w:tabs>
          <w:tab w:val="left" w:pos="851"/>
        </w:tabs>
        <w:ind w:left="851"/>
        <w:rPr>
          <w:sz w:val="24"/>
          <w:szCs w:val="24"/>
          <w:lang w:val="da-DK"/>
        </w:rPr>
      </w:pPr>
      <w:r w:rsidRPr="00D23352">
        <w:rPr>
          <w:sz w:val="24"/>
          <w:szCs w:val="24"/>
          <w:u w:val="single"/>
          <w:lang w:val="da-DK"/>
        </w:rPr>
        <w:t>Indberetning af formodede bivirkninger</w:t>
      </w:r>
    </w:p>
    <w:p w:rsidR="007564F4" w:rsidRPr="00D23352" w:rsidRDefault="007564F4" w:rsidP="007564F4">
      <w:pPr>
        <w:pStyle w:val="Brdtekst"/>
        <w:tabs>
          <w:tab w:val="left" w:pos="851"/>
        </w:tabs>
        <w:ind w:left="851"/>
        <w:rPr>
          <w:sz w:val="24"/>
          <w:szCs w:val="24"/>
          <w:lang w:val="da-DK"/>
        </w:rPr>
      </w:pPr>
      <w:r w:rsidRPr="00D23352">
        <w:rPr>
          <w:sz w:val="24"/>
          <w:szCs w:val="24"/>
          <w:lang w:val="da-DK"/>
        </w:rPr>
        <w:t xml:space="preserve">Når lægemidlet er godkendt, er indberetning af formodede bivirkninger vigtig. Det muliggør løbende overvågning af benefit/risk-forholdet for lægemidlet. </w:t>
      </w:r>
      <w:r w:rsidR="00B0027B">
        <w:rPr>
          <w:sz w:val="24"/>
          <w:szCs w:val="24"/>
          <w:lang w:val="da-DK"/>
        </w:rPr>
        <w:t>S</w:t>
      </w:r>
      <w:r w:rsidRPr="00D23352">
        <w:rPr>
          <w:sz w:val="24"/>
          <w:szCs w:val="24"/>
          <w:lang w:val="da-DK"/>
        </w:rPr>
        <w:t>undhedsperson</w:t>
      </w:r>
      <w:r w:rsidR="00B0027B">
        <w:rPr>
          <w:sz w:val="24"/>
          <w:szCs w:val="24"/>
          <w:lang w:val="da-DK"/>
        </w:rPr>
        <w:t>er</w:t>
      </w:r>
      <w:r w:rsidRPr="00D23352">
        <w:rPr>
          <w:sz w:val="24"/>
          <w:szCs w:val="24"/>
          <w:lang w:val="da-DK"/>
        </w:rPr>
        <w:t xml:space="preserve"> anmodes om at indberette alle formodede bivirkninger via:</w:t>
      </w:r>
    </w:p>
    <w:p w:rsidR="007564F4" w:rsidRPr="00D23352" w:rsidRDefault="007564F4" w:rsidP="007564F4">
      <w:pPr>
        <w:pStyle w:val="Brdtekst"/>
        <w:tabs>
          <w:tab w:val="left" w:pos="851"/>
        </w:tabs>
        <w:ind w:left="851"/>
        <w:rPr>
          <w:sz w:val="24"/>
          <w:szCs w:val="24"/>
          <w:lang w:val="da-DK"/>
        </w:rPr>
      </w:pPr>
    </w:p>
    <w:p w:rsidR="007564F4" w:rsidRPr="00D23352" w:rsidRDefault="007564F4" w:rsidP="007564F4">
      <w:pPr>
        <w:ind w:left="851"/>
        <w:rPr>
          <w:sz w:val="24"/>
          <w:szCs w:val="24"/>
        </w:rPr>
      </w:pPr>
      <w:r w:rsidRPr="00D23352">
        <w:rPr>
          <w:sz w:val="24"/>
          <w:szCs w:val="24"/>
        </w:rPr>
        <w:t>Lægemiddelstyrelsen</w:t>
      </w:r>
    </w:p>
    <w:p w:rsidR="007564F4" w:rsidRPr="00D23352" w:rsidRDefault="007564F4" w:rsidP="007564F4">
      <w:pPr>
        <w:ind w:left="851"/>
        <w:rPr>
          <w:sz w:val="24"/>
          <w:szCs w:val="24"/>
        </w:rPr>
      </w:pPr>
      <w:r w:rsidRPr="00D23352">
        <w:rPr>
          <w:sz w:val="24"/>
          <w:szCs w:val="24"/>
        </w:rPr>
        <w:t xml:space="preserve">Axel Heides Gade 1 </w:t>
      </w:r>
    </w:p>
    <w:p w:rsidR="007564F4" w:rsidRPr="00D23352" w:rsidRDefault="007564F4" w:rsidP="007564F4">
      <w:pPr>
        <w:ind w:left="851"/>
        <w:rPr>
          <w:sz w:val="24"/>
          <w:szCs w:val="24"/>
        </w:rPr>
      </w:pPr>
      <w:r w:rsidRPr="00D23352">
        <w:rPr>
          <w:sz w:val="24"/>
          <w:szCs w:val="24"/>
        </w:rPr>
        <w:t xml:space="preserve">DK-2300 København S </w:t>
      </w:r>
    </w:p>
    <w:p w:rsidR="007564F4" w:rsidRPr="00FC0124" w:rsidRDefault="007564F4" w:rsidP="007564F4">
      <w:pPr>
        <w:ind w:left="851"/>
        <w:rPr>
          <w:sz w:val="24"/>
          <w:szCs w:val="24"/>
        </w:rPr>
      </w:pPr>
      <w:r w:rsidRPr="00FC0124">
        <w:rPr>
          <w:sz w:val="24"/>
          <w:szCs w:val="24"/>
        </w:rPr>
        <w:t>Websted: www.meldenbivirkning.dk</w:t>
      </w:r>
    </w:p>
    <w:p w:rsidR="007564F4" w:rsidRPr="00FC0124" w:rsidRDefault="007564F4" w:rsidP="007564F4">
      <w:pPr>
        <w:pStyle w:val="Brdtekst"/>
        <w:tabs>
          <w:tab w:val="left" w:pos="851"/>
        </w:tabs>
        <w:ind w:left="851"/>
        <w:rPr>
          <w:sz w:val="24"/>
          <w:szCs w:val="24"/>
          <w:lang w:val="da-DK"/>
        </w:rPr>
      </w:pPr>
    </w:p>
    <w:p w:rsidR="007564F4" w:rsidRPr="00FC0124" w:rsidRDefault="007564F4" w:rsidP="007564F4">
      <w:pPr>
        <w:tabs>
          <w:tab w:val="left" w:pos="851"/>
        </w:tabs>
        <w:ind w:left="851" w:hanging="851"/>
        <w:rPr>
          <w:b/>
          <w:sz w:val="24"/>
          <w:szCs w:val="24"/>
        </w:rPr>
      </w:pPr>
      <w:r w:rsidRPr="00FC0124">
        <w:rPr>
          <w:b/>
          <w:sz w:val="24"/>
          <w:szCs w:val="24"/>
        </w:rPr>
        <w:t>4.9</w:t>
      </w:r>
      <w:r w:rsidRPr="00FC0124">
        <w:rPr>
          <w:b/>
          <w:sz w:val="24"/>
          <w:szCs w:val="24"/>
        </w:rPr>
        <w:tab/>
        <w:t>Overdosering</w:t>
      </w:r>
    </w:p>
    <w:p w:rsidR="007564F4" w:rsidRPr="005C3D55" w:rsidRDefault="007564F4" w:rsidP="007564F4">
      <w:pPr>
        <w:tabs>
          <w:tab w:val="left" w:pos="851"/>
        </w:tabs>
        <w:ind w:left="851"/>
        <w:rPr>
          <w:sz w:val="24"/>
          <w:szCs w:val="24"/>
        </w:rPr>
      </w:pPr>
      <w:r w:rsidRPr="005C3D55">
        <w:rPr>
          <w:sz w:val="24"/>
          <w:szCs w:val="24"/>
        </w:rPr>
        <w:t>I tilfælde af overdosering skal personen monitoreres for tegn på toksicitet (se pkt. 4.8), og der skal gives understøttende standardbehandling efter behov.</w:t>
      </w:r>
    </w:p>
    <w:p w:rsidR="007564F4" w:rsidRPr="005C3D55" w:rsidRDefault="007564F4" w:rsidP="007564F4">
      <w:pPr>
        <w:tabs>
          <w:tab w:val="left" w:pos="851"/>
        </w:tabs>
        <w:ind w:left="851"/>
        <w:rPr>
          <w:sz w:val="24"/>
          <w:szCs w:val="24"/>
        </w:rPr>
      </w:pPr>
    </w:p>
    <w:p w:rsidR="007564F4" w:rsidRPr="005C3D55" w:rsidRDefault="007564F4" w:rsidP="007564F4">
      <w:pPr>
        <w:tabs>
          <w:tab w:val="left" w:pos="851"/>
        </w:tabs>
        <w:ind w:left="851"/>
        <w:rPr>
          <w:sz w:val="24"/>
          <w:szCs w:val="24"/>
        </w:rPr>
      </w:pPr>
      <w:r w:rsidRPr="005C3D55">
        <w:rPr>
          <w:sz w:val="24"/>
          <w:szCs w:val="24"/>
        </w:rPr>
        <w:t>Op til 30 % af emtricitabindosen og cirka 10 % af tenofovirdosen kan fjernes ved hæmodialyse. Det vides ikke, om emtricitabin eller tenofovir kan fjernes ved peritonealdialyse.</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4.10</w:t>
      </w:r>
      <w:r w:rsidRPr="00071814">
        <w:rPr>
          <w:b/>
          <w:sz w:val="24"/>
          <w:szCs w:val="24"/>
        </w:rPr>
        <w:tab/>
        <w:t>Udlevering</w:t>
      </w:r>
    </w:p>
    <w:p w:rsidR="007564F4" w:rsidRPr="00071814" w:rsidRDefault="007564F4" w:rsidP="007564F4">
      <w:pPr>
        <w:tabs>
          <w:tab w:val="left" w:pos="851"/>
        </w:tabs>
        <w:ind w:left="851"/>
        <w:rPr>
          <w:sz w:val="24"/>
          <w:szCs w:val="24"/>
        </w:rPr>
      </w:pPr>
      <w:r>
        <w:rPr>
          <w:sz w:val="24"/>
          <w:szCs w:val="24"/>
        </w:rPr>
        <w:t>BEGR (kun til sygehuse)</w:t>
      </w:r>
    </w:p>
    <w:p w:rsidR="007564F4" w:rsidRDefault="007564F4" w:rsidP="007564F4">
      <w:pPr>
        <w:rPr>
          <w:sz w:val="24"/>
          <w:szCs w:val="24"/>
        </w:rPr>
      </w:pPr>
    </w:p>
    <w:p w:rsidR="007564F4" w:rsidRPr="00071814" w:rsidRDefault="007564F4" w:rsidP="007564F4">
      <w:pPr>
        <w:tabs>
          <w:tab w:val="left" w:pos="851"/>
        </w:tabs>
        <w:ind w:left="851"/>
        <w:rPr>
          <w:sz w:val="24"/>
          <w:szCs w:val="24"/>
        </w:rPr>
      </w:pPr>
    </w:p>
    <w:p w:rsidR="007564F4" w:rsidRPr="00071814" w:rsidRDefault="007564F4" w:rsidP="00C730E8">
      <w:pPr>
        <w:keepNext/>
        <w:tabs>
          <w:tab w:val="left" w:pos="851"/>
        </w:tabs>
        <w:ind w:left="851" w:hanging="851"/>
        <w:rPr>
          <w:b/>
          <w:sz w:val="24"/>
          <w:szCs w:val="24"/>
        </w:rPr>
      </w:pPr>
      <w:r w:rsidRPr="00071814">
        <w:rPr>
          <w:b/>
          <w:sz w:val="24"/>
          <w:szCs w:val="24"/>
        </w:rPr>
        <w:t>5.</w:t>
      </w:r>
      <w:r w:rsidRPr="00071814">
        <w:rPr>
          <w:b/>
          <w:sz w:val="24"/>
          <w:szCs w:val="24"/>
        </w:rPr>
        <w:tab/>
        <w:t>FARMAKOLOGISKE EGENSKABER</w:t>
      </w:r>
    </w:p>
    <w:p w:rsidR="007564F4" w:rsidRPr="00071814" w:rsidRDefault="007564F4" w:rsidP="00C730E8">
      <w:pPr>
        <w:keepNext/>
        <w:tabs>
          <w:tab w:val="left" w:pos="851"/>
        </w:tabs>
        <w:ind w:left="851"/>
        <w:rPr>
          <w:sz w:val="24"/>
          <w:szCs w:val="24"/>
        </w:rPr>
      </w:pPr>
    </w:p>
    <w:p w:rsidR="00C730E8" w:rsidRPr="004B15A2" w:rsidRDefault="007564F4" w:rsidP="004B15A2">
      <w:pPr>
        <w:keepNext/>
        <w:tabs>
          <w:tab w:val="num" w:pos="851"/>
        </w:tabs>
        <w:ind w:left="851" w:hanging="851"/>
        <w:rPr>
          <w:b/>
          <w:sz w:val="24"/>
          <w:szCs w:val="24"/>
        </w:rPr>
      </w:pPr>
      <w:r w:rsidRPr="00071814">
        <w:rPr>
          <w:b/>
          <w:sz w:val="24"/>
          <w:szCs w:val="24"/>
        </w:rPr>
        <w:t>5.1</w:t>
      </w:r>
      <w:r w:rsidRPr="00071814">
        <w:rPr>
          <w:b/>
          <w:sz w:val="24"/>
          <w:szCs w:val="24"/>
        </w:rPr>
        <w:tab/>
        <w:t>Farmakodynamiske egenskaber</w:t>
      </w:r>
    </w:p>
    <w:p w:rsidR="00C730E8" w:rsidRPr="00C730E8" w:rsidRDefault="00C730E8" w:rsidP="007564F4">
      <w:pPr>
        <w:tabs>
          <w:tab w:val="left" w:pos="851"/>
        </w:tabs>
        <w:ind w:left="851"/>
        <w:rPr>
          <w:sz w:val="24"/>
          <w:szCs w:val="24"/>
        </w:rPr>
      </w:pPr>
      <w:r w:rsidRPr="00C730E8">
        <w:rPr>
          <w:sz w:val="24"/>
          <w:szCs w:val="24"/>
        </w:rPr>
        <w:t>Farmakoterapeutisk klassifikation</w:t>
      </w:r>
      <w:r>
        <w:rPr>
          <w:sz w:val="24"/>
          <w:szCs w:val="24"/>
        </w:rPr>
        <w:t xml:space="preserve">: </w:t>
      </w:r>
      <w:r w:rsidRPr="006C6E1C">
        <w:rPr>
          <w:sz w:val="24"/>
          <w:szCs w:val="24"/>
        </w:rPr>
        <w:t>Antivirale midler til systemisk brug; anti</w:t>
      </w:r>
      <w:r>
        <w:rPr>
          <w:sz w:val="24"/>
          <w:szCs w:val="24"/>
        </w:rPr>
        <w:t xml:space="preserve">virale midler til behandling af </w:t>
      </w:r>
      <w:r w:rsidRPr="006C6E1C">
        <w:rPr>
          <w:sz w:val="24"/>
          <w:szCs w:val="24"/>
        </w:rPr>
        <w:t>HIV-infektioner, kombinationer</w:t>
      </w:r>
      <w:r w:rsidR="004B15A2">
        <w:rPr>
          <w:sz w:val="24"/>
          <w:szCs w:val="24"/>
        </w:rPr>
        <w:t xml:space="preserve">, </w:t>
      </w:r>
      <w:r w:rsidRPr="006C6E1C">
        <w:rPr>
          <w:sz w:val="24"/>
          <w:szCs w:val="24"/>
        </w:rPr>
        <w:t>ATC-kode: J05AR03</w:t>
      </w:r>
      <w:r>
        <w:rPr>
          <w:sz w:val="24"/>
          <w:szCs w:val="24"/>
        </w:rPr>
        <w:t>.</w:t>
      </w:r>
    </w:p>
    <w:p w:rsidR="00C730E8" w:rsidRPr="00C730E8" w:rsidRDefault="00C730E8"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u w:val="single"/>
        </w:rPr>
        <w:t>Virkningsmekanisme</w:t>
      </w:r>
    </w:p>
    <w:p w:rsidR="007564F4" w:rsidRPr="00FD00E3" w:rsidRDefault="007564F4" w:rsidP="007564F4">
      <w:pPr>
        <w:tabs>
          <w:tab w:val="left" w:pos="851"/>
        </w:tabs>
        <w:ind w:left="851"/>
        <w:rPr>
          <w:sz w:val="24"/>
          <w:szCs w:val="24"/>
        </w:rPr>
      </w:pPr>
      <w:r w:rsidRPr="00FD00E3">
        <w:rPr>
          <w:sz w:val="24"/>
          <w:szCs w:val="24"/>
        </w:rPr>
        <w:t xml:space="preserve">Emtricitabin er en nukleosidanalog af cytidin. Tenofovirdisoproxil omdannes </w:t>
      </w:r>
      <w:r w:rsidRPr="00FD00E3">
        <w:rPr>
          <w:i/>
          <w:sz w:val="24"/>
          <w:szCs w:val="24"/>
        </w:rPr>
        <w:t xml:space="preserve">in vivo </w:t>
      </w:r>
      <w:r w:rsidRPr="00FD00E3">
        <w:rPr>
          <w:sz w:val="24"/>
          <w:szCs w:val="24"/>
        </w:rPr>
        <w:t>til tenofovir, som er en nukleosidmonophosphat-(nukleotid)-analog af adenosinmonophosphat. Både emtricitabin og tenofovir har aktivitet, som er specifik mod human immundefekt virus (HIV 1 og HIV 2) og</w:t>
      </w:r>
      <w:r>
        <w:rPr>
          <w:sz w:val="24"/>
          <w:szCs w:val="24"/>
        </w:rPr>
        <w:t xml:space="preserve"> </w:t>
      </w:r>
      <w:r w:rsidRPr="00FD00E3">
        <w:rPr>
          <w:sz w:val="24"/>
          <w:szCs w:val="24"/>
        </w:rPr>
        <w:t>hepatitis B-virus.</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 xml:space="preserve">Emtricitabin og tenofovir fosforyleres af celleenzymer til at danne henholdsvis emtricitabintriphosphat og tenofovirdiphosphat. Studier </w:t>
      </w:r>
      <w:r w:rsidRPr="00FD00E3">
        <w:rPr>
          <w:i/>
          <w:sz w:val="24"/>
          <w:szCs w:val="24"/>
        </w:rPr>
        <w:t xml:space="preserve">in vitro </w:t>
      </w:r>
      <w:r w:rsidRPr="00FD00E3">
        <w:rPr>
          <w:sz w:val="24"/>
          <w:szCs w:val="24"/>
        </w:rPr>
        <w:t>har vist, at både emtricitabin og tenofovir kan fosforyleres fuldstændigt, når de kombineres i celler. Emtricitabintriphosphat og tenofovirdiphosphat hæmmer kompetitivt HIV 1-revers transkriptase, hvilket resulterer i dna-kædeblokering.</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 xml:space="preserve">Både emtricitabintriphosphat og tenofovirdiphosphat er svage hæmmere af mammalian dna- polymeraser, og der var intet tegn på toksicitet over for mitokondrier </w:t>
      </w:r>
      <w:r w:rsidRPr="00FD00E3">
        <w:rPr>
          <w:i/>
          <w:sz w:val="24"/>
          <w:szCs w:val="24"/>
        </w:rPr>
        <w:t xml:space="preserve">in vitro </w:t>
      </w:r>
      <w:r w:rsidRPr="00FD00E3">
        <w:rPr>
          <w:sz w:val="24"/>
          <w:szCs w:val="24"/>
        </w:rPr>
        <w:t xml:space="preserve">eller </w:t>
      </w:r>
      <w:r w:rsidRPr="00FD00E3">
        <w:rPr>
          <w:i/>
          <w:sz w:val="24"/>
          <w:szCs w:val="24"/>
        </w:rPr>
        <w:t>in vivo</w:t>
      </w:r>
      <w:r w:rsidRPr="00FD00E3">
        <w:rPr>
          <w:sz w:val="24"/>
          <w:szCs w:val="24"/>
        </w:rPr>
        <w:t>.</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i/>
          <w:sz w:val="24"/>
          <w:szCs w:val="24"/>
        </w:rPr>
      </w:pPr>
      <w:r w:rsidRPr="00FD00E3">
        <w:rPr>
          <w:sz w:val="24"/>
          <w:szCs w:val="24"/>
          <w:u w:val="single"/>
        </w:rPr>
        <w:t xml:space="preserve">Antiviral aktivitet </w:t>
      </w:r>
      <w:r w:rsidRPr="00FD00E3">
        <w:rPr>
          <w:i/>
          <w:sz w:val="24"/>
          <w:szCs w:val="24"/>
          <w:u w:val="single"/>
        </w:rPr>
        <w:t>in vitro</w:t>
      </w:r>
    </w:p>
    <w:p w:rsidR="007564F4" w:rsidRPr="00FD00E3" w:rsidRDefault="007564F4" w:rsidP="007564F4">
      <w:pPr>
        <w:tabs>
          <w:tab w:val="left" w:pos="851"/>
        </w:tabs>
        <w:ind w:left="851"/>
        <w:rPr>
          <w:sz w:val="24"/>
          <w:szCs w:val="24"/>
        </w:rPr>
      </w:pPr>
      <w:r w:rsidRPr="00FD00E3">
        <w:rPr>
          <w:sz w:val="24"/>
          <w:szCs w:val="24"/>
        </w:rPr>
        <w:t xml:space="preserve">Synergistisk antiviral aktivitet sås med kombinationen af emtricitabin og tenofovir </w:t>
      </w:r>
      <w:r w:rsidRPr="00FD00E3">
        <w:rPr>
          <w:i/>
          <w:sz w:val="24"/>
          <w:szCs w:val="24"/>
        </w:rPr>
        <w:t>in vitro</w:t>
      </w:r>
      <w:r w:rsidRPr="00FD00E3">
        <w:rPr>
          <w:sz w:val="24"/>
          <w:szCs w:val="24"/>
        </w:rPr>
        <w:t>. Additive til synergistiske virkninger observeredes i kombinationsstudier med proteasehæmmere og med nukleosid- og non-nukleosid-analoghæmmere af HIV-revers transkriptase.</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u w:val="single"/>
        </w:rPr>
        <w:t>Resistens</w:t>
      </w:r>
    </w:p>
    <w:p w:rsidR="007564F4" w:rsidRPr="00FD00E3" w:rsidRDefault="007564F4" w:rsidP="007564F4">
      <w:pPr>
        <w:tabs>
          <w:tab w:val="left" w:pos="851"/>
        </w:tabs>
        <w:ind w:left="851"/>
        <w:rPr>
          <w:sz w:val="24"/>
          <w:szCs w:val="24"/>
        </w:rPr>
      </w:pPr>
    </w:p>
    <w:p w:rsidR="007564F4" w:rsidRDefault="007564F4" w:rsidP="007564F4">
      <w:pPr>
        <w:tabs>
          <w:tab w:val="left" w:pos="851"/>
        </w:tabs>
        <w:ind w:left="851"/>
        <w:rPr>
          <w:i/>
          <w:sz w:val="24"/>
          <w:szCs w:val="24"/>
        </w:rPr>
      </w:pPr>
      <w:r>
        <w:rPr>
          <w:i/>
          <w:sz w:val="24"/>
          <w:szCs w:val="24"/>
        </w:rPr>
        <w:t>In vitro</w:t>
      </w:r>
    </w:p>
    <w:p w:rsidR="007564F4" w:rsidRPr="00FD00E3" w:rsidRDefault="007564F4" w:rsidP="007564F4">
      <w:pPr>
        <w:tabs>
          <w:tab w:val="left" w:pos="851"/>
        </w:tabs>
        <w:ind w:left="851"/>
        <w:rPr>
          <w:sz w:val="24"/>
          <w:szCs w:val="24"/>
        </w:rPr>
      </w:pPr>
      <w:r w:rsidRPr="00FD00E3">
        <w:rPr>
          <w:sz w:val="24"/>
          <w:szCs w:val="24"/>
        </w:rPr>
        <w:t xml:space="preserve">Der er observeret resistens </w:t>
      </w:r>
      <w:r w:rsidRPr="00FD00E3">
        <w:rPr>
          <w:i/>
          <w:sz w:val="24"/>
          <w:szCs w:val="24"/>
        </w:rPr>
        <w:t xml:space="preserve">in vitro </w:t>
      </w:r>
      <w:r w:rsidRPr="00FD00E3">
        <w:rPr>
          <w:sz w:val="24"/>
          <w:szCs w:val="24"/>
        </w:rPr>
        <w:t>og hos nogle HIV 1-inficerede patienter på grund af udvikling af M184V/I-mutationen med emtricitabin eller K65R-mutationen med tenofovir.</w:t>
      </w:r>
    </w:p>
    <w:p w:rsidR="007564F4" w:rsidRPr="00FD00E3" w:rsidRDefault="007564F4" w:rsidP="007564F4">
      <w:pPr>
        <w:tabs>
          <w:tab w:val="left" w:pos="851"/>
        </w:tabs>
        <w:ind w:left="851"/>
        <w:rPr>
          <w:sz w:val="24"/>
          <w:szCs w:val="24"/>
        </w:rPr>
      </w:pPr>
      <w:r w:rsidRPr="00FD00E3">
        <w:rPr>
          <w:sz w:val="24"/>
          <w:szCs w:val="24"/>
        </w:rPr>
        <w:t xml:space="preserve">Emtricitabin-resistente virus med M184V/I-mutationen var krydsresistente over for lamivudin, men beholdt følsomhed over for didanosin, stavudin, tenofovir og zidovudin. K65R-mutationen kan desuden udsøges ved hjælp af abacavir eller didanosin og forårsager nedsat følsomhed over for disse stoffer samt lamivudin, emtricitabin og tenofovir. Tenofovirdisoproxil bør undgås hos tidligere antiretroviral-behandlede patienter med HIV 1 med stammer, som har K65R-mutationer. Desuden er en K70E-substitution i HIV 1-revers transkriptase blevet selekteret af tenofovir, hvilket fører til en nedsat følsomhed for abacavir, emtricitabin, lamivudin og tenofovir på lavt niveau. HIV 1, der eksprimerede 3 eller flere thymidin-analog-forbundne mutationer (TAMs), som omfattede enten M41L- </w:t>
      </w:r>
      <w:r w:rsidRPr="00FD00E3">
        <w:rPr>
          <w:sz w:val="24"/>
          <w:szCs w:val="24"/>
        </w:rPr>
        <w:lastRenderedPageBreak/>
        <w:t>eller L210W-revers transkriptasemutation, udviste reduceret følsomhed over for tenofovirdisoproxil.</w:t>
      </w:r>
    </w:p>
    <w:p w:rsidR="007564F4" w:rsidRPr="00FD00E3" w:rsidRDefault="007564F4" w:rsidP="007564F4">
      <w:pPr>
        <w:tabs>
          <w:tab w:val="left" w:pos="851"/>
        </w:tabs>
        <w:ind w:left="851"/>
        <w:rPr>
          <w:sz w:val="24"/>
          <w:szCs w:val="24"/>
        </w:rPr>
      </w:pPr>
    </w:p>
    <w:p w:rsidR="007564F4" w:rsidRDefault="007564F4" w:rsidP="007564F4">
      <w:pPr>
        <w:tabs>
          <w:tab w:val="left" w:pos="851"/>
        </w:tabs>
        <w:ind w:left="851"/>
        <w:rPr>
          <w:i/>
          <w:sz w:val="24"/>
          <w:szCs w:val="24"/>
        </w:rPr>
      </w:pPr>
      <w:r>
        <w:rPr>
          <w:i/>
          <w:sz w:val="24"/>
          <w:szCs w:val="24"/>
        </w:rPr>
        <w:t>In vivo – behandling af HIV</w:t>
      </w:r>
    </w:p>
    <w:p w:rsidR="007564F4" w:rsidRPr="00FD00E3" w:rsidRDefault="007564F4" w:rsidP="007564F4">
      <w:pPr>
        <w:tabs>
          <w:tab w:val="left" w:pos="851"/>
        </w:tabs>
        <w:ind w:left="851"/>
        <w:rPr>
          <w:sz w:val="24"/>
          <w:szCs w:val="24"/>
        </w:rPr>
      </w:pPr>
      <w:r w:rsidRPr="00FD00E3">
        <w:rPr>
          <w:sz w:val="24"/>
          <w:szCs w:val="24"/>
        </w:rPr>
        <w:t>I et åbent, randomiseret, klinisk studie (GS-01-934) med antiretroviral- naive patienter blev der foretaget genotypebestemmelser på plasma-HIV 1-isolater fra alle patienter med bekræftet HIV-rna &gt; 400 kopier/ml ved uge 48, 96 eller 144 eller på tidspunktet for tidlig seponering af forsøgsmedicinen. Fra uge 144:</w:t>
      </w:r>
    </w:p>
    <w:p w:rsidR="007564F4" w:rsidRPr="00FD00E3" w:rsidRDefault="007564F4" w:rsidP="007564F4">
      <w:pPr>
        <w:numPr>
          <w:ilvl w:val="0"/>
          <w:numId w:val="23"/>
        </w:numPr>
        <w:tabs>
          <w:tab w:val="left" w:pos="851"/>
        </w:tabs>
        <w:ind w:left="1134" w:hanging="283"/>
        <w:rPr>
          <w:sz w:val="24"/>
          <w:szCs w:val="24"/>
        </w:rPr>
      </w:pPr>
      <w:r w:rsidRPr="00FD00E3">
        <w:rPr>
          <w:sz w:val="24"/>
          <w:szCs w:val="24"/>
        </w:rPr>
        <w:t>M184V/I-mutationen udviklede sig hos 2/19 (10,5 %) af de isolater, der blev analyseret fra patienter i emtricitabin/tenofovirdisoproxil/efavirenz-gruppen og hos 10/29 (34,5 %) af de isolater, der blev analyseret fra lamivudin/zidovudin/efavirenz-gruppen (p-værdi &lt; 0,05 Fisher’s Exact test, her sammenligning af alle patienterne fra henholdsvis emtricitabin+tenofovirdisoproxil-gruppen med lamivudin/zidovudin-gruppen).</w:t>
      </w:r>
    </w:p>
    <w:p w:rsidR="007564F4" w:rsidRPr="00FD00E3" w:rsidRDefault="007564F4" w:rsidP="007564F4">
      <w:pPr>
        <w:numPr>
          <w:ilvl w:val="0"/>
          <w:numId w:val="23"/>
        </w:numPr>
        <w:tabs>
          <w:tab w:val="left" w:pos="851"/>
        </w:tabs>
        <w:ind w:left="1134" w:hanging="283"/>
        <w:rPr>
          <w:sz w:val="24"/>
          <w:szCs w:val="24"/>
        </w:rPr>
      </w:pPr>
      <w:r w:rsidRPr="00FD00E3">
        <w:rPr>
          <w:sz w:val="24"/>
          <w:szCs w:val="24"/>
        </w:rPr>
        <w:t>Ingen analyseret virus indeholdt K65R- eller K70E-mutationen.</w:t>
      </w:r>
    </w:p>
    <w:p w:rsidR="007564F4" w:rsidRPr="00FD00E3" w:rsidRDefault="007564F4" w:rsidP="007564F4">
      <w:pPr>
        <w:numPr>
          <w:ilvl w:val="0"/>
          <w:numId w:val="23"/>
        </w:numPr>
        <w:tabs>
          <w:tab w:val="left" w:pos="851"/>
        </w:tabs>
        <w:ind w:left="1134" w:hanging="283"/>
        <w:rPr>
          <w:sz w:val="24"/>
          <w:szCs w:val="24"/>
        </w:rPr>
      </w:pPr>
      <w:r w:rsidRPr="00FD00E3">
        <w:rPr>
          <w:sz w:val="24"/>
          <w:szCs w:val="24"/>
        </w:rPr>
        <w:t>Genotyperesistens over for efavirenz, især K103N-mutationen, udviklede sig i virus fra 13/19 (68 %) af patienterne i emtricitabin/tenofovirdisoproxil/efavirenz-gruppen og i virus fra 21/29 (72 %) af patienterne i sammenligningsgruppen.</w:t>
      </w:r>
    </w:p>
    <w:p w:rsidR="007564F4" w:rsidRPr="00FD00E3" w:rsidRDefault="007564F4" w:rsidP="007564F4">
      <w:pPr>
        <w:tabs>
          <w:tab w:val="left" w:pos="851"/>
        </w:tabs>
        <w:ind w:left="851"/>
        <w:rPr>
          <w:i/>
          <w:sz w:val="24"/>
          <w:szCs w:val="24"/>
        </w:rPr>
      </w:pPr>
    </w:p>
    <w:p w:rsidR="007564F4" w:rsidRDefault="007564F4" w:rsidP="007564F4">
      <w:pPr>
        <w:tabs>
          <w:tab w:val="left" w:pos="851"/>
        </w:tabs>
        <w:ind w:left="851"/>
        <w:rPr>
          <w:i/>
          <w:sz w:val="24"/>
          <w:szCs w:val="24"/>
        </w:rPr>
      </w:pPr>
      <w:r w:rsidRPr="00FD00E3">
        <w:rPr>
          <w:i/>
          <w:sz w:val="24"/>
          <w:szCs w:val="24"/>
        </w:rPr>
        <w:t>In vivo – Pre-exposure prophylaxis</w:t>
      </w:r>
    </w:p>
    <w:p w:rsidR="007564F4" w:rsidRPr="00FD00E3" w:rsidRDefault="007564F4" w:rsidP="007564F4">
      <w:pPr>
        <w:tabs>
          <w:tab w:val="left" w:pos="851"/>
        </w:tabs>
        <w:ind w:left="851"/>
        <w:rPr>
          <w:sz w:val="24"/>
          <w:szCs w:val="24"/>
        </w:rPr>
      </w:pPr>
      <w:r w:rsidRPr="00FD00E3">
        <w:rPr>
          <w:sz w:val="24"/>
          <w:szCs w:val="24"/>
        </w:rPr>
        <w:t>Plasmaprøver fra 2 kliniske studier med forsøgspersoner uden HIV-infektion, iPrEx og Partners PrEP, blev analyseret for 4 HIV 1-varianter, der eksprimerer aminosyresubstitutioner (K65R, K70E, M184V og M184I), som potentielt kan udvise resistens over for tenofovir eller emtricitabin. I det kliniske iPrEx-studie blev der ikke registreret HIV 1-varianter, som eksprimerede K65R, K70E, M184V eller M184I på tidspunktet for serokonvertering, blandt forsøgspersoner, som blev inficeret med HIV 1 efter optagelse i studiet. Hos 3 ud af 10 patienter, som havde akut HIV- infektion ved optagelse i studiet, blev M184I- og M184V-mutationer påvist i HIV hos 2 ud af 2 forsøgspersoner i emtricitabin/tenofovirdisoproxil 200 mg/245 mg tabletter-gruppen og hos 1 ud af 8 forsøgspersoner i placebogruppen.</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I det kliniske Partners PrEP-studie blev der ikke registreret HIV 1-varianter, som eksprimerede K65R, K70E, M184V eller M184I på tidspunktet for serokonvertering, blandt forsøgspersoner, der blev inficeret med HIV 1 i løbet af studiet. Hos 2 ud af 14 patienter, som havde akut HIV-infektion ved optagelse i studiet, blev K65R-mutationen påvist i HIV 1 hos 5 forsøgspersoner i tenofovirdisoproxil 245 mg-gruppen, og M184V-mutationen (forbundet med resistens over for emtricitabin) blev påvist i HIV hos 1 ud af 3 forsøgspersoner i emtricitabin/tenofovirdisoproxil 200 mg/245 mg tabletter-gruppen.</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u w:val="single"/>
        </w:rPr>
        <w:t>Kliniske data</w:t>
      </w:r>
    </w:p>
    <w:p w:rsidR="007564F4" w:rsidRPr="00FD00E3" w:rsidRDefault="007564F4" w:rsidP="007564F4">
      <w:pPr>
        <w:tabs>
          <w:tab w:val="left" w:pos="851"/>
        </w:tabs>
        <w:ind w:left="851"/>
        <w:rPr>
          <w:sz w:val="24"/>
          <w:szCs w:val="24"/>
        </w:rPr>
      </w:pPr>
    </w:p>
    <w:p w:rsidR="007564F4" w:rsidRDefault="007564F4" w:rsidP="007564F4">
      <w:pPr>
        <w:tabs>
          <w:tab w:val="left" w:pos="851"/>
        </w:tabs>
        <w:ind w:left="851"/>
        <w:rPr>
          <w:i/>
          <w:sz w:val="24"/>
          <w:szCs w:val="24"/>
        </w:rPr>
      </w:pPr>
      <w:r>
        <w:rPr>
          <w:i/>
          <w:sz w:val="24"/>
          <w:szCs w:val="24"/>
        </w:rPr>
        <w:t>Behandling af HIV 1-infektion</w:t>
      </w:r>
    </w:p>
    <w:p w:rsidR="007564F4" w:rsidRPr="00FD00E3" w:rsidRDefault="007564F4" w:rsidP="007564F4">
      <w:pPr>
        <w:tabs>
          <w:tab w:val="left" w:pos="851"/>
        </w:tabs>
        <w:ind w:left="851"/>
        <w:rPr>
          <w:sz w:val="24"/>
          <w:szCs w:val="24"/>
        </w:rPr>
      </w:pPr>
      <w:r w:rsidRPr="00FD00E3">
        <w:rPr>
          <w:sz w:val="24"/>
          <w:szCs w:val="24"/>
        </w:rPr>
        <w:t xml:space="preserve">I et åbent, randomiseret, klinisk studie (GS-01-934) fik antiretroviral- naive voksne patienter, inficeret med HIV 1, et regime med enten emtricitabin, tenofovirdisoproxil og efavirenz en gang daglig (n = 255) eller en kombinationsformulering med lamivudin og zidovudin administreret to gange daglig og efavirenz en gang daglig (n = 254). Patienterne i emtricitabin- og tenofovirdisoproxil-gruppen fik emtricitabin/tenofovirdisoproxil 200 mg/245 mg tabletter og efavirenz fra uge 96 til uge 144. Ved </w:t>
      </w:r>
      <w:r w:rsidRPr="00FD00E3">
        <w:rPr>
          <w:i/>
          <w:sz w:val="24"/>
          <w:szCs w:val="24"/>
        </w:rPr>
        <w:t xml:space="preserve">baseline </w:t>
      </w:r>
      <w:r w:rsidRPr="00FD00E3">
        <w:rPr>
          <w:sz w:val="24"/>
          <w:szCs w:val="24"/>
        </w:rPr>
        <w:t xml:space="preserve">havde de randomiserede grupper nogenlunde samme mediane plasma HIV 1-rna (5,02 og 5,00 log10 kopier/ml) og CD4-tal (233 og 241 celler/mm3). De primære virkningsendepunkter i </w:t>
      </w:r>
      <w:proofErr w:type="gramStart"/>
      <w:r w:rsidRPr="00FD00E3">
        <w:rPr>
          <w:sz w:val="24"/>
          <w:szCs w:val="24"/>
        </w:rPr>
        <w:t>dette studiet</w:t>
      </w:r>
      <w:proofErr w:type="gramEnd"/>
      <w:r w:rsidRPr="00FD00E3">
        <w:rPr>
          <w:sz w:val="24"/>
          <w:szCs w:val="24"/>
        </w:rPr>
        <w:t xml:space="preserve"> var at opnå og vedligeholde bekræftede HIV 1-rna-koncentrationer &lt; 400 kopier/mL i 48 uger. Sekundære virkningsanalyser i løbet af de 144 uger omfattede </w:t>
      </w:r>
      <w:r w:rsidRPr="00FD00E3">
        <w:rPr>
          <w:sz w:val="24"/>
          <w:szCs w:val="24"/>
        </w:rPr>
        <w:lastRenderedPageBreak/>
        <w:t xml:space="preserve">andelen af patienter med HIV 1-rna-koncentrationer &lt; 400 eller &lt; 50 kopier/ml og en ændring i CD4-celletallet fra </w:t>
      </w:r>
      <w:r w:rsidRPr="00FD00E3">
        <w:rPr>
          <w:i/>
          <w:sz w:val="24"/>
          <w:szCs w:val="24"/>
        </w:rPr>
        <w:t>baseline</w:t>
      </w:r>
      <w:r w:rsidRPr="00FD00E3">
        <w:rPr>
          <w:sz w:val="24"/>
          <w:szCs w:val="24"/>
        </w:rPr>
        <w:t>.</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En sammenligning af de primære endepunkter-data fra uge 48 viste, at kombinationen af emtricitabin, tenofovirdisoproxil og efavirenz gav bedre antiviral virkning end kombinationsformuleringen med lamivudin og zidovudin og efavirenz. Dette vises i tabel 4. De sekundære endepunkter-data fra uge 144 vises også i tabel 4.</w:t>
      </w:r>
    </w:p>
    <w:p w:rsidR="00E07B01" w:rsidRDefault="00E07B01">
      <w:pPr>
        <w:rPr>
          <w:b/>
          <w:bCs/>
          <w:sz w:val="24"/>
          <w:szCs w:val="24"/>
        </w:rPr>
      </w:pPr>
    </w:p>
    <w:p w:rsidR="004B15A2" w:rsidRPr="00467589" w:rsidRDefault="004B15A2" w:rsidP="004B15A2">
      <w:pPr>
        <w:rPr>
          <w:b/>
          <w:bCs/>
          <w:sz w:val="24"/>
          <w:szCs w:val="24"/>
        </w:rPr>
      </w:pPr>
      <w:r w:rsidRPr="00467589">
        <w:rPr>
          <w:b/>
          <w:bCs/>
          <w:sz w:val="24"/>
          <w:szCs w:val="24"/>
        </w:rPr>
        <w:t>Tabel 4: 48- og 144-ugers data vedrørende virkning fra studie GS-01-934, hvor emtricitabin, tenofovirdisoproxil og efavirenz blev administreret til antiretroviral-naive patienter med HIV 1.</w:t>
      </w:r>
    </w:p>
    <w:p w:rsidR="007564F4" w:rsidRPr="00FD00E3" w:rsidRDefault="007564F4" w:rsidP="007564F4">
      <w:pPr>
        <w:tabs>
          <w:tab w:val="left" w:pos="851"/>
        </w:tabs>
        <w:ind w:left="851"/>
        <w:rPr>
          <w:b/>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241"/>
        <w:gridCol w:w="1723"/>
        <w:gridCol w:w="1843"/>
        <w:gridCol w:w="1842"/>
      </w:tblGrid>
      <w:tr w:rsidR="00EB7FE6" w:rsidRPr="00467589" w:rsidTr="00A92787">
        <w:trPr>
          <w:trHeight w:val="457"/>
        </w:trPr>
        <w:tc>
          <w:tcPr>
            <w:tcW w:w="1985" w:type="dxa"/>
          </w:tcPr>
          <w:p w:rsidR="00EB7FE6" w:rsidRPr="00467589" w:rsidRDefault="00EB7FE6" w:rsidP="00A92787">
            <w:pPr>
              <w:ind w:left="24"/>
              <w:rPr>
                <w:sz w:val="22"/>
                <w:szCs w:val="22"/>
              </w:rPr>
            </w:pPr>
          </w:p>
        </w:tc>
        <w:tc>
          <w:tcPr>
            <w:tcW w:w="3964" w:type="dxa"/>
            <w:gridSpan w:val="2"/>
          </w:tcPr>
          <w:p w:rsidR="00EB7FE6" w:rsidRPr="00A92787" w:rsidRDefault="00EB7FE6" w:rsidP="00A92787">
            <w:pPr>
              <w:ind w:left="29"/>
              <w:rPr>
                <w:b/>
                <w:sz w:val="22"/>
                <w:szCs w:val="22"/>
              </w:rPr>
            </w:pPr>
            <w:r w:rsidRPr="00A92787">
              <w:rPr>
                <w:b/>
                <w:sz w:val="22"/>
                <w:szCs w:val="22"/>
              </w:rPr>
              <w:t>GS-01-934</w:t>
            </w:r>
          </w:p>
          <w:p w:rsidR="00EB7FE6" w:rsidRPr="00A92787" w:rsidRDefault="00EB7FE6" w:rsidP="00A92787">
            <w:pPr>
              <w:ind w:left="29"/>
              <w:rPr>
                <w:b/>
                <w:sz w:val="22"/>
                <w:szCs w:val="22"/>
              </w:rPr>
            </w:pPr>
            <w:r w:rsidRPr="00A92787">
              <w:rPr>
                <w:b/>
                <w:sz w:val="22"/>
                <w:szCs w:val="22"/>
              </w:rPr>
              <w:t>Behandling i 48 uger</w:t>
            </w:r>
          </w:p>
        </w:tc>
        <w:tc>
          <w:tcPr>
            <w:tcW w:w="3685" w:type="dxa"/>
            <w:gridSpan w:val="2"/>
          </w:tcPr>
          <w:p w:rsidR="00EB7FE6" w:rsidRPr="00A92787" w:rsidRDefault="00EB7FE6" w:rsidP="00A92787">
            <w:pPr>
              <w:ind w:left="29"/>
              <w:rPr>
                <w:b/>
                <w:sz w:val="22"/>
                <w:szCs w:val="22"/>
              </w:rPr>
            </w:pPr>
            <w:r w:rsidRPr="00A92787">
              <w:rPr>
                <w:b/>
                <w:sz w:val="22"/>
                <w:szCs w:val="22"/>
              </w:rPr>
              <w:t>GS-01-934</w:t>
            </w:r>
          </w:p>
          <w:p w:rsidR="00EB7FE6" w:rsidRPr="00A92787" w:rsidRDefault="00EB7FE6" w:rsidP="00A92787">
            <w:pPr>
              <w:ind w:left="29"/>
              <w:rPr>
                <w:b/>
                <w:sz w:val="22"/>
                <w:szCs w:val="22"/>
              </w:rPr>
            </w:pPr>
            <w:r w:rsidRPr="00A92787">
              <w:rPr>
                <w:b/>
                <w:sz w:val="22"/>
                <w:szCs w:val="22"/>
              </w:rPr>
              <w:t>Behandling i 144 uger</w:t>
            </w:r>
          </w:p>
        </w:tc>
      </w:tr>
      <w:tr w:rsidR="00EB7FE6" w:rsidRPr="00467589" w:rsidTr="00A92787">
        <w:trPr>
          <w:trHeight w:val="690"/>
        </w:trPr>
        <w:tc>
          <w:tcPr>
            <w:tcW w:w="1985" w:type="dxa"/>
          </w:tcPr>
          <w:p w:rsidR="00EB7FE6" w:rsidRPr="00A92787" w:rsidRDefault="00EB7FE6" w:rsidP="00A92787">
            <w:pPr>
              <w:ind w:left="24"/>
              <w:rPr>
                <w:sz w:val="22"/>
                <w:szCs w:val="22"/>
              </w:rPr>
            </w:pPr>
          </w:p>
        </w:tc>
        <w:tc>
          <w:tcPr>
            <w:tcW w:w="2241" w:type="dxa"/>
          </w:tcPr>
          <w:p w:rsidR="00EB7FE6" w:rsidRPr="00A92787" w:rsidRDefault="00EB7FE6" w:rsidP="00A92787">
            <w:pPr>
              <w:ind w:left="29"/>
              <w:rPr>
                <w:sz w:val="22"/>
                <w:szCs w:val="22"/>
              </w:rPr>
            </w:pPr>
            <w:r w:rsidRPr="00A92787">
              <w:rPr>
                <w:sz w:val="22"/>
                <w:szCs w:val="22"/>
              </w:rPr>
              <w:t>Emtricitabin</w:t>
            </w:r>
          </w:p>
          <w:p w:rsidR="00EB7FE6" w:rsidRPr="00A92787" w:rsidRDefault="00EB7FE6" w:rsidP="00A92787">
            <w:pPr>
              <w:ind w:left="29"/>
              <w:rPr>
                <w:sz w:val="22"/>
                <w:szCs w:val="22"/>
              </w:rPr>
            </w:pPr>
            <w:r w:rsidRPr="00A92787">
              <w:rPr>
                <w:sz w:val="22"/>
                <w:szCs w:val="22"/>
              </w:rPr>
              <w:t>+tenofovirdisoproxil</w:t>
            </w:r>
          </w:p>
          <w:p w:rsidR="00EB7FE6" w:rsidRPr="00A92787" w:rsidRDefault="00EB7FE6" w:rsidP="00A92787">
            <w:pPr>
              <w:ind w:left="29"/>
              <w:rPr>
                <w:sz w:val="22"/>
                <w:szCs w:val="22"/>
              </w:rPr>
            </w:pPr>
            <w:r w:rsidRPr="00A92787">
              <w:rPr>
                <w:sz w:val="22"/>
                <w:szCs w:val="22"/>
              </w:rPr>
              <w:t>+efavirenz</w:t>
            </w:r>
          </w:p>
        </w:tc>
        <w:tc>
          <w:tcPr>
            <w:tcW w:w="1723" w:type="dxa"/>
          </w:tcPr>
          <w:p w:rsidR="00EB7FE6" w:rsidRPr="00A92787" w:rsidRDefault="00EB7FE6" w:rsidP="00A92787">
            <w:pPr>
              <w:ind w:left="29"/>
              <w:rPr>
                <w:sz w:val="22"/>
                <w:szCs w:val="22"/>
              </w:rPr>
            </w:pPr>
            <w:r w:rsidRPr="00A92787">
              <w:rPr>
                <w:sz w:val="22"/>
                <w:szCs w:val="22"/>
              </w:rPr>
              <w:t>Lamivudin</w:t>
            </w:r>
          </w:p>
          <w:p w:rsidR="00EB7FE6" w:rsidRPr="00A92787" w:rsidRDefault="00EB7FE6" w:rsidP="00A92787">
            <w:pPr>
              <w:ind w:left="29"/>
              <w:rPr>
                <w:sz w:val="22"/>
                <w:szCs w:val="22"/>
              </w:rPr>
            </w:pPr>
            <w:r w:rsidRPr="00A92787">
              <w:rPr>
                <w:sz w:val="22"/>
                <w:szCs w:val="22"/>
              </w:rPr>
              <w:t>+zidovudin</w:t>
            </w:r>
          </w:p>
          <w:p w:rsidR="00EB7FE6" w:rsidRPr="00A92787" w:rsidRDefault="00EB7FE6" w:rsidP="00A92787">
            <w:pPr>
              <w:ind w:left="29"/>
              <w:rPr>
                <w:sz w:val="22"/>
                <w:szCs w:val="22"/>
              </w:rPr>
            </w:pPr>
            <w:r w:rsidRPr="00A92787">
              <w:rPr>
                <w:sz w:val="22"/>
                <w:szCs w:val="22"/>
              </w:rPr>
              <w:t>+efavirenz</w:t>
            </w:r>
          </w:p>
        </w:tc>
        <w:tc>
          <w:tcPr>
            <w:tcW w:w="1843" w:type="dxa"/>
          </w:tcPr>
          <w:p w:rsidR="00EB7FE6" w:rsidRPr="00A92787" w:rsidRDefault="00EB7FE6" w:rsidP="00A92787">
            <w:pPr>
              <w:ind w:left="29"/>
              <w:rPr>
                <w:sz w:val="22"/>
                <w:szCs w:val="22"/>
              </w:rPr>
            </w:pPr>
            <w:r w:rsidRPr="00A92787">
              <w:rPr>
                <w:sz w:val="22"/>
                <w:szCs w:val="22"/>
              </w:rPr>
              <w:t>Emtricitabin</w:t>
            </w:r>
          </w:p>
          <w:p w:rsidR="00EB7FE6" w:rsidRPr="00A92787" w:rsidRDefault="00EB7FE6" w:rsidP="00A92787">
            <w:pPr>
              <w:ind w:left="29"/>
              <w:rPr>
                <w:sz w:val="22"/>
                <w:szCs w:val="22"/>
              </w:rPr>
            </w:pPr>
            <w:r w:rsidRPr="00A92787">
              <w:rPr>
                <w:sz w:val="22"/>
                <w:szCs w:val="22"/>
              </w:rPr>
              <w:t>+tenofovirdisoproxil</w:t>
            </w:r>
          </w:p>
          <w:p w:rsidR="00EB7FE6" w:rsidRPr="00A92787" w:rsidRDefault="00EB7FE6" w:rsidP="00A92787">
            <w:pPr>
              <w:ind w:left="29"/>
              <w:rPr>
                <w:sz w:val="22"/>
                <w:szCs w:val="22"/>
              </w:rPr>
            </w:pPr>
            <w:r w:rsidRPr="00A92787">
              <w:rPr>
                <w:sz w:val="22"/>
                <w:szCs w:val="22"/>
              </w:rPr>
              <w:t>+efavirenz*</w:t>
            </w:r>
          </w:p>
        </w:tc>
        <w:tc>
          <w:tcPr>
            <w:tcW w:w="1842" w:type="dxa"/>
          </w:tcPr>
          <w:p w:rsidR="00EB7FE6" w:rsidRPr="00A92787" w:rsidRDefault="00EB7FE6" w:rsidP="00A92787">
            <w:pPr>
              <w:ind w:left="29"/>
              <w:rPr>
                <w:sz w:val="22"/>
                <w:szCs w:val="22"/>
              </w:rPr>
            </w:pPr>
            <w:r w:rsidRPr="00A92787">
              <w:rPr>
                <w:sz w:val="22"/>
                <w:szCs w:val="22"/>
              </w:rPr>
              <w:t>Lamivudin</w:t>
            </w:r>
          </w:p>
          <w:p w:rsidR="00EB7FE6" w:rsidRPr="00A92787" w:rsidRDefault="00EB7FE6" w:rsidP="00A92787">
            <w:pPr>
              <w:ind w:left="29"/>
              <w:rPr>
                <w:sz w:val="22"/>
                <w:szCs w:val="22"/>
              </w:rPr>
            </w:pPr>
            <w:r w:rsidRPr="00A92787">
              <w:rPr>
                <w:sz w:val="22"/>
                <w:szCs w:val="22"/>
              </w:rPr>
              <w:t>+zidovudin</w:t>
            </w:r>
          </w:p>
          <w:p w:rsidR="00EB7FE6" w:rsidRPr="00A92787" w:rsidRDefault="00EB7FE6" w:rsidP="00A92787">
            <w:pPr>
              <w:ind w:left="29"/>
              <w:rPr>
                <w:sz w:val="22"/>
                <w:szCs w:val="22"/>
              </w:rPr>
            </w:pPr>
            <w:r w:rsidRPr="00A92787">
              <w:rPr>
                <w:sz w:val="22"/>
                <w:szCs w:val="22"/>
              </w:rPr>
              <w:t>+efavirenz</w:t>
            </w:r>
          </w:p>
        </w:tc>
      </w:tr>
      <w:tr w:rsidR="00EB7FE6" w:rsidRPr="00467589" w:rsidTr="00A92787">
        <w:trPr>
          <w:trHeight w:val="690"/>
        </w:trPr>
        <w:tc>
          <w:tcPr>
            <w:tcW w:w="1985" w:type="dxa"/>
          </w:tcPr>
          <w:p w:rsidR="00EB7FE6" w:rsidRPr="00A92787" w:rsidRDefault="00EB7FE6" w:rsidP="00A92787">
            <w:pPr>
              <w:ind w:left="24"/>
              <w:rPr>
                <w:sz w:val="22"/>
                <w:szCs w:val="22"/>
              </w:rPr>
            </w:pPr>
            <w:r w:rsidRPr="00A92787">
              <w:rPr>
                <w:sz w:val="22"/>
                <w:szCs w:val="22"/>
              </w:rPr>
              <w:t>HIV 1-rna</w:t>
            </w:r>
          </w:p>
          <w:p w:rsidR="00EB7FE6" w:rsidRPr="00A92787" w:rsidRDefault="00EB7FE6" w:rsidP="00A92787">
            <w:pPr>
              <w:ind w:left="24"/>
              <w:rPr>
                <w:sz w:val="22"/>
                <w:szCs w:val="22"/>
              </w:rPr>
            </w:pPr>
            <w:r w:rsidRPr="00A92787">
              <w:rPr>
                <w:sz w:val="22"/>
                <w:szCs w:val="22"/>
              </w:rPr>
              <w:t>&lt; 400 kopier/ml (TLOVR)</w:t>
            </w:r>
          </w:p>
        </w:tc>
        <w:tc>
          <w:tcPr>
            <w:tcW w:w="2241"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84 % (206/244)</w:t>
            </w:r>
          </w:p>
        </w:tc>
        <w:tc>
          <w:tcPr>
            <w:tcW w:w="1723"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73 % (177/243)</w:t>
            </w:r>
          </w:p>
        </w:tc>
        <w:tc>
          <w:tcPr>
            <w:tcW w:w="1843"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71 % (161/227)</w:t>
            </w:r>
          </w:p>
        </w:tc>
        <w:tc>
          <w:tcPr>
            <w:tcW w:w="1842"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58 % (133/229)</w:t>
            </w:r>
          </w:p>
        </w:tc>
      </w:tr>
      <w:tr w:rsidR="00EB7FE6" w:rsidRPr="00467589" w:rsidTr="00A92787">
        <w:trPr>
          <w:trHeight w:val="230"/>
        </w:trPr>
        <w:tc>
          <w:tcPr>
            <w:tcW w:w="1985" w:type="dxa"/>
          </w:tcPr>
          <w:p w:rsidR="00EB7FE6" w:rsidRPr="00A92787" w:rsidRDefault="00EB7FE6" w:rsidP="00A92787">
            <w:pPr>
              <w:ind w:left="24"/>
              <w:rPr>
                <w:sz w:val="22"/>
                <w:szCs w:val="22"/>
              </w:rPr>
            </w:pPr>
            <w:r w:rsidRPr="00A92787">
              <w:rPr>
                <w:sz w:val="22"/>
                <w:szCs w:val="22"/>
              </w:rPr>
              <w:t>p-værdi</w:t>
            </w:r>
          </w:p>
        </w:tc>
        <w:tc>
          <w:tcPr>
            <w:tcW w:w="3964" w:type="dxa"/>
            <w:gridSpan w:val="2"/>
          </w:tcPr>
          <w:p w:rsidR="00EB7FE6" w:rsidRPr="00A92787" w:rsidRDefault="00EB7FE6" w:rsidP="00A92787">
            <w:pPr>
              <w:ind w:left="29"/>
              <w:rPr>
                <w:sz w:val="22"/>
                <w:szCs w:val="22"/>
              </w:rPr>
            </w:pPr>
            <w:r w:rsidRPr="00A92787">
              <w:rPr>
                <w:sz w:val="22"/>
                <w:szCs w:val="22"/>
              </w:rPr>
              <w:t>0,002**</w:t>
            </w:r>
          </w:p>
        </w:tc>
        <w:tc>
          <w:tcPr>
            <w:tcW w:w="3685" w:type="dxa"/>
            <w:gridSpan w:val="2"/>
          </w:tcPr>
          <w:p w:rsidR="00EB7FE6" w:rsidRPr="00A92787" w:rsidRDefault="00EB7FE6" w:rsidP="00A92787">
            <w:pPr>
              <w:ind w:left="29"/>
              <w:rPr>
                <w:sz w:val="22"/>
                <w:szCs w:val="22"/>
              </w:rPr>
            </w:pPr>
            <w:r w:rsidRPr="00A92787">
              <w:rPr>
                <w:sz w:val="22"/>
                <w:szCs w:val="22"/>
              </w:rPr>
              <w:t>0,004**</w:t>
            </w:r>
          </w:p>
        </w:tc>
      </w:tr>
      <w:tr w:rsidR="00EB7FE6" w:rsidRPr="00467589" w:rsidTr="00A92787">
        <w:trPr>
          <w:trHeight w:val="229"/>
        </w:trPr>
        <w:tc>
          <w:tcPr>
            <w:tcW w:w="1985" w:type="dxa"/>
          </w:tcPr>
          <w:p w:rsidR="00EB7FE6" w:rsidRPr="00A92787" w:rsidRDefault="00EB7FE6" w:rsidP="00A92787">
            <w:pPr>
              <w:ind w:left="24"/>
              <w:rPr>
                <w:sz w:val="22"/>
                <w:szCs w:val="22"/>
              </w:rPr>
            </w:pPr>
            <w:r w:rsidRPr="00A92787">
              <w:rPr>
                <w:sz w:val="22"/>
                <w:szCs w:val="22"/>
              </w:rPr>
              <w:t>% forskel (95 %CI)</w:t>
            </w:r>
          </w:p>
        </w:tc>
        <w:tc>
          <w:tcPr>
            <w:tcW w:w="3964" w:type="dxa"/>
            <w:gridSpan w:val="2"/>
          </w:tcPr>
          <w:p w:rsidR="00EB7FE6" w:rsidRPr="00A92787" w:rsidRDefault="00EB7FE6" w:rsidP="00A92787">
            <w:pPr>
              <w:ind w:left="29"/>
              <w:rPr>
                <w:sz w:val="22"/>
                <w:szCs w:val="22"/>
              </w:rPr>
            </w:pPr>
            <w:r w:rsidRPr="00A92787">
              <w:rPr>
                <w:sz w:val="22"/>
                <w:szCs w:val="22"/>
              </w:rPr>
              <w:t>11 % (4 % til 19 %)</w:t>
            </w:r>
          </w:p>
        </w:tc>
        <w:tc>
          <w:tcPr>
            <w:tcW w:w="3685" w:type="dxa"/>
            <w:gridSpan w:val="2"/>
          </w:tcPr>
          <w:p w:rsidR="00EB7FE6" w:rsidRPr="00A92787" w:rsidRDefault="00EB7FE6" w:rsidP="00A92787">
            <w:pPr>
              <w:ind w:left="29"/>
              <w:rPr>
                <w:sz w:val="22"/>
                <w:szCs w:val="22"/>
              </w:rPr>
            </w:pPr>
            <w:r w:rsidRPr="00A92787">
              <w:rPr>
                <w:sz w:val="22"/>
                <w:szCs w:val="22"/>
              </w:rPr>
              <w:t>13 % (4 % til 22%)</w:t>
            </w:r>
          </w:p>
        </w:tc>
      </w:tr>
      <w:tr w:rsidR="00EB7FE6" w:rsidRPr="00467589" w:rsidTr="00A92787">
        <w:trPr>
          <w:trHeight w:val="458"/>
        </w:trPr>
        <w:tc>
          <w:tcPr>
            <w:tcW w:w="1985" w:type="dxa"/>
          </w:tcPr>
          <w:p w:rsidR="00EB7FE6" w:rsidRPr="00A92787" w:rsidRDefault="00EB7FE6" w:rsidP="00A92787">
            <w:pPr>
              <w:ind w:left="24"/>
              <w:rPr>
                <w:sz w:val="22"/>
                <w:szCs w:val="22"/>
              </w:rPr>
            </w:pPr>
            <w:r w:rsidRPr="00A92787">
              <w:rPr>
                <w:sz w:val="22"/>
                <w:szCs w:val="22"/>
              </w:rPr>
              <w:t>HIV 1-rna &lt; 50 kopier/ml (TLOVR)</w:t>
            </w:r>
          </w:p>
        </w:tc>
        <w:tc>
          <w:tcPr>
            <w:tcW w:w="2241"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80 % (194/244)</w:t>
            </w:r>
          </w:p>
        </w:tc>
        <w:tc>
          <w:tcPr>
            <w:tcW w:w="1723"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70 % (171/243)</w:t>
            </w:r>
          </w:p>
        </w:tc>
        <w:tc>
          <w:tcPr>
            <w:tcW w:w="1843"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64 % (146/227)</w:t>
            </w:r>
          </w:p>
        </w:tc>
        <w:tc>
          <w:tcPr>
            <w:tcW w:w="1842"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56 % (130/231)</w:t>
            </w:r>
          </w:p>
        </w:tc>
      </w:tr>
      <w:tr w:rsidR="00EB7FE6" w:rsidRPr="00467589" w:rsidTr="00A92787">
        <w:trPr>
          <w:trHeight w:val="230"/>
        </w:trPr>
        <w:tc>
          <w:tcPr>
            <w:tcW w:w="1985" w:type="dxa"/>
          </w:tcPr>
          <w:p w:rsidR="00EB7FE6" w:rsidRPr="00A92787" w:rsidRDefault="00EB7FE6" w:rsidP="00A92787">
            <w:pPr>
              <w:ind w:left="24"/>
              <w:rPr>
                <w:sz w:val="22"/>
                <w:szCs w:val="22"/>
              </w:rPr>
            </w:pPr>
            <w:r w:rsidRPr="00A92787">
              <w:rPr>
                <w:sz w:val="22"/>
                <w:szCs w:val="22"/>
              </w:rPr>
              <w:t>p-værdi</w:t>
            </w:r>
          </w:p>
        </w:tc>
        <w:tc>
          <w:tcPr>
            <w:tcW w:w="3964" w:type="dxa"/>
            <w:gridSpan w:val="2"/>
          </w:tcPr>
          <w:p w:rsidR="00EB7FE6" w:rsidRPr="00A92787" w:rsidRDefault="00EB7FE6" w:rsidP="00A92787">
            <w:pPr>
              <w:ind w:left="29"/>
              <w:rPr>
                <w:sz w:val="22"/>
                <w:szCs w:val="22"/>
              </w:rPr>
            </w:pPr>
            <w:r w:rsidRPr="00A92787">
              <w:rPr>
                <w:sz w:val="22"/>
                <w:szCs w:val="22"/>
              </w:rPr>
              <w:t>0,021**</w:t>
            </w:r>
          </w:p>
        </w:tc>
        <w:tc>
          <w:tcPr>
            <w:tcW w:w="3685" w:type="dxa"/>
            <w:gridSpan w:val="2"/>
          </w:tcPr>
          <w:p w:rsidR="00EB7FE6" w:rsidRPr="00A92787" w:rsidRDefault="00EB7FE6" w:rsidP="00A92787">
            <w:pPr>
              <w:ind w:left="29"/>
              <w:rPr>
                <w:sz w:val="22"/>
                <w:szCs w:val="22"/>
              </w:rPr>
            </w:pPr>
            <w:r w:rsidRPr="00A92787">
              <w:rPr>
                <w:sz w:val="22"/>
                <w:szCs w:val="22"/>
              </w:rPr>
              <w:t>0,082**</w:t>
            </w:r>
          </w:p>
        </w:tc>
      </w:tr>
      <w:tr w:rsidR="00EB7FE6" w:rsidRPr="00467589" w:rsidTr="00A92787">
        <w:trPr>
          <w:trHeight w:val="230"/>
        </w:trPr>
        <w:tc>
          <w:tcPr>
            <w:tcW w:w="1985" w:type="dxa"/>
          </w:tcPr>
          <w:p w:rsidR="00EB7FE6" w:rsidRPr="00A92787" w:rsidRDefault="00EB7FE6" w:rsidP="00A92787">
            <w:pPr>
              <w:ind w:left="24"/>
              <w:rPr>
                <w:sz w:val="22"/>
                <w:szCs w:val="22"/>
              </w:rPr>
            </w:pPr>
            <w:r w:rsidRPr="00A92787">
              <w:rPr>
                <w:sz w:val="22"/>
                <w:szCs w:val="22"/>
              </w:rPr>
              <w:t>% forskel (95 %CI)</w:t>
            </w:r>
          </w:p>
        </w:tc>
        <w:tc>
          <w:tcPr>
            <w:tcW w:w="3964" w:type="dxa"/>
            <w:gridSpan w:val="2"/>
          </w:tcPr>
          <w:p w:rsidR="00EB7FE6" w:rsidRPr="00A92787" w:rsidRDefault="00EB7FE6" w:rsidP="00A92787">
            <w:pPr>
              <w:ind w:left="29"/>
              <w:rPr>
                <w:sz w:val="22"/>
                <w:szCs w:val="22"/>
              </w:rPr>
            </w:pPr>
            <w:r w:rsidRPr="00A92787">
              <w:rPr>
                <w:sz w:val="22"/>
                <w:szCs w:val="22"/>
              </w:rPr>
              <w:t>9 % (2 % til 17 %)</w:t>
            </w:r>
          </w:p>
        </w:tc>
        <w:tc>
          <w:tcPr>
            <w:tcW w:w="3685" w:type="dxa"/>
            <w:gridSpan w:val="2"/>
          </w:tcPr>
          <w:p w:rsidR="00EB7FE6" w:rsidRPr="00A92787" w:rsidRDefault="00EB7FE6" w:rsidP="00A92787">
            <w:pPr>
              <w:ind w:left="29"/>
              <w:rPr>
                <w:sz w:val="22"/>
                <w:szCs w:val="22"/>
              </w:rPr>
            </w:pPr>
            <w:r w:rsidRPr="00A92787">
              <w:rPr>
                <w:sz w:val="22"/>
                <w:szCs w:val="22"/>
              </w:rPr>
              <w:t>8 % (-1 % til 17 %)</w:t>
            </w:r>
          </w:p>
        </w:tc>
      </w:tr>
      <w:tr w:rsidR="00EB7FE6" w:rsidRPr="00467589" w:rsidTr="00A92787">
        <w:trPr>
          <w:trHeight w:val="690"/>
        </w:trPr>
        <w:tc>
          <w:tcPr>
            <w:tcW w:w="1985" w:type="dxa"/>
          </w:tcPr>
          <w:p w:rsidR="00EB7FE6" w:rsidRPr="00467589" w:rsidRDefault="00EB7FE6" w:rsidP="00A92787">
            <w:pPr>
              <w:ind w:left="24"/>
              <w:rPr>
                <w:sz w:val="22"/>
                <w:szCs w:val="22"/>
              </w:rPr>
            </w:pPr>
            <w:r w:rsidRPr="00467589">
              <w:rPr>
                <w:sz w:val="22"/>
                <w:szCs w:val="22"/>
              </w:rPr>
              <w:t>Middel ændring fra</w:t>
            </w:r>
          </w:p>
          <w:p w:rsidR="00EB7FE6" w:rsidRPr="00467589" w:rsidRDefault="00EB7FE6" w:rsidP="00A92787">
            <w:pPr>
              <w:ind w:left="24"/>
              <w:rPr>
                <w:sz w:val="22"/>
                <w:szCs w:val="22"/>
              </w:rPr>
            </w:pPr>
            <w:r w:rsidRPr="00467589">
              <w:rPr>
                <w:i/>
                <w:sz w:val="22"/>
                <w:szCs w:val="22"/>
              </w:rPr>
              <w:t xml:space="preserve">baseline </w:t>
            </w:r>
            <w:r w:rsidRPr="00467589">
              <w:rPr>
                <w:sz w:val="22"/>
                <w:szCs w:val="22"/>
              </w:rPr>
              <w:t>i CD4-celletal (celler/mm3)</w:t>
            </w:r>
          </w:p>
        </w:tc>
        <w:tc>
          <w:tcPr>
            <w:tcW w:w="2241" w:type="dxa"/>
          </w:tcPr>
          <w:p w:rsidR="00EB7FE6" w:rsidRPr="00467589"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+190</w:t>
            </w:r>
          </w:p>
        </w:tc>
        <w:tc>
          <w:tcPr>
            <w:tcW w:w="1723"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+158</w:t>
            </w:r>
          </w:p>
        </w:tc>
        <w:tc>
          <w:tcPr>
            <w:tcW w:w="1843"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+312</w:t>
            </w:r>
          </w:p>
        </w:tc>
        <w:tc>
          <w:tcPr>
            <w:tcW w:w="1842" w:type="dxa"/>
          </w:tcPr>
          <w:p w:rsidR="00EB7FE6" w:rsidRPr="00A92787" w:rsidRDefault="00EB7FE6" w:rsidP="00A92787">
            <w:pPr>
              <w:ind w:left="29"/>
              <w:rPr>
                <w:sz w:val="22"/>
                <w:szCs w:val="22"/>
              </w:rPr>
            </w:pPr>
          </w:p>
          <w:p w:rsidR="00EB7FE6" w:rsidRPr="00A92787" w:rsidRDefault="00EB7FE6" w:rsidP="00A92787">
            <w:pPr>
              <w:ind w:left="29"/>
              <w:rPr>
                <w:sz w:val="22"/>
                <w:szCs w:val="22"/>
              </w:rPr>
            </w:pPr>
            <w:r w:rsidRPr="00A92787">
              <w:rPr>
                <w:sz w:val="22"/>
                <w:szCs w:val="22"/>
              </w:rPr>
              <w:t>+271</w:t>
            </w:r>
          </w:p>
        </w:tc>
      </w:tr>
      <w:tr w:rsidR="00EB7FE6" w:rsidRPr="00467589" w:rsidTr="00A92787">
        <w:trPr>
          <w:trHeight w:val="230"/>
        </w:trPr>
        <w:tc>
          <w:tcPr>
            <w:tcW w:w="1985" w:type="dxa"/>
          </w:tcPr>
          <w:p w:rsidR="00EB7FE6" w:rsidRPr="00A92787" w:rsidRDefault="00EB7FE6" w:rsidP="00A92787">
            <w:pPr>
              <w:ind w:left="24"/>
              <w:rPr>
                <w:sz w:val="22"/>
                <w:szCs w:val="22"/>
              </w:rPr>
            </w:pPr>
            <w:r w:rsidRPr="00A92787">
              <w:rPr>
                <w:sz w:val="22"/>
                <w:szCs w:val="22"/>
              </w:rPr>
              <w:t>p-værdi</w:t>
            </w:r>
          </w:p>
        </w:tc>
        <w:tc>
          <w:tcPr>
            <w:tcW w:w="3964" w:type="dxa"/>
            <w:gridSpan w:val="2"/>
          </w:tcPr>
          <w:p w:rsidR="00EB7FE6" w:rsidRPr="00A92787" w:rsidRDefault="00EB7FE6" w:rsidP="00A92787">
            <w:pPr>
              <w:ind w:left="29"/>
              <w:rPr>
                <w:sz w:val="22"/>
                <w:szCs w:val="22"/>
              </w:rPr>
            </w:pPr>
            <w:r w:rsidRPr="00A92787">
              <w:rPr>
                <w:sz w:val="22"/>
                <w:szCs w:val="22"/>
              </w:rPr>
              <w:t>0,002a</w:t>
            </w:r>
          </w:p>
        </w:tc>
        <w:tc>
          <w:tcPr>
            <w:tcW w:w="3685" w:type="dxa"/>
            <w:gridSpan w:val="2"/>
          </w:tcPr>
          <w:p w:rsidR="00EB7FE6" w:rsidRPr="00A92787" w:rsidRDefault="00EB7FE6" w:rsidP="00A92787">
            <w:pPr>
              <w:ind w:left="29"/>
              <w:rPr>
                <w:sz w:val="22"/>
                <w:szCs w:val="22"/>
              </w:rPr>
            </w:pPr>
            <w:r w:rsidRPr="00A92787">
              <w:rPr>
                <w:sz w:val="22"/>
                <w:szCs w:val="22"/>
              </w:rPr>
              <w:t>0,089a</w:t>
            </w:r>
          </w:p>
        </w:tc>
      </w:tr>
      <w:tr w:rsidR="00EB7FE6" w:rsidRPr="00467589" w:rsidTr="00A92787">
        <w:trPr>
          <w:trHeight w:val="230"/>
        </w:trPr>
        <w:tc>
          <w:tcPr>
            <w:tcW w:w="1985" w:type="dxa"/>
          </w:tcPr>
          <w:p w:rsidR="00EB7FE6" w:rsidRPr="00A92787" w:rsidRDefault="00EB7FE6" w:rsidP="00A92787">
            <w:pPr>
              <w:ind w:left="24"/>
              <w:rPr>
                <w:sz w:val="22"/>
                <w:szCs w:val="22"/>
              </w:rPr>
            </w:pPr>
            <w:r w:rsidRPr="00A92787">
              <w:rPr>
                <w:sz w:val="22"/>
                <w:szCs w:val="22"/>
              </w:rPr>
              <w:t>Forskel (95%CI)</w:t>
            </w:r>
          </w:p>
        </w:tc>
        <w:tc>
          <w:tcPr>
            <w:tcW w:w="3964" w:type="dxa"/>
            <w:gridSpan w:val="2"/>
          </w:tcPr>
          <w:p w:rsidR="00EB7FE6" w:rsidRPr="00A92787" w:rsidRDefault="00EB7FE6" w:rsidP="00A92787">
            <w:pPr>
              <w:ind w:left="29"/>
              <w:rPr>
                <w:sz w:val="22"/>
                <w:szCs w:val="22"/>
              </w:rPr>
            </w:pPr>
            <w:r w:rsidRPr="00A92787">
              <w:rPr>
                <w:sz w:val="22"/>
                <w:szCs w:val="22"/>
              </w:rPr>
              <w:t>32 (9 til 55)</w:t>
            </w:r>
          </w:p>
        </w:tc>
        <w:tc>
          <w:tcPr>
            <w:tcW w:w="3685" w:type="dxa"/>
            <w:gridSpan w:val="2"/>
          </w:tcPr>
          <w:p w:rsidR="00EB7FE6" w:rsidRPr="00A92787" w:rsidRDefault="00EB7FE6" w:rsidP="00A92787">
            <w:pPr>
              <w:ind w:left="29"/>
              <w:rPr>
                <w:sz w:val="22"/>
                <w:szCs w:val="22"/>
              </w:rPr>
            </w:pPr>
            <w:r w:rsidRPr="00A92787">
              <w:rPr>
                <w:sz w:val="22"/>
                <w:szCs w:val="22"/>
              </w:rPr>
              <w:t>41 (4 til 79)</w:t>
            </w:r>
          </w:p>
        </w:tc>
      </w:tr>
    </w:tbl>
    <w:p w:rsidR="007564F4" w:rsidRPr="00837382" w:rsidRDefault="007564F4" w:rsidP="007564F4">
      <w:pPr>
        <w:tabs>
          <w:tab w:val="left" w:pos="851"/>
        </w:tabs>
        <w:ind w:left="851"/>
        <w:rPr>
          <w:sz w:val="20"/>
        </w:rPr>
      </w:pPr>
      <w:r w:rsidRPr="00837382">
        <w:rPr>
          <w:sz w:val="20"/>
        </w:rPr>
        <w:t>* Patienter, som fik emtricitabin, tenofovirdisoproxil og efavirenz, fik emtricitabin, tenofovirdisoproxil plus efavirenz fra uge 96 til 144.</w:t>
      </w:r>
    </w:p>
    <w:p w:rsidR="007564F4" w:rsidRPr="00837382" w:rsidRDefault="007564F4" w:rsidP="007564F4">
      <w:pPr>
        <w:tabs>
          <w:tab w:val="left" w:pos="851"/>
        </w:tabs>
        <w:ind w:left="851"/>
        <w:rPr>
          <w:sz w:val="20"/>
        </w:rPr>
      </w:pPr>
      <w:r w:rsidRPr="00837382">
        <w:rPr>
          <w:sz w:val="20"/>
        </w:rPr>
        <w:t xml:space="preserve">** p-værdien baseret på Cochran-Mantel-Haenszel-testen stratificeret til CD4-celletal ved </w:t>
      </w:r>
      <w:r w:rsidRPr="00837382">
        <w:rPr>
          <w:i/>
          <w:sz w:val="20"/>
        </w:rPr>
        <w:t>baseline</w:t>
      </w:r>
      <w:r w:rsidRPr="00837382">
        <w:rPr>
          <w:sz w:val="20"/>
        </w:rPr>
        <w:t xml:space="preserve"> TLOVR = </w:t>
      </w:r>
      <w:r w:rsidRPr="00837382">
        <w:rPr>
          <w:i/>
          <w:sz w:val="20"/>
        </w:rPr>
        <w:t xml:space="preserve">Time to Loss of Virologic Response </w:t>
      </w:r>
      <w:r w:rsidRPr="00837382">
        <w:rPr>
          <w:sz w:val="20"/>
        </w:rPr>
        <w:t>(tiden til tab af virologisk respons) a: Van Elteren-test</w:t>
      </w:r>
    </w:p>
    <w:p w:rsidR="007564F4" w:rsidRPr="00FD00E3" w:rsidRDefault="007564F4" w:rsidP="007564F4">
      <w:pPr>
        <w:tabs>
          <w:tab w:val="left" w:pos="851"/>
        </w:tabs>
        <w:ind w:left="851"/>
        <w:rPr>
          <w:sz w:val="24"/>
          <w:szCs w:val="24"/>
        </w:rPr>
      </w:pPr>
    </w:p>
    <w:p w:rsidR="004E12F3" w:rsidRPr="00FD00E3" w:rsidRDefault="004E12F3" w:rsidP="004E12F3">
      <w:pPr>
        <w:tabs>
          <w:tab w:val="left" w:pos="851"/>
        </w:tabs>
        <w:ind w:left="851"/>
        <w:rPr>
          <w:sz w:val="24"/>
          <w:szCs w:val="24"/>
        </w:rPr>
      </w:pPr>
      <w:r w:rsidRPr="007A666A">
        <w:rPr>
          <w:sz w:val="24"/>
          <w:szCs w:val="24"/>
        </w:rPr>
        <w:t xml:space="preserve">I et randomiseret, klinisk studie (M02-418) blev 190 antiretroviral-naive voksne behandlet en gang daglig med emtricitabin og tenofovirdisoproxil i kombination med lopinavir/ritonavir administreret en eller to gange daglig. </w:t>
      </w:r>
      <w:r w:rsidRPr="00FD00E3">
        <w:rPr>
          <w:sz w:val="24"/>
          <w:szCs w:val="24"/>
        </w:rPr>
        <w:t>I uge 48 af behandlingen udviste 70% og 64% af patienterne HIV 1-rna &lt; 50 kopier/ml med henholdsvis en og to gange daglig behandling med lopinavir/ritonavir.</w:t>
      </w:r>
    </w:p>
    <w:p w:rsidR="004E12F3" w:rsidRPr="00FD00E3" w:rsidRDefault="004E12F3" w:rsidP="004E12F3">
      <w:pPr>
        <w:tabs>
          <w:tab w:val="left" w:pos="851"/>
        </w:tabs>
        <w:ind w:left="851"/>
        <w:rPr>
          <w:sz w:val="24"/>
          <w:szCs w:val="24"/>
        </w:rPr>
      </w:pPr>
      <w:r w:rsidRPr="00FD00E3">
        <w:rPr>
          <w:sz w:val="24"/>
          <w:szCs w:val="24"/>
        </w:rPr>
        <w:t xml:space="preserve">Middelændringerne i CD4-celletallet fra </w:t>
      </w:r>
      <w:r w:rsidRPr="00FD00E3">
        <w:rPr>
          <w:i/>
          <w:sz w:val="24"/>
          <w:szCs w:val="24"/>
        </w:rPr>
        <w:t xml:space="preserve">baseline </w:t>
      </w:r>
      <w:r w:rsidRPr="00FD00E3">
        <w:rPr>
          <w:sz w:val="24"/>
          <w:szCs w:val="24"/>
        </w:rPr>
        <w:t>var henholdsvis +185 celler/mm3 og +196 celler/mm3.</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Begrænset klinisk erfaring med patienter, som samtidig er inficeret med HIV og HBV, tyder på, at behandling med emtricitabin eller tenofovirdisoproxil i antiretroviral kombinationsbehandling for at kontrollere HIV-infektionen giver en reduktion af HBV-dna (henholdsvis 3 log</w:t>
      </w:r>
      <w:r w:rsidRPr="00FD00E3">
        <w:rPr>
          <w:sz w:val="24"/>
          <w:szCs w:val="24"/>
          <w:vertAlign w:val="subscript"/>
        </w:rPr>
        <w:t>10</w:t>
      </w:r>
      <w:r w:rsidRPr="00FD00E3">
        <w:rPr>
          <w:sz w:val="24"/>
          <w:szCs w:val="24"/>
        </w:rPr>
        <w:t xml:space="preserve"> reduktion eller 4 til 5 log</w:t>
      </w:r>
      <w:r w:rsidRPr="00FD00E3">
        <w:rPr>
          <w:sz w:val="24"/>
          <w:szCs w:val="24"/>
          <w:vertAlign w:val="subscript"/>
        </w:rPr>
        <w:t>10</w:t>
      </w:r>
      <w:r w:rsidRPr="00FD00E3">
        <w:rPr>
          <w:sz w:val="24"/>
          <w:szCs w:val="24"/>
        </w:rPr>
        <w:t xml:space="preserve"> reduktion) (se pkt. 4.4).</w:t>
      </w:r>
    </w:p>
    <w:p w:rsidR="007564F4" w:rsidRPr="00FD00E3" w:rsidRDefault="007564F4" w:rsidP="007564F4">
      <w:pPr>
        <w:tabs>
          <w:tab w:val="left" w:pos="851"/>
        </w:tabs>
        <w:ind w:left="851"/>
        <w:rPr>
          <w:sz w:val="24"/>
          <w:szCs w:val="24"/>
        </w:rPr>
      </w:pPr>
    </w:p>
    <w:p w:rsidR="007564F4" w:rsidRDefault="007564F4" w:rsidP="00EB7FE6">
      <w:pPr>
        <w:keepNext/>
        <w:tabs>
          <w:tab w:val="left" w:pos="851"/>
        </w:tabs>
        <w:ind w:left="851"/>
        <w:rPr>
          <w:i/>
          <w:sz w:val="24"/>
          <w:szCs w:val="24"/>
        </w:rPr>
      </w:pPr>
      <w:r w:rsidRPr="00FD00E3">
        <w:rPr>
          <w:i/>
          <w:sz w:val="24"/>
          <w:szCs w:val="24"/>
        </w:rPr>
        <w:lastRenderedPageBreak/>
        <w:t>Profylakse før eksponering</w:t>
      </w:r>
    </w:p>
    <w:p w:rsidR="007564F4" w:rsidRPr="00FD00E3" w:rsidRDefault="007564F4" w:rsidP="00EB7FE6">
      <w:pPr>
        <w:tabs>
          <w:tab w:val="left" w:pos="851"/>
        </w:tabs>
        <w:ind w:left="851"/>
        <w:rPr>
          <w:sz w:val="24"/>
          <w:szCs w:val="24"/>
        </w:rPr>
      </w:pPr>
      <w:r w:rsidRPr="00FD00E3">
        <w:rPr>
          <w:sz w:val="24"/>
          <w:szCs w:val="24"/>
        </w:rPr>
        <w:t xml:space="preserve">iPrEx-studiet (CO−US−104−0288) evaluerede emtricitabin/tenofovirdisoproxil 200 mg/245 mg tabletter </w:t>
      </w:r>
      <w:r w:rsidRPr="00FD00E3">
        <w:rPr>
          <w:i/>
          <w:sz w:val="24"/>
          <w:szCs w:val="24"/>
        </w:rPr>
        <w:t xml:space="preserve">versus </w:t>
      </w:r>
      <w:r w:rsidRPr="00FD00E3">
        <w:rPr>
          <w:sz w:val="24"/>
          <w:szCs w:val="24"/>
        </w:rPr>
        <w:t xml:space="preserve">placebo hos 2.499 mænd (eller transkønnede kvinder) uden HIV-infektion, der har sex med mænd, og som blev anset for at have høj risiko for HIV-infektion. Forsøgspersonerne blev fulgt i 4.237 personår. </w:t>
      </w:r>
      <w:r w:rsidRPr="00FD00E3">
        <w:rPr>
          <w:i/>
          <w:sz w:val="24"/>
          <w:szCs w:val="24"/>
        </w:rPr>
        <w:t>Baseline</w:t>
      </w:r>
      <w:r w:rsidRPr="00FD00E3">
        <w:rPr>
          <w:sz w:val="24"/>
          <w:szCs w:val="24"/>
        </w:rPr>
        <w:t>-karakteristika er opsummeret i tabel 5.</w:t>
      </w:r>
      <w:r w:rsidR="004E12F3">
        <w:rPr>
          <w:sz w:val="24"/>
          <w:szCs w:val="24"/>
        </w:rPr>
        <w:br/>
      </w:r>
    </w:p>
    <w:p w:rsidR="008A36FE" w:rsidRPr="008A36FE" w:rsidRDefault="008A36FE" w:rsidP="008A36FE">
      <w:pPr>
        <w:keepNext/>
        <w:tabs>
          <w:tab w:val="left" w:pos="851"/>
        </w:tabs>
        <w:ind w:left="851"/>
        <w:rPr>
          <w:b/>
          <w:bCs/>
          <w:sz w:val="24"/>
          <w:szCs w:val="24"/>
          <w:lang w:val="en-US"/>
        </w:rPr>
      </w:pPr>
      <w:r w:rsidRPr="008A36FE">
        <w:rPr>
          <w:b/>
          <w:bCs/>
          <w:sz w:val="24"/>
          <w:szCs w:val="24"/>
          <w:lang w:val="en-US"/>
        </w:rPr>
        <w:t>Tabel 5: Studiepopulation fra studie CO-US-104-0288 (iPrEx)</w:t>
      </w:r>
    </w:p>
    <w:p w:rsidR="008A36FE" w:rsidRPr="008A36FE" w:rsidRDefault="008A36FE" w:rsidP="008A36FE">
      <w:pPr>
        <w:keepNext/>
        <w:tabs>
          <w:tab w:val="left" w:pos="851"/>
        </w:tabs>
        <w:ind w:left="851"/>
        <w:rPr>
          <w:b/>
          <w:sz w:val="24"/>
          <w:szCs w:val="24"/>
          <w:lang w:val="en-US"/>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276"/>
        <w:gridCol w:w="2116"/>
      </w:tblGrid>
      <w:tr w:rsidR="00EB7FE6" w:rsidRPr="00467589" w:rsidTr="00A92787">
        <w:trPr>
          <w:trHeight w:val="460"/>
        </w:trPr>
        <w:tc>
          <w:tcPr>
            <w:tcW w:w="5954" w:type="dxa"/>
          </w:tcPr>
          <w:p w:rsidR="00EB7FE6" w:rsidRPr="00A92787" w:rsidRDefault="00EB7FE6" w:rsidP="00A92787">
            <w:pPr>
              <w:ind w:left="166"/>
              <w:rPr>
                <w:sz w:val="22"/>
                <w:szCs w:val="22"/>
                <w:lang w:val="en-US"/>
              </w:rPr>
            </w:pPr>
          </w:p>
        </w:tc>
        <w:tc>
          <w:tcPr>
            <w:tcW w:w="1276" w:type="dxa"/>
          </w:tcPr>
          <w:p w:rsidR="00EB7FE6" w:rsidRPr="00A92787" w:rsidRDefault="00EB7FE6" w:rsidP="00A92787">
            <w:pPr>
              <w:rPr>
                <w:b/>
                <w:sz w:val="22"/>
                <w:szCs w:val="22"/>
              </w:rPr>
            </w:pPr>
            <w:r w:rsidRPr="00A92787">
              <w:rPr>
                <w:b/>
                <w:sz w:val="22"/>
                <w:szCs w:val="22"/>
              </w:rPr>
              <w:t>Placebo (n = 1248)</w:t>
            </w:r>
          </w:p>
        </w:tc>
        <w:tc>
          <w:tcPr>
            <w:tcW w:w="2116" w:type="dxa"/>
          </w:tcPr>
          <w:p w:rsidR="00EB7FE6" w:rsidRPr="00A92787" w:rsidRDefault="00EB7FE6" w:rsidP="00A92787">
            <w:pPr>
              <w:rPr>
                <w:b/>
                <w:sz w:val="22"/>
                <w:szCs w:val="22"/>
              </w:rPr>
            </w:pPr>
            <w:r w:rsidRPr="00A92787">
              <w:rPr>
                <w:b/>
                <w:sz w:val="22"/>
                <w:szCs w:val="22"/>
              </w:rPr>
              <w:t>Emtricitabin/</w:t>
            </w:r>
          </w:p>
          <w:p w:rsidR="00EB7FE6" w:rsidRPr="00467589" w:rsidRDefault="00EB7FE6" w:rsidP="00A92787">
            <w:pPr>
              <w:rPr>
                <w:b/>
                <w:sz w:val="22"/>
                <w:szCs w:val="22"/>
              </w:rPr>
            </w:pPr>
            <w:r w:rsidRPr="00467589">
              <w:rPr>
                <w:b/>
                <w:sz w:val="22"/>
                <w:szCs w:val="22"/>
              </w:rPr>
              <w:t>tenofovirdisoproxil 200 mg/245 mg tabletter (n = 1251)</w:t>
            </w:r>
          </w:p>
        </w:tc>
      </w:tr>
      <w:tr w:rsidR="00EB7FE6" w:rsidRPr="00467589" w:rsidTr="00A92787">
        <w:trPr>
          <w:trHeight w:val="242"/>
        </w:trPr>
        <w:tc>
          <w:tcPr>
            <w:tcW w:w="5954" w:type="dxa"/>
          </w:tcPr>
          <w:p w:rsidR="00EB7FE6" w:rsidRPr="00A92787" w:rsidRDefault="00EB7FE6" w:rsidP="00A92787">
            <w:pPr>
              <w:ind w:left="166"/>
              <w:rPr>
                <w:b/>
                <w:sz w:val="22"/>
                <w:szCs w:val="22"/>
              </w:rPr>
            </w:pPr>
            <w:r w:rsidRPr="00A92787">
              <w:rPr>
                <w:b/>
                <w:sz w:val="22"/>
                <w:szCs w:val="22"/>
              </w:rPr>
              <w:t>Alder (år), gennemsnit (SD)</w:t>
            </w:r>
          </w:p>
        </w:tc>
        <w:tc>
          <w:tcPr>
            <w:tcW w:w="1276" w:type="dxa"/>
          </w:tcPr>
          <w:p w:rsidR="00EB7FE6" w:rsidRPr="00A92787" w:rsidRDefault="00EB7FE6" w:rsidP="00A92787">
            <w:pPr>
              <w:rPr>
                <w:sz w:val="22"/>
                <w:szCs w:val="22"/>
              </w:rPr>
            </w:pPr>
            <w:r w:rsidRPr="00A92787">
              <w:rPr>
                <w:sz w:val="22"/>
                <w:szCs w:val="22"/>
              </w:rPr>
              <w:t>27 (8,5)</w:t>
            </w:r>
          </w:p>
        </w:tc>
        <w:tc>
          <w:tcPr>
            <w:tcW w:w="2116" w:type="dxa"/>
          </w:tcPr>
          <w:p w:rsidR="00EB7FE6" w:rsidRPr="00A92787" w:rsidRDefault="00EB7FE6" w:rsidP="00A92787">
            <w:pPr>
              <w:rPr>
                <w:sz w:val="22"/>
                <w:szCs w:val="22"/>
              </w:rPr>
            </w:pPr>
            <w:r w:rsidRPr="00A92787">
              <w:rPr>
                <w:sz w:val="22"/>
                <w:szCs w:val="22"/>
              </w:rPr>
              <w:t>27 (8,6)</w:t>
            </w:r>
          </w:p>
        </w:tc>
      </w:tr>
      <w:tr w:rsidR="00EB7FE6" w:rsidRPr="00467589" w:rsidTr="00A92787">
        <w:trPr>
          <w:trHeight w:val="229"/>
        </w:trPr>
        <w:tc>
          <w:tcPr>
            <w:tcW w:w="9346" w:type="dxa"/>
            <w:gridSpan w:val="3"/>
          </w:tcPr>
          <w:p w:rsidR="00EB7FE6" w:rsidRPr="00A92787" w:rsidRDefault="00EB7FE6" w:rsidP="00A92787">
            <w:pPr>
              <w:rPr>
                <w:b/>
                <w:sz w:val="22"/>
                <w:szCs w:val="22"/>
              </w:rPr>
            </w:pPr>
            <w:r w:rsidRPr="00A92787">
              <w:rPr>
                <w:b/>
                <w:sz w:val="22"/>
                <w:szCs w:val="22"/>
              </w:rPr>
              <w:t>Race, N (%)</w:t>
            </w:r>
          </w:p>
        </w:tc>
      </w:tr>
      <w:tr w:rsidR="00EB7FE6" w:rsidRPr="00467589" w:rsidTr="00A92787">
        <w:trPr>
          <w:trHeight w:val="230"/>
        </w:trPr>
        <w:tc>
          <w:tcPr>
            <w:tcW w:w="5954" w:type="dxa"/>
          </w:tcPr>
          <w:p w:rsidR="00EB7FE6" w:rsidRPr="00A92787" w:rsidRDefault="00EB7FE6" w:rsidP="00A92787">
            <w:pPr>
              <w:ind w:left="166"/>
              <w:rPr>
                <w:sz w:val="22"/>
                <w:szCs w:val="22"/>
              </w:rPr>
            </w:pPr>
            <w:r w:rsidRPr="00A92787">
              <w:rPr>
                <w:sz w:val="22"/>
                <w:szCs w:val="22"/>
              </w:rPr>
              <w:t>Sort/afroamerikaner</w:t>
            </w:r>
          </w:p>
        </w:tc>
        <w:tc>
          <w:tcPr>
            <w:tcW w:w="1276" w:type="dxa"/>
          </w:tcPr>
          <w:p w:rsidR="00EB7FE6" w:rsidRPr="00A92787" w:rsidRDefault="00EB7FE6" w:rsidP="00A92787">
            <w:pPr>
              <w:rPr>
                <w:sz w:val="22"/>
                <w:szCs w:val="22"/>
              </w:rPr>
            </w:pPr>
            <w:r w:rsidRPr="00A92787">
              <w:rPr>
                <w:sz w:val="22"/>
                <w:szCs w:val="22"/>
              </w:rPr>
              <w:t>97 (8)</w:t>
            </w:r>
          </w:p>
        </w:tc>
        <w:tc>
          <w:tcPr>
            <w:tcW w:w="2116" w:type="dxa"/>
          </w:tcPr>
          <w:p w:rsidR="00EB7FE6" w:rsidRPr="00A92787" w:rsidRDefault="00EB7FE6" w:rsidP="00A92787">
            <w:pPr>
              <w:rPr>
                <w:sz w:val="22"/>
                <w:szCs w:val="22"/>
              </w:rPr>
            </w:pPr>
            <w:r w:rsidRPr="00A92787">
              <w:rPr>
                <w:sz w:val="22"/>
                <w:szCs w:val="22"/>
              </w:rPr>
              <w:t>117 (9)</w:t>
            </w:r>
          </w:p>
        </w:tc>
      </w:tr>
      <w:tr w:rsidR="00EB7FE6" w:rsidRPr="00467589" w:rsidTr="00A92787">
        <w:trPr>
          <w:trHeight w:val="230"/>
        </w:trPr>
        <w:tc>
          <w:tcPr>
            <w:tcW w:w="5954" w:type="dxa"/>
          </w:tcPr>
          <w:p w:rsidR="00EB7FE6" w:rsidRPr="00A92787" w:rsidRDefault="00EB7FE6" w:rsidP="00A92787">
            <w:pPr>
              <w:ind w:left="166"/>
              <w:rPr>
                <w:sz w:val="22"/>
                <w:szCs w:val="22"/>
              </w:rPr>
            </w:pPr>
            <w:r w:rsidRPr="00A92787">
              <w:rPr>
                <w:sz w:val="22"/>
                <w:szCs w:val="22"/>
              </w:rPr>
              <w:t>Hvid</w:t>
            </w:r>
          </w:p>
        </w:tc>
        <w:tc>
          <w:tcPr>
            <w:tcW w:w="1276" w:type="dxa"/>
          </w:tcPr>
          <w:p w:rsidR="00EB7FE6" w:rsidRPr="00A92787" w:rsidRDefault="00EB7FE6" w:rsidP="00A92787">
            <w:pPr>
              <w:rPr>
                <w:sz w:val="22"/>
                <w:szCs w:val="22"/>
              </w:rPr>
            </w:pPr>
            <w:r w:rsidRPr="00A92787">
              <w:rPr>
                <w:sz w:val="22"/>
                <w:szCs w:val="22"/>
              </w:rPr>
              <w:t>208 (17)</w:t>
            </w:r>
          </w:p>
        </w:tc>
        <w:tc>
          <w:tcPr>
            <w:tcW w:w="2116" w:type="dxa"/>
          </w:tcPr>
          <w:p w:rsidR="00EB7FE6" w:rsidRPr="00A92787" w:rsidRDefault="00EB7FE6" w:rsidP="00A92787">
            <w:pPr>
              <w:rPr>
                <w:sz w:val="22"/>
                <w:szCs w:val="22"/>
              </w:rPr>
            </w:pPr>
            <w:r w:rsidRPr="00A92787">
              <w:rPr>
                <w:sz w:val="22"/>
                <w:szCs w:val="22"/>
              </w:rPr>
              <w:t>223 (18)</w:t>
            </w:r>
          </w:p>
        </w:tc>
      </w:tr>
      <w:tr w:rsidR="00EB7FE6" w:rsidRPr="00467589" w:rsidTr="00A92787">
        <w:trPr>
          <w:trHeight w:val="229"/>
        </w:trPr>
        <w:tc>
          <w:tcPr>
            <w:tcW w:w="5954" w:type="dxa"/>
          </w:tcPr>
          <w:p w:rsidR="00EB7FE6" w:rsidRPr="00A92787" w:rsidRDefault="00EB7FE6" w:rsidP="00A92787">
            <w:pPr>
              <w:ind w:left="166"/>
              <w:rPr>
                <w:sz w:val="22"/>
                <w:szCs w:val="22"/>
              </w:rPr>
            </w:pPr>
            <w:r w:rsidRPr="00A92787">
              <w:rPr>
                <w:sz w:val="22"/>
                <w:szCs w:val="22"/>
              </w:rPr>
              <w:t>Blandet/anden</w:t>
            </w:r>
          </w:p>
        </w:tc>
        <w:tc>
          <w:tcPr>
            <w:tcW w:w="1276" w:type="dxa"/>
          </w:tcPr>
          <w:p w:rsidR="00EB7FE6" w:rsidRPr="00A92787" w:rsidRDefault="00EB7FE6" w:rsidP="00A92787">
            <w:pPr>
              <w:rPr>
                <w:sz w:val="22"/>
                <w:szCs w:val="22"/>
              </w:rPr>
            </w:pPr>
            <w:r w:rsidRPr="00A92787">
              <w:rPr>
                <w:sz w:val="22"/>
                <w:szCs w:val="22"/>
              </w:rPr>
              <w:t>878 (70)</w:t>
            </w:r>
          </w:p>
        </w:tc>
        <w:tc>
          <w:tcPr>
            <w:tcW w:w="2116" w:type="dxa"/>
          </w:tcPr>
          <w:p w:rsidR="00EB7FE6" w:rsidRPr="00A92787" w:rsidRDefault="00EB7FE6" w:rsidP="00A92787">
            <w:pPr>
              <w:rPr>
                <w:sz w:val="22"/>
                <w:szCs w:val="22"/>
              </w:rPr>
            </w:pPr>
            <w:r w:rsidRPr="00A92787">
              <w:rPr>
                <w:sz w:val="22"/>
                <w:szCs w:val="22"/>
              </w:rPr>
              <w:t>849 (68)</w:t>
            </w:r>
          </w:p>
        </w:tc>
      </w:tr>
      <w:tr w:rsidR="00EB7FE6" w:rsidRPr="00467589" w:rsidTr="00A92787">
        <w:trPr>
          <w:trHeight w:val="227"/>
        </w:trPr>
        <w:tc>
          <w:tcPr>
            <w:tcW w:w="5954" w:type="dxa"/>
          </w:tcPr>
          <w:p w:rsidR="00EB7FE6" w:rsidRPr="00A92787" w:rsidRDefault="00EB7FE6" w:rsidP="00A92787">
            <w:pPr>
              <w:ind w:left="166"/>
              <w:rPr>
                <w:sz w:val="22"/>
                <w:szCs w:val="22"/>
              </w:rPr>
            </w:pPr>
            <w:r w:rsidRPr="00A92787">
              <w:rPr>
                <w:sz w:val="22"/>
                <w:szCs w:val="22"/>
              </w:rPr>
              <w:t>Asiater</w:t>
            </w:r>
          </w:p>
        </w:tc>
        <w:tc>
          <w:tcPr>
            <w:tcW w:w="1276" w:type="dxa"/>
          </w:tcPr>
          <w:p w:rsidR="00EB7FE6" w:rsidRPr="00A92787" w:rsidRDefault="00EB7FE6" w:rsidP="00A92787">
            <w:pPr>
              <w:rPr>
                <w:sz w:val="22"/>
                <w:szCs w:val="22"/>
              </w:rPr>
            </w:pPr>
            <w:r w:rsidRPr="00A92787">
              <w:rPr>
                <w:sz w:val="22"/>
                <w:szCs w:val="22"/>
              </w:rPr>
              <w:t>65 (5)</w:t>
            </w:r>
          </w:p>
        </w:tc>
        <w:tc>
          <w:tcPr>
            <w:tcW w:w="2116" w:type="dxa"/>
          </w:tcPr>
          <w:p w:rsidR="00EB7FE6" w:rsidRPr="00A92787" w:rsidRDefault="00EB7FE6" w:rsidP="00A92787">
            <w:pPr>
              <w:rPr>
                <w:sz w:val="22"/>
                <w:szCs w:val="22"/>
              </w:rPr>
            </w:pPr>
            <w:r w:rsidRPr="00A92787">
              <w:rPr>
                <w:sz w:val="22"/>
                <w:szCs w:val="22"/>
              </w:rPr>
              <w:t>62 (5)</w:t>
            </w:r>
          </w:p>
        </w:tc>
      </w:tr>
      <w:tr w:rsidR="00EB7FE6" w:rsidRPr="00467589" w:rsidTr="00A92787">
        <w:trPr>
          <w:trHeight w:val="230"/>
        </w:trPr>
        <w:tc>
          <w:tcPr>
            <w:tcW w:w="5954" w:type="dxa"/>
          </w:tcPr>
          <w:p w:rsidR="00EB7FE6" w:rsidRPr="00A92787" w:rsidRDefault="00EB7FE6" w:rsidP="00A92787">
            <w:pPr>
              <w:ind w:left="166"/>
              <w:rPr>
                <w:b/>
                <w:sz w:val="22"/>
                <w:szCs w:val="22"/>
              </w:rPr>
            </w:pPr>
            <w:r w:rsidRPr="00A92787">
              <w:rPr>
                <w:b/>
                <w:sz w:val="22"/>
                <w:szCs w:val="22"/>
              </w:rPr>
              <w:t>Spansk/latinamerikansk etnicitet, N (%)</w:t>
            </w:r>
          </w:p>
        </w:tc>
        <w:tc>
          <w:tcPr>
            <w:tcW w:w="1276" w:type="dxa"/>
          </w:tcPr>
          <w:p w:rsidR="00EB7FE6" w:rsidRPr="00A92787" w:rsidRDefault="00EB7FE6" w:rsidP="00A92787">
            <w:pPr>
              <w:rPr>
                <w:sz w:val="22"/>
                <w:szCs w:val="22"/>
              </w:rPr>
            </w:pPr>
            <w:r w:rsidRPr="00A92787">
              <w:rPr>
                <w:sz w:val="22"/>
                <w:szCs w:val="22"/>
              </w:rPr>
              <w:t>906 (73)</w:t>
            </w:r>
          </w:p>
        </w:tc>
        <w:tc>
          <w:tcPr>
            <w:tcW w:w="2116" w:type="dxa"/>
          </w:tcPr>
          <w:p w:rsidR="00EB7FE6" w:rsidRPr="00A92787" w:rsidRDefault="00EB7FE6" w:rsidP="00A92787">
            <w:pPr>
              <w:rPr>
                <w:sz w:val="22"/>
                <w:szCs w:val="22"/>
              </w:rPr>
            </w:pPr>
            <w:r w:rsidRPr="00A92787">
              <w:rPr>
                <w:sz w:val="22"/>
                <w:szCs w:val="22"/>
              </w:rPr>
              <w:t>900 (72)</w:t>
            </w:r>
          </w:p>
        </w:tc>
      </w:tr>
      <w:tr w:rsidR="00EB7FE6" w:rsidRPr="00467589" w:rsidTr="00A92787">
        <w:trPr>
          <w:trHeight w:val="289"/>
        </w:trPr>
        <w:tc>
          <w:tcPr>
            <w:tcW w:w="9346" w:type="dxa"/>
            <w:gridSpan w:val="3"/>
          </w:tcPr>
          <w:p w:rsidR="00EB7FE6" w:rsidRPr="00A92787" w:rsidRDefault="00EB7FE6" w:rsidP="00A92787">
            <w:pPr>
              <w:rPr>
                <w:b/>
                <w:sz w:val="22"/>
                <w:szCs w:val="22"/>
              </w:rPr>
            </w:pPr>
            <w:r w:rsidRPr="00A92787">
              <w:rPr>
                <w:b/>
                <w:sz w:val="22"/>
                <w:szCs w:val="22"/>
              </w:rPr>
              <w:t>Seksuelle risikofaktorer ved screening</w:t>
            </w:r>
          </w:p>
        </w:tc>
      </w:tr>
      <w:tr w:rsidR="00EB7FE6" w:rsidRPr="00467589" w:rsidTr="00A92787">
        <w:trPr>
          <w:trHeight w:val="230"/>
        </w:trPr>
        <w:tc>
          <w:tcPr>
            <w:tcW w:w="5954" w:type="dxa"/>
          </w:tcPr>
          <w:p w:rsidR="00EB7FE6" w:rsidRPr="00467589" w:rsidRDefault="00EB7FE6" w:rsidP="00A92787">
            <w:pPr>
              <w:ind w:left="166"/>
              <w:rPr>
                <w:sz w:val="22"/>
                <w:szCs w:val="22"/>
              </w:rPr>
            </w:pPr>
            <w:r w:rsidRPr="00467589">
              <w:rPr>
                <w:sz w:val="22"/>
                <w:szCs w:val="22"/>
              </w:rPr>
              <w:t>Antal partnere i de forudgående 12 uger, middel (SD)</w:t>
            </w:r>
          </w:p>
        </w:tc>
        <w:tc>
          <w:tcPr>
            <w:tcW w:w="1276" w:type="dxa"/>
          </w:tcPr>
          <w:p w:rsidR="00EB7FE6" w:rsidRPr="00A92787" w:rsidRDefault="00EB7FE6" w:rsidP="00A92787">
            <w:pPr>
              <w:rPr>
                <w:sz w:val="22"/>
                <w:szCs w:val="22"/>
              </w:rPr>
            </w:pPr>
            <w:r w:rsidRPr="00A92787">
              <w:rPr>
                <w:sz w:val="22"/>
                <w:szCs w:val="22"/>
              </w:rPr>
              <w:t>18 (43)</w:t>
            </w:r>
          </w:p>
        </w:tc>
        <w:tc>
          <w:tcPr>
            <w:tcW w:w="2116" w:type="dxa"/>
          </w:tcPr>
          <w:p w:rsidR="00EB7FE6" w:rsidRPr="00A92787" w:rsidRDefault="00EB7FE6" w:rsidP="00A92787">
            <w:pPr>
              <w:rPr>
                <w:sz w:val="22"/>
                <w:szCs w:val="22"/>
              </w:rPr>
            </w:pPr>
            <w:r w:rsidRPr="00A92787">
              <w:rPr>
                <w:sz w:val="22"/>
                <w:szCs w:val="22"/>
              </w:rPr>
              <w:t>18 (35)</w:t>
            </w:r>
          </w:p>
        </w:tc>
      </w:tr>
      <w:tr w:rsidR="00EB7FE6" w:rsidRPr="00467589" w:rsidTr="00A92787">
        <w:trPr>
          <w:trHeight w:val="230"/>
        </w:trPr>
        <w:tc>
          <w:tcPr>
            <w:tcW w:w="5954" w:type="dxa"/>
          </w:tcPr>
          <w:p w:rsidR="00EB7FE6" w:rsidRPr="00A92787" w:rsidRDefault="00EB7FE6" w:rsidP="00A92787">
            <w:pPr>
              <w:ind w:left="166"/>
              <w:rPr>
                <w:sz w:val="22"/>
                <w:szCs w:val="22"/>
              </w:rPr>
            </w:pPr>
            <w:r w:rsidRPr="00A92787">
              <w:rPr>
                <w:sz w:val="22"/>
                <w:szCs w:val="22"/>
              </w:rPr>
              <w:t>URAI forudgående 12 uger, N (%)</w:t>
            </w:r>
          </w:p>
        </w:tc>
        <w:tc>
          <w:tcPr>
            <w:tcW w:w="1276" w:type="dxa"/>
          </w:tcPr>
          <w:p w:rsidR="00EB7FE6" w:rsidRPr="00A92787" w:rsidRDefault="00EB7FE6" w:rsidP="00A92787">
            <w:pPr>
              <w:rPr>
                <w:sz w:val="22"/>
                <w:szCs w:val="22"/>
              </w:rPr>
            </w:pPr>
            <w:r w:rsidRPr="00A92787">
              <w:rPr>
                <w:sz w:val="22"/>
                <w:szCs w:val="22"/>
              </w:rPr>
              <w:t>753 (60)</w:t>
            </w:r>
          </w:p>
        </w:tc>
        <w:tc>
          <w:tcPr>
            <w:tcW w:w="2116" w:type="dxa"/>
          </w:tcPr>
          <w:p w:rsidR="00EB7FE6" w:rsidRPr="00A92787" w:rsidRDefault="00EB7FE6" w:rsidP="00A92787">
            <w:pPr>
              <w:rPr>
                <w:sz w:val="22"/>
                <w:szCs w:val="22"/>
              </w:rPr>
            </w:pPr>
            <w:r w:rsidRPr="00A92787">
              <w:rPr>
                <w:sz w:val="22"/>
                <w:szCs w:val="22"/>
              </w:rPr>
              <w:t>732 (59)</w:t>
            </w:r>
          </w:p>
        </w:tc>
      </w:tr>
      <w:tr w:rsidR="00EB7FE6" w:rsidRPr="00467589" w:rsidTr="00A92787">
        <w:trPr>
          <w:trHeight w:val="285"/>
        </w:trPr>
        <w:tc>
          <w:tcPr>
            <w:tcW w:w="5954" w:type="dxa"/>
          </w:tcPr>
          <w:p w:rsidR="00EB7FE6" w:rsidRPr="00A92787" w:rsidRDefault="00EB7FE6" w:rsidP="00A92787">
            <w:pPr>
              <w:ind w:left="166"/>
              <w:rPr>
                <w:sz w:val="22"/>
                <w:szCs w:val="22"/>
              </w:rPr>
            </w:pPr>
            <w:r w:rsidRPr="00467589">
              <w:rPr>
                <w:sz w:val="22"/>
                <w:szCs w:val="22"/>
              </w:rPr>
              <w:t xml:space="preserve">URAI med HIV+ (er ukendt status) partner forudg. </w:t>
            </w:r>
            <w:r w:rsidRPr="00A92787">
              <w:rPr>
                <w:sz w:val="22"/>
                <w:szCs w:val="22"/>
              </w:rPr>
              <w:t>6 mdr., N (%)</w:t>
            </w:r>
          </w:p>
        </w:tc>
        <w:tc>
          <w:tcPr>
            <w:tcW w:w="1276" w:type="dxa"/>
          </w:tcPr>
          <w:p w:rsidR="00EB7FE6" w:rsidRPr="00A92787" w:rsidRDefault="00EB7FE6" w:rsidP="00A92787">
            <w:pPr>
              <w:rPr>
                <w:sz w:val="22"/>
                <w:szCs w:val="22"/>
              </w:rPr>
            </w:pPr>
            <w:r w:rsidRPr="00A92787">
              <w:rPr>
                <w:sz w:val="22"/>
                <w:szCs w:val="22"/>
              </w:rPr>
              <w:t>1009 (81)</w:t>
            </w:r>
          </w:p>
        </w:tc>
        <w:tc>
          <w:tcPr>
            <w:tcW w:w="2116" w:type="dxa"/>
          </w:tcPr>
          <w:p w:rsidR="00EB7FE6" w:rsidRPr="00A92787" w:rsidRDefault="00EB7FE6" w:rsidP="00A92787">
            <w:pPr>
              <w:rPr>
                <w:sz w:val="22"/>
                <w:szCs w:val="22"/>
              </w:rPr>
            </w:pPr>
            <w:r w:rsidRPr="00A92787">
              <w:rPr>
                <w:sz w:val="22"/>
                <w:szCs w:val="22"/>
              </w:rPr>
              <w:t>992 (79)</w:t>
            </w:r>
          </w:p>
        </w:tc>
      </w:tr>
      <w:tr w:rsidR="00EB7FE6" w:rsidRPr="00467589" w:rsidTr="00A92787">
        <w:trPr>
          <w:trHeight w:val="229"/>
        </w:trPr>
        <w:tc>
          <w:tcPr>
            <w:tcW w:w="5954" w:type="dxa"/>
          </w:tcPr>
          <w:p w:rsidR="00EB7FE6" w:rsidRPr="00467589" w:rsidRDefault="00EB7FE6" w:rsidP="00A92787">
            <w:pPr>
              <w:ind w:left="166"/>
              <w:rPr>
                <w:sz w:val="22"/>
                <w:szCs w:val="22"/>
              </w:rPr>
            </w:pPr>
            <w:r w:rsidRPr="00467589">
              <w:rPr>
                <w:sz w:val="22"/>
                <w:szCs w:val="22"/>
              </w:rPr>
              <w:t>Involveret i transaktionssex forudg. 6 mdr., N (%)</w:t>
            </w:r>
          </w:p>
        </w:tc>
        <w:tc>
          <w:tcPr>
            <w:tcW w:w="1276" w:type="dxa"/>
          </w:tcPr>
          <w:p w:rsidR="00EB7FE6" w:rsidRPr="00A92787" w:rsidRDefault="00EB7FE6" w:rsidP="00A92787">
            <w:pPr>
              <w:rPr>
                <w:sz w:val="22"/>
                <w:szCs w:val="22"/>
              </w:rPr>
            </w:pPr>
            <w:r w:rsidRPr="00A92787">
              <w:rPr>
                <w:sz w:val="22"/>
                <w:szCs w:val="22"/>
              </w:rPr>
              <w:t>510 (41)</w:t>
            </w:r>
          </w:p>
        </w:tc>
        <w:tc>
          <w:tcPr>
            <w:tcW w:w="2116" w:type="dxa"/>
          </w:tcPr>
          <w:p w:rsidR="00EB7FE6" w:rsidRPr="00A92787" w:rsidRDefault="00EB7FE6" w:rsidP="00A92787">
            <w:pPr>
              <w:rPr>
                <w:sz w:val="22"/>
                <w:szCs w:val="22"/>
              </w:rPr>
            </w:pPr>
            <w:r w:rsidRPr="00A92787">
              <w:rPr>
                <w:sz w:val="22"/>
                <w:szCs w:val="22"/>
              </w:rPr>
              <w:t>517 (41)</w:t>
            </w:r>
          </w:p>
        </w:tc>
      </w:tr>
      <w:tr w:rsidR="00EB7FE6" w:rsidRPr="00467589" w:rsidTr="00A92787">
        <w:trPr>
          <w:trHeight w:val="230"/>
        </w:trPr>
        <w:tc>
          <w:tcPr>
            <w:tcW w:w="5954" w:type="dxa"/>
          </w:tcPr>
          <w:p w:rsidR="00EB7FE6" w:rsidRPr="00467589" w:rsidRDefault="00EB7FE6" w:rsidP="00A92787">
            <w:pPr>
              <w:ind w:left="166"/>
              <w:rPr>
                <w:sz w:val="22"/>
                <w:szCs w:val="22"/>
              </w:rPr>
            </w:pPr>
            <w:r w:rsidRPr="00467589">
              <w:rPr>
                <w:sz w:val="22"/>
                <w:szCs w:val="22"/>
              </w:rPr>
              <w:t>Kendt HIV+ partner sidste 6 mdr., N (%)</w:t>
            </w:r>
          </w:p>
        </w:tc>
        <w:tc>
          <w:tcPr>
            <w:tcW w:w="1276" w:type="dxa"/>
          </w:tcPr>
          <w:p w:rsidR="00EB7FE6" w:rsidRPr="00A92787" w:rsidRDefault="00EB7FE6" w:rsidP="00A92787">
            <w:pPr>
              <w:rPr>
                <w:sz w:val="22"/>
                <w:szCs w:val="22"/>
              </w:rPr>
            </w:pPr>
            <w:r w:rsidRPr="00A92787">
              <w:rPr>
                <w:sz w:val="22"/>
                <w:szCs w:val="22"/>
              </w:rPr>
              <w:t>32 (3)</w:t>
            </w:r>
          </w:p>
        </w:tc>
        <w:tc>
          <w:tcPr>
            <w:tcW w:w="2116" w:type="dxa"/>
          </w:tcPr>
          <w:p w:rsidR="00EB7FE6" w:rsidRPr="00A92787" w:rsidRDefault="00EB7FE6" w:rsidP="00A92787">
            <w:pPr>
              <w:rPr>
                <w:sz w:val="22"/>
                <w:szCs w:val="22"/>
              </w:rPr>
            </w:pPr>
            <w:r w:rsidRPr="00A92787">
              <w:rPr>
                <w:sz w:val="22"/>
                <w:szCs w:val="22"/>
              </w:rPr>
              <w:t>23 (2)</w:t>
            </w:r>
          </w:p>
        </w:tc>
      </w:tr>
      <w:tr w:rsidR="00EB7FE6" w:rsidRPr="00467589" w:rsidTr="00A92787">
        <w:trPr>
          <w:trHeight w:val="230"/>
        </w:trPr>
        <w:tc>
          <w:tcPr>
            <w:tcW w:w="5954" w:type="dxa"/>
          </w:tcPr>
          <w:p w:rsidR="00EB7FE6" w:rsidRPr="00A92787" w:rsidRDefault="00EB7FE6" w:rsidP="00A92787">
            <w:pPr>
              <w:ind w:left="166"/>
              <w:rPr>
                <w:sz w:val="22"/>
                <w:szCs w:val="22"/>
              </w:rPr>
            </w:pPr>
            <w:r w:rsidRPr="00A92787">
              <w:rPr>
                <w:sz w:val="22"/>
                <w:szCs w:val="22"/>
              </w:rPr>
              <w:t>Syfilis seroreaktivitet, N (%)</w:t>
            </w:r>
          </w:p>
        </w:tc>
        <w:tc>
          <w:tcPr>
            <w:tcW w:w="1276" w:type="dxa"/>
          </w:tcPr>
          <w:p w:rsidR="00EB7FE6" w:rsidRPr="00A92787" w:rsidRDefault="00EB7FE6" w:rsidP="00A92787">
            <w:pPr>
              <w:rPr>
                <w:sz w:val="22"/>
                <w:szCs w:val="22"/>
              </w:rPr>
            </w:pPr>
            <w:r w:rsidRPr="00A92787">
              <w:rPr>
                <w:sz w:val="22"/>
                <w:szCs w:val="22"/>
              </w:rPr>
              <w:t>162/1239 (13)</w:t>
            </w:r>
          </w:p>
        </w:tc>
        <w:tc>
          <w:tcPr>
            <w:tcW w:w="2116" w:type="dxa"/>
          </w:tcPr>
          <w:p w:rsidR="00EB7FE6" w:rsidRPr="00A92787" w:rsidRDefault="00EB7FE6" w:rsidP="00A92787">
            <w:pPr>
              <w:rPr>
                <w:sz w:val="22"/>
                <w:szCs w:val="22"/>
              </w:rPr>
            </w:pPr>
            <w:r w:rsidRPr="00A92787">
              <w:rPr>
                <w:sz w:val="22"/>
                <w:szCs w:val="22"/>
              </w:rPr>
              <w:t>164/1240 (13)</w:t>
            </w:r>
          </w:p>
        </w:tc>
      </w:tr>
      <w:tr w:rsidR="00EB7FE6" w:rsidRPr="00467589" w:rsidTr="00A92787">
        <w:trPr>
          <w:trHeight w:val="229"/>
        </w:trPr>
        <w:tc>
          <w:tcPr>
            <w:tcW w:w="5954" w:type="dxa"/>
          </w:tcPr>
          <w:p w:rsidR="00EB7FE6" w:rsidRPr="00A92787" w:rsidRDefault="00EB7FE6" w:rsidP="00A92787">
            <w:pPr>
              <w:ind w:left="166"/>
              <w:rPr>
                <w:sz w:val="22"/>
                <w:szCs w:val="22"/>
              </w:rPr>
            </w:pPr>
            <w:r w:rsidRPr="00A92787">
              <w:rPr>
                <w:sz w:val="22"/>
                <w:szCs w:val="22"/>
              </w:rPr>
              <w:t>Serumpåvist herpes simplex virus type 2 infektion, N (%)</w:t>
            </w:r>
          </w:p>
        </w:tc>
        <w:tc>
          <w:tcPr>
            <w:tcW w:w="1276" w:type="dxa"/>
          </w:tcPr>
          <w:p w:rsidR="00EB7FE6" w:rsidRPr="00A92787" w:rsidRDefault="00EB7FE6" w:rsidP="00A92787">
            <w:pPr>
              <w:rPr>
                <w:sz w:val="22"/>
                <w:szCs w:val="22"/>
              </w:rPr>
            </w:pPr>
            <w:r w:rsidRPr="00A92787">
              <w:rPr>
                <w:sz w:val="22"/>
                <w:szCs w:val="22"/>
              </w:rPr>
              <w:t>430/1243 (35)</w:t>
            </w:r>
          </w:p>
        </w:tc>
        <w:tc>
          <w:tcPr>
            <w:tcW w:w="2116" w:type="dxa"/>
          </w:tcPr>
          <w:p w:rsidR="00EB7FE6" w:rsidRPr="00A92787" w:rsidRDefault="00EB7FE6" w:rsidP="00A92787">
            <w:pPr>
              <w:rPr>
                <w:sz w:val="22"/>
                <w:szCs w:val="22"/>
              </w:rPr>
            </w:pPr>
            <w:r w:rsidRPr="00A92787">
              <w:rPr>
                <w:sz w:val="22"/>
                <w:szCs w:val="22"/>
              </w:rPr>
              <w:t>458/1241 (37)</w:t>
            </w:r>
          </w:p>
        </w:tc>
      </w:tr>
      <w:tr w:rsidR="00EB7FE6" w:rsidRPr="00467589" w:rsidTr="00A92787">
        <w:trPr>
          <w:trHeight w:val="230"/>
        </w:trPr>
        <w:tc>
          <w:tcPr>
            <w:tcW w:w="5954" w:type="dxa"/>
          </w:tcPr>
          <w:p w:rsidR="00EB7FE6" w:rsidRPr="00A92787" w:rsidRDefault="00EB7FE6" w:rsidP="00A92787">
            <w:pPr>
              <w:ind w:left="166"/>
              <w:rPr>
                <w:sz w:val="22"/>
                <w:szCs w:val="22"/>
              </w:rPr>
            </w:pPr>
            <w:r w:rsidRPr="00A92787">
              <w:rPr>
                <w:sz w:val="22"/>
                <w:szCs w:val="22"/>
              </w:rPr>
              <w:t>Urin-leukocytesterase-positiv, N (%)</w:t>
            </w:r>
          </w:p>
        </w:tc>
        <w:tc>
          <w:tcPr>
            <w:tcW w:w="1276" w:type="dxa"/>
          </w:tcPr>
          <w:p w:rsidR="00EB7FE6" w:rsidRPr="00A92787" w:rsidRDefault="00EB7FE6" w:rsidP="00A92787">
            <w:pPr>
              <w:rPr>
                <w:sz w:val="22"/>
                <w:szCs w:val="22"/>
              </w:rPr>
            </w:pPr>
            <w:r w:rsidRPr="00A92787">
              <w:rPr>
                <w:sz w:val="22"/>
                <w:szCs w:val="22"/>
              </w:rPr>
              <w:t>22 (2)</w:t>
            </w:r>
          </w:p>
        </w:tc>
        <w:tc>
          <w:tcPr>
            <w:tcW w:w="2116" w:type="dxa"/>
          </w:tcPr>
          <w:p w:rsidR="00EB7FE6" w:rsidRPr="00A92787" w:rsidRDefault="00EB7FE6" w:rsidP="00A92787">
            <w:pPr>
              <w:rPr>
                <w:sz w:val="22"/>
                <w:szCs w:val="22"/>
              </w:rPr>
            </w:pPr>
            <w:r w:rsidRPr="00A92787">
              <w:rPr>
                <w:sz w:val="22"/>
                <w:szCs w:val="22"/>
              </w:rPr>
              <w:t>23 (2)</w:t>
            </w:r>
          </w:p>
        </w:tc>
      </w:tr>
    </w:tbl>
    <w:p w:rsidR="008A36FE" w:rsidRDefault="008A36FE" w:rsidP="008A36FE">
      <w:pPr>
        <w:tabs>
          <w:tab w:val="left" w:pos="851"/>
        </w:tabs>
        <w:ind w:left="851"/>
        <w:rPr>
          <w:sz w:val="22"/>
          <w:szCs w:val="22"/>
        </w:rPr>
      </w:pPr>
      <w:r>
        <w:rPr>
          <w:sz w:val="22"/>
          <w:szCs w:val="22"/>
        </w:rPr>
        <w:t>URAI = ubeskyttet receptivt analt samleje</w:t>
      </w:r>
    </w:p>
    <w:p w:rsidR="008A36FE" w:rsidRDefault="008A36FE" w:rsidP="008A36FE">
      <w:pPr>
        <w:tabs>
          <w:tab w:val="left" w:pos="851"/>
        </w:tabs>
        <w:ind w:left="851"/>
        <w:rPr>
          <w:sz w:val="24"/>
          <w:szCs w:val="24"/>
        </w:rPr>
      </w:pPr>
    </w:p>
    <w:p w:rsidR="008A36FE" w:rsidRDefault="008A36FE" w:rsidP="008A36FE">
      <w:pPr>
        <w:tabs>
          <w:tab w:val="left" w:pos="851"/>
        </w:tabs>
        <w:ind w:left="851"/>
        <w:rPr>
          <w:sz w:val="24"/>
          <w:szCs w:val="24"/>
        </w:rPr>
      </w:pPr>
      <w:r>
        <w:rPr>
          <w:sz w:val="24"/>
          <w:szCs w:val="24"/>
        </w:rPr>
        <w:t xml:space="preserve">Forekomsten af HIV-serokonvertering samlet set og i den delmængde, som rapporterede ubeskyttet receptivt analt samleje, er vist i tabel 6. Virkning var stærkt korreleret til adhærens, vurderet ud fra påvisning af plasma- eller intracellulære lægemiddelniveauer i et </w:t>
      </w:r>
      <w:proofErr w:type="gramStart"/>
      <w:r>
        <w:rPr>
          <w:sz w:val="24"/>
          <w:szCs w:val="24"/>
        </w:rPr>
        <w:t>case-kontrol studie</w:t>
      </w:r>
      <w:proofErr w:type="gramEnd"/>
      <w:r>
        <w:rPr>
          <w:sz w:val="24"/>
          <w:szCs w:val="24"/>
        </w:rPr>
        <w:t xml:space="preserve"> (tabel 7).</w:t>
      </w:r>
    </w:p>
    <w:p w:rsidR="008A36FE" w:rsidRDefault="008A36FE" w:rsidP="008A36FE">
      <w:pPr>
        <w:tabs>
          <w:tab w:val="left" w:pos="851"/>
        </w:tabs>
        <w:ind w:left="851"/>
        <w:rPr>
          <w:sz w:val="24"/>
          <w:szCs w:val="24"/>
        </w:rPr>
      </w:pPr>
    </w:p>
    <w:p w:rsidR="008A36FE" w:rsidRPr="008A36FE" w:rsidRDefault="008A36FE" w:rsidP="008A36FE">
      <w:pPr>
        <w:tabs>
          <w:tab w:val="left" w:pos="851"/>
        </w:tabs>
        <w:ind w:left="851"/>
        <w:rPr>
          <w:b/>
          <w:bCs/>
          <w:sz w:val="24"/>
          <w:szCs w:val="24"/>
          <w:lang w:val="en-US"/>
        </w:rPr>
      </w:pPr>
      <w:r w:rsidRPr="008A36FE">
        <w:rPr>
          <w:b/>
          <w:bCs/>
          <w:sz w:val="24"/>
          <w:szCs w:val="24"/>
          <w:lang w:val="en-US"/>
        </w:rPr>
        <w:t>Tabel 6: Virkning i studie CO-US-104-0288 (iPrEx)</w:t>
      </w:r>
    </w:p>
    <w:tbl>
      <w:tblPr>
        <w:tblW w:w="93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1559"/>
        <w:gridCol w:w="1691"/>
        <w:gridCol w:w="10"/>
        <w:gridCol w:w="1266"/>
      </w:tblGrid>
      <w:tr w:rsidR="00EB7FE6" w:rsidRPr="00467589" w:rsidTr="00A92787">
        <w:trPr>
          <w:trHeight w:val="287"/>
        </w:trPr>
        <w:tc>
          <w:tcPr>
            <w:tcW w:w="4810" w:type="dxa"/>
          </w:tcPr>
          <w:p w:rsidR="00EB7FE6" w:rsidRPr="00A92787" w:rsidRDefault="00EB7FE6" w:rsidP="00A92787">
            <w:pPr>
              <w:ind w:left="24"/>
              <w:rPr>
                <w:sz w:val="22"/>
                <w:szCs w:val="22"/>
                <w:lang w:val="en-US"/>
              </w:rPr>
            </w:pPr>
          </w:p>
        </w:tc>
        <w:tc>
          <w:tcPr>
            <w:tcW w:w="1559" w:type="dxa"/>
          </w:tcPr>
          <w:p w:rsidR="00EB7FE6" w:rsidRPr="00A92787" w:rsidRDefault="00EB7FE6" w:rsidP="00A92787">
            <w:pPr>
              <w:rPr>
                <w:b/>
                <w:sz w:val="22"/>
                <w:szCs w:val="22"/>
              </w:rPr>
            </w:pPr>
            <w:r w:rsidRPr="00A92787">
              <w:rPr>
                <w:b/>
                <w:sz w:val="22"/>
                <w:szCs w:val="22"/>
              </w:rPr>
              <w:t>Placebo</w:t>
            </w:r>
          </w:p>
        </w:tc>
        <w:tc>
          <w:tcPr>
            <w:tcW w:w="1691" w:type="dxa"/>
          </w:tcPr>
          <w:p w:rsidR="00EB7FE6" w:rsidRPr="004836DB" w:rsidRDefault="00EB7FE6" w:rsidP="00A92787">
            <w:pPr>
              <w:rPr>
                <w:b/>
                <w:sz w:val="22"/>
                <w:szCs w:val="22"/>
                <w:lang w:val="en-US"/>
              </w:rPr>
            </w:pPr>
            <w:r w:rsidRPr="004836DB">
              <w:rPr>
                <w:b/>
                <w:sz w:val="22"/>
                <w:szCs w:val="22"/>
                <w:lang w:val="en-US"/>
              </w:rPr>
              <w:t>Emtricitabin/</w:t>
            </w:r>
          </w:p>
          <w:p w:rsidR="00EB7FE6" w:rsidRPr="00A92787" w:rsidRDefault="00EB7FE6" w:rsidP="00A92787">
            <w:pPr>
              <w:rPr>
                <w:b/>
                <w:sz w:val="22"/>
                <w:szCs w:val="22"/>
                <w:lang w:val="en-US"/>
              </w:rPr>
            </w:pPr>
            <w:r w:rsidRPr="00A92787">
              <w:rPr>
                <w:b/>
                <w:sz w:val="22"/>
                <w:szCs w:val="22"/>
                <w:lang w:val="en-US"/>
              </w:rPr>
              <w:t>Tenofovir-disoproxil 200 mg/245 mg tabletter</w:t>
            </w:r>
          </w:p>
        </w:tc>
        <w:tc>
          <w:tcPr>
            <w:tcW w:w="1276" w:type="dxa"/>
            <w:gridSpan w:val="2"/>
          </w:tcPr>
          <w:p w:rsidR="00EB7FE6" w:rsidRPr="00A92787" w:rsidRDefault="00EB7FE6" w:rsidP="00A92787">
            <w:pPr>
              <w:rPr>
                <w:b/>
                <w:sz w:val="22"/>
                <w:szCs w:val="22"/>
              </w:rPr>
            </w:pPr>
            <w:r w:rsidRPr="00A92787">
              <w:rPr>
                <w:b/>
                <w:sz w:val="22"/>
                <w:szCs w:val="22"/>
              </w:rPr>
              <w:t>P-værdi</w:t>
            </w:r>
            <w:r w:rsidRPr="00A92787">
              <w:rPr>
                <w:b/>
                <w:sz w:val="22"/>
                <w:szCs w:val="22"/>
                <w:vertAlign w:val="superscript"/>
              </w:rPr>
              <w:t>a, b</w:t>
            </w:r>
          </w:p>
        </w:tc>
      </w:tr>
      <w:tr w:rsidR="00EB7FE6" w:rsidRPr="00467589" w:rsidTr="00A92787">
        <w:trPr>
          <w:trHeight w:val="287"/>
        </w:trPr>
        <w:tc>
          <w:tcPr>
            <w:tcW w:w="9336" w:type="dxa"/>
            <w:gridSpan w:val="5"/>
          </w:tcPr>
          <w:p w:rsidR="00EB7FE6" w:rsidRPr="00A92787" w:rsidRDefault="00EB7FE6" w:rsidP="00A92787">
            <w:pPr>
              <w:rPr>
                <w:b/>
                <w:sz w:val="22"/>
                <w:szCs w:val="22"/>
              </w:rPr>
            </w:pPr>
            <w:r w:rsidRPr="00A92787">
              <w:rPr>
                <w:b/>
                <w:sz w:val="22"/>
                <w:szCs w:val="22"/>
              </w:rPr>
              <w:t>mITT-Analyse</w:t>
            </w:r>
          </w:p>
        </w:tc>
      </w:tr>
      <w:tr w:rsidR="00EB7FE6" w:rsidRPr="00467589" w:rsidTr="00A92787">
        <w:trPr>
          <w:trHeight w:val="287"/>
        </w:trPr>
        <w:tc>
          <w:tcPr>
            <w:tcW w:w="4810" w:type="dxa"/>
            <w:tcBorders>
              <w:bottom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Serokonverteringer / N</w:t>
            </w:r>
          </w:p>
        </w:tc>
        <w:tc>
          <w:tcPr>
            <w:tcW w:w="1559" w:type="dxa"/>
            <w:tcBorders>
              <w:left w:val="single" w:sz="6" w:space="0" w:color="000000"/>
              <w:bottom w:val="single" w:sz="6" w:space="0" w:color="000000"/>
              <w:right w:val="single" w:sz="6" w:space="0" w:color="000000"/>
            </w:tcBorders>
          </w:tcPr>
          <w:p w:rsidR="00EB7FE6" w:rsidRPr="00A92787" w:rsidRDefault="00EB7FE6" w:rsidP="00A92787">
            <w:pPr>
              <w:rPr>
                <w:sz w:val="22"/>
                <w:szCs w:val="22"/>
              </w:rPr>
            </w:pPr>
            <w:r w:rsidRPr="00A92787">
              <w:rPr>
                <w:sz w:val="22"/>
                <w:szCs w:val="22"/>
              </w:rPr>
              <w:t>83 / 1217</w:t>
            </w:r>
          </w:p>
        </w:tc>
        <w:tc>
          <w:tcPr>
            <w:tcW w:w="1701" w:type="dxa"/>
            <w:gridSpan w:val="2"/>
            <w:tcBorders>
              <w:left w:val="single" w:sz="6" w:space="0" w:color="000000"/>
              <w:bottom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48 / 1224</w:t>
            </w:r>
          </w:p>
        </w:tc>
        <w:tc>
          <w:tcPr>
            <w:tcW w:w="1266" w:type="dxa"/>
            <w:vMerge w:val="restart"/>
            <w:tcBorders>
              <w:left w:val="single" w:sz="6" w:space="0" w:color="000000"/>
              <w:right w:val="single" w:sz="6" w:space="0" w:color="000000"/>
            </w:tcBorders>
          </w:tcPr>
          <w:p w:rsidR="00EB7FE6" w:rsidRPr="00A92787" w:rsidRDefault="00EB7FE6" w:rsidP="00A92787">
            <w:pPr>
              <w:rPr>
                <w:sz w:val="22"/>
                <w:szCs w:val="22"/>
              </w:rPr>
            </w:pPr>
          </w:p>
          <w:p w:rsidR="00EB7FE6" w:rsidRPr="00A92787" w:rsidRDefault="00EB7FE6" w:rsidP="00A92787">
            <w:pPr>
              <w:rPr>
                <w:sz w:val="22"/>
                <w:szCs w:val="22"/>
              </w:rPr>
            </w:pPr>
            <w:r w:rsidRPr="00A92787">
              <w:rPr>
                <w:sz w:val="22"/>
                <w:szCs w:val="22"/>
              </w:rPr>
              <w:t>0,002</w:t>
            </w:r>
          </w:p>
        </w:tc>
      </w:tr>
      <w:tr w:rsidR="00EB7FE6" w:rsidRPr="00467589" w:rsidTr="00A92787">
        <w:trPr>
          <w:trHeight w:val="287"/>
        </w:trPr>
        <w:tc>
          <w:tcPr>
            <w:tcW w:w="4810" w:type="dxa"/>
            <w:tcBorders>
              <w:top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 xml:space="preserve">Relativ risikoreduktion (95 % </w:t>
            </w:r>
            <w:proofErr w:type="gramStart"/>
            <w:r w:rsidRPr="00A92787">
              <w:rPr>
                <w:sz w:val="22"/>
                <w:szCs w:val="22"/>
              </w:rPr>
              <w:t>CI)b</w:t>
            </w:r>
            <w:proofErr w:type="gramEnd"/>
          </w:p>
        </w:tc>
        <w:tc>
          <w:tcPr>
            <w:tcW w:w="3260" w:type="dxa"/>
            <w:gridSpan w:val="3"/>
            <w:tcBorders>
              <w:top w:val="single" w:sz="6" w:space="0" w:color="000000"/>
              <w:left w:val="single" w:sz="6" w:space="0" w:color="000000"/>
              <w:right w:val="single" w:sz="6" w:space="0" w:color="000000"/>
            </w:tcBorders>
          </w:tcPr>
          <w:p w:rsidR="00EB7FE6" w:rsidRPr="00A92787" w:rsidRDefault="00EB7FE6" w:rsidP="00A92787">
            <w:pPr>
              <w:rPr>
                <w:sz w:val="22"/>
                <w:szCs w:val="22"/>
              </w:rPr>
            </w:pPr>
            <w:r w:rsidRPr="00A92787">
              <w:rPr>
                <w:sz w:val="22"/>
                <w:szCs w:val="22"/>
              </w:rPr>
              <w:t>42 % (18 %; 60 %)</w:t>
            </w:r>
          </w:p>
        </w:tc>
        <w:tc>
          <w:tcPr>
            <w:tcW w:w="1266" w:type="dxa"/>
            <w:vMerge/>
            <w:tcBorders>
              <w:top w:val="nil"/>
              <w:left w:val="single" w:sz="6" w:space="0" w:color="000000"/>
              <w:right w:val="single" w:sz="6" w:space="0" w:color="000000"/>
            </w:tcBorders>
          </w:tcPr>
          <w:p w:rsidR="00EB7FE6" w:rsidRPr="00A92787" w:rsidRDefault="00EB7FE6" w:rsidP="00A92787">
            <w:pPr>
              <w:tabs>
                <w:tab w:val="left" w:pos="851"/>
              </w:tabs>
              <w:ind w:left="851"/>
              <w:rPr>
                <w:sz w:val="22"/>
                <w:szCs w:val="22"/>
              </w:rPr>
            </w:pPr>
          </w:p>
        </w:tc>
      </w:tr>
      <w:tr w:rsidR="00EB7FE6" w:rsidRPr="00467589" w:rsidTr="00A92787">
        <w:trPr>
          <w:trHeight w:val="289"/>
        </w:trPr>
        <w:tc>
          <w:tcPr>
            <w:tcW w:w="9336" w:type="dxa"/>
            <w:gridSpan w:val="5"/>
          </w:tcPr>
          <w:p w:rsidR="00EB7FE6" w:rsidRPr="00467589" w:rsidRDefault="00EB7FE6" w:rsidP="00A92787">
            <w:pPr>
              <w:rPr>
                <w:b/>
                <w:sz w:val="22"/>
                <w:szCs w:val="22"/>
              </w:rPr>
            </w:pPr>
            <w:r w:rsidRPr="00467589">
              <w:rPr>
                <w:b/>
                <w:sz w:val="22"/>
                <w:szCs w:val="22"/>
              </w:rPr>
              <w:t>URAI Inden for 12 Uger før Screening, mITT-Analyse</w:t>
            </w:r>
          </w:p>
        </w:tc>
      </w:tr>
      <w:tr w:rsidR="00EB7FE6" w:rsidRPr="00467589" w:rsidTr="00A92787">
        <w:trPr>
          <w:trHeight w:val="287"/>
        </w:trPr>
        <w:tc>
          <w:tcPr>
            <w:tcW w:w="4810" w:type="dxa"/>
            <w:tcBorders>
              <w:bottom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Serokonverteringer / N</w:t>
            </w:r>
          </w:p>
        </w:tc>
        <w:tc>
          <w:tcPr>
            <w:tcW w:w="1559" w:type="dxa"/>
            <w:tcBorders>
              <w:left w:val="single" w:sz="6" w:space="0" w:color="000000"/>
              <w:bottom w:val="single" w:sz="6" w:space="0" w:color="000000"/>
              <w:right w:val="single" w:sz="6" w:space="0" w:color="000000"/>
            </w:tcBorders>
          </w:tcPr>
          <w:p w:rsidR="00EB7FE6" w:rsidRPr="00A92787" w:rsidRDefault="00EB7FE6" w:rsidP="00A92787">
            <w:pPr>
              <w:rPr>
                <w:sz w:val="22"/>
                <w:szCs w:val="22"/>
              </w:rPr>
            </w:pPr>
            <w:r w:rsidRPr="00A92787">
              <w:rPr>
                <w:sz w:val="22"/>
                <w:szCs w:val="22"/>
              </w:rPr>
              <w:t>72/753</w:t>
            </w:r>
          </w:p>
        </w:tc>
        <w:tc>
          <w:tcPr>
            <w:tcW w:w="1701" w:type="dxa"/>
            <w:gridSpan w:val="2"/>
            <w:tcBorders>
              <w:left w:val="single" w:sz="6" w:space="0" w:color="000000"/>
              <w:bottom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34/732</w:t>
            </w:r>
          </w:p>
        </w:tc>
        <w:tc>
          <w:tcPr>
            <w:tcW w:w="1266" w:type="dxa"/>
            <w:vMerge w:val="restart"/>
            <w:tcBorders>
              <w:left w:val="single" w:sz="6" w:space="0" w:color="000000"/>
            </w:tcBorders>
          </w:tcPr>
          <w:p w:rsidR="00EB7FE6" w:rsidRPr="00A92787" w:rsidRDefault="00EB7FE6" w:rsidP="00A92787">
            <w:pPr>
              <w:tabs>
                <w:tab w:val="left" w:pos="851"/>
              </w:tabs>
              <w:ind w:left="851"/>
              <w:rPr>
                <w:sz w:val="22"/>
                <w:szCs w:val="22"/>
              </w:rPr>
            </w:pPr>
          </w:p>
          <w:p w:rsidR="00EB7FE6" w:rsidRPr="00A92787" w:rsidRDefault="00EB7FE6" w:rsidP="00A92787">
            <w:pPr>
              <w:ind w:left="176"/>
              <w:rPr>
                <w:sz w:val="22"/>
                <w:szCs w:val="22"/>
              </w:rPr>
            </w:pPr>
            <w:r w:rsidRPr="00A92787">
              <w:rPr>
                <w:sz w:val="22"/>
                <w:szCs w:val="22"/>
              </w:rPr>
              <w:t>0,0349</w:t>
            </w:r>
          </w:p>
        </w:tc>
      </w:tr>
      <w:tr w:rsidR="00EB7FE6" w:rsidRPr="00467589" w:rsidTr="00A92787">
        <w:trPr>
          <w:trHeight w:val="453"/>
        </w:trPr>
        <w:tc>
          <w:tcPr>
            <w:tcW w:w="4810" w:type="dxa"/>
            <w:tcBorders>
              <w:top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 xml:space="preserve">Relativ risikoreduktion (95 % </w:t>
            </w:r>
            <w:proofErr w:type="gramStart"/>
            <w:r w:rsidRPr="00A92787">
              <w:rPr>
                <w:sz w:val="22"/>
                <w:szCs w:val="22"/>
              </w:rPr>
              <w:t>CI)b</w:t>
            </w:r>
            <w:proofErr w:type="gramEnd"/>
          </w:p>
        </w:tc>
        <w:tc>
          <w:tcPr>
            <w:tcW w:w="3260" w:type="dxa"/>
            <w:gridSpan w:val="3"/>
            <w:tcBorders>
              <w:top w:val="single" w:sz="6" w:space="0" w:color="000000"/>
              <w:left w:val="single" w:sz="6" w:space="0" w:color="000000"/>
              <w:right w:val="single" w:sz="6" w:space="0" w:color="000000"/>
            </w:tcBorders>
          </w:tcPr>
          <w:p w:rsidR="00EB7FE6" w:rsidRPr="00A92787" w:rsidRDefault="00EB7FE6" w:rsidP="00A92787">
            <w:pPr>
              <w:rPr>
                <w:sz w:val="22"/>
                <w:szCs w:val="22"/>
              </w:rPr>
            </w:pPr>
            <w:r w:rsidRPr="00A92787">
              <w:rPr>
                <w:sz w:val="22"/>
                <w:szCs w:val="22"/>
              </w:rPr>
              <w:t>52 % (28 %; 68 %)</w:t>
            </w:r>
          </w:p>
        </w:tc>
        <w:tc>
          <w:tcPr>
            <w:tcW w:w="1266" w:type="dxa"/>
            <w:vMerge/>
            <w:tcBorders>
              <w:top w:val="nil"/>
              <w:left w:val="single" w:sz="6" w:space="0" w:color="000000"/>
            </w:tcBorders>
          </w:tcPr>
          <w:p w:rsidR="00EB7FE6" w:rsidRPr="00A92787" w:rsidRDefault="00EB7FE6" w:rsidP="00A92787">
            <w:pPr>
              <w:tabs>
                <w:tab w:val="left" w:pos="851"/>
              </w:tabs>
              <w:ind w:left="851"/>
              <w:rPr>
                <w:sz w:val="22"/>
                <w:szCs w:val="22"/>
              </w:rPr>
            </w:pPr>
          </w:p>
        </w:tc>
      </w:tr>
    </w:tbl>
    <w:p w:rsidR="008A36FE" w:rsidRDefault="008A36FE" w:rsidP="008A36FE">
      <w:pPr>
        <w:tabs>
          <w:tab w:val="left" w:pos="851"/>
        </w:tabs>
        <w:ind w:left="1134" w:hanging="283"/>
        <w:rPr>
          <w:sz w:val="20"/>
        </w:rPr>
      </w:pPr>
      <w:r>
        <w:rPr>
          <w:sz w:val="20"/>
        </w:rPr>
        <w:lastRenderedPageBreak/>
        <w:t>a</w:t>
      </w:r>
      <w:r>
        <w:rPr>
          <w:sz w:val="20"/>
        </w:rPr>
        <w:tab/>
        <w:t>P-værdier efter logrank test. P-værdien for URAI henviser til den nulhypotese, at virkningen var forskellig mellem undergruppestrata (URAI, ingen URAI).</w:t>
      </w:r>
    </w:p>
    <w:p w:rsidR="008A36FE" w:rsidRPr="00EB7FE6" w:rsidRDefault="008A36FE" w:rsidP="00EB7FE6">
      <w:pPr>
        <w:tabs>
          <w:tab w:val="left" w:pos="1134"/>
        </w:tabs>
        <w:ind w:left="1134" w:hanging="283"/>
        <w:rPr>
          <w:sz w:val="20"/>
        </w:rPr>
      </w:pPr>
      <w:r>
        <w:rPr>
          <w:sz w:val="20"/>
        </w:rPr>
        <w:t>b</w:t>
      </w:r>
      <w:r>
        <w:rPr>
          <w:sz w:val="20"/>
        </w:rPr>
        <w:tab/>
        <w:t xml:space="preserve">Relativ risikoreduktion beregnet for mITT baseret på hændelsesbaseret serokonvertering, dvs. som forekommer efter </w:t>
      </w:r>
      <w:r>
        <w:rPr>
          <w:i/>
          <w:sz w:val="20"/>
        </w:rPr>
        <w:t xml:space="preserve">baseline </w:t>
      </w:r>
      <w:r>
        <w:rPr>
          <w:sz w:val="20"/>
        </w:rPr>
        <w:t>til og med det første besøg efter behandlingen (ca. 1 måned efter sidste udlevering af forsøgsmedicin).</w:t>
      </w:r>
    </w:p>
    <w:p w:rsidR="008A36FE" w:rsidRDefault="008A36FE" w:rsidP="008A36FE">
      <w:pPr>
        <w:tabs>
          <w:tab w:val="left" w:pos="851"/>
        </w:tabs>
        <w:ind w:left="851"/>
        <w:rPr>
          <w:sz w:val="24"/>
          <w:szCs w:val="24"/>
        </w:rPr>
      </w:pPr>
    </w:p>
    <w:p w:rsidR="00EB7FE6" w:rsidRPr="00A92787" w:rsidRDefault="00EB7FE6" w:rsidP="00EB7FE6">
      <w:pPr>
        <w:tabs>
          <w:tab w:val="left" w:pos="851"/>
        </w:tabs>
        <w:ind w:left="851"/>
        <w:rPr>
          <w:b/>
          <w:bCs/>
          <w:sz w:val="24"/>
          <w:szCs w:val="24"/>
        </w:rPr>
      </w:pPr>
      <w:r w:rsidRPr="00A92787">
        <w:rPr>
          <w:b/>
          <w:bCs/>
          <w:sz w:val="24"/>
          <w:szCs w:val="24"/>
        </w:rPr>
        <w:t>Tabel 7: Virkning og adhærens i studie CO−US−104−0288 (iPrEx, matchet case-kontrolanalyse)</w:t>
      </w:r>
    </w:p>
    <w:p w:rsidR="008A36FE" w:rsidRDefault="008A36FE" w:rsidP="008A36FE">
      <w:pPr>
        <w:tabs>
          <w:tab w:val="left" w:pos="851"/>
        </w:tabs>
        <w:ind w:left="851"/>
        <w:rPr>
          <w:b/>
          <w:sz w:val="24"/>
          <w:szCs w:val="24"/>
        </w:rPr>
      </w:pPr>
    </w:p>
    <w:tbl>
      <w:tblPr>
        <w:tblW w:w="97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1410"/>
        <w:gridCol w:w="1528"/>
        <w:gridCol w:w="2409"/>
      </w:tblGrid>
      <w:tr w:rsidR="00EB7FE6" w:rsidRPr="00467589" w:rsidTr="00A92787">
        <w:trPr>
          <w:trHeight w:val="690"/>
        </w:trPr>
        <w:tc>
          <w:tcPr>
            <w:tcW w:w="4385" w:type="dxa"/>
          </w:tcPr>
          <w:p w:rsidR="00EB7FE6" w:rsidRPr="00A92787" w:rsidRDefault="00EB7FE6" w:rsidP="00A92787">
            <w:pPr>
              <w:ind w:left="24"/>
              <w:rPr>
                <w:b/>
                <w:sz w:val="22"/>
                <w:szCs w:val="22"/>
              </w:rPr>
            </w:pPr>
          </w:p>
          <w:p w:rsidR="00EB7FE6" w:rsidRPr="00A92787" w:rsidRDefault="00EB7FE6" w:rsidP="00A92787">
            <w:pPr>
              <w:ind w:left="24"/>
              <w:rPr>
                <w:b/>
                <w:sz w:val="22"/>
                <w:szCs w:val="22"/>
              </w:rPr>
            </w:pPr>
            <w:r w:rsidRPr="00A92787">
              <w:rPr>
                <w:b/>
                <w:sz w:val="22"/>
                <w:szCs w:val="22"/>
              </w:rPr>
              <w:t>Kohorte</w:t>
            </w:r>
          </w:p>
        </w:tc>
        <w:tc>
          <w:tcPr>
            <w:tcW w:w="1410" w:type="dxa"/>
          </w:tcPr>
          <w:p w:rsidR="00EB7FE6" w:rsidRPr="00A92787" w:rsidRDefault="00EB7FE6" w:rsidP="00A92787">
            <w:pPr>
              <w:rPr>
                <w:b/>
                <w:sz w:val="22"/>
                <w:szCs w:val="22"/>
              </w:rPr>
            </w:pPr>
            <w:r w:rsidRPr="00A92787">
              <w:rPr>
                <w:b/>
                <w:sz w:val="22"/>
                <w:szCs w:val="22"/>
              </w:rPr>
              <w:t>Lægemiddel Detekteret</w:t>
            </w:r>
          </w:p>
        </w:tc>
        <w:tc>
          <w:tcPr>
            <w:tcW w:w="1528" w:type="dxa"/>
          </w:tcPr>
          <w:p w:rsidR="00EB7FE6" w:rsidRPr="00A92787" w:rsidRDefault="00EB7FE6" w:rsidP="00A92787">
            <w:pPr>
              <w:rPr>
                <w:b/>
                <w:sz w:val="22"/>
                <w:szCs w:val="22"/>
              </w:rPr>
            </w:pPr>
            <w:r w:rsidRPr="00A92787">
              <w:rPr>
                <w:b/>
                <w:sz w:val="22"/>
                <w:szCs w:val="22"/>
              </w:rPr>
              <w:t>Lægemiddel Ikke Detekteret</w:t>
            </w:r>
          </w:p>
        </w:tc>
        <w:tc>
          <w:tcPr>
            <w:tcW w:w="2409" w:type="dxa"/>
          </w:tcPr>
          <w:p w:rsidR="00EB7FE6" w:rsidRPr="00467589" w:rsidRDefault="00EB7FE6" w:rsidP="00A92787">
            <w:pPr>
              <w:ind w:left="23"/>
              <w:rPr>
                <w:b/>
                <w:sz w:val="22"/>
                <w:szCs w:val="22"/>
              </w:rPr>
            </w:pPr>
            <w:r w:rsidRPr="00467589">
              <w:rPr>
                <w:b/>
                <w:sz w:val="22"/>
                <w:szCs w:val="22"/>
              </w:rPr>
              <w:t>Relativ Risikoreduktion (2-sidet 95</w:t>
            </w:r>
            <w:r w:rsidRPr="00A92787">
              <w:rPr>
                <w:sz w:val="22"/>
                <w:szCs w:val="22"/>
              </w:rPr>
              <w:t> </w:t>
            </w:r>
            <w:r w:rsidRPr="00467589">
              <w:rPr>
                <w:b/>
                <w:sz w:val="22"/>
                <w:szCs w:val="22"/>
              </w:rPr>
              <w:t xml:space="preserve">% </w:t>
            </w:r>
            <w:proofErr w:type="gramStart"/>
            <w:r w:rsidRPr="00467589">
              <w:rPr>
                <w:b/>
                <w:sz w:val="22"/>
                <w:szCs w:val="22"/>
              </w:rPr>
              <w:t>CI)</w:t>
            </w:r>
            <w:r w:rsidRPr="00467589">
              <w:rPr>
                <w:b/>
                <w:sz w:val="22"/>
                <w:szCs w:val="22"/>
                <w:vertAlign w:val="superscript"/>
              </w:rPr>
              <w:t>a</w:t>
            </w:r>
            <w:proofErr w:type="gramEnd"/>
          </w:p>
        </w:tc>
      </w:tr>
      <w:tr w:rsidR="00EB7FE6" w:rsidRPr="00467589" w:rsidTr="00A92787">
        <w:trPr>
          <w:trHeight w:val="287"/>
        </w:trPr>
        <w:tc>
          <w:tcPr>
            <w:tcW w:w="4385" w:type="dxa"/>
          </w:tcPr>
          <w:p w:rsidR="00EB7FE6" w:rsidRPr="00A92787" w:rsidRDefault="00EB7FE6" w:rsidP="00A92787">
            <w:pPr>
              <w:ind w:left="24"/>
              <w:rPr>
                <w:sz w:val="22"/>
                <w:szCs w:val="22"/>
              </w:rPr>
            </w:pPr>
            <w:r w:rsidRPr="00A92787">
              <w:rPr>
                <w:sz w:val="22"/>
                <w:szCs w:val="22"/>
              </w:rPr>
              <w:t>HIV-Positive Forsøgspersoner</w:t>
            </w:r>
          </w:p>
        </w:tc>
        <w:tc>
          <w:tcPr>
            <w:tcW w:w="1410" w:type="dxa"/>
          </w:tcPr>
          <w:p w:rsidR="00EB7FE6" w:rsidRPr="00A92787" w:rsidRDefault="00EB7FE6" w:rsidP="00A92787">
            <w:pPr>
              <w:rPr>
                <w:sz w:val="22"/>
                <w:szCs w:val="22"/>
              </w:rPr>
            </w:pPr>
            <w:r w:rsidRPr="00A92787">
              <w:rPr>
                <w:sz w:val="22"/>
                <w:szCs w:val="22"/>
              </w:rPr>
              <w:t>4 (8 %)</w:t>
            </w:r>
          </w:p>
        </w:tc>
        <w:tc>
          <w:tcPr>
            <w:tcW w:w="1528" w:type="dxa"/>
          </w:tcPr>
          <w:p w:rsidR="00EB7FE6" w:rsidRPr="00A92787" w:rsidRDefault="00EB7FE6" w:rsidP="00A92787">
            <w:pPr>
              <w:rPr>
                <w:sz w:val="22"/>
                <w:szCs w:val="22"/>
              </w:rPr>
            </w:pPr>
            <w:r w:rsidRPr="00A92787">
              <w:rPr>
                <w:sz w:val="22"/>
                <w:szCs w:val="22"/>
              </w:rPr>
              <w:t>44 (92 %)</w:t>
            </w:r>
          </w:p>
        </w:tc>
        <w:tc>
          <w:tcPr>
            <w:tcW w:w="2409" w:type="dxa"/>
          </w:tcPr>
          <w:p w:rsidR="00EB7FE6" w:rsidRPr="00A92787" w:rsidRDefault="00EB7FE6" w:rsidP="00A92787">
            <w:pPr>
              <w:ind w:left="23"/>
              <w:rPr>
                <w:sz w:val="22"/>
                <w:szCs w:val="22"/>
              </w:rPr>
            </w:pPr>
            <w:r w:rsidRPr="00A92787">
              <w:rPr>
                <w:sz w:val="22"/>
                <w:szCs w:val="22"/>
              </w:rPr>
              <w:t>94 % (78 %; 99 %)</w:t>
            </w:r>
          </w:p>
        </w:tc>
      </w:tr>
      <w:tr w:rsidR="00EB7FE6" w:rsidRPr="00467589" w:rsidTr="00A92787">
        <w:trPr>
          <w:trHeight w:val="287"/>
        </w:trPr>
        <w:tc>
          <w:tcPr>
            <w:tcW w:w="4385" w:type="dxa"/>
          </w:tcPr>
          <w:p w:rsidR="00EB7FE6" w:rsidRPr="00A92787" w:rsidRDefault="00EB7FE6" w:rsidP="00A92787">
            <w:pPr>
              <w:ind w:left="24"/>
              <w:rPr>
                <w:sz w:val="22"/>
                <w:szCs w:val="22"/>
              </w:rPr>
            </w:pPr>
            <w:r w:rsidRPr="00A92787">
              <w:rPr>
                <w:sz w:val="22"/>
                <w:szCs w:val="22"/>
              </w:rPr>
              <w:t>HIV-Negative Matchede Kontrolpersoner</w:t>
            </w:r>
          </w:p>
        </w:tc>
        <w:tc>
          <w:tcPr>
            <w:tcW w:w="1410" w:type="dxa"/>
          </w:tcPr>
          <w:p w:rsidR="00EB7FE6" w:rsidRPr="00A92787" w:rsidRDefault="00EB7FE6" w:rsidP="00A92787">
            <w:pPr>
              <w:rPr>
                <w:sz w:val="22"/>
                <w:szCs w:val="22"/>
              </w:rPr>
            </w:pPr>
            <w:r w:rsidRPr="00A92787">
              <w:rPr>
                <w:sz w:val="22"/>
                <w:szCs w:val="22"/>
              </w:rPr>
              <w:t>63 (44 %)</w:t>
            </w:r>
          </w:p>
        </w:tc>
        <w:tc>
          <w:tcPr>
            <w:tcW w:w="1528" w:type="dxa"/>
          </w:tcPr>
          <w:p w:rsidR="00EB7FE6" w:rsidRPr="00A92787" w:rsidRDefault="00EB7FE6" w:rsidP="00A92787">
            <w:pPr>
              <w:rPr>
                <w:sz w:val="22"/>
                <w:szCs w:val="22"/>
              </w:rPr>
            </w:pPr>
            <w:r w:rsidRPr="00A92787">
              <w:rPr>
                <w:sz w:val="22"/>
                <w:szCs w:val="22"/>
              </w:rPr>
              <w:t>81 (56 %)</w:t>
            </w:r>
          </w:p>
        </w:tc>
        <w:tc>
          <w:tcPr>
            <w:tcW w:w="2409" w:type="dxa"/>
          </w:tcPr>
          <w:p w:rsidR="00EB7FE6" w:rsidRPr="00A92787" w:rsidRDefault="00EB7FE6" w:rsidP="00A92787">
            <w:pPr>
              <w:ind w:left="23"/>
              <w:rPr>
                <w:sz w:val="22"/>
                <w:szCs w:val="22"/>
              </w:rPr>
            </w:pPr>
            <w:r w:rsidRPr="00A92787">
              <w:rPr>
                <w:sz w:val="22"/>
                <w:szCs w:val="22"/>
              </w:rPr>
              <w:t>---</w:t>
            </w:r>
          </w:p>
        </w:tc>
      </w:tr>
    </w:tbl>
    <w:p w:rsidR="008A36FE" w:rsidRDefault="008A36FE" w:rsidP="008A36FE">
      <w:pPr>
        <w:tabs>
          <w:tab w:val="left" w:pos="1134"/>
        </w:tabs>
        <w:ind w:left="1134" w:hanging="283"/>
        <w:rPr>
          <w:sz w:val="20"/>
        </w:rPr>
      </w:pPr>
      <w:r>
        <w:rPr>
          <w:sz w:val="20"/>
        </w:rPr>
        <w:t>a</w:t>
      </w:r>
      <w:r>
        <w:rPr>
          <w:sz w:val="20"/>
        </w:rPr>
        <w:tab/>
        <w:t>Relativ risikoreduktion beregnet for hændelsen (post-</w:t>
      </w:r>
      <w:r>
        <w:rPr>
          <w:i/>
          <w:sz w:val="20"/>
        </w:rPr>
        <w:t>baseline</w:t>
      </w:r>
      <w:r>
        <w:rPr>
          <w:sz w:val="20"/>
        </w:rPr>
        <w:t>) serokonvertering fra den dobbeltblinde behandlingsperiode og igennem den otte uger lange opfølgningsperiode. Kun prøver fra forsøgspersoner, der blev randomiseret til emtricitabin/tenofovirdisoproxil 200 mg/245 mg tabletter, blev vurderet for detekterbare plasma- eller intracellulære TDF-DP-niveauer.</w:t>
      </w:r>
    </w:p>
    <w:p w:rsidR="007564F4" w:rsidRPr="006F1253" w:rsidRDefault="007564F4" w:rsidP="007564F4">
      <w:pPr>
        <w:tabs>
          <w:tab w:val="left" w:pos="851"/>
        </w:tabs>
        <w:ind w:left="851"/>
        <w:rPr>
          <w:sz w:val="20"/>
        </w:rPr>
      </w:pPr>
    </w:p>
    <w:p w:rsidR="007564F4" w:rsidRPr="00FD00E3" w:rsidRDefault="007564F4" w:rsidP="007564F4">
      <w:pPr>
        <w:tabs>
          <w:tab w:val="left" w:pos="851"/>
        </w:tabs>
        <w:ind w:left="851"/>
        <w:rPr>
          <w:sz w:val="24"/>
          <w:szCs w:val="24"/>
        </w:rPr>
      </w:pPr>
      <w:r w:rsidRPr="00FD00E3">
        <w:rPr>
          <w:sz w:val="24"/>
          <w:szCs w:val="24"/>
        </w:rPr>
        <w:t>Det kliniske studie Partners PrEP (CO-US-104-0380) evaluerede emtricitabin/tenofovirdisoproxil 200 mg/245 mg tabletter, tenofovirdisoproxil 245 mg eller placebo hos 4.758 forsøgspersoner fra Kenya eller Uganda, som ikke var inficeret med HIV, og som var i serodiskordante heterosektuelle parforhold. Forsøgspersoner blev fulgt i 7.830 personår.</w:t>
      </w:r>
      <w:r w:rsidRPr="00FD00E3">
        <w:rPr>
          <w:i/>
          <w:sz w:val="24"/>
          <w:szCs w:val="24"/>
        </w:rPr>
        <w:t xml:space="preserve"> Baseline-</w:t>
      </w:r>
      <w:r w:rsidRPr="00FD00E3">
        <w:rPr>
          <w:sz w:val="24"/>
          <w:szCs w:val="24"/>
        </w:rPr>
        <w:t>karakteristika er sammenfattet i tabel 8.</w:t>
      </w:r>
    </w:p>
    <w:p w:rsidR="007564F4" w:rsidRPr="00FD00E3" w:rsidRDefault="007564F4" w:rsidP="007564F4">
      <w:pPr>
        <w:tabs>
          <w:tab w:val="left" w:pos="851"/>
        </w:tabs>
        <w:ind w:left="851"/>
        <w:rPr>
          <w:sz w:val="24"/>
          <w:szCs w:val="24"/>
        </w:rPr>
      </w:pPr>
    </w:p>
    <w:p w:rsidR="008A36FE" w:rsidRPr="008A36FE" w:rsidRDefault="008A36FE" w:rsidP="008A36FE">
      <w:pPr>
        <w:tabs>
          <w:tab w:val="left" w:pos="851"/>
        </w:tabs>
        <w:ind w:left="851"/>
        <w:rPr>
          <w:b/>
          <w:bCs/>
          <w:sz w:val="24"/>
          <w:szCs w:val="24"/>
          <w:lang w:val="en-US"/>
        </w:rPr>
      </w:pPr>
      <w:r w:rsidRPr="008A36FE">
        <w:rPr>
          <w:b/>
          <w:bCs/>
          <w:sz w:val="24"/>
          <w:szCs w:val="24"/>
          <w:lang w:val="en-US"/>
        </w:rPr>
        <w:t>Tabel 8: Studiepopulation fra studie CO−US−104−0380 (Partners PrEP)</w:t>
      </w:r>
    </w:p>
    <w:p w:rsidR="008A36FE" w:rsidRPr="008A36FE" w:rsidRDefault="008A36FE" w:rsidP="008A36FE">
      <w:pPr>
        <w:tabs>
          <w:tab w:val="left" w:pos="851"/>
        </w:tabs>
        <w:ind w:left="851"/>
        <w:rPr>
          <w:b/>
          <w:sz w:val="24"/>
          <w:szCs w:val="24"/>
          <w:lang w:val="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843"/>
        <w:gridCol w:w="1701"/>
        <w:gridCol w:w="1559"/>
      </w:tblGrid>
      <w:tr w:rsidR="00EB7FE6" w:rsidRPr="00467589" w:rsidTr="00A92787">
        <w:trPr>
          <w:trHeight w:val="1125"/>
        </w:trPr>
        <w:tc>
          <w:tcPr>
            <w:tcW w:w="3969" w:type="dxa"/>
          </w:tcPr>
          <w:p w:rsidR="00EB7FE6" w:rsidRPr="00A92787" w:rsidRDefault="00EB7FE6" w:rsidP="00A92787">
            <w:pPr>
              <w:ind w:left="24"/>
              <w:rPr>
                <w:sz w:val="22"/>
                <w:szCs w:val="22"/>
                <w:lang w:val="en-US"/>
              </w:rPr>
            </w:pPr>
          </w:p>
        </w:tc>
        <w:tc>
          <w:tcPr>
            <w:tcW w:w="1843" w:type="dxa"/>
          </w:tcPr>
          <w:p w:rsidR="00EB7FE6" w:rsidRPr="00A92787" w:rsidRDefault="00EB7FE6" w:rsidP="00A92787">
            <w:pPr>
              <w:ind w:left="24"/>
              <w:rPr>
                <w:b/>
                <w:sz w:val="22"/>
                <w:szCs w:val="22"/>
              </w:rPr>
            </w:pPr>
            <w:r w:rsidRPr="00A92787">
              <w:rPr>
                <w:b/>
                <w:sz w:val="22"/>
                <w:szCs w:val="22"/>
              </w:rPr>
              <w:t xml:space="preserve">Placebo </w:t>
            </w:r>
          </w:p>
          <w:p w:rsidR="00EB7FE6" w:rsidRPr="00A92787" w:rsidRDefault="00EB7FE6" w:rsidP="00A92787">
            <w:pPr>
              <w:ind w:left="24"/>
              <w:rPr>
                <w:b/>
                <w:sz w:val="22"/>
                <w:szCs w:val="22"/>
              </w:rPr>
            </w:pPr>
            <w:r w:rsidRPr="00A92787">
              <w:rPr>
                <w:b/>
                <w:sz w:val="22"/>
                <w:szCs w:val="22"/>
              </w:rPr>
              <w:t>(n = 1584)</w:t>
            </w:r>
          </w:p>
        </w:tc>
        <w:tc>
          <w:tcPr>
            <w:tcW w:w="1701" w:type="dxa"/>
          </w:tcPr>
          <w:p w:rsidR="00EB7FE6" w:rsidRPr="00467589" w:rsidRDefault="00EB7FE6" w:rsidP="00A92787">
            <w:pPr>
              <w:ind w:left="24"/>
              <w:rPr>
                <w:b/>
                <w:sz w:val="22"/>
                <w:szCs w:val="22"/>
              </w:rPr>
            </w:pPr>
            <w:r w:rsidRPr="00467589">
              <w:rPr>
                <w:b/>
                <w:sz w:val="22"/>
                <w:szCs w:val="22"/>
              </w:rPr>
              <w:t>Tenofovir- disoproxil 245 mg (som fumarat)</w:t>
            </w:r>
          </w:p>
          <w:p w:rsidR="00EB7FE6" w:rsidRPr="00467589" w:rsidRDefault="00EB7FE6" w:rsidP="00A92787">
            <w:pPr>
              <w:ind w:left="24"/>
              <w:rPr>
                <w:b/>
                <w:sz w:val="22"/>
                <w:szCs w:val="22"/>
              </w:rPr>
            </w:pPr>
            <w:r w:rsidRPr="00467589">
              <w:rPr>
                <w:b/>
                <w:sz w:val="22"/>
                <w:szCs w:val="22"/>
              </w:rPr>
              <w:t>(n = 1584)</w:t>
            </w:r>
          </w:p>
        </w:tc>
        <w:tc>
          <w:tcPr>
            <w:tcW w:w="1559" w:type="dxa"/>
          </w:tcPr>
          <w:p w:rsidR="00EB7FE6" w:rsidRPr="00A92787" w:rsidRDefault="00EB7FE6" w:rsidP="00A92787">
            <w:pPr>
              <w:rPr>
                <w:b/>
                <w:sz w:val="22"/>
                <w:szCs w:val="22"/>
              </w:rPr>
            </w:pPr>
            <w:r w:rsidRPr="00A92787">
              <w:rPr>
                <w:b/>
                <w:bCs/>
                <w:sz w:val="22"/>
                <w:szCs w:val="22"/>
              </w:rPr>
              <w:t>Emtricitabin/ tenofovir- disoproxil 200</w:t>
            </w:r>
            <w:r w:rsidRPr="00A92787">
              <w:rPr>
                <w:sz w:val="22"/>
                <w:szCs w:val="22"/>
              </w:rPr>
              <w:t> </w:t>
            </w:r>
            <w:r w:rsidRPr="00A92787">
              <w:rPr>
                <w:b/>
                <w:bCs/>
                <w:sz w:val="22"/>
                <w:szCs w:val="22"/>
              </w:rPr>
              <w:t>mg/245 mg tabletter</w:t>
            </w:r>
            <w:r w:rsidRPr="00A92787">
              <w:rPr>
                <w:b/>
                <w:sz w:val="22"/>
                <w:szCs w:val="22"/>
              </w:rPr>
              <w:t xml:space="preserve"> (n = 1579)</w:t>
            </w:r>
          </w:p>
        </w:tc>
      </w:tr>
      <w:tr w:rsidR="00EB7FE6" w:rsidRPr="00467589" w:rsidTr="00A92787">
        <w:trPr>
          <w:trHeight w:val="287"/>
        </w:trPr>
        <w:tc>
          <w:tcPr>
            <w:tcW w:w="3969" w:type="dxa"/>
          </w:tcPr>
          <w:p w:rsidR="00EB7FE6" w:rsidRPr="00467589" w:rsidRDefault="00EB7FE6" w:rsidP="00A92787">
            <w:pPr>
              <w:ind w:left="24"/>
              <w:rPr>
                <w:b/>
                <w:sz w:val="22"/>
                <w:szCs w:val="22"/>
              </w:rPr>
            </w:pPr>
            <w:r w:rsidRPr="00467589">
              <w:rPr>
                <w:b/>
                <w:sz w:val="22"/>
                <w:szCs w:val="22"/>
              </w:rPr>
              <w:t>Alder (år), Median (1. kvartil, 3. kvartil)</w:t>
            </w:r>
          </w:p>
        </w:tc>
        <w:tc>
          <w:tcPr>
            <w:tcW w:w="1843" w:type="dxa"/>
          </w:tcPr>
          <w:p w:rsidR="00EB7FE6" w:rsidRPr="00A92787" w:rsidRDefault="00EB7FE6" w:rsidP="00A92787">
            <w:pPr>
              <w:ind w:left="24"/>
              <w:rPr>
                <w:sz w:val="22"/>
                <w:szCs w:val="22"/>
              </w:rPr>
            </w:pPr>
            <w:r w:rsidRPr="00A92787">
              <w:rPr>
                <w:sz w:val="22"/>
                <w:szCs w:val="22"/>
              </w:rPr>
              <w:t>34 (28; 40)</w:t>
            </w:r>
          </w:p>
        </w:tc>
        <w:tc>
          <w:tcPr>
            <w:tcW w:w="1701" w:type="dxa"/>
          </w:tcPr>
          <w:p w:rsidR="00EB7FE6" w:rsidRPr="00A92787" w:rsidRDefault="00EB7FE6" w:rsidP="00A92787">
            <w:pPr>
              <w:ind w:left="24"/>
              <w:rPr>
                <w:sz w:val="22"/>
                <w:szCs w:val="22"/>
              </w:rPr>
            </w:pPr>
            <w:r w:rsidRPr="00A92787">
              <w:rPr>
                <w:sz w:val="22"/>
                <w:szCs w:val="22"/>
              </w:rPr>
              <w:t>33 (28; 39)</w:t>
            </w:r>
          </w:p>
        </w:tc>
        <w:tc>
          <w:tcPr>
            <w:tcW w:w="1559" w:type="dxa"/>
          </w:tcPr>
          <w:p w:rsidR="00EB7FE6" w:rsidRPr="00A92787" w:rsidRDefault="00EB7FE6" w:rsidP="00A92787">
            <w:pPr>
              <w:rPr>
                <w:sz w:val="22"/>
                <w:szCs w:val="22"/>
              </w:rPr>
            </w:pPr>
            <w:r w:rsidRPr="00A92787">
              <w:rPr>
                <w:sz w:val="22"/>
                <w:szCs w:val="22"/>
              </w:rPr>
              <w:t>33 (28; 40)</w:t>
            </w:r>
          </w:p>
        </w:tc>
      </w:tr>
      <w:tr w:rsidR="00EB7FE6" w:rsidRPr="00467589" w:rsidTr="00A92787">
        <w:trPr>
          <w:trHeight w:val="229"/>
        </w:trPr>
        <w:tc>
          <w:tcPr>
            <w:tcW w:w="9072" w:type="dxa"/>
            <w:gridSpan w:val="4"/>
          </w:tcPr>
          <w:p w:rsidR="00EB7FE6" w:rsidRPr="00A92787" w:rsidRDefault="00EB7FE6" w:rsidP="00A92787">
            <w:pPr>
              <w:ind w:left="24"/>
              <w:rPr>
                <w:b/>
                <w:sz w:val="22"/>
                <w:szCs w:val="22"/>
              </w:rPr>
            </w:pPr>
            <w:r w:rsidRPr="00A92787">
              <w:rPr>
                <w:b/>
                <w:sz w:val="22"/>
                <w:szCs w:val="22"/>
              </w:rPr>
              <w:t>Køn, N (%)</w:t>
            </w:r>
          </w:p>
        </w:tc>
      </w:tr>
      <w:tr w:rsidR="00EB7FE6" w:rsidRPr="00467589" w:rsidTr="00A92787">
        <w:trPr>
          <w:trHeight w:val="230"/>
        </w:trPr>
        <w:tc>
          <w:tcPr>
            <w:tcW w:w="3969" w:type="dxa"/>
          </w:tcPr>
          <w:p w:rsidR="00EB7FE6" w:rsidRPr="00A92787" w:rsidRDefault="00EB7FE6" w:rsidP="00A92787">
            <w:pPr>
              <w:ind w:left="24"/>
              <w:rPr>
                <w:sz w:val="22"/>
                <w:szCs w:val="22"/>
              </w:rPr>
            </w:pPr>
            <w:r w:rsidRPr="00A92787">
              <w:rPr>
                <w:sz w:val="22"/>
                <w:szCs w:val="22"/>
              </w:rPr>
              <w:t>Mænd</w:t>
            </w:r>
          </w:p>
        </w:tc>
        <w:tc>
          <w:tcPr>
            <w:tcW w:w="1843" w:type="dxa"/>
          </w:tcPr>
          <w:p w:rsidR="00EB7FE6" w:rsidRPr="00A92787" w:rsidRDefault="00EB7FE6" w:rsidP="00A92787">
            <w:pPr>
              <w:ind w:left="24"/>
              <w:rPr>
                <w:sz w:val="22"/>
                <w:szCs w:val="22"/>
              </w:rPr>
            </w:pPr>
            <w:r w:rsidRPr="00A92787">
              <w:rPr>
                <w:sz w:val="22"/>
                <w:szCs w:val="22"/>
              </w:rPr>
              <w:t>963 (61)</w:t>
            </w:r>
          </w:p>
        </w:tc>
        <w:tc>
          <w:tcPr>
            <w:tcW w:w="1701" w:type="dxa"/>
          </w:tcPr>
          <w:p w:rsidR="00EB7FE6" w:rsidRPr="00A92787" w:rsidRDefault="00EB7FE6" w:rsidP="00A92787">
            <w:pPr>
              <w:ind w:left="24"/>
              <w:rPr>
                <w:sz w:val="22"/>
                <w:szCs w:val="22"/>
              </w:rPr>
            </w:pPr>
            <w:r w:rsidRPr="00A92787">
              <w:rPr>
                <w:sz w:val="22"/>
                <w:szCs w:val="22"/>
              </w:rPr>
              <w:t>986 (62)</w:t>
            </w:r>
          </w:p>
        </w:tc>
        <w:tc>
          <w:tcPr>
            <w:tcW w:w="1559" w:type="dxa"/>
          </w:tcPr>
          <w:p w:rsidR="00EB7FE6" w:rsidRPr="00A92787" w:rsidRDefault="00EB7FE6" w:rsidP="00A92787">
            <w:pPr>
              <w:rPr>
                <w:sz w:val="22"/>
                <w:szCs w:val="22"/>
              </w:rPr>
            </w:pPr>
            <w:r w:rsidRPr="00A92787">
              <w:rPr>
                <w:sz w:val="22"/>
                <w:szCs w:val="22"/>
              </w:rPr>
              <w:t>1013 (64)</w:t>
            </w:r>
          </w:p>
        </w:tc>
      </w:tr>
      <w:tr w:rsidR="00EB7FE6" w:rsidRPr="00467589" w:rsidTr="00A92787">
        <w:trPr>
          <w:trHeight w:val="230"/>
        </w:trPr>
        <w:tc>
          <w:tcPr>
            <w:tcW w:w="3969" w:type="dxa"/>
          </w:tcPr>
          <w:p w:rsidR="00EB7FE6" w:rsidRPr="00A92787" w:rsidRDefault="00EB7FE6" w:rsidP="00A92787">
            <w:pPr>
              <w:ind w:left="24"/>
              <w:rPr>
                <w:sz w:val="22"/>
                <w:szCs w:val="22"/>
              </w:rPr>
            </w:pPr>
            <w:r w:rsidRPr="00A92787">
              <w:rPr>
                <w:sz w:val="22"/>
                <w:szCs w:val="22"/>
              </w:rPr>
              <w:t>Kvinder</w:t>
            </w:r>
          </w:p>
        </w:tc>
        <w:tc>
          <w:tcPr>
            <w:tcW w:w="1843" w:type="dxa"/>
          </w:tcPr>
          <w:p w:rsidR="00EB7FE6" w:rsidRPr="00A92787" w:rsidRDefault="00EB7FE6" w:rsidP="00A92787">
            <w:pPr>
              <w:ind w:left="24"/>
              <w:rPr>
                <w:sz w:val="22"/>
                <w:szCs w:val="22"/>
              </w:rPr>
            </w:pPr>
            <w:r w:rsidRPr="00A92787">
              <w:rPr>
                <w:sz w:val="22"/>
                <w:szCs w:val="22"/>
              </w:rPr>
              <w:t>621 (39)</w:t>
            </w:r>
          </w:p>
        </w:tc>
        <w:tc>
          <w:tcPr>
            <w:tcW w:w="1701" w:type="dxa"/>
          </w:tcPr>
          <w:p w:rsidR="00EB7FE6" w:rsidRPr="00A92787" w:rsidRDefault="00EB7FE6" w:rsidP="00A92787">
            <w:pPr>
              <w:ind w:left="24"/>
              <w:rPr>
                <w:sz w:val="22"/>
                <w:szCs w:val="22"/>
              </w:rPr>
            </w:pPr>
            <w:r w:rsidRPr="00A92787">
              <w:rPr>
                <w:sz w:val="22"/>
                <w:szCs w:val="22"/>
              </w:rPr>
              <w:t>598 (38)</w:t>
            </w:r>
          </w:p>
        </w:tc>
        <w:tc>
          <w:tcPr>
            <w:tcW w:w="1559" w:type="dxa"/>
          </w:tcPr>
          <w:p w:rsidR="00EB7FE6" w:rsidRPr="00A92787" w:rsidRDefault="00EB7FE6" w:rsidP="00A92787">
            <w:pPr>
              <w:rPr>
                <w:sz w:val="22"/>
                <w:szCs w:val="22"/>
              </w:rPr>
            </w:pPr>
            <w:r w:rsidRPr="00A92787">
              <w:rPr>
                <w:sz w:val="22"/>
                <w:szCs w:val="22"/>
              </w:rPr>
              <w:t>566 (36)</w:t>
            </w:r>
          </w:p>
        </w:tc>
      </w:tr>
      <w:tr w:rsidR="00EB7FE6" w:rsidRPr="00467589" w:rsidTr="00A92787">
        <w:trPr>
          <w:trHeight w:val="433"/>
        </w:trPr>
        <w:tc>
          <w:tcPr>
            <w:tcW w:w="9072" w:type="dxa"/>
            <w:gridSpan w:val="4"/>
          </w:tcPr>
          <w:p w:rsidR="00EB7FE6" w:rsidRPr="00467589" w:rsidRDefault="00EB7FE6" w:rsidP="00A92787">
            <w:pPr>
              <w:ind w:left="24"/>
              <w:rPr>
                <w:b/>
                <w:sz w:val="22"/>
                <w:szCs w:val="22"/>
              </w:rPr>
            </w:pPr>
            <w:r w:rsidRPr="00467589">
              <w:rPr>
                <w:b/>
                <w:sz w:val="22"/>
                <w:szCs w:val="22"/>
              </w:rPr>
              <w:t>Vigtigste parkarakteristika, N (%) eller Median (1. kvartil, 3. kvartil)</w:t>
            </w:r>
          </w:p>
        </w:tc>
      </w:tr>
      <w:tr w:rsidR="00EB7FE6" w:rsidRPr="00467589" w:rsidTr="00A92787">
        <w:trPr>
          <w:trHeight w:val="230"/>
        </w:trPr>
        <w:tc>
          <w:tcPr>
            <w:tcW w:w="3969" w:type="dxa"/>
          </w:tcPr>
          <w:p w:rsidR="00EB7FE6" w:rsidRPr="00A92787" w:rsidRDefault="00EB7FE6" w:rsidP="00A92787">
            <w:pPr>
              <w:ind w:left="24"/>
              <w:rPr>
                <w:sz w:val="22"/>
                <w:szCs w:val="22"/>
              </w:rPr>
            </w:pPr>
            <w:r w:rsidRPr="00A92787">
              <w:rPr>
                <w:sz w:val="22"/>
                <w:szCs w:val="22"/>
              </w:rPr>
              <w:t>Gift med studiepartner</w:t>
            </w:r>
          </w:p>
        </w:tc>
        <w:tc>
          <w:tcPr>
            <w:tcW w:w="1843" w:type="dxa"/>
          </w:tcPr>
          <w:p w:rsidR="00EB7FE6" w:rsidRPr="00A92787" w:rsidRDefault="00EB7FE6" w:rsidP="00A92787">
            <w:pPr>
              <w:ind w:left="24"/>
              <w:rPr>
                <w:sz w:val="22"/>
                <w:szCs w:val="22"/>
              </w:rPr>
            </w:pPr>
            <w:r w:rsidRPr="00A92787">
              <w:rPr>
                <w:sz w:val="22"/>
                <w:szCs w:val="22"/>
              </w:rPr>
              <w:t>1552 (98)</w:t>
            </w:r>
          </w:p>
        </w:tc>
        <w:tc>
          <w:tcPr>
            <w:tcW w:w="1701" w:type="dxa"/>
          </w:tcPr>
          <w:p w:rsidR="00EB7FE6" w:rsidRPr="00A92787" w:rsidRDefault="00EB7FE6" w:rsidP="00A92787">
            <w:pPr>
              <w:ind w:left="24"/>
              <w:rPr>
                <w:sz w:val="22"/>
                <w:szCs w:val="22"/>
              </w:rPr>
            </w:pPr>
            <w:r w:rsidRPr="00A92787">
              <w:rPr>
                <w:sz w:val="22"/>
                <w:szCs w:val="22"/>
              </w:rPr>
              <w:t>1543 (97)</w:t>
            </w:r>
          </w:p>
        </w:tc>
        <w:tc>
          <w:tcPr>
            <w:tcW w:w="1559" w:type="dxa"/>
          </w:tcPr>
          <w:p w:rsidR="00EB7FE6" w:rsidRPr="00A92787" w:rsidRDefault="00EB7FE6" w:rsidP="00A92787">
            <w:pPr>
              <w:rPr>
                <w:sz w:val="22"/>
                <w:szCs w:val="22"/>
              </w:rPr>
            </w:pPr>
            <w:r w:rsidRPr="00A92787">
              <w:rPr>
                <w:sz w:val="22"/>
                <w:szCs w:val="22"/>
              </w:rPr>
              <w:t>1540 (98)</w:t>
            </w:r>
          </w:p>
        </w:tc>
      </w:tr>
      <w:tr w:rsidR="00EB7FE6" w:rsidRPr="00467589" w:rsidTr="00A92787">
        <w:trPr>
          <w:trHeight w:val="229"/>
        </w:trPr>
        <w:tc>
          <w:tcPr>
            <w:tcW w:w="3969" w:type="dxa"/>
          </w:tcPr>
          <w:p w:rsidR="00EB7FE6" w:rsidRPr="00467589" w:rsidRDefault="00EB7FE6" w:rsidP="00A92787">
            <w:pPr>
              <w:ind w:left="24"/>
              <w:rPr>
                <w:sz w:val="22"/>
                <w:szCs w:val="22"/>
              </w:rPr>
            </w:pPr>
            <w:r w:rsidRPr="00467589">
              <w:rPr>
                <w:sz w:val="22"/>
                <w:szCs w:val="22"/>
              </w:rPr>
              <w:t>Antal år levet sammen med studiepartner</w:t>
            </w:r>
          </w:p>
        </w:tc>
        <w:tc>
          <w:tcPr>
            <w:tcW w:w="1843" w:type="dxa"/>
          </w:tcPr>
          <w:p w:rsidR="00EB7FE6" w:rsidRPr="00A92787" w:rsidRDefault="00EB7FE6" w:rsidP="00A92787">
            <w:pPr>
              <w:ind w:left="24"/>
              <w:rPr>
                <w:sz w:val="22"/>
                <w:szCs w:val="22"/>
              </w:rPr>
            </w:pPr>
            <w:r w:rsidRPr="00A92787">
              <w:rPr>
                <w:sz w:val="22"/>
                <w:szCs w:val="22"/>
              </w:rPr>
              <w:t>7,1 (3,0; 14,0)</w:t>
            </w:r>
          </w:p>
        </w:tc>
        <w:tc>
          <w:tcPr>
            <w:tcW w:w="1701" w:type="dxa"/>
          </w:tcPr>
          <w:p w:rsidR="00EB7FE6" w:rsidRPr="00A92787" w:rsidRDefault="00EB7FE6" w:rsidP="00A92787">
            <w:pPr>
              <w:ind w:left="24"/>
              <w:rPr>
                <w:sz w:val="22"/>
                <w:szCs w:val="22"/>
              </w:rPr>
            </w:pPr>
            <w:r w:rsidRPr="00A92787">
              <w:rPr>
                <w:sz w:val="22"/>
                <w:szCs w:val="22"/>
              </w:rPr>
              <w:t>7,0 (3,0; 13,5)</w:t>
            </w:r>
          </w:p>
        </w:tc>
        <w:tc>
          <w:tcPr>
            <w:tcW w:w="1559" w:type="dxa"/>
          </w:tcPr>
          <w:p w:rsidR="00EB7FE6" w:rsidRPr="00A92787" w:rsidRDefault="00EB7FE6" w:rsidP="00A92787">
            <w:pPr>
              <w:rPr>
                <w:sz w:val="22"/>
                <w:szCs w:val="22"/>
              </w:rPr>
            </w:pPr>
            <w:r w:rsidRPr="00A92787">
              <w:rPr>
                <w:sz w:val="22"/>
                <w:szCs w:val="22"/>
              </w:rPr>
              <w:t>7,1 (3,0; 14,0)</w:t>
            </w:r>
          </w:p>
        </w:tc>
      </w:tr>
      <w:tr w:rsidR="00EB7FE6" w:rsidRPr="00467589" w:rsidTr="00A92787">
        <w:trPr>
          <w:trHeight w:val="230"/>
        </w:trPr>
        <w:tc>
          <w:tcPr>
            <w:tcW w:w="3969" w:type="dxa"/>
          </w:tcPr>
          <w:p w:rsidR="00EB7FE6" w:rsidRPr="00467589" w:rsidRDefault="00EB7FE6" w:rsidP="00A92787">
            <w:pPr>
              <w:ind w:left="24"/>
              <w:rPr>
                <w:sz w:val="22"/>
                <w:szCs w:val="22"/>
              </w:rPr>
            </w:pPr>
            <w:r w:rsidRPr="00467589">
              <w:rPr>
                <w:sz w:val="22"/>
                <w:szCs w:val="22"/>
              </w:rPr>
              <w:t>Antal år klar over diskordant status</w:t>
            </w:r>
          </w:p>
        </w:tc>
        <w:tc>
          <w:tcPr>
            <w:tcW w:w="1843" w:type="dxa"/>
          </w:tcPr>
          <w:p w:rsidR="00EB7FE6" w:rsidRPr="00A92787" w:rsidRDefault="00EB7FE6" w:rsidP="00A92787">
            <w:pPr>
              <w:ind w:left="24"/>
              <w:rPr>
                <w:sz w:val="22"/>
                <w:szCs w:val="22"/>
              </w:rPr>
            </w:pPr>
            <w:r w:rsidRPr="00A92787">
              <w:rPr>
                <w:sz w:val="22"/>
                <w:szCs w:val="22"/>
              </w:rPr>
              <w:t>0,4 (0,1; 2,0)</w:t>
            </w:r>
          </w:p>
        </w:tc>
        <w:tc>
          <w:tcPr>
            <w:tcW w:w="1701" w:type="dxa"/>
          </w:tcPr>
          <w:p w:rsidR="00EB7FE6" w:rsidRPr="00A92787" w:rsidRDefault="00EB7FE6" w:rsidP="00A92787">
            <w:pPr>
              <w:ind w:left="24"/>
              <w:rPr>
                <w:sz w:val="22"/>
                <w:szCs w:val="22"/>
              </w:rPr>
            </w:pPr>
            <w:r w:rsidRPr="00A92787">
              <w:rPr>
                <w:sz w:val="22"/>
                <w:szCs w:val="22"/>
              </w:rPr>
              <w:t>0,5 (0,1; 2,0)</w:t>
            </w:r>
          </w:p>
        </w:tc>
        <w:tc>
          <w:tcPr>
            <w:tcW w:w="1559" w:type="dxa"/>
          </w:tcPr>
          <w:p w:rsidR="00EB7FE6" w:rsidRPr="00A92787" w:rsidRDefault="00EB7FE6" w:rsidP="00A92787">
            <w:pPr>
              <w:rPr>
                <w:sz w:val="22"/>
                <w:szCs w:val="22"/>
              </w:rPr>
            </w:pPr>
            <w:r w:rsidRPr="00A92787">
              <w:rPr>
                <w:sz w:val="22"/>
                <w:szCs w:val="22"/>
              </w:rPr>
              <w:t>0,4 (0,1; 2,0)</w:t>
            </w:r>
          </w:p>
        </w:tc>
      </w:tr>
    </w:tbl>
    <w:p w:rsidR="007564F4" w:rsidRPr="00FD00E3" w:rsidRDefault="007564F4" w:rsidP="007564F4">
      <w:pPr>
        <w:tabs>
          <w:tab w:val="left" w:pos="851"/>
        </w:tabs>
        <w:ind w:left="851"/>
        <w:rPr>
          <w:b/>
          <w:sz w:val="24"/>
          <w:szCs w:val="24"/>
          <w:lang w:val="en-US"/>
        </w:rPr>
      </w:pPr>
    </w:p>
    <w:p w:rsidR="007564F4" w:rsidRPr="00FD00E3" w:rsidRDefault="007564F4" w:rsidP="007564F4">
      <w:pPr>
        <w:tabs>
          <w:tab w:val="left" w:pos="851"/>
        </w:tabs>
        <w:ind w:left="851"/>
        <w:rPr>
          <w:sz w:val="24"/>
          <w:szCs w:val="24"/>
        </w:rPr>
      </w:pPr>
      <w:r w:rsidRPr="00FD00E3">
        <w:rPr>
          <w:sz w:val="24"/>
          <w:szCs w:val="24"/>
        </w:rPr>
        <w:t>Forekomsten af HIV-serokonvertering er vist i tabel 9. Forekomsten af HIV 1-serokonvertering hos mænd var 0,24/100 personår med emtricitabin/tenofovirdisoproxil 200 mg/245 mg tabletter-eksponering og forekomsten af HIV 1-serokonvertering hos kvinder var 0,95/100 personår med emtricitabin/tenofovirdisoproxil 200 mg/245 mg tabletter-eksponering. Virkning var stærkt korreleret med adhærens vurderet ud fra påvisning af plasma- eller intracellulære lægemiddelniveauer og var højere blandt deltagere i et substudie, der fik aktiv adhærensrådgivning som vist i tabel 10.</w:t>
      </w:r>
    </w:p>
    <w:p w:rsidR="007564F4" w:rsidRDefault="007564F4" w:rsidP="007564F4">
      <w:pPr>
        <w:rPr>
          <w:sz w:val="24"/>
          <w:szCs w:val="24"/>
        </w:rPr>
      </w:pPr>
      <w:r>
        <w:rPr>
          <w:sz w:val="24"/>
          <w:szCs w:val="24"/>
        </w:rPr>
        <w:br w:type="page"/>
      </w:r>
    </w:p>
    <w:p w:rsidR="007564F4" w:rsidRPr="00FD00E3" w:rsidRDefault="007564F4" w:rsidP="007564F4">
      <w:pPr>
        <w:tabs>
          <w:tab w:val="left" w:pos="851"/>
        </w:tabs>
        <w:ind w:left="851"/>
        <w:rPr>
          <w:sz w:val="24"/>
          <w:szCs w:val="24"/>
        </w:rPr>
      </w:pPr>
    </w:p>
    <w:p w:rsidR="008A36FE" w:rsidRPr="008A36FE" w:rsidRDefault="008A36FE" w:rsidP="008A36FE">
      <w:pPr>
        <w:tabs>
          <w:tab w:val="left" w:pos="851"/>
        </w:tabs>
        <w:ind w:left="851"/>
        <w:rPr>
          <w:b/>
          <w:bCs/>
          <w:sz w:val="24"/>
          <w:szCs w:val="24"/>
          <w:lang w:val="en-US"/>
        </w:rPr>
      </w:pPr>
      <w:r w:rsidRPr="008A36FE">
        <w:rPr>
          <w:b/>
          <w:bCs/>
          <w:sz w:val="24"/>
          <w:szCs w:val="24"/>
          <w:lang w:val="en-US"/>
        </w:rPr>
        <w:t>Tabel 9: Virkning i studie CO-US-104-0380 (Partners PrEP)</w:t>
      </w:r>
    </w:p>
    <w:p w:rsidR="008A36FE" w:rsidRPr="008A36FE" w:rsidRDefault="008A36FE" w:rsidP="008A36FE">
      <w:pPr>
        <w:tabs>
          <w:tab w:val="left" w:pos="851"/>
        </w:tabs>
        <w:ind w:left="851"/>
        <w:rPr>
          <w:b/>
          <w:sz w:val="24"/>
          <w:szCs w:val="24"/>
          <w:lang w:val="en-US"/>
        </w:r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1833"/>
        <w:gridCol w:w="2117"/>
        <w:gridCol w:w="2126"/>
      </w:tblGrid>
      <w:tr w:rsidR="00EB7FE6" w:rsidRPr="00467589" w:rsidTr="00A92787">
        <w:trPr>
          <w:trHeight w:val="460"/>
        </w:trPr>
        <w:tc>
          <w:tcPr>
            <w:tcW w:w="3676" w:type="dxa"/>
          </w:tcPr>
          <w:p w:rsidR="00EB7FE6" w:rsidRPr="00A92787" w:rsidRDefault="00EB7FE6" w:rsidP="00A92787">
            <w:pPr>
              <w:ind w:left="24"/>
              <w:rPr>
                <w:sz w:val="22"/>
                <w:szCs w:val="22"/>
                <w:lang w:val="en-US"/>
              </w:rPr>
            </w:pPr>
          </w:p>
        </w:tc>
        <w:tc>
          <w:tcPr>
            <w:tcW w:w="1833" w:type="dxa"/>
          </w:tcPr>
          <w:p w:rsidR="00EB7FE6" w:rsidRPr="00A92787" w:rsidRDefault="00EB7FE6" w:rsidP="00A92787">
            <w:pPr>
              <w:rPr>
                <w:b/>
                <w:sz w:val="22"/>
                <w:szCs w:val="22"/>
              </w:rPr>
            </w:pPr>
            <w:r w:rsidRPr="00A92787">
              <w:rPr>
                <w:b/>
                <w:sz w:val="22"/>
                <w:szCs w:val="22"/>
              </w:rPr>
              <w:t>Placebo</w:t>
            </w:r>
          </w:p>
        </w:tc>
        <w:tc>
          <w:tcPr>
            <w:tcW w:w="2117" w:type="dxa"/>
          </w:tcPr>
          <w:p w:rsidR="00EB7FE6" w:rsidRPr="00A92787" w:rsidRDefault="00EB7FE6" w:rsidP="00A92787">
            <w:pPr>
              <w:ind w:left="24"/>
              <w:rPr>
                <w:b/>
                <w:sz w:val="22"/>
                <w:szCs w:val="22"/>
              </w:rPr>
            </w:pPr>
            <w:r w:rsidRPr="00A92787">
              <w:rPr>
                <w:b/>
                <w:sz w:val="22"/>
                <w:szCs w:val="22"/>
              </w:rPr>
              <w:t>Tenofovirdisoproxil 245 mg (som fumarat)</w:t>
            </w:r>
          </w:p>
        </w:tc>
        <w:tc>
          <w:tcPr>
            <w:tcW w:w="2126" w:type="dxa"/>
          </w:tcPr>
          <w:p w:rsidR="00EB7FE6" w:rsidRPr="00467589" w:rsidRDefault="00EB7FE6" w:rsidP="00A92787">
            <w:pPr>
              <w:ind w:left="33"/>
              <w:rPr>
                <w:b/>
                <w:sz w:val="22"/>
                <w:szCs w:val="22"/>
              </w:rPr>
            </w:pPr>
            <w:r w:rsidRPr="00467589">
              <w:rPr>
                <w:b/>
                <w:sz w:val="22"/>
                <w:szCs w:val="22"/>
              </w:rPr>
              <w:t>Emtricitabin/</w:t>
            </w:r>
          </w:p>
          <w:p w:rsidR="00EB7FE6" w:rsidRPr="00A92787" w:rsidRDefault="00EB7FE6" w:rsidP="00A92787">
            <w:pPr>
              <w:ind w:left="33"/>
              <w:rPr>
                <w:b/>
                <w:sz w:val="22"/>
                <w:szCs w:val="22"/>
              </w:rPr>
            </w:pPr>
            <w:r w:rsidRPr="00467589">
              <w:rPr>
                <w:b/>
                <w:sz w:val="22"/>
                <w:szCs w:val="22"/>
              </w:rPr>
              <w:t>tenofovirdisoproxil 200 mg/245 mg tabletter</w:t>
            </w:r>
          </w:p>
        </w:tc>
      </w:tr>
      <w:tr w:rsidR="00EB7FE6" w:rsidRPr="00467589" w:rsidTr="00A92787">
        <w:trPr>
          <w:trHeight w:val="230"/>
        </w:trPr>
        <w:tc>
          <w:tcPr>
            <w:tcW w:w="3676" w:type="dxa"/>
          </w:tcPr>
          <w:p w:rsidR="00EB7FE6" w:rsidRPr="00A92787" w:rsidRDefault="00EB7FE6" w:rsidP="00A92787">
            <w:pPr>
              <w:ind w:left="24"/>
              <w:rPr>
                <w:b/>
                <w:sz w:val="22"/>
                <w:szCs w:val="22"/>
              </w:rPr>
            </w:pPr>
            <w:r w:rsidRPr="00A92787">
              <w:rPr>
                <w:b/>
                <w:sz w:val="22"/>
                <w:szCs w:val="22"/>
              </w:rPr>
              <w:t>Serokonverteringer / N</w:t>
            </w:r>
            <w:r w:rsidRPr="00A92787">
              <w:rPr>
                <w:b/>
                <w:sz w:val="22"/>
                <w:szCs w:val="22"/>
                <w:vertAlign w:val="superscript"/>
              </w:rPr>
              <w:t>a</w:t>
            </w:r>
          </w:p>
        </w:tc>
        <w:tc>
          <w:tcPr>
            <w:tcW w:w="1833" w:type="dxa"/>
          </w:tcPr>
          <w:p w:rsidR="00EB7FE6" w:rsidRPr="00A92787" w:rsidRDefault="00EB7FE6" w:rsidP="00A92787">
            <w:pPr>
              <w:rPr>
                <w:sz w:val="22"/>
                <w:szCs w:val="22"/>
              </w:rPr>
            </w:pPr>
            <w:r w:rsidRPr="00A92787">
              <w:rPr>
                <w:sz w:val="22"/>
                <w:szCs w:val="22"/>
              </w:rPr>
              <w:t>52 / 1578</w:t>
            </w:r>
          </w:p>
        </w:tc>
        <w:tc>
          <w:tcPr>
            <w:tcW w:w="2117" w:type="dxa"/>
          </w:tcPr>
          <w:p w:rsidR="00EB7FE6" w:rsidRPr="00A92787" w:rsidRDefault="00EB7FE6" w:rsidP="00A92787">
            <w:pPr>
              <w:ind w:left="24"/>
              <w:rPr>
                <w:sz w:val="22"/>
                <w:szCs w:val="22"/>
              </w:rPr>
            </w:pPr>
            <w:r w:rsidRPr="00A92787">
              <w:rPr>
                <w:sz w:val="22"/>
                <w:szCs w:val="22"/>
              </w:rPr>
              <w:t>17 / 1579</w:t>
            </w:r>
          </w:p>
        </w:tc>
        <w:tc>
          <w:tcPr>
            <w:tcW w:w="2126" w:type="dxa"/>
          </w:tcPr>
          <w:p w:rsidR="00EB7FE6" w:rsidRPr="00A92787" w:rsidRDefault="00EB7FE6" w:rsidP="00A92787">
            <w:pPr>
              <w:ind w:left="33"/>
              <w:rPr>
                <w:sz w:val="22"/>
                <w:szCs w:val="22"/>
              </w:rPr>
            </w:pPr>
            <w:r w:rsidRPr="00A92787">
              <w:rPr>
                <w:sz w:val="22"/>
                <w:szCs w:val="22"/>
              </w:rPr>
              <w:t>13 / 1576</w:t>
            </w:r>
          </w:p>
        </w:tc>
      </w:tr>
      <w:tr w:rsidR="00EB7FE6" w:rsidRPr="00467589" w:rsidTr="00A92787">
        <w:trPr>
          <w:trHeight w:val="229"/>
        </w:trPr>
        <w:tc>
          <w:tcPr>
            <w:tcW w:w="3676" w:type="dxa"/>
          </w:tcPr>
          <w:p w:rsidR="00EB7FE6" w:rsidRPr="00A92787" w:rsidRDefault="00EB7FE6" w:rsidP="00A92787">
            <w:pPr>
              <w:ind w:left="24"/>
              <w:rPr>
                <w:sz w:val="22"/>
                <w:szCs w:val="22"/>
              </w:rPr>
            </w:pPr>
            <w:r w:rsidRPr="00A92787">
              <w:rPr>
                <w:sz w:val="22"/>
                <w:szCs w:val="22"/>
              </w:rPr>
              <w:t>Forekomst pr. 100 personår (95% CI)</w:t>
            </w:r>
          </w:p>
        </w:tc>
        <w:tc>
          <w:tcPr>
            <w:tcW w:w="1833" w:type="dxa"/>
          </w:tcPr>
          <w:p w:rsidR="00EB7FE6" w:rsidRPr="00A92787" w:rsidRDefault="00EB7FE6" w:rsidP="00A92787">
            <w:pPr>
              <w:rPr>
                <w:sz w:val="22"/>
                <w:szCs w:val="22"/>
              </w:rPr>
            </w:pPr>
            <w:r w:rsidRPr="00A92787">
              <w:rPr>
                <w:sz w:val="22"/>
                <w:szCs w:val="22"/>
              </w:rPr>
              <w:t>1,99 (1,49; 2,62)</w:t>
            </w:r>
          </w:p>
        </w:tc>
        <w:tc>
          <w:tcPr>
            <w:tcW w:w="2117" w:type="dxa"/>
          </w:tcPr>
          <w:p w:rsidR="00EB7FE6" w:rsidRPr="00A92787" w:rsidRDefault="00EB7FE6" w:rsidP="00A92787">
            <w:pPr>
              <w:ind w:left="24"/>
              <w:rPr>
                <w:sz w:val="22"/>
                <w:szCs w:val="22"/>
              </w:rPr>
            </w:pPr>
            <w:r w:rsidRPr="00A92787">
              <w:rPr>
                <w:sz w:val="22"/>
                <w:szCs w:val="22"/>
              </w:rPr>
              <w:t>0,65 (0,38; 1,05)</w:t>
            </w:r>
          </w:p>
        </w:tc>
        <w:tc>
          <w:tcPr>
            <w:tcW w:w="2126" w:type="dxa"/>
          </w:tcPr>
          <w:p w:rsidR="00EB7FE6" w:rsidRPr="00A92787" w:rsidRDefault="00EB7FE6" w:rsidP="00A92787">
            <w:pPr>
              <w:ind w:left="33"/>
              <w:rPr>
                <w:sz w:val="22"/>
                <w:szCs w:val="22"/>
              </w:rPr>
            </w:pPr>
            <w:r w:rsidRPr="00A92787">
              <w:rPr>
                <w:sz w:val="22"/>
                <w:szCs w:val="22"/>
              </w:rPr>
              <w:t>0,50 (0,27; 0,85)</w:t>
            </w:r>
          </w:p>
        </w:tc>
      </w:tr>
      <w:tr w:rsidR="00EB7FE6" w:rsidRPr="00467589" w:rsidTr="00A92787">
        <w:trPr>
          <w:trHeight w:val="230"/>
        </w:trPr>
        <w:tc>
          <w:tcPr>
            <w:tcW w:w="3676" w:type="dxa"/>
          </w:tcPr>
          <w:p w:rsidR="00EB7FE6" w:rsidRPr="00A92787" w:rsidRDefault="00EB7FE6" w:rsidP="00A92787">
            <w:pPr>
              <w:ind w:left="24"/>
              <w:rPr>
                <w:sz w:val="22"/>
                <w:szCs w:val="22"/>
              </w:rPr>
            </w:pPr>
            <w:r w:rsidRPr="00A92787">
              <w:rPr>
                <w:sz w:val="22"/>
                <w:szCs w:val="22"/>
              </w:rPr>
              <w:t>Relativ risikoreduktion (95% CI)</w:t>
            </w:r>
          </w:p>
        </w:tc>
        <w:tc>
          <w:tcPr>
            <w:tcW w:w="1833" w:type="dxa"/>
          </w:tcPr>
          <w:p w:rsidR="00EB7FE6" w:rsidRPr="00A92787" w:rsidRDefault="00EB7FE6" w:rsidP="00A92787">
            <w:pPr>
              <w:rPr>
                <w:sz w:val="22"/>
                <w:szCs w:val="22"/>
              </w:rPr>
            </w:pPr>
            <w:r w:rsidRPr="00A92787">
              <w:rPr>
                <w:sz w:val="22"/>
                <w:szCs w:val="22"/>
              </w:rPr>
              <w:t>—</w:t>
            </w:r>
          </w:p>
        </w:tc>
        <w:tc>
          <w:tcPr>
            <w:tcW w:w="2117" w:type="dxa"/>
          </w:tcPr>
          <w:p w:rsidR="00EB7FE6" w:rsidRPr="00A92787" w:rsidRDefault="00EB7FE6" w:rsidP="00A92787">
            <w:pPr>
              <w:ind w:left="24"/>
              <w:rPr>
                <w:sz w:val="22"/>
                <w:szCs w:val="22"/>
              </w:rPr>
            </w:pPr>
            <w:r w:rsidRPr="00A92787">
              <w:rPr>
                <w:sz w:val="22"/>
                <w:szCs w:val="22"/>
              </w:rPr>
              <w:t>67 % (44 %; 81 %)</w:t>
            </w:r>
          </w:p>
        </w:tc>
        <w:tc>
          <w:tcPr>
            <w:tcW w:w="2126" w:type="dxa"/>
          </w:tcPr>
          <w:p w:rsidR="00EB7FE6" w:rsidRPr="00A92787" w:rsidRDefault="00EB7FE6" w:rsidP="00A92787">
            <w:pPr>
              <w:ind w:left="33"/>
              <w:rPr>
                <w:sz w:val="22"/>
                <w:szCs w:val="22"/>
              </w:rPr>
            </w:pPr>
            <w:r w:rsidRPr="00A92787">
              <w:rPr>
                <w:sz w:val="22"/>
                <w:szCs w:val="22"/>
              </w:rPr>
              <w:t>75 % (55 %; 87%)</w:t>
            </w:r>
          </w:p>
        </w:tc>
      </w:tr>
    </w:tbl>
    <w:p w:rsidR="008A36FE" w:rsidRDefault="008A36FE" w:rsidP="008A36FE">
      <w:pPr>
        <w:tabs>
          <w:tab w:val="left" w:pos="1134"/>
        </w:tabs>
        <w:ind w:left="1134" w:hanging="283"/>
        <w:rPr>
          <w:sz w:val="20"/>
        </w:rPr>
      </w:pPr>
      <w:r>
        <w:rPr>
          <w:sz w:val="20"/>
        </w:rPr>
        <w:t>a</w:t>
      </w:r>
      <w:r>
        <w:rPr>
          <w:sz w:val="20"/>
        </w:rPr>
        <w:tab/>
        <w:t>Relativ risikoreduktion beregnet for mITT-kohorte baseret på hændelsen (post-</w:t>
      </w:r>
      <w:r>
        <w:rPr>
          <w:i/>
          <w:sz w:val="20"/>
        </w:rPr>
        <w:t>baseline</w:t>
      </w:r>
      <w:r>
        <w:rPr>
          <w:sz w:val="20"/>
        </w:rPr>
        <w:t>) serokonvertering. Grupper med aktiv forsøgsmedicin er sammenlignet med placebo.</w:t>
      </w:r>
    </w:p>
    <w:p w:rsidR="008A36FE" w:rsidRDefault="008A36FE" w:rsidP="008A36FE">
      <w:pPr>
        <w:tabs>
          <w:tab w:val="left" w:pos="851"/>
        </w:tabs>
        <w:ind w:left="851"/>
        <w:rPr>
          <w:sz w:val="24"/>
          <w:szCs w:val="24"/>
        </w:rPr>
      </w:pPr>
    </w:p>
    <w:p w:rsidR="008A36FE" w:rsidRDefault="008A36FE" w:rsidP="008A36FE">
      <w:pPr>
        <w:tabs>
          <w:tab w:val="left" w:pos="851"/>
        </w:tabs>
        <w:ind w:left="851"/>
        <w:rPr>
          <w:b/>
          <w:bCs/>
          <w:sz w:val="24"/>
          <w:szCs w:val="24"/>
        </w:rPr>
      </w:pPr>
      <w:r>
        <w:rPr>
          <w:b/>
          <w:bCs/>
          <w:sz w:val="24"/>
          <w:szCs w:val="24"/>
        </w:rPr>
        <w:t>Tabel 10: Virkning og adhærens i studie CO-US-104-0380 (Partners PrEP)</w:t>
      </w:r>
    </w:p>
    <w:p w:rsidR="008A36FE" w:rsidRDefault="008A36FE" w:rsidP="008A36FE">
      <w:pPr>
        <w:tabs>
          <w:tab w:val="left" w:pos="851"/>
        </w:tabs>
        <w:ind w:left="851"/>
        <w:rPr>
          <w:b/>
          <w:sz w:val="24"/>
          <w:szCs w:val="24"/>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549"/>
        <w:gridCol w:w="2268"/>
        <w:gridCol w:w="1975"/>
        <w:gridCol w:w="1285"/>
      </w:tblGrid>
      <w:tr w:rsidR="00EB7FE6" w:rsidRPr="00467589" w:rsidTr="00A92787">
        <w:trPr>
          <w:trHeight w:val="921"/>
        </w:trPr>
        <w:tc>
          <w:tcPr>
            <w:tcW w:w="2694" w:type="dxa"/>
            <w:vMerge w:val="restart"/>
            <w:tcBorders>
              <w:right w:val="single" w:sz="6" w:space="0" w:color="000000"/>
            </w:tcBorders>
          </w:tcPr>
          <w:p w:rsidR="00EB7FE6" w:rsidRPr="00A92787" w:rsidRDefault="00EB7FE6" w:rsidP="00A92787">
            <w:pPr>
              <w:ind w:left="24"/>
              <w:rPr>
                <w:b/>
                <w:sz w:val="22"/>
                <w:szCs w:val="22"/>
              </w:rPr>
            </w:pPr>
          </w:p>
          <w:p w:rsidR="00EB7FE6" w:rsidRPr="00A92787" w:rsidRDefault="00EB7FE6" w:rsidP="00A92787">
            <w:pPr>
              <w:ind w:left="24"/>
              <w:rPr>
                <w:b/>
                <w:sz w:val="22"/>
                <w:szCs w:val="22"/>
              </w:rPr>
            </w:pPr>
          </w:p>
          <w:p w:rsidR="00EB7FE6" w:rsidRPr="00A92787" w:rsidRDefault="00EB7FE6" w:rsidP="00A92787">
            <w:pPr>
              <w:ind w:left="24"/>
              <w:rPr>
                <w:b/>
                <w:sz w:val="22"/>
                <w:szCs w:val="22"/>
              </w:rPr>
            </w:pPr>
          </w:p>
          <w:p w:rsidR="00EB7FE6" w:rsidRPr="00A92787" w:rsidRDefault="00EB7FE6" w:rsidP="00A92787">
            <w:pPr>
              <w:ind w:left="24"/>
              <w:rPr>
                <w:b/>
                <w:sz w:val="22"/>
                <w:szCs w:val="22"/>
              </w:rPr>
            </w:pPr>
          </w:p>
          <w:p w:rsidR="00EB7FE6" w:rsidRPr="00A92787" w:rsidRDefault="00EB7FE6" w:rsidP="00A92787">
            <w:pPr>
              <w:ind w:left="24"/>
              <w:rPr>
                <w:b/>
                <w:sz w:val="22"/>
                <w:szCs w:val="22"/>
              </w:rPr>
            </w:pPr>
            <w:r w:rsidRPr="00A92787">
              <w:rPr>
                <w:b/>
                <w:sz w:val="22"/>
                <w:szCs w:val="22"/>
              </w:rPr>
              <w:t>Studiemedicin</w:t>
            </w:r>
          </w:p>
          <w:p w:rsidR="00EB7FE6" w:rsidRPr="00A92787" w:rsidRDefault="00EB7FE6" w:rsidP="00A92787">
            <w:pPr>
              <w:ind w:left="24"/>
              <w:rPr>
                <w:b/>
                <w:sz w:val="22"/>
                <w:szCs w:val="22"/>
              </w:rPr>
            </w:pPr>
            <w:r w:rsidRPr="00A92787">
              <w:rPr>
                <w:b/>
                <w:sz w:val="22"/>
                <w:szCs w:val="22"/>
              </w:rPr>
              <w:t>Kvantificering</w:t>
            </w:r>
          </w:p>
        </w:tc>
        <w:tc>
          <w:tcPr>
            <w:tcW w:w="3817" w:type="dxa"/>
            <w:gridSpan w:val="2"/>
            <w:tcBorders>
              <w:left w:val="single" w:sz="6" w:space="0" w:color="000000"/>
              <w:right w:val="single" w:sz="6" w:space="0" w:color="000000"/>
            </w:tcBorders>
          </w:tcPr>
          <w:p w:rsidR="00EB7FE6" w:rsidRPr="00467589" w:rsidRDefault="00EB7FE6" w:rsidP="00A92787">
            <w:pPr>
              <w:rPr>
                <w:b/>
                <w:sz w:val="22"/>
                <w:szCs w:val="22"/>
              </w:rPr>
            </w:pPr>
          </w:p>
          <w:p w:rsidR="00EB7FE6" w:rsidRPr="00467589" w:rsidRDefault="00EB7FE6" w:rsidP="00A92787">
            <w:pPr>
              <w:rPr>
                <w:b/>
                <w:sz w:val="22"/>
                <w:szCs w:val="22"/>
              </w:rPr>
            </w:pPr>
            <w:r w:rsidRPr="00467589">
              <w:rPr>
                <w:b/>
                <w:sz w:val="22"/>
                <w:szCs w:val="22"/>
              </w:rPr>
              <w:t>Antal med Detekteret Tenofovir/ Samlet Prøveantal (%)</w:t>
            </w:r>
          </w:p>
        </w:tc>
        <w:tc>
          <w:tcPr>
            <w:tcW w:w="3260" w:type="dxa"/>
            <w:gridSpan w:val="2"/>
            <w:tcBorders>
              <w:left w:val="single" w:sz="6" w:space="0" w:color="000000"/>
            </w:tcBorders>
          </w:tcPr>
          <w:p w:rsidR="00EB7FE6" w:rsidRPr="00467589" w:rsidRDefault="00EB7FE6" w:rsidP="00A92787">
            <w:pPr>
              <w:ind w:left="24"/>
              <w:rPr>
                <w:b/>
                <w:sz w:val="22"/>
                <w:szCs w:val="22"/>
              </w:rPr>
            </w:pPr>
            <w:r w:rsidRPr="00467589">
              <w:rPr>
                <w:b/>
                <w:sz w:val="22"/>
                <w:szCs w:val="22"/>
              </w:rPr>
              <w:t>Risikoestimat for HIV 1</w:t>
            </w:r>
            <w:r w:rsidRPr="00467589">
              <w:rPr>
                <w:b/>
                <w:sz w:val="22"/>
                <w:szCs w:val="22"/>
              </w:rPr>
              <w:noBreakHyphen/>
              <w:t>Beskyttelse:</w:t>
            </w:r>
          </w:p>
          <w:p w:rsidR="00EB7FE6" w:rsidRPr="00467589" w:rsidRDefault="00EB7FE6" w:rsidP="00A92787">
            <w:pPr>
              <w:ind w:left="24"/>
              <w:rPr>
                <w:b/>
                <w:sz w:val="22"/>
                <w:szCs w:val="22"/>
              </w:rPr>
            </w:pPr>
            <w:r w:rsidRPr="00467589">
              <w:rPr>
                <w:b/>
                <w:sz w:val="22"/>
                <w:szCs w:val="22"/>
              </w:rPr>
              <w:t xml:space="preserve">Detektering af </w:t>
            </w:r>
            <w:r w:rsidRPr="00467589">
              <w:rPr>
                <w:b/>
                <w:i/>
                <w:sz w:val="22"/>
                <w:szCs w:val="22"/>
              </w:rPr>
              <w:t xml:space="preserve">vs. </w:t>
            </w:r>
            <w:r w:rsidRPr="00467589">
              <w:rPr>
                <w:b/>
                <w:sz w:val="22"/>
                <w:szCs w:val="22"/>
              </w:rPr>
              <w:t>ingen detektering af Tenofovir</w:t>
            </w:r>
          </w:p>
        </w:tc>
      </w:tr>
      <w:tr w:rsidR="00EB7FE6" w:rsidRPr="00467589" w:rsidTr="00A92787">
        <w:trPr>
          <w:trHeight w:val="688"/>
        </w:trPr>
        <w:tc>
          <w:tcPr>
            <w:tcW w:w="2694" w:type="dxa"/>
            <w:vMerge/>
            <w:tcBorders>
              <w:top w:val="nil"/>
              <w:right w:val="single" w:sz="6" w:space="0" w:color="000000"/>
            </w:tcBorders>
          </w:tcPr>
          <w:p w:rsidR="00EB7FE6" w:rsidRPr="00467589" w:rsidRDefault="00EB7FE6" w:rsidP="00A92787">
            <w:pPr>
              <w:ind w:left="24"/>
              <w:rPr>
                <w:sz w:val="22"/>
                <w:szCs w:val="22"/>
              </w:rPr>
            </w:pPr>
          </w:p>
        </w:tc>
        <w:tc>
          <w:tcPr>
            <w:tcW w:w="1549" w:type="dxa"/>
            <w:tcBorders>
              <w:left w:val="single" w:sz="6" w:space="0" w:color="000000"/>
              <w:right w:val="single" w:sz="6" w:space="0" w:color="000000"/>
            </w:tcBorders>
          </w:tcPr>
          <w:p w:rsidR="00EB7FE6" w:rsidRPr="00467589" w:rsidRDefault="00EB7FE6" w:rsidP="00A92787">
            <w:pPr>
              <w:rPr>
                <w:b/>
                <w:sz w:val="22"/>
                <w:szCs w:val="22"/>
              </w:rPr>
            </w:pPr>
          </w:p>
          <w:p w:rsidR="00EB7FE6" w:rsidRPr="00467589" w:rsidRDefault="00EB7FE6" w:rsidP="00A92787">
            <w:pPr>
              <w:rPr>
                <w:b/>
                <w:sz w:val="22"/>
                <w:szCs w:val="22"/>
              </w:rPr>
            </w:pPr>
          </w:p>
          <w:p w:rsidR="00EB7FE6" w:rsidRPr="00A92787" w:rsidRDefault="00EB7FE6" w:rsidP="00A92787">
            <w:pPr>
              <w:rPr>
                <w:b/>
                <w:sz w:val="22"/>
                <w:szCs w:val="22"/>
              </w:rPr>
            </w:pPr>
            <w:r w:rsidRPr="00A92787">
              <w:rPr>
                <w:b/>
                <w:sz w:val="22"/>
                <w:szCs w:val="22"/>
              </w:rPr>
              <w:t>Case</w:t>
            </w:r>
          </w:p>
        </w:tc>
        <w:tc>
          <w:tcPr>
            <w:tcW w:w="2268" w:type="dxa"/>
            <w:tcBorders>
              <w:left w:val="single" w:sz="6" w:space="0" w:color="000000"/>
              <w:right w:val="single" w:sz="6" w:space="0" w:color="000000"/>
            </w:tcBorders>
          </w:tcPr>
          <w:p w:rsidR="00EB7FE6" w:rsidRPr="00A92787" w:rsidRDefault="00EB7FE6" w:rsidP="00A92787">
            <w:pPr>
              <w:rPr>
                <w:b/>
                <w:sz w:val="22"/>
                <w:szCs w:val="22"/>
              </w:rPr>
            </w:pPr>
          </w:p>
          <w:p w:rsidR="00EB7FE6" w:rsidRPr="00A92787" w:rsidRDefault="00EB7FE6" w:rsidP="00A92787">
            <w:pPr>
              <w:rPr>
                <w:b/>
                <w:sz w:val="22"/>
                <w:szCs w:val="22"/>
              </w:rPr>
            </w:pPr>
          </w:p>
          <w:p w:rsidR="00EB7FE6" w:rsidRPr="00A92787" w:rsidRDefault="00EB7FE6" w:rsidP="00A92787">
            <w:pPr>
              <w:rPr>
                <w:b/>
                <w:sz w:val="22"/>
                <w:szCs w:val="22"/>
              </w:rPr>
            </w:pPr>
            <w:r w:rsidRPr="00A92787">
              <w:rPr>
                <w:b/>
                <w:sz w:val="22"/>
                <w:szCs w:val="22"/>
              </w:rPr>
              <w:t>Kohorte</w:t>
            </w:r>
          </w:p>
        </w:tc>
        <w:tc>
          <w:tcPr>
            <w:tcW w:w="1975" w:type="dxa"/>
            <w:tcBorders>
              <w:left w:val="single" w:sz="6" w:space="0" w:color="000000"/>
              <w:right w:val="single" w:sz="6" w:space="0" w:color="000000"/>
            </w:tcBorders>
          </w:tcPr>
          <w:p w:rsidR="00EB7FE6" w:rsidRPr="00A92787" w:rsidRDefault="00EB7FE6" w:rsidP="00A92787">
            <w:pPr>
              <w:ind w:left="24"/>
              <w:rPr>
                <w:b/>
                <w:sz w:val="22"/>
                <w:szCs w:val="22"/>
              </w:rPr>
            </w:pPr>
            <w:r w:rsidRPr="00A92787">
              <w:rPr>
                <w:b/>
                <w:sz w:val="22"/>
                <w:szCs w:val="22"/>
              </w:rPr>
              <w:t>Relativ Risikoreduktion (95 % CI)</w:t>
            </w:r>
          </w:p>
        </w:tc>
        <w:tc>
          <w:tcPr>
            <w:tcW w:w="1285" w:type="dxa"/>
            <w:tcBorders>
              <w:left w:val="single" w:sz="6" w:space="0" w:color="000000"/>
            </w:tcBorders>
          </w:tcPr>
          <w:p w:rsidR="00EB7FE6" w:rsidRPr="00A92787" w:rsidRDefault="00EB7FE6" w:rsidP="00A92787">
            <w:pPr>
              <w:ind w:left="43"/>
              <w:rPr>
                <w:b/>
                <w:sz w:val="22"/>
                <w:szCs w:val="22"/>
              </w:rPr>
            </w:pPr>
          </w:p>
          <w:p w:rsidR="00EB7FE6" w:rsidRPr="00A92787" w:rsidRDefault="00EB7FE6" w:rsidP="00A92787">
            <w:pPr>
              <w:ind w:left="43"/>
              <w:rPr>
                <w:b/>
                <w:sz w:val="22"/>
                <w:szCs w:val="22"/>
              </w:rPr>
            </w:pPr>
          </w:p>
          <w:p w:rsidR="00EB7FE6" w:rsidRPr="00A92787" w:rsidRDefault="00EB7FE6" w:rsidP="00A92787">
            <w:pPr>
              <w:ind w:left="43"/>
              <w:rPr>
                <w:b/>
                <w:sz w:val="22"/>
                <w:szCs w:val="22"/>
              </w:rPr>
            </w:pPr>
            <w:r w:rsidRPr="00A92787">
              <w:rPr>
                <w:b/>
                <w:sz w:val="22"/>
                <w:szCs w:val="22"/>
              </w:rPr>
              <w:t>P-værdi</w:t>
            </w:r>
          </w:p>
        </w:tc>
      </w:tr>
      <w:tr w:rsidR="00EB7FE6" w:rsidRPr="00467589" w:rsidTr="00A92787">
        <w:trPr>
          <w:trHeight w:val="458"/>
        </w:trPr>
        <w:tc>
          <w:tcPr>
            <w:tcW w:w="2694" w:type="dxa"/>
            <w:tcBorders>
              <w:right w:val="single" w:sz="6" w:space="0" w:color="000000"/>
            </w:tcBorders>
          </w:tcPr>
          <w:p w:rsidR="00EB7FE6" w:rsidRPr="00A92787" w:rsidRDefault="00EB7FE6" w:rsidP="00A92787">
            <w:pPr>
              <w:ind w:left="24"/>
              <w:rPr>
                <w:sz w:val="22"/>
                <w:szCs w:val="22"/>
              </w:rPr>
            </w:pPr>
            <w:r w:rsidRPr="00A92787">
              <w:rPr>
                <w:sz w:val="22"/>
                <w:szCs w:val="22"/>
              </w:rPr>
              <w:t>FTC/TDF-gruppe</w:t>
            </w:r>
            <w:r w:rsidRPr="00A92787">
              <w:rPr>
                <w:sz w:val="22"/>
                <w:szCs w:val="22"/>
                <w:vertAlign w:val="superscript"/>
              </w:rPr>
              <w:t>a</w:t>
            </w:r>
          </w:p>
        </w:tc>
        <w:tc>
          <w:tcPr>
            <w:tcW w:w="1549" w:type="dxa"/>
            <w:tcBorders>
              <w:left w:val="single" w:sz="6" w:space="0" w:color="000000"/>
              <w:right w:val="single" w:sz="6" w:space="0" w:color="000000"/>
            </w:tcBorders>
          </w:tcPr>
          <w:p w:rsidR="00EB7FE6" w:rsidRPr="00A92787" w:rsidRDefault="00EB7FE6" w:rsidP="00A92787">
            <w:pPr>
              <w:rPr>
                <w:sz w:val="22"/>
                <w:szCs w:val="22"/>
              </w:rPr>
            </w:pPr>
            <w:r w:rsidRPr="00A92787">
              <w:rPr>
                <w:sz w:val="22"/>
                <w:szCs w:val="22"/>
              </w:rPr>
              <w:t>3 / 12</w:t>
            </w:r>
          </w:p>
          <w:p w:rsidR="00EB7FE6" w:rsidRPr="00A92787" w:rsidRDefault="00EB7FE6" w:rsidP="00A92787">
            <w:pPr>
              <w:rPr>
                <w:sz w:val="22"/>
                <w:szCs w:val="22"/>
              </w:rPr>
            </w:pPr>
            <w:r w:rsidRPr="00A92787">
              <w:rPr>
                <w:sz w:val="22"/>
                <w:szCs w:val="22"/>
              </w:rPr>
              <w:t>(25 %)</w:t>
            </w:r>
          </w:p>
        </w:tc>
        <w:tc>
          <w:tcPr>
            <w:tcW w:w="2268" w:type="dxa"/>
            <w:tcBorders>
              <w:left w:val="single" w:sz="6" w:space="0" w:color="000000"/>
              <w:right w:val="single" w:sz="6" w:space="0" w:color="000000"/>
            </w:tcBorders>
          </w:tcPr>
          <w:p w:rsidR="00EB7FE6" w:rsidRPr="00A92787" w:rsidRDefault="00EB7FE6" w:rsidP="00A92787">
            <w:pPr>
              <w:rPr>
                <w:sz w:val="22"/>
                <w:szCs w:val="22"/>
              </w:rPr>
            </w:pPr>
            <w:r w:rsidRPr="00A92787">
              <w:rPr>
                <w:sz w:val="22"/>
                <w:szCs w:val="22"/>
              </w:rPr>
              <w:t>375/465 (81 %)</w:t>
            </w:r>
          </w:p>
        </w:tc>
        <w:tc>
          <w:tcPr>
            <w:tcW w:w="1975" w:type="dxa"/>
            <w:tcBorders>
              <w:left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90 % (56 %; 98%)</w:t>
            </w:r>
          </w:p>
        </w:tc>
        <w:tc>
          <w:tcPr>
            <w:tcW w:w="1285" w:type="dxa"/>
            <w:tcBorders>
              <w:left w:val="single" w:sz="6" w:space="0" w:color="000000"/>
            </w:tcBorders>
          </w:tcPr>
          <w:p w:rsidR="00EB7FE6" w:rsidRPr="00A92787" w:rsidRDefault="00EB7FE6" w:rsidP="00A92787">
            <w:pPr>
              <w:ind w:left="43"/>
              <w:rPr>
                <w:sz w:val="22"/>
                <w:szCs w:val="22"/>
              </w:rPr>
            </w:pPr>
            <w:r w:rsidRPr="00A92787">
              <w:rPr>
                <w:sz w:val="22"/>
                <w:szCs w:val="22"/>
              </w:rPr>
              <w:t>0,002</w:t>
            </w:r>
          </w:p>
        </w:tc>
      </w:tr>
      <w:tr w:rsidR="00EB7FE6" w:rsidRPr="00467589" w:rsidTr="00A92787">
        <w:trPr>
          <w:trHeight w:val="460"/>
        </w:trPr>
        <w:tc>
          <w:tcPr>
            <w:tcW w:w="2694" w:type="dxa"/>
            <w:tcBorders>
              <w:right w:val="single" w:sz="6" w:space="0" w:color="000000"/>
            </w:tcBorders>
          </w:tcPr>
          <w:p w:rsidR="00EB7FE6" w:rsidRPr="00A92787" w:rsidRDefault="00EB7FE6" w:rsidP="00A92787">
            <w:pPr>
              <w:ind w:left="24"/>
              <w:rPr>
                <w:sz w:val="22"/>
                <w:szCs w:val="22"/>
              </w:rPr>
            </w:pPr>
            <w:r w:rsidRPr="00A92787">
              <w:rPr>
                <w:sz w:val="22"/>
                <w:szCs w:val="22"/>
              </w:rPr>
              <w:t>TDF-gruppe</w:t>
            </w:r>
            <w:r w:rsidRPr="00A92787">
              <w:rPr>
                <w:sz w:val="22"/>
                <w:szCs w:val="22"/>
                <w:vertAlign w:val="superscript"/>
              </w:rPr>
              <w:t>a</w:t>
            </w:r>
          </w:p>
        </w:tc>
        <w:tc>
          <w:tcPr>
            <w:tcW w:w="1549" w:type="dxa"/>
            <w:tcBorders>
              <w:left w:val="single" w:sz="6" w:space="0" w:color="000000"/>
              <w:right w:val="single" w:sz="6" w:space="0" w:color="000000"/>
            </w:tcBorders>
          </w:tcPr>
          <w:p w:rsidR="00EB7FE6" w:rsidRPr="00A92787" w:rsidRDefault="00EB7FE6" w:rsidP="00A92787">
            <w:pPr>
              <w:rPr>
                <w:sz w:val="22"/>
                <w:szCs w:val="22"/>
              </w:rPr>
            </w:pPr>
            <w:r w:rsidRPr="00A92787">
              <w:rPr>
                <w:sz w:val="22"/>
                <w:szCs w:val="22"/>
              </w:rPr>
              <w:t>6 / 17</w:t>
            </w:r>
          </w:p>
          <w:p w:rsidR="00EB7FE6" w:rsidRPr="00A92787" w:rsidRDefault="00EB7FE6" w:rsidP="00A92787">
            <w:pPr>
              <w:rPr>
                <w:sz w:val="22"/>
                <w:szCs w:val="22"/>
              </w:rPr>
            </w:pPr>
            <w:r w:rsidRPr="00A92787">
              <w:rPr>
                <w:sz w:val="22"/>
                <w:szCs w:val="22"/>
              </w:rPr>
              <w:t>(35 %)</w:t>
            </w:r>
          </w:p>
        </w:tc>
        <w:tc>
          <w:tcPr>
            <w:tcW w:w="2268" w:type="dxa"/>
            <w:tcBorders>
              <w:left w:val="single" w:sz="6" w:space="0" w:color="000000"/>
              <w:right w:val="single" w:sz="6" w:space="0" w:color="000000"/>
            </w:tcBorders>
          </w:tcPr>
          <w:p w:rsidR="00EB7FE6" w:rsidRPr="00A92787" w:rsidRDefault="00EB7FE6" w:rsidP="00A92787">
            <w:pPr>
              <w:rPr>
                <w:sz w:val="22"/>
                <w:szCs w:val="22"/>
              </w:rPr>
            </w:pPr>
            <w:r w:rsidRPr="00A92787">
              <w:rPr>
                <w:sz w:val="22"/>
                <w:szCs w:val="22"/>
              </w:rPr>
              <w:t>363/437 (83 %)</w:t>
            </w:r>
          </w:p>
        </w:tc>
        <w:tc>
          <w:tcPr>
            <w:tcW w:w="1975" w:type="dxa"/>
            <w:tcBorders>
              <w:left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86 % (67 %; 95 %)</w:t>
            </w:r>
          </w:p>
        </w:tc>
        <w:tc>
          <w:tcPr>
            <w:tcW w:w="1285" w:type="dxa"/>
            <w:tcBorders>
              <w:left w:val="single" w:sz="6" w:space="0" w:color="000000"/>
            </w:tcBorders>
          </w:tcPr>
          <w:p w:rsidR="00EB7FE6" w:rsidRPr="00A92787" w:rsidRDefault="00EB7FE6" w:rsidP="00A92787">
            <w:pPr>
              <w:ind w:left="43"/>
              <w:rPr>
                <w:sz w:val="22"/>
                <w:szCs w:val="22"/>
              </w:rPr>
            </w:pPr>
            <w:r w:rsidRPr="00A92787">
              <w:rPr>
                <w:sz w:val="22"/>
                <w:szCs w:val="22"/>
              </w:rPr>
              <w:t>&lt; 0,001</w:t>
            </w:r>
          </w:p>
        </w:tc>
      </w:tr>
      <w:tr w:rsidR="00EB7FE6" w:rsidRPr="00467589" w:rsidTr="00A92787">
        <w:trPr>
          <w:trHeight w:val="230"/>
        </w:trPr>
        <w:tc>
          <w:tcPr>
            <w:tcW w:w="2694" w:type="dxa"/>
            <w:vMerge w:val="restart"/>
            <w:tcBorders>
              <w:right w:val="single" w:sz="6" w:space="0" w:color="000000"/>
            </w:tcBorders>
          </w:tcPr>
          <w:p w:rsidR="00EB7FE6" w:rsidRPr="00A92787" w:rsidRDefault="00EB7FE6" w:rsidP="00A92787">
            <w:pPr>
              <w:ind w:left="24"/>
              <w:rPr>
                <w:b/>
                <w:sz w:val="22"/>
                <w:szCs w:val="22"/>
              </w:rPr>
            </w:pPr>
            <w:r w:rsidRPr="00A92787">
              <w:rPr>
                <w:b/>
                <w:sz w:val="22"/>
                <w:szCs w:val="22"/>
              </w:rPr>
              <w:t>Adhærens-Delstudie</w:t>
            </w:r>
          </w:p>
        </w:tc>
        <w:tc>
          <w:tcPr>
            <w:tcW w:w="3817" w:type="dxa"/>
            <w:gridSpan w:val="2"/>
            <w:tcBorders>
              <w:left w:val="single" w:sz="6" w:space="0" w:color="000000"/>
              <w:right w:val="single" w:sz="6" w:space="0" w:color="000000"/>
            </w:tcBorders>
          </w:tcPr>
          <w:p w:rsidR="00EB7FE6" w:rsidRPr="00A92787" w:rsidRDefault="00EB7FE6" w:rsidP="00A92787">
            <w:pPr>
              <w:rPr>
                <w:b/>
                <w:sz w:val="22"/>
                <w:szCs w:val="22"/>
              </w:rPr>
            </w:pPr>
            <w:r w:rsidRPr="00A92787">
              <w:rPr>
                <w:b/>
                <w:sz w:val="22"/>
                <w:szCs w:val="22"/>
              </w:rPr>
              <w:t>Deltagere i Adhærensdelstudiet</w:t>
            </w:r>
            <w:r w:rsidRPr="00A92787">
              <w:rPr>
                <w:b/>
                <w:sz w:val="22"/>
                <w:szCs w:val="22"/>
                <w:vertAlign w:val="superscript"/>
              </w:rPr>
              <w:t>b</w:t>
            </w:r>
          </w:p>
        </w:tc>
        <w:tc>
          <w:tcPr>
            <w:tcW w:w="1975" w:type="dxa"/>
            <w:vMerge w:val="restart"/>
            <w:tcBorders>
              <w:left w:val="single" w:sz="6" w:space="0" w:color="000000"/>
              <w:right w:val="single" w:sz="6" w:space="0" w:color="000000"/>
            </w:tcBorders>
          </w:tcPr>
          <w:p w:rsidR="00EB7FE6" w:rsidRPr="00A92787" w:rsidRDefault="00EB7FE6" w:rsidP="00A92787">
            <w:pPr>
              <w:ind w:left="24"/>
              <w:rPr>
                <w:b/>
                <w:sz w:val="22"/>
                <w:szCs w:val="22"/>
              </w:rPr>
            </w:pPr>
          </w:p>
          <w:p w:rsidR="00EB7FE6" w:rsidRPr="00A92787" w:rsidRDefault="00EB7FE6" w:rsidP="00A92787">
            <w:pPr>
              <w:ind w:left="24"/>
              <w:rPr>
                <w:b/>
                <w:sz w:val="22"/>
                <w:szCs w:val="22"/>
              </w:rPr>
            </w:pPr>
            <w:r w:rsidRPr="00A92787">
              <w:rPr>
                <w:b/>
                <w:sz w:val="22"/>
                <w:szCs w:val="22"/>
              </w:rPr>
              <w:t>Relativ Risikoreduktion (95 % CI)</w:t>
            </w:r>
          </w:p>
        </w:tc>
        <w:tc>
          <w:tcPr>
            <w:tcW w:w="1285" w:type="dxa"/>
            <w:vMerge w:val="restart"/>
            <w:tcBorders>
              <w:left w:val="single" w:sz="6" w:space="0" w:color="000000"/>
            </w:tcBorders>
          </w:tcPr>
          <w:p w:rsidR="00EB7FE6" w:rsidRPr="00A92787" w:rsidRDefault="00EB7FE6" w:rsidP="00A92787">
            <w:pPr>
              <w:ind w:left="43"/>
              <w:rPr>
                <w:b/>
                <w:sz w:val="22"/>
                <w:szCs w:val="22"/>
              </w:rPr>
            </w:pPr>
          </w:p>
          <w:p w:rsidR="00EB7FE6" w:rsidRPr="00A92787" w:rsidRDefault="00EB7FE6" w:rsidP="00A92787">
            <w:pPr>
              <w:ind w:left="43"/>
              <w:rPr>
                <w:b/>
                <w:sz w:val="22"/>
                <w:szCs w:val="22"/>
              </w:rPr>
            </w:pPr>
          </w:p>
          <w:p w:rsidR="00EB7FE6" w:rsidRPr="00A92787" w:rsidRDefault="00EB7FE6" w:rsidP="00A92787">
            <w:pPr>
              <w:ind w:left="43"/>
              <w:rPr>
                <w:b/>
                <w:sz w:val="22"/>
                <w:szCs w:val="22"/>
              </w:rPr>
            </w:pPr>
            <w:r w:rsidRPr="00A92787">
              <w:rPr>
                <w:b/>
                <w:sz w:val="22"/>
                <w:szCs w:val="22"/>
              </w:rPr>
              <w:t>P-værdi</w:t>
            </w:r>
          </w:p>
        </w:tc>
      </w:tr>
      <w:tr w:rsidR="00EB7FE6" w:rsidRPr="00467589" w:rsidTr="00A92787">
        <w:trPr>
          <w:trHeight w:val="1434"/>
        </w:trPr>
        <w:tc>
          <w:tcPr>
            <w:tcW w:w="2694" w:type="dxa"/>
            <w:vMerge/>
            <w:tcBorders>
              <w:top w:val="nil"/>
              <w:right w:val="single" w:sz="6" w:space="0" w:color="000000"/>
            </w:tcBorders>
          </w:tcPr>
          <w:p w:rsidR="00EB7FE6" w:rsidRPr="00A92787" w:rsidRDefault="00EB7FE6" w:rsidP="00A92787">
            <w:pPr>
              <w:ind w:left="24"/>
              <w:rPr>
                <w:sz w:val="22"/>
                <w:szCs w:val="22"/>
              </w:rPr>
            </w:pPr>
          </w:p>
        </w:tc>
        <w:tc>
          <w:tcPr>
            <w:tcW w:w="1549" w:type="dxa"/>
            <w:tcBorders>
              <w:left w:val="single" w:sz="6" w:space="0" w:color="000000"/>
              <w:right w:val="single" w:sz="6" w:space="0" w:color="000000"/>
            </w:tcBorders>
          </w:tcPr>
          <w:p w:rsidR="00EB7FE6" w:rsidRPr="00A92787" w:rsidRDefault="00EB7FE6" w:rsidP="00A92787">
            <w:pPr>
              <w:rPr>
                <w:b/>
                <w:sz w:val="22"/>
                <w:szCs w:val="22"/>
              </w:rPr>
            </w:pPr>
          </w:p>
          <w:p w:rsidR="00EB7FE6" w:rsidRPr="00A92787" w:rsidRDefault="00EB7FE6" w:rsidP="00A92787">
            <w:pPr>
              <w:rPr>
                <w:b/>
                <w:sz w:val="22"/>
                <w:szCs w:val="22"/>
              </w:rPr>
            </w:pPr>
          </w:p>
          <w:p w:rsidR="00EB7FE6" w:rsidRPr="00A92787" w:rsidRDefault="00EB7FE6" w:rsidP="00A92787">
            <w:pPr>
              <w:rPr>
                <w:b/>
                <w:sz w:val="22"/>
                <w:szCs w:val="22"/>
              </w:rPr>
            </w:pPr>
            <w:r w:rsidRPr="00A92787">
              <w:rPr>
                <w:b/>
                <w:sz w:val="22"/>
                <w:szCs w:val="22"/>
              </w:rPr>
              <w:t>Placebo</w:t>
            </w:r>
          </w:p>
        </w:tc>
        <w:tc>
          <w:tcPr>
            <w:tcW w:w="2268" w:type="dxa"/>
            <w:tcBorders>
              <w:left w:val="single" w:sz="6" w:space="0" w:color="000000"/>
              <w:right w:val="single" w:sz="6" w:space="0" w:color="000000"/>
            </w:tcBorders>
          </w:tcPr>
          <w:p w:rsidR="00EB7FE6" w:rsidRPr="00A92787" w:rsidRDefault="00EB7FE6" w:rsidP="00A92787">
            <w:pPr>
              <w:rPr>
                <w:b/>
                <w:sz w:val="22"/>
                <w:szCs w:val="22"/>
              </w:rPr>
            </w:pPr>
            <w:r w:rsidRPr="00A92787">
              <w:rPr>
                <w:b/>
                <w:sz w:val="22"/>
                <w:szCs w:val="22"/>
              </w:rPr>
              <w:t>Tenofovirdisoproxil 245 mg (som fumarat) + emtricitabin/</w:t>
            </w:r>
          </w:p>
          <w:p w:rsidR="00EB7FE6" w:rsidRPr="00A92787" w:rsidRDefault="00EB7FE6" w:rsidP="00A92787">
            <w:pPr>
              <w:rPr>
                <w:sz w:val="22"/>
                <w:szCs w:val="22"/>
              </w:rPr>
            </w:pPr>
            <w:r w:rsidRPr="00A92787">
              <w:rPr>
                <w:b/>
                <w:sz w:val="22"/>
                <w:szCs w:val="22"/>
              </w:rPr>
              <w:t>tenofovirdisoproxil 200 mg/245 mg tabletter</w:t>
            </w:r>
          </w:p>
        </w:tc>
        <w:tc>
          <w:tcPr>
            <w:tcW w:w="1975" w:type="dxa"/>
            <w:vMerge/>
            <w:tcBorders>
              <w:top w:val="nil"/>
              <w:left w:val="single" w:sz="6" w:space="0" w:color="000000"/>
              <w:right w:val="single" w:sz="6" w:space="0" w:color="000000"/>
            </w:tcBorders>
          </w:tcPr>
          <w:p w:rsidR="00EB7FE6" w:rsidRPr="00A92787" w:rsidRDefault="00EB7FE6" w:rsidP="00A92787">
            <w:pPr>
              <w:ind w:left="24"/>
              <w:rPr>
                <w:sz w:val="22"/>
                <w:szCs w:val="22"/>
              </w:rPr>
            </w:pPr>
          </w:p>
        </w:tc>
        <w:tc>
          <w:tcPr>
            <w:tcW w:w="1285" w:type="dxa"/>
            <w:vMerge/>
            <w:tcBorders>
              <w:top w:val="nil"/>
              <w:left w:val="single" w:sz="6" w:space="0" w:color="000000"/>
            </w:tcBorders>
          </w:tcPr>
          <w:p w:rsidR="00EB7FE6" w:rsidRPr="00A92787" w:rsidRDefault="00EB7FE6" w:rsidP="00A92787">
            <w:pPr>
              <w:ind w:left="43"/>
              <w:rPr>
                <w:sz w:val="22"/>
                <w:szCs w:val="22"/>
              </w:rPr>
            </w:pPr>
          </w:p>
        </w:tc>
      </w:tr>
      <w:tr w:rsidR="00EB7FE6" w:rsidRPr="00467589" w:rsidTr="00A92787">
        <w:trPr>
          <w:trHeight w:val="460"/>
        </w:trPr>
        <w:tc>
          <w:tcPr>
            <w:tcW w:w="2694" w:type="dxa"/>
            <w:tcBorders>
              <w:right w:val="single" w:sz="6" w:space="0" w:color="000000"/>
            </w:tcBorders>
          </w:tcPr>
          <w:p w:rsidR="00EB7FE6" w:rsidRPr="00A92787" w:rsidRDefault="00EB7FE6" w:rsidP="00A92787">
            <w:pPr>
              <w:ind w:left="24"/>
              <w:rPr>
                <w:sz w:val="22"/>
                <w:szCs w:val="22"/>
              </w:rPr>
            </w:pPr>
            <w:r w:rsidRPr="00A92787">
              <w:rPr>
                <w:sz w:val="22"/>
                <w:szCs w:val="22"/>
              </w:rPr>
              <w:t>Serokonverteringer / N</w:t>
            </w:r>
            <w:r w:rsidRPr="00A92787">
              <w:rPr>
                <w:sz w:val="22"/>
                <w:szCs w:val="22"/>
                <w:vertAlign w:val="superscript"/>
              </w:rPr>
              <w:t>b</w:t>
            </w:r>
          </w:p>
        </w:tc>
        <w:tc>
          <w:tcPr>
            <w:tcW w:w="1549" w:type="dxa"/>
            <w:tcBorders>
              <w:left w:val="single" w:sz="6" w:space="0" w:color="000000"/>
              <w:right w:val="single" w:sz="6" w:space="0" w:color="000000"/>
            </w:tcBorders>
          </w:tcPr>
          <w:p w:rsidR="00EB7FE6" w:rsidRPr="00A92787" w:rsidRDefault="00EB7FE6" w:rsidP="00A92787">
            <w:pPr>
              <w:rPr>
                <w:sz w:val="22"/>
                <w:szCs w:val="22"/>
              </w:rPr>
            </w:pPr>
            <w:r w:rsidRPr="00A92787">
              <w:rPr>
                <w:sz w:val="22"/>
                <w:szCs w:val="22"/>
              </w:rPr>
              <w:t>14 / 404</w:t>
            </w:r>
          </w:p>
          <w:p w:rsidR="00EB7FE6" w:rsidRPr="00A92787" w:rsidRDefault="00EB7FE6" w:rsidP="00A92787">
            <w:pPr>
              <w:rPr>
                <w:sz w:val="22"/>
                <w:szCs w:val="22"/>
              </w:rPr>
            </w:pPr>
            <w:r w:rsidRPr="00A92787">
              <w:rPr>
                <w:sz w:val="22"/>
                <w:szCs w:val="22"/>
              </w:rPr>
              <w:t>(3,5 %)</w:t>
            </w:r>
          </w:p>
        </w:tc>
        <w:tc>
          <w:tcPr>
            <w:tcW w:w="2268" w:type="dxa"/>
            <w:tcBorders>
              <w:left w:val="single" w:sz="6" w:space="0" w:color="000000"/>
              <w:right w:val="single" w:sz="6" w:space="0" w:color="000000"/>
            </w:tcBorders>
          </w:tcPr>
          <w:p w:rsidR="00EB7FE6" w:rsidRPr="00A92787" w:rsidRDefault="00EB7FE6" w:rsidP="00A92787">
            <w:pPr>
              <w:rPr>
                <w:sz w:val="22"/>
                <w:szCs w:val="22"/>
              </w:rPr>
            </w:pPr>
            <w:r w:rsidRPr="00A92787">
              <w:rPr>
                <w:sz w:val="22"/>
                <w:szCs w:val="22"/>
              </w:rPr>
              <w:t>0 / 745 (0 %)</w:t>
            </w:r>
          </w:p>
        </w:tc>
        <w:tc>
          <w:tcPr>
            <w:tcW w:w="1975" w:type="dxa"/>
            <w:tcBorders>
              <w:left w:val="single" w:sz="6" w:space="0" w:color="000000"/>
              <w:right w:val="single" w:sz="6" w:space="0" w:color="000000"/>
            </w:tcBorders>
          </w:tcPr>
          <w:p w:rsidR="00EB7FE6" w:rsidRPr="00A92787" w:rsidRDefault="00EB7FE6" w:rsidP="00A92787">
            <w:pPr>
              <w:ind w:left="24"/>
              <w:rPr>
                <w:sz w:val="22"/>
                <w:szCs w:val="22"/>
              </w:rPr>
            </w:pPr>
            <w:r w:rsidRPr="00A92787">
              <w:rPr>
                <w:sz w:val="22"/>
                <w:szCs w:val="22"/>
              </w:rPr>
              <w:t>100 % (87 %; 100 %)</w:t>
            </w:r>
          </w:p>
        </w:tc>
        <w:tc>
          <w:tcPr>
            <w:tcW w:w="1285" w:type="dxa"/>
            <w:tcBorders>
              <w:left w:val="single" w:sz="6" w:space="0" w:color="000000"/>
            </w:tcBorders>
          </w:tcPr>
          <w:p w:rsidR="00EB7FE6" w:rsidRPr="00A92787" w:rsidRDefault="00EB7FE6" w:rsidP="00A92787">
            <w:pPr>
              <w:ind w:left="43"/>
              <w:rPr>
                <w:sz w:val="22"/>
                <w:szCs w:val="22"/>
              </w:rPr>
            </w:pPr>
            <w:r w:rsidRPr="00A92787">
              <w:rPr>
                <w:sz w:val="22"/>
                <w:szCs w:val="22"/>
              </w:rPr>
              <w:t>&lt; 0,001</w:t>
            </w:r>
          </w:p>
        </w:tc>
      </w:tr>
    </w:tbl>
    <w:p w:rsidR="008A36FE" w:rsidRDefault="008A36FE" w:rsidP="008A36FE">
      <w:pPr>
        <w:tabs>
          <w:tab w:val="left" w:pos="1134"/>
        </w:tabs>
        <w:ind w:left="1134" w:hanging="283"/>
        <w:rPr>
          <w:sz w:val="20"/>
        </w:rPr>
      </w:pPr>
      <w:r>
        <w:rPr>
          <w:sz w:val="20"/>
        </w:rPr>
        <w:t>a</w:t>
      </w:r>
      <w:r>
        <w:rPr>
          <w:sz w:val="20"/>
        </w:rPr>
        <w:tab/>
        <w:t>‘Case’ = personer med HIV-serokonvertering; ‘Kohorte’ = 100 tilfældigt udvalgte forsøgspersoner fra hver af tenofovirdisoproxil 245 mg- og emtricitabin/tenofovirdisoproxil 200 mg/245 mg tabletter-grupperne. Kun case- eller kohorte-prøver fra forsøgspersoner randomiseret til enten tenofovirdisoproxil 245 mg (som fumarat) eller emtricitabin/tenofovirdisoproxil 200 mg/245 mg tabletter blev vurderet for deterbart plasmaniveau af tenofovir.</w:t>
      </w:r>
    </w:p>
    <w:p w:rsidR="008A36FE" w:rsidRDefault="008A36FE" w:rsidP="008A36FE">
      <w:pPr>
        <w:tabs>
          <w:tab w:val="left" w:pos="1134"/>
        </w:tabs>
        <w:ind w:left="1134" w:hanging="283"/>
        <w:rPr>
          <w:sz w:val="20"/>
        </w:rPr>
      </w:pPr>
      <w:r>
        <w:rPr>
          <w:sz w:val="20"/>
        </w:rPr>
        <w:t>b</w:t>
      </w:r>
      <w:r>
        <w:rPr>
          <w:sz w:val="20"/>
        </w:rPr>
        <w:tab/>
        <w:t>Deltagerne i delstudiet modtog aktiv adhærensmonitorering, f.eks. uanmeldt hjemmebesøg og pilletælling, samt rådgivning i at forbedre komplians med studiemedicinen.</w:t>
      </w:r>
    </w:p>
    <w:p w:rsidR="007564F4" w:rsidRPr="00FD00E3" w:rsidRDefault="007564F4" w:rsidP="007564F4">
      <w:pPr>
        <w:tabs>
          <w:tab w:val="left" w:pos="851"/>
        </w:tabs>
        <w:ind w:left="851"/>
        <w:rPr>
          <w:sz w:val="24"/>
          <w:szCs w:val="24"/>
        </w:rPr>
      </w:pPr>
    </w:p>
    <w:p w:rsidR="00EB7FE6" w:rsidRPr="00467589" w:rsidRDefault="00EB7FE6" w:rsidP="00EB7FE6">
      <w:pPr>
        <w:tabs>
          <w:tab w:val="left" w:pos="851"/>
        </w:tabs>
        <w:ind w:left="851"/>
        <w:rPr>
          <w:b/>
          <w:sz w:val="24"/>
          <w:szCs w:val="24"/>
        </w:rPr>
      </w:pPr>
      <w:r w:rsidRPr="00467589">
        <w:rPr>
          <w:b/>
          <w:sz w:val="24"/>
          <w:szCs w:val="24"/>
        </w:rPr>
        <w:t>Pædiatrisk population</w:t>
      </w:r>
    </w:p>
    <w:p w:rsidR="00EB7FE6" w:rsidRPr="00467589" w:rsidRDefault="00EB7FE6" w:rsidP="00EB7FE6">
      <w:pPr>
        <w:tabs>
          <w:tab w:val="left" w:pos="851"/>
        </w:tabs>
        <w:ind w:left="851"/>
        <w:rPr>
          <w:sz w:val="24"/>
          <w:szCs w:val="24"/>
        </w:rPr>
      </w:pPr>
    </w:p>
    <w:p w:rsidR="00EB7FE6" w:rsidRPr="00467589" w:rsidRDefault="00EB7FE6" w:rsidP="00EB7FE6">
      <w:pPr>
        <w:tabs>
          <w:tab w:val="left" w:pos="851"/>
        </w:tabs>
        <w:ind w:left="851"/>
        <w:rPr>
          <w:sz w:val="24"/>
          <w:szCs w:val="24"/>
        </w:rPr>
      </w:pPr>
      <w:r w:rsidRPr="00467589">
        <w:rPr>
          <w:sz w:val="24"/>
          <w:szCs w:val="24"/>
          <w:u w:val="single"/>
        </w:rPr>
        <w:t>Sikkerheden og virkningen af emtricitabin/tenofovirdisoproxil hos børn under 12 år er ikke klarlagt.</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i/>
          <w:sz w:val="24"/>
          <w:szCs w:val="24"/>
        </w:rPr>
      </w:pPr>
      <w:r w:rsidRPr="00FD00E3">
        <w:rPr>
          <w:i/>
          <w:sz w:val="24"/>
          <w:szCs w:val="24"/>
        </w:rPr>
        <w:t>Behandling af HIV 1-infektion hos den pædiatriske population</w:t>
      </w:r>
    </w:p>
    <w:p w:rsidR="007564F4" w:rsidRPr="00FD00E3" w:rsidRDefault="007564F4" w:rsidP="007564F4">
      <w:pPr>
        <w:tabs>
          <w:tab w:val="left" w:pos="851"/>
        </w:tabs>
        <w:ind w:left="851"/>
        <w:rPr>
          <w:sz w:val="24"/>
          <w:szCs w:val="24"/>
        </w:rPr>
      </w:pPr>
      <w:r w:rsidRPr="00FD00E3">
        <w:rPr>
          <w:sz w:val="24"/>
          <w:szCs w:val="24"/>
        </w:rPr>
        <w:t>Der er ikke udført kliniske studier med emtricitabin/tenofovirdisoproxil hos den pædiatriske population med HIV 1-infektion.</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Emtricitabin/tenofovirdisoproxils kliniske virkning og sikkerhed blev fastlagt ud fra studier, der er udført med emtricitabin og tenofovirdisoproxil givet som enkeltstoffer.</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i/>
          <w:sz w:val="24"/>
          <w:szCs w:val="24"/>
        </w:rPr>
      </w:pPr>
      <w:r w:rsidRPr="00FD00E3">
        <w:rPr>
          <w:i/>
          <w:sz w:val="24"/>
          <w:szCs w:val="24"/>
        </w:rPr>
        <w:t>Studier med emtricitabin</w:t>
      </w:r>
    </w:p>
    <w:p w:rsidR="007564F4" w:rsidRPr="00FD00E3" w:rsidRDefault="007564F4" w:rsidP="007564F4">
      <w:pPr>
        <w:tabs>
          <w:tab w:val="left" w:pos="851"/>
        </w:tabs>
        <w:ind w:left="851"/>
        <w:rPr>
          <w:sz w:val="24"/>
          <w:szCs w:val="24"/>
        </w:rPr>
      </w:pPr>
      <w:r w:rsidRPr="00FD00E3">
        <w:rPr>
          <w:sz w:val="24"/>
          <w:szCs w:val="24"/>
        </w:rPr>
        <w:t>Hos spædbørn og børn over 4 måneder opnåede eller bevarede størstedelen af de patienter, der fik emtricitabin, fuldstændig suppression af HIV 1-rna i plasma igennem 48 uger (89 % opnåede</w:t>
      </w:r>
      <w:r>
        <w:rPr>
          <w:sz w:val="24"/>
          <w:szCs w:val="24"/>
        </w:rPr>
        <w:t xml:space="preserve"> </w:t>
      </w:r>
      <w:r w:rsidRPr="00FD00E3">
        <w:rPr>
          <w:sz w:val="24"/>
          <w:szCs w:val="24"/>
        </w:rPr>
        <w:t>≤ 400 kopier/ml, og 77 % opnåede ≤ 50 kopier/ml).</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i/>
          <w:sz w:val="24"/>
          <w:szCs w:val="24"/>
        </w:rPr>
      </w:pPr>
      <w:r w:rsidRPr="00FD00E3">
        <w:rPr>
          <w:i/>
          <w:sz w:val="24"/>
          <w:szCs w:val="24"/>
        </w:rPr>
        <w:t>Studier med tenofovirdisoproxil</w:t>
      </w:r>
    </w:p>
    <w:p w:rsidR="007564F4" w:rsidRPr="00FD00E3" w:rsidRDefault="007564F4" w:rsidP="007564F4">
      <w:pPr>
        <w:tabs>
          <w:tab w:val="left" w:pos="851"/>
        </w:tabs>
        <w:ind w:left="851"/>
        <w:rPr>
          <w:sz w:val="24"/>
          <w:szCs w:val="24"/>
        </w:rPr>
      </w:pPr>
      <w:r w:rsidRPr="00FD00E3">
        <w:rPr>
          <w:sz w:val="24"/>
          <w:szCs w:val="24"/>
        </w:rPr>
        <w:t>I studie GS-US-104-0321 blev 87 HIV 1-inficerede behandlingserfarne patienter i alderen 12 til &lt; 18 år behandlet med tenofovirdisoproxil (n = 45) eller placebo (n = 42) samtidigt med et optimeret baggrundsregime (OBR) i 48 uger. På grund af begrænsninger i studiet blev der ikke påvist en fordel ved tenofovirdisoproxil i forhold til placebo på grundlag af plasmaniveauerne af HIV 1-rna i uge 24. På grundlag af ekstrapolering af data for voksne og sammenlignelige farmakokinetiske data forventes der imidlertid at være en fordel for den unge population (se pkt. 5.2).</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 xml:space="preserve">Hos patienter, der fik tenofovirdisoproxil eller placebo, var den gennemsnitlige BMD Z-score i lænderygsøjlen -1,004 og -0,809, og den gennemsnitlige BMD Z-score i hele kroppen var henholdsvis -0,866 og -0,584 ved </w:t>
      </w:r>
      <w:r w:rsidRPr="00FD00E3">
        <w:rPr>
          <w:i/>
          <w:sz w:val="24"/>
          <w:szCs w:val="24"/>
        </w:rPr>
        <w:t>baseline</w:t>
      </w:r>
      <w:r w:rsidRPr="00FD00E3">
        <w:rPr>
          <w:sz w:val="24"/>
          <w:szCs w:val="24"/>
        </w:rPr>
        <w:t>. De gennemsnitlige ændringer i BMD Z-score i uge 48 (afslutningen på den dobbeltblinde fase) var -0,215 og -0,165 i lænderygsøjlen og -0,254 og -0,179 i hele kroppen for henholdsvis tenofovirdisoproxil og placebo. Gennemsnitligt var stigningen i BMD mindre i gruppen, der fik tenofovirdisoproxil, sammenlignet med placebogruppen. I uge 48 havde seks unge i gruppen, der fik tenofovirdisoproxil, og en ung i placebogruppen signifikante fald i BMD i lænderygsøjlen (defineret som fald på &gt; 4 %). Hos de 28 patienter, der fik tenofovirdisoproxil i 96 uger, faldt BMD Z- scorerne med -0,341 i lænderygsøjlen og -0,458 i hele kroppen.</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I studie GS-US-104-0352 deltog 97 behandlingserfarne patienter i alderen 2 til &lt; 12 år, der havde stabil virologisk suppression med regimer indeholdende stavudin eller zidovudin. Disse patienter blev randomiseret til enten at erstatte stavudin eller zidovudin med tenofovirdisoproxil (n = 48) eller fortsætte med deres oprindelige regime (n = 49) i 48 uger. I uge 48 havde 83 % af patienterne i gruppen, der fik tenofovirdisoproxil, og 92 % af patienterne i gruppen, der fik stavudin eller zidovudin, koncentrationer af HIV 1-rna på &lt; 400 kopier/ml. Forskellen i andelen af patienter, der fortsat havde &lt; 400 kopier/ml i uge 48, skyldtes hovedsageligt, at flere seponerede behandlingen i gruppen, der fik tenofovirdisoproxil. Når manglende data fraregnes, havde 91 % af patienterne i gruppen, der fik tenofovirdisoproxil, og 94 % af patienterne i gruppen, der fik stavudin eller zidovudin, koncentrationer af HIV 1-rna på &lt; 400 kopier/ml i uge 48.</w:t>
      </w:r>
    </w:p>
    <w:p w:rsidR="007564F4" w:rsidRPr="00FD00E3" w:rsidRDefault="007564F4" w:rsidP="007564F4">
      <w:pPr>
        <w:tabs>
          <w:tab w:val="left" w:pos="851"/>
        </w:tabs>
        <w:ind w:left="851"/>
        <w:rPr>
          <w:sz w:val="24"/>
          <w:szCs w:val="24"/>
        </w:rPr>
      </w:pPr>
    </w:p>
    <w:p w:rsidR="007564F4" w:rsidRPr="00FD00E3" w:rsidRDefault="007564F4" w:rsidP="007564F4">
      <w:pPr>
        <w:tabs>
          <w:tab w:val="left" w:pos="851"/>
        </w:tabs>
        <w:ind w:left="851"/>
        <w:rPr>
          <w:sz w:val="24"/>
          <w:szCs w:val="24"/>
        </w:rPr>
      </w:pPr>
      <w:r w:rsidRPr="00FD00E3">
        <w:rPr>
          <w:sz w:val="24"/>
          <w:szCs w:val="24"/>
        </w:rPr>
        <w:t xml:space="preserve">Nedsat BMD er rapporteret hos pædiatriske patienter. Hos patienter, der fik behandling med tenofovirdisoproxil, eller stavudin eller zidovudin, var den gennemsnitlige BMD Z-score i lænderygsøjlen -1,034 og -0,498, og den gennemsnitlige BMD Z-score i hele kroppen var henholdsvis -0,471 og -0,386 ved </w:t>
      </w:r>
      <w:r w:rsidRPr="00FD00E3">
        <w:rPr>
          <w:i/>
          <w:sz w:val="24"/>
          <w:szCs w:val="24"/>
        </w:rPr>
        <w:t>baseline</w:t>
      </w:r>
      <w:r w:rsidRPr="00FD00E3">
        <w:rPr>
          <w:sz w:val="24"/>
          <w:szCs w:val="24"/>
        </w:rPr>
        <w:t>. De gennemsnitlige ændringer i BMD Z-score i uge 48 (afslutningen på den randomiserede fase) var 0,032 og 0,087 i lænderygsøjlen og -0,184 og -0,027 i hele kroppen for henholdsvis tenofovirdisoproxil og stavudin eller zidovudin. Gennemsnitligt var BMD-stigningen i lænderygsøjlen i uge 48 ens i gruppen, der fik tenofovirdisoproxil, og gruppen, der fik stavudin eller zidovudin. BMD-stigningen i hele kroppen var mindre i gruppen, der fik tenofovirdisoproxil, sammenlignet med gruppen, der fik stavudin eller zidovudin. En forsøgsperson, der fik tenofovirdisoproxil, og ingen forsøgspersoner, der fik stavudin eller zidovudin, havde signifikant fald (&gt; 4 %) i BMD i lænderygsøjlen i uge 48. BMD Z-scorerne faldt med -</w:t>
      </w:r>
      <w:r w:rsidRPr="00FD00E3">
        <w:rPr>
          <w:sz w:val="24"/>
          <w:szCs w:val="24"/>
        </w:rPr>
        <w:lastRenderedPageBreak/>
        <w:t>0,012 i lænderygsøjlen og med -0,338 i hele kroppen hos de 64 forsøgspersoner, der fik tenofovirdisoproxil i 96 uger. BMD Z-scorerne blev ikke blevet justeret for højde og vægt.</w:t>
      </w:r>
    </w:p>
    <w:p w:rsidR="007564F4" w:rsidRPr="00FD00E3" w:rsidRDefault="007564F4" w:rsidP="007564F4">
      <w:pPr>
        <w:tabs>
          <w:tab w:val="left" w:pos="851"/>
        </w:tabs>
        <w:ind w:left="851"/>
        <w:rPr>
          <w:sz w:val="24"/>
          <w:szCs w:val="24"/>
        </w:rPr>
      </w:pPr>
    </w:p>
    <w:p w:rsidR="004E12F3" w:rsidRPr="00FD00E3" w:rsidRDefault="004E12F3" w:rsidP="004E12F3">
      <w:pPr>
        <w:tabs>
          <w:tab w:val="left" w:pos="851"/>
        </w:tabs>
        <w:ind w:left="851"/>
        <w:rPr>
          <w:sz w:val="24"/>
          <w:szCs w:val="24"/>
        </w:rPr>
      </w:pPr>
      <w:r w:rsidRPr="00FD00E3">
        <w:rPr>
          <w:sz w:val="24"/>
          <w:szCs w:val="24"/>
        </w:rPr>
        <w:t xml:space="preserve">I studie GS-US-104-0352 fik </w:t>
      </w:r>
      <w:r>
        <w:rPr>
          <w:sz w:val="24"/>
          <w:szCs w:val="24"/>
        </w:rPr>
        <w:t>8</w:t>
      </w:r>
      <w:r w:rsidRPr="00FD00E3">
        <w:rPr>
          <w:sz w:val="24"/>
          <w:szCs w:val="24"/>
        </w:rPr>
        <w:t xml:space="preserve"> ud af 89 pædiatriske patienter</w:t>
      </w:r>
      <w:r>
        <w:rPr>
          <w:sz w:val="24"/>
          <w:szCs w:val="24"/>
        </w:rPr>
        <w:t xml:space="preserve"> </w:t>
      </w:r>
      <w:r w:rsidRPr="005F7F60">
        <w:rPr>
          <w:sz w:val="24"/>
          <w:szCs w:val="24"/>
        </w:rPr>
        <w:t>(9,0 %)</w:t>
      </w:r>
      <w:r w:rsidRPr="00FD00E3">
        <w:rPr>
          <w:sz w:val="24"/>
          <w:szCs w:val="24"/>
        </w:rPr>
        <w:t xml:space="preserve">, der blev eksponeret for tenofovirdisoproxil, seponeret </w:t>
      </w:r>
      <w:r w:rsidRPr="002036B9">
        <w:rPr>
          <w:sz w:val="24"/>
          <w:szCs w:val="24"/>
        </w:rPr>
        <w:t>studiemedicinen</w:t>
      </w:r>
      <w:r>
        <w:rPr>
          <w:sz w:val="24"/>
          <w:szCs w:val="24"/>
        </w:rPr>
        <w:t xml:space="preserve"> </w:t>
      </w:r>
      <w:r w:rsidRPr="00FD00E3">
        <w:rPr>
          <w:sz w:val="24"/>
          <w:szCs w:val="24"/>
        </w:rPr>
        <w:t xml:space="preserve">på grund af </w:t>
      </w:r>
      <w:r>
        <w:rPr>
          <w:sz w:val="24"/>
          <w:szCs w:val="24"/>
        </w:rPr>
        <w:t>nyre</w:t>
      </w:r>
      <w:r w:rsidRPr="00FD00E3">
        <w:rPr>
          <w:sz w:val="24"/>
          <w:szCs w:val="24"/>
        </w:rPr>
        <w:t>bivirkninger</w:t>
      </w:r>
      <w:r>
        <w:rPr>
          <w:sz w:val="24"/>
          <w:szCs w:val="24"/>
        </w:rPr>
        <w:t xml:space="preserve">. </w:t>
      </w:r>
      <w:r w:rsidRPr="004445E8">
        <w:rPr>
          <w:sz w:val="24"/>
          <w:szCs w:val="24"/>
        </w:rPr>
        <w:t>Fem forsøgsdeltagere (5,6 %) havde laboratoriefund</w:t>
      </w:r>
      <w:r w:rsidRPr="00FD00E3">
        <w:rPr>
          <w:sz w:val="24"/>
          <w:szCs w:val="24"/>
        </w:rPr>
        <w:t xml:space="preserve">, der var </w:t>
      </w:r>
      <w:r>
        <w:rPr>
          <w:sz w:val="24"/>
          <w:szCs w:val="24"/>
        </w:rPr>
        <w:t>klinisk</w:t>
      </w:r>
      <w:r w:rsidRPr="00FD00E3">
        <w:rPr>
          <w:sz w:val="24"/>
          <w:szCs w:val="24"/>
        </w:rPr>
        <w:t xml:space="preserve"> overensstemmende med proksimal renal tubulopati</w:t>
      </w:r>
      <w:r>
        <w:rPr>
          <w:sz w:val="24"/>
          <w:szCs w:val="24"/>
        </w:rPr>
        <w:t xml:space="preserve">, </w:t>
      </w:r>
      <w:r w:rsidRPr="00A23F7E">
        <w:rPr>
          <w:sz w:val="24"/>
          <w:szCs w:val="24"/>
        </w:rPr>
        <w:t>og 4 af disse seponerede behandlingen med tenofovirdisoproxil</w:t>
      </w:r>
      <w:r w:rsidRPr="00FD00E3">
        <w:rPr>
          <w:sz w:val="24"/>
          <w:szCs w:val="24"/>
        </w:rPr>
        <w:t xml:space="preserve"> (median eksponering for tenofovirdisoproxil var </w:t>
      </w:r>
      <w:r>
        <w:rPr>
          <w:sz w:val="24"/>
          <w:szCs w:val="24"/>
        </w:rPr>
        <w:t>331</w:t>
      </w:r>
      <w:r w:rsidRPr="00FD00E3">
        <w:rPr>
          <w:sz w:val="24"/>
          <w:szCs w:val="24"/>
        </w:rPr>
        <w:t xml:space="preserve"> uger).</w:t>
      </w:r>
    </w:p>
    <w:p w:rsidR="007564F4" w:rsidRPr="00FD00E3" w:rsidRDefault="007564F4" w:rsidP="007564F4">
      <w:pPr>
        <w:tabs>
          <w:tab w:val="left" w:pos="851"/>
        </w:tabs>
        <w:ind w:left="851"/>
        <w:rPr>
          <w:sz w:val="24"/>
          <w:szCs w:val="24"/>
        </w:rPr>
      </w:pPr>
    </w:p>
    <w:p w:rsidR="00EB7FE6" w:rsidRPr="00467589" w:rsidRDefault="00EB7FE6" w:rsidP="00EB7FE6">
      <w:pPr>
        <w:tabs>
          <w:tab w:val="left" w:pos="851"/>
        </w:tabs>
        <w:ind w:left="851"/>
        <w:rPr>
          <w:i/>
          <w:sz w:val="24"/>
          <w:szCs w:val="24"/>
        </w:rPr>
      </w:pPr>
      <w:r w:rsidRPr="00467589">
        <w:rPr>
          <w:i/>
          <w:sz w:val="24"/>
          <w:szCs w:val="24"/>
        </w:rPr>
        <w:t>Profylakse før eksponering hos den pædiatriske population</w:t>
      </w:r>
    </w:p>
    <w:p w:rsidR="00EB7FE6" w:rsidRPr="00467589" w:rsidRDefault="00EB7FE6" w:rsidP="00EB7FE6">
      <w:pPr>
        <w:tabs>
          <w:tab w:val="left" w:pos="851"/>
        </w:tabs>
        <w:ind w:left="851"/>
        <w:rPr>
          <w:sz w:val="24"/>
          <w:szCs w:val="24"/>
        </w:rPr>
      </w:pPr>
      <w:r w:rsidRPr="00467589">
        <w:rPr>
          <w:sz w:val="24"/>
          <w:szCs w:val="24"/>
        </w:rPr>
        <w:t xml:space="preserve">Emtricitabin/tenofovirdisoproxils sikkerhed og virkning ved profylakse før eksponering hos unge som adhærerer til daglig dosering forventes at være den samme som for voksne med det samme adhærensniveau. De potentielle virkninger på nyrer og knogler ved langtidsbrug af emtricitabin/tenofovirdisoproxil til profylakse før eksponering hos voksne er </w:t>
      </w:r>
      <w:r w:rsidRPr="00A92787">
        <w:rPr>
          <w:sz w:val="24"/>
          <w:szCs w:val="24"/>
        </w:rPr>
        <w:t>uvis</w:t>
      </w:r>
      <w:r w:rsidRPr="00467589" w:rsidDel="00482469">
        <w:rPr>
          <w:sz w:val="24"/>
          <w:szCs w:val="24"/>
        </w:rPr>
        <w:t xml:space="preserve"> </w:t>
      </w:r>
      <w:r w:rsidRPr="00467589">
        <w:rPr>
          <w:sz w:val="24"/>
          <w:szCs w:val="24"/>
        </w:rPr>
        <w:t>(se pkt. 4.4).</w:t>
      </w:r>
    </w:p>
    <w:p w:rsidR="007564F4" w:rsidRPr="00071814" w:rsidRDefault="007564F4" w:rsidP="007564F4">
      <w:pPr>
        <w:tabs>
          <w:tab w:val="left" w:pos="851"/>
        </w:tabs>
        <w:ind w:left="851"/>
        <w:rPr>
          <w:sz w:val="24"/>
          <w:szCs w:val="24"/>
        </w:rPr>
      </w:pPr>
    </w:p>
    <w:p w:rsidR="007564F4" w:rsidRPr="00FC0124" w:rsidRDefault="007564F4" w:rsidP="00B0027B">
      <w:pPr>
        <w:tabs>
          <w:tab w:val="left" w:pos="851"/>
        </w:tabs>
        <w:ind w:left="851" w:hanging="851"/>
        <w:rPr>
          <w:b/>
          <w:sz w:val="24"/>
          <w:szCs w:val="24"/>
        </w:rPr>
      </w:pPr>
      <w:r w:rsidRPr="00071814">
        <w:rPr>
          <w:b/>
          <w:sz w:val="24"/>
          <w:szCs w:val="24"/>
        </w:rPr>
        <w:t>5.2</w:t>
      </w:r>
      <w:r w:rsidRPr="00071814">
        <w:rPr>
          <w:b/>
          <w:sz w:val="24"/>
          <w:szCs w:val="24"/>
        </w:rPr>
        <w:tab/>
        <w:t>Farmakokinetiske egenskaber</w:t>
      </w:r>
    </w:p>
    <w:p w:rsidR="007564F4" w:rsidRPr="008961F4" w:rsidRDefault="007564F4" w:rsidP="007564F4">
      <w:pPr>
        <w:tabs>
          <w:tab w:val="left" w:pos="851"/>
        </w:tabs>
        <w:ind w:left="851"/>
        <w:rPr>
          <w:sz w:val="24"/>
          <w:szCs w:val="24"/>
        </w:rPr>
      </w:pPr>
      <w:r w:rsidRPr="008961F4">
        <w:rPr>
          <w:sz w:val="24"/>
          <w:szCs w:val="24"/>
          <w:u w:val="single"/>
        </w:rPr>
        <w:t>Absorption</w:t>
      </w:r>
    </w:p>
    <w:p w:rsidR="007564F4" w:rsidRPr="008961F4" w:rsidRDefault="007564F4" w:rsidP="007564F4">
      <w:pPr>
        <w:tabs>
          <w:tab w:val="left" w:pos="851"/>
        </w:tabs>
        <w:ind w:left="851"/>
        <w:rPr>
          <w:sz w:val="24"/>
          <w:szCs w:val="24"/>
        </w:rPr>
      </w:pPr>
      <w:r w:rsidRPr="008961F4">
        <w:rPr>
          <w:sz w:val="24"/>
          <w:szCs w:val="24"/>
        </w:rPr>
        <w:t>Bioækvivalensen mellem én emtricitabin/tenofovirdisoproxil 200 mg/245 mg filmovertrukken tablet og en emtricitabin 200 mg hård kapsel og en tenofovirdisoproxil 245 mg filmovertrukken tablet blev fastlagt efter administration af en enkelt dosis hos fastende, sunde personer. Efter oral administration af emtricitabin/tenofovirdisoproxil 200 mg/245 mg filmovertrukne tabletter hos sunde personer absorberes emtricitabin og tenofovirdisoproxil hurtigt, og tenofovirdisoproxil omdannes til tenofovir. Maksimale koncentrationer af emtricitabin og tenofovir ses i serum inden for 0,5 til 3,0 timer efter administration i fastende tilstand. Administration af emtricitabin/tenofovirdisoproxil 200 mg/245 mg filmovertrukne tabletter sammen med mad gav en forsinkelse på cirka tre kvarter i forhold til opnåelse af maksimale tenofovirkoncentration og en forøgelse i tenofovirs AUC og Cmax med henholdsvis ca. 35% og 15%, når det blev administreret sammen med et let måltid eller et måltid med højt fedtindhold, sammenlignet med administration i fastende tilstand. For at optimere tenofovirs absorption anbefales det, at emtricitabin/tenofovirdisoproxil helst tages sammen med mad.</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Fordeling</w:t>
      </w:r>
    </w:p>
    <w:p w:rsidR="007564F4" w:rsidRPr="008961F4" w:rsidRDefault="007564F4" w:rsidP="007564F4">
      <w:pPr>
        <w:tabs>
          <w:tab w:val="left" w:pos="851"/>
        </w:tabs>
        <w:ind w:left="851"/>
        <w:rPr>
          <w:sz w:val="24"/>
          <w:szCs w:val="24"/>
        </w:rPr>
      </w:pPr>
      <w:r w:rsidRPr="008961F4">
        <w:rPr>
          <w:sz w:val="24"/>
          <w:szCs w:val="24"/>
        </w:rPr>
        <w:t xml:space="preserve">Efter intravenøs administration blev emtricitabins og tenofovirs fordelingsvolumen vurderet til at være henholdsvis 1,4 l/kg og 800 ml/kg. Efter oral administration af emtricitabin eller tenofovirdisoproxil fordeles emtricitabin og tenofovir i stort omfang i hele legemet. Emtricitabins binding </w:t>
      </w:r>
      <w:r w:rsidRPr="008961F4">
        <w:rPr>
          <w:i/>
          <w:sz w:val="24"/>
          <w:szCs w:val="24"/>
        </w:rPr>
        <w:t xml:space="preserve">in vitro </w:t>
      </w:r>
      <w:r w:rsidRPr="008961F4">
        <w:rPr>
          <w:sz w:val="24"/>
          <w:szCs w:val="24"/>
        </w:rPr>
        <w:t xml:space="preserve">til humane plasmaproteiner var &lt; 4% og uafhængig af koncentrationsområdet på 0,02-200 µg/ml. Tenofovirs proteinbinding </w:t>
      </w:r>
      <w:r w:rsidRPr="008961F4">
        <w:rPr>
          <w:i/>
          <w:sz w:val="24"/>
          <w:szCs w:val="24"/>
        </w:rPr>
        <w:t xml:space="preserve">in vitro </w:t>
      </w:r>
      <w:r w:rsidRPr="008961F4">
        <w:rPr>
          <w:sz w:val="24"/>
          <w:szCs w:val="24"/>
        </w:rPr>
        <w:t>til plasma- eller serumproteiner var mindre end henholdsvis 0,7 og 7,2 % i tenofovirkoncentrationsområdet på 0,01 til 25 µg/ml.</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Biotransformation</w:t>
      </w:r>
    </w:p>
    <w:p w:rsidR="007564F4" w:rsidRPr="008961F4" w:rsidRDefault="007564F4" w:rsidP="007564F4">
      <w:pPr>
        <w:tabs>
          <w:tab w:val="left" w:pos="851"/>
        </w:tabs>
        <w:ind w:left="851"/>
        <w:rPr>
          <w:sz w:val="24"/>
          <w:szCs w:val="24"/>
        </w:rPr>
      </w:pPr>
      <w:r w:rsidRPr="008961F4">
        <w:rPr>
          <w:sz w:val="24"/>
          <w:szCs w:val="24"/>
        </w:rPr>
        <w:t xml:space="preserve">Emtricitabins metabolisme er begrænset. Emtricitabins biotransformation omfatter oxidation af thiolandelen til at danne 3'-sulfoxid-diastereomere (ca. 9 % af dosen) og forbindelse med glucuronsyre til at danne 2'-O-glucuronid (ca. 4 % af dosen). </w:t>
      </w:r>
      <w:r w:rsidRPr="008961F4">
        <w:rPr>
          <w:i/>
          <w:sz w:val="24"/>
          <w:szCs w:val="24"/>
        </w:rPr>
        <w:t>In vitro</w:t>
      </w:r>
      <w:r w:rsidRPr="008961F4">
        <w:rPr>
          <w:sz w:val="24"/>
          <w:szCs w:val="24"/>
        </w:rPr>
        <w:t xml:space="preserve">-studier har afgjort, at hverken tenofovirdisoproxil eller tenofovir er substrater for CYP450-enzymerne. Hverken emtricitabin eller tenofovir hæmmede </w:t>
      </w:r>
      <w:r w:rsidRPr="008961F4">
        <w:rPr>
          <w:i/>
          <w:sz w:val="24"/>
          <w:szCs w:val="24"/>
        </w:rPr>
        <w:t xml:space="preserve">in vitro </w:t>
      </w:r>
      <w:r w:rsidRPr="008961F4">
        <w:rPr>
          <w:sz w:val="24"/>
          <w:szCs w:val="24"/>
        </w:rPr>
        <w:t xml:space="preserve">lægemiddelmetaboliseringen medieret af en hvilken som helst af de CYP450-isoformer, der er involveret i lægemiddelbiotransformationen. Endvidere hæmmede emtricitabin ikke </w:t>
      </w:r>
      <w:r w:rsidRPr="008961F4">
        <w:rPr>
          <w:sz w:val="24"/>
          <w:szCs w:val="24"/>
        </w:rPr>
        <w:lastRenderedPageBreak/>
        <w:t>uridin-5'-diphosphoglucuronyl-transferase, det enzym, som er ansvarlig for glukuronidering.</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Elimination</w:t>
      </w:r>
    </w:p>
    <w:p w:rsidR="007564F4" w:rsidRPr="008961F4" w:rsidRDefault="007564F4" w:rsidP="007564F4">
      <w:pPr>
        <w:tabs>
          <w:tab w:val="left" w:pos="851"/>
        </w:tabs>
        <w:ind w:left="851"/>
        <w:rPr>
          <w:sz w:val="24"/>
          <w:szCs w:val="24"/>
        </w:rPr>
      </w:pPr>
      <w:r w:rsidRPr="008961F4">
        <w:rPr>
          <w:sz w:val="24"/>
          <w:szCs w:val="24"/>
        </w:rPr>
        <w:t>Emtricitabin udskilles primært gennem nyrerne med komplet genfinding af dosis opnået i urinen</w:t>
      </w:r>
    </w:p>
    <w:p w:rsidR="007564F4" w:rsidRPr="008961F4" w:rsidRDefault="007564F4" w:rsidP="007564F4">
      <w:pPr>
        <w:tabs>
          <w:tab w:val="left" w:pos="851"/>
        </w:tabs>
        <w:ind w:left="851"/>
        <w:rPr>
          <w:sz w:val="24"/>
          <w:szCs w:val="24"/>
        </w:rPr>
      </w:pPr>
      <w:r w:rsidRPr="008961F4">
        <w:rPr>
          <w:sz w:val="24"/>
          <w:szCs w:val="24"/>
        </w:rPr>
        <w:t>(ca. 86 %) og fæces (ca. 14 %). 13 % af emtricitabindosen blev genfundet i urinen som tre metabolitter. Emtricitabins systemiske clearance var i gennemsnit 307 ml/min. Efter oral administration er emtricitabins eliminationshalveringstid ca. 10 timer.</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rPr>
        <w:t>Tenofovir udskilles primært af nyrerne både ved filtration og et aktivt tubulært transportsystem, hvor ca. 70-80 % af dosen udskilles uomdannet i urinen efter intravenøs administration. Tenofovirs tilsyneladende clearance var i gennemsnit ca. 307 ml/min. Renal clearance er beregnet til at være ca. 210 ml/min, hvilket er over den glomerulære filtrationshastighed. Dette angiver, at aktiv tubulær sekretion udgør en vigtig del af tenofovirs elimination. Efter oral administration er tenofovirs eliminationshalveringstid ca. 12 til 18 timer.</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Ældre</w:t>
      </w:r>
    </w:p>
    <w:p w:rsidR="007564F4" w:rsidRPr="008961F4" w:rsidRDefault="007564F4" w:rsidP="007564F4">
      <w:pPr>
        <w:tabs>
          <w:tab w:val="left" w:pos="851"/>
        </w:tabs>
        <w:ind w:left="851"/>
        <w:rPr>
          <w:sz w:val="24"/>
          <w:szCs w:val="24"/>
        </w:rPr>
      </w:pPr>
      <w:r w:rsidRPr="008961F4">
        <w:rPr>
          <w:sz w:val="24"/>
          <w:szCs w:val="24"/>
        </w:rPr>
        <w:t>Der er ikke foretaget farmakokinetiske studier med emtricitabin eller tenofovir (administreret som tenofovirdisoproxil) hos ældre (over 65 år).</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Køn</w:t>
      </w:r>
    </w:p>
    <w:p w:rsidR="007564F4" w:rsidRPr="008961F4" w:rsidRDefault="007564F4" w:rsidP="007564F4">
      <w:pPr>
        <w:tabs>
          <w:tab w:val="left" w:pos="851"/>
        </w:tabs>
        <w:ind w:left="851"/>
        <w:rPr>
          <w:sz w:val="24"/>
          <w:szCs w:val="24"/>
        </w:rPr>
      </w:pPr>
      <w:r w:rsidRPr="008961F4">
        <w:rPr>
          <w:sz w:val="24"/>
          <w:szCs w:val="24"/>
        </w:rPr>
        <w:t xml:space="preserve">Emtricitabins og tenofovirs farmakokinetik er ens hos mænd og kvinder. </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Etnisk oprindelse</w:t>
      </w:r>
    </w:p>
    <w:p w:rsidR="007564F4" w:rsidRPr="008961F4" w:rsidRDefault="007564F4" w:rsidP="007564F4">
      <w:pPr>
        <w:tabs>
          <w:tab w:val="left" w:pos="851"/>
        </w:tabs>
        <w:ind w:left="851"/>
        <w:rPr>
          <w:sz w:val="24"/>
          <w:szCs w:val="24"/>
        </w:rPr>
      </w:pPr>
      <w:r w:rsidRPr="008961F4">
        <w:rPr>
          <w:sz w:val="24"/>
          <w:szCs w:val="24"/>
        </w:rPr>
        <w:t>Der er ikke blevet identificeret klinisk vigtige farmakokinetiske forskelle på grund af etnicitet for emtricitabin. Tenofovirs (administreret som tenofovirdisoproxil) farmakokinetik er ikke blevet specifikt undersøgt hos forskellige etniske grupper.</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Pædiatrisk population</w:t>
      </w:r>
    </w:p>
    <w:p w:rsidR="007564F4" w:rsidRPr="008961F4" w:rsidRDefault="007564F4" w:rsidP="007564F4">
      <w:pPr>
        <w:tabs>
          <w:tab w:val="left" w:pos="851"/>
        </w:tabs>
        <w:ind w:left="851"/>
        <w:rPr>
          <w:sz w:val="24"/>
          <w:szCs w:val="24"/>
        </w:rPr>
      </w:pPr>
      <w:r w:rsidRPr="008961F4">
        <w:rPr>
          <w:sz w:val="24"/>
          <w:szCs w:val="24"/>
        </w:rPr>
        <w:t xml:space="preserve">Der er ikke udført farmakokinetiske studier med emtricitabin/tenofovirdisoproxil 200 mg/245 mg filmovertrukne tabletter hos børn og unge (under 18 år). </w:t>
      </w:r>
      <w:r w:rsidRPr="008961F4">
        <w:rPr>
          <w:i/>
          <w:sz w:val="24"/>
          <w:szCs w:val="24"/>
        </w:rPr>
        <w:t xml:space="preserve">Steady state </w:t>
      </w:r>
      <w:r w:rsidRPr="008961F4">
        <w:rPr>
          <w:sz w:val="24"/>
          <w:szCs w:val="24"/>
        </w:rPr>
        <w:t>farmakokinetik af tenofovir blev evalueret hos 8 HIV 1-inficerede unge patienter (i alderen 12 til &lt; 18 år) med kropsvægt ≥ 35 kg og hos 23 HIV 1-inficerede børn i alderen 2 til &lt; 12 år. Den tenofovireksponering, som blev opnået hos disse pædiatriske patienter, som fik tenofovirdisoproxil 245 mg eller 6,5 mg/kg kropsvægt tenofovirdisoproxil op til en maksimal dosis på 245 mg oralt dagligt, svarede til eksponeringen hos voksne, der fik 245 mg tenofovirdisoproxil en gang dagligt. Der er ikke udført farmakokinetiske studier med tenofovirdisoproxil hos børn under 2 år. Generelt er emtricitabins farmakokinetik hos spædbørn, børn og unge (fra 4 måneder til 18 år) som hos voksne.</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rPr>
        <w:t>Farmakokinetikken af emtricitabin og tenofovir (administreret som tenofovirdisoproxil) forventes at være den samme hos HIV 1-inficerede og ikke-inficerede unge, når dette baseres på samme eksponering over for emtricitabin og tenofovir hos HIV 1-inficerede unge og voksne samt ved samme eksponering over for emtricitabin og tenofovir hos HIV 1-inficerede og ikke-inficerede voksne.</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Nedsat nyrefunktion</w:t>
      </w:r>
    </w:p>
    <w:p w:rsidR="007564F4" w:rsidRPr="008961F4" w:rsidRDefault="007564F4" w:rsidP="007564F4">
      <w:pPr>
        <w:tabs>
          <w:tab w:val="left" w:pos="851"/>
        </w:tabs>
        <w:ind w:left="851"/>
        <w:rPr>
          <w:sz w:val="24"/>
          <w:szCs w:val="24"/>
        </w:rPr>
      </w:pPr>
      <w:r w:rsidRPr="008961F4">
        <w:rPr>
          <w:sz w:val="24"/>
          <w:szCs w:val="24"/>
        </w:rPr>
        <w:t xml:space="preserve">Der foreligger begrænsede farmakokinetiske data for emtricitabin og tenofovir efter samtidig administration i form af separate præparater eller i form af </w:t>
      </w:r>
      <w:r w:rsidRPr="008961F4">
        <w:rPr>
          <w:sz w:val="24"/>
          <w:szCs w:val="24"/>
        </w:rPr>
        <w:lastRenderedPageBreak/>
        <w:t>emtricitabin/tenofovirdisoproxil 200 mg/245 mg filmovertrukne tabletter hos patienter med nedsat nyrefunktion. Farmakokinetiske parametre blev hovedsageligt bestemt efter administration af enkelte doser 200 mg emtricitabin eller 245 mg tenofovirdisoproxil til ikke-HIV-inficerede forsøgspersoner med forskellige grader af nedsat nyrefunktion. Graden af nedsat nyrefunktion blev defineret i henhold til kreatininclearance (CrCl) ved baselinie (normal nyrefunktion med CrCl &gt; 80 ml/min; let nedsat nyrefunktion med CrCl = 50−79 ml/min; moderat nedsat nyrefunktion med CrCl = 30</w:t>
      </w:r>
      <w:r w:rsidRPr="008961F4">
        <w:rPr>
          <w:sz w:val="24"/>
          <w:szCs w:val="24"/>
        </w:rPr>
        <w:noBreakHyphen/>
        <w:t>49 ml/min og svært nedsat nyrefunktion med CrCl = 10</w:t>
      </w:r>
      <w:r w:rsidRPr="008961F4">
        <w:rPr>
          <w:sz w:val="24"/>
          <w:szCs w:val="24"/>
        </w:rPr>
        <w:noBreakHyphen/>
        <w:t>29 ml/min).</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rPr>
        <w:t>Den gennemsnitlige (% variationskoefficient) emtricitabineksponering steg fra 12 (25 %) µg•t/ml hos forsøgspersoner med normal nyrefunktion til 20 (6 %) µg•t/ml, 25 (23 %) µg•t/mL og</w:t>
      </w:r>
      <w:r>
        <w:rPr>
          <w:sz w:val="24"/>
          <w:szCs w:val="24"/>
        </w:rPr>
        <w:t xml:space="preserve"> </w:t>
      </w:r>
      <w:r w:rsidRPr="008961F4">
        <w:rPr>
          <w:sz w:val="24"/>
          <w:szCs w:val="24"/>
        </w:rPr>
        <w:t>34 (6 %) µg•t/ml hos forsøgspersoner med henholdsvis let, moderat og svært nedsat nyrefunktion. Den gennemsnitlige (% variationskoefficient) tenofovireksponering steg fra 2.185 (12 %) ng•t/ml hos forsøgspersoner med normal nyrefunktion til 3.064 (30 %) ng•t/ml, 6.009 (42 %) ng•t/mL og</w:t>
      </w:r>
      <w:r>
        <w:rPr>
          <w:sz w:val="24"/>
          <w:szCs w:val="24"/>
        </w:rPr>
        <w:t xml:space="preserve"> </w:t>
      </w:r>
      <w:r w:rsidRPr="008961F4">
        <w:rPr>
          <w:sz w:val="24"/>
          <w:szCs w:val="24"/>
        </w:rPr>
        <w:t>15.985 (45 %) ng•t/ml hos forsøgspersoner med henholdsvis let, moderat og svært nedsat nyrefunktion.</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rPr>
        <w:t>Det øgede dosisinterval for emtricitabin/tenofovirdisoproxil hos HIV 1-inficerede patienter med moderat nedsat nyrefunktion forventes at resultere i højere peak-plasmakoncentrationer og lavere C</w:t>
      </w:r>
      <w:r w:rsidRPr="008961F4">
        <w:rPr>
          <w:sz w:val="24"/>
          <w:szCs w:val="24"/>
          <w:vertAlign w:val="subscript"/>
        </w:rPr>
        <w:t>min</w:t>
      </w:r>
      <w:r w:rsidRPr="008961F4">
        <w:rPr>
          <w:sz w:val="24"/>
          <w:szCs w:val="24"/>
        </w:rPr>
        <w:t>-niveauer sammenlignet med patienter med normal nyrefunktion. Hos forsøgspersoner med nyresygdom i slutstadiet (End Stage Renal Disease, ESRD), som havde behov for hæmodialyse, steg lægemiddelkoncentrationen betragteligt imellem dialyserne over et tidsrum på 72 timer til 53 (19 %) µg•t/ml og tenofovirs koncentration steg over et tidsrum på 48 timer til 42.857 (29 %) ng•t/ml.</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rPr>
        <w:t xml:space="preserve">En lille klinisk studie blev udført for at vurdere sikkerhed, antiviral aktivitet og farmakokinetik for tenofovirdisoproxil i kombination med emtricitabin hos HIV-inficerede patienter med nedsat nyrefunktion. En undergruppe af patienterne med </w:t>
      </w:r>
      <w:r w:rsidRPr="008961F4">
        <w:rPr>
          <w:i/>
          <w:sz w:val="24"/>
          <w:szCs w:val="24"/>
        </w:rPr>
        <w:t>baseline</w:t>
      </w:r>
      <w:r w:rsidRPr="008961F4">
        <w:rPr>
          <w:sz w:val="24"/>
          <w:szCs w:val="24"/>
        </w:rPr>
        <w:t>-kreatininclearance mellem 50 og</w:t>
      </w:r>
      <w:r>
        <w:rPr>
          <w:sz w:val="24"/>
          <w:szCs w:val="24"/>
        </w:rPr>
        <w:t xml:space="preserve"> </w:t>
      </w:r>
      <w:r w:rsidRPr="008961F4">
        <w:rPr>
          <w:sz w:val="24"/>
          <w:szCs w:val="24"/>
        </w:rPr>
        <w:t>60 ml/min, som fik én daglig dosis, havde en 2-4 gange højere eksponering for tenofovir og desuden forværring af nyrefunktionen.</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rPr>
        <w:t>Farmakokinetikken af emtricitabin og tenofovir (administreret som tenofovirdisoproxil) er ikke undersøgt hos pædiatriske patienter med nedsat nyrefunktion. Der foreligger ingen data, og der kan ikke gives nogen anbefalinger vedrørende dosering (se pkt. 4.2 og 4.4).</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u w:val="single"/>
        </w:rPr>
        <w:t>Nedsat leverfunktion</w:t>
      </w:r>
    </w:p>
    <w:p w:rsidR="007564F4" w:rsidRPr="008961F4" w:rsidRDefault="007564F4" w:rsidP="007564F4">
      <w:pPr>
        <w:tabs>
          <w:tab w:val="left" w:pos="851"/>
        </w:tabs>
        <w:ind w:left="851"/>
        <w:rPr>
          <w:sz w:val="24"/>
          <w:szCs w:val="24"/>
        </w:rPr>
      </w:pPr>
      <w:r w:rsidRPr="008961F4">
        <w:rPr>
          <w:sz w:val="24"/>
          <w:szCs w:val="24"/>
        </w:rPr>
        <w:t>Emtricitabin/tenofovirdisoproxils farmakokinetik er ikke undersøgt hos forsøgspersoner med nedsat leverfunktion.</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rPr>
        <w:t>Emtricitabins farmakokinetik er ikke blevet undersøgt hos ikke-HBV-inficerede patienter med forskellige grader af leverinsufficiens. Generelt lignede emtricitabins farmakokinetik hos HBV-inficerede patienter den hos raske forsøgspersoner og hos HIV-inficerede patienter.</w:t>
      </w:r>
    </w:p>
    <w:p w:rsidR="007564F4" w:rsidRPr="008961F4" w:rsidRDefault="007564F4" w:rsidP="007564F4">
      <w:pPr>
        <w:tabs>
          <w:tab w:val="left" w:pos="851"/>
        </w:tabs>
        <w:ind w:left="851"/>
        <w:rPr>
          <w:sz w:val="24"/>
          <w:szCs w:val="24"/>
        </w:rPr>
      </w:pPr>
    </w:p>
    <w:p w:rsidR="007564F4" w:rsidRPr="008961F4" w:rsidRDefault="007564F4" w:rsidP="007564F4">
      <w:pPr>
        <w:tabs>
          <w:tab w:val="left" w:pos="851"/>
        </w:tabs>
        <w:ind w:left="851"/>
        <w:rPr>
          <w:sz w:val="24"/>
          <w:szCs w:val="24"/>
        </w:rPr>
      </w:pPr>
      <w:r w:rsidRPr="008961F4">
        <w:rPr>
          <w:sz w:val="24"/>
          <w:szCs w:val="24"/>
        </w:rPr>
        <w:t>En enkelt dosis af 245 mg tenofovirdisoproxil blev administreret til ikke-HIV-inficerede forsøgspersoner med forskellige grader af nedsat leverfunktion defineret i henhold til</w:t>
      </w:r>
    </w:p>
    <w:p w:rsidR="007564F4" w:rsidRPr="008961F4" w:rsidRDefault="007564F4" w:rsidP="007564F4">
      <w:pPr>
        <w:tabs>
          <w:tab w:val="left" w:pos="851"/>
        </w:tabs>
        <w:ind w:left="851"/>
        <w:rPr>
          <w:sz w:val="24"/>
          <w:szCs w:val="24"/>
        </w:rPr>
      </w:pPr>
      <w:r w:rsidRPr="008961F4">
        <w:rPr>
          <w:sz w:val="24"/>
          <w:szCs w:val="24"/>
        </w:rPr>
        <w:t xml:space="preserve">Child-Pugh-Turcotte (CPT) klassifikationen. Der skete ingen betydelig ændring i tenofovirs farmakokinetik hos forsøgspersoner med nedsat leverfunktion, hvilket tyder på, at det ikke er nødvendigt at justere dosis hos disse personer. Tenofovirs gennemsnitlige (% variationskoefficient) Cmax- og AUC0-∞-værdier var henholdsvis 223 (34,8 %) ng/ml og </w:t>
      </w:r>
      <w:r w:rsidRPr="008961F4">
        <w:rPr>
          <w:sz w:val="24"/>
          <w:szCs w:val="24"/>
        </w:rPr>
        <w:lastRenderedPageBreak/>
        <w:t>2.050 (50,8 %) ng•t/ml hos forsøgspersoner med normal leverfunktion sammenlignet med 289 (46,0 %) ng/ml og</w:t>
      </w:r>
    </w:p>
    <w:p w:rsidR="007564F4" w:rsidRPr="008961F4" w:rsidRDefault="007564F4" w:rsidP="007564F4">
      <w:pPr>
        <w:tabs>
          <w:tab w:val="left" w:pos="851"/>
        </w:tabs>
        <w:ind w:left="851"/>
        <w:rPr>
          <w:sz w:val="24"/>
          <w:szCs w:val="24"/>
        </w:rPr>
      </w:pPr>
      <w:r w:rsidRPr="008961F4">
        <w:rPr>
          <w:sz w:val="24"/>
          <w:szCs w:val="24"/>
        </w:rPr>
        <w:t>2.310 (43,5 %) ng•t/ml hos forsøgspersoner med moderat nedsat leverfunktion og 305 (24,8 %) ng/ml og 2.740 (44,0 %) ng•t/mL hos forsøgspersoner med svært nedsat leverfunktion.</w:t>
      </w:r>
    </w:p>
    <w:p w:rsidR="007564F4" w:rsidRPr="00071814" w:rsidRDefault="007564F4" w:rsidP="007564F4">
      <w:pPr>
        <w:tabs>
          <w:tab w:val="left" w:pos="851"/>
        </w:tabs>
        <w:ind w:left="851"/>
        <w:rPr>
          <w:sz w:val="24"/>
          <w:szCs w:val="24"/>
        </w:rPr>
      </w:pPr>
    </w:p>
    <w:p w:rsidR="007564F4" w:rsidRPr="00B0027B" w:rsidRDefault="007564F4" w:rsidP="00B0027B">
      <w:pPr>
        <w:tabs>
          <w:tab w:val="left" w:pos="851"/>
        </w:tabs>
        <w:ind w:left="851" w:hanging="851"/>
        <w:rPr>
          <w:b/>
          <w:sz w:val="24"/>
          <w:szCs w:val="24"/>
        </w:rPr>
      </w:pPr>
      <w:r w:rsidRPr="00071814">
        <w:rPr>
          <w:b/>
          <w:sz w:val="24"/>
          <w:szCs w:val="24"/>
        </w:rPr>
        <w:t>5.3</w:t>
      </w:r>
      <w:r w:rsidRPr="00071814">
        <w:rPr>
          <w:b/>
          <w:sz w:val="24"/>
          <w:szCs w:val="24"/>
        </w:rPr>
        <w:tab/>
      </w:r>
      <w:r w:rsidR="00CF718C">
        <w:rPr>
          <w:b/>
          <w:sz w:val="24"/>
          <w:szCs w:val="24"/>
        </w:rPr>
        <w:t>Non-</w:t>
      </w:r>
      <w:r w:rsidRPr="00071814">
        <w:rPr>
          <w:b/>
          <w:sz w:val="24"/>
          <w:szCs w:val="24"/>
        </w:rPr>
        <w:t>kliniske sikkerhedsdata</w:t>
      </w:r>
    </w:p>
    <w:p w:rsidR="00EB7FE6" w:rsidRPr="00467589" w:rsidRDefault="00EB7FE6" w:rsidP="00EB7FE6">
      <w:pPr>
        <w:tabs>
          <w:tab w:val="left" w:pos="851"/>
        </w:tabs>
        <w:ind w:left="851"/>
        <w:rPr>
          <w:sz w:val="24"/>
          <w:szCs w:val="24"/>
          <w:u w:val="single"/>
        </w:rPr>
      </w:pPr>
      <w:r w:rsidRPr="00467589">
        <w:rPr>
          <w:sz w:val="24"/>
          <w:szCs w:val="24"/>
          <w:u w:val="single"/>
        </w:rPr>
        <w:t>Emtricitabin</w:t>
      </w:r>
    </w:p>
    <w:p w:rsidR="00EB7FE6" w:rsidRPr="00467589" w:rsidRDefault="00EB7FE6" w:rsidP="00EB7FE6">
      <w:pPr>
        <w:tabs>
          <w:tab w:val="left" w:pos="851"/>
        </w:tabs>
        <w:ind w:left="851"/>
        <w:rPr>
          <w:sz w:val="24"/>
          <w:szCs w:val="24"/>
        </w:rPr>
      </w:pPr>
      <w:r>
        <w:rPr>
          <w:sz w:val="24"/>
          <w:szCs w:val="24"/>
        </w:rPr>
        <w:t>Non-</w:t>
      </w:r>
      <w:r w:rsidRPr="00467589">
        <w:rPr>
          <w:sz w:val="24"/>
          <w:szCs w:val="24"/>
        </w:rPr>
        <w:t xml:space="preserve">kliniske data for emtricitabin viser ingen </w:t>
      </w:r>
      <w:r>
        <w:rPr>
          <w:sz w:val="24"/>
          <w:szCs w:val="24"/>
        </w:rPr>
        <w:t>særlig</w:t>
      </w:r>
      <w:r w:rsidRPr="00467589">
        <w:rPr>
          <w:sz w:val="24"/>
          <w:szCs w:val="24"/>
        </w:rPr>
        <w:t xml:space="preserve"> risiko for mennesker vurderet ud fra konventionelle studier af sikkerhedsfarmakologi, toksicitet efter gentagne doser, genotoksicitet, karcinogenicitet samt reproduktions- og udviklingstoksicitet.</w:t>
      </w:r>
    </w:p>
    <w:p w:rsidR="00EB7FE6" w:rsidRPr="00467589" w:rsidRDefault="00EB7FE6" w:rsidP="00EB7FE6">
      <w:pPr>
        <w:tabs>
          <w:tab w:val="left" w:pos="851"/>
        </w:tabs>
        <w:ind w:left="851"/>
        <w:rPr>
          <w:i/>
          <w:sz w:val="24"/>
          <w:szCs w:val="24"/>
        </w:rPr>
      </w:pPr>
    </w:p>
    <w:p w:rsidR="00EB7FE6" w:rsidRPr="00467589" w:rsidRDefault="00EB7FE6" w:rsidP="00EB7FE6">
      <w:pPr>
        <w:tabs>
          <w:tab w:val="left" w:pos="851"/>
        </w:tabs>
        <w:ind w:left="851"/>
        <w:rPr>
          <w:sz w:val="24"/>
          <w:szCs w:val="24"/>
          <w:u w:val="single"/>
        </w:rPr>
      </w:pPr>
      <w:r w:rsidRPr="00467589">
        <w:rPr>
          <w:sz w:val="24"/>
          <w:szCs w:val="24"/>
          <w:u w:val="single"/>
        </w:rPr>
        <w:t>Tenofovirdisoproxil</w:t>
      </w:r>
    </w:p>
    <w:p w:rsidR="00EB7FE6" w:rsidRPr="00467589" w:rsidRDefault="00EB7FE6" w:rsidP="00EB7FE6">
      <w:pPr>
        <w:tabs>
          <w:tab w:val="left" w:pos="851"/>
        </w:tabs>
        <w:ind w:left="851"/>
        <w:rPr>
          <w:sz w:val="24"/>
          <w:szCs w:val="24"/>
        </w:rPr>
      </w:pPr>
      <w:r>
        <w:rPr>
          <w:sz w:val="24"/>
          <w:szCs w:val="24"/>
        </w:rPr>
        <w:t>Non-</w:t>
      </w:r>
      <w:r w:rsidRPr="00467589">
        <w:rPr>
          <w:sz w:val="24"/>
          <w:szCs w:val="24"/>
        </w:rPr>
        <w:t xml:space="preserve">kliniske studier af sikkerhedsfarmakologi for tenofovirdisoproxil viser ingen </w:t>
      </w:r>
      <w:r>
        <w:rPr>
          <w:sz w:val="24"/>
          <w:szCs w:val="24"/>
        </w:rPr>
        <w:t>særlig</w:t>
      </w:r>
      <w:r w:rsidRPr="00467589">
        <w:rPr>
          <w:sz w:val="24"/>
          <w:szCs w:val="24"/>
        </w:rPr>
        <w:t xml:space="preserve"> risiko for mennesker. Resultater fra studier af toksicitet efter gentagne doser hos rotter, hunde og aber ved eksponeringsniveauer højere end eller lig med kliniske eksponeringsniveauer og med mulig relevans for klinisk anvendelse omfatter nyre- og knogletoksicitet og et fald i serum-phosphat- 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phosphat med mulig, sekundær reduktion af BMD.</w:t>
      </w:r>
    </w:p>
    <w:p w:rsidR="007564F4" w:rsidRPr="002A3931" w:rsidRDefault="007564F4" w:rsidP="007564F4">
      <w:pPr>
        <w:tabs>
          <w:tab w:val="left" w:pos="851"/>
        </w:tabs>
        <w:ind w:left="851"/>
        <w:rPr>
          <w:sz w:val="24"/>
          <w:szCs w:val="24"/>
        </w:rPr>
      </w:pPr>
    </w:p>
    <w:p w:rsidR="007564F4" w:rsidRPr="002A3931" w:rsidRDefault="007564F4" w:rsidP="007564F4">
      <w:pPr>
        <w:tabs>
          <w:tab w:val="left" w:pos="851"/>
        </w:tabs>
        <w:ind w:left="851"/>
        <w:rPr>
          <w:sz w:val="24"/>
          <w:szCs w:val="24"/>
        </w:rPr>
      </w:pPr>
      <w:r w:rsidRPr="002A3931">
        <w:rPr>
          <w:sz w:val="24"/>
          <w:szCs w:val="24"/>
        </w:rPr>
        <w:t xml:space="preserve">Studier af genotoksicitet viste positive resultater i </w:t>
      </w:r>
      <w:r w:rsidRPr="002A3931">
        <w:rPr>
          <w:i/>
          <w:sz w:val="24"/>
          <w:szCs w:val="24"/>
        </w:rPr>
        <w:t>in vitro</w:t>
      </w:r>
      <w:r w:rsidRPr="002A3931">
        <w:rPr>
          <w:sz w:val="24"/>
          <w:szCs w:val="24"/>
        </w:rPr>
        <w:t xml:space="preserve">-muselymfomanalysen, uklare resultater for en af de stammer, der blev anvendt i Ames-testen, og svagt positive resultater i UDS-testen i primære rottehepatocytter. Resultaterne var imidlertid negative i en </w:t>
      </w:r>
      <w:r w:rsidRPr="002A3931">
        <w:rPr>
          <w:i/>
          <w:sz w:val="24"/>
          <w:szCs w:val="24"/>
        </w:rPr>
        <w:t>in vivo</w:t>
      </w:r>
      <w:r w:rsidRPr="002A3931">
        <w:rPr>
          <w:sz w:val="24"/>
          <w:szCs w:val="24"/>
        </w:rPr>
        <w:t>-mikronukleusanalyse med museknoglemarv.</w:t>
      </w:r>
    </w:p>
    <w:p w:rsidR="007564F4" w:rsidRPr="002A3931" w:rsidRDefault="007564F4" w:rsidP="007564F4">
      <w:pPr>
        <w:tabs>
          <w:tab w:val="left" w:pos="851"/>
        </w:tabs>
        <w:ind w:left="851"/>
        <w:rPr>
          <w:sz w:val="24"/>
          <w:szCs w:val="24"/>
        </w:rPr>
      </w:pPr>
    </w:p>
    <w:p w:rsidR="007564F4" w:rsidRPr="002A3931" w:rsidRDefault="007564F4" w:rsidP="007564F4">
      <w:pPr>
        <w:tabs>
          <w:tab w:val="left" w:pos="851"/>
        </w:tabs>
        <w:ind w:left="851"/>
        <w:rPr>
          <w:sz w:val="24"/>
          <w:szCs w:val="24"/>
        </w:rPr>
      </w:pPr>
      <w:r w:rsidRPr="002A3931">
        <w:rPr>
          <w:sz w:val="24"/>
          <w:szCs w:val="24"/>
        </w:rPr>
        <w:t>Orale karcinogenicitetsstudier hos rotter og mus viste kun en lav forekomst af duodenaltumorer ved en ekstremt høj dosis givet til mus. Disse tumorer har sandsynligvis ingen relevans for mennesker.</w:t>
      </w:r>
    </w:p>
    <w:p w:rsidR="007564F4" w:rsidRPr="002A3931" w:rsidRDefault="007564F4" w:rsidP="007564F4">
      <w:pPr>
        <w:tabs>
          <w:tab w:val="left" w:pos="851"/>
        </w:tabs>
        <w:ind w:left="851"/>
        <w:rPr>
          <w:sz w:val="24"/>
          <w:szCs w:val="24"/>
        </w:rPr>
      </w:pPr>
    </w:p>
    <w:p w:rsidR="007564F4" w:rsidRPr="002A3931" w:rsidRDefault="007564F4" w:rsidP="007564F4">
      <w:pPr>
        <w:tabs>
          <w:tab w:val="left" w:pos="851"/>
        </w:tabs>
        <w:ind w:left="851"/>
        <w:rPr>
          <w:sz w:val="24"/>
          <w:szCs w:val="24"/>
        </w:rPr>
      </w:pPr>
      <w:r w:rsidRPr="002A3931">
        <w:rPr>
          <w:sz w:val="24"/>
          <w:szCs w:val="24"/>
        </w:rPr>
        <w:t>Studier af reproduktionstoksicitet udført hos rotter og kaniner viste ingen virkninger hverken på parrings-, fertilitets-, graviditets- eller fosterparametre. Tenofovirdisoproxil reducerede imidlertid afkommets levedygtighed og vægt i et peri- og postnatalt toksicitetsstudie ved doser, der var toksiske for moderen.</w:t>
      </w:r>
    </w:p>
    <w:p w:rsidR="007564F4" w:rsidRPr="002A3931" w:rsidRDefault="007564F4" w:rsidP="007564F4">
      <w:pPr>
        <w:tabs>
          <w:tab w:val="left" w:pos="851"/>
        </w:tabs>
        <w:ind w:left="851"/>
        <w:rPr>
          <w:sz w:val="24"/>
          <w:szCs w:val="24"/>
        </w:rPr>
      </w:pPr>
    </w:p>
    <w:p w:rsidR="007564F4" w:rsidRPr="002A3931" w:rsidRDefault="007564F4" w:rsidP="007564F4">
      <w:pPr>
        <w:tabs>
          <w:tab w:val="left" w:pos="851"/>
        </w:tabs>
        <w:ind w:left="851"/>
        <w:rPr>
          <w:sz w:val="24"/>
          <w:szCs w:val="24"/>
          <w:u w:val="single"/>
        </w:rPr>
      </w:pPr>
      <w:r w:rsidRPr="002A3931">
        <w:rPr>
          <w:sz w:val="24"/>
          <w:szCs w:val="24"/>
          <w:u w:val="single"/>
        </w:rPr>
        <w:t>Kombination af emtricitabin og tenofovirdisoproxil</w:t>
      </w:r>
    </w:p>
    <w:p w:rsidR="00DF5BA0" w:rsidRDefault="007564F4" w:rsidP="00EB7FE6">
      <w:pPr>
        <w:tabs>
          <w:tab w:val="left" w:pos="851"/>
        </w:tabs>
        <w:ind w:left="851"/>
        <w:rPr>
          <w:sz w:val="24"/>
          <w:szCs w:val="24"/>
        </w:rPr>
      </w:pPr>
      <w:r w:rsidRPr="002A3931">
        <w:rPr>
          <w:sz w:val="24"/>
          <w:szCs w:val="24"/>
        </w:rPr>
        <w:t>I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rsidR="00DF5BA0" w:rsidRDefault="00DF5BA0" w:rsidP="00EB7FE6">
      <w:pPr>
        <w:tabs>
          <w:tab w:val="left" w:pos="851"/>
        </w:tabs>
        <w:ind w:left="851"/>
        <w:rPr>
          <w:sz w:val="24"/>
          <w:szCs w:val="24"/>
        </w:rPr>
      </w:pPr>
    </w:p>
    <w:p w:rsidR="00DF5BA0" w:rsidRDefault="00DF5BA0" w:rsidP="00EB7FE6">
      <w:pPr>
        <w:tabs>
          <w:tab w:val="left" w:pos="851"/>
        </w:tabs>
        <w:ind w:left="851"/>
        <w:rPr>
          <w:sz w:val="24"/>
          <w:szCs w:val="24"/>
        </w:rPr>
      </w:pPr>
    </w:p>
    <w:p w:rsidR="00DF5BA0" w:rsidRDefault="00DF5BA0" w:rsidP="00EB7FE6">
      <w:pPr>
        <w:tabs>
          <w:tab w:val="left" w:pos="851"/>
        </w:tabs>
        <w:ind w:left="851"/>
        <w:rPr>
          <w:sz w:val="24"/>
          <w:szCs w:val="24"/>
        </w:rPr>
      </w:pPr>
    </w:p>
    <w:p w:rsidR="007564F4" w:rsidRDefault="004E12F3" w:rsidP="00EB7FE6">
      <w:pPr>
        <w:tabs>
          <w:tab w:val="left" w:pos="851"/>
        </w:tabs>
        <w:ind w:left="851"/>
        <w:rPr>
          <w:sz w:val="24"/>
          <w:szCs w:val="24"/>
        </w:rPr>
      </w:pPr>
      <w:r>
        <w:rPr>
          <w:sz w:val="24"/>
          <w:szCs w:val="24"/>
        </w:rPr>
        <w:br/>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lastRenderedPageBreak/>
        <w:t>6.</w:t>
      </w:r>
      <w:r w:rsidRPr="00071814">
        <w:rPr>
          <w:b/>
          <w:sz w:val="24"/>
          <w:szCs w:val="24"/>
        </w:rPr>
        <w:tab/>
        <w:t>FARMACEUTISKE OPLYSNINGER</w:t>
      </w:r>
    </w:p>
    <w:p w:rsidR="007564F4" w:rsidRPr="00071814" w:rsidRDefault="007564F4" w:rsidP="007564F4">
      <w:pPr>
        <w:tabs>
          <w:tab w:val="left" w:pos="851"/>
        </w:tabs>
        <w:ind w:left="851"/>
        <w:rPr>
          <w:sz w:val="24"/>
          <w:szCs w:val="24"/>
        </w:rPr>
      </w:pPr>
    </w:p>
    <w:p w:rsidR="007564F4" w:rsidRPr="00FC0124" w:rsidRDefault="007564F4" w:rsidP="00B0027B">
      <w:pPr>
        <w:tabs>
          <w:tab w:val="left" w:pos="851"/>
        </w:tabs>
        <w:ind w:left="851" w:hanging="851"/>
        <w:rPr>
          <w:b/>
          <w:sz w:val="24"/>
          <w:szCs w:val="24"/>
        </w:rPr>
      </w:pPr>
      <w:r w:rsidRPr="00071814">
        <w:rPr>
          <w:b/>
          <w:sz w:val="24"/>
          <w:szCs w:val="24"/>
        </w:rPr>
        <w:t>6.1</w:t>
      </w:r>
      <w:r w:rsidRPr="00071814">
        <w:rPr>
          <w:b/>
          <w:sz w:val="24"/>
          <w:szCs w:val="24"/>
        </w:rPr>
        <w:tab/>
        <w:t>Hjælpestoffer</w:t>
      </w:r>
    </w:p>
    <w:p w:rsidR="007564F4" w:rsidRPr="00B84078" w:rsidRDefault="007564F4" w:rsidP="007564F4">
      <w:pPr>
        <w:pStyle w:val="Brdtekst"/>
        <w:tabs>
          <w:tab w:val="left" w:pos="851"/>
        </w:tabs>
        <w:ind w:left="851"/>
        <w:rPr>
          <w:sz w:val="24"/>
          <w:szCs w:val="24"/>
          <w:u w:val="single"/>
          <w:lang w:val="da-DK"/>
        </w:rPr>
      </w:pPr>
      <w:r w:rsidRPr="00B84078">
        <w:rPr>
          <w:sz w:val="24"/>
          <w:szCs w:val="24"/>
          <w:u w:val="single"/>
          <w:lang w:val="da-DK"/>
        </w:rPr>
        <w:t>Tabletkerne</w:t>
      </w:r>
    </w:p>
    <w:p w:rsidR="007564F4" w:rsidRPr="00B84078" w:rsidRDefault="007564F4" w:rsidP="007564F4">
      <w:pPr>
        <w:pStyle w:val="Brdtekst"/>
        <w:tabs>
          <w:tab w:val="left" w:pos="851"/>
        </w:tabs>
        <w:ind w:left="851"/>
        <w:rPr>
          <w:sz w:val="24"/>
          <w:szCs w:val="24"/>
          <w:lang w:val="da-DK"/>
        </w:rPr>
      </w:pPr>
      <w:r w:rsidRPr="00B84078">
        <w:rPr>
          <w:sz w:val="24"/>
          <w:szCs w:val="24"/>
          <w:lang w:val="da-DK"/>
        </w:rPr>
        <w:t>Croscarmellosenatrium</w:t>
      </w:r>
    </w:p>
    <w:p w:rsidR="007564F4" w:rsidRPr="00B84078" w:rsidRDefault="007564F4" w:rsidP="007564F4">
      <w:pPr>
        <w:pStyle w:val="Brdtekst"/>
        <w:tabs>
          <w:tab w:val="left" w:pos="851"/>
        </w:tabs>
        <w:ind w:left="851"/>
        <w:rPr>
          <w:sz w:val="24"/>
          <w:szCs w:val="24"/>
          <w:lang w:val="da-DK"/>
        </w:rPr>
      </w:pPr>
      <w:r w:rsidRPr="00B84078">
        <w:rPr>
          <w:sz w:val="24"/>
          <w:szCs w:val="24"/>
          <w:lang w:val="da-DK"/>
        </w:rPr>
        <w:t>Lactosemonohydrat</w:t>
      </w:r>
    </w:p>
    <w:p w:rsidR="007564F4" w:rsidRPr="00B84078" w:rsidRDefault="007564F4" w:rsidP="007564F4">
      <w:pPr>
        <w:pStyle w:val="Brdtekst"/>
        <w:tabs>
          <w:tab w:val="left" w:pos="851"/>
        </w:tabs>
        <w:ind w:left="851"/>
        <w:rPr>
          <w:sz w:val="24"/>
          <w:szCs w:val="24"/>
          <w:lang w:val="da-DK"/>
        </w:rPr>
      </w:pPr>
      <w:r w:rsidRPr="00B84078">
        <w:rPr>
          <w:sz w:val="24"/>
          <w:szCs w:val="24"/>
          <w:lang w:val="da-DK"/>
        </w:rPr>
        <w:t>Cellulose, mikrokrystallinsk</w:t>
      </w:r>
    </w:p>
    <w:p w:rsidR="007564F4" w:rsidRPr="00B84078" w:rsidRDefault="007564F4" w:rsidP="007564F4">
      <w:pPr>
        <w:pStyle w:val="Brdtekst"/>
        <w:tabs>
          <w:tab w:val="left" w:pos="851"/>
        </w:tabs>
        <w:ind w:left="851"/>
        <w:rPr>
          <w:sz w:val="24"/>
          <w:szCs w:val="24"/>
          <w:lang w:val="da-DK"/>
        </w:rPr>
      </w:pPr>
      <w:r w:rsidRPr="00B84078">
        <w:rPr>
          <w:sz w:val="24"/>
          <w:szCs w:val="24"/>
          <w:lang w:val="da-DK"/>
        </w:rPr>
        <w:t>Magnesiumstearat</w:t>
      </w:r>
    </w:p>
    <w:p w:rsidR="007564F4" w:rsidRPr="00B84078" w:rsidRDefault="007564F4" w:rsidP="007564F4">
      <w:pPr>
        <w:pStyle w:val="Brdtekst"/>
        <w:tabs>
          <w:tab w:val="left" w:pos="851"/>
        </w:tabs>
        <w:ind w:left="851"/>
        <w:rPr>
          <w:sz w:val="24"/>
          <w:szCs w:val="24"/>
          <w:lang w:val="da-DK"/>
        </w:rPr>
      </w:pPr>
      <w:r w:rsidRPr="00B84078">
        <w:rPr>
          <w:sz w:val="24"/>
          <w:szCs w:val="24"/>
          <w:lang w:val="da-DK"/>
        </w:rPr>
        <w:t>Stivelse, prægelatineret</w:t>
      </w:r>
    </w:p>
    <w:p w:rsidR="007564F4" w:rsidRPr="00B84078" w:rsidRDefault="007564F4" w:rsidP="007564F4">
      <w:pPr>
        <w:pStyle w:val="Brdtekst"/>
        <w:tabs>
          <w:tab w:val="left" w:pos="851"/>
        </w:tabs>
        <w:ind w:left="851"/>
        <w:rPr>
          <w:sz w:val="24"/>
          <w:szCs w:val="24"/>
          <w:lang w:val="da-DK"/>
        </w:rPr>
      </w:pPr>
    </w:p>
    <w:p w:rsidR="00DF5BA0" w:rsidRPr="00467589" w:rsidRDefault="00DF5BA0" w:rsidP="00DF5BA0">
      <w:pPr>
        <w:pStyle w:val="Brdtekst"/>
        <w:tabs>
          <w:tab w:val="left" w:pos="851"/>
        </w:tabs>
        <w:ind w:left="851"/>
        <w:rPr>
          <w:sz w:val="24"/>
          <w:szCs w:val="24"/>
          <w:u w:val="single"/>
          <w:lang w:val="da-DK"/>
        </w:rPr>
      </w:pPr>
      <w:r w:rsidRPr="00467589">
        <w:rPr>
          <w:sz w:val="24"/>
          <w:szCs w:val="24"/>
          <w:u w:val="single"/>
          <w:lang w:val="da-DK"/>
        </w:rPr>
        <w:t>Overtræk</w:t>
      </w:r>
    </w:p>
    <w:p w:rsidR="00DF5BA0" w:rsidRPr="004836DB" w:rsidRDefault="00DF5BA0" w:rsidP="00DF5BA0">
      <w:pPr>
        <w:pStyle w:val="Brdtekst"/>
        <w:tabs>
          <w:tab w:val="left" w:pos="851"/>
        </w:tabs>
        <w:ind w:left="851"/>
        <w:rPr>
          <w:sz w:val="24"/>
          <w:szCs w:val="24"/>
        </w:rPr>
      </w:pPr>
      <w:r w:rsidRPr="004836DB">
        <w:rPr>
          <w:sz w:val="24"/>
          <w:szCs w:val="24"/>
        </w:rPr>
        <w:t>Hypromellose</w:t>
      </w:r>
    </w:p>
    <w:p w:rsidR="00DF5BA0" w:rsidRPr="00A92787" w:rsidRDefault="00DF5BA0" w:rsidP="00DF5BA0">
      <w:pPr>
        <w:pStyle w:val="Brdtekst"/>
        <w:tabs>
          <w:tab w:val="left" w:pos="851"/>
        </w:tabs>
        <w:ind w:left="851"/>
        <w:rPr>
          <w:sz w:val="24"/>
          <w:szCs w:val="24"/>
        </w:rPr>
      </w:pPr>
      <w:r w:rsidRPr="00A92787">
        <w:rPr>
          <w:sz w:val="24"/>
          <w:szCs w:val="24"/>
        </w:rPr>
        <w:t>Lactosemonohydrat</w:t>
      </w:r>
    </w:p>
    <w:p w:rsidR="00DF5BA0" w:rsidRPr="00A92787" w:rsidRDefault="00DF5BA0" w:rsidP="00DF5BA0">
      <w:pPr>
        <w:pStyle w:val="Brdtekst"/>
        <w:tabs>
          <w:tab w:val="left" w:pos="851"/>
        </w:tabs>
        <w:ind w:left="851"/>
        <w:rPr>
          <w:sz w:val="24"/>
          <w:szCs w:val="24"/>
        </w:rPr>
      </w:pPr>
      <w:r w:rsidRPr="00A92787">
        <w:rPr>
          <w:sz w:val="24"/>
          <w:szCs w:val="24"/>
        </w:rPr>
        <w:t>Titandioxid (E171)</w:t>
      </w:r>
    </w:p>
    <w:p w:rsidR="00DF5BA0" w:rsidRPr="00A92787" w:rsidRDefault="00DF5BA0" w:rsidP="00DF5BA0">
      <w:pPr>
        <w:pStyle w:val="Brdtekst"/>
        <w:tabs>
          <w:tab w:val="left" w:pos="851"/>
        </w:tabs>
        <w:ind w:left="851"/>
        <w:rPr>
          <w:sz w:val="24"/>
          <w:szCs w:val="24"/>
        </w:rPr>
      </w:pPr>
      <w:r w:rsidRPr="00A92787">
        <w:rPr>
          <w:sz w:val="24"/>
          <w:szCs w:val="24"/>
        </w:rPr>
        <w:t>Triacetin</w:t>
      </w:r>
    </w:p>
    <w:p w:rsidR="00DF5BA0" w:rsidRPr="00A92787" w:rsidRDefault="00DF5BA0" w:rsidP="00DF5BA0">
      <w:pPr>
        <w:pStyle w:val="Brdtekst"/>
        <w:tabs>
          <w:tab w:val="left" w:pos="851"/>
        </w:tabs>
        <w:ind w:left="851"/>
        <w:rPr>
          <w:b/>
          <w:sz w:val="24"/>
          <w:szCs w:val="24"/>
        </w:rPr>
      </w:pPr>
      <w:r w:rsidRPr="00A92787">
        <w:rPr>
          <w:sz w:val="24"/>
          <w:szCs w:val="24"/>
        </w:rPr>
        <w:t>Indigocarmin-aluminiumpigment (E132)</w:t>
      </w:r>
    </w:p>
    <w:p w:rsidR="007564F4" w:rsidRPr="00B84078" w:rsidRDefault="007564F4" w:rsidP="007564F4">
      <w:pPr>
        <w:tabs>
          <w:tab w:val="left" w:pos="851"/>
        </w:tabs>
        <w:ind w:left="851"/>
        <w:rPr>
          <w:sz w:val="24"/>
          <w:szCs w:val="24"/>
          <w:lang w:val="en-US"/>
        </w:rPr>
      </w:pPr>
    </w:p>
    <w:p w:rsidR="007564F4" w:rsidRPr="00071814" w:rsidRDefault="007564F4" w:rsidP="007564F4">
      <w:pPr>
        <w:tabs>
          <w:tab w:val="left" w:pos="851"/>
        </w:tabs>
        <w:ind w:left="851" w:hanging="851"/>
        <w:rPr>
          <w:b/>
          <w:sz w:val="24"/>
          <w:szCs w:val="24"/>
        </w:rPr>
      </w:pPr>
      <w:r w:rsidRPr="00071814">
        <w:rPr>
          <w:b/>
          <w:sz w:val="24"/>
          <w:szCs w:val="24"/>
        </w:rPr>
        <w:t>6.2</w:t>
      </w:r>
      <w:r w:rsidRPr="00071814">
        <w:rPr>
          <w:b/>
          <w:sz w:val="24"/>
          <w:szCs w:val="24"/>
        </w:rPr>
        <w:tab/>
        <w:t>Uforligeligheder</w:t>
      </w:r>
    </w:p>
    <w:p w:rsidR="007564F4" w:rsidRPr="00071814" w:rsidRDefault="007564F4" w:rsidP="007564F4">
      <w:pPr>
        <w:tabs>
          <w:tab w:val="left" w:pos="851"/>
        </w:tabs>
        <w:ind w:left="851"/>
        <w:rPr>
          <w:sz w:val="24"/>
          <w:szCs w:val="24"/>
        </w:rPr>
      </w:pPr>
      <w:r>
        <w:rPr>
          <w:sz w:val="24"/>
          <w:szCs w:val="24"/>
        </w:rPr>
        <w:t>Ikke relevant.</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6.3</w:t>
      </w:r>
      <w:r w:rsidRPr="00071814">
        <w:rPr>
          <w:b/>
          <w:sz w:val="24"/>
          <w:szCs w:val="24"/>
        </w:rPr>
        <w:tab/>
        <w:t>Opbevaringstid</w:t>
      </w:r>
    </w:p>
    <w:p w:rsidR="007564F4" w:rsidRPr="00071814" w:rsidRDefault="007564F4" w:rsidP="007564F4">
      <w:pPr>
        <w:tabs>
          <w:tab w:val="left" w:pos="851"/>
        </w:tabs>
        <w:ind w:left="851" w:hanging="851"/>
        <w:rPr>
          <w:sz w:val="24"/>
          <w:szCs w:val="24"/>
        </w:rPr>
      </w:pPr>
      <w:r w:rsidRPr="00071814">
        <w:rPr>
          <w:sz w:val="24"/>
          <w:szCs w:val="24"/>
        </w:rPr>
        <w:tab/>
      </w:r>
      <w:r>
        <w:rPr>
          <w:sz w:val="24"/>
          <w:szCs w:val="24"/>
        </w:rPr>
        <w:t>2 år.</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6.4</w:t>
      </w:r>
      <w:r w:rsidRPr="00071814">
        <w:rPr>
          <w:b/>
          <w:sz w:val="24"/>
          <w:szCs w:val="24"/>
        </w:rPr>
        <w:tab/>
        <w:t>Særlige opbevaringsforhold</w:t>
      </w:r>
    </w:p>
    <w:p w:rsidR="007564F4" w:rsidRPr="001C1B9D" w:rsidRDefault="007564F4" w:rsidP="007564F4">
      <w:pPr>
        <w:tabs>
          <w:tab w:val="left" w:pos="851"/>
        </w:tabs>
        <w:ind w:left="851"/>
        <w:rPr>
          <w:sz w:val="24"/>
          <w:szCs w:val="24"/>
        </w:rPr>
      </w:pPr>
      <w:r w:rsidRPr="001C1B9D">
        <w:rPr>
          <w:sz w:val="24"/>
          <w:szCs w:val="24"/>
        </w:rPr>
        <w:t>Opbevares ved temperaturer under 30 ºC.</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6.5</w:t>
      </w:r>
      <w:r w:rsidRPr="00071814">
        <w:rPr>
          <w:b/>
          <w:sz w:val="24"/>
          <w:szCs w:val="24"/>
        </w:rPr>
        <w:tab/>
        <w:t>Emballagetype</w:t>
      </w:r>
      <w:r w:rsidR="00CF718C">
        <w:rPr>
          <w:b/>
          <w:sz w:val="24"/>
          <w:szCs w:val="24"/>
        </w:rPr>
        <w:t xml:space="preserve"> </w:t>
      </w:r>
      <w:r w:rsidRPr="00071814">
        <w:rPr>
          <w:b/>
          <w:sz w:val="24"/>
          <w:szCs w:val="24"/>
        </w:rPr>
        <w:t>og pakningsstørrelser</w:t>
      </w:r>
    </w:p>
    <w:p w:rsidR="007564F4" w:rsidRDefault="007564F4" w:rsidP="007564F4">
      <w:pPr>
        <w:tabs>
          <w:tab w:val="left" w:pos="851"/>
        </w:tabs>
        <w:ind w:left="851"/>
        <w:jc w:val="both"/>
        <w:rPr>
          <w:sz w:val="24"/>
          <w:szCs w:val="24"/>
        </w:rPr>
      </w:pPr>
      <w:r w:rsidRPr="001C1B9D">
        <w:rPr>
          <w:sz w:val="24"/>
          <w:szCs w:val="24"/>
        </w:rPr>
        <w:t>Perforeret OPA-alu-PVC/alu-enkeltdosisblister</w:t>
      </w:r>
    </w:p>
    <w:p w:rsidR="007564F4" w:rsidRDefault="007564F4" w:rsidP="007564F4">
      <w:pPr>
        <w:tabs>
          <w:tab w:val="left" w:pos="851"/>
        </w:tabs>
        <w:ind w:left="851"/>
        <w:jc w:val="both"/>
        <w:rPr>
          <w:sz w:val="24"/>
          <w:szCs w:val="24"/>
        </w:rPr>
      </w:pPr>
    </w:p>
    <w:p w:rsidR="007564F4" w:rsidRPr="001C1B9D" w:rsidRDefault="007564F4" w:rsidP="007564F4">
      <w:pPr>
        <w:tabs>
          <w:tab w:val="left" w:pos="851"/>
        </w:tabs>
        <w:ind w:left="851"/>
        <w:jc w:val="both"/>
        <w:rPr>
          <w:sz w:val="24"/>
          <w:szCs w:val="24"/>
        </w:rPr>
      </w:pPr>
      <w:r>
        <w:rPr>
          <w:sz w:val="24"/>
          <w:szCs w:val="24"/>
        </w:rPr>
        <w:t>P</w:t>
      </w:r>
      <w:r w:rsidRPr="001C1B9D">
        <w:rPr>
          <w:sz w:val="24"/>
          <w:szCs w:val="24"/>
        </w:rPr>
        <w:t>akningsstørrelse</w:t>
      </w:r>
      <w:r>
        <w:rPr>
          <w:sz w:val="24"/>
          <w:szCs w:val="24"/>
        </w:rPr>
        <w:t xml:space="preserve">r: </w:t>
      </w:r>
      <w:r w:rsidRPr="001C1B9D">
        <w:rPr>
          <w:sz w:val="24"/>
          <w:szCs w:val="24"/>
        </w:rPr>
        <w:t>30</w:t>
      </w:r>
      <w:r>
        <w:rPr>
          <w:sz w:val="24"/>
          <w:szCs w:val="24"/>
        </w:rPr>
        <w:t>×1 tabletter.</w:t>
      </w:r>
    </w:p>
    <w:p w:rsidR="007564F4" w:rsidRPr="001C1B9D" w:rsidRDefault="007564F4" w:rsidP="007564F4">
      <w:pPr>
        <w:tabs>
          <w:tab w:val="left" w:pos="851"/>
        </w:tabs>
        <w:ind w:left="851"/>
        <w:jc w:val="both"/>
        <w:rPr>
          <w:sz w:val="24"/>
          <w:szCs w:val="24"/>
        </w:rPr>
      </w:pPr>
      <w:r w:rsidRPr="001C1B9D">
        <w:rPr>
          <w:sz w:val="24"/>
          <w:szCs w:val="24"/>
        </w:rPr>
        <w:t>Ikke alle pakningsstørrelser er nødvendigvis markedsført.</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6.6</w:t>
      </w:r>
      <w:r w:rsidRPr="00071814">
        <w:rPr>
          <w:b/>
          <w:sz w:val="24"/>
          <w:szCs w:val="24"/>
        </w:rPr>
        <w:tab/>
        <w:t xml:space="preserve">Regler for </w:t>
      </w:r>
      <w:r w:rsidR="00CF718C">
        <w:rPr>
          <w:b/>
          <w:sz w:val="24"/>
          <w:szCs w:val="24"/>
        </w:rPr>
        <w:t>bortskaffelse</w:t>
      </w:r>
      <w:r w:rsidRPr="00071814">
        <w:rPr>
          <w:b/>
          <w:sz w:val="24"/>
          <w:szCs w:val="24"/>
        </w:rPr>
        <w:t xml:space="preserve"> og anden håndtering</w:t>
      </w:r>
    </w:p>
    <w:p w:rsidR="00DF5BA0" w:rsidRPr="00467589" w:rsidRDefault="00DF5BA0" w:rsidP="00DF5BA0">
      <w:pPr>
        <w:tabs>
          <w:tab w:val="left" w:pos="851"/>
        </w:tabs>
        <w:ind w:left="851"/>
        <w:rPr>
          <w:sz w:val="24"/>
          <w:szCs w:val="24"/>
        </w:rPr>
      </w:pPr>
      <w:r w:rsidRPr="00467589">
        <w:rPr>
          <w:sz w:val="24"/>
          <w:szCs w:val="24"/>
        </w:rPr>
        <w:t>Ikke anvendt lægemiddel samt affald heraf skal bortskaffes i henhold til lokale retningslinjer.</w:t>
      </w:r>
    </w:p>
    <w:p w:rsidR="00DF5BA0" w:rsidRDefault="00DF5BA0" w:rsidP="007564F4">
      <w:pPr>
        <w:tabs>
          <w:tab w:val="left" w:pos="851"/>
        </w:tabs>
        <w:ind w:left="851" w:hanging="851"/>
        <w:rPr>
          <w:b/>
          <w:sz w:val="24"/>
          <w:szCs w:val="24"/>
        </w:rPr>
      </w:pPr>
    </w:p>
    <w:p w:rsidR="007564F4" w:rsidRPr="00071814" w:rsidRDefault="007564F4" w:rsidP="007564F4">
      <w:pPr>
        <w:tabs>
          <w:tab w:val="left" w:pos="851"/>
        </w:tabs>
        <w:ind w:left="851" w:hanging="851"/>
        <w:rPr>
          <w:b/>
          <w:sz w:val="24"/>
          <w:szCs w:val="24"/>
        </w:rPr>
      </w:pPr>
      <w:r w:rsidRPr="00071814">
        <w:rPr>
          <w:b/>
          <w:sz w:val="24"/>
          <w:szCs w:val="24"/>
        </w:rPr>
        <w:t>7.</w:t>
      </w:r>
      <w:r w:rsidRPr="00071814">
        <w:rPr>
          <w:b/>
          <w:sz w:val="24"/>
          <w:szCs w:val="24"/>
        </w:rPr>
        <w:tab/>
        <w:t>INDEHAVER AF MARKEDSFØRINGSTILLADELSEN</w:t>
      </w:r>
    </w:p>
    <w:p w:rsidR="007564F4" w:rsidRPr="00DF5BA0" w:rsidRDefault="007564F4" w:rsidP="007564F4">
      <w:pPr>
        <w:ind w:left="851"/>
        <w:rPr>
          <w:color w:val="000000"/>
          <w:sz w:val="24"/>
          <w:lang w:eastAsia="en-GB"/>
        </w:rPr>
      </w:pPr>
      <w:bookmarkStart w:id="1" w:name="_Hlk522278813"/>
      <w:r w:rsidRPr="00DF5BA0">
        <w:rPr>
          <w:color w:val="000000"/>
          <w:sz w:val="24"/>
          <w:lang w:eastAsia="en-GB"/>
        </w:rPr>
        <w:t>Accord Healthcare B.V.</w:t>
      </w:r>
    </w:p>
    <w:p w:rsidR="007564F4" w:rsidRPr="00DF5BA0" w:rsidRDefault="007564F4" w:rsidP="007564F4">
      <w:pPr>
        <w:ind w:left="851"/>
        <w:rPr>
          <w:color w:val="000000"/>
          <w:sz w:val="24"/>
          <w:lang w:eastAsia="en-GB"/>
        </w:rPr>
      </w:pPr>
      <w:r w:rsidRPr="00DF5BA0">
        <w:rPr>
          <w:color w:val="000000"/>
          <w:sz w:val="24"/>
          <w:lang w:eastAsia="en-GB"/>
        </w:rPr>
        <w:t xml:space="preserve">Winthontlaan 200 </w:t>
      </w:r>
    </w:p>
    <w:p w:rsidR="007564F4" w:rsidRPr="00DF5BA0" w:rsidRDefault="007564F4" w:rsidP="007564F4">
      <w:pPr>
        <w:ind w:left="851"/>
        <w:rPr>
          <w:color w:val="000000"/>
          <w:sz w:val="24"/>
          <w:lang w:val="sv-SE" w:eastAsia="en-GB"/>
        </w:rPr>
      </w:pPr>
      <w:r w:rsidRPr="00DF5BA0">
        <w:rPr>
          <w:color w:val="000000"/>
          <w:sz w:val="24"/>
          <w:lang w:val="sv-SE" w:eastAsia="en-GB"/>
        </w:rPr>
        <w:t>3526 KV Utrecht</w:t>
      </w:r>
    </w:p>
    <w:bookmarkEnd w:id="1"/>
    <w:p w:rsidR="007564F4" w:rsidRPr="00DF5BA0" w:rsidRDefault="007564F4" w:rsidP="007564F4">
      <w:pPr>
        <w:ind w:left="851"/>
        <w:rPr>
          <w:sz w:val="24"/>
        </w:rPr>
      </w:pPr>
      <w:r w:rsidRPr="00DF5BA0">
        <w:rPr>
          <w:sz w:val="24"/>
        </w:rPr>
        <w:t>Holland</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8.</w:t>
      </w:r>
      <w:r w:rsidRPr="00071814">
        <w:rPr>
          <w:b/>
          <w:sz w:val="24"/>
          <w:szCs w:val="24"/>
        </w:rPr>
        <w:tab/>
        <w:t>MARKEDSFØRINGSTILLADELSESNUMMER (</w:t>
      </w:r>
      <w:r w:rsidR="00CF718C">
        <w:rPr>
          <w:b/>
          <w:sz w:val="24"/>
          <w:szCs w:val="24"/>
        </w:rPr>
        <w:t>-</w:t>
      </w:r>
      <w:r w:rsidRPr="00071814">
        <w:rPr>
          <w:b/>
          <w:sz w:val="24"/>
          <w:szCs w:val="24"/>
        </w:rPr>
        <w:t>NUMRE)</w:t>
      </w:r>
    </w:p>
    <w:p w:rsidR="007564F4" w:rsidRPr="00071814" w:rsidRDefault="007564F4" w:rsidP="007564F4">
      <w:pPr>
        <w:tabs>
          <w:tab w:val="left" w:pos="851"/>
        </w:tabs>
        <w:ind w:left="851"/>
        <w:rPr>
          <w:sz w:val="24"/>
          <w:szCs w:val="24"/>
        </w:rPr>
      </w:pPr>
      <w:r>
        <w:rPr>
          <w:sz w:val="24"/>
          <w:szCs w:val="24"/>
        </w:rPr>
        <w:t>60608</w:t>
      </w:r>
    </w:p>
    <w:p w:rsidR="007564F4" w:rsidRPr="00071814" w:rsidRDefault="007564F4" w:rsidP="007564F4">
      <w:pPr>
        <w:tabs>
          <w:tab w:val="left" w:pos="851"/>
        </w:tabs>
        <w:ind w:left="851"/>
        <w:jc w:val="both"/>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9.</w:t>
      </w:r>
      <w:r w:rsidRPr="00071814">
        <w:rPr>
          <w:b/>
          <w:sz w:val="24"/>
          <w:szCs w:val="24"/>
        </w:rPr>
        <w:tab/>
        <w:t>DATO FOR FØRSTE MARKEDSFØRINGSTILLADELSE</w:t>
      </w:r>
    </w:p>
    <w:p w:rsidR="007564F4" w:rsidRPr="00071814" w:rsidRDefault="007564F4" w:rsidP="007564F4">
      <w:pPr>
        <w:tabs>
          <w:tab w:val="left" w:pos="851"/>
        </w:tabs>
        <w:ind w:left="851"/>
        <w:rPr>
          <w:sz w:val="24"/>
          <w:szCs w:val="24"/>
        </w:rPr>
      </w:pPr>
      <w:r>
        <w:rPr>
          <w:sz w:val="24"/>
          <w:szCs w:val="24"/>
        </w:rPr>
        <w:t>2. august 2019</w:t>
      </w:r>
    </w:p>
    <w:p w:rsidR="007564F4" w:rsidRPr="00071814" w:rsidRDefault="007564F4" w:rsidP="007564F4">
      <w:pPr>
        <w:tabs>
          <w:tab w:val="left" w:pos="851"/>
        </w:tabs>
        <w:ind w:left="851"/>
        <w:rPr>
          <w:sz w:val="24"/>
          <w:szCs w:val="24"/>
        </w:rPr>
      </w:pPr>
    </w:p>
    <w:p w:rsidR="007564F4" w:rsidRPr="00071814" w:rsidRDefault="007564F4" w:rsidP="007564F4">
      <w:pPr>
        <w:tabs>
          <w:tab w:val="left" w:pos="851"/>
        </w:tabs>
        <w:ind w:left="851" w:hanging="851"/>
        <w:rPr>
          <w:b/>
          <w:sz w:val="24"/>
          <w:szCs w:val="24"/>
        </w:rPr>
      </w:pPr>
      <w:r w:rsidRPr="00071814">
        <w:rPr>
          <w:b/>
          <w:sz w:val="24"/>
          <w:szCs w:val="24"/>
        </w:rPr>
        <w:t>10.</w:t>
      </w:r>
      <w:r w:rsidRPr="00071814">
        <w:rPr>
          <w:b/>
          <w:sz w:val="24"/>
          <w:szCs w:val="24"/>
        </w:rPr>
        <w:tab/>
        <w:t>DATO FOR ÆNDRING AF TEKSTEN</w:t>
      </w:r>
    </w:p>
    <w:p w:rsidR="009260DE" w:rsidRPr="007564F4" w:rsidRDefault="00F46E38" w:rsidP="001A0E29">
      <w:pPr>
        <w:ind w:firstLine="851"/>
      </w:pPr>
      <w:r>
        <w:rPr>
          <w:sz w:val="24"/>
          <w:szCs w:val="24"/>
        </w:rPr>
        <w:t>6. januar 2025</w:t>
      </w:r>
    </w:p>
    <w:sectPr w:rsidR="009260DE" w:rsidRPr="007564F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5A2" w:rsidRDefault="004B15A2">
      <w:r>
        <w:separator/>
      </w:r>
    </w:p>
  </w:endnote>
  <w:endnote w:type="continuationSeparator" w:id="0">
    <w:p w:rsidR="004B15A2" w:rsidRDefault="004B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A2" w:rsidRDefault="004B15A2">
    <w:pPr>
      <w:pStyle w:val="Sidefod"/>
      <w:pBdr>
        <w:bottom w:val="single" w:sz="6" w:space="1" w:color="auto"/>
      </w:pBdr>
    </w:pPr>
  </w:p>
  <w:p w:rsidR="004B15A2" w:rsidRDefault="004B15A2" w:rsidP="00C42586">
    <w:pPr>
      <w:pStyle w:val="Sidefod"/>
      <w:tabs>
        <w:tab w:val="clear" w:pos="4819"/>
        <w:tab w:val="left" w:pos="8505"/>
      </w:tabs>
      <w:rPr>
        <w:i/>
        <w:sz w:val="18"/>
        <w:szCs w:val="18"/>
      </w:rPr>
    </w:pPr>
  </w:p>
  <w:p w:rsidR="004B15A2" w:rsidRPr="00B373D7" w:rsidRDefault="004B15A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Emtricitabine-Tenofovir disoproxil Accordpharma, filmovertrukne tabletter 200+245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5A2" w:rsidRDefault="004B15A2">
      <w:r>
        <w:separator/>
      </w:r>
    </w:p>
  </w:footnote>
  <w:footnote w:type="continuationSeparator" w:id="0">
    <w:p w:rsidR="004B15A2" w:rsidRDefault="004B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115"/>
    <w:multiLevelType w:val="hybridMultilevel"/>
    <w:tmpl w:val="0AEAF5FA"/>
    <w:lvl w:ilvl="0" w:tplc="FB1E3D24">
      <w:numFmt w:val="bullet"/>
      <w:lvlText w:val=""/>
      <w:lvlJc w:val="left"/>
      <w:pPr>
        <w:ind w:left="904" w:hanging="567"/>
      </w:pPr>
      <w:rPr>
        <w:rFonts w:ascii="Symbol" w:eastAsia="Symbol" w:hAnsi="Symbol" w:cs="Symbol" w:hint="default"/>
        <w:w w:val="100"/>
        <w:sz w:val="22"/>
        <w:szCs w:val="22"/>
      </w:rPr>
    </w:lvl>
    <w:lvl w:ilvl="1" w:tplc="F7D669FC">
      <w:numFmt w:val="bullet"/>
      <w:lvlText w:val=""/>
      <w:lvlJc w:val="left"/>
      <w:pPr>
        <w:ind w:left="1778" w:hanging="360"/>
      </w:pPr>
      <w:rPr>
        <w:rFonts w:ascii="Symbol" w:eastAsia="Symbol" w:hAnsi="Symbol" w:cs="Symbol" w:hint="default"/>
        <w:w w:val="100"/>
        <w:sz w:val="22"/>
        <w:szCs w:val="22"/>
      </w:rPr>
    </w:lvl>
    <w:lvl w:ilvl="2" w:tplc="6C404E96">
      <w:numFmt w:val="bullet"/>
      <w:lvlText w:val="•"/>
      <w:lvlJc w:val="left"/>
      <w:pPr>
        <w:ind w:left="2709" w:hanging="360"/>
      </w:pPr>
      <w:rPr>
        <w:rFonts w:hint="default"/>
      </w:rPr>
    </w:lvl>
    <w:lvl w:ilvl="3" w:tplc="66041C86">
      <w:numFmt w:val="bullet"/>
      <w:lvlText w:val="•"/>
      <w:lvlJc w:val="left"/>
      <w:pPr>
        <w:ind w:left="3639" w:hanging="360"/>
      </w:pPr>
      <w:rPr>
        <w:rFonts w:hint="default"/>
      </w:rPr>
    </w:lvl>
    <w:lvl w:ilvl="4" w:tplc="817CDFBE">
      <w:numFmt w:val="bullet"/>
      <w:lvlText w:val="•"/>
      <w:lvlJc w:val="left"/>
      <w:pPr>
        <w:ind w:left="4568" w:hanging="360"/>
      </w:pPr>
      <w:rPr>
        <w:rFonts w:hint="default"/>
      </w:rPr>
    </w:lvl>
    <w:lvl w:ilvl="5" w:tplc="38440E68">
      <w:numFmt w:val="bullet"/>
      <w:lvlText w:val="•"/>
      <w:lvlJc w:val="left"/>
      <w:pPr>
        <w:ind w:left="5498" w:hanging="360"/>
      </w:pPr>
      <w:rPr>
        <w:rFonts w:hint="default"/>
      </w:rPr>
    </w:lvl>
    <w:lvl w:ilvl="6" w:tplc="F3BE5974">
      <w:numFmt w:val="bullet"/>
      <w:lvlText w:val="•"/>
      <w:lvlJc w:val="left"/>
      <w:pPr>
        <w:ind w:left="6428" w:hanging="360"/>
      </w:pPr>
      <w:rPr>
        <w:rFonts w:hint="default"/>
      </w:rPr>
    </w:lvl>
    <w:lvl w:ilvl="7" w:tplc="1D6E4C4C">
      <w:numFmt w:val="bullet"/>
      <w:lvlText w:val="•"/>
      <w:lvlJc w:val="left"/>
      <w:pPr>
        <w:ind w:left="7357" w:hanging="360"/>
      </w:pPr>
      <w:rPr>
        <w:rFonts w:hint="default"/>
      </w:rPr>
    </w:lvl>
    <w:lvl w:ilvl="8" w:tplc="72022CF2">
      <w:numFmt w:val="bullet"/>
      <w:lvlText w:val="•"/>
      <w:lvlJc w:val="left"/>
      <w:pPr>
        <w:ind w:left="8287" w:hanging="360"/>
      </w:pPr>
      <w:rPr>
        <w:rFonts w:hint="default"/>
      </w:rPr>
    </w:lvl>
  </w:abstractNum>
  <w:abstractNum w:abstractNumId="1" w15:restartNumberingAfterBreak="0">
    <w:nsid w:val="14721100"/>
    <w:multiLevelType w:val="hybridMultilevel"/>
    <w:tmpl w:val="CC9E5452"/>
    <w:lvl w:ilvl="0" w:tplc="52249C84">
      <w:numFmt w:val="bullet"/>
      <w:lvlText w:val=""/>
      <w:lvlJc w:val="left"/>
      <w:pPr>
        <w:ind w:left="1472" w:hanging="567"/>
      </w:pPr>
      <w:rPr>
        <w:rFonts w:ascii="Symbol" w:eastAsia="Symbol" w:hAnsi="Symbol" w:cs="Symbol" w:hint="default"/>
        <w:w w:val="100"/>
        <w:sz w:val="22"/>
        <w:szCs w:val="22"/>
      </w:rPr>
    </w:lvl>
    <w:lvl w:ilvl="1" w:tplc="174ADC34">
      <w:numFmt w:val="bullet"/>
      <w:lvlText w:val="•"/>
      <w:lvlJc w:val="left"/>
      <w:pPr>
        <w:ind w:left="2346" w:hanging="567"/>
      </w:pPr>
      <w:rPr>
        <w:rFonts w:hint="default"/>
      </w:rPr>
    </w:lvl>
    <w:lvl w:ilvl="2" w:tplc="359C1EDA">
      <w:numFmt w:val="bullet"/>
      <w:lvlText w:val="•"/>
      <w:lvlJc w:val="left"/>
      <w:pPr>
        <w:ind w:left="3213" w:hanging="567"/>
      </w:pPr>
      <w:rPr>
        <w:rFonts w:hint="default"/>
      </w:rPr>
    </w:lvl>
    <w:lvl w:ilvl="3" w:tplc="15025E14">
      <w:numFmt w:val="bullet"/>
      <w:lvlText w:val="•"/>
      <w:lvlJc w:val="left"/>
      <w:pPr>
        <w:ind w:left="4079" w:hanging="567"/>
      </w:pPr>
      <w:rPr>
        <w:rFonts w:hint="default"/>
      </w:rPr>
    </w:lvl>
    <w:lvl w:ilvl="4" w:tplc="7E0CF38A">
      <w:numFmt w:val="bullet"/>
      <w:lvlText w:val="•"/>
      <w:lvlJc w:val="left"/>
      <w:pPr>
        <w:ind w:left="4946" w:hanging="567"/>
      </w:pPr>
      <w:rPr>
        <w:rFonts w:hint="default"/>
      </w:rPr>
    </w:lvl>
    <w:lvl w:ilvl="5" w:tplc="90EC188C">
      <w:numFmt w:val="bullet"/>
      <w:lvlText w:val="•"/>
      <w:lvlJc w:val="left"/>
      <w:pPr>
        <w:ind w:left="5813" w:hanging="567"/>
      </w:pPr>
      <w:rPr>
        <w:rFonts w:hint="default"/>
      </w:rPr>
    </w:lvl>
    <w:lvl w:ilvl="6" w:tplc="357E86F6">
      <w:numFmt w:val="bullet"/>
      <w:lvlText w:val="•"/>
      <w:lvlJc w:val="left"/>
      <w:pPr>
        <w:ind w:left="6679" w:hanging="567"/>
      </w:pPr>
      <w:rPr>
        <w:rFonts w:hint="default"/>
      </w:rPr>
    </w:lvl>
    <w:lvl w:ilvl="7" w:tplc="291C6ACE">
      <w:numFmt w:val="bullet"/>
      <w:lvlText w:val="•"/>
      <w:lvlJc w:val="left"/>
      <w:pPr>
        <w:ind w:left="7546" w:hanging="567"/>
      </w:pPr>
      <w:rPr>
        <w:rFonts w:hint="default"/>
      </w:rPr>
    </w:lvl>
    <w:lvl w:ilvl="8" w:tplc="F85463F0">
      <w:numFmt w:val="bullet"/>
      <w:lvlText w:val="•"/>
      <w:lvlJc w:val="left"/>
      <w:pPr>
        <w:ind w:left="8413" w:hanging="567"/>
      </w:pPr>
      <w:rPr>
        <w:rFont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B27114"/>
    <w:multiLevelType w:val="hybridMultilevel"/>
    <w:tmpl w:val="CF8CA486"/>
    <w:lvl w:ilvl="0" w:tplc="36082F44">
      <w:start w:val="1"/>
      <w:numFmt w:val="decimal"/>
      <w:lvlText w:val="%1."/>
      <w:lvlJc w:val="left"/>
      <w:pPr>
        <w:ind w:left="905" w:hanging="567"/>
      </w:pPr>
      <w:rPr>
        <w:rFonts w:ascii="Times New Roman" w:eastAsia="Times New Roman" w:hAnsi="Times New Roman" w:cs="Times New Roman" w:hint="default"/>
        <w:w w:val="100"/>
        <w:sz w:val="22"/>
        <w:szCs w:val="22"/>
      </w:rPr>
    </w:lvl>
    <w:lvl w:ilvl="1" w:tplc="C01C866E">
      <w:numFmt w:val="bullet"/>
      <w:lvlText w:val="•"/>
      <w:lvlJc w:val="left"/>
      <w:pPr>
        <w:ind w:left="1824" w:hanging="567"/>
      </w:pPr>
      <w:rPr>
        <w:rFonts w:hint="default"/>
      </w:rPr>
    </w:lvl>
    <w:lvl w:ilvl="2" w:tplc="B75A76F4">
      <w:numFmt w:val="bullet"/>
      <w:lvlText w:val="•"/>
      <w:lvlJc w:val="left"/>
      <w:pPr>
        <w:ind w:left="2749" w:hanging="567"/>
      </w:pPr>
      <w:rPr>
        <w:rFonts w:hint="default"/>
      </w:rPr>
    </w:lvl>
    <w:lvl w:ilvl="3" w:tplc="F504371C">
      <w:numFmt w:val="bullet"/>
      <w:lvlText w:val="•"/>
      <w:lvlJc w:val="left"/>
      <w:pPr>
        <w:ind w:left="3673" w:hanging="567"/>
      </w:pPr>
      <w:rPr>
        <w:rFonts w:hint="default"/>
      </w:rPr>
    </w:lvl>
    <w:lvl w:ilvl="4" w:tplc="B60A28F2">
      <w:numFmt w:val="bullet"/>
      <w:lvlText w:val="•"/>
      <w:lvlJc w:val="left"/>
      <w:pPr>
        <w:ind w:left="4598" w:hanging="567"/>
      </w:pPr>
      <w:rPr>
        <w:rFonts w:hint="default"/>
      </w:rPr>
    </w:lvl>
    <w:lvl w:ilvl="5" w:tplc="287EE816">
      <w:numFmt w:val="bullet"/>
      <w:lvlText w:val="•"/>
      <w:lvlJc w:val="left"/>
      <w:pPr>
        <w:ind w:left="5523" w:hanging="567"/>
      </w:pPr>
      <w:rPr>
        <w:rFonts w:hint="default"/>
      </w:rPr>
    </w:lvl>
    <w:lvl w:ilvl="6" w:tplc="2708BC16">
      <w:numFmt w:val="bullet"/>
      <w:lvlText w:val="•"/>
      <w:lvlJc w:val="left"/>
      <w:pPr>
        <w:ind w:left="6447" w:hanging="567"/>
      </w:pPr>
      <w:rPr>
        <w:rFonts w:hint="default"/>
      </w:rPr>
    </w:lvl>
    <w:lvl w:ilvl="7" w:tplc="0942A61C">
      <w:numFmt w:val="bullet"/>
      <w:lvlText w:val="•"/>
      <w:lvlJc w:val="left"/>
      <w:pPr>
        <w:ind w:left="7372" w:hanging="567"/>
      </w:pPr>
      <w:rPr>
        <w:rFonts w:hint="default"/>
      </w:rPr>
    </w:lvl>
    <w:lvl w:ilvl="8" w:tplc="EA3CA4B6">
      <w:numFmt w:val="bullet"/>
      <w:lvlText w:val="•"/>
      <w:lvlJc w:val="left"/>
      <w:pPr>
        <w:ind w:left="8297" w:hanging="567"/>
      </w:pPr>
      <w:rPr>
        <w:rFonts w:hint="default"/>
      </w:rPr>
    </w:lvl>
  </w:abstractNum>
  <w:abstractNum w:abstractNumId="4" w15:restartNumberingAfterBreak="0">
    <w:nsid w:val="24AE6DFC"/>
    <w:multiLevelType w:val="hybridMultilevel"/>
    <w:tmpl w:val="6AE8A3D6"/>
    <w:lvl w:ilvl="0" w:tplc="C8D4FD08">
      <w:start w:val="1"/>
      <w:numFmt w:val="upperLetter"/>
      <w:lvlText w:val="%1."/>
      <w:lvlJc w:val="left"/>
      <w:pPr>
        <w:ind w:left="904" w:hanging="567"/>
      </w:pPr>
      <w:rPr>
        <w:rFonts w:ascii="Times New Roman" w:eastAsia="Times New Roman" w:hAnsi="Times New Roman" w:cs="Times New Roman" w:hint="default"/>
        <w:b/>
        <w:bCs/>
        <w:spacing w:val="-2"/>
        <w:w w:val="100"/>
        <w:sz w:val="22"/>
        <w:szCs w:val="22"/>
      </w:rPr>
    </w:lvl>
    <w:lvl w:ilvl="1" w:tplc="C81A47F8">
      <w:start w:val="1"/>
      <w:numFmt w:val="upperLetter"/>
      <w:lvlText w:val="%2."/>
      <w:lvlJc w:val="left"/>
      <w:pPr>
        <w:ind w:left="4151" w:hanging="269"/>
        <w:jc w:val="right"/>
      </w:pPr>
      <w:rPr>
        <w:rFonts w:ascii="Times New Roman" w:eastAsia="Times New Roman" w:hAnsi="Times New Roman" w:cs="Times New Roman" w:hint="default"/>
        <w:b/>
        <w:bCs/>
        <w:spacing w:val="-2"/>
        <w:w w:val="100"/>
        <w:sz w:val="22"/>
        <w:szCs w:val="22"/>
      </w:rPr>
    </w:lvl>
    <w:lvl w:ilvl="2" w:tplc="471A0282">
      <w:numFmt w:val="bullet"/>
      <w:lvlText w:val="•"/>
      <w:lvlJc w:val="left"/>
      <w:pPr>
        <w:ind w:left="4825" w:hanging="269"/>
      </w:pPr>
      <w:rPr>
        <w:rFonts w:hint="default"/>
      </w:rPr>
    </w:lvl>
    <w:lvl w:ilvl="3" w:tplc="8672661C">
      <w:numFmt w:val="bullet"/>
      <w:lvlText w:val="•"/>
      <w:lvlJc w:val="left"/>
      <w:pPr>
        <w:ind w:left="5490" w:hanging="269"/>
      </w:pPr>
      <w:rPr>
        <w:rFonts w:hint="default"/>
      </w:rPr>
    </w:lvl>
    <w:lvl w:ilvl="4" w:tplc="A5785D14">
      <w:numFmt w:val="bullet"/>
      <w:lvlText w:val="•"/>
      <w:lvlJc w:val="left"/>
      <w:pPr>
        <w:ind w:left="6155" w:hanging="269"/>
      </w:pPr>
      <w:rPr>
        <w:rFonts w:hint="default"/>
      </w:rPr>
    </w:lvl>
    <w:lvl w:ilvl="5" w:tplc="29760F6E">
      <w:numFmt w:val="bullet"/>
      <w:lvlText w:val="•"/>
      <w:lvlJc w:val="left"/>
      <w:pPr>
        <w:ind w:left="6820" w:hanging="269"/>
      </w:pPr>
      <w:rPr>
        <w:rFonts w:hint="default"/>
      </w:rPr>
    </w:lvl>
    <w:lvl w:ilvl="6" w:tplc="352E9940">
      <w:numFmt w:val="bullet"/>
      <w:lvlText w:val="•"/>
      <w:lvlJc w:val="left"/>
      <w:pPr>
        <w:ind w:left="7485" w:hanging="269"/>
      </w:pPr>
      <w:rPr>
        <w:rFonts w:hint="default"/>
      </w:rPr>
    </w:lvl>
    <w:lvl w:ilvl="7" w:tplc="AF409C3E">
      <w:numFmt w:val="bullet"/>
      <w:lvlText w:val="•"/>
      <w:lvlJc w:val="left"/>
      <w:pPr>
        <w:ind w:left="8150" w:hanging="269"/>
      </w:pPr>
      <w:rPr>
        <w:rFonts w:hint="default"/>
      </w:rPr>
    </w:lvl>
    <w:lvl w:ilvl="8" w:tplc="A30A53D6">
      <w:numFmt w:val="bullet"/>
      <w:lvlText w:val="•"/>
      <w:lvlJc w:val="left"/>
      <w:pPr>
        <w:ind w:left="8816" w:hanging="269"/>
      </w:pPr>
      <w:rPr>
        <w:rFonts w:hint="default"/>
      </w:rPr>
    </w:lvl>
  </w:abstractNum>
  <w:abstractNum w:abstractNumId="5" w15:restartNumberingAfterBreak="0">
    <w:nsid w:val="29C65C17"/>
    <w:multiLevelType w:val="hybridMultilevel"/>
    <w:tmpl w:val="719845F8"/>
    <w:lvl w:ilvl="0" w:tplc="89AAD1EC">
      <w:numFmt w:val="bullet"/>
      <w:lvlText w:val="o"/>
      <w:lvlJc w:val="left"/>
      <w:pPr>
        <w:ind w:left="1471" w:hanging="567"/>
      </w:pPr>
      <w:rPr>
        <w:rFonts w:ascii="Courier New" w:eastAsia="Courier New" w:hAnsi="Courier New" w:cs="Courier New" w:hint="default"/>
        <w:w w:val="100"/>
        <w:sz w:val="22"/>
        <w:szCs w:val="22"/>
      </w:rPr>
    </w:lvl>
    <w:lvl w:ilvl="1" w:tplc="C9DEBC40">
      <w:numFmt w:val="bullet"/>
      <w:lvlText w:val="•"/>
      <w:lvlJc w:val="left"/>
      <w:pPr>
        <w:ind w:left="2346" w:hanging="567"/>
      </w:pPr>
      <w:rPr>
        <w:rFonts w:hint="default"/>
      </w:rPr>
    </w:lvl>
    <w:lvl w:ilvl="2" w:tplc="97BEECD8">
      <w:numFmt w:val="bullet"/>
      <w:lvlText w:val="•"/>
      <w:lvlJc w:val="left"/>
      <w:pPr>
        <w:ind w:left="3213" w:hanging="567"/>
      </w:pPr>
      <w:rPr>
        <w:rFonts w:hint="default"/>
      </w:rPr>
    </w:lvl>
    <w:lvl w:ilvl="3" w:tplc="9C808B90">
      <w:numFmt w:val="bullet"/>
      <w:lvlText w:val="•"/>
      <w:lvlJc w:val="left"/>
      <w:pPr>
        <w:ind w:left="4079" w:hanging="567"/>
      </w:pPr>
      <w:rPr>
        <w:rFonts w:hint="default"/>
      </w:rPr>
    </w:lvl>
    <w:lvl w:ilvl="4" w:tplc="B4B4CDB8">
      <w:numFmt w:val="bullet"/>
      <w:lvlText w:val="•"/>
      <w:lvlJc w:val="left"/>
      <w:pPr>
        <w:ind w:left="4946" w:hanging="567"/>
      </w:pPr>
      <w:rPr>
        <w:rFonts w:hint="default"/>
      </w:rPr>
    </w:lvl>
    <w:lvl w:ilvl="5" w:tplc="81F2A9DE">
      <w:numFmt w:val="bullet"/>
      <w:lvlText w:val="•"/>
      <w:lvlJc w:val="left"/>
      <w:pPr>
        <w:ind w:left="5813" w:hanging="567"/>
      </w:pPr>
      <w:rPr>
        <w:rFonts w:hint="default"/>
      </w:rPr>
    </w:lvl>
    <w:lvl w:ilvl="6" w:tplc="1ADA818E">
      <w:numFmt w:val="bullet"/>
      <w:lvlText w:val="•"/>
      <w:lvlJc w:val="left"/>
      <w:pPr>
        <w:ind w:left="6679" w:hanging="567"/>
      </w:pPr>
      <w:rPr>
        <w:rFonts w:hint="default"/>
      </w:rPr>
    </w:lvl>
    <w:lvl w:ilvl="7" w:tplc="84508B84">
      <w:numFmt w:val="bullet"/>
      <w:lvlText w:val="•"/>
      <w:lvlJc w:val="left"/>
      <w:pPr>
        <w:ind w:left="7546" w:hanging="567"/>
      </w:pPr>
      <w:rPr>
        <w:rFonts w:hint="default"/>
      </w:rPr>
    </w:lvl>
    <w:lvl w:ilvl="8" w:tplc="D3889EFC">
      <w:numFmt w:val="bullet"/>
      <w:lvlText w:val="•"/>
      <w:lvlJc w:val="left"/>
      <w:pPr>
        <w:ind w:left="8413" w:hanging="567"/>
      </w:pPr>
      <w:rPr>
        <w:rFonts w:hint="default"/>
      </w:rPr>
    </w:lvl>
  </w:abstractNum>
  <w:abstractNum w:abstractNumId="6" w15:restartNumberingAfterBreak="0">
    <w:nsid w:val="2AA3723C"/>
    <w:multiLevelType w:val="hybridMultilevel"/>
    <w:tmpl w:val="8B548CA4"/>
    <w:lvl w:ilvl="0" w:tplc="DF402568">
      <w:numFmt w:val="bullet"/>
      <w:lvlText w:val="-"/>
      <w:lvlJc w:val="left"/>
      <w:pPr>
        <w:ind w:left="905" w:hanging="567"/>
      </w:pPr>
      <w:rPr>
        <w:rFonts w:ascii="Times New Roman" w:eastAsia="Times New Roman" w:hAnsi="Times New Roman" w:cs="Times New Roman" w:hint="default"/>
        <w:w w:val="100"/>
        <w:sz w:val="22"/>
        <w:szCs w:val="22"/>
      </w:rPr>
    </w:lvl>
    <w:lvl w:ilvl="1" w:tplc="73BC4D50">
      <w:numFmt w:val="bullet"/>
      <w:lvlText w:val="•"/>
      <w:lvlJc w:val="left"/>
      <w:pPr>
        <w:ind w:left="1824" w:hanging="567"/>
      </w:pPr>
      <w:rPr>
        <w:rFonts w:hint="default"/>
      </w:rPr>
    </w:lvl>
    <w:lvl w:ilvl="2" w:tplc="7FEAD998">
      <w:numFmt w:val="bullet"/>
      <w:lvlText w:val="•"/>
      <w:lvlJc w:val="left"/>
      <w:pPr>
        <w:ind w:left="2749" w:hanging="567"/>
      </w:pPr>
      <w:rPr>
        <w:rFonts w:hint="default"/>
      </w:rPr>
    </w:lvl>
    <w:lvl w:ilvl="3" w:tplc="53985464">
      <w:numFmt w:val="bullet"/>
      <w:lvlText w:val="•"/>
      <w:lvlJc w:val="left"/>
      <w:pPr>
        <w:ind w:left="3673" w:hanging="567"/>
      </w:pPr>
      <w:rPr>
        <w:rFonts w:hint="default"/>
      </w:rPr>
    </w:lvl>
    <w:lvl w:ilvl="4" w:tplc="DBCE01C0">
      <w:numFmt w:val="bullet"/>
      <w:lvlText w:val="•"/>
      <w:lvlJc w:val="left"/>
      <w:pPr>
        <w:ind w:left="4598" w:hanging="567"/>
      </w:pPr>
      <w:rPr>
        <w:rFonts w:hint="default"/>
      </w:rPr>
    </w:lvl>
    <w:lvl w:ilvl="5" w:tplc="7C9620E6">
      <w:numFmt w:val="bullet"/>
      <w:lvlText w:val="•"/>
      <w:lvlJc w:val="left"/>
      <w:pPr>
        <w:ind w:left="5523" w:hanging="567"/>
      </w:pPr>
      <w:rPr>
        <w:rFonts w:hint="default"/>
      </w:rPr>
    </w:lvl>
    <w:lvl w:ilvl="6" w:tplc="6CA21B4C">
      <w:numFmt w:val="bullet"/>
      <w:lvlText w:val="•"/>
      <w:lvlJc w:val="left"/>
      <w:pPr>
        <w:ind w:left="6447" w:hanging="567"/>
      </w:pPr>
      <w:rPr>
        <w:rFonts w:hint="default"/>
      </w:rPr>
    </w:lvl>
    <w:lvl w:ilvl="7" w:tplc="785E2BB8">
      <w:numFmt w:val="bullet"/>
      <w:lvlText w:val="•"/>
      <w:lvlJc w:val="left"/>
      <w:pPr>
        <w:ind w:left="7372" w:hanging="567"/>
      </w:pPr>
      <w:rPr>
        <w:rFonts w:hint="default"/>
      </w:rPr>
    </w:lvl>
    <w:lvl w:ilvl="8" w:tplc="7A02257C">
      <w:numFmt w:val="bullet"/>
      <w:lvlText w:val="•"/>
      <w:lvlJc w:val="left"/>
      <w:pPr>
        <w:ind w:left="8297" w:hanging="567"/>
      </w:pPr>
      <w:rPr>
        <w:rFont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090A6B"/>
    <w:multiLevelType w:val="hybridMultilevel"/>
    <w:tmpl w:val="A4F84D02"/>
    <w:lvl w:ilvl="0" w:tplc="9D80DFF2">
      <w:numFmt w:val="bullet"/>
      <w:lvlText w:val=""/>
      <w:lvlJc w:val="left"/>
      <w:pPr>
        <w:ind w:left="1471" w:hanging="567"/>
      </w:pPr>
      <w:rPr>
        <w:rFonts w:ascii="Symbol" w:eastAsia="Symbol" w:hAnsi="Symbol" w:cs="Symbol" w:hint="default"/>
        <w:w w:val="100"/>
        <w:sz w:val="22"/>
        <w:szCs w:val="22"/>
      </w:rPr>
    </w:lvl>
    <w:lvl w:ilvl="1" w:tplc="E68E5DDE">
      <w:numFmt w:val="bullet"/>
      <w:lvlText w:val="•"/>
      <w:lvlJc w:val="left"/>
      <w:pPr>
        <w:ind w:left="2346" w:hanging="567"/>
      </w:pPr>
      <w:rPr>
        <w:rFonts w:hint="default"/>
      </w:rPr>
    </w:lvl>
    <w:lvl w:ilvl="2" w:tplc="63E4AFCA">
      <w:numFmt w:val="bullet"/>
      <w:lvlText w:val="•"/>
      <w:lvlJc w:val="left"/>
      <w:pPr>
        <w:ind w:left="3213" w:hanging="567"/>
      </w:pPr>
      <w:rPr>
        <w:rFonts w:hint="default"/>
      </w:rPr>
    </w:lvl>
    <w:lvl w:ilvl="3" w:tplc="793EB274">
      <w:numFmt w:val="bullet"/>
      <w:lvlText w:val="•"/>
      <w:lvlJc w:val="left"/>
      <w:pPr>
        <w:ind w:left="4079" w:hanging="567"/>
      </w:pPr>
      <w:rPr>
        <w:rFonts w:hint="default"/>
      </w:rPr>
    </w:lvl>
    <w:lvl w:ilvl="4" w:tplc="7D324862">
      <w:numFmt w:val="bullet"/>
      <w:lvlText w:val="•"/>
      <w:lvlJc w:val="left"/>
      <w:pPr>
        <w:ind w:left="4946" w:hanging="567"/>
      </w:pPr>
      <w:rPr>
        <w:rFonts w:hint="default"/>
      </w:rPr>
    </w:lvl>
    <w:lvl w:ilvl="5" w:tplc="7010AC58">
      <w:numFmt w:val="bullet"/>
      <w:lvlText w:val="•"/>
      <w:lvlJc w:val="left"/>
      <w:pPr>
        <w:ind w:left="5813" w:hanging="567"/>
      </w:pPr>
      <w:rPr>
        <w:rFonts w:hint="default"/>
      </w:rPr>
    </w:lvl>
    <w:lvl w:ilvl="6" w:tplc="2814E018">
      <w:numFmt w:val="bullet"/>
      <w:lvlText w:val="•"/>
      <w:lvlJc w:val="left"/>
      <w:pPr>
        <w:ind w:left="6679" w:hanging="567"/>
      </w:pPr>
      <w:rPr>
        <w:rFonts w:hint="default"/>
      </w:rPr>
    </w:lvl>
    <w:lvl w:ilvl="7" w:tplc="B0482BD0">
      <w:numFmt w:val="bullet"/>
      <w:lvlText w:val="•"/>
      <w:lvlJc w:val="left"/>
      <w:pPr>
        <w:ind w:left="7546" w:hanging="567"/>
      </w:pPr>
      <w:rPr>
        <w:rFonts w:hint="default"/>
      </w:rPr>
    </w:lvl>
    <w:lvl w:ilvl="8" w:tplc="5198CC82">
      <w:numFmt w:val="bullet"/>
      <w:lvlText w:val="•"/>
      <w:lvlJc w:val="left"/>
      <w:pPr>
        <w:ind w:left="8413" w:hanging="567"/>
      </w:pPr>
      <w:rPr>
        <w:rFont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3E02D1"/>
    <w:multiLevelType w:val="multilevel"/>
    <w:tmpl w:val="50983900"/>
    <w:lvl w:ilvl="0">
      <w:start w:val="1"/>
      <w:numFmt w:val="decimal"/>
      <w:lvlText w:val="%1."/>
      <w:lvlJc w:val="left"/>
      <w:pPr>
        <w:ind w:left="904" w:hanging="567"/>
      </w:pPr>
      <w:rPr>
        <w:rFonts w:ascii="Times New Roman" w:eastAsia="Times New Roman" w:hAnsi="Times New Roman" w:cs="Times New Roman" w:hint="default"/>
        <w:b/>
        <w:bCs/>
        <w:w w:val="100"/>
        <w:sz w:val="22"/>
        <w:szCs w:val="22"/>
      </w:rPr>
    </w:lvl>
    <w:lvl w:ilvl="1">
      <w:start w:val="1"/>
      <w:numFmt w:val="decimal"/>
      <w:lvlText w:val="%1.%2"/>
      <w:lvlJc w:val="left"/>
      <w:pPr>
        <w:ind w:left="904" w:hanging="567"/>
      </w:pPr>
      <w:rPr>
        <w:rFonts w:ascii="Times New Roman" w:eastAsia="Times New Roman" w:hAnsi="Times New Roman" w:cs="Times New Roman" w:hint="default"/>
        <w:b/>
        <w:bCs/>
        <w:w w:val="100"/>
        <w:sz w:val="22"/>
        <w:szCs w:val="22"/>
      </w:rPr>
    </w:lvl>
    <w:lvl w:ilvl="2">
      <w:numFmt w:val="bullet"/>
      <w:lvlText w:val="•"/>
      <w:lvlJc w:val="left"/>
      <w:pPr>
        <w:ind w:left="2749" w:hanging="567"/>
      </w:pPr>
      <w:rPr>
        <w:rFonts w:hint="default"/>
      </w:rPr>
    </w:lvl>
    <w:lvl w:ilvl="3">
      <w:numFmt w:val="bullet"/>
      <w:lvlText w:val="•"/>
      <w:lvlJc w:val="left"/>
      <w:pPr>
        <w:ind w:left="3673" w:hanging="567"/>
      </w:pPr>
      <w:rPr>
        <w:rFonts w:hint="default"/>
      </w:rPr>
    </w:lvl>
    <w:lvl w:ilvl="4">
      <w:numFmt w:val="bullet"/>
      <w:lvlText w:val="•"/>
      <w:lvlJc w:val="left"/>
      <w:pPr>
        <w:ind w:left="4598" w:hanging="567"/>
      </w:pPr>
      <w:rPr>
        <w:rFonts w:hint="default"/>
      </w:rPr>
    </w:lvl>
    <w:lvl w:ilvl="5">
      <w:numFmt w:val="bullet"/>
      <w:lvlText w:val="•"/>
      <w:lvlJc w:val="left"/>
      <w:pPr>
        <w:ind w:left="5523" w:hanging="567"/>
      </w:pPr>
      <w:rPr>
        <w:rFonts w:hint="default"/>
      </w:rPr>
    </w:lvl>
    <w:lvl w:ilvl="6">
      <w:numFmt w:val="bullet"/>
      <w:lvlText w:val="•"/>
      <w:lvlJc w:val="left"/>
      <w:pPr>
        <w:ind w:left="6447" w:hanging="567"/>
      </w:pPr>
      <w:rPr>
        <w:rFonts w:hint="default"/>
      </w:rPr>
    </w:lvl>
    <w:lvl w:ilvl="7">
      <w:numFmt w:val="bullet"/>
      <w:lvlText w:val="•"/>
      <w:lvlJc w:val="left"/>
      <w:pPr>
        <w:ind w:left="7372" w:hanging="567"/>
      </w:pPr>
      <w:rPr>
        <w:rFonts w:hint="default"/>
      </w:rPr>
    </w:lvl>
    <w:lvl w:ilvl="8">
      <w:numFmt w:val="bullet"/>
      <w:lvlText w:val="•"/>
      <w:lvlJc w:val="left"/>
      <w:pPr>
        <w:ind w:left="8297" w:hanging="567"/>
      </w:pPr>
      <w:rPr>
        <w:rFonts w:hint="default"/>
      </w:rPr>
    </w:lvl>
  </w:abstractNum>
  <w:abstractNum w:abstractNumId="1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183975"/>
    <w:multiLevelType w:val="hybridMultilevel"/>
    <w:tmpl w:val="D44AD810"/>
    <w:lvl w:ilvl="0" w:tplc="5A48E7A2">
      <w:start w:val="1"/>
      <w:numFmt w:val="upperLetter"/>
      <w:lvlText w:val="%1."/>
      <w:lvlJc w:val="left"/>
      <w:pPr>
        <w:ind w:left="2039" w:hanging="569"/>
      </w:pPr>
      <w:rPr>
        <w:rFonts w:ascii="Times New Roman" w:eastAsia="Times New Roman" w:hAnsi="Times New Roman" w:cs="Times New Roman" w:hint="default"/>
        <w:b/>
        <w:bCs/>
        <w:spacing w:val="-2"/>
        <w:w w:val="100"/>
        <w:sz w:val="22"/>
        <w:szCs w:val="22"/>
      </w:rPr>
    </w:lvl>
    <w:lvl w:ilvl="1" w:tplc="E46CB13A">
      <w:numFmt w:val="bullet"/>
      <w:lvlText w:val="•"/>
      <w:lvlJc w:val="left"/>
      <w:pPr>
        <w:ind w:left="2850" w:hanging="569"/>
      </w:pPr>
      <w:rPr>
        <w:rFonts w:hint="default"/>
      </w:rPr>
    </w:lvl>
    <w:lvl w:ilvl="2" w:tplc="6C707246">
      <w:numFmt w:val="bullet"/>
      <w:lvlText w:val="•"/>
      <w:lvlJc w:val="left"/>
      <w:pPr>
        <w:ind w:left="3661" w:hanging="569"/>
      </w:pPr>
      <w:rPr>
        <w:rFonts w:hint="default"/>
      </w:rPr>
    </w:lvl>
    <w:lvl w:ilvl="3" w:tplc="56CA00E8">
      <w:numFmt w:val="bullet"/>
      <w:lvlText w:val="•"/>
      <w:lvlJc w:val="left"/>
      <w:pPr>
        <w:ind w:left="4471" w:hanging="569"/>
      </w:pPr>
      <w:rPr>
        <w:rFonts w:hint="default"/>
      </w:rPr>
    </w:lvl>
    <w:lvl w:ilvl="4" w:tplc="423AF9E8">
      <w:numFmt w:val="bullet"/>
      <w:lvlText w:val="•"/>
      <w:lvlJc w:val="left"/>
      <w:pPr>
        <w:ind w:left="5282" w:hanging="569"/>
      </w:pPr>
      <w:rPr>
        <w:rFonts w:hint="default"/>
      </w:rPr>
    </w:lvl>
    <w:lvl w:ilvl="5" w:tplc="D3608F28">
      <w:numFmt w:val="bullet"/>
      <w:lvlText w:val="•"/>
      <w:lvlJc w:val="left"/>
      <w:pPr>
        <w:ind w:left="6093" w:hanging="569"/>
      </w:pPr>
      <w:rPr>
        <w:rFonts w:hint="default"/>
      </w:rPr>
    </w:lvl>
    <w:lvl w:ilvl="6" w:tplc="9188B8F6">
      <w:numFmt w:val="bullet"/>
      <w:lvlText w:val="•"/>
      <w:lvlJc w:val="left"/>
      <w:pPr>
        <w:ind w:left="6903" w:hanging="569"/>
      </w:pPr>
      <w:rPr>
        <w:rFonts w:hint="default"/>
      </w:rPr>
    </w:lvl>
    <w:lvl w:ilvl="7" w:tplc="384E9A5A">
      <w:numFmt w:val="bullet"/>
      <w:lvlText w:val="•"/>
      <w:lvlJc w:val="left"/>
      <w:pPr>
        <w:ind w:left="7714" w:hanging="569"/>
      </w:pPr>
      <w:rPr>
        <w:rFonts w:hint="default"/>
      </w:rPr>
    </w:lvl>
    <w:lvl w:ilvl="8" w:tplc="F1FCE9BA">
      <w:numFmt w:val="bullet"/>
      <w:lvlText w:val="•"/>
      <w:lvlJc w:val="left"/>
      <w:pPr>
        <w:ind w:left="8525" w:hanging="569"/>
      </w:pPr>
      <w:rPr>
        <w:rFonts w:hint="default"/>
      </w:rPr>
    </w:lvl>
  </w:abstractNum>
  <w:abstractNum w:abstractNumId="1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33612FC"/>
    <w:multiLevelType w:val="hybridMultilevel"/>
    <w:tmpl w:val="DC961598"/>
    <w:lvl w:ilvl="0" w:tplc="D8FA9DFC">
      <w:numFmt w:val="bullet"/>
      <w:lvlText w:val=""/>
      <w:lvlJc w:val="left"/>
      <w:pPr>
        <w:ind w:left="1471" w:hanging="567"/>
      </w:pPr>
      <w:rPr>
        <w:rFonts w:ascii="Symbol" w:eastAsia="Symbol" w:hAnsi="Symbol" w:cs="Symbol" w:hint="default"/>
        <w:w w:val="100"/>
        <w:sz w:val="22"/>
        <w:szCs w:val="22"/>
      </w:rPr>
    </w:lvl>
    <w:lvl w:ilvl="1" w:tplc="584E4140">
      <w:numFmt w:val="bullet"/>
      <w:lvlText w:val="•"/>
      <w:lvlJc w:val="left"/>
      <w:pPr>
        <w:ind w:left="2346" w:hanging="567"/>
      </w:pPr>
      <w:rPr>
        <w:rFonts w:hint="default"/>
      </w:rPr>
    </w:lvl>
    <w:lvl w:ilvl="2" w:tplc="BCFE04AE">
      <w:numFmt w:val="bullet"/>
      <w:lvlText w:val="•"/>
      <w:lvlJc w:val="left"/>
      <w:pPr>
        <w:ind w:left="3213" w:hanging="567"/>
      </w:pPr>
      <w:rPr>
        <w:rFonts w:hint="default"/>
      </w:rPr>
    </w:lvl>
    <w:lvl w:ilvl="3" w:tplc="F402846A">
      <w:numFmt w:val="bullet"/>
      <w:lvlText w:val="•"/>
      <w:lvlJc w:val="left"/>
      <w:pPr>
        <w:ind w:left="4079" w:hanging="567"/>
      </w:pPr>
      <w:rPr>
        <w:rFonts w:hint="default"/>
      </w:rPr>
    </w:lvl>
    <w:lvl w:ilvl="4" w:tplc="4B14D252">
      <w:numFmt w:val="bullet"/>
      <w:lvlText w:val="•"/>
      <w:lvlJc w:val="left"/>
      <w:pPr>
        <w:ind w:left="4946" w:hanging="567"/>
      </w:pPr>
      <w:rPr>
        <w:rFonts w:hint="default"/>
      </w:rPr>
    </w:lvl>
    <w:lvl w:ilvl="5" w:tplc="4B9875E2">
      <w:numFmt w:val="bullet"/>
      <w:lvlText w:val="•"/>
      <w:lvlJc w:val="left"/>
      <w:pPr>
        <w:ind w:left="5813" w:hanging="567"/>
      </w:pPr>
      <w:rPr>
        <w:rFonts w:hint="default"/>
      </w:rPr>
    </w:lvl>
    <w:lvl w:ilvl="6" w:tplc="FC46C884">
      <w:numFmt w:val="bullet"/>
      <w:lvlText w:val="•"/>
      <w:lvlJc w:val="left"/>
      <w:pPr>
        <w:ind w:left="6679" w:hanging="567"/>
      </w:pPr>
      <w:rPr>
        <w:rFonts w:hint="default"/>
      </w:rPr>
    </w:lvl>
    <w:lvl w:ilvl="7" w:tplc="040A3E94">
      <w:numFmt w:val="bullet"/>
      <w:lvlText w:val="•"/>
      <w:lvlJc w:val="left"/>
      <w:pPr>
        <w:ind w:left="7546" w:hanging="567"/>
      </w:pPr>
      <w:rPr>
        <w:rFonts w:hint="default"/>
      </w:rPr>
    </w:lvl>
    <w:lvl w:ilvl="8" w:tplc="3078B096">
      <w:numFmt w:val="bullet"/>
      <w:lvlText w:val="•"/>
      <w:lvlJc w:val="left"/>
      <w:pPr>
        <w:ind w:left="8413" w:hanging="567"/>
      </w:pPr>
      <w:rPr>
        <w:rFont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7273F35"/>
    <w:multiLevelType w:val="hybridMultilevel"/>
    <w:tmpl w:val="4ED6E16C"/>
    <w:lvl w:ilvl="0" w:tplc="85AC888E">
      <w:numFmt w:val="bullet"/>
      <w:lvlText w:val=""/>
      <w:lvlJc w:val="left"/>
      <w:pPr>
        <w:ind w:left="1471" w:hanging="567"/>
      </w:pPr>
      <w:rPr>
        <w:rFonts w:ascii="Symbol" w:eastAsia="Symbol" w:hAnsi="Symbol" w:cs="Symbol" w:hint="default"/>
        <w:w w:val="100"/>
        <w:sz w:val="22"/>
        <w:szCs w:val="22"/>
      </w:rPr>
    </w:lvl>
    <w:lvl w:ilvl="1" w:tplc="3C700BE6">
      <w:numFmt w:val="bullet"/>
      <w:lvlText w:val="•"/>
      <w:lvlJc w:val="left"/>
      <w:pPr>
        <w:ind w:left="2346" w:hanging="567"/>
      </w:pPr>
      <w:rPr>
        <w:rFonts w:hint="default"/>
      </w:rPr>
    </w:lvl>
    <w:lvl w:ilvl="2" w:tplc="C54A469A">
      <w:numFmt w:val="bullet"/>
      <w:lvlText w:val="•"/>
      <w:lvlJc w:val="left"/>
      <w:pPr>
        <w:ind w:left="3213" w:hanging="567"/>
      </w:pPr>
      <w:rPr>
        <w:rFonts w:hint="default"/>
      </w:rPr>
    </w:lvl>
    <w:lvl w:ilvl="3" w:tplc="E3DC0A98">
      <w:numFmt w:val="bullet"/>
      <w:lvlText w:val="•"/>
      <w:lvlJc w:val="left"/>
      <w:pPr>
        <w:ind w:left="4079" w:hanging="567"/>
      </w:pPr>
      <w:rPr>
        <w:rFonts w:hint="default"/>
      </w:rPr>
    </w:lvl>
    <w:lvl w:ilvl="4" w:tplc="A4C8153C">
      <w:numFmt w:val="bullet"/>
      <w:lvlText w:val="•"/>
      <w:lvlJc w:val="left"/>
      <w:pPr>
        <w:ind w:left="4946" w:hanging="567"/>
      </w:pPr>
      <w:rPr>
        <w:rFonts w:hint="default"/>
      </w:rPr>
    </w:lvl>
    <w:lvl w:ilvl="5" w:tplc="246E0882">
      <w:numFmt w:val="bullet"/>
      <w:lvlText w:val="•"/>
      <w:lvlJc w:val="left"/>
      <w:pPr>
        <w:ind w:left="5813" w:hanging="567"/>
      </w:pPr>
      <w:rPr>
        <w:rFonts w:hint="default"/>
      </w:rPr>
    </w:lvl>
    <w:lvl w:ilvl="6" w:tplc="E4F2BCFC">
      <w:numFmt w:val="bullet"/>
      <w:lvlText w:val="•"/>
      <w:lvlJc w:val="left"/>
      <w:pPr>
        <w:ind w:left="6679" w:hanging="567"/>
      </w:pPr>
      <w:rPr>
        <w:rFonts w:hint="default"/>
      </w:rPr>
    </w:lvl>
    <w:lvl w:ilvl="7" w:tplc="B57CD3D6">
      <w:numFmt w:val="bullet"/>
      <w:lvlText w:val="•"/>
      <w:lvlJc w:val="left"/>
      <w:pPr>
        <w:ind w:left="7546" w:hanging="567"/>
      </w:pPr>
      <w:rPr>
        <w:rFonts w:hint="default"/>
      </w:rPr>
    </w:lvl>
    <w:lvl w:ilvl="8" w:tplc="587E666C">
      <w:numFmt w:val="bullet"/>
      <w:lvlText w:val="•"/>
      <w:lvlJc w:val="left"/>
      <w:pPr>
        <w:ind w:left="8413" w:hanging="567"/>
      </w:pPr>
      <w:rPr>
        <w:rFonts w:hint="default"/>
      </w:rPr>
    </w:lvl>
  </w:abstractNum>
  <w:abstractNum w:abstractNumId="18" w15:restartNumberingAfterBreak="0">
    <w:nsid w:val="57A225B2"/>
    <w:multiLevelType w:val="hybridMultilevel"/>
    <w:tmpl w:val="CAFCB430"/>
    <w:lvl w:ilvl="0" w:tplc="07E65944">
      <w:start w:val="1"/>
      <w:numFmt w:val="decimal"/>
      <w:lvlText w:val="%1."/>
      <w:lvlJc w:val="left"/>
      <w:pPr>
        <w:ind w:left="905" w:hanging="567"/>
      </w:pPr>
      <w:rPr>
        <w:rFonts w:ascii="Times New Roman" w:eastAsia="Times New Roman" w:hAnsi="Times New Roman" w:cs="Times New Roman" w:hint="default"/>
        <w:b/>
        <w:bCs/>
        <w:w w:val="100"/>
        <w:sz w:val="22"/>
        <w:szCs w:val="22"/>
      </w:rPr>
    </w:lvl>
    <w:lvl w:ilvl="1" w:tplc="FC32B22C">
      <w:numFmt w:val="bullet"/>
      <w:lvlText w:val="•"/>
      <w:lvlJc w:val="left"/>
      <w:pPr>
        <w:ind w:left="1824" w:hanging="567"/>
      </w:pPr>
      <w:rPr>
        <w:rFonts w:hint="default"/>
      </w:rPr>
    </w:lvl>
    <w:lvl w:ilvl="2" w:tplc="D01411D4">
      <w:numFmt w:val="bullet"/>
      <w:lvlText w:val="•"/>
      <w:lvlJc w:val="left"/>
      <w:pPr>
        <w:ind w:left="2749" w:hanging="567"/>
      </w:pPr>
      <w:rPr>
        <w:rFonts w:hint="default"/>
      </w:rPr>
    </w:lvl>
    <w:lvl w:ilvl="3" w:tplc="4F0E2C0E">
      <w:numFmt w:val="bullet"/>
      <w:lvlText w:val="•"/>
      <w:lvlJc w:val="left"/>
      <w:pPr>
        <w:ind w:left="3673" w:hanging="567"/>
      </w:pPr>
      <w:rPr>
        <w:rFonts w:hint="default"/>
      </w:rPr>
    </w:lvl>
    <w:lvl w:ilvl="4" w:tplc="762CF20A">
      <w:numFmt w:val="bullet"/>
      <w:lvlText w:val="•"/>
      <w:lvlJc w:val="left"/>
      <w:pPr>
        <w:ind w:left="4598" w:hanging="567"/>
      </w:pPr>
      <w:rPr>
        <w:rFonts w:hint="default"/>
      </w:rPr>
    </w:lvl>
    <w:lvl w:ilvl="5" w:tplc="1B784526">
      <w:numFmt w:val="bullet"/>
      <w:lvlText w:val="•"/>
      <w:lvlJc w:val="left"/>
      <w:pPr>
        <w:ind w:left="5523" w:hanging="567"/>
      </w:pPr>
      <w:rPr>
        <w:rFonts w:hint="default"/>
      </w:rPr>
    </w:lvl>
    <w:lvl w:ilvl="6" w:tplc="1FFC7B00">
      <w:numFmt w:val="bullet"/>
      <w:lvlText w:val="•"/>
      <w:lvlJc w:val="left"/>
      <w:pPr>
        <w:ind w:left="6447" w:hanging="567"/>
      </w:pPr>
      <w:rPr>
        <w:rFonts w:hint="default"/>
      </w:rPr>
    </w:lvl>
    <w:lvl w:ilvl="7" w:tplc="177AF146">
      <w:numFmt w:val="bullet"/>
      <w:lvlText w:val="•"/>
      <w:lvlJc w:val="left"/>
      <w:pPr>
        <w:ind w:left="7372" w:hanging="567"/>
      </w:pPr>
      <w:rPr>
        <w:rFonts w:hint="default"/>
      </w:rPr>
    </w:lvl>
    <w:lvl w:ilvl="8" w:tplc="B254DD58">
      <w:numFmt w:val="bullet"/>
      <w:lvlText w:val="•"/>
      <w:lvlJc w:val="left"/>
      <w:pPr>
        <w:ind w:left="8297" w:hanging="567"/>
      </w:pPr>
      <w:rPr>
        <w:rFonts w:hint="default"/>
      </w:rPr>
    </w:lvl>
  </w:abstractNum>
  <w:abstractNum w:abstractNumId="1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45568FE"/>
    <w:multiLevelType w:val="hybridMultilevel"/>
    <w:tmpl w:val="4F7E20D6"/>
    <w:lvl w:ilvl="0" w:tplc="13B8F304">
      <w:numFmt w:val="bullet"/>
      <w:lvlText w:val=""/>
      <w:lvlJc w:val="left"/>
      <w:pPr>
        <w:ind w:left="904" w:hanging="284"/>
      </w:pPr>
      <w:rPr>
        <w:rFonts w:ascii="Symbol" w:eastAsia="Symbol" w:hAnsi="Symbol" w:cs="Symbol" w:hint="default"/>
        <w:w w:val="100"/>
        <w:sz w:val="22"/>
        <w:szCs w:val="22"/>
      </w:rPr>
    </w:lvl>
    <w:lvl w:ilvl="1" w:tplc="830E1650">
      <w:numFmt w:val="bullet"/>
      <w:lvlText w:val=""/>
      <w:lvlJc w:val="left"/>
      <w:pPr>
        <w:ind w:left="1473" w:hanging="284"/>
      </w:pPr>
      <w:rPr>
        <w:rFonts w:ascii="Symbol" w:eastAsia="Symbol" w:hAnsi="Symbol" w:cs="Symbol" w:hint="default"/>
        <w:w w:val="100"/>
        <w:sz w:val="22"/>
        <w:szCs w:val="22"/>
      </w:rPr>
    </w:lvl>
    <w:lvl w:ilvl="2" w:tplc="3D403FFA">
      <w:numFmt w:val="bullet"/>
      <w:lvlText w:val="•"/>
      <w:lvlJc w:val="left"/>
      <w:pPr>
        <w:ind w:left="2442" w:hanging="284"/>
      </w:pPr>
      <w:rPr>
        <w:rFonts w:hint="default"/>
      </w:rPr>
    </w:lvl>
    <w:lvl w:ilvl="3" w:tplc="ED44DE66">
      <w:numFmt w:val="bullet"/>
      <w:lvlText w:val="•"/>
      <w:lvlJc w:val="left"/>
      <w:pPr>
        <w:ind w:left="3405" w:hanging="284"/>
      </w:pPr>
      <w:rPr>
        <w:rFonts w:hint="default"/>
      </w:rPr>
    </w:lvl>
    <w:lvl w:ilvl="4" w:tplc="91EC928A">
      <w:numFmt w:val="bullet"/>
      <w:lvlText w:val="•"/>
      <w:lvlJc w:val="left"/>
      <w:pPr>
        <w:ind w:left="4368" w:hanging="284"/>
      </w:pPr>
      <w:rPr>
        <w:rFonts w:hint="default"/>
      </w:rPr>
    </w:lvl>
    <w:lvl w:ilvl="5" w:tplc="4BB48598">
      <w:numFmt w:val="bullet"/>
      <w:lvlText w:val="•"/>
      <w:lvlJc w:val="left"/>
      <w:pPr>
        <w:ind w:left="5331" w:hanging="284"/>
      </w:pPr>
      <w:rPr>
        <w:rFonts w:hint="default"/>
      </w:rPr>
    </w:lvl>
    <w:lvl w:ilvl="6" w:tplc="A7526B86">
      <w:numFmt w:val="bullet"/>
      <w:lvlText w:val="•"/>
      <w:lvlJc w:val="left"/>
      <w:pPr>
        <w:ind w:left="6294" w:hanging="284"/>
      </w:pPr>
      <w:rPr>
        <w:rFonts w:hint="default"/>
      </w:rPr>
    </w:lvl>
    <w:lvl w:ilvl="7" w:tplc="894EFC58">
      <w:numFmt w:val="bullet"/>
      <w:lvlText w:val="•"/>
      <w:lvlJc w:val="left"/>
      <w:pPr>
        <w:ind w:left="7257" w:hanging="284"/>
      </w:pPr>
      <w:rPr>
        <w:rFonts w:hint="default"/>
      </w:rPr>
    </w:lvl>
    <w:lvl w:ilvl="8" w:tplc="5F3C16C4">
      <w:numFmt w:val="bullet"/>
      <w:lvlText w:val="•"/>
      <w:lvlJc w:val="left"/>
      <w:pPr>
        <w:ind w:left="8220" w:hanging="284"/>
      </w:pPr>
      <w:rPr>
        <w:rFonts w:hint="default"/>
      </w:rPr>
    </w:lvl>
  </w:abstractNum>
  <w:abstractNum w:abstractNumId="21" w15:restartNumberingAfterBreak="0">
    <w:nsid w:val="69A704BC"/>
    <w:multiLevelType w:val="hybridMultilevel"/>
    <w:tmpl w:val="8FF67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E87B40"/>
    <w:multiLevelType w:val="hybridMultilevel"/>
    <w:tmpl w:val="197C13B6"/>
    <w:lvl w:ilvl="0" w:tplc="829E4A90">
      <w:numFmt w:val="bullet"/>
      <w:lvlText w:val=""/>
      <w:lvlJc w:val="left"/>
      <w:pPr>
        <w:ind w:left="1471" w:hanging="567"/>
      </w:pPr>
      <w:rPr>
        <w:rFonts w:ascii="Symbol" w:eastAsia="Symbol" w:hAnsi="Symbol" w:cs="Symbol" w:hint="default"/>
        <w:w w:val="100"/>
        <w:sz w:val="22"/>
        <w:szCs w:val="22"/>
      </w:rPr>
    </w:lvl>
    <w:lvl w:ilvl="1" w:tplc="E206C56A">
      <w:numFmt w:val="bullet"/>
      <w:lvlText w:val="•"/>
      <w:lvlJc w:val="left"/>
      <w:pPr>
        <w:ind w:left="2346" w:hanging="567"/>
      </w:pPr>
      <w:rPr>
        <w:rFonts w:hint="default"/>
      </w:rPr>
    </w:lvl>
    <w:lvl w:ilvl="2" w:tplc="0898F9BC">
      <w:numFmt w:val="bullet"/>
      <w:lvlText w:val="•"/>
      <w:lvlJc w:val="left"/>
      <w:pPr>
        <w:ind w:left="3213" w:hanging="567"/>
      </w:pPr>
      <w:rPr>
        <w:rFonts w:hint="default"/>
      </w:rPr>
    </w:lvl>
    <w:lvl w:ilvl="3" w:tplc="5DD87F24">
      <w:numFmt w:val="bullet"/>
      <w:lvlText w:val="•"/>
      <w:lvlJc w:val="left"/>
      <w:pPr>
        <w:ind w:left="4079" w:hanging="567"/>
      </w:pPr>
      <w:rPr>
        <w:rFonts w:hint="default"/>
      </w:rPr>
    </w:lvl>
    <w:lvl w:ilvl="4" w:tplc="1A9643C0">
      <w:numFmt w:val="bullet"/>
      <w:lvlText w:val="•"/>
      <w:lvlJc w:val="left"/>
      <w:pPr>
        <w:ind w:left="4946" w:hanging="567"/>
      </w:pPr>
      <w:rPr>
        <w:rFonts w:hint="default"/>
      </w:rPr>
    </w:lvl>
    <w:lvl w:ilvl="5" w:tplc="9960865E">
      <w:numFmt w:val="bullet"/>
      <w:lvlText w:val="•"/>
      <w:lvlJc w:val="left"/>
      <w:pPr>
        <w:ind w:left="5813" w:hanging="567"/>
      </w:pPr>
      <w:rPr>
        <w:rFonts w:hint="default"/>
      </w:rPr>
    </w:lvl>
    <w:lvl w:ilvl="6" w:tplc="42566636">
      <w:numFmt w:val="bullet"/>
      <w:lvlText w:val="•"/>
      <w:lvlJc w:val="left"/>
      <w:pPr>
        <w:ind w:left="6679" w:hanging="567"/>
      </w:pPr>
      <w:rPr>
        <w:rFonts w:hint="default"/>
      </w:rPr>
    </w:lvl>
    <w:lvl w:ilvl="7" w:tplc="8AE4B646">
      <w:numFmt w:val="bullet"/>
      <w:lvlText w:val="•"/>
      <w:lvlJc w:val="left"/>
      <w:pPr>
        <w:ind w:left="7546" w:hanging="567"/>
      </w:pPr>
      <w:rPr>
        <w:rFonts w:hint="default"/>
      </w:rPr>
    </w:lvl>
    <w:lvl w:ilvl="8" w:tplc="33326F04">
      <w:numFmt w:val="bullet"/>
      <w:lvlText w:val="•"/>
      <w:lvlJc w:val="left"/>
      <w:pPr>
        <w:ind w:left="8413" w:hanging="567"/>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14"/>
  </w:num>
  <w:num w:numId="9">
    <w:abstractNumId w:val="11"/>
  </w:num>
  <w:num w:numId="10">
    <w:abstractNumId w:val="20"/>
  </w:num>
  <w:num w:numId="11">
    <w:abstractNumId w:val="15"/>
  </w:num>
  <w:num w:numId="12">
    <w:abstractNumId w:val="22"/>
  </w:num>
  <w:num w:numId="13">
    <w:abstractNumId w:val="8"/>
  </w:num>
  <w:num w:numId="14">
    <w:abstractNumId w:val="1"/>
  </w:num>
  <w:num w:numId="15">
    <w:abstractNumId w:val="5"/>
  </w:num>
  <w:num w:numId="16">
    <w:abstractNumId w:val="17"/>
  </w:num>
  <w:num w:numId="17">
    <w:abstractNumId w:val="18"/>
  </w:num>
  <w:num w:numId="18">
    <w:abstractNumId w:val="3"/>
  </w:num>
  <w:num w:numId="19">
    <w:abstractNumId w:val="6"/>
  </w:num>
  <w:num w:numId="20">
    <w:abstractNumId w:val="4"/>
  </w:num>
  <w:num w:numId="21">
    <w:abstractNumId w:val="13"/>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F4"/>
    <w:rsid w:val="00021B0F"/>
    <w:rsid w:val="000259B9"/>
    <w:rsid w:val="00041491"/>
    <w:rsid w:val="00050D16"/>
    <w:rsid w:val="000603CB"/>
    <w:rsid w:val="00074F2A"/>
    <w:rsid w:val="000A1CA8"/>
    <w:rsid w:val="000A466B"/>
    <w:rsid w:val="000B058C"/>
    <w:rsid w:val="000E3E4B"/>
    <w:rsid w:val="000E4EE6"/>
    <w:rsid w:val="001454E2"/>
    <w:rsid w:val="00151F46"/>
    <w:rsid w:val="00171FF2"/>
    <w:rsid w:val="001755DF"/>
    <w:rsid w:val="001A0E29"/>
    <w:rsid w:val="001F086F"/>
    <w:rsid w:val="00206CE8"/>
    <w:rsid w:val="0021526C"/>
    <w:rsid w:val="00225486"/>
    <w:rsid w:val="00283A2B"/>
    <w:rsid w:val="002B30AD"/>
    <w:rsid w:val="002C2C01"/>
    <w:rsid w:val="003A29AE"/>
    <w:rsid w:val="003A32D7"/>
    <w:rsid w:val="003B4074"/>
    <w:rsid w:val="003C769A"/>
    <w:rsid w:val="003F1838"/>
    <w:rsid w:val="0045746C"/>
    <w:rsid w:val="0046240D"/>
    <w:rsid w:val="0049104B"/>
    <w:rsid w:val="004A048E"/>
    <w:rsid w:val="004B15A2"/>
    <w:rsid w:val="004E12F3"/>
    <w:rsid w:val="004E3B12"/>
    <w:rsid w:val="00532310"/>
    <w:rsid w:val="00560ECC"/>
    <w:rsid w:val="00565F0F"/>
    <w:rsid w:val="005949F9"/>
    <w:rsid w:val="00594A86"/>
    <w:rsid w:val="00596D86"/>
    <w:rsid w:val="00637F5A"/>
    <w:rsid w:val="006560B1"/>
    <w:rsid w:val="006756DD"/>
    <w:rsid w:val="006E59F9"/>
    <w:rsid w:val="00737275"/>
    <w:rsid w:val="00740EEC"/>
    <w:rsid w:val="007564F4"/>
    <w:rsid w:val="0078011A"/>
    <w:rsid w:val="00782AF4"/>
    <w:rsid w:val="00790EE7"/>
    <w:rsid w:val="007B6649"/>
    <w:rsid w:val="007C2465"/>
    <w:rsid w:val="0081546F"/>
    <w:rsid w:val="0082576E"/>
    <w:rsid w:val="008A36FE"/>
    <w:rsid w:val="008D589A"/>
    <w:rsid w:val="00907F75"/>
    <w:rsid w:val="009260DE"/>
    <w:rsid w:val="0093258A"/>
    <w:rsid w:val="009615EF"/>
    <w:rsid w:val="009B0083"/>
    <w:rsid w:val="009C7BA3"/>
    <w:rsid w:val="009D1F5A"/>
    <w:rsid w:val="00A12F96"/>
    <w:rsid w:val="00A31B3A"/>
    <w:rsid w:val="00A43815"/>
    <w:rsid w:val="00B0027B"/>
    <w:rsid w:val="00B003BF"/>
    <w:rsid w:val="00B210AF"/>
    <w:rsid w:val="00B373D7"/>
    <w:rsid w:val="00B545D2"/>
    <w:rsid w:val="00C36276"/>
    <w:rsid w:val="00C42586"/>
    <w:rsid w:val="00C60CCD"/>
    <w:rsid w:val="00C730E8"/>
    <w:rsid w:val="00C84483"/>
    <w:rsid w:val="00C95551"/>
    <w:rsid w:val="00CB20D7"/>
    <w:rsid w:val="00CF718C"/>
    <w:rsid w:val="00D020B0"/>
    <w:rsid w:val="00D11748"/>
    <w:rsid w:val="00D366CF"/>
    <w:rsid w:val="00DF5BA0"/>
    <w:rsid w:val="00E07B01"/>
    <w:rsid w:val="00E108AA"/>
    <w:rsid w:val="00E31812"/>
    <w:rsid w:val="00E3749A"/>
    <w:rsid w:val="00E7437F"/>
    <w:rsid w:val="00E865B8"/>
    <w:rsid w:val="00EB7FE6"/>
    <w:rsid w:val="00EC0B9B"/>
    <w:rsid w:val="00ED5E9F"/>
    <w:rsid w:val="00F34263"/>
    <w:rsid w:val="00F40ED6"/>
    <w:rsid w:val="00F46E3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3E82F"/>
  <w15:chartTrackingRefBased/>
  <w15:docId w15:val="{F56ED44F-C874-4C1F-8DF6-87B45286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564F4"/>
    <w:rPr>
      <w:color w:val="808080"/>
    </w:rPr>
  </w:style>
  <w:style w:type="paragraph" w:styleId="Brdtekst">
    <w:name w:val="Body Text"/>
    <w:basedOn w:val="Normal"/>
    <w:link w:val="BrdtekstTegn"/>
    <w:uiPriority w:val="1"/>
    <w:qFormat/>
    <w:rsid w:val="007564F4"/>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564F4"/>
    <w:rPr>
      <w:sz w:val="22"/>
      <w:szCs w:val="22"/>
      <w:lang w:val="en-US" w:eastAsia="en-US"/>
    </w:rPr>
  </w:style>
  <w:style w:type="table" w:customStyle="1" w:styleId="TableNormal1">
    <w:name w:val="Table Normal1"/>
    <w:uiPriority w:val="2"/>
    <w:semiHidden/>
    <w:unhideWhenUsed/>
    <w:qFormat/>
    <w:rsid w:val="007564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64F4"/>
    <w:pPr>
      <w:widowControl w:val="0"/>
      <w:autoSpaceDE w:val="0"/>
      <w:autoSpaceDN w:val="0"/>
      <w:ind w:left="107"/>
    </w:pPr>
    <w:rPr>
      <w:sz w:val="22"/>
      <w:szCs w:val="22"/>
      <w:lang w:val="en-US"/>
    </w:rPr>
  </w:style>
  <w:style w:type="numbering" w:customStyle="1" w:styleId="Ingenoversigt1">
    <w:name w:val="Ingen oversigt1"/>
    <w:next w:val="Ingenoversigt"/>
    <w:uiPriority w:val="99"/>
    <w:semiHidden/>
    <w:unhideWhenUsed/>
    <w:rsid w:val="007564F4"/>
  </w:style>
  <w:style w:type="table" w:customStyle="1" w:styleId="TableNormal11">
    <w:name w:val="Table Normal11"/>
    <w:uiPriority w:val="2"/>
    <w:semiHidden/>
    <w:unhideWhenUsed/>
    <w:qFormat/>
    <w:rsid w:val="007564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1"/>
    <w:qFormat/>
    <w:rsid w:val="007564F4"/>
    <w:pPr>
      <w:widowControl w:val="0"/>
      <w:autoSpaceDE w:val="0"/>
      <w:autoSpaceDN w:val="0"/>
      <w:ind w:left="904" w:hanging="566"/>
    </w:pPr>
    <w:rPr>
      <w:sz w:val="22"/>
      <w:szCs w:val="22"/>
      <w:lang w:val="en-US"/>
    </w:rPr>
  </w:style>
  <w:style w:type="character" w:customStyle="1" w:styleId="MarkeringsbobletekstTegn">
    <w:name w:val="Markeringsbobletekst Tegn"/>
    <w:basedOn w:val="Standardskrifttypeiafsnit"/>
    <w:link w:val="Markeringsbobletekst"/>
    <w:uiPriority w:val="99"/>
    <w:semiHidden/>
    <w:rsid w:val="007564F4"/>
    <w:rPr>
      <w:rFonts w:ascii="Tahoma" w:hAnsi="Tahoma" w:cs="Tahoma"/>
      <w:sz w:val="16"/>
      <w:szCs w:val="16"/>
      <w:lang w:eastAsia="en-US"/>
    </w:rPr>
  </w:style>
  <w:style w:type="character" w:customStyle="1" w:styleId="SidefodTegn">
    <w:name w:val="Sidefod Tegn"/>
    <w:basedOn w:val="Standardskrifttypeiafsnit"/>
    <w:link w:val="Sidefod"/>
    <w:uiPriority w:val="99"/>
    <w:rsid w:val="007564F4"/>
    <w:rPr>
      <w:sz w:val="23"/>
      <w:lang w:eastAsia="en-US"/>
    </w:rPr>
  </w:style>
  <w:style w:type="paragraph" w:styleId="Korrektur">
    <w:name w:val="Revision"/>
    <w:hidden/>
    <w:uiPriority w:val="99"/>
    <w:semiHidden/>
    <w:rsid w:val="007564F4"/>
    <w:rPr>
      <w:sz w:val="22"/>
      <w:szCs w:val="22"/>
      <w:lang w:val="en-US" w:eastAsia="en-US"/>
    </w:rPr>
  </w:style>
  <w:style w:type="table" w:styleId="Tabel-Gitter">
    <w:name w:val="Table Grid"/>
    <w:basedOn w:val="Tabel-Normal"/>
    <w:uiPriority w:val="39"/>
    <w:rsid w:val="007564F4"/>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Standardskrifttypeiafsnit"/>
    <w:uiPriority w:val="99"/>
    <w:unhideWhenUsed/>
    <w:rsid w:val="007564F4"/>
    <w:rPr>
      <w:color w:val="0000FF"/>
      <w:u w:val="single"/>
    </w:rPr>
  </w:style>
  <w:style w:type="character" w:styleId="Hyperlink">
    <w:name w:val="Hyperlink"/>
    <w:basedOn w:val="Standardskrifttypeiafsnit"/>
    <w:uiPriority w:val="99"/>
    <w:semiHidden/>
    <w:unhideWhenUsed/>
    <w:rsid w:val="007564F4"/>
    <w:rPr>
      <w:color w:val="0563C1" w:themeColor="hyperlink"/>
      <w:u w:val="single"/>
    </w:rPr>
  </w:style>
  <w:style w:type="paragraph" w:customStyle="1" w:styleId="msonormal0">
    <w:name w:val="msonormal"/>
    <w:basedOn w:val="Normal"/>
    <w:rsid w:val="00B0027B"/>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4197833">
      <w:bodyDiv w:val="1"/>
      <w:marLeft w:val="0"/>
      <w:marRight w:val="0"/>
      <w:marTop w:val="0"/>
      <w:marBottom w:val="0"/>
      <w:divBdr>
        <w:top w:val="none" w:sz="0" w:space="0" w:color="auto"/>
        <w:left w:val="none" w:sz="0" w:space="0" w:color="auto"/>
        <w:bottom w:val="none" w:sz="0" w:space="0" w:color="auto"/>
        <w:right w:val="none" w:sz="0" w:space="0" w:color="auto"/>
      </w:divBdr>
    </w:div>
    <w:div w:id="456949511">
      <w:bodyDiv w:val="1"/>
      <w:marLeft w:val="0"/>
      <w:marRight w:val="0"/>
      <w:marTop w:val="0"/>
      <w:marBottom w:val="0"/>
      <w:divBdr>
        <w:top w:val="none" w:sz="0" w:space="0" w:color="auto"/>
        <w:left w:val="none" w:sz="0" w:space="0" w:color="auto"/>
        <w:bottom w:val="none" w:sz="0" w:space="0" w:color="auto"/>
        <w:right w:val="none" w:sz="0" w:space="0" w:color="auto"/>
      </w:divBdr>
    </w:div>
    <w:div w:id="459498147">
      <w:bodyDiv w:val="1"/>
      <w:marLeft w:val="0"/>
      <w:marRight w:val="0"/>
      <w:marTop w:val="0"/>
      <w:marBottom w:val="0"/>
      <w:divBdr>
        <w:top w:val="none" w:sz="0" w:space="0" w:color="auto"/>
        <w:left w:val="none" w:sz="0" w:space="0" w:color="auto"/>
        <w:bottom w:val="none" w:sz="0" w:space="0" w:color="auto"/>
        <w:right w:val="none" w:sz="0" w:space="0" w:color="auto"/>
      </w:divBdr>
    </w:div>
    <w:div w:id="579142772">
      <w:bodyDiv w:val="1"/>
      <w:marLeft w:val="0"/>
      <w:marRight w:val="0"/>
      <w:marTop w:val="0"/>
      <w:marBottom w:val="0"/>
      <w:divBdr>
        <w:top w:val="none" w:sz="0" w:space="0" w:color="auto"/>
        <w:left w:val="none" w:sz="0" w:space="0" w:color="auto"/>
        <w:bottom w:val="none" w:sz="0" w:space="0" w:color="auto"/>
        <w:right w:val="none" w:sz="0" w:space="0" w:color="auto"/>
      </w:divBdr>
    </w:div>
    <w:div w:id="667096253">
      <w:bodyDiv w:val="1"/>
      <w:marLeft w:val="0"/>
      <w:marRight w:val="0"/>
      <w:marTop w:val="0"/>
      <w:marBottom w:val="0"/>
      <w:divBdr>
        <w:top w:val="none" w:sz="0" w:space="0" w:color="auto"/>
        <w:left w:val="none" w:sz="0" w:space="0" w:color="auto"/>
        <w:bottom w:val="none" w:sz="0" w:space="0" w:color="auto"/>
        <w:right w:val="none" w:sz="0" w:space="0" w:color="auto"/>
      </w:divBdr>
    </w:div>
    <w:div w:id="712929629">
      <w:bodyDiv w:val="1"/>
      <w:marLeft w:val="0"/>
      <w:marRight w:val="0"/>
      <w:marTop w:val="0"/>
      <w:marBottom w:val="0"/>
      <w:divBdr>
        <w:top w:val="none" w:sz="0" w:space="0" w:color="auto"/>
        <w:left w:val="none" w:sz="0" w:space="0" w:color="auto"/>
        <w:bottom w:val="none" w:sz="0" w:space="0" w:color="auto"/>
        <w:right w:val="none" w:sz="0" w:space="0" w:color="auto"/>
      </w:divBdr>
    </w:div>
    <w:div w:id="736632850">
      <w:bodyDiv w:val="1"/>
      <w:marLeft w:val="0"/>
      <w:marRight w:val="0"/>
      <w:marTop w:val="0"/>
      <w:marBottom w:val="0"/>
      <w:divBdr>
        <w:top w:val="none" w:sz="0" w:space="0" w:color="auto"/>
        <w:left w:val="none" w:sz="0" w:space="0" w:color="auto"/>
        <w:bottom w:val="none" w:sz="0" w:space="0" w:color="auto"/>
        <w:right w:val="none" w:sz="0" w:space="0" w:color="auto"/>
      </w:divBdr>
    </w:div>
    <w:div w:id="967052819">
      <w:bodyDiv w:val="1"/>
      <w:marLeft w:val="0"/>
      <w:marRight w:val="0"/>
      <w:marTop w:val="0"/>
      <w:marBottom w:val="0"/>
      <w:divBdr>
        <w:top w:val="none" w:sz="0" w:space="0" w:color="auto"/>
        <w:left w:val="none" w:sz="0" w:space="0" w:color="auto"/>
        <w:bottom w:val="none" w:sz="0" w:space="0" w:color="auto"/>
        <w:right w:val="none" w:sz="0" w:space="0" w:color="auto"/>
      </w:divBdr>
    </w:div>
    <w:div w:id="1007097242">
      <w:bodyDiv w:val="1"/>
      <w:marLeft w:val="0"/>
      <w:marRight w:val="0"/>
      <w:marTop w:val="0"/>
      <w:marBottom w:val="0"/>
      <w:divBdr>
        <w:top w:val="none" w:sz="0" w:space="0" w:color="auto"/>
        <w:left w:val="none" w:sz="0" w:space="0" w:color="auto"/>
        <w:bottom w:val="none" w:sz="0" w:space="0" w:color="auto"/>
        <w:right w:val="none" w:sz="0" w:space="0" w:color="auto"/>
      </w:divBdr>
    </w:div>
    <w:div w:id="1640573643">
      <w:bodyDiv w:val="1"/>
      <w:marLeft w:val="0"/>
      <w:marRight w:val="0"/>
      <w:marTop w:val="0"/>
      <w:marBottom w:val="0"/>
      <w:divBdr>
        <w:top w:val="none" w:sz="0" w:space="0" w:color="auto"/>
        <w:left w:val="none" w:sz="0" w:space="0" w:color="auto"/>
        <w:bottom w:val="none" w:sz="0" w:space="0" w:color="auto"/>
        <w:right w:val="none" w:sz="0" w:space="0" w:color="auto"/>
      </w:divBdr>
    </w:div>
    <w:div w:id="1831746959">
      <w:bodyDiv w:val="1"/>
      <w:marLeft w:val="0"/>
      <w:marRight w:val="0"/>
      <w:marTop w:val="0"/>
      <w:marBottom w:val="0"/>
      <w:divBdr>
        <w:top w:val="none" w:sz="0" w:space="0" w:color="auto"/>
        <w:left w:val="none" w:sz="0" w:space="0" w:color="auto"/>
        <w:bottom w:val="none" w:sz="0" w:space="0" w:color="auto"/>
        <w:right w:val="none" w:sz="0" w:space="0" w:color="auto"/>
      </w:divBdr>
    </w:div>
    <w:div w:id="1878543633">
      <w:bodyDiv w:val="1"/>
      <w:marLeft w:val="0"/>
      <w:marRight w:val="0"/>
      <w:marTop w:val="0"/>
      <w:marBottom w:val="0"/>
      <w:divBdr>
        <w:top w:val="none" w:sz="0" w:space="0" w:color="auto"/>
        <w:left w:val="none" w:sz="0" w:space="0" w:color="auto"/>
        <w:bottom w:val="none" w:sz="0" w:space="0" w:color="auto"/>
        <w:right w:val="none" w:sz="0" w:space="0" w:color="auto"/>
      </w:divBdr>
    </w:div>
    <w:div w:id="2020620126">
      <w:bodyDiv w:val="1"/>
      <w:marLeft w:val="0"/>
      <w:marRight w:val="0"/>
      <w:marTop w:val="0"/>
      <w:marBottom w:val="0"/>
      <w:divBdr>
        <w:top w:val="none" w:sz="0" w:space="0" w:color="auto"/>
        <w:left w:val="none" w:sz="0" w:space="0" w:color="auto"/>
        <w:bottom w:val="none" w:sz="0" w:space="0" w:color="auto"/>
        <w:right w:val="none" w:sz="0" w:space="0" w:color="auto"/>
      </w:divBdr>
    </w:div>
    <w:div w:id="20393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37</Pages>
  <Words>12717</Words>
  <Characters>77579</Characters>
  <Application>Microsoft Office Word</Application>
  <DocSecurity>0</DocSecurity>
  <Lines>646</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2024064197  - pkt. 2, 4.4, 4.5, 4.6, 4.8, 5.1, 6.1, 7</dc:description>
  <cp:lastModifiedBy>Line Aaboe Würtz</cp:lastModifiedBy>
  <cp:revision>4</cp:revision>
  <cp:lastPrinted>2012-08-22T08:53:00Z</cp:lastPrinted>
  <dcterms:created xsi:type="dcterms:W3CDTF">2024-12-19T06:15:00Z</dcterms:created>
  <dcterms:modified xsi:type="dcterms:W3CDTF">2025-01-06T01:50:00Z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