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68F" w:rsidRPr="008F49E1" w:rsidRDefault="0057668F" w:rsidP="0057668F">
      <w:pPr>
        <w:rPr>
          <w:sz w:val="24"/>
          <w:szCs w:val="24"/>
        </w:rPr>
      </w:pPr>
      <w:r w:rsidRPr="009260DE">
        <w:rPr>
          <w:noProof/>
          <w:sz w:val="24"/>
          <w:szCs w:val="24"/>
          <w:lang w:eastAsia="da-DK"/>
        </w:rPr>
        <w:drawing>
          <wp:anchor distT="0" distB="0" distL="114300" distR="114300" simplePos="0" relativeHeight="251659264" behindDoc="0" locked="0" layoutInCell="1" allowOverlap="1" wp14:anchorId="488BC3FC" wp14:editId="34EA7FC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E4376" w:rsidRPr="008E4376" w:rsidRDefault="0057668F" w:rsidP="0057668F">
      <w:pPr>
        <w:pStyle w:val="Titel"/>
        <w:tabs>
          <w:tab w:val="right" w:pos="9356"/>
        </w:tabs>
        <w:jc w:val="left"/>
        <w:rPr>
          <w:szCs w:val="24"/>
        </w:rPr>
      </w:pPr>
      <w:r w:rsidRPr="00C84483">
        <w:rPr>
          <w:b w:val="0"/>
          <w:szCs w:val="24"/>
          <w:lang w:eastAsia="en-US"/>
        </w:rPr>
        <w:tab/>
      </w:r>
      <w:r w:rsidR="00AC5F5E">
        <w:rPr>
          <w:szCs w:val="24"/>
          <w:lang w:eastAsia="en-US"/>
        </w:rPr>
        <w:t>6. januar 2025</w:t>
      </w:r>
    </w:p>
    <w:p w:rsidR="0057668F" w:rsidRPr="00C84483" w:rsidRDefault="0057668F" w:rsidP="0057668F">
      <w:pPr>
        <w:pStyle w:val="Titel"/>
        <w:tabs>
          <w:tab w:val="left" w:pos="8222"/>
        </w:tabs>
        <w:jc w:val="left"/>
        <w:rPr>
          <w:b w:val="0"/>
          <w:szCs w:val="24"/>
        </w:rPr>
      </w:pPr>
    </w:p>
    <w:p w:rsidR="0057668F" w:rsidRPr="00C84483" w:rsidRDefault="0057668F" w:rsidP="0057668F">
      <w:pPr>
        <w:pStyle w:val="Titel"/>
        <w:jc w:val="left"/>
        <w:rPr>
          <w:b w:val="0"/>
          <w:szCs w:val="24"/>
        </w:rPr>
      </w:pPr>
    </w:p>
    <w:p w:rsidR="0057668F" w:rsidRPr="00C84483" w:rsidRDefault="0057668F" w:rsidP="0057668F">
      <w:pPr>
        <w:pStyle w:val="Titel"/>
        <w:jc w:val="left"/>
        <w:rPr>
          <w:b w:val="0"/>
          <w:szCs w:val="24"/>
        </w:rPr>
      </w:pPr>
    </w:p>
    <w:p w:rsidR="0057668F" w:rsidRPr="00C84483" w:rsidRDefault="0057668F" w:rsidP="0057668F">
      <w:pPr>
        <w:jc w:val="center"/>
        <w:rPr>
          <w:b/>
          <w:sz w:val="24"/>
          <w:szCs w:val="24"/>
        </w:rPr>
      </w:pPr>
      <w:r w:rsidRPr="00C84483">
        <w:rPr>
          <w:b/>
          <w:sz w:val="24"/>
          <w:szCs w:val="24"/>
        </w:rPr>
        <w:t>PRODUKTRESUMÉ</w:t>
      </w:r>
    </w:p>
    <w:p w:rsidR="0057668F" w:rsidRPr="00C84483" w:rsidRDefault="003A12B1" w:rsidP="003A12B1">
      <w:pPr>
        <w:tabs>
          <w:tab w:val="left" w:pos="280"/>
        </w:tabs>
        <w:rPr>
          <w:b/>
          <w:sz w:val="24"/>
          <w:szCs w:val="24"/>
        </w:rPr>
      </w:pPr>
      <w:r>
        <w:rPr>
          <w:b/>
          <w:sz w:val="24"/>
          <w:szCs w:val="24"/>
        </w:rPr>
        <w:tab/>
      </w:r>
    </w:p>
    <w:p w:rsidR="0057668F" w:rsidRDefault="0057668F" w:rsidP="0057668F">
      <w:pPr>
        <w:jc w:val="center"/>
        <w:rPr>
          <w:b/>
          <w:sz w:val="24"/>
          <w:szCs w:val="24"/>
        </w:rPr>
      </w:pPr>
      <w:r w:rsidRPr="00C84483">
        <w:rPr>
          <w:b/>
          <w:sz w:val="24"/>
          <w:szCs w:val="24"/>
        </w:rPr>
        <w:t>for</w:t>
      </w:r>
    </w:p>
    <w:p w:rsidR="0057668F" w:rsidRPr="001B4163" w:rsidRDefault="0057668F" w:rsidP="0057668F">
      <w:pPr>
        <w:jc w:val="center"/>
        <w:rPr>
          <w:b/>
          <w:sz w:val="24"/>
          <w:szCs w:val="24"/>
        </w:rPr>
      </w:pPr>
    </w:p>
    <w:p w:rsidR="0057668F" w:rsidRPr="001B4163" w:rsidRDefault="0057668F" w:rsidP="0057668F">
      <w:pPr>
        <w:jc w:val="center"/>
        <w:rPr>
          <w:b/>
          <w:sz w:val="24"/>
          <w:szCs w:val="24"/>
        </w:rPr>
      </w:pPr>
      <w:r w:rsidRPr="001B4163">
        <w:rPr>
          <w:b/>
          <w:sz w:val="24"/>
          <w:szCs w:val="24"/>
        </w:rPr>
        <w:t xml:space="preserve">Emtricitabine/Tenofovir disoproxil </w:t>
      </w:r>
      <w:r>
        <w:rPr>
          <w:b/>
          <w:sz w:val="24"/>
          <w:szCs w:val="24"/>
        </w:rPr>
        <w:t>"</w:t>
      </w:r>
      <w:r w:rsidRPr="001B4163">
        <w:rPr>
          <w:b/>
          <w:sz w:val="24"/>
          <w:szCs w:val="24"/>
        </w:rPr>
        <w:t>Sandoz</w:t>
      </w:r>
      <w:r>
        <w:rPr>
          <w:b/>
          <w:sz w:val="24"/>
          <w:szCs w:val="24"/>
        </w:rPr>
        <w:t>"</w:t>
      </w:r>
      <w:r w:rsidRPr="001B4163">
        <w:rPr>
          <w:b/>
          <w:sz w:val="24"/>
          <w:szCs w:val="24"/>
        </w:rPr>
        <w:t>, filmovertrukne tabletter</w:t>
      </w:r>
    </w:p>
    <w:p w:rsidR="0057668F" w:rsidRPr="001B4163" w:rsidRDefault="0057668F" w:rsidP="0057668F">
      <w:pPr>
        <w:jc w:val="both"/>
        <w:rPr>
          <w:sz w:val="24"/>
          <w:szCs w:val="24"/>
        </w:rPr>
      </w:pPr>
    </w:p>
    <w:p w:rsidR="0057668F" w:rsidRPr="004C3DE3" w:rsidRDefault="0057668F" w:rsidP="0057668F">
      <w:pPr>
        <w:ind w:left="851" w:hanging="851"/>
        <w:jc w:val="both"/>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0.</w:t>
      </w:r>
      <w:r w:rsidRPr="004C3DE3">
        <w:rPr>
          <w:b/>
          <w:sz w:val="24"/>
          <w:szCs w:val="24"/>
        </w:rPr>
        <w:tab/>
        <w:t>D.SP.NR.</w:t>
      </w:r>
    </w:p>
    <w:p w:rsidR="0057668F" w:rsidRPr="004C3DE3" w:rsidRDefault="0057668F" w:rsidP="0057668F">
      <w:pPr>
        <w:tabs>
          <w:tab w:val="left" w:pos="851"/>
        </w:tabs>
        <w:ind w:left="851" w:hanging="851"/>
        <w:rPr>
          <w:sz w:val="24"/>
          <w:szCs w:val="24"/>
        </w:rPr>
      </w:pPr>
      <w:r>
        <w:rPr>
          <w:sz w:val="24"/>
          <w:szCs w:val="24"/>
        </w:rPr>
        <w:tab/>
      </w:r>
      <w:r w:rsidRPr="004C3DE3">
        <w:rPr>
          <w:sz w:val="24"/>
          <w:szCs w:val="24"/>
        </w:rPr>
        <w:t>31282</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1.</w:t>
      </w:r>
      <w:r w:rsidRPr="004C3DE3">
        <w:rPr>
          <w:b/>
          <w:sz w:val="24"/>
          <w:szCs w:val="24"/>
        </w:rPr>
        <w:tab/>
        <w:t>LÆGEMIDLETS NAVN</w:t>
      </w:r>
    </w:p>
    <w:p w:rsidR="0057668F" w:rsidRPr="004C3DE3" w:rsidRDefault="0057668F" w:rsidP="0057668F">
      <w:pPr>
        <w:tabs>
          <w:tab w:val="left" w:pos="851"/>
        </w:tabs>
        <w:ind w:left="851" w:hanging="851"/>
        <w:rPr>
          <w:sz w:val="24"/>
          <w:szCs w:val="24"/>
        </w:rPr>
      </w:pPr>
      <w:r>
        <w:rPr>
          <w:sz w:val="24"/>
          <w:szCs w:val="24"/>
        </w:rPr>
        <w:tab/>
      </w:r>
      <w:r w:rsidRPr="004C3DE3">
        <w:rPr>
          <w:sz w:val="24"/>
          <w:szCs w:val="24"/>
        </w:rPr>
        <w:t xml:space="preserve">Emtricitabine/Tenofovir disoproxil </w:t>
      </w:r>
      <w:r>
        <w:rPr>
          <w:sz w:val="24"/>
          <w:szCs w:val="24"/>
        </w:rPr>
        <w:t>"</w:t>
      </w:r>
      <w:r w:rsidRPr="004C3DE3">
        <w:rPr>
          <w:sz w:val="24"/>
          <w:szCs w:val="24"/>
        </w:rPr>
        <w:t>Sandoz</w:t>
      </w:r>
      <w:r>
        <w:rPr>
          <w:sz w:val="24"/>
          <w:szCs w:val="24"/>
        </w:rPr>
        <w:t>"</w:t>
      </w:r>
    </w:p>
    <w:p w:rsidR="0057668F" w:rsidRDefault="0057668F" w:rsidP="0057668F">
      <w:pPr>
        <w:tabs>
          <w:tab w:val="left" w:pos="851"/>
        </w:tabs>
        <w:ind w:left="851" w:hanging="851"/>
        <w:rPr>
          <w:sz w:val="24"/>
          <w:szCs w:val="24"/>
        </w:rPr>
      </w:pPr>
    </w:p>
    <w:p w:rsidR="00047CE4" w:rsidRPr="004C3DE3" w:rsidRDefault="00047CE4"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2.</w:t>
      </w:r>
      <w:r w:rsidRPr="004C3DE3">
        <w:rPr>
          <w:b/>
          <w:sz w:val="24"/>
          <w:szCs w:val="24"/>
        </w:rPr>
        <w:tab/>
        <w:t>KVALITATIV OG KVANTITATIV SAMMENSÆTNING</w:t>
      </w:r>
    </w:p>
    <w:p w:rsidR="0057668F" w:rsidRPr="004C3DE3" w:rsidRDefault="0057668F" w:rsidP="0057668F">
      <w:pPr>
        <w:ind w:left="851"/>
        <w:rPr>
          <w:sz w:val="24"/>
          <w:szCs w:val="24"/>
        </w:rPr>
      </w:pPr>
      <w:r w:rsidRPr="004C3DE3">
        <w:rPr>
          <w:sz w:val="24"/>
          <w:szCs w:val="24"/>
        </w:rPr>
        <w:t>Hver filmovertrukket tablet indeholder 200 mg emtricitabin og 245 mg tenofovir</w:t>
      </w:r>
      <w:r>
        <w:rPr>
          <w:sz w:val="24"/>
          <w:szCs w:val="24"/>
        </w:rPr>
        <w:softHyphen/>
      </w:r>
      <w:r w:rsidRPr="004C3DE3">
        <w:rPr>
          <w:sz w:val="24"/>
          <w:szCs w:val="24"/>
        </w:rPr>
        <w:t xml:space="preserve">disoproxil. </w:t>
      </w:r>
    </w:p>
    <w:p w:rsidR="0057668F" w:rsidRPr="004C3DE3" w:rsidRDefault="0057668F" w:rsidP="0057668F">
      <w:pPr>
        <w:ind w:left="851" w:hanging="851"/>
        <w:rPr>
          <w:sz w:val="24"/>
          <w:szCs w:val="24"/>
        </w:rPr>
      </w:pPr>
    </w:p>
    <w:p w:rsidR="0057668F" w:rsidRPr="004C3DE3" w:rsidRDefault="0057668F" w:rsidP="0057668F">
      <w:pPr>
        <w:ind w:left="851"/>
        <w:rPr>
          <w:sz w:val="24"/>
          <w:szCs w:val="24"/>
        </w:rPr>
      </w:pPr>
      <w:r w:rsidRPr="004C3DE3">
        <w:rPr>
          <w:sz w:val="24"/>
          <w:szCs w:val="24"/>
        </w:rPr>
        <w:t>Hjælpestof, som behandleren skal være opmærksom på:</w:t>
      </w:r>
    </w:p>
    <w:p w:rsidR="0057668F" w:rsidRPr="004C3DE3" w:rsidRDefault="0057668F" w:rsidP="0057668F">
      <w:pPr>
        <w:ind w:left="851"/>
        <w:rPr>
          <w:sz w:val="24"/>
          <w:szCs w:val="24"/>
        </w:rPr>
      </w:pPr>
      <w:r w:rsidRPr="004C3DE3">
        <w:rPr>
          <w:sz w:val="24"/>
          <w:szCs w:val="24"/>
        </w:rPr>
        <w:t xml:space="preserve">Hver filmovertrukket tablet indeholder 216 mg lactose (som monohydrat). </w:t>
      </w:r>
    </w:p>
    <w:p w:rsidR="0057668F" w:rsidRPr="004C3DE3" w:rsidRDefault="0057668F" w:rsidP="0057668F">
      <w:pPr>
        <w:ind w:left="851" w:hanging="851"/>
        <w:rPr>
          <w:sz w:val="24"/>
          <w:szCs w:val="24"/>
        </w:rPr>
      </w:pPr>
    </w:p>
    <w:p w:rsidR="0057668F" w:rsidRPr="004C3DE3" w:rsidRDefault="0057668F" w:rsidP="0057668F">
      <w:pPr>
        <w:ind w:left="851"/>
        <w:rPr>
          <w:sz w:val="24"/>
          <w:szCs w:val="24"/>
        </w:rPr>
      </w:pPr>
      <w:r w:rsidRPr="004C3DE3">
        <w:rPr>
          <w:sz w:val="24"/>
          <w:szCs w:val="24"/>
        </w:rPr>
        <w:t>Alle hjælpestoffer er anført under pkt. 6.1.</w:t>
      </w:r>
    </w:p>
    <w:p w:rsidR="0057668F" w:rsidRDefault="0057668F" w:rsidP="0057668F">
      <w:pPr>
        <w:tabs>
          <w:tab w:val="left" w:pos="851"/>
        </w:tabs>
        <w:ind w:left="851" w:hanging="851"/>
        <w:rPr>
          <w:sz w:val="24"/>
          <w:szCs w:val="24"/>
        </w:rPr>
      </w:pPr>
    </w:p>
    <w:p w:rsidR="00047CE4" w:rsidRPr="004C3DE3" w:rsidRDefault="00047CE4"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3.</w:t>
      </w:r>
      <w:r w:rsidRPr="004C3DE3">
        <w:rPr>
          <w:b/>
          <w:sz w:val="24"/>
          <w:szCs w:val="24"/>
        </w:rPr>
        <w:tab/>
        <w:t>LÆGEMIDDELFORM</w:t>
      </w:r>
    </w:p>
    <w:p w:rsidR="0057668F" w:rsidRPr="004C3DE3" w:rsidRDefault="0057668F" w:rsidP="0057668F">
      <w:pPr>
        <w:suppressAutoHyphens/>
        <w:ind w:left="851"/>
        <w:rPr>
          <w:spacing w:val="-3"/>
          <w:sz w:val="24"/>
          <w:szCs w:val="24"/>
        </w:rPr>
      </w:pPr>
      <w:r>
        <w:rPr>
          <w:spacing w:val="-3"/>
          <w:sz w:val="24"/>
          <w:szCs w:val="24"/>
        </w:rPr>
        <w:t>Filmovertrukne tabletter</w:t>
      </w:r>
    </w:p>
    <w:p w:rsidR="0057668F" w:rsidRPr="004C3DE3" w:rsidRDefault="0057668F" w:rsidP="0057668F">
      <w:pPr>
        <w:suppressAutoHyphens/>
        <w:ind w:left="851" w:hanging="851"/>
        <w:rPr>
          <w:spacing w:val="-3"/>
          <w:sz w:val="24"/>
          <w:szCs w:val="24"/>
        </w:rPr>
      </w:pPr>
    </w:p>
    <w:p w:rsidR="0057668F" w:rsidRPr="004C3DE3" w:rsidRDefault="0057668F" w:rsidP="0057668F">
      <w:pPr>
        <w:ind w:left="851"/>
        <w:rPr>
          <w:sz w:val="24"/>
          <w:szCs w:val="24"/>
        </w:rPr>
      </w:pPr>
      <w:r w:rsidRPr="004C3DE3">
        <w:rPr>
          <w:sz w:val="24"/>
          <w:szCs w:val="24"/>
        </w:rPr>
        <w:t>Blå, kapselformede, filmovertrukne tabletter, der måler ca. 19 mm</w:t>
      </w:r>
      <w:r>
        <w:rPr>
          <w:sz w:val="24"/>
          <w:szCs w:val="24"/>
        </w:rPr>
        <w:t>×</w:t>
      </w:r>
      <w:r w:rsidRPr="004C3DE3">
        <w:rPr>
          <w:sz w:val="24"/>
          <w:szCs w:val="24"/>
        </w:rPr>
        <w:t xml:space="preserve">9 mm, præget med </w:t>
      </w:r>
      <w:r>
        <w:rPr>
          <w:sz w:val="24"/>
          <w:szCs w:val="24"/>
        </w:rPr>
        <w:t>"</w:t>
      </w:r>
      <w:r w:rsidRPr="004C3DE3">
        <w:rPr>
          <w:sz w:val="24"/>
          <w:szCs w:val="24"/>
        </w:rPr>
        <w:t>H</w:t>
      </w:r>
      <w:r>
        <w:rPr>
          <w:sz w:val="24"/>
          <w:szCs w:val="24"/>
        </w:rPr>
        <w:t>"</w:t>
      </w:r>
      <w:r w:rsidRPr="004C3DE3">
        <w:rPr>
          <w:sz w:val="24"/>
          <w:szCs w:val="24"/>
        </w:rPr>
        <w:t xml:space="preserve"> på den ene side og </w:t>
      </w:r>
      <w:r>
        <w:rPr>
          <w:sz w:val="24"/>
          <w:szCs w:val="24"/>
        </w:rPr>
        <w:t>"</w:t>
      </w:r>
      <w:r w:rsidRPr="004C3DE3">
        <w:rPr>
          <w:sz w:val="24"/>
          <w:szCs w:val="24"/>
        </w:rPr>
        <w:t>E29</w:t>
      </w:r>
      <w:r>
        <w:rPr>
          <w:sz w:val="24"/>
          <w:szCs w:val="24"/>
        </w:rPr>
        <w:t>"</w:t>
      </w:r>
      <w:r w:rsidRPr="004C3DE3">
        <w:rPr>
          <w:sz w:val="24"/>
          <w:szCs w:val="24"/>
        </w:rPr>
        <w:t xml:space="preserve"> på den anden side.</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4.</w:t>
      </w:r>
      <w:r w:rsidRPr="004C3DE3">
        <w:rPr>
          <w:b/>
          <w:sz w:val="24"/>
          <w:szCs w:val="24"/>
        </w:rPr>
        <w:tab/>
        <w:t>KLINISKE OPLYSNINGER</w:t>
      </w:r>
    </w:p>
    <w:p w:rsidR="0057668F" w:rsidRPr="004C3DE3" w:rsidRDefault="0057668F" w:rsidP="0057668F">
      <w:pPr>
        <w:tabs>
          <w:tab w:val="left" w:pos="851"/>
        </w:tabs>
        <w:ind w:left="851" w:hanging="851"/>
        <w:rPr>
          <w:b/>
          <w:sz w:val="24"/>
          <w:szCs w:val="24"/>
        </w:rPr>
      </w:pPr>
    </w:p>
    <w:p w:rsidR="0057668F" w:rsidRPr="00AD7CE0" w:rsidRDefault="0057668F" w:rsidP="00AD7CE0">
      <w:pPr>
        <w:tabs>
          <w:tab w:val="left" w:pos="851"/>
        </w:tabs>
        <w:ind w:left="851" w:hanging="851"/>
        <w:rPr>
          <w:b/>
          <w:sz w:val="24"/>
          <w:szCs w:val="24"/>
          <w:u w:val="single"/>
        </w:rPr>
      </w:pPr>
      <w:r w:rsidRPr="004C3DE3">
        <w:rPr>
          <w:b/>
          <w:sz w:val="24"/>
          <w:szCs w:val="24"/>
        </w:rPr>
        <w:t>4.1</w:t>
      </w:r>
      <w:r w:rsidRPr="004C3DE3">
        <w:rPr>
          <w:b/>
          <w:sz w:val="24"/>
          <w:szCs w:val="24"/>
        </w:rPr>
        <w:tab/>
        <w:t>Terapeutiske indikationer</w:t>
      </w:r>
    </w:p>
    <w:p w:rsidR="00803BD1" w:rsidRDefault="00803BD1" w:rsidP="00803BD1">
      <w:pPr>
        <w:ind w:left="851"/>
        <w:rPr>
          <w:i/>
          <w:sz w:val="24"/>
          <w:szCs w:val="24"/>
        </w:rPr>
      </w:pPr>
      <w:r>
        <w:rPr>
          <w:i/>
          <w:sz w:val="24"/>
          <w:szCs w:val="24"/>
        </w:rPr>
        <w:t>Behandling af hiv 1-infektion:</w:t>
      </w:r>
    </w:p>
    <w:p w:rsidR="00803BD1" w:rsidRDefault="00803BD1" w:rsidP="00803BD1">
      <w:pPr>
        <w:ind w:left="851"/>
        <w:rPr>
          <w:sz w:val="24"/>
          <w:szCs w:val="24"/>
        </w:rPr>
      </w:pPr>
      <w:r>
        <w:rPr>
          <w:sz w:val="24"/>
          <w:szCs w:val="24"/>
        </w:rPr>
        <w:t>Emtricitabine/Tenofovir disoproxil "Sandoz" er indiceret til antiretroviral kombinations</w:t>
      </w:r>
      <w:r>
        <w:rPr>
          <w:sz w:val="24"/>
          <w:szCs w:val="24"/>
        </w:rPr>
        <w:softHyphen/>
        <w:t>behandling af hiv 1-inficerede voksne (se pkt. 5.1).</w:t>
      </w:r>
    </w:p>
    <w:p w:rsidR="00803BD1" w:rsidRDefault="00803BD1" w:rsidP="00803BD1">
      <w:pPr>
        <w:ind w:left="851"/>
        <w:rPr>
          <w:sz w:val="24"/>
          <w:szCs w:val="24"/>
        </w:rPr>
      </w:pPr>
    </w:p>
    <w:p w:rsidR="00803BD1" w:rsidRDefault="00803BD1" w:rsidP="00803BD1">
      <w:pPr>
        <w:ind w:left="851"/>
        <w:rPr>
          <w:sz w:val="24"/>
          <w:szCs w:val="24"/>
        </w:rPr>
      </w:pPr>
      <w:r>
        <w:rPr>
          <w:sz w:val="24"/>
          <w:szCs w:val="24"/>
        </w:rPr>
        <w:t>Emtricitabine/Tenofovir disoproxil "Sandoz" er også indiceret til behandling af hiv 1-inficerede unge med NRTI-resistens eller -toksicitet, der udelukker brug af førstevalgspræparater (se pkt. 4.2, 4.4 og 5.1).</w:t>
      </w:r>
    </w:p>
    <w:p w:rsidR="00803BD1" w:rsidRDefault="00803BD1" w:rsidP="00803BD1">
      <w:pPr>
        <w:rPr>
          <w:sz w:val="24"/>
          <w:szCs w:val="24"/>
        </w:rPr>
      </w:pPr>
      <w:r>
        <w:rPr>
          <w:sz w:val="24"/>
          <w:szCs w:val="24"/>
        </w:rPr>
        <w:br w:type="page"/>
      </w:r>
    </w:p>
    <w:p w:rsidR="00803BD1" w:rsidRDefault="00803BD1" w:rsidP="00803BD1">
      <w:pPr>
        <w:ind w:left="851"/>
        <w:rPr>
          <w:sz w:val="24"/>
          <w:szCs w:val="24"/>
        </w:rPr>
      </w:pPr>
    </w:p>
    <w:p w:rsidR="00803BD1" w:rsidRDefault="00803BD1" w:rsidP="00803BD1">
      <w:pPr>
        <w:autoSpaceDE w:val="0"/>
        <w:autoSpaceDN w:val="0"/>
        <w:adjustRightInd w:val="0"/>
        <w:ind w:left="851"/>
        <w:rPr>
          <w:i/>
          <w:iCs/>
          <w:sz w:val="24"/>
          <w:szCs w:val="24"/>
          <w:lang w:eastAsia="da-DK"/>
        </w:rPr>
      </w:pPr>
      <w:r>
        <w:rPr>
          <w:i/>
          <w:iCs/>
          <w:sz w:val="24"/>
          <w:szCs w:val="24"/>
          <w:lang w:eastAsia="da-DK"/>
        </w:rPr>
        <w:t>Profylakse før eksponering (Pre-exposure prophylaxis, PrEP):</w:t>
      </w:r>
    </w:p>
    <w:p w:rsidR="00803BD1" w:rsidRDefault="00803BD1" w:rsidP="00803BD1">
      <w:pPr>
        <w:autoSpaceDE w:val="0"/>
        <w:autoSpaceDN w:val="0"/>
        <w:adjustRightInd w:val="0"/>
        <w:ind w:left="851"/>
        <w:rPr>
          <w:sz w:val="24"/>
          <w:szCs w:val="24"/>
        </w:rPr>
      </w:pPr>
      <w:r>
        <w:rPr>
          <w:sz w:val="24"/>
          <w:szCs w:val="24"/>
        </w:rPr>
        <w:t xml:space="preserve">Emtricitabine/Tenofovir disoproxil "Sandoz" </w:t>
      </w:r>
      <w:r>
        <w:rPr>
          <w:sz w:val="24"/>
          <w:szCs w:val="24"/>
          <w:lang w:eastAsia="da-DK"/>
        </w:rPr>
        <w:t>er i kombination med god praksis for sikker sex indiceret som profylakse før eksponering for at mindske risikoen for seksuelt erhvervet hiv 1-infektion hos meget udsatte voksne og unge (se pkt. 4.2, 4.4 og 5.1).</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4.2</w:t>
      </w:r>
      <w:r w:rsidRPr="004C3DE3">
        <w:rPr>
          <w:b/>
          <w:sz w:val="24"/>
          <w:szCs w:val="24"/>
        </w:rPr>
        <w:tab/>
        <w:t xml:space="preserve">Dosering og </w:t>
      </w:r>
      <w:r w:rsidR="00FC356F">
        <w:rPr>
          <w:b/>
          <w:sz w:val="24"/>
          <w:szCs w:val="24"/>
        </w:rPr>
        <w:t>administration</w:t>
      </w:r>
    </w:p>
    <w:p w:rsidR="0057668F" w:rsidRPr="004C3DE3" w:rsidRDefault="0057668F" w:rsidP="0057668F">
      <w:pPr>
        <w:ind w:left="851"/>
        <w:rPr>
          <w:sz w:val="24"/>
          <w:szCs w:val="24"/>
        </w:rPr>
      </w:pPr>
      <w:r w:rsidRPr="004C3DE3">
        <w:rPr>
          <w:sz w:val="24"/>
          <w:szCs w:val="24"/>
        </w:rPr>
        <w:t xml:space="preserve">Emtricitabine/Tenofovir disoproxil </w:t>
      </w:r>
      <w:r>
        <w:rPr>
          <w:sz w:val="24"/>
          <w:szCs w:val="24"/>
        </w:rPr>
        <w:t>"</w:t>
      </w:r>
      <w:r w:rsidRPr="004C3DE3">
        <w:rPr>
          <w:sz w:val="24"/>
          <w:szCs w:val="24"/>
        </w:rPr>
        <w:t>Sandoz</w:t>
      </w:r>
      <w:r>
        <w:rPr>
          <w:sz w:val="24"/>
          <w:szCs w:val="24"/>
        </w:rPr>
        <w:t>"</w:t>
      </w:r>
      <w:r w:rsidRPr="004C3DE3">
        <w:rPr>
          <w:sz w:val="24"/>
          <w:szCs w:val="24"/>
        </w:rPr>
        <w:t xml:space="preserve"> skal initieres af en læge, som har erfaring med behandling af hiv-infektion.</w:t>
      </w:r>
    </w:p>
    <w:p w:rsidR="0057668F" w:rsidRPr="004C3DE3" w:rsidRDefault="0057668F" w:rsidP="0057668F">
      <w:pPr>
        <w:ind w:left="851"/>
        <w:rPr>
          <w:sz w:val="24"/>
          <w:szCs w:val="24"/>
          <w:u w:val="single"/>
        </w:rPr>
      </w:pPr>
    </w:p>
    <w:p w:rsidR="0057668F" w:rsidRPr="004C3DE3" w:rsidRDefault="0057668F" w:rsidP="0057668F">
      <w:pPr>
        <w:ind w:left="851"/>
        <w:rPr>
          <w:sz w:val="24"/>
          <w:szCs w:val="24"/>
          <w:u w:val="single"/>
        </w:rPr>
      </w:pPr>
      <w:r w:rsidRPr="004C3DE3">
        <w:rPr>
          <w:sz w:val="24"/>
          <w:szCs w:val="24"/>
          <w:u w:val="single"/>
        </w:rPr>
        <w:t>Dosering</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i/>
          <w:sz w:val="24"/>
          <w:szCs w:val="24"/>
        </w:rPr>
        <w:t>Behandling af hiv hos voksne og unge i alderen 12 år og derover, der vejer mindst 35 kg:</w:t>
      </w:r>
      <w:r w:rsidRPr="004C3DE3">
        <w:rPr>
          <w:sz w:val="24"/>
          <w:szCs w:val="24"/>
        </w:rPr>
        <w:t xml:space="preserve"> En tablet en gang dagligt.</w:t>
      </w:r>
    </w:p>
    <w:p w:rsidR="0057668F" w:rsidRPr="00FC356F" w:rsidRDefault="0057668F" w:rsidP="0057668F">
      <w:pPr>
        <w:ind w:left="851"/>
        <w:rPr>
          <w:i/>
          <w:iCs/>
          <w:sz w:val="24"/>
          <w:szCs w:val="24"/>
          <w:lang w:eastAsia="da-DK"/>
        </w:rPr>
      </w:pPr>
    </w:p>
    <w:p w:rsidR="00803BD1" w:rsidRPr="00FC356F" w:rsidRDefault="00803BD1" w:rsidP="00803BD1">
      <w:pPr>
        <w:ind w:left="851"/>
        <w:rPr>
          <w:sz w:val="24"/>
          <w:szCs w:val="24"/>
          <w:lang w:eastAsia="da-DK"/>
        </w:rPr>
      </w:pPr>
      <w:r w:rsidRPr="00FC356F">
        <w:rPr>
          <w:i/>
          <w:iCs/>
          <w:sz w:val="24"/>
          <w:szCs w:val="24"/>
          <w:lang w:eastAsia="da-DK"/>
        </w:rPr>
        <w:t xml:space="preserve">Forebyggelse af hiv hos voksne </w:t>
      </w:r>
      <w:r w:rsidRPr="00FC356F">
        <w:rPr>
          <w:i/>
          <w:iCs/>
          <w:sz w:val="24"/>
          <w:szCs w:val="24"/>
        </w:rPr>
        <w:t>og unge i alderen 12 år og derover, der vejer mindst 35 kg</w:t>
      </w:r>
      <w:r w:rsidRPr="00FC356F">
        <w:rPr>
          <w:i/>
          <w:iCs/>
          <w:sz w:val="24"/>
          <w:szCs w:val="24"/>
          <w:lang w:eastAsia="da-DK"/>
        </w:rPr>
        <w:t xml:space="preserve">: </w:t>
      </w:r>
      <w:r w:rsidRPr="00FC356F">
        <w:rPr>
          <w:sz w:val="24"/>
          <w:szCs w:val="24"/>
          <w:lang w:eastAsia="da-DK"/>
        </w:rPr>
        <w:t>En tablet en gang dagligt.</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Der findes separate præparater med emtricitabin og tenofovirdisoproxil til behandling af hiv 1-infektion, hvis det bliver nødvendigt at seponere eller ændre dosen af et af indholdsstofferne i Emtricitabine/Tenofovir disoproxil </w:t>
      </w:r>
      <w:r>
        <w:rPr>
          <w:sz w:val="24"/>
          <w:szCs w:val="24"/>
        </w:rPr>
        <w:t>"</w:t>
      </w:r>
      <w:r w:rsidRPr="004C3DE3">
        <w:rPr>
          <w:sz w:val="24"/>
          <w:szCs w:val="24"/>
        </w:rPr>
        <w:t>Sandoz</w:t>
      </w:r>
      <w:r>
        <w:rPr>
          <w:sz w:val="24"/>
          <w:szCs w:val="24"/>
        </w:rPr>
        <w:t>"</w:t>
      </w:r>
      <w:r w:rsidRPr="004C3DE3">
        <w:rPr>
          <w:sz w:val="24"/>
          <w:szCs w:val="24"/>
        </w:rPr>
        <w:t>. Der henvises til produktresuméerne til disse lægemidler.</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Hvis en patient glemmer at tage en dosis Emtricitabine/Tenofovir disoproxil </w:t>
      </w:r>
      <w:r>
        <w:rPr>
          <w:sz w:val="24"/>
          <w:szCs w:val="24"/>
        </w:rPr>
        <w:t>"</w:t>
      </w:r>
      <w:r w:rsidRPr="004C3DE3">
        <w:rPr>
          <w:sz w:val="24"/>
          <w:szCs w:val="24"/>
        </w:rPr>
        <w:t>Sandoz</w:t>
      </w:r>
      <w:r>
        <w:rPr>
          <w:sz w:val="24"/>
          <w:szCs w:val="24"/>
        </w:rPr>
        <w:t>"</w:t>
      </w:r>
      <w:r w:rsidRPr="004C3DE3">
        <w:rPr>
          <w:sz w:val="24"/>
          <w:szCs w:val="24"/>
        </w:rPr>
        <w:t xml:space="preserve"> i 12 timer efter tidspunktet, hvor dosen normalt skulle tages, skal patienten tage Emtricitabine/Tenofovir disoproxil </w:t>
      </w:r>
      <w:r>
        <w:rPr>
          <w:sz w:val="24"/>
          <w:szCs w:val="24"/>
        </w:rPr>
        <w:t>"</w:t>
      </w:r>
      <w:r w:rsidRPr="004C3DE3">
        <w:rPr>
          <w:sz w:val="24"/>
          <w:szCs w:val="24"/>
        </w:rPr>
        <w:t>Sandoz</w:t>
      </w:r>
      <w:r>
        <w:rPr>
          <w:sz w:val="24"/>
          <w:szCs w:val="24"/>
        </w:rPr>
        <w:t>"</w:t>
      </w:r>
      <w:r w:rsidRPr="004C3DE3">
        <w:rPr>
          <w:sz w:val="24"/>
          <w:szCs w:val="24"/>
        </w:rPr>
        <w:t xml:space="preserve"> sammen med mad så snart som muligt og derefter fortsætte i henhold til den næste dosis. Hvis en patient glemmer at tage en dosis Emtricitabine/Tenofovir disoproxil </w:t>
      </w:r>
      <w:r>
        <w:rPr>
          <w:sz w:val="24"/>
          <w:szCs w:val="24"/>
        </w:rPr>
        <w:t>"</w:t>
      </w:r>
      <w:r w:rsidRPr="004C3DE3">
        <w:rPr>
          <w:sz w:val="24"/>
          <w:szCs w:val="24"/>
        </w:rPr>
        <w:t>Sandoz</w:t>
      </w:r>
      <w:r>
        <w:rPr>
          <w:sz w:val="24"/>
          <w:szCs w:val="24"/>
        </w:rPr>
        <w:t>"</w:t>
      </w:r>
      <w:r w:rsidRPr="004C3DE3">
        <w:rPr>
          <w:sz w:val="24"/>
          <w:szCs w:val="24"/>
        </w:rPr>
        <w:t xml:space="preserve"> i mere end 12 timer, og det næsten er tid til den næste dosis, skal den glemte dosis ikke tages, men den normale doseringsplan genoptages.</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Hvis patienten kaster op inden for 1 time efter at have taget Emtricitabine/Tenofovir disoproxil </w:t>
      </w:r>
      <w:r>
        <w:rPr>
          <w:sz w:val="24"/>
          <w:szCs w:val="24"/>
        </w:rPr>
        <w:t>"</w:t>
      </w:r>
      <w:r w:rsidRPr="004C3DE3">
        <w:rPr>
          <w:sz w:val="24"/>
          <w:szCs w:val="24"/>
        </w:rPr>
        <w:t>Sandoz</w:t>
      </w:r>
      <w:r>
        <w:rPr>
          <w:sz w:val="24"/>
          <w:szCs w:val="24"/>
        </w:rPr>
        <w:t>"</w:t>
      </w:r>
      <w:r w:rsidRPr="004C3DE3">
        <w:rPr>
          <w:sz w:val="24"/>
          <w:szCs w:val="24"/>
        </w:rPr>
        <w:t xml:space="preserve">, skal der tages en ny tablet. Hvis patienten kaster op mere end 1 time efter at have taget Emtricitabine/Tenofovir disoproxil </w:t>
      </w:r>
      <w:r>
        <w:rPr>
          <w:sz w:val="24"/>
          <w:szCs w:val="24"/>
        </w:rPr>
        <w:t>"</w:t>
      </w:r>
      <w:r w:rsidRPr="004C3DE3">
        <w:rPr>
          <w:sz w:val="24"/>
          <w:szCs w:val="24"/>
        </w:rPr>
        <w:t>Sandoz</w:t>
      </w:r>
      <w:r>
        <w:rPr>
          <w:sz w:val="24"/>
          <w:szCs w:val="24"/>
        </w:rPr>
        <w:t>"</w:t>
      </w:r>
      <w:r w:rsidRPr="004C3DE3">
        <w:rPr>
          <w:sz w:val="24"/>
          <w:szCs w:val="24"/>
        </w:rPr>
        <w:t>, må patienten ikke tage en ny dosis.</w:t>
      </w:r>
    </w:p>
    <w:p w:rsidR="0057668F" w:rsidRPr="004C3DE3" w:rsidRDefault="0057668F" w:rsidP="0057668F">
      <w:pPr>
        <w:ind w:left="851"/>
        <w:rPr>
          <w:i/>
          <w:sz w:val="24"/>
          <w:szCs w:val="24"/>
        </w:rPr>
      </w:pPr>
    </w:p>
    <w:p w:rsidR="0057668F" w:rsidRPr="004C3DE3" w:rsidRDefault="0057668F" w:rsidP="0057668F">
      <w:pPr>
        <w:ind w:left="851"/>
        <w:rPr>
          <w:i/>
          <w:sz w:val="24"/>
          <w:szCs w:val="24"/>
          <w:u w:val="single"/>
        </w:rPr>
      </w:pPr>
      <w:r w:rsidRPr="004C3DE3">
        <w:rPr>
          <w:i/>
          <w:sz w:val="24"/>
          <w:szCs w:val="24"/>
          <w:u w:val="single"/>
        </w:rPr>
        <w:t>Særlige populationer</w:t>
      </w:r>
    </w:p>
    <w:p w:rsidR="0057668F" w:rsidRPr="004C3DE3" w:rsidRDefault="0057668F" w:rsidP="0057668F">
      <w:pPr>
        <w:ind w:left="851"/>
        <w:rPr>
          <w:i/>
          <w:sz w:val="24"/>
          <w:szCs w:val="24"/>
          <w:u w:val="single"/>
        </w:rPr>
      </w:pPr>
    </w:p>
    <w:p w:rsidR="0057668F" w:rsidRPr="004C3DE3" w:rsidRDefault="0057668F" w:rsidP="0057668F">
      <w:pPr>
        <w:ind w:left="851"/>
        <w:rPr>
          <w:sz w:val="24"/>
          <w:szCs w:val="24"/>
        </w:rPr>
      </w:pPr>
      <w:r w:rsidRPr="004C3DE3">
        <w:rPr>
          <w:i/>
          <w:sz w:val="24"/>
          <w:szCs w:val="24"/>
        </w:rPr>
        <w:t xml:space="preserve">Ældre: </w:t>
      </w:r>
      <w:r w:rsidRPr="004C3DE3">
        <w:rPr>
          <w:sz w:val="24"/>
          <w:szCs w:val="24"/>
        </w:rPr>
        <w:t>Dosisjustering er ikke nødvendig (se pkt. 5.2).</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i/>
          <w:sz w:val="24"/>
          <w:szCs w:val="24"/>
        </w:rPr>
        <w:t>N</w:t>
      </w:r>
      <w:r w:rsidRPr="004C3DE3">
        <w:rPr>
          <w:i/>
          <w:iCs/>
          <w:sz w:val="24"/>
          <w:szCs w:val="24"/>
        </w:rPr>
        <w:t xml:space="preserve">edsat nyrefunktion: </w:t>
      </w:r>
      <w:r w:rsidRPr="004C3DE3">
        <w:rPr>
          <w:sz w:val="24"/>
          <w:szCs w:val="24"/>
        </w:rPr>
        <w:t xml:space="preserve">Emtricitabin og tenofovir udskilles via nyrerne, og eksponeringen for emtricitabin og tenofovir øges hos patienter med nyredysfunktion (se pkt. 4.4 og 5.2). </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i/>
          <w:sz w:val="24"/>
          <w:szCs w:val="24"/>
        </w:rPr>
        <w:t>Voksne med n</w:t>
      </w:r>
      <w:r w:rsidRPr="004C3DE3">
        <w:rPr>
          <w:i/>
          <w:iCs/>
          <w:sz w:val="24"/>
          <w:szCs w:val="24"/>
        </w:rPr>
        <w:t>edsat nyrefunktion:</w:t>
      </w:r>
    </w:p>
    <w:p w:rsidR="0057668F" w:rsidRPr="004C3DE3" w:rsidRDefault="0057668F" w:rsidP="0057668F">
      <w:pPr>
        <w:ind w:left="851"/>
        <w:rPr>
          <w:sz w:val="24"/>
          <w:szCs w:val="24"/>
        </w:rPr>
      </w:pPr>
      <w:r w:rsidRPr="004C3DE3">
        <w:rPr>
          <w:sz w:val="24"/>
          <w:szCs w:val="24"/>
        </w:rPr>
        <w:t xml:space="preserve">Emtricitabine/Tenofovir disoproxil </w:t>
      </w:r>
      <w:r>
        <w:rPr>
          <w:sz w:val="24"/>
          <w:szCs w:val="24"/>
        </w:rPr>
        <w:t>"</w:t>
      </w:r>
      <w:r w:rsidRPr="004C3DE3">
        <w:rPr>
          <w:sz w:val="24"/>
          <w:szCs w:val="24"/>
        </w:rPr>
        <w:t>Sandoz</w:t>
      </w:r>
      <w:r>
        <w:rPr>
          <w:sz w:val="24"/>
          <w:szCs w:val="24"/>
        </w:rPr>
        <w:t>"</w:t>
      </w:r>
      <w:r w:rsidRPr="004C3DE3">
        <w:rPr>
          <w:sz w:val="24"/>
          <w:szCs w:val="24"/>
        </w:rPr>
        <w:t xml:space="preserve"> bør kun anvendes hos personer med kreatininclearance (CrCl) &lt; 80 ml/min, hvis de potentielle fordele anses for at opveje de potentielle risici. Se Tabel 1.</w:t>
      </w:r>
    </w:p>
    <w:p w:rsidR="0057668F" w:rsidRDefault="0057668F" w:rsidP="0057668F">
      <w:pPr>
        <w:rPr>
          <w:sz w:val="24"/>
          <w:szCs w:val="24"/>
        </w:rPr>
      </w:pPr>
      <w:r>
        <w:rPr>
          <w:sz w:val="24"/>
          <w:szCs w:val="24"/>
        </w:rPr>
        <w:br w:type="page"/>
      </w:r>
    </w:p>
    <w:p w:rsidR="0057668F" w:rsidRPr="004C3DE3" w:rsidRDefault="0057668F" w:rsidP="0057668F">
      <w:pPr>
        <w:ind w:left="851" w:hanging="851"/>
        <w:rPr>
          <w:sz w:val="24"/>
          <w:szCs w:val="24"/>
        </w:rPr>
      </w:pPr>
    </w:p>
    <w:p w:rsidR="00803BD1" w:rsidRDefault="00803BD1" w:rsidP="00803BD1">
      <w:pPr>
        <w:ind w:left="851" w:hanging="851"/>
        <w:rPr>
          <w:b/>
          <w:sz w:val="24"/>
          <w:szCs w:val="24"/>
        </w:rPr>
      </w:pPr>
      <w:r>
        <w:rPr>
          <w:b/>
          <w:sz w:val="24"/>
          <w:szCs w:val="24"/>
        </w:rPr>
        <w:t>Tabel 1: Doseringsanbefalinger hos voksne med nedsat nyrefunktion</w:t>
      </w:r>
    </w:p>
    <w:p w:rsidR="00803BD1" w:rsidRDefault="00803BD1" w:rsidP="00803BD1">
      <w:pPr>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260"/>
        <w:gridCol w:w="3406"/>
      </w:tblGrid>
      <w:tr w:rsidR="00FC356F" w:rsidRPr="00A00A3C" w:rsidTr="00FC356F">
        <w:tc>
          <w:tcPr>
            <w:tcW w:w="1538"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18"/>
              </w:rPr>
            </w:pPr>
          </w:p>
        </w:tc>
        <w:tc>
          <w:tcPr>
            <w:tcW w:w="1693"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18"/>
              </w:rPr>
            </w:pPr>
            <w:r w:rsidRPr="009D75B2">
              <w:rPr>
                <w:b/>
                <w:bCs/>
                <w:color w:val="000000"/>
                <w:sz w:val="22"/>
                <w:szCs w:val="18"/>
              </w:rPr>
              <w:t>Behandling af hiv-1-infektion</w:t>
            </w:r>
          </w:p>
        </w:tc>
        <w:tc>
          <w:tcPr>
            <w:tcW w:w="1769"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18"/>
              </w:rPr>
            </w:pPr>
            <w:r w:rsidRPr="009D75B2">
              <w:rPr>
                <w:b/>
                <w:bCs/>
                <w:color w:val="000000"/>
                <w:sz w:val="22"/>
                <w:szCs w:val="18"/>
              </w:rPr>
              <w:t>Profylakse før eksponering</w:t>
            </w:r>
          </w:p>
        </w:tc>
      </w:tr>
      <w:tr w:rsidR="00FC356F" w:rsidRPr="00A00A3C" w:rsidTr="00FC356F">
        <w:tc>
          <w:tcPr>
            <w:tcW w:w="1538"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color w:val="000000"/>
                <w:sz w:val="22"/>
                <w:szCs w:val="18"/>
                <w:lang w:eastAsia="en-GB"/>
              </w:rPr>
            </w:pPr>
            <w:r w:rsidRPr="009D75B2">
              <w:rPr>
                <w:color w:val="000000"/>
                <w:sz w:val="22"/>
                <w:szCs w:val="18"/>
                <w:lang w:eastAsia="en-GB"/>
              </w:rPr>
              <w:t xml:space="preserve">Let nedsat nyrefunktion </w:t>
            </w:r>
          </w:p>
          <w:p w:rsidR="00FC356F" w:rsidRPr="009D75B2" w:rsidRDefault="00FC356F" w:rsidP="00FC356F">
            <w:pPr>
              <w:rPr>
                <w:color w:val="000000"/>
                <w:sz w:val="22"/>
                <w:szCs w:val="18"/>
                <w:lang w:eastAsia="en-GB"/>
              </w:rPr>
            </w:pPr>
            <w:r w:rsidRPr="009D75B2">
              <w:rPr>
                <w:color w:val="000000"/>
                <w:sz w:val="22"/>
                <w:szCs w:val="18"/>
                <w:lang w:eastAsia="en-GB"/>
              </w:rPr>
              <w:t xml:space="preserve">(CrCl 50-80 ml/min) </w:t>
            </w:r>
          </w:p>
          <w:p w:rsidR="00FC356F" w:rsidRPr="009D75B2" w:rsidRDefault="00FC356F" w:rsidP="00FC356F">
            <w:pPr>
              <w:rPr>
                <w:sz w:val="22"/>
                <w:szCs w:val="18"/>
              </w:rPr>
            </w:pPr>
          </w:p>
        </w:tc>
        <w:tc>
          <w:tcPr>
            <w:tcW w:w="1693"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color w:val="000000"/>
                <w:sz w:val="22"/>
                <w:szCs w:val="18"/>
              </w:rPr>
            </w:pPr>
            <w:r w:rsidRPr="009D75B2">
              <w:rPr>
                <w:color w:val="000000"/>
                <w:sz w:val="22"/>
                <w:szCs w:val="18"/>
              </w:rPr>
              <w:t>Begrænsede data fra kliniske studier understøtter dosering af én gang dagligt (se pkt. 4.4).</w:t>
            </w:r>
          </w:p>
        </w:tc>
        <w:tc>
          <w:tcPr>
            <w:tcW w:w="1769"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18"/>
              </w:rPr>
            </w:pPr>
            <w:r w:rsidRPr="009D75B2">
              <w:rPr>
                <w:color w:val="000000"/>
                <w:sz w:val="22"/>
                <w:szCs w:val="18"/>
              </w:rPr>
              <w:t>Begrænsede data fra kliniske studier understøtter dosering én gang dagligt hos personer uden hiv 1-infektion med CrCl 60-80 ml/min. Anbefales ikke til personer uden hiv 1-infektion med CrCl &lt; 60 ml/min, da det ikke er undersøgt hos denne population (se pkt. 4.4 og 5.2).</w:t>
            </w:r>
          </w:p>
        </w:tc>
      </w:tr>
      <w:tr w:rsidR="00FC356F" w:rsidRPr="00A00A3C" w:rsidTr="00FC356F">
        <w:tc>
          <w:tcPr>
            <w:tcW w:w="15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18"/>
              </w:rPr>
            </w:pPr>
            <w:r w:rsidRPr="009D75B2">
              <w:rPr>
                <w:color w:val="000000"/>
                <w:sz w:val="22"/>
                <w:szCs w:val="18"/>
              </w:rPr>
              <w:t>Moderat nedsat nyrefunktion (CrCl 30-49 ml/min)</w:t>
            </w:r>
          </w:p>
        </w:tc>
        <w:tc>
          <w:tcPr>
            <w:tcW w:w="1693"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color w:val="000000"/>
                <w:sz w:val="22"/>
                <w:szCs w:val="18"/>
              </w:rPr>
            </w:pPr>
            <w:r w:rsidRPr="009D75B2">
              <w:rPr>
                <w:sz w:val="22"/>
                <w:szCs w:val="18"/>
              </w:rPr>
              <w:t>Ud fra modellering af farmakokinetiske data for enkeltdosis af emtricitabin og tenofovirdisoproxil hos ikke-hiv-inficerede forsøgspersoner med varierende grader af nedsat nyrefunktion anbefales det at administrere hver 48. time (se pkt. 4.4).</w:t>
            </w:r>
          </w:p>
        </w:tc>
        <w:tc>
          <w:tcPr>
            <w:tcW w:w="1769"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18"/>
              </w:rPr>
            </w:pPr>
            <w:r w:rsidRPr="009D75B2">
              <w:rPr>
                <w:color w:val="000000"/>
                <w:sz w:val="22"/>
                <w:szCs w:val="18"/>
              </w:rPr>
              <w:t>Anbefales ikke til denne population.</w:t>
            </w:r>
          </w:p>
          <w:p w:rsidR="00FC356F" w:rsidRPr="009D75B2" w:rsidRDefault="00FC356F" w:rsidP="00FC356F">
            <w:pPr>
              <w:rPr>
                <w:sz w:val="22"/>
                <w:szCs w:val="18"/>
              </w:rPr>
            </w:pPr>
          </w:p>
        </w:tc>
      </w:tr>
      <w:tr w:rsidR="00FC356F" w:rsidRPr="00A00A3C" w:rsidTr="00FC356F">
        <w:tc>
          <w:tcPr>
            <w:tcW w:w="15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18"/>
              </w:rPr>
            </w:pPr>
            <w:r w:rsidRPr="009D75B2">
              <w:rPr>
                <w:color w:val="000000"/>
                <w:sz w:val="22"/>
                <w:szCs w:val="18"/>
              </w:rPr>
              <w:t>Svært nedsat nyrefunktion</w:t>
            </w:r>
            <w:r w:rsidRPr="009D75B2">
              <w:rPr>
                <w:color w:val="000000"/>
                <w:sz w:val="22"/>
                <w:szCs w:val="18"/>
              </w:rPr>
              <w:br/>
              <w:t xml:space="preserve"> (CrCl &lt;30ml/min) og hæmodialysepatienter</w:t>
            </w:r>
          </w:p>
        </w:tc>
        <w:tc>
          <w:tcPr>
            <w:tcW w:w="1693"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color w:val="000000"/>
                <w:sz w:val="22"/>
                <w:szCs w:val="18"/>
              </w:rPr>
            </w:pPr>
            <w:r w:rsidRPr="009D75B2">
              <w:rPr>
                <w:color w:val="000000"/>
                <w:sz w:val="22"/>
                <w:szCs w:val="18"/>
              </w:rPr>
              <w:t>Anbefales ikke, fordi der ikke kan opnås passende dosisreduktioner med kombinationstabletten.</w:t>
            </w:r>
          </w:p>
        </w:tc>
        <w:tc>
          <w:tcPr>
            <w:tcW w:w="1769"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18"/>
              </w:rPr>
            </w:pPr>
            <w:r w:rsidRPr="009D75B2">
              <w:rPr>
                <w:color w:val="000000"/>
                <w:sz w:val="22"/>
                <w:szCs w:val="18"/>
              </w:rPr>
              <w:t>Anbefales ikke til denne population.</w:t>
            </w:r>
          </w:p>
        </w:tc>
      </w:tr>
    </w:tbl>
    <w:p w:rsidR="00803BD1" w:rsidRDefault="00803BD1" w:rsidP="00803BD1">
      <w:pPr>
        <w:ind w:left="851" w:hanging="851"/>
        <w:rPr>
          <w:sz w:val="24"/>
          <w:szCs w:val="24"/>
        </w:rPr>
      </w:pPr>
    </w:p>
    <w:p w:rsidR="00803BD1" w:rsidRDefault="00803BD1" w:rsidP="00803BD1">
      <w:pPr>
        <w:ind w:left="851"/>
        <w:rPr>
          <w:i/>
          <w:sz w:val="24"/>
          <w:szCs w:val="24"/>
        </w:rPr>
      </w:pPr>
      <w:r>
        <w:rPr>
          <w:i/>
          <w:sz w:val="24"/>
          <w:szCs w:val="24"/>
        </w:rPr>
        <w:t>Pædiatriske patienter med nedsat nyrefunktion:</w:t>
      </w:r>
    </w:p>
    <w:p w:rsidR="00803BD1" w:rsidRDefault="00803BD1" w:rsidP="00803BD1">
      <w:pPr>
        <w:ind w:left="851"/>
        <w:rPr>
          <w:sz w:val="24"/>
          <w:szCs w:val="24"/>
        </w:rPr>
      </w:pPr>
      <w:r>
        <w:rPr>
          <w:sz w:val="24"/>
          <w:szCs w:val="24"/>
        </w:rPr>
        <w:t>Frarådes hos personer under 18 år med nedsat nyrefunktion (se pkt. 4.4).</w:t>
      </w:r>
    </w:p>
    <w:p w:rsidR="00803BD1" w:rsidRDefault="00803BD1" w:rsidP="00803BD1">
      <w:pPr>
        <w:ind w:left="851"/>
        <w:rPr>
          <w:sz w:val="24"/>
          <w:szCs w:val="24"/>
        </w:rPr>
      </w:pPr>
    </w:p>
    <w:p w:rsidR="00803BD1" w:rsidRDefault="00803BD1" w:rsidP="00803BD1">
      <w:pPr>
        <w:ind w:left="851"/>
        <w:rPr>
          <w:iCs/>
          <w:sz w:val="24"/>
          <w:szCs w:val="24"/>
        </w:rPr>
      </w:pPr>
      <w:r>
        <w:rPr>
          <w:i/>
          <w:iCs/>
          <w:sz w:val="24"/>
          <w:szCs w:val="24"/>
        </w:rPr>
        <w:t xml:space="preserve">Nedsat leverfunktion: </w:t>
      </w:r>
      <w:r>
        <w:rPr>
          <w:iCs/>
          <w:sz w:val="24"/>
          <w:szCs w:val="24"/>
        </w:rPr>
        <w:t>Dosisjustering er ikke nødvendig hos patienter med nedsat leverfunktion (se pkt. 4.4 og 5.2).</w:t>
      </w:r>
    </w:p>
    <w:p w:rsidR="00803BD1" w:rsidRDefault="00803BD1" w:rsidP="00803BD1">
      <w:pPr>
        <w:ind w:left="851"/>
        <w:rPr>
          <w:i/>
          <w:iCs/>
          <w:sz w:val="24"/>
          <w:szCs w:val="24"/>
        </w:rPr>
      </w:pPr>
    </w:p>
    <w:p w:rsidR="00803BD1" w:rsidRDefault="00803BD1" w:rsidP="00803BD1">
      <w:pPr>
        <w:ind w:left="851"/>
        <w:rPr>
          <w:sz w:val="24"/>
          <w:szCs w:val="24"/>
        </w:rPr>
      </w:pPr>
      <w:r>
        <w:rPr>
          <w:i/>
          <w:iCs/>
          <w:sz w:val="24"/>
          <w:szCs w:val="24"/>
        </w:rPr>
        <w:t xml:space="preserve">Pædiatrisk population: </w:t>
      </w:r>
      <w:r>
        <w:rPr>
          <w:sz w:val="24"/>
          <w:szCs w:val="24"/>
        </w:rPr>
        <w:t>Sikkerhed og virkning ved Emtricitabine/Tenofovir disoproxil "Sandoz" hos børn og unge under 12 år er ikke klarlagt (se pkt. 5.2).</w:t>
      </w:r>
    </w:p>
    <w:p w:rsidR="00803BD1" w:rsidRDefault="00803BD1" w:rsidP="00803BD1">
      <w:pPr>
        <w:ind w:left="851"/>
        <w:rPr>
          <w:sz w:val="24"/>
          <w:szCs w:val="24"/>
        </w:rPr>
      </w:pPr>
    </w:p>
    <w:p w:rsidR="00803BD1" w:rsidRDefault="00803BD1" w:rsidP="00803BD1">
      <w:pPr>
        <w:ind w:left="851"/>
        <w:rPr>
          <w:sz w:val="24"/>
          <w:szCs w:val="24"/>
          <w:u w:val="single"/>
        </w:rPr>
      </w:pPr>
      <w:r>
        <w:rPr>
          <w:sz w:val="24"/>
          <w:szCs w:val="24"/>
          <w:u w:val="single"/>
        </w:rPr>
        <w:t>Administration</w:t>
      </w:r>
    </w:p>
    <w:p w:rsidR="00FC356F" w:rsidRDefault="00FC356F" w:rsidP="00803BD1">
      <w:pPr>
        <w:ind w:left="851"/>
        <w:rPr>
          <w:sz w:val="24"/>
          <w:szCs w:val="24"/>
          <w:u w:val="single"/>
        </w:rPr>
      </w:pPr>
    </w:p>
    <w:p w:rsidR="00803BD1" w:rsidRDefault="00803BD1" w:rsidP="00803BD1">
      <w:pPr>
        <w:ind w:left="851"/>
        <w:rPr>
          <w:sz w:val="24"/>
          <w:szCs w:val="24"/>
        </w:rPr>
      </w:pPr>
      <w:r>
        <w:rPr>
          <w:sz w:val="24"/>
          <w:szCs w:val="24"/>
        </w:rPr>
        <w:t>Oral administration. Emtricitabine/Tenofovir disoproxil "Sandoz" skal helst tages sammen med mad.</w:t>
      </w:r>
    </w:p>
    <w:p w:rsidR="00803BD1" w:rsidRDefault="00803BD1" w:rsidP="00803BD1">
      <w:pPr>
        <w:ind w:left="851"/>
        <w:rPr>
          <w:sz w:val="24"/>
          <w:szCs w:val="24"/>
        </w:rPr>
      </w:pPr>
    </w:p>
    <w:p w:rsidR="00803BD1" w:rsidRDefault="00803BD1" w:rsidP="00803BD1">
      <w:pPr>
        <w:ind w:left="851"/>
        <w:rPr>
          <w:i/>
          <w:sz w:val="24"/>
          <w:szCs w:val="24"/>
        </w:rPr>
      </w:pPr>
      <w:r>
        <w:rPr>
          <w:sz w:val="24"/>
          <w:szCs w:val="24"/>
        </w:rPr>
        <w:t>Emtricitabine/Tenofovir disoproxil "Sandoz" kan indgives umiddelbart efter, at tabletten er opløst i ca. 100 ml vand, appelsinjuice eller druesaft.</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4.3</w:t>
      </w:r>
      <w:r w:rsidRPr="004C3DE3">
        <w:rPr>
          <w:b/>
          <w:sz w:val="24"/>
          <w:szCs w:val="24"/>
        </w:rPr>
        <w:tab/>
        <w:t>Kontraindikationer</w:t>
      </w:r>
    </w:p>
    <w:p w:rsidR="0057668F" w:rsidRPr="004C3DE3" w:rsidRDefault="0057668F" w:rsidP="0057668F">
      <w:pPr>
        <w:ind w:left="851"/>
        <w:rPr>
          <w:sz w:val="24"/>
          <w:szCs w:val="24"/>
        </w:rPr>
      </w:pPr>
      <w:r w:rsidRPr="004C3DE3">
        <w:rPr>
          <w:sz w:val="24"/>
          <w:szCs w:val="24"/>
        </w:rPr>
        <w:t>Overfølsomhed over for de aktive stoffer eller over for et eller flere af hjælpestofferne anført i pkt. 6.1.</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Profylaktisk brug før eksponering hos personer med ukendt eller positiv hiv 1-status.</w:t>
      </w:r>
    </w:p>
    <w:p w:rsidR="0057668F" w:rsidRDefault="0057668F" w:rsidP="0057668F">
      <w:pPr>
        <w:tabs>
          <w:tab w:val="left" w:pos="851"/>
        </w:tabs>
        <w:ind w:left="851" w:hanging="851"/>
        <w:rPr>
          <w:sz w:val="24"/>
          <w:szCs w:val="24"/>
        </w:rPr>
      </w:pPr>
    </w:p>
    <w:p w:rsidR="00FC356F" w:rsidRDefault="00FC356F" w:rsidP="0057668F">
      <w:pPr>
        <w:tabs>
          <w:tab w:val="left" w:pos="851"/>
        </w:tabs>
        <w:ind w:left="851" w:hanging="851"/>
        <w:rPr>
          <w:sz w:val="24"/>
          <w:szCs w:val="24"/>
        </w:rPr>
      </w:pPr>
    </w:p>
    <w:p w:rsidR="00FC356F" w:rsidRPr="004C3DE3" w:rsidRDefault="00FC356F" w:rsidP="0057668F">
      <w:pPr>
        <w:tabs>
          <w:tab w:val="left" w:pos="851"/>
        </w:tabs>
        <w:ind w:left="851" w:hanging="851"/>
        <w:rPr>
          <w:sz w:val="24"/>
          <w:szCs w:val="24"/>
        </w:rPr>
      </w:pPr>
    </w:p>
    <w:p w:rsidR="0057668F" w:rsidRDefault="0057668F" w:rsidP="00FC356F">
      <w:pPr>
        <w:keepNext/>
        <w:tabs>
          <w:tab w:val="left" w:pos="851"/>
        </w:tabs>
        <w:ind w:left="851" w:hanging="851"/>
        <w:rPr>
          <w:b/>
          <w:sz w:val="24"/>
          <w:szCs w:val="24"/>
        </w:rPr>
      </w:pPr>
      <w:r w:rsidRPr="004C3DE3">
        <w:rPr>
          <w:b/>
          <w:sz w:val="24"/>
          <w:szCs w:val="24"/>
        </w:rPr>
        <w:lastRenderedPageBreak/>
        <w:t>4.4</w:t>
      </w:r>
      <w:r w:rsidRPr="004C3DE3">
        <w:rPr>
          <w:b/>
          <w:sz w:val="24"/>
          <w:szCs w:val="24"/>
        </w:rPr>
        <w:tab/>
        <w:t>Særlige advarsler og forsigtighedsregler vedrørende brugen</w:t>
      </w:r>
    </w:p>
    <w:p w:rsidR="00FC356F" w:rsidRPr="00FC356F" w:rsidRDefault="00FC356F" w:rsidP="00FC356F">
      <w:pPr>
        <w:keepNext/>
        <w:tabs>
          <w:tab w:val="left" w:pos="851"/>
        </w:tabs>
        <w:ind w:left="851" w:hanging="851"/>
        <w:rPr>
          <w:b/>
          <w:sz w:val="24"/>
          <w:szCs w:val="24"/>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Patienter med hiv 1, som indeholder mutationer</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Kombinationen af emtricitabin og tenofovirdisoproxil bør undgås hos tidligere antiretroviral-erfarne patienter med hiv 1, som har K65R-mutationen (se pkt. 5.1).</w:t>
      </w:r>
    </w:p>
    <w:p w:rsidR="0057668F" w:rsidRPr="004C3DE3" w:rsidRDefault="0057668F" w:rsidP="0057668F">
      <w:pPr>
        <w:autoSpaceDE w:val="0"/>
        <w:autoSpaceDN w:val="0"/>
        <w:adjustRightInd w:val="0"/>
        <w:ind w:left="851"/>
        <w:rPr>
          <w:sz w:val="24"/>
          <w:szCs w:val="24"/>
          <w:lang w:eastAsia="da-DK"/>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Generel strategi til forebyggelse af hiv 1-infektion</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Kombinationen af emtricitabin og tenofovirdisoproxil er ikke altid effektivt med hensyn til at forebygge smitte med hiv 1. Det vides ikke, hvor lang tid der går efter start af</w:t>
      </w:r>
      <w:r>
        <w:rPr>
          <w:sz w:val="24"/>
          <w:szCs w:val="24"/>
          <w:lang w:eastAsia="da-DK"/>
        </w:rPr>
        <w:t xml:space="preserve"> </w:t>
      </w:r>
      <w:r w:rsidRPr="004C3DE3">
        <w:rPr>
          <w:sz w:val="24"/>
          <w:szCs w:val="24"/>
          <w:lang w:eastAsia="da-DK"/>
        </w:rPr>
        <w:t>behandling med kombinationen af emtricitabin og tenofovirdisoproxil, før den beskyttende virkning opnås.</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rPr>
      </w:pPr>
      <w:r w:rsidRPr="004C3DE3">
        <w:rPr>
          <w:sz w:val="24"/>
          <w:szCs w:val="24"/>
          <w:lang w:eastAsia="da-DK"/>
        </w:rPr>
        <w:t xml:space="preserve">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bør kun bruges som profylakse før eksponering i forbindelse med en samlet strategi for forebyggelse af hiv 1-infektion, herunder brug af andre hiv 1-forebyggende foranstaltninger (f.eks. konsekvent og korrekt brug af kondom, viden om hiv 1-status, regelmæssig test for andre seksuelt overførte infektioner).</w:t>
      </w:r>
    </w:p>
    <w:p w:rsidR="0057668F" w:rsidRPr="004C3DE3" w:rsidRDefault="0057668F" w:rsidP="0057668F">
      <w:pPr>
        <w:ind w:left="851"/>
        <w:rPr>
          <w:sz w:val="24"/>
          <w:szCs w:val="24"/>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Risiko for resistens med uopdaget hiv 1-infektion:</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bør kun anvendes til at mindske risikoen for at få hiv 1 hos personer, der bekræftes at være hiv-negative (se pkt. 4.3). De skal testes for stadig at være hiv-negative med hyppige mellemrum (f.eks. mindst hver 3. måned) ved hjælp af en kombineret antigen/antistof-test, så længe de tager 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som profylakse før eksponering.</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udgør ikke i sig selv et komplet regime til behandling af hiv 1, og der er fremkommet hiv 1-resistente mutationer hos personer med uopdaget hiv 1-infektion, der kun tager kombinationen af emtricitabin og tenofovir</w:t>
      </w:r>
      <w:r>
        <w:rPr>
          <w:sz w:val="24"/>
          <w:szCs w:val="24"/>
          <w:lang w:eastAsia="da-DK"/>
        </w:rPr>
        <w:softHyphen/>
      </w:r>
      <w:r w:rsidRPr="004C3DE3">
        <w:rPr>
          <w:sz w:val="24"/>
          <w:szCs w:val="24"/>
          <w:lang w:eastAsia="da-DK"/>
        </w:rPr>
        <w:t>disoproxil.</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Hvis der findes kliniske symptomer svarende til akut virusinfektion, og der er mistanke om nylige (&lt; 1 måned) eksponeringer for hiv 1, bør brugen af 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udsættes mindst en måned og hiv 1-status bekræftes før påbegyndelse af 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som profylakse før eksponering.</w:t>
      </w:r>
    </w:p>
    <w:p w:rsidR="0057668F" w:rsidRPr="004C3DE3" w:rsidRDefault="0057668F" w:rsidP="0057668F">
      <w:pPr>
        <w:autoSpaceDE w:val="0"/>
        <w:autoSpaceDN w:val="0"/>
        <w:adjustRightInd w:val="0"/>
        <w:ind w:left="851"/>
        <w:rPr>
          <w:sz w:val="24"/>
          <w:szCs w:val="24"/>
          <w:lang w:eastAsia="da-DK"/>
        </w:rPr>
      </w:pPr>
    </w:p>
    <w:p w:rsidR="00803BD1" w:rsidRDefault="00803BD1" w:rsidP="00803BD1">
      <w:pPr>
        <w:autoSpaceDE w:val="0"/>
        <w:autoSpaceDN w:val="0"/>
        <w:adjustRightInd w:val="0"/>
        <w:ind w:left="851"/>
        <w:rPr>
          <w:i/>
          <w:iCs/>
          <w:sz w:val="24"/>
          <w:szCs w:val="24"/>
          <w:lang w:eastAsia="da-DK"/>
        </w:rPr>
      </w:pPr>
      <w:r>
        <w:rPr>
          <w:i/>
          <w:iCs/>
          <w:sz w:val="24"/>
          <w:szCs w:val="24"/>
          <w:lang w:eastAsia="da-DK"/>
        </w:rPr>
        <w:t>Betydning af adhærens:</w:t>
      </w:r>
    </w:p>
    <w:p w:rsidR="00803BD1" w:rsidRDefault="00803BD1" w:rsidP="00803BD1">
      <w:pPr>
        <w:autoSpaceDE w:val="0"/>
        <w:autoSpaceDN w:val="0"/>
        <w:adjustRightInd w:val="0"/>
        <w:ind w:left="851"/>
        <w:rPr>
          <w:sz w:val="24"/>
          <w:szCs w:val="24"/>
          <w:lang w:eastAsia="da-DK"/>
        </w:rPr>
      </w:pPr>
      <w:r>
        <w:rPr>
          <w:sz w:val="24"/>
          <w:szCs w:val="24"/>
        </w:rPr>
        <w:t xml:space="preserve">Der er en stærk korrelation mellem </w:t>
      </w:r>
      <w:r>
        <w:rPr>
          <w:sz w:val="22"/>
          <w:szCs w:val="22"/>
        </w:rPr>
        <w:t xml:space="preserve">emtricitabin og tenofovir </w:t>
      </w:r>
      <w:r>
        <w:rPr>
          <w:sz w:val="24"/>
          <w:szCs w:val="24"/>
        </w:rPr>
        <w:t xml:space="preserve">-behandlingens effektivitet med hensyn til at reducere risikoen for at få HIV 1 og adhærens påvist ved målbare lægemiddelniveauer i blodet (se pkt. 5.1). </w:t>
      </w:r>
      <w:r>
        <w:rPr>
          <w:sz w:val="24"/>
          <w:szCs w:val="24"/>
          <w:lang w:eastAsia="da-DK"/>
        </w:rPr>
        <w:t xml:space="preserve">Personer uden hiv 1-infektion skal </w:t>
      </w:r>
      <w:r>
        <w:rPr>
          <w:sz w:val="24"/>
          <w:szCs w:val="24"/>
        </w:rPr>
        <w:t xml:space="preserve">med jævne mellemrum </w:t>
      </w:r>
      <w:r>
        <w:rPr>
          <w:sz w:val="24"/>
          <w:szCs w:val="24"/>
          <w:lang w:eastAsia="da-DK"/>
        </w:rPr>
        <w:t>tilrådes at overholde den anbefalede Emtricita</w:t>
      </w:r>
      <w:r>
        <w:rPr>
          <w:sz w:val="24"/>
          <w:szCs w:val="24"/>
          <w:lang w:eastAsia="da-DK"/>
        </w:rPr>
        <w:softHyphen/>
        <w:t>bine/Teno</w:t>
      </w:r>
      <w:r>
        <w:rPr>
          <w:sz w:val="24"/>
          <w:szCs w:val="24"/>
          <w:lang w:eastAsia="da-DK"/>
        </w:rPr>
        <w:softHyphen/>
        <w:t xml:space="preserve">fovir disoproxil "Sandoz"-doseringsplan meget nøje. </w:t>
      </w:r>
    </w:p>
    <w:p w:rsidR="0057668F" w:rsidRPr="004C3DE3" w:rsidRDefault="0057668F" w:rsidP="0057668F">
      <w:pPr>
        <w:ind w:left="851"/>
        <w:rPr>
          <w:sz w:val="24"/>
          <w:szCs w:val="24"/>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Patienter med hepatitis B- eller C-virusinfektion</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Hiv 1-inficerede patienter med kronisk hepatitis B eller C behandlet med antiretroviral behandling har øget risiko for alvorlige og potentielt dødelige hepatiske bivirkninger. Læger skal henholde sig til gældende retningslinjer for hiv-behandling ved håndtering af hiv-infektion hos patienter med samtidig infektion med hepatitis B-virus (HBV) eller hepatitis C-virus (HCV).</w:t>
      </w:r>
    </w:p>
    <w:p w:rsidR="0057668F" w:rsidRPr="004C3DE3" w:rsidRDefault="0057668F" w:rsidP="0057668F">
      <w:pPr>
        <w:ind w:left="851"/>
        <w:rPr>
          <w:sz w:val="24"/>
          <w:szCs w:val="24"/>
        </w:rPr>
      </w:pPr>
    </w:p>
    <w:p w:rsidR="00803BD1" w:rsidRDefault="00803BD1" w:rsidP="00803BD1">
      <w:pPr>
        <w:autoSpaceDE w:val="0"/>
        <w:autoSpaceDN w:val="0"/>
        <w:adjustRightInd w:val="0"/>
        <w:ind w:left="851"/>
        <w:rPr>
          <w:sz w:val="24"/>
          <w:szCs w:val="24"/>
          <w:lang w:eastAsia="da-DK"/>
        </w:rPr>
      </w:pPr>
      <w:r>
        <w:rPr>
          <w:sz w:val="24"/>
          <w:szCs w:val="24"/>
          <w:lang w:eastAsia="da-DK"/>
        </w:rPr>
        <w:t xml:space="preserve">Sikkerheden og effekten af kombinationen af emtricitabin og tenofovir som </w:t>
      </w:r>
      <w:r>
        <w:rPr>
          <w:sz w:val="24"/>
          <w:szCs w:val="24"/>
        </w:rPr>
        <w:t xml:space="preserve">proylakse før eksponering </w:t>
      </w:r>
      <w:r>
        <w:rPr>
          <w:sz w:val="24"/>
          <w:szCs w:val="24"/>
          <w:lang w:eastAsia="da-DK"/>
        </w:rPr>
        <w:t>hos patienter med HBV- eller HCV-infektion er ikke fastlagt.</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I tilfælde af samtidig antiviral behandling for hepatitis B eller C henvises også til de relevante produktresuméer for disse lægemidler. Se også under </w:t>
      </w:r>
      <w:r>
        <w:rPr>
          <w:sz w:val="24"/>
          <w:szCs w:val="24"/>
          <w:lang w:eastAsia="da-DK"/>
        </w:rPr>
        <w:t>"</w:t>
      </w:r>
      <w:r w:rsidRPr="004C3DE3">
        <w:rPr>
          <w:i/>
          <w:iCs/>
          <w:sz w:val="24"/>
          <w:szCs w:val="24"/>
          <w:lang w:eastAsia="da-DK"/>
        </w:rPr>
        <w:t>Brug med ledipasvir og sofosbuvir</w:t>
      </w:r>
      <w:r w:rsidRPr="004C3DE3">
        <w:rPr>
          <w:i/>
          <w:sz w:val="24"/>
          <w:szCs w:val="24"/>
        </w:rPr>
        <w:t xml:space="preserve"> eller sofosbuvir og velpatasvir</w:t>
      </w:r>
      <w:r w:rsidRPr="004C3DE3">
        <w:rPr>
          <w:sz w:val="24"/>
          <w:szCs w:val="24"/>
        </w:rPr>
        <w:t xml:space="preserve"> </w:t>
      </w:r>
      <w:r>
        <w:rPr>
          <w:i/>
          <w:iCs/>
          <w:sz w:val="24"/>
          <w:szCs w:val="24"/>
          <w:lang w:eastAsia="da-DK"/>
        </w:rPr>
        <w:t>"</w:t>
      </w:r>
      <w:r w:rsidRPr="004C3DE3">
        <w:rPr>
          <w:i/>
          <w:iCs/>
          <w:sz w:val="24"/>
          <w:szCs w:val="24"/>
          <w:lang w:eastAsia="da-DK"/>
        </w:rPr>
        <w:t xml:space="preserve"> </w:t>
      </w:r>
      <w:r w:rsidRPr="004C3DE3">
        <w:rPr>
          <w:sz w:val="24"/>
          <w:szCs w:val="24"/>
          <w:lang w:eastAsia="da-DK"/>
        </w:rPr>
        <w:t>nedenfor.</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Tenofovirdisoproxil er indiceret til behandling af HBV, og emtricitabin har udvist aktivitet over for HBV i farmakodynamiske studier, men sikkerhed og virkning ved kombinationen af emtricitabin og tenofovirdisoproxil er ikke blevet specifikt fastslået hos patienter med kronisk HBV-infektion.</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rPr>
      </w:pPr>
      <w:r w:rsidRPr="004C3DE3">
        <w:rPr>
          <w:sz w:val="24"/>
          <w:szCs w:val="24"/>
          <w:lang w:eastAsia="da-DK"/>
        </w:rPr>
        <w:t xml:space="preserve">Seponering af 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hos patienter, der er inficeret med HBV, kan være forbundet med svær, akut forværring af hepatitis. Patienter, som er inficeret med HBV, og som seponerer 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bør monitoreres nøje med både klinisk og laboratoriemæssig opfølgning i flere måneder, efter at behandlingen er stoppet. Hvis det er relevant, kan genoptagelse af hepatitis B-behandling være berettiget. Hos patienter med fremskreden leversygdom eller cirrose, frarådes seponering, da forværring af hepatitis efter behandlingen kan føre til hepatisk dekompensation.</w:t>
      </w:r>
    </w:p>
    <w:p w:rsidR="0057668F" w:rsidRPr="004C3DE3" w:rsidRDefault="0057668F" w:rsidP="0057668F">
      <w:pPr>
        <w:ind w:left="851"/>
        <w:rPr>
          <w:sz w:val="24"/>
          <w:szCs w:val="24"/>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Leversygdom</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Sikkerhed og virkning ved kombinationen af emtricitabin og tenofovirdisoproxil er ikke blevet fastslået hos patienter med signifikante underliggende leversygdomme. Farmakokinetikken af tenofovir er blevet undersøgt hos patienter med nedsat leverfunktion, og dosisjustering er ikke nødvendig. Farmakokinetikken af emtricitabin er ikke undersøgt hos patienter med nedsat leverfunktion. På grund af minimal hepatisk metabolisme og den renale eliminationsvej for emtricitabin er det usandsynligt, at dosisjustering af kombinationen af emtricitabin og tenofovir er nødvendig hos patienter med nedsat leverfunktion (se pkt. 4.2 og 5.2).</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rPr>
      </w:pPr>
      <w:r w:rsidRPr="004C3DE3">
        <w:rPr>
          <w:sz w:val="24"/>
          <w:szCs w:val="24"/>
          <w:lang w:eastAsia="da-DK"/>
        </w:rPr>
        <w:t>Hiv 1-inficerede patienter med eksisterende leverdysfunktion, herunder kronisk aktiv hepatitis, har en øget hyppighed af leverfunktionsabnormiteter under antiretroviral kombinationsbehandling (CART) og bør monitoreres i henhold til gældende praksis. Hvis der er tegn på forværret leversygdom hos sådanne patienter, skal det overvejes at afbryde eller seponere behandlingen.</w:t>
      </w:r>
    </w:p>
    <w:p w:rsidR="0057668F" w:rsidRPr="004C3DE3" w:rsidRDefault="0057668F" w:rsidP="0057668F">
      <w:pPr>
        <w:ind w:left="851"/>
        <w:rPr>
          <w:sz w:val="24"/>
          <w:szCs w:val="24"/>
        </w:rPr>
      </w:pPr>
    </w:p>
    <w:p w:rsidR="0057668F" w:rsidRDefault="0057668F" w:rsidP="0057668F">
      <w:pPr>
        <w:ind w:left="851"/>
        <w:rPr>
          <w:sz w:val="24"/>
          <w:szCs w:val="24"/>
          <w:u w:val="single"/>
        </w:rPr>
      </w:pPr>
      <w:r w:rsidRPr="004C3DE3">
        <w:rPr>
          <w:sz w:val="24"/>
          <w:szCs w:val="24"/>
          <w:u w:val="single"/>
        </w:rPr>
        <w:t>Indvirkning på nyrer og knogler hos voksne</w:t>
      </w:r>
    </w:p>
    <w:p w:rsidR="00FC356F" w:rsidRPr="004C3DE3" w:rsidRDefault="00FC356F" w:rsidP="0057668F">
      <w:pPr>
        <w:ind w:left="851"/>
        <w:rPr>
          <w:sz w:val="24"/>
          <w:szCs w:val="24"/>
          <w:u w:val="single"/>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Indvirkning på nyrerne</w:t>
      </w:r>
    </w:p>
    <w:p w:rsidR="0057668F" w:rsidRPr="004C3DE3" w:rsidRDefault="0057668F" w:rsidP="0057668F">
      <w:pPr>
        <w:autoSpaceDE w:val="0"/>
        <w:autoSpaceDN w:val="0"/>
        <w:adjustRightInd w:val="0"/>
        <w:ind w:left="851"/>
        <w:rPr>
          <w:sz w:val="24"/>
          <w:szCs w:val="24"/>
        </w:rPr>
      </w:pPr>
      <w:r w:rsidRPr="004C3DE3">
        <w:rPr>
          <w:sz w:val="24"/>
          <w:szCs w:val="24"/>
          <w:lang w:eastAsia="da-DK"/>
        </w:rPr>
        <w:t>Emtricitabin og tenofovir udskilles renalt ved en kombination af glomerulær filtrering og aktiv tubulær sekretion. Nyresvigt, nedsat nyrefunktion, forhøjet kreatinin, hypo</w:t>
      </w:r>
      <w:r>
        <w:rPr>
          <w:sz w:val="24"/>
          <w:szCs w:val="24"/>
          <w:lang w:eastAsia="da-DK"/>
        </w:rPr>
        <w:t>phosphat</w:t>
      </w:r>
      <w:r w:rsidRPr="004C3DE3">
        <w:rPr>
          <w:sz w:val="24"/>
          <w:szCs w:val="24"/>
          <w:lang w:eastAsia="da-DK"/>
        </w:rPr>
        <w:t>æmi og proksimal tubulopati (herunder Fanconis syndrom) er blevet rapporteret ved brug af tenofovirdisoproxilfumarat (se pkt. 4.8).</w:t>
      </w:r>
    </w:p>
    <w:p w:rsidR="0057668F" w:rsidRPr="004C3DE3" w:rsidRDefault="0057668F" w:rsidP="0057668F">
      <w:pPr>
        <w:ind w:left="851"/>
        <w:rPr>
          <w:sz w:val="24"/>
          <w:szCs w:val="24"/>
        </w:rPr>
      </w:pPr>
    </w:p>
    <w:p w:rsidR="0057668F" w:rsidRPr="004C3DE3" w:rsidRDefault="0057668F" w:rsidP="0057668F">
      <w:pPr>
        <w:ind w:left="851"/>
        <w:rPr>
          <w:i/>
          <w:sz w:val="24"/>
          <w:szCs w:val="24"/>
        </w:rPr>
      </w:pPr>
      <w:r w:rsidRPr="004C3DE3">
        <w:rPr>
          <w:i/>
          <w:sz w:val="24"/>
          <w:szCs w:val="24"/>
        </w:rPr>
        <w:t>Monitorering af nyrefunktionen</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Inden påbegyndelse af Emtricitabine/Tenofovir disoproxil </w:t>
      </w:r>
      <w:r>
        <w:rPr>
          <w:sz w:val="24"/>
          <w:szCs w:val="24"/>
          <w:lang w:eastAsia="da-DK"/>
        </w:rPr>
        <w:t>"</w:t>
      </w:r>
      <w:r w:rsidRPr="004C3DE3">
        <w:rPr>
          <w:sz w:val="24"/>
          <w:szCs w:val="24"/>
          <w:lang w:eastAsia="da-DK"/>
        </w:rPr>
        <w:t>Sandoz</w:t>
      </w:r>
      <w:r>
        <w:rPr>
          <w:sz w:val="24"/>
          <w:szCs w:val="24"/>
          <w:lang w:eastAsia="da-DK"/>
        </w:rPr>
        <w:t>"</w:t>
      </w:r>
      <w:r w:rsidRPr="004C3DE3">
        <w:rPr>
          <w:sz w:val="24"/>
          <w:szCs w:val="24"/>
          <w:lang w:eastAsia="da-DK"/>
        </w:rPr>
        <w:t xml:space="preserve"> til behandling af hiv 1-infektion eller til brug som profylakse før eksponering anbefales det at beregne kreatininclearance hos alle personer.</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Hos personer uden risikofaktorer for nyresygdom anbefales det, at nyrefunktionen (kreatininclearance og serum</w:t>
      </w:r>
      <w:r>
        <w:rPr>
          <w:sz w:val="24"/>
          <w:szCs w:val="24"/>
          <w:lang w:eastAsia="da-DK"/>
        </w:rPr>
        <w:t>phosphat</w:t>
      </w:r>
      <w:r w:rsidRPr="004C3DE3">
        <w:rPr>
          <w:sz w:val="24"/>
          <w:szCs w:val="24"/>
          <w:lang w:eastAsia="da-DK"/>
        </w:rPr>
        <w:t>) monitoreres efter 2-4 ugers behandling, efter 3 måneder og derefter hver 3-6 måned.</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Hos personer med risikofaktorer for nyresygdom skal nyrefunktionen monitoreres hyppigere.</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ind w:left="851"/>
        <w:rPr>
          <w:sz w:val="24"/>
          <w:szCs w:val="24"/>
        </w:rPr>
      </w:pPr>
      <w:r w:rsidRPr="004C3DE3">
        <w:rPr>
          <w:sz w:val="24"/>
          <w:szCs w:val="24"/>
          <w:lang w:eastAsia="da-DK"/>
        </w:rPr>
        <w:t xml:space="preserve">Se også under </w:t>
      </w:r>
      <w:r>
        <w:rPr>
          <w:sz w:val="24"/>
          <w:szCs w:val="24"/>
          <w:lang w:eastAsia="da-DK"/>
        </w:rPr>
        <w:t>"</w:t>
      </w:r>
      <w:r w:rsidRPr="004C3DE3">
        <w:rPr>
          <w:i/>
          <w:iCs/>
          <w:sz w:val="24"/>
          <w:szCs w:val="24"/>
          <w:lang w:eastAsia="da-DK"/>
        </w:rPr>
        <w:t>Samtidig administration af andre lægemidler</w:t>
      </w:r>
      <w:r>
        <w:rPr>
          <w:i/>
          <w:iCs/>
          <w:sz w:val="24"/>
          <w:szCs w:val="24"/>
          <w:lang w:eastAsia="da-DK"/>
        </w:rPr>
        <w:t>"</w:t>
      </w:r>
      <w:r w:rsidRPr="004C3DE3">
        <w:rPr>
          <w:i/>
          <w:iCs/>
          <w:sz w:val="24"/>
          <w:szCs w:val="24"/>
          <w:lang w:eastAsia="da-DK"/>
        </w:rPr>
        <w:t xml:space="preserve"> </w:t>
      </w:r>
      <w:r w:rsidRPr="004C3DE3">
        <w:rPr>
          <w:sz w:val="24"/>
          <w:szCs w:val="24"/>
          <w:lang w:eastAsia="da-DK"/>
        </w:rPr>
        <w:t>nedenfor.</w:t>
      </w:r>
    </w:p>
    <w:p w:rsidR="0057668F" w:rsidRPr="004C3DE3" w:rsidRDefault="0057668F" w:rsidP="0057668F">
      <w:pPr>
        <w:autoSpaceDE w:val="0"/>
        <w:autoSpaceDN w:val="0"/>
        <w:adjustRightInd w:val="0"/>
        <w:ind w:left="851"/>
        <w:rPr>
          <w:i/>
          <w:iCs/>
          <w:sz w:val="24"/>
          <w:szCs w:val="24"/>
          <w:lang w:eastAsia="da-DK"/>
        </w:rPr>
      </w:pPr>
    </w:p>
    <w:p w:rsidR="0057668F" w:rsidRPr="004C3DE3" w:rsidRDefault="0057668F" w:rsidP="0057668F">
      <w:pPr>
        <w:autoSpaceDE w:val="0"/>
        <w:autoSpaceDN w:val="0"/>
        <w:adjustRightInd w:val="0"/>
        <w:ind w:left="851"/>
        <w:rPr>
          <w:i/>
          <w:iCs/>
          <w:sz w:val="24"/>
          <w:szCs w:val="24"/>
          <w:lang w:eastAsia="da-DK"/>
        </w:rPr>
      </w:pPr>
      <w:r w:rsidRPr="004C3DE3">
        <w:rPr>
          <w:i/>
          <w:sz w:val="24"/>
          <w:szCs w:val="24"/>
        </w:rPr>
        <w:t>Håndtering af nedsat nyrefunktion hos</w:t>
      </w:r>
      <w:r w:rsidRPr="004C3DE3">
        <w:rPr>
          <w:i/>
          <w:iCs/>
          <w:sz w:val="24"/>
          <w:szCs w:val="24"/>
          <w:lang w:eastAsia="da-DK"/>
        </w:rPr>
        <w:t xml:space="preserve"> hiv 1-inficerede patienter:</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Hvis serumphosphat er &lt; 1,5 mg/dl (0,48 mmol/l), eller kreatininclearance er reduceret til &lt; 50 ml/min hos patienter, der får kombinationen af emtricitabin og tenofovirdisoproxil, bør nyrefunktionen revurderes inden for en uge, herunder måling af blodglucose, blodkalium og uringlucose (se pkt. 4.8 </w:t>
      </w:r>
      <w:r>
        <w:rPr>
          <w:sz w:val="24"/>
          <w:szCs w:val="24"/>
          <w:lang w:eastAsia="da-DK"/>
        </w:rPr>
        <w:t>"</w:t>
      </w:r>
      <w:r w:rsidRPr="004C3DE3">
        <w:rPr>
          <w:sz w:val="24"/>
          <w:szCs w:val="24"/>
          <w:lang w:eastAsia="da-DK"/>
        </w:rPr>
        <w:t>proksimal tubulopati</w:t>
      </w:r>
      <w:r>
        <w:rPr>
          <w:sz w:val="24"/>
          <w:szCs w:val="24"/>
          <w:lang w:eastAsia="da-DK"/>
        </w:rPr>
        <w:t>"</w:t>
      </w:r>
      <w:r w:rsidRPr="004C3DE3">
        <w:rPr>
          <w:sz w:val="24"/>
          <w:szCs w:val="24"/>
          <w:lang w:eastAsia="da-DK"/>
        </w:rPr>
        <w:t>). Det bør overvejes at afbryde behandlingen med kombinationen af emtricitabin og tenofovirdisoproxil hos patienter, hvor kreatininclearance falder til &lt; 50 ml/min eller serumphosphat til &lt; 1,0 mg/dl (0,</w:t>
      </w:r>
      <w:proofErr w:type="gramStart"/>
      <w:r w:rsidRPr="004C3DE3">
        <w:rPr>
          <w:sz w:val="24"/>
          <w:szCs w:val="24"/>
          <w:lang w:eastAsia="da-DK"/>
        </w:rPr>
        <w:t>32  mmol</w:t>
      </w:r>
      <w:proofErr w:type="gramEnd"/>
      <w:r w:rsidRPr="004C3DE3">
        <w:rPr>
          <w:sz w:val="24"/>
          <w:szCs w:val="24"/>
          <w:lang w:eastAsia="da-DK"/>
        </w:rPr>
        <w:t>/l). Det bør også overvejes at afbryde behandlingen med kombinationen af emtricitabin og tenofovirdisoproxil i tilfælde af progredierende fald i nyrefunktionen, når ingen anden årsag er blevet identificeret.</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br/>
        <w:t>Den renale sikkerhed ved emtricitabin og tenofovirdisoproxil er kun blevet undersøgt i meget begrænset omfang hos hiv 1-inficerede patienter med nedsat nyrefunktion (kreatininclearance &lt; 80 ml/min). Det anbefales at justere doseringsintervallet hos hiv 1-inficerede patienter med kreatininclearance 30-49 ml/min (se pkt. 4.2). Begrænsede data fra kliniske studier tyder på, at det forlængede doseringsinterval ikke er optimalt og kunne resultere i øget toksicitet og muligvis utilstrækkeligt respons. I et lille klinisk studie havde en undergruppe af patienter med kreatininclearance mellem 50 og 60 ml/min, som fik tenofovirdisoproxilfumarat i kombination med emtricitabin en gang i døgnet, 2-4 gange højere eksponering for tenofovir og forværring af nyrefunktionen (se pkt. 5.2). Det er derfor nødvendigt nøje at vurdere fordele og risici, når kombinationen af emtricitabin og tenofovirdisoproxil anvendes til patienter med kreatininclearance &lt; 60 ml/min, og nyrefunktionen bør monitoreres omhyggeligt. Det kliniske respons på behandlingen bør endvidere monitoreres nøje hos patienter, der får kombinationen af emtricitabin og tenofovir disoproxil med et forlænget doseringsinterval. Kombinationen af emtricitabin og tenofovirdisoproxil anbefales ikke til patienter med svært nedsat nyrefunktion (kreatininclearance &lt; 30 ml/min) og hos patienter, som skal have hæmodialyse, da de nødvendige dosisreduktioner ikke kan opnås med kombinationstabletten (se pkt. 4.2 og 5.2).</w:t>
      </w:r>
    </w:p>
    <w:p w:rsidR="0057668F" w:rsidRPr="004C3DE3" w:rsidRDefault="0057668F" w:rsidP="0057668F">
      <w:pPr>
        <w:ind w:left="851"/>
        <w:rPr>
          <w:sz w:val="24"/>
          <w:szCs w:val="24"/>
          <w:lang w:eastAsia="da-DK"/>
        </w:rPr>
      </w:pPr>
    </w:p>
    <w:p w:rsidR="00803BD1" w:rsidRDefault="00803BD1" w:rsidP="00803BD1">
      <w:pPr>
        <w:autoSpaceDE w:val="0"/>
        <w:autoSpaceDN w:val="0"/>
        <w:adjustRightInd w:val="0"/>
        <w:ind w:left="851"/>
        <w:rPr>
          <w:i/>
          <w:iCs/>
          <w:sz w:val="24"/>
          <w:szCs w:val="24"/>
          <w:lang w:eastAsia="da-DK"/>
        </w:rPr>
      </w:pPr>
      <w:r>
        <w:rPr>
          <w:i/>
          <w:iCs/>
          <w:sz w:val="24"/>
          <w:szCs w:val="24"/>
          <w:lang w:eastAsia="da-DK"/>
        </w:rPr>
        <w:t xml:space="preserve">Håndtering af nedsat nyrefunktion ved </w:t>
      </w:r>
      <w:r>
        <w:rPr>
          <w:i/>
          <w:sz w:val="24"/>
          <w:szCs w:val="24"/>
        </w:rPr>
        <w:t>proylakse før eksponering</w:t>
      </w:r>
      <w:r>
        <w:rPr>
          <w:i/>
          <w:iCs/>
          <w:sz w:val="24"/>
          <w:szCs w:val="24"/>
          <w:lang w:eastAsia="da-DK"/>
        </w:rPr>
        <w:t>:</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Kombinationen af emtricitabin og tenofovirdisoproxil er ikke blevet undersøgt hos personer uden hiv 1-infektion med kreatininclearance &lt; 60 ml/min og anbefales derfor ikke til denne population. Hvis serumphosphat er &lt; 1,5 mg/dl (0,48 mmol/l) eller kreatininclearance reduceret til &lt; 60 ml/min hos en person, der får kombinationen af emtricitabin og tenofovirdisoproxil som profylakse før eksponering, skal nyrefunktionen revurderes inden for en uge, herunder måling af blodglucose, blodkalium og uringlucose (se pkt. 4.8 </w:t>
      </w:r>
      <w:r>
        <w:rPr>
          <w:sz w:val="24"/>
          <w:szCs w:val="24"/>
          <w:lang w:eastAsia="da-DK"/>
        </w:rPr>
        <w:t>"</w:t>
      </w:r>
      <w:r w:rsidRPr="004C3DE3">
        <w:rPr>
          <w:sz w:val="24"/>
          <w:szCs w:val="24"/>
          <w:lang w:eastAsia="da-DK"/>
        </w:rPr>
        <w:t>proksimal tubulopati</w:t>
      </w:r>
      <w:r>
        <w:rPr>
          <w:sz w:val="24"/>
          <w:szCs w:val="24"/>
          <w:lang w:eastAsia="da-DK"/>
        </w:rPr>
        <w:t>"</w:t>
      </w:r>
      <w:r w:rsidRPr="004C3DE3">
        <w:rPr>
          <w:sz w:val="24"/>
          <w:szCs w:val="24"/>
          <w:lang w:eastAsia="da-DK"/>
        </w:rPr>
        <w:t xml:space="preserve">). Det bør overvejes at afbryde behandlingen med kombinationen af emtricitabin og tenofovirdisoproxil hos personer, hvor kreatininclearance er faldet til &lt; 60 ml/min eller serumphosphat til &lt; 1,0 mg/dl (0,32 mmol/l), ligesom det bør </w:t>
      </w:r>
      <w:r w:rsidRPr="004C3DE3">
        <w:rPr>
          <w:sz w:val="24"/>
          <w:szCs w:val="24"/>
          <w:lang w:eastAsia="da-DK"/>
        </w:rPr>
        <w:lastRenderedPageBreak/>
        <w:t>overvejes at afbryde behandlingen i tilfælde af progredierende fald i nyrefunktionen, når ingen anden årsag er blevet identificeret.</w:t>
      </w:r>
    </w:p>
    <w:p w:rsidR="0057668F" w:rsidRPr="004C3DE3" w:rsidRDefault="0057668F" w:rsidP="0057668F">
      <w:pPr>
        <w:ind w:left="851"/>
        <w:rPr>
          <w:sz w:val="24"/>
          <w:szCs w:val="24"/>
          <w:lang w:eastAsia="da-DK"/>
        </w:rPr>
      </w:pPr>
    </w:p>
    <w:p w:rsidR="0057668F" w:rsidRPr="00FC356F" w:rsidRDefault="0057668F" w:rsidP="0057668F">
      <w:pPr>
        <w:autoSpaceDE w:val="0"/>
        <w:autoSpaceDN w:val="0"/>
        <w:adjustRightInd w:val="0"/>
        <w:ind w:left="851"/>
        <w:rPr>
          <w:iCs/>
          <w:sz w:val="24"/>
          <w:szCs w:val="24"/>
          <w:u w:val="single"/>
          <w:lang w:eastAsia="da-DK"/>
        </w:rPr>
      </w:pPr>
      <w:r w:rsidRPr="00FC356F">
        <w:rPr>
          <w:iCs/>
          <w:sz w:val="24"/>
          <w:szCs w:val="24"/>
          <w:u w:val="single"/>
          <w:lang w:eastAsia="da-DK"/>
        </w:rPr>
        <w:t>Indvirkning på knogler</w:t>
      </w:r>
    </w:p>
    <w:p w:rsidR="00FC356F" w:rsidRPr="004C3DE3" w:rsidRDefault="00FC356F" w:rsidP="0057668F">
      <w:pPr>
        <w:autoSpaceDE w:val="0"/>
        <w:autoSpaceDN w:val="0"/>
        <w:adjustRightInd w:val="0"/>
        <w:ind w:left="851"/>
        <w:rPr>
          <w:i/>
          <w:iCs/>
          <w:sz w:val="24"/>
          <w:szCs w:val="24"/>
          <w:u w:val="single"/>
          <w:lang w:eastAsia="da-DK"/>
        </w:rPr>
      </w:pPr>
    </w:p>
    <w:p w:rsidR="00FC356F" w:rsidRDefault="00FC356F" w:rsidP="00FC356F">
      <w:pPr>
        <w:autoSpaceDE w:val="0"/>
        <w:autoSpaceDN w:val="0"/>
        <w:adjustRightInd w:val="0"/>
        <w:ind w:left="851"/>
        <w:rPr>
          <w:sz w:val="24"/>
          <w:szCs w:val="24"/>
        </w:rPr>
      </w:pPr>
      <w:r w:rsidRPr="00741B45">
        <w:rPr>
          <w:sz w:val="24"/>
          <w:szCs w:val="24"/>
        </w:rPr>
        <w:t xml:space="preserve">Knogleabnormiteter såsom osteomalaci, der kan manifestere sig som vedvarende eller forværrede knoglesmerter, og som i sjældne tilfælde kan medvirke til frakturer, kan forekomme i forbindelse med proksimal renal tubulopati induceret af tenofovirdisoproxil (se pkt. 4.8). </w:t>
      </w:r>
    </w:p>
    <w:p w:rsidR="00FC356F" w:rsidRDefault="00FC356F" w:rsidP="00FC356F">
      <w:pPr>
        <w:autoSpaceDE w:val="0"/>
        <w:autoSpaceDN w:val="0"/>
        <w:adjustRightInd w:val="0"/>
        <w:ind w:left="851"/>
        <w:rPr>
          <w:sz w:val="24"/>
          <w:szCs w:val="24"/>
        </w:rPr>
      </w:pPr>
    </w:p>
    <w:p w:rsidR="00FC356F" w:rsidRPr="00797AAE" w:rsidRDefault="00FC356F" w:rsidP="00FC356F">
      <w:pPr>
        <w:autoSpaceDE w:val="0"/>
        <w:autoSpaceDN w:val="0"/>
        <w:adjustRightInd w:val="0"/>
        <w:ind w:left="851"/>
        <w:rPr>
          <w:sz w:val="24"/>
          <w:szCs w:val="24"/>
        </w:rPr>
      </w:pPr>
      <w:r w:rsidRPr="00684DE0">
        <w:rPr>
          <w:sz w:val="24"/>
          <w:szCs w:val="24"/>
        </w:rPr>
        <w:t>Hvis der er formodning om knogleabnormiteter, eller disse påvises, skal relevant konsultation foretages.</w:t>
      </w:r>
    </w:p>
    <w:p w:rsidR="00FC356F" w:rsidRPr="004C3DE3" w:rsidRDefault="00FC356F" w:rsidP="00FC356F">
      <w:pPr>
        <w:ind w:left="851"/>
        <w:rPr>
          <w:sz w:val="24"/>
          <w:szCs w:val="24"/>
          <w:lang w:eastAsia="da-DK"/>
        </w:rPr>
      </w:pPr>
    </w:p>
    <w:p w:rsidR="00FC356F" w:rsidRDefault="00FC356F" w:rsidP="00FC356F">
      <w:pPr>
        <w:autoSpaceDE w:val="0"/>
        <w:autoSpaceDN w:val="0"/>
        <w:adjustRightInd w:val="0"/>
        <w:ind w:left="851"/>
        <w:rPr>
          <w:i/>
          <w:iCs/>
          <w:sz w:val="24"/>
          <w:szCs w:val="24"/>
          <w:lang w:eastAsia="da-DK"/>
        </w:rPr>
      </w:pPr>
      <w:r>
        <w:rPr>
          <w:i/>
          <w:iCs/>
          <w:sz w:val="24"/>
          <w:szCs w:val="24"/>
          <w:lang w:eastAsia="da-DK"/>
        </w:rPr>
        <w:t>Behandling af hiv 1-infektion:</w:t>
      </w:r>
    </w:p>
    <w:p w:rsidR="00FC356F" w:rsidRPr="004C3DE3" w:rsidRDefault="00FC356F" w:rsidP="00FC356F">
      <w:pPr>
        <w:autoSpaceDE w:val="0"/>
        <w:autoSpaceDN w:val="0"/>
        <w:adjustRightInd w:val="0"/>
        <w:ind w:left="851"/>
        <w:rPr>
          <w:sz w:val="24"/>
          <w:szCs w:val="24"/>
          <w:lang w:eastAsia="da-DK"/>
        </w:rPr>
      </w:pPr>
      <w:r w:rsidRPr="00684DE0">
        <w:rPr>
          <w:sz w:val="24"/>
          <w:szCs w:val="24"/>
          <w:lang w:eastAsia="da-DK"/>
        </w:rPr>
        <w:t>Fald i knoglemineraltætheden (BMD) er blevet observeret med tenofovirdisoproxil i randomiserede kontrollerede, kliniske forsøg med en varighed på op til 144 uger hos hiv- eller HBV-inficerede patienter. Disse fald i BMD blev generelt forbedret efter</w:t>
      </w:r>
      <w:r>
        <w:rPr>
          <w:sz w:val="24"/>
          <w:szCs w:val="24"/>
          <w:lang w:eastAsia="da-DK"/>
        </w:rPr>
        <w:t xml:space="preserve"> </w:t>
      </w:r>
      <w:r w:rsidRPr="00684DE0">
        <w:rPr>
          <w:sz w:val="24"/>
          <w:szCs w:val="24"/>
          <w:lang w:eastAsia="da-DK"/>
        </w:rPr>
        <w:t>behandlingsophør.</w:t>
      </w:r>
    </w:p>
    <w:p w:rsidR="00FC356F" w:rsidRPr="004C3DE3" w:rsidRDefault="00FC356F" w:rsidP="00FC356F">
      <w:pPr>
        <w:autoSpaceDE w:val="0"/>
        <w:autoSpaceDN w:val="0"/>
        <w:adjustRightInd w:val="0"/>
        <w:ind w:left="851"/>
        <w:rPr>
          <w:sz w:val="24"/>
          <w:szCs w:val="24"/>
          <w:lang w:eastAsia="da-DK"/>
        </w:rPr>
      </w:pPr>
    </w:p>
    <w:p w:rsidR="00FC356F" w:rsidRPr="00FE667D" w:rsidRDefault="00FC356F" w:rsidP="00FC356F">
      <w:pPr>
        <w:ind w:left="851"/>
        <w:rPr>
          <w:color w:val="000000" w:themeColor="text1"/>
          <w:sz w:val="24"/>
          <w:szCs w:val="24"/>
        </w:rPr>
      </w:pPr>
      <w:r w:rsidRPr="00741B45">
        <w:rPr>
          <w:sz w:val="24"/>
          <w:szCs w:val="24"/>
          <w:lang w:eastAsia="da-DK"/>
        </w:rPr>
        <w:t>I andre studier (prospektive og tværgående) sås de mest udtalte fald i BMD hos patienter, som fik tenofovirdisoproxil som del af et regime, der indeholdt en boostet protease</w:t>
      </w:r>
      <w:r w:rsidRPr="00741B45">
        <w:rPr>
          <w:sz w:val="24"/>
          <w:szCs w:val="24"/>
          <w:lang w:eastAsia="da-DK"/>
        </w:rPr>
        <w:softHyphen/>
        <w:t>hæmmer.</w:t>
      </w:r>
      <w:r w:rsidRPr="00741B45">
        <w:rPr>
          <w:sz w:val="24"/>
          <w:szCs w:val="24"/>
        </w:rPr>
        <w:t xml:space="preserve"> I betragtning af knogleabnormiteter forbundet med tenofovirdisoproxil og begrænsningerne af langtidsdata vedrørende tenofovirdisoproxils virkning på knoglesundhed og frakturrisiko, bør alternative behandlingsregimer generelt overvejes til patienter med osteoporose </w:t>
      </w:r>
      <w:r w:rsidRPr="00684DE0">
        <w:rPr>
          <w:sz w:val="24"/>
          <w:szCs w:val="24"/>
        </w:rPr>
        <w:t>eller tidligere knoglebrud.</w:t>
      </w:r>
    </w:p>
    <w:p w:rsidR="0057668F" w:rsidRPr="004C3DE3" w:rsidRDefault="0057668F" w:rsidP="0057668F">
      <w:pPr>
        <w:ind w:left="851"/>
        <w:rPr>
          <w:sz w:val="24"/>
          <w:szCs w:val="24"/>
          <w:lang w:eastAsia="da-DK"/>
        </w:rPr>
      </w:pPr>
    </w:p>
    <w:p w:rsidR="00803BD1" w:rsidRDefault="00803BD1" w:rsidP="00803BD1">
      <w:pPr>
        <w:autoSpaceDE w:val="0"/>
        <w:autoSpaceDN w:val="0"/>
        <w:adjustRightInd w:val="0"/>
        <w:ind w:left="851"/>
        <w:rPr>
          <w:i/>
          <w:iCs/>
          <w:sz w:val="24"/>
          <w:szCs w:val="24"/>
          <w:lang w:eastAsia="da-DK"/>
        </w:rPr>
      </w:pPr>
      <w:r>
        <w:rPr>
          <w:i/>
          <w:sz w:val="24"/>
          <w:szCs w:val="24"/>
        </w:rPr>
        <w:t>Proylakse før eksponering</w:t>
      </w:r>
      <w:r>
        <w:rPr>
          <w:i/>
          <w:iCs/>
          <w:sz w:val="24"/>
          <w:szCs w:val="24"/>
          <w:lang w:eastAsia="da-DK"/>
        </w:rPr>
        <w:t>:</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I kliniske studier med personer uden hiv 1-infektion blev der observeret små fald i BMD. I et studie med 498 mænd varierede middelændringerne i BMD fra </w:t>
      </w:r>
      <w:r w:rsidRPr="004C3DE3">
        <w:rPr>
          <w:iCs/>
          <w:sz w:val="24"/>
          <w:szCs w:val="24"/>
          <w:lang w:eastAsia="da-DK"/>
        </w:rPr>
        <w:t>baseline</w:t>
      </w:r>
      <w:r w:rsidRPr="004C3DE3">
        <w:rPr>
          <w:i/>
          <w:iCs/>
          <w:sz w:val="24"/>
          <w:szCs w:val="24"/>
          <w:lang w:eastAsia="da-DK"/>
        </w:rPr>
        <w:t xml:space="preserve"> </w:t>
      </w:r>
      <w:r w:rsidRPr="004C3DE3">
        <w:rPr>
          <w:sz w:val="24"/>
          <w:szCs w:val="24"/>
          <w:lang w:eastAsia="da-DK"/>
        </w:rPr>
        <w:t xml:space="preserve">til uge 24 fra </w:t>
      </w:r>
      <w:r w:rsidRPr="004C3DE3">
        <w:rPr>
          <w:sz w:val="24"/>
          <w:szCs w:val="24"/>
          <w:lang w:eastAsia="da-DK"/>
        </w:rPr>
        <w:noBreakHyphen/>
        <w:t xml:space="preserve">0,4 % til -1,0 % i hoften, rygsøjlen, lårbenshalsen og trochanter hos mænd, der fik daglig profylakse med kombinationen af emtricitabin og tenofovirdisoproxil (n = 247) </w:t>
      </w:r>
      <w:r w:rsidRPr="004C3DE3">
        <w:rPr>
          <w:iCs/>
          <w:sz w:val="24"/>
          <w:szCs w:val="24"/>
          <w:lang w:eastAsia="da-DK"/>
        </w:rPr>
        <w:t>versus</w:t>
      </w:r>
      <w:r w:rsidRPr="004C3DE3">
        <w:rPr>
          <w:i/>
          <w:iCs/>
          <w:sz w:val="24"/>
          <w:szCs w:val="24"/>
          <w:lang w:eastAsia="da-DK"/>
        </w:rPr>
        <w:t xml:space="preserve"> </w:t>
      </w:r>
      <w:r w:rsidRPr="004C3DE3">
        <w:rPr>
          <w:sz w:val="24"/>
          <w:szCs w:val="24"/>
          <w:lang w:eastAsia="da-DK"/>
        </w:rPr>
        <w:t>placebo (n = 251).</w:t>
      </w:r>
    </w:p>
    <w:p w:rsidR="0057668F" w:rsidRPr="004C3DE3" w:rsidRDefault="0057668F" w:rsidP="0057668F">
      <w:pPr>
        <w:ind w:left="851"/>
        <w:rPr>
          <w:sz w:val="24"/>
          <w:szCs w:val="24"/>
          <w:lang w:eastAsia="da-DK"/>
        </w:rPr>
      </w:pPr>
    </w:p>
    <w:p w:rsidR="00741B45" w:rsidRDefault="00741B45" w:rsidP="00741B45">
      <w:pPr>
        <w:autoSpaceDE w:val="0"/>
        <w:autoSpaceDN w:val="0"/>
        <w:adjustRightInd w:val="0"/>
        <w:ind w:left="851"/>
        <w:rPr>
          <w:sz w:val="24"/>
          <w:szCs w:val="24"/>
          <w:u w:val="single"/>
          <w:lang w:eastAsia="da-DK"/>
        </w:rPr>
      </w:pPr>
      <w:r>
        <w:rPr>
          <w:sz w:val="24"/>
          <w:szCs w:val="24"/>
          <w:u w:val="single"/>
          <w:lang w:eastAsia="da-DK"/>
        </w:rPr>
        <w:t>Indvirkning på nyrer og knogler hos den pædiatriske population</w:t>
      </w:r>
    </w:p>
    <w:p w:rsidR="00FC356F" w:rsidRDefault="00FC356F" w:rsidP="00741B45">
      <w:pPr>
        <w:autoSpaceDE w:val="0"/>
        <w:autoSpaceDN w:val="0"/>
        <w:adjustRightInd w:val="0"/>
        <w:ind w:left="851"/>
        <w:rPr>
          <w:sz w:val="24"/>
          <w:szCs w:val="24"/>
          <w:u w:val="single"/>
          <w:lang w:eastAsia="da-DK"/>
        </w:rPr>
      </w:pPr>
    </w:p>
    <w:p w:rsidR="00741B45" w:rsidRDefault="00741B45" w:rsidP="00741B45">
      <w:pPr>
        <w:pStyle w:val="Default"/>
        <w:ind w:left="851"/>
        <w:rPr>
          <w:sz w:val="24"/>
          <w:szCs w:val="24"/>
          <w:lang w:val="da-DK"/>
        </w:rPr>
      </w:pPr>
      <w:r>
        <w:rPr>
          <w:sz w:val="24"/>
          <w:szCs w:val="24"/>
          <w:lang w:val="da-DK"/>
        </w:rPr>
        <w:t xml:space="preserve">Der er usikkerhed om langtidsvirkningen af tenofovirdisoproxils toksiske virkninger på nyrer og knogler under behandling af hiv 1-infektion hos den pædiatriske population </w:t>
      </w:r>
      <w:r w:rsidRPr="00F07926">
        <w:rPr>
          <w:sz w:val="24"/>
          <w:szCs w:val="24"/>
          <w:lang w:val="da-DK"/>
        </w:rPr>
        <w:t>og</w:t>
      </w:r>
      <w:r>
        <w:rPr>
          <w:sz w:val="24"/>
          <w:szCs w:val="24"/>
          <w:lang w:val="da-DK"/>
        </w:rPr>
        <w:t xml:space="preserve"> om langtidsvirkningen af </w:t>
      </w:r>
      <w:r>
        <w:rPr>
          <w:sz w:val="24"/>
          <w:szCs w:val="24"/>
          <w:lang w:val="da-DK" w:eastAsia="da-DK"/>
        </w:rPr>
        <w:t>kombinationen af emtricitabin og tenofovirdisoproxil</w:t>
      </w:r>
      <w:r>
        <w:rPr>
          <w:sz w:val="24"/>
          <w:szCs w:val="24"/>
          <w:lang w:val="da-DK"/>
        </w:rPr>
        <w:t xml:space="preserve"> på nyrer og knogler, når det anvendes til profylakse før eksponering hos ikke-inficerede unge (se pkt. 5.1). Reversibiliteten af nefrotoksicitet efter afbrydelse af tenofovirdisoproxil i behandlingen af hiv 1, eller efter afbrydelse af </w:t>
      </w:r>
      <w:r>
        <w:rPr>
          <w:sz w:val="24"/>
          <w:szCs w:val="24"/>
          <w:lang w:val="da-DK" w:eastAsia="da-DK"/>
        </w:rPr>
        <w:t>kombinationen af emtricitabin og tenofovirdisoproxil</w:t>
      </w:r>
      <w:r>
        <w:rPr>
          <w:sz w:val="24"/>
          <w:szCs w:val="24"/>
          <w:lang w:val="da-DK"/>
        </w:rPr>
        <w:t xml:space="preserve"> ved profylakse før eksponering, kan desuden ikke fastlægges fuldt ud. </w:t>
      </w:r>
    </w:p>
    <w:p w:rsidR="00FC356F" w:rsidRDefault="00FC356F" w:rsidP="00741B45">
      <w:pPr>
        <w:pStyle w:val="Default"/>
        <w:ind w:left="851"/>
        <w:rPr>
          <w:sz w:val="24"/>
          <w:szCs w:val="24"/>
          <w:lang w:val="da-DK"/>
        </w:rPr>
      </w:pPr>
    </w:p>
    <w:p w:rsidR="00741B45" w:rsidRDefault="00741B45" w:rsidP="00741B45">
      <w:pPr>
        <w:pStyle w:val="Default"/>
        <w:ind w:left="851"/>
        <w:rPr>
          <w:sz w:val="24"/>
          <w:szCs w:val="24"/>
          <w:lang w:val="da-DK"/>
        </w:rPr>
      </w:pPr>
      <w:r>
        <w:rPr>
          <w:sz w:val="24"/>
          <w:szCs w:val="24"/>
          <w:lang w:val="da-DK"/>
        </w:rPr>
        <w:t xml:space="preserve">Multidisciplinær tilgang anbefales for at afveje benefit/risk-forholdet ved brugen af </w:t>
      </w:r>
      <w:r>
        <w:rPr>
          <w:sz w:val="24"/>
          <w:szCs w:val="24"/>
          <w:lang w:val="da-DK" w:eastAsia="da-DK"/>
        </w:rPr>
        <w:t>kombinationen af emtricitabin og tenofovirdisoproxil</w:t>
      </w:r>
      <w:r>
        <w:rPr>
          <w:sz w:val="24"/>
          <w:szCs w:val="24"/>
          <w:lang w:val="da-DK"/>
        </w:rPr>
        <w:t xml:space="preserve"> til behandling af hiv 1-infektion eller profylakse før eksponering, for at kunne træffe afgørelse om relevant monitorering under behandlingen (herunder beslutning om seponering) og for at overveje behovet for supplerende behandling hos den enkelte patient. </w:t>
      </w:r>
    </w:p>
    <w:p w:rsidR="00FC356F" w:rsidRDefault="00FC356F" w:rsidP="00741B45">
      <w:pPr>
        <w:pStyle w:val="Default"/>
        <w:ind w:left="851"/>
        <w:rPr>
          <w:sz w:val="24"/>
          <w:szCs w:val="24"/>
          <w:lang w:val="da-DK"/>
        </w:rPr>
      </w:pPr>
    </w:p>
    <w:p w:rsidR="00741B45" w:rsidRDefault="00741B45" w:rsidP="00741B45">
      <w:pPr>
        <w:autoSpaceDE w:val="0"/>
        <w:autoSpaceDN w:val="0"/>
        <w:adjustRightInd w:val="0"/>
        <w:ind w:left="851"/>
        <w:rPr>
          <w:sz w:val="24"/>
          <w:szCs w:val="24"/>
          <w:lang w:eastAsia="da-DK"/>
        </w:rPr>
      </w:pPr>
      <w:r>
        <w:rPr>
          <w:sz w:val="24"/>
          <w:szCs w:val="24"/>
        </w:rPr>
        <w:t xml:space="preserve">Personer bør genevalueres ved hvert besøg for at bestemme, om de har en vedvarende høj risiko for hiv 1-infektion, når de anvender </w:t>
      </w:r>
      <w:r>
        <w:rPr>
          <w:sz w:val="24"/>
          <w:szCs w:val="24"/>
          <w:lang w:eastAsia="da-DK"/>
        </w:rPr>
        <w:t xml:space="preserve">kombinationen af emtricitabin og </w:t>
      </w:r>
      <w:r>
        <w:rPr>
          <w:sz w:val="24"/>
          <w:szCs w:val="24"/>
          <w:lang w:eastAsia="da-DK"/>
        </w:rPr>
        <w:lastRenderedPageBreak/>
        <w:t>tenofovirdisoproxil</w:t>
      </w:r>
      <w:r>
        <w:rPr>
          <w:sz w:val="24"/>
          <w:szCs w:val="24"/>
        </w:rPr>
        <w:t xml:space="preserve"> til profylakse før eksponering. Risikoen for hiv 1-infektion bør afvejes mod muligheden for påvirkning af nyrer og knogler ved langtidsbehandling med </w:t>
      </w:r>
      <w:r>
        <w:rPr>
          <w:sz w:val="24"/>
          <w:szCs w:val="24"/>
          <w:lang w:eastAsia="da-DK"/>
        </w:rPr>
        <w:t>kombinationen af emtricitabin og tenofovirdisoproxil</w:t>
      </w:r>
      <w:r>
        <w:rPr>
          <w:sz w:val="24"/>
          <w:szCs w:val="24"/>
        </w:rPr>
        <w:t>.</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AD7CE0">
      <w:pPr>
        <w:keepNext/>
        <w:autoSpaceDE w:val="0"/>
        <w:autoSpaceDN w:val="0"/>
        <w:adjustRightInd w:val="0"/>
        <w:ind w:left="851"/>
        <w:rPr>
          <w:i/>
          <w:iCs/>
          <w:sz w:val="24"/>
          <w:szCs w:val="24"/>
          <w:lang w:eastAsia="da-DK"/>
        </w:rPr>
      </w:pPr>
      <w:r w:rsidRPr="004C3DE3">
        <w:rPr>
          <w:i/>
          <w:iCs/>
          <w:sz w:val="24"/>
          <w:szCs w:val="24"/>
          <w:lang w:eastAsia="da-DK"/>
        </w:rPr>
        <w:t>Indvirkning på nyrerne</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Renale bivirkninger svarende til proksimal renal tubulopati er blevet rapporteret hos hiv 1-inficerede pædiatriske patienter i alderen 2 til &lt; 12 år i det kliniske studie GS-US-104-0352 (se pkt. 4.8 og 5.1).</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Monitorering af nyrefunktionen</w:t>
      </w:r>
    </w:p>
    <w:p w:rsidR="00803BD1" w:rsidRDefault="00803BD1" w:rsidP="00803BD1">
      <w:pPr>
        <w:autoSpaceDE w:val="0"/>
        <w:autoSpaceDN w:val="0"/>
        <w:adjustRightInd w:val="0"/>
        <w:ind w:left="851"/>
        <w:rPr>
          <w:sz w:val="24"/>
          <w:szCs w:val="24"/>
          <w:lang w:eastAsia="da-DK"/>
        </w:rPr>
      </w:pPr>
      <w:r>
        <w:rPr>
          <w:sz w:val="24"/>
          <w:szCs w:val="24"/>
          <w:lang w:eastAsia="da-DK"/>
        </w:rPr>
        <w:t xml:space="preserve">Nyrefunktionen (kreatininclearance og serumphosphat) skal evalueres før </w:t>
      </w:r>
      <w:r>
        <w:rPr>
          <w:sz w:val="24"/>
          <w:szCs w:val="24"/>
        </w:rPr>
        <w:t>der startes på</w:t>
      </w:r>
      <w:r>
        <w:rPr>
          <w:sz w:val="24"/>
          <w:szCs w:val="24"/>
          <w:lang w:eastAsia="da-DK"/>
        </w:rPr>
        <w:t xml:space="preserve"> kombinationen af emtricitabin og tenofovirdisoproxil</w:t>
      </w:r>
      <w:r>
        <w:rPr>
          <w:sz w:val="24"/>
          <w:szCs w:val="24"/>
        </w:rPr>
        <w:t xml:space="preserve"> til behandling af hiv 1 eller til profylakse før eksponering, og den bør monitoreres under brugen </w:t>
      </w:r>
      <w:r>
        <w:rPr>
          <w:sz w:val="24"/>
          <w:szCs w:val="24"/>
          <w:lang w:eastAsia="da-DK"/>
        </w:rPr>
        <w:t>på samme måde som hos voksne (se ovenfor).</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Håndtering af nyrefunktion</w:t>
      </w:r>
    </w:p>
    <w:p w:rsidR="00803BD1" w:rsidRDefault="00803BD1" w:rsidP="00803BD1">
      <w:pPr>
        <w:autoSpaceDE w:val="0"/>
        <w:autoSpaceDN w:val="0"/>
        <w:adjustRightInd w:val="0"/>
        <w:ind w:left="851"/>
        <w:rPr>
          <w:sz w:val="24"/>
          <w:szCs w:val="24"/>
          <w:lang w:eastAsia="da-DK"/>
        </w:rPr>
      </w:pPr>
      <w:r>
        <w:rPr>
          <w:sz w:val="24"/>
          <w:szCs w:val="24"/>
          <w:lang w:eastAsia="da-DK"/>
        </w:rPr>
        <w:t>Hvis serumphosphat bekræftes at være &lt; 3,0 mg/dl (0,96 mmol/l) hos en pædiatrisk patient, der får kombinationen af emtricitabin og tenofovirdisoproxil, skal nyrefunktionen revurderes inden for en uge, herunder måling af blodglucose, blodkalium og uringlucose (se pkt. 4.8, proksimal tubulopati). Hvis nyreabnormiteter mistænkes eller påvises, bør der tages kontakt til en nefrolog med henblik på at overveje, om brugen af kombinationen af emtricitabin og tenofovirdisoproxil skal afbrydes. Afbrydelse af behandlingen med kombinationen af emtricitabin og tenofovirdisoproxil bør også overvejes i tilfælde af progredierende nedsat nyrefunktion, når ingen anden årsag er blevet påvist.</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Kombinationsbehandling og risiko for nefrotoksicitet</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Der gælder samme anbefalinger som hos voksne (se under samtidig administration af andre</w:t>
      </w:r>
      <w:r>
        <w:rPr>
          <w:sz w:val="24"/>
          <w:szCs w:val="24"/>
          <w:lang w:eastAsia="da-DK"/>
        </w:rPr>
        <w:t xml:space="preserve"> </w:t>
      </w:r>
      <w:r w:rsidRPr="004C3DE3">
        <w:rPr>
          <w:sz w:val="24"/>
          <w:szCs w:val="24"/>
          <w:lang w:eastAsia="da-DK"/>
        </w:rPr>
        <w:t>lægemidler nedenfor).</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Nedsat nyrefunktion</w:t>
      </w:r>
    </w:p>
    <w:p w:rsidR="00803BD1" w:rsidRDefault="00803BD1" w:rsidP="00803BD1">
      <w:pPr>
        <w:autoSpaceDE w:val="0"/>
        <w:autoSpaceDN w:val="0"/>
        <w:adjustRightInd w:val="0"/>
        <w:ind w:left="851"/>
        <w:rPr>
          <w:sz w:val="24"/>
          <w:szCs w:val="24"/>
          <w:lang w:eastAsia="da-DK"/>
        </w:rPr>
      </w:pPr>
      <w:r>
        <w:rPr>
          <w:sz w:val="24"/>
          <w:szCs w:val="24"/>
          <w:lang w:eastAsia="da-DK"/>
        </w:rPr>
        <w:t>Kombinationen af emtricitabin og tenofovirdisoproxil frarådes hos personer under 18 år med nedsat nyrefunktion (se pkt. 4.2). Behandling med kombinationen emtricitabin og tenofovirdisoproxil bør ikke initieres hos pædiatriske patienter med nedsat nyrefunktion og bør seponeres hos pædiatriske patienter, der udvikler nedsat nyrefunktion under brugen.</w:t>
      </w:r>
    </w:p>
    <w:p w:rsidR="00803BD1" w:rsidRDefault="00803BD1" w:rsidP="00803BD1">
      <w:pPr>
        <w:autoSpaceDE w:val="0"/>
        <w:autoSpaceDN w:val="0"/>
        <w:adjustRightInd w:val="0"/>
        <w:ind w:left="851"/>
        <w:rPr>
          <w:sz w:val="24"/>
          <w:szCs w:val="24"/>
          <w:lang w:eastAsia="da-DK"/>
        </w:rPr>
      </w:pPr>
    </w:p>
    <w:p w:rsidR="00803BD1" w:rsidRDefault="00803BD1" w:rsidP="00803BD1">
      <w:pPr>
        <w:autoSpaceDE w:val="0"/>
        <w:autoSpaceDN w:val="0"/>
        <w:adjustRightInd w:val="0"/>
        <w:ind w:left="851"/>
        <w:rPr>
          <w:i/>
          <w:iCs/>
          <w:sz w:val="24"/>
          <w:szCs w:val="24"/>
          <w:lang w:eastAsia="da-DK"/>
        </w:rPr>
      </w:pPr>
      <w:r>
        <w:rPr>
          <w:i/>
          <w:iCs/>
          <w:sz w:val="24"/>
          <w:szCs w:val="24"/>
          <w:lang w:eastAsia="da-DK"/>
        </w:rPr>
        <w:t>Indvirkning på knogler</w:t>
      </w:r>
    </w:p>
    <w:p w:rsidR="00FC33DF" w:rsidRDefault="00FC33DF" w:rsidP="00FC33DF">
      <w:pPr>
        <w:autoSpaceDE w:val="0"/>
        <w:autoSpaceDN w:val="0"/>
        <w:adjustRightInd w:val="0"/>
        <w:ind w:left="851"/>
        <w:rPr>
          <w:sz w:val="24"/>
          <w:szCs w:val="24"/>
          <w:lang w:eastAsia="da-DK"/>
        </w:rPr>
      </w:pPr>
      <w:r>
        <w:rPr>
          <w:sz w:val="24"/>
          <w:szCs w:val="24"/>
          <w:lang w:eastAsia="da-DK"/>
        </w:rPr>
        <w:t xml:space="preserve">Brug af tenofovirdisoproxil kan forårsage et fald i knoglemineraltæthed (BMD). Indvirkningen af tenofovirdisoproxilfumarat-associerede ændringer i BMD på knoglesundheden på langt sigt og på den fremtidige frakturrisiko </w:t>
      </w:r>
      <w:r w:rsidRPr="00FC33DF">
        <w:rPr>
          <w:sz w:val="24"/>
          <w:szCs w:val="24"/>
          <w:lang w:eastAsia="da-DK"/>
        </w:rPr>
        <w:t>er uvis (se</w:t>
      </w:r>
      <w:r>
        <w:rPr>
          <w:sz w:val="24"/>
          <w:szCs w:val="24"/>
          <w:lang w:eastAsia="da-DK"/>
        </w:rPr>
        <w:t xml:space="preserve"> pkt. 5.1).</w:t>
      </w:r>
    </w:p>
    <w:p w:rsidR="00803BD1" w:rsidRDefault="00803BD1" w:rsidP="00803BD1">
      <w:pPr>
        <w:autoSpaceDE w:val="0"/>
        <w:autoSpaceDN w:val="0"/>
        <w:adjustRightInd w:val="0"/>
        <w:ind w:left="851"/>
        <w:rPr>
          <w:sz w:val="24"/>
          <w:szCs w:val="24"/>
          <w:lang w:eastAsia="da-DK"/>
        </w:rPr>
      </w:pPr>
    </w:p>
    <w:p w:rsidR="00803BD1" w:rsidRDefault="00803BD1" w:rsidP="00803BD1">
      <w:pPr>
        <w:autoSpaceDE w:val="0"/>
        <w:autoSpaceDN w:val="0"/>
        <w:adjustRightInd w:val="0"/>
        <w:ind w:left="851"/>
        <w:rPr>
          <w:sz w:val="24"/>
          <w:szCs w:val="24"/>
          <w:lang w:eastAsia="da-DK"/>
        </w:rPr>
      </w:pPr>
      <w:r>
        <w:rPr>
          <w:sz w:val="24"/>
          <w:szCs w:val="24"/>
          <w:lang w:eastAsia="da-DK"/>
        </w:rPr>
        <w:t>Hvis knogleabnormiteter mistænkes eller påvises under brugen af kombinationen af emtricitabin og tenofovirdisoproxil hos en pædiatrisk patient, bør der søges råd hos en endokrinolog og/eller en nefrolog.</w:t>
      </w:r>
    </w:p>
    <w:p w:rsidR="0057668F" w:rsidRPr="004C3DE3" w:rsidRDefault="0057668F" w:rsidP="0057668F">
      <w:pPr>
        <w:autoSpaceDE w:val="0"/>
        <w:autoSpaceDN w:val="0"/>
        <w:adjustRightInd w:val="0"/>
        <w:ind w:left="851"/>
        <w:rPr>
          <w:sz w:val="24"/>
          <w:szCs w:val="24"/>
          <w:u w:val="single"/>
          <w:lang w:eastAsia="da-DK"/>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Vægt og metaboliske parametre</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En stigning i vægt og i niveauet af blodlipider og blodglucose kan forekomme under antiretroviral behandling. Sådanne ændringer kan delvist være knyttet til sygdomskontrol og livsstil. For lipider er der i visse tilfælde evidens for en behandlingsrelateret effekt, mens der for vægtøgning ikke er nogen stærk evidens, som relaterer dette til en bestemt behandling. Med hensyn til monitorering af blodlipider og blodglucose henvises til </w:t>
      </w:r>
      <w:r w:rsidRPr="004C3DE3">
        <w:rPr>
          <w:sz w:val="24"/>
          <w:szCs w:val="24"/>
          <w:lang w:eastAsia="da-DK"/>
        </w:rPr>
        <w:lastRenderedPageBreak/>
        <w:t>relevante retningslinjer for hiv-behandling. Lipidforstyrrelser bør behandles i henhold til klinisk praksis.</w:t>
      </w:r>
    </w:p>
    <w:p w:rsidR="0057668F" w:rsidRPr="004C3DE3" w:rsidRDefault="0057668F" w:rsidP="0057668F">
      <w:pPr>
        <w:ind w:left="851"/>
        <w:rPr>
          <w:sz w:val="24"/>
          <w:szCs w:val="24"/>
          <w:lang w:eastAsia="da-DK"/>
        </w:rPr>
      </w:pPr>
    </w:p>
    <w:p w:rsidR="0057668F" w:rsidRDefault="0057668F" w:rsidP="00AD7CE0">
      <w:pPr>
        <w:keepNext/>
        <w:autoSpaceDE w:val="0"/>
        <w:autoSpaceDN w:val="0"/>
        <w:adjustRightInd w:val="0"/>
        <w:ind w:left="851"/>
        <w:rPr>
          <w:i/>
          <w:iCs/>
          <w:sz w:val="24"/>
          <w:szCs w:val="24"/>
          <w:u w:val="single"/>
          <w:lang w:eastAsia="da-DK"/>
        </w:rPr>
      </w:pPr>
      <w:r w:rsidRPr="004C3DE3">
        <w:rPr>
          <w:sz w:val="24"/>
          <w:szCs w:val="24"/>
          <w:u w:val="single"/>
          <w:lang w:eastAsia="da-DK"/>
        </w:rPr>
        <w:t xml:space="preserve">Mitokondriel dysfunktion efter eksponering </w:t>
      </w:r>
      <w:r w:rsidRPr="004C3DE3">
        <w:rPr>
          <w:i/>
          <w:iCs/>
          <w:sz w:val="24"/>
          <w:szCs w:val="24"/>
          <w:u w:val="single"/>
          <w:lang w:eastAsia="da-DK"/>
        </w:rPr>
        <w:t>in utero</w:t>
      </w:r>
    </w:p>
    <w:p w:rsidR="00FC356F" w:rsidRPr="004C3DE3" w:rsidRDefault="00FC356F" w:rsidP="00AD7CE0">
      <w:pPr>
        <w:keepNext/>
        <w:autoSpaceDE w:val="0"/>
        <w:autoSpaceDN w:val="0"/>
        <w:adjustRightInd w:val="0"/>
        <w:ind w:left="851"/>
        <w:rPr>
          <w:i/>
          <w:iCs/>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Nukleosid-/nukleotid-analoger kan påvirke mitokondriefunktionen i varierende grad; dette er mest udtalt for stavudin, didanosin og zidovudin. Der er rapporteret om mitokondriel dysfunktion hos hiv-negative spædbørn, som har været eksponeret for nukleosidanaloger </w:t>
      </w:r>
      <w:r w:rsidRPr="004C3DE3">
        <w:rPr>
          <w:i/>
          <w:iCs/>
          <w:sz w:val="24"/>
          <w:szCs w:val="24"/>
          <w:lang w:eastAsia="da-DK"/>
        </w:rPr>
        <w:t xml:space="preserve">in utero </w:t>
      </w:r>
      <w:r w:rsidRPr="004C3DE3">
        <w:rPr>
          <w:sz w:val="24"/>
          <w:szCs w:val="24"/>
          <w:lang w:eastAsia="da-DK"/>
        </w:rPr>
        <w:t xml:space="preserve">og/eller postnatalt. Det har hovedsageligt drejet sig om behandling med regimer indeholdende zidovudin. De hyppigst rapporterede manifestationer er hæmatologiske forstyrrelser (anæmi, neutropeni) og metaboliske forstyrrelser (hyperlaktatæmi, hyperlipasæmi). Reaktionerne har ofte været forbigående. Sent forekommende 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4C3DE3">
        <w:rPr>
          <w:i/>
          <w:iCs/>
          <w:sz w:val="24"/>
          <w:szCs w:val="24"/>
          <w:lang w:eastAsia="da-DK"/>
        </w:rPr>
        <w:t>in utero</w:t>
      </w:r>
      <w:r w:rsidRPr="004C3DE3">
        <w:rPr>
          <w:sz w:val="24"/>
          <w:szCs w:val="24"/>
          <w:lang w:eastAsia="da-DK"/>
        </w:rPr>
        <w:t>. Disse fund påvirker ikke de aktuelle nationale anbefalinger vedrørende antiretroviral behandling hos gravide med henblik på at undgå vertikal hiv-overførsel.</w:t>
      </w:r>
    </w:p>
    <w:p w:rsidR="0057668F" w:rsidRPr="004C3DE3" w:rsidRDefault="0057668F" w:rsidP="0057668F">
      <w:pPr>
        <w:ind w:left="851"/>
        <w:rPr>
          <w:sz w:val="24"/>
          <w:szCs w:val="24"/>
          <w:lang w:eastAsia="da-DK"/>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Immunreaktiveringssyndrom</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803BD1">
      <w:pPr>
        <w:ind w:left="851"/>
        <w:rPr>
          <w:sz w:val="24"/>
          <w:szCs w:val="24"/>
          <w:lang w:eastAsia="da-DK"/>
        </w:rPr>
      </w:pPr>
      <w:r w:rsidRPr="004C3DE3">
        <w:rPr>
          <w:sz w:val="24"/>
          <w:szCs w:val="24"/>
          <w:lang w:eastAsia="da-DK"/>
        </w:rP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4C3DE3">
        <w:rPr>
          <w:i/>
          <w:iCs/>
          <w:sz w:val="24"/>
          <w:szCs w:val="24"/>
          <w:lang w:eastAsia="da-DK"/>
        </w:rPr>
        <w:t xml:space="preserve">Pneumocystis jirovecii </w:t>
      </w:r>
      <w:r w:rsidRPr="004C3DE3">
        <w:rPr>
          <w:sz w:val="24"/>
          <w:szCs w:val="24"/>
          <w:lang w:eastAsia="da-DK"/>
        </w:rPr>
        <w:t xml:space="preserve">pneumoni. Alle inflammatoriske symptomer bør vurderes og behandling påbegyndes efter behov. </w:t>
      </w:r>
      <w:r w:rsidR="00803BD1">
        <w:rPr>
          <w:sz w:val="24"/>
          <w:szCs w:val="24"/>
          <w:lang w:eastAsia="da-DK"/>
        </w:rPr>
        <w:t xml:space="preserve">Autoimmune lidelser (såsom Graves sygdom </w:t>
      </w:r>
      <w:r w:rsidR="00803BD1">
        <w:rPr>
          <w:color w:val="000000"/>
          <w:sz w:val="24"/>
          <w:szCs w:val="24"/>
          <w:lang w:eastAsia="da-DK"/>
        </w:rPr>
        <w:t>og</w:t>
      </w:r>
      <w:r w:rsidR="00803BD1">
        <w:rPr>
          <w:sz w:val="24"/>
          <w:szCs w:val="24"/>
        </w:rPr>
        <w:t xml:space="preserve"> autoimmun hepatitis</w:t>
      </w:r>
      <w:r w:rsidR="00803BD1">
        <w:rPr>
          <w:sz w:val="24"/>
          <w:szCs w:val="24"/>
          <w:lang w:eastAsia="da-DK"/>
        </w:rPr>
        <w:t xml:space="preserve">) er også rapporteret at forekomme i forbindelse med immunreaktivering. Tiden til udbrud er mere variabel og kan være mange måneder efter initiering af behandling. </w:t>
      </w:r>
    </w:p>
    <w:p w:rsidR="0057668F" w:rsidRPr="004C3DE3" w:rsidRDefault="0057668F" w:rsidP="0057668F">
      <w:pPr>
        <w:ind w:left="851"/>
        <w:rPr>
          <w:sz w:val="24"/>
          <w:szCs w:val="24"/>
          <w:lang w:eastAsia="da-DK"/>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Opportunistiske infektioner</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Hiv 1-inficerede patienter, som får kombinationen af emtricitabin og tenofovirdisoproxil eller anden antiretroviral behandling, kan fortsætte</w:t>
      </w:r>
      <w:r w:rsidRPr="004C3DE3">
        <w:rPr>
          <w:b/>
          <w:sz w:val="24"/>
          <w:szCs w:val="24"/>
          <w:lang w:eastAsia="da-DK"/>
        </w:rPr>
        <w:t xml:space="preserve"> </w:t>
      </w:r>
      <w:r w:rsidRPr="004C3DE3">
        <w:rPr>
          <w:sz w:val="24"/>
          <w:szCs w:val="24"/>
          <w:lang w:eastAsia="da-DK"/>
        </w:rPr>
        <w:t>med at udvikle opportunistiske infektioner og andre komplikationer som følge af hiv-infektion og bør derfor forblive under nøje klinisk observation af læger, som har erfaring med behandling af patienter med hiv-associerede sygdomme.</w:t>
      </w:r>
    </w:p>
    <w:p w:rsidR="0057668F" w:rsidRPr="004C3DE3" w:rsidRDefault="0057668F" w:rsidP="0057668F">
      <w:pPr>
        <w:ind w:left="851"/>
        <w:rPr>
          <w:sz w:val="24"/>
          <w:szCs w:val="24"/>
          <w:lang w:eastAsia="da-DK"/>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Osteonekrose</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w:t>
      </w:r>
      <w:r w:rsidRPr="004C3DE3">
        <w:rPr>
          <w:i/>
          <w:iCs/>
          <w:sz w:val="24"/>
          <w:szCs w:val="24"/>
          <w:lang w:eastAsia="da-DK"/>
        </w:rPr>
        <w:t xml:space="preserve">Body Mass Index </w:t>
      </w:r>
      <w:r w:rsidRPr="004C3DE3">
        <w:rPr>
          <w:sz w:val="24"/>
          <w:szCs w:val="24"/>
          <w:lang w:eastAsia="da-DK"/>
        </w:rPr>
        <w:t>(BMI)). Patienter, der oplever ømme og smertende led, ledstivhed eller bevægelsesbesvær bør rådes til at søge læge.</w:t>
      </w:r>
    </w:p>
    <w:p w:rsidR="0057668F" w:rsidRDefault="0057668F" w:rsidP="0057668F">
      <w:pPr>
        <w:ind w:left="851"/>
        <w:rPr>
          <w:sz w:val="24"/>
          <w:szCs w:val="24"/>
          <w:lang w:eastAsia="da-DK"/>
        </w:rPr>
      </w:pPr>
    </w:p>
    <w:p w:rsidR="00FC356F" w:rsidRDefault="00FC356F" w:rsidP="0057668F">
      <w:pPr>
        <w:ind w:left="851"/>
        <w:rPr>
          <w:sz w:val="24"/>
          <w:szCs w:val="24"/>
          <w:lang w:eastAsia="da-DK"/>
        </w:rPr>
      </w:pPr>
    </w:p>
    <w:p w:rsidR="00FC356F" w:rsidRPr="004C3DE3" w:rsidRDefault="00FC356F" w:rsidP="0057668F">
      <w:pPr>
        <w:ind w:left="851"/>
        <w:rPr>
          <w:sz w:val="24"/>
          <w:szCs w:val="24"/>
          <w:lang w:eastAsia="da-DK"/>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lastRenderedPageBreak/>
        <w:t>Samtidig administration af andre lægemidler</w:t>
      </w:r>
    </w:p>
    <w:p w:rsidR="00FC356F" w:rsidRPr="004C3DE3" w:rsidRDefault="00FC356F" w:rsidP="0057668F">
      <w:pPr>
        <w:autoSpaceDE w:val="0"/>
        <w:autoSpaceDN w:val="0"/>
        <w:adjustRightInd w:val="0"/>
        <w:ind w:left="851"/>
        <w:rPr>
          <w:sz w:val="24"/>
          <w:szCs w:val="24"/>
          <w:u w:val="single"/>
          <w:lang w:eastAsia="da-DK"/>
        </w:rPr>
      </w:pPr>
    </w:p>
    <w:p w:rsidR="00803BD1" w:rsidRDefault="00803BD1" w:rsidP="00803BD1">
      <w:pPr>
        <w:autoSpaceDE w:val="0"/>
        <w:autoSpaceDN w:val="0"/>
        <w:adjustRightInd w:val="0"/>
        <w:ind w:left="851"/>
        <w:rPr>
          <w:sz w:val="24"/>
          <w:szCs w:val="24"/>
          <w:lang w:eastAsia="da-DK"/>
        </w:rPr>
      </w:pPr>
      <w:r>
        <w:rPr>
          <w:sz w:val="24"/>
          <w:szCs w:val="24"/>
          <w:lang w:eastAsia="da-DK"/>
        </w:rPr>
        <w:t>Kombinationen af emtricitabin og tenofovirdisoproxil bør undgås ved samtidig eller nylig brug af et nefrotoksisk lægemiddel (se pkt. 4.5). Hvis samtidig brug med nefrotoksiske lægemidler ikke kan undgås, bør nyrefunktionen monitoreres ugentligt.</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Tilfælde af akut nyresvigt efter påbegyndelse af multiple ikke-steroide anti-inflammatoriske lægemidler (NSAID) eller NSAID i høj dosis er rapporteret hos hiv 1-inficerede patienter, som blev behandlet med tenofovirdisoproxilfumarat og havde risikofaktorer for nedsat nyrefunktion. Hvis kombinationen af emtricitabin og tenofovirdisoproxil administreres samtidig med et NSAID, skal nyrefunktionen monitoreres med passende intervaller.</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Der er rapporteret en højere risiko for nedsat nyrefunktion hos hiv 1-inficerede patienter, der fik tenofovirdisoproxil i kombination med en ritonavir- eller cobicistat-boostet proteasehæmmer. Tæt monitorering af nyrefunktionen hos disse patienter (se pkt. 4.5) er nødvendig. Samtidig behandling med tenofovirdisoproxil og en boosted proteasehæmmer skal evalueres omhyggeligt hos hiv 1-inficerede patienter med renale risikofaktorer.</w:t>
      </w:r>
    </w:p>
    <w:p w:rsidR="0057668F" w:rsidRPr="004C3DE3" w:rsidRDefault="0057668F" w:rsidP="0057668F">
      <w:pPr>
        <w:ind w:left="851"/>
        <w:rPr>
          <w:sz w:val="24"/>
          <w:szCs w:val="24"/>
          <w:lang w:eastAsia="da-DK"/>
        </w:rPr>
      </w:pPr>
    </w:p>
    <w:p w:rsidR="00FC356F" w:rsidRPr="004C3DE3" w:rsidRDefault="00FC356F" w:rsidP="00FC356F">
      <w:pPr>
        <w:autoSpaceDE w:val="0"/>
        <w:autoSpaceDN w:val="0"/>
        <w:adjustRightInd w:val="0"/>
        <w:ind w:left="851"/>
        <w:rPr>
          <w:sz w:val="24"/>
          <w:szCs w:val="24"/>
          <w:lang w:eastAsia="da-DK"/>
        </w:rPr>
      </w:pPr>
      <w:r>
        <w:rPr>
          <w:sz w:val="24"/>
          <w:szCs w:val="24"/>
          <w:lang w:eastAsia="da-DK"/>
        </w:rPr>
        <w:t>Emtricitabine/Tenofovir disoproxil "Sandoz"</w:t>
      </w:r>
      <w:r w:rsidRPr="004C3DE3">
        <w:rPr>
          <w:sz w:val="24"/>
          <w:szCs w:val="24"/>
          <w:lang w:eastAsia="da-DK"/>
        </w:rPr>
        <w:t xml:space="preserve"> bør ikke indgives sammen med andre lægemidler, som indeholder emtricitabin, tenofovirdisoproxil, tenofoviralafenamid eller andre cytidinanaloger, såsom lamivudin (se pkt. 4.5). </w:t>
      </w:r>
      <w:r>
        <w:rPr>
          <w:sz w:val="24"/>
          <w:szCs w:val="24"/>
          <w:lang w:eastAsia="da-DK"/>
        </w:rPr>
        <w:t xml:space="preserve">Emtricitabine/Tenofovir disoproxil "Sandoz" </w:t>
      </w:r>
      <w:r w:rsidRPr="004C3DE3">
        <w:rPr>
          <w:sz w:val="24"/>
          <w:szCs w:val="24"/>
          <w:lang w:eastAsia="da-DK"/>
        </w:rPr>
        <w:t>bør ikke indgives sammen med adefovirdipivoxil.</w:t>
      </w:r>
    </w:p>
    <w:p w:rsidR="0057668F" w:rsidRPr="004C3DE3" w:rsidRDefault="0057668F" w:rsidP="0057668F">
      <w:pPr>
        <w:ind w:left="851"/>
        <w:rPr>
          <w:sz w:val="24"/>
          <w:szCs w:val="24"/>
          <w:lang w:eastAsia="da-DK"/>
        </w:rPr>
      </w:pPr>
    </w:p>
    <w:p w:rsidR="00803BD1" w:rsidRDefault="00803BD1" w:rsidP="00803BD1">
      <w:pPr>
        <w:autoSpaceDE w:val="0"/>
        <w:autoSpaceDN w:val="0"/>
        <w:adjustRightInd w:val="0"/>
        <w:ind w:left="851"/>
        <w:rPr>
          <w:i/>
          <w:iCs/>
          <w:sz w:val="24"/>
          <w:szCs w:val="24"/>
          <w:lang w:eastAsia="da-DK"/>
        </w:rPr>
      </w:pPr>
      <w:r>
        <w:rPr>
          <w:i/>
          <w:iCs/>
          <w:sz w:val="24"/>
          <w:szCs w:val="24"/>
          <w:lang w:eastAsia="da-DK"/>
        </w:rPr>
        <w:t>Brug med ledipasvir og sofosbuvir</w:t>
      </w:r>
      <w:r>
        <w:rPr>
          <w:i/>
          <w:color w:val="000000"/>
          <w:sz w:val="24"/>
          <w:szCs w:val="24"/>
          <w:lang w:eastAsia="en-GB"/>
        </w:rPr>
        <w:t xml:space="preserve">, sofosbuvir og velpatasvir eller </w:t>
      </w:r>
      <w:r>
        <w:rPr>
          <w:i/>
          <w:iCs/>
          <w:sz w:val="24"/>
          <w:szCs w:val="24"/>
        </w:rPr>
        <w:t>sofosbuvir, velpatasvir og voxilaprevir</w:t>
      </w:r>
      <w:r>
        <w:rPr>
          <w:i/>
          <w:color w:val="000000"/>
          <w:sz w:val="24"/>
          <w:szCs w:val="24"/>
          <w:lang w:eastAsia="en-GB"/>
        </w:rPr>
        <w:t xml:space="preserve"> </w:t>
      </w:r>
    </w:p>
    <w:p w:rsidR="00803BD1" w:rsidRDefault="00803BD1" w:rsidP="00803BD1">
      <w:pPr>
        <w:autoSpaceDE w:val="0"/>
        <w:autoSpaceDN w:val="0"/>
        <w:adjustRightInd w:val="0"/>
        <w:ind w:left="851"/>
        <w:rPr>
          <w:sz w:val="24"/>
          <w:szCs w:val="24"/>
          <w:lang w:eastAsia="da-DK"/>
        </w:rPr>
      </w:pPr>
      <w:r>
        <w:rPr>
          <w:sz w:val="24"/>
          <w:szCs w:val="24"/>
          <w:lang w:eastAsia="da-DK"/>
        </w:rPr>
        <w:t>Det er vist, at samtidig administration af tenofovirdisoproxil og ledipasvir/sofosbuvir</w:t>
      </w:r>
      <w:r>
        <w:rPr>
          <w:color w:val="000000"/>
          <w:sz w:val="24"/>
          <w:szCs w:val="24"/>
          <w:lang w:eastAsia="en-GB"/>
        </w:rPr>
        <w:t xml:space="preserve">, sofosbuvir/velpatasvir eller </w:t>
      </w:r>
      <w:r>
        <w:rPr>
          <w:iCs/>
          <w:sz w:val="24"/>
          <w:szCs w:val="24"/>
        </w:rPr>
        <w:t xml:space="preserve">sofosbuvir/velpatasvir/voxilaprevir </w:t>
      </w:r>
      <w:r>
        <w:rPr>
          <w:sz w:val="24"/>
          <w:szCs w:val="24"/>
          <w:lang w:eastAsia="da-DK"/>
        </w:rPr>
        <w:t>øger plasmakoncentrationen af tenofovir, især når de anvendes sammen med et hiv-regime, der indeholder tenofovirdisoproxil og en farmakokinetisk forstærker (ritonavir eller cobicistat).</w:t>
      </w:r>
    </w:p>
    <w:p w:rsidR="00803BD1" w:rsidRDefault="00803BD1" w:rsidP="00803BD1">
      <w:pPr>
        <w:autoSpaceDE w:val="0"/>
        <w:autoSpaceDN w:val="0"/>
        <w:adjustRightInd w:val="0"/>
        <w:ind w:left="851"/>
        <w:rPr>
          <w:sz w:val="24"/>
          <w:szCs w:val="24"/>
          <w:lang w:eastAsia="da-DK"/>
        </w:rPr>
      </w:pPr>
    </w:p>
    <w:p w:rsidR="00803BD1" w:rsidRDefault="00803BD1" w:rsidP="00803BD1">
      <w:pPr>
        <w:autoSpaceDE w:val="0"/>
        <w:autoSpaceDN w:val="0"/>
        <w:adjustRightInd w:val="0"/>
        <w:ind w:left="851"/>
        <w:rPr>
          <w:sz w:val="24"/>
          <w:szCs w:val="24"/>
          <w:lang w:eastAsia="da-DK"/>
        </w:rPr>
      </w:pPr>
      <w:r>
        <w:rPr>
          <w:sz w:val="24"/>
          <w:szCs w:val="24"/>
          <w:lang w:eastAsia="da-DK"/>
        </w:rPr>
        <w:t>Sikkerheden af tenofovirdisoproxil ved administration sammen med ledipasvir/sofosbuvir</w:t>
      </w:r>
      <w:r>
        <w:rPr>
          <w:color w:val="000000"/>
          <w:sz w:val="24"/>
          <w:szCs w:val="24"/>
          <w:lang w:eastAsia="en-GB"/>
        </w:rPr>
        <w:t xml:space="preserve">, sofosbuvir/velpatasvir eller </w:t>
      </w:r>
      <w:r>
        <w:rPr>
          <w:iCs/>
          <w:sz w:val="24"/>
          <w:szCs w:val="24"/>
        </w:rPr>
        <w:t>sofosbuvir/velpatasvir/voxilaprevir</w:t>
      </w:r>
      <w:r>
        <w:rPr>
          <w:color w:val="000000"/>
          <w:sz w:val="24"/>
          <w:szCs w:val="24"/>
          <w:lang w:eastAsia="en-GB"/>
        </w:rPr>
        <w:t xml:space="preserve"> </w:t>
      </w:r>
      <w:r>
        <w:rPr>
          <w:sz w:val="24"/>
          <w:szCs w:val="24"/>
          <w:lang w:eastAsia="da-DK"/>
        </w:rPr>
        <w:t>og en farmakokinetisk forstærker er ikke klarlagt. De potentielle risici og fordele forbundet med samtidig administration bør overvejes, specielt hos patienter med øget risiko for renal dysfunktion. Patienter, der får ledipasvir/sofosbuvir</w:t>
      </w:r>
      <w:r>
        <w:rPr>
          <w:color w:val="000000"/>
          <w:sz w:val="24"/>
          <w:szCs w:val="24"/>
          <w:lang w:eastAsia="en-GB"/>
        </w:rPr>
        <w:t xml:space="preserve">, sofosbuvir/velpatasvir eller </w:t>
      </w:r>
      <w:r>
        <w:rPr>
          <w:iCs/>
          <w:sz w:val="24"/>
          <w:szCs w:val="24"/>
        </w:rPr>
        <w:t>sofosbuvir/velpatasvir/voxilaprevir</w:t>
      </w:r>
      <w:r>
        <w:rPr>
          <w:sz w:val="24"/>
          <w:szCs w:val="24"/>
          <w:lang w:eastAsia="da-DK"/>
        </w:rPr>
        <w:t xml:space="preserve"> sammen med tenofovirdisoproxil og en boostet hiv-proteasehæmmer, bør overvåges for bivirkninger relateret til tenofovirdisoproxil.</w:t>
      </w:r>
    </w:p>
    <w:p w:rsidR="0057668F" w:rsidRPr="004C3DE3" w:rsidRDefault="0057668F" w:rsidP="0057668F">
      <w:pPr>
        <w:ind w:left="851"/>
        <w:rPr>
          <w:sz w:val="24"/>
          <w:szCs w:val="24"/>
          <w:lang w:eastAsia="da-DK"/>
        </w:rPr>
      </w:pPr>
    </w:p>
    <w:p w:rsidR="001A7340" w:rsidRPr="001A7340" w:rsidRDefault="001A7340" w:rsidP="001A7340">
      <w:pPr>
        <w:autoSpaceDE w:val="0"/>
        <w:autoSpaceDN w:val="0"/>
        <w:adjustRightInd w:val="0"/>
        <w:ind w:left="851"/>
        <w:rPr>
          <w:i/>
          <w:iCs/>
          <w:sz w:val="24"/>
          <w:szCs w:val="24"/>
          <w:lang w:eastAsia="da-DK"/>
        </w:rPr>
      </w:pPr>
      <w:r w:rsidRPr="004C3DE3">
        <w:rPr>
          <w:i/>
          <w:iCs/>
          <w:sz w:val="24"/>
          <w:szCs w:val="24"/>
          <w:lang w:eastAsia="da-DK"/>
        </w:rPr>
        <w:t xml:space="preserve">Samtidig administration af </w:t>
      </w:r>
      <w:r w:rsidRPr="001A7340">
        <w:rPr>
          <w:i/>
          <w:iCs/>
          <w:sz w:val="24"/>
          <w:szCs w:val="24"/>
          <w:lang w:eastAsia="da-DK"/>
        </w:rPr>
        <w:t>tenofovirdisoproxil og didanosin:</w:t>
      </w:r>
    </w:p>
    <w:p w:rsidR="001A7340" w:rsidRPr="004C3DE3" w:rsidRDefault="001A7340" w:rsidP="001A7340">
      <w:pPr>
        <w:autoSpaceDE w:val="0"/>
        <w:autoSpaceDN w:val="0"/>
        <w:adjustRightInd w:val="0"/>
        <w:ind w:left="851"/>
        <w:rPr>
          <w:sz w:val="24"/>
          <w:szCs w:val="24"/>
          <w:lang w:eastAsia="da-DK"/>
        </w:rPr>
      </w:pPr>
      <w:r w:rsidRPr="001A7340">
        <w:rPr>
          <w:sz w:val="24"/>
          <w:szCs w:val="24"/>
          <w:lang w:eastAsia="da-DK"/>
        </w:rPr>
        <w:t>Samtidig administration af tenofovirdisoproxil og didanosin anbefales ikke (se pkt. 4.5).</w:t>
      </w:r>
      <w:r w:rsidRPr="004C3DE3">
        <w:rPr>
          <w:sz w:val="24"/>
          <w:szCs w:val="24"/>
          <w:lang w:eastAsia="da-DK"/>
        </w:rPr>
        <w:t xml:space="preserve"> </w:t>
      </w:r>
    </w:p>
    <w:p w:rsidR="0057668F" w:rsidRPr="004C3DE3" w:rsidRDefault="0057668F" w:rsidP="0057668F">
      <w:pPr>
        <w:ind w:left="851"/>
        <w:rPr>
          <w:sz w:val="24"/>
          <w:szCs w:val="24"/>
          <w:lang w:eastAsia="da-DK"/>
        </w:rPr>
      </w:pPr>
    </w:p>
    <w:p w:rsidR="0057668F" w:rsidRDefault="0057668F" w:rsidP="0057668F">
      <w:pPr>
        <w:autoSpaceDE w:val="0"/>
        <w:autoSpaceDN w:val="0"/>
        <w:adjustRightInd w:val="0"/>
        <w:ind w:left="851"/>
        <w:rPr>
          <w:sz w:val="24"/>
          <w:szCs w:val="24"/>
          <w:u w:val="single"/>
          <w:lang w:eastAsia="da-DK"/>
        </w:rPr>
      </w:pPr>
      <w:r w:rsidRPr="004C3DE3">
        <w:rPr>
          <w:sz w:val="24"/>
          <w:szCs w:val="24"/>
          <w:u w:val="single"/>
          <w:lang w:eastAsia="da-DK"/>
        </w:rPr>
        <w:t>Tredobbelt nukleosidbehandling</w:t>
      </w:r>
    </w:p>
    <w:p w:rsidR="00FC356F" w:rsidRPr="004C3DE3" w:rsidRDefault="00FC356F" w:rsidP="0057668F">
      <w:pPr>
        <w:autoSpaceDE w:val="0"/>
        <w:autoSpaceDN w:val="0"/>
        <w:adjustRightInd w:val="0"/>
        <w:ind w:left="851"/>
        <w:rPr>
          <w:sz w:val="24"/>
          <w:szCs w:val="24"/>
          <w:u w:val="single"/>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Der har været rapporteret høj forekomst af virologisk svigt og fremkomst af resistens på et tidligt tidspunkt hos hiv 1-inficerede patienter, når tenofovirdisoproxil blev kombineret med lamivudin og abacavir eller med lamivudin og didanosin som regime én gang dagligt. Der er en tæt strukturel lighed mellem lamivudin og emtricitabin og lighed i farmakokinetikken og farmakodynamikken mellem disse to stoffer. De samme problemer kan derfor muligvis optræde, hvis kombinationen af emtricitabin og tenofovirdisoproxil administreres sammen med en tredje nukleosidanalog.</w:t>
      </w:r>
    </w:p>
    <w:p w:rsidR="0057668F" w:rsidRPr="004C3DE3" w:rsidRDefault="0057668F" w:rsidP="0057668F">
      <w:pPr>
        <w:ind w:left="851"/>
        <w:rPr>
          <w:sz w:val="24"/>
          <w:szCs w:val="24"/>
          <w:lang w:eastAsia="da-DK"/>
        </w:rPr>
      </w:pPr>
    </w:p>
    <w:p w:rsidR="0057668F" w:rsidRDefault="0057668F" w:rsidP="00AD7CE0">
      <w:pPr>
        <w:keepNext/>
        <w:autoSpaceDE w:val="0"/>
        <w:autoSpaceDN w:val="0"/>
        <w:adjustRightInd w:val="0"/>
        <w:ind w:left="851"/>
        <w:rPr>
          <w:sz w:val="24"/>
          <w:szCs w:val="24"/>
          <w:u w:val="single"/>
          <w:lang w:eastAsia="da-DK"/>
        </w:rPr>
      </w:pPr>
      <w:r w:rsidRPr="004C3DE3">
        <w:rPr>
          <w:sz w:val="24"/>
          <w:szCs w:val="24"/>
          <w:u w:val="single"/>
          <w:lang w:eastAsia="da-DK"/>
        </w:rPr>
        <w:t>Ældre</w:t>
      </w:r>
    </w:p>
    <w:p w:rsidR="00FC356F" w:rsidRPr="004C3DE3" w:rsidRDefault="00FC356F" w:rsidP="00AD7CE0">
      <w:pPr>
        <w:keepNext/>
        <w:autoSpaceDE w:val="0"/>
        <w:autoSpaceDN w:val="0"/>
        <w:adjustRightInd w:val="0"/>
        <w:ind w:left="851"/>
        <w:rPr>
          <w:sz w:val="24"/>
          <w:szCs w:val="24"/>
          <w:u w:val="single"/>
          <w:lang w:eastAsia="da-DK"/>
        </w:rPr>
      </w:pPr>
    </w:p>
    <w:p w:rsidR="0057668F" w:rsidRPr="004C3DE3" w:rsidRDefault="0057668F" w:rsidP="00FC356F">
      <w:pPr>
        <w:autoSpaceDE w:val="0"/>
        <w:autoSpaceDN w:val="0"/>
        <w:adjustRightInd w:val="0"/>
        <w:ind w:left="851"/>
        <w:rPr>
          <w:sz w:val="24"/>
          <w:szCs w:val="24"/>
          <w:lang w:eastAsia="da-DK"/>
        </w:rPr>
      </w:pPr>
      <w:r w:rsidRPr="004C3DE3">
        <w:rPr>
          <w:sz w:val="24"/>
          <w:szCs w:val="24"/>
          <w:lang w:eastAsia="da-DK"/>
        </w:rPr>
        <w:t>Kombinationen af emtricitabin og tenofovirdisoproxil er ikke blevet undersøgt hos personer over 65 år. Da det er mere sandsynligt, at personer over 65 år har nedsat nyrefunktion, skal der udvises forsigtighed ved administration af kombinationen af emtricitabin og tenofovirdisoproxil til ældre mennesker.</w:t>
      </w:r>
      <w:r w:rsidR="00F07926">
        <w:rPr>
          <w:sz w:val="24"/>
          <w:szCs w:val="24"/>
          <w:lang w:eastAsia="da-DK"/>
        </w:rPr>
        <w:br/>
      </w:r>
    </w:p>
    <w:p w:rsidR="0057668F" w:rsidRDefault="0057668F" w:rsidP="0057668F">
      <w:pPr>
        <w:ind w:left="851"/>
        <w:rPr>
          <w:sz w:val="24"/>
          <w:szCs w:val="24"/>
          <w:u w:val="single"/>
          <w:lang w:eastAsia="da-DK"/>
        </w:rPr>
      </w:pPr>
      <w:r w:rsidRPr="004C3DE3">
        <w:rPr>
          <w:sz w:val="24"/>
          <w:szCs w:val="24"/>
          <w:u w:val="single"/>
          <w:lang w:eastAsia="da-DK"/>
        </w:rPr>
        <w:t>Hjælpestoffer</w:t>
      </w:r>
    </w:p>
    <w:p w:rsidR="00FC356F" w:rsidRPr="004C3DE3" w:rsidRDefault="00FC356F" w:rsidP="0057668F">
      <w:pPr>
        <w:ind w:left="851"/>
        <w:rPr>
          <w:sz w:val="24"/>
          <w:szCs w:val="24"/>
          <w:u w:val="single"/>
          <w:lang w:eastAsia="da-DK"/>
        </w:rPr>
      </w:pPr>
    </w:p>
    <w:p w:rsidR="00FC356F" w:rsidRPr="009D75B2" w:rsidRDefault="00FC356F" w:rsidP="00FC356F">
      <w:pPr>
        <w:ind w:left="851"/>
        <w:rPr>
          <w:bCs/>
          <w:sz w:val="24"/>
          <w:szCs w:val="24"/>
        </w:rPr>
      </w:pPr>
      <w:r w:rsidRPr="009D75B2">
        <w:rPr>
          <w:bCs/>
          <w:sz w:val="24"/>
          <w:szCs w:val="24"/>
        </w:rPr>
        <w:t xml:space="preserve">Emtricitabine/Tenofovir disoproxil "Sandoz" indeholder natrium og lactosemonohydrat </w:t>
      </w:r>
    </w:p>
    <w:p w:rsidR="00FC356F" w:rsidRDefault="00FC356F" w:rsidP="00FC356F">
      <w:pPr>
        <w:ind w:left="851"/>
        <w:rPr>
          <w:sz w:val="24"/>
          <w:szCs w:val="24"/>
          <w:lang w:eastAsia="da-DK"/>
        </w:rPr>
      </w:pPr>
      <w:r>
        <w:rPr>
          <w:sz w:val="24"/>
          <w:szCs w:val="24"/>
          <w:lang w:eastAsia="da-DK"/>
        </w:rPr>
        <w:t>Bør ikke anvendes til patienter med hereditær galactoseintolerans, total lactasemangel eller glucose/galactosemalabsorption.</w:t>
      </w:r>
    </w:p>
    <w:p w:rsidR="00DD1001" w:rsidRDefault="00DD1001" w:rsidP="00DD1001">
      <w:pPr>
        <w:ind w:left="851"/>
        <w:rPr>
          <w:sz w:val="24"/>
          <w:szCs w:val="24"/>
          <w:lang w:eastAsia="da-DK"/>
        </w:rPr>
      </w:pPr>
    </w:p>
    <w:p w:rsidR="00DD1001" w:rsidRDefault="00DD1001" w:rsidP="00DD1001">
      <w:pPr>
        <w:ind w:left="851"/>
        <w:rPr>
          <w:sz w:val="24"/>
          <w:szCs w:val="24"/>
        </w:rPr>
      </w:pPr>
      <w:r>
        <w:rPr>
          <w:sz w:val="24"/>
          <w:szCs w:val="24"/>
        </w:rPr>
        <w:t>Dette lægemiddel indeholder mindre end 1 mmol (23 mg) natrium pr. tablet, dvs. den er i det væsentlige natriumfri.</w:t>
      </w:r>
    </w:p>
    <w:p w:rsidR="0057668F" w:rsidRPr="004C3DE3" w:rsidRDefault="0057668F" w:rsidP="00AD7CE0">
      <w:pPr>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4.5</w:t>
      </w:r>
      <w:r w:rsidRPr="004C3DE3">
        <w:rPr>
          <w:b/>
          <w:sz w:val="24"/>
          <w:szCs w:val="24"/>
        </w:rPr>
        <w:tab/>
        <w:t>Interaktion med andre lægemidler og andre former for interaktion</w:t>
      </w:r>
    </w:p>
    <w:p w:rsidR="0057668F" w:rsidRPr="004C3DE3" w:rsidRDefault="0057668F" w:rsidP="0057668F">
      <w:pPr>
        <w:ind w:left="851"/>
        <w:rPr>
          <w:sz w:val="24"/>
          <w:szCs w:val="24"/>
        </w:rPr>
      </w:pPr>
      <w:r w:rsidRPr="004C3DE3">
        <w:rPr>
          <w:sz w:val="24"/>
          <w:szCs w:val="24"/>
        </w:rPr>
        <w:t>Interaktionsstudier er kun udført hos voksne.</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Da </w:t>
      </w:r>
      <w:r>
        <w:rPr>
          <w:sz w:val="24"/>
          <w:szCs w:val="24"/>
        </w:rPr>
        <w:t xml:space="preserve">Emtricitabine/Tenofovir disoproxil "Sandoz" </w:t>
      </w:r>
      <w:r w:rsidRPr="004C3DE3">
        <w:rPr>
          <w:sz w:val="24"/>
          <w:szCs w:val="24"/>
        </w:rPr>
        <w:t xml:space="preserve">indeholder emtricitabin og tenofovirdisoproxil, kan interaktioner, som er identificeret med disse lægemidler individuelt, forekomme med </w:t>
      </w:r>
      <w:r>
        <w:rPr>
          <w:sz w:val="24"/>
          <w:szCs w:val="24"/>
        </w:rPr>
        <w:t>Emtricitabine/Tenofovir disoproxil "Sandoz"</w:t>
      </w:r>
      <w:r w:rsidRPr="004C3DE3">
        <w:rPr>
          <w:sz w:val="24"/>
          <w:szCs w:val="24"/>
        </w:rPr>
        <w:t>. Interaktionsstudier er kun udført i voksne.</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Steady-state farmakokinetikken for emtricitabin og tenofovir blev ikke påvirket ved samtidig indgivelse af emtricitabin og tenofovirdisoproxil </w:t>
      </w:r>
      <w:r w:rsidRPr="004C3DE3">
        <w:rPr>
          <w:i/>
          <w:iCs/>
          <w:sz w:val="24"/>
          <w:szCs w:val="24"/>
        </w:rPr>
        <w:t xml:space="preserve">versus </w:t>
      </w:r>
      <w:r w:rsidRPr="004C3DE3">
        <w:rPr>
          <w:sz w:val="24"/>
          <w:szCs w:val="24"/>
        </w:rPr>
        <w:t>indgivelse af hvert lægemiddel alene.</w:t>
      </w:r>
    </w:p>
    <w:p w:rsidR="0057668F" w:rsidRPr="004C3DE3" w:rsidRDefault="0057668F" w:rsidP="0057668F">
      <w:pPr>
        <w:ind w:left="851"/>
        <w:rPr>
          <w:i/>
          <w:iCs/>
          <w:sz w:val="24"/>
          <w:szCs w:val="24"/>
        </w:rPr>
      </w:pPr>
    </w:p>
    <w:p w:rsidR="0057668F" w:rsidRPr="004C3DE3" w:rsidRDefault="0057668F" w:rsidP="0057668F">
      <w:pPr>
        <w:ind w:left="851"/>
        <w:rPr>
          <w:sz w:val="24"/>
          <w:szCs w:val="24"/>
        </w:rPr>
      </w:pPr>
      <w:r w:rsidRPr="004C3DE3">
        <w:rPr>
          <w:i/>
          <w:iCs/>
          <w:sz w:val="24"/>
          <w:szCs w:val="24"/>
        </w:rPr>
        <w:t xml:space="preserve">In vitro </w:t>
      </w:r>
      <w:r w:rsidRPr="004C3DE3">
        <w:rPr>
          <w:sz w:val="24"/>
          <w:szCs w:val="24"/>
        </w:rPr>
        <w:t>og kliniske farmakokinetiske interaktionsstudier har vist, at potentialet for CYP450-medierede interaktioner, som involverer emtricitabin og tenofovirdisoproxil sammen med andre lægemidler, er lavt.</w:t>
      </w:r>
    </w:p>
    <w:p w:rsidR="0057668F" w:rsidRPr="004C3DE3" w:rsidRDefault="0057668F" w:rsidP="0057668F">
      <w:pPr>
        <w:ind w:left="851"/>
        <w:rPr>
          <w:sz w:val="24"/>
          <w:szCs w:val="24"/>
        </w:rPr>
      </w:pPr>
    </w:p>
    <w:p w:rsidR="0057668F" w:rsidRDefault="0057668F" w:rsidP="0057668F">
      <w:pPr>
        <w:ind w:left="851"/>
        <w:rPr>
          <w:sz w:val="24"/>
          <w:szCs w:val="24"/>
          <w:u w:val="single"/>
        </w:rPr>
      </w:pPr>
      <w:r w:rsidRPr="004C3DE3">
        <w:rPr>
          <w:sz w:val="24"/>
          <w:szCs w:val="24"/>
          <w:u w:val="single"/>
        </w:rPr>
        <w:t>Samtidig brug anbefales ikke</w:t>
      </w:r>
    </w:p>
    <w:p w:rsidR="00FC356F" w:rsidRPr="004C3DE3" w:rsidRDefault="00FC356F" w:rsidP="0057668F">
      <w:pPr>
        <w:ind w:left="851"/>
        <w:rPr>
          <w:sz w:val="24"/>
          <w:szCs w:val="24"/>
          <w:u w:val="single"/>
        </w:rPr>
      </w:pPr>
    </w:p>
    <w:p w:rsidR="0057668F" w:rsidRPr="004C3DE3" w:rsidRDefault="0057668F" w:rsidP="0057668F">
      <w:pPr>
        <w:ind w:left="851"/>
        <w:rPr>
          <w:sz w:val="24"/>
          <w:szCs w:val="24"/>
        </w:rPr>
      </w:pPr>
      <w:r>
        <w:rPr>
          <w:sz w:val="24"/>
          <w:szCs w:val="24"/>
        </w:rPr>
        <w:t>Emtricitabine/Tenofovir disoproxil "Sandoz"</w:t>
      </w:r>
      <w:r w:rsidRPr="004C3DE3">
        <w:rPr>
          <w:sz w:val="24"/>
          <w:szCs w:val="24"/>
        </w:rPr>
        <w:t xml:space="preserve"> bør ikke indgives samtidig med andre lægemidler, som indeholder emtricitabin, tenofovirdisoproxil, tenofoviralafenamid eller andre cytidinanaloger, såsom lamivudin (se pkt. 4.4). </w:t>
      </w:r>
      <w:r>
        <w:rPr>
          <w:sz w:val="24"/>
          <w:szCs w:val="24"/>
        </w:rPr>
        <w:t>Emtricitabine/Tenofovir disoproxil "Sandoz"</w:t>
      </w:r>
      <w:r w:rsidRPr="004C3DE3">
        <w:rPr>
          <w:sz w:val="24"/>
          <w:szCs w:val="24"/>
        </w:rPr>
        <w:t xml:space="preserve"> bør ikke indgives samtidig med adefovirdipivoxil.</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i/>
          <w:iCs/>
          <w:sz w:val="24"/>
          <w:szCs w:val="24"/>
        </w:rPr>
        <w:t xml:space="preserve">Didanosin: </w:t>
      </w:r>
      <w:r w:rsidRPr="004C3DE3">
        <w:rPr>
          <w:sz w:val="24"/>
          <w:szCs w:val="24"/>
        </w:rPr>
        <w:t xml:space="preserve">Co-administration af </w:t>
      </w:r>
      <w:r>
        <w:rPr>
          <w:sz w:val="24"/>
          <w:szCs w:val="24"/>
        </w:rPr>
        <w:t>Emtricitabine/Tenofovir disoproxil "Sandoz"</w:t>
      </w:r>
      <w:r w:rsidRPr="004C3DE3">
        <w:rPr>
          <w:sz w:val="24"/>
          <w:szCs w:val="24"/>
        </w:rPr>
        <w:t xml:space="preserve"> og didanosin anbefales ikke (se pkt. 4.4 og tabel 2).</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i/>
          <w:iCs/>
          <w:sz w:val="24"/>
          <w:szCs w:val="24"/>
        </w:rPr>
        <w:t xml:space="preserve">Lægemidler, som udskilles gennem nyrerne: </w:t>
      </w:r>
      <w:r w:rsidRPr="004C3DE3">
        <w:rPr>
          <w:sz w:val="24"/>
          <w:szCs w:val="24"/>
        </w:rPr>
        <w:t xml:space="preserve">Da emtricitabin og tenofovir primært udskilles gennem nyrerne, kan administration af </w:t>
      </w:r>
      <w:r>
        <w:rPr>
          <w:sz w:val="24"/>
          <w:szCs w:val="24"/>
        </w:rPr>
        <w:t>Emtricitabine/Tenofovir disoproxil "Sandoz"</w:t>
      </w:r>
      <w:r w:rsidRPr="004C3DE3">
        <w:rPr>
          <w:sz w:val="24"/>
          <w:szCs w:val="24"/>
        </w:rPr>
        <w:t xml:space="preserve"> sammen med lægemidler, der reducerer nyrefunktionen eller konkurrerer om aktiv tubulær sekretion (f.eks. cidofovir), øge serumkoncentrationerne af emtricitabin, tenofovir og/eller de samtidigt administrerede lægemidler.</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Brug af </w:t>
      </w:r>
      <w:r>
        <w:rPr>
          <w:sz w:val="24"/>
          <w:szCs w:val="24"/>
        </w:rPr>
        <w:t>Emtricitabine/Tenofovir disoproxil "Sandoz"</w:t>
      </w:r>
      <w:r w:rsidRPr="004C3DE3">
        <w:rPr>
          <w:sz w:val="24"/>
          <w:szCs w:val="24"/>
        </w:rPr>
        <w:t xml:space="preserve"> bør undgås ved samtidig eller nylig brug af et nefrotoksisk lægemiddel. Eksempler herpå omfatter, men er ikke begrænsede til, </w:t>
      </w:r>
      <w:r w:rsidRPr="004C3DE3">
        <w:rPr>
          <w:sz w:val="24"/>
          <w:szCs w:val="24"/>
        </w:rPr>
        <w:lastRenderedPageBreak/>
        <w:t>aminoglykosider, amphotericin B, foscarnet, ganciclovir, pentamidin, vancomycin, cidofovir eller interleukin-2 (se pkt. 4.4).</w:t>
      </w:r>
    </w:p>
    <w:p w:rsidR="0057668F" w:rsidRPr="004C3DE3" w:rsidRDefault="0057668F" w:rsidP="0057668F">
      <w:pPr>
        <w:ind w:left="851"/>
        <w:rPr>
          <w:sz w:val="24"/>
          <w:szCs w:val="24"/>
        </w:rPr>
      </w:pPr>
    </w:p>
    <w:p w:rsidR="0057668F" w:rsidRDefault="0057668F" w:rsidP="00AD7CE0">
      <w:pPr>
        <w:keepNext/>
        <w:ind w:left="851"/>
        <w:rPr>
          <w:sz w:val="24"/>
          <w:szCs w:val="24"/>
          <w:u w:val="single"/>
        </w:rPr>
      </w:pPr>
      <w:r w:rsidRPr="004C3DE3">
        <w:rPr>
          <w:sz w:val="24"/>
          <w:szCs w:val="24"/>
          <w:u w:val="single"/>
        </w:rPr>
        <w:t>Andre interaktioner</w:t>
      </w:r>
    </w:p>
    <w:p w:rsidR="00FC356F" w:rsidRPr="004C3DE3" w:rsidRDefault="00FC356F" w:rsidP="00AD7CE0">
      <w:pPr>
        <w:keepNext/>
        <w:ind w:left="851"/>
        <w:rPr>
          <w:sz w:val="24"/>
          <w:szCs w:val="24"/>
          <w:u w:val="single"/>
        </w:rPr>
      </w:pPr>
    </w:p>
    <w:p w:rsidR="00F07926" w:rsidRDefault="0057668F" w:rsidP="00F07926">
      <w:pPr>
        <w:ind w:left="851"/>
        <w:rPr>
          <w:sz w:val="24"/>
          <w:szCs w:val="24"/>
        </w:rPr>
      </w:pPr>
      <w:r w:rsidRPr="004C3DE3">
        <w:rPr>
          <w:sz w:val="24"/>
          <w:szCs w:val="24"/>
        </w:rPr>
        <w:t xml:space="preserve">Interaktioner mellem </w:t>
      </w:r>
      <w:r>
        <w:rPr>
          <w:sz w:val="24"/>
          <w:szCs w:val="24"/>
        </w:rPr>
        <w:t>Emtricitabine/Tenofovir disoproxil "Sandoz"</w:t>
      </w:r>
      <w:r w:rsidRPr="004C3DE3">
        <w:rPr>
          <w:sz w:val="24"/>
          <w:szCs w:val="24"/>
        </w:rPr>
        <w:t xml:space="preserve"> eller dets individuelle komponent(er) og andre lægemidler ses i tabel 2 nedenfor (stigning er angivet som </w:t>
      </w:r>
      <w:r>
        <w:rPr>
          <w:sz w:val="24"/>
          <w:szCs w:val="24"/>
        </w:rPr>
        <w:t>"</w:t>
      </w:r>
      <w:r w:rsidRPr="004C3DE3">
        <w:rPr>
          <w:sz w:val="24"/>
          <w:szCs w:val="24"/>
        </w:rPr>
        <w:t>↑</w:t>
      </w:r>
      <w:r>
        <w:rPr>
          <w:sz w:val="24"/>
          <w:szCs w:val="24"/>
        </w:rPr>
        <w:t>"</w:t>
      </w:r>
      <w:r w:rsidRPr="004C3DE3">
        <w:rPr>
          <w:sz w:val="24"/>
          <w:szCs w:val="24"/>
        </w:rPr>
        <w:t xml:space="preserve">, fald som </w:t>
      </w:r>
      <w:r>
        <w:rPr>
          <w:sz w:val="24"/>
          <w:szCs w:val="24"/>
        </w:rPr>
        <w:t>"</w:t>
      </w:r>
      <w:r w:rsidRPr="004C3DE3">
        <w:rPr>
          <w:sz w:val="24"/>
          <w:szCs w:val="24"/>
        </w:rPr>
        <w:t>↓</w:t>
      </w:r>
      <w:r>
        <w:rPr>
          <w:sz w:val="24"/>
          <w:szCs w:val="24"/>
        </w:rPr>
        <w:t>"</w:t>
      </w:r>
      <w:r w:rsidRPr="004C3DE3">
        <w:rPr>
          <w:sz w:val="24"/>
          <w:szCs w:val="24"/>
        </w:rPr>
        <w:t xml:space="preserve">, ingen ændring som </w:t>
      </w:r>
      <w:r>
        <w:rPr>
          <w:sz w:val="24"/>
          <w:szCs w:val="24"/>
        </w:rPr>
        <w:t>"</w:t>
      </w:r>
      <w:r w:rsidRPr="004C3DE3">
        <w:rPr>
          <w:sz w:val="24"/>
          <w:szCs w:val="24"/>
        </w:rPr>
        <w:t>↔</w:t>
      </w:r>
      <w:r>
        <w:rPr>
          <w:sz w:val="24"/>
          <w:szCs w:val="24"/>
        </w:rPr>
        <w:t>"</w:t>
      </w:r>
      <w:r w:rsidRPr="004C3DE3">
        <w:rPr>
          <w:sz w:val="24"/>
          <w:szCs w:val="24"/>
        </w:rPr>
        <w:t xml:space="preserve">, to gange dagligt som </w:t>
      </w:r>
      <w:r>
        <w:rPr>
          <w:sz w:val="24"/>
          <w:szCs w:val="24"/>
        </w:rPr>
        <w:t>"</w:t>
      </w:r>
      <w:r w:rsidRPr="004C3DE3">
        <w:rPr>
          <w:sz w:val="24"/>
          <w:szCs w:val="24"/>
        </w:rPr>
        <w:t>b.i.d.</w:t>
      </w:r>
      <w:r>
        <w:rPr>
          <w:sz w:val="24"/>
          <w:szCs w:val="24"/>
        </w:rPr>
        <w:t>"</w:t>
      </w:r>
      <w:r w:rsidRPr="004C3DE3">
        <w:rPr>
          <w:sz w:val="24"/>
          <w:szCs w:val="24"/>
        </w:rPr>
        <w:t xml:space="preserve">, og én gang dagligt som </w:t>
      </w:r>
      <w:r>
        <w:rPr>
          <w:sz w:val="24"/>
          <w:szCs w:val="24"/>
        </w:rPr>
        <w:t>"</w:t>
      </w:r>
      <w:r w:rsidRPr="004C3DE3">
        <w:rPr>
          <w:sz w:val="24"/>
          <w:szCs w:val="24"/>
        </w:rPr>
        <w:t>q.d.</w:t>
      </w:r>
      <w:r>
        <w:rPr>
          <w:sz w:val="24"/>
          <w:szCs w:val="24"/>
        </w:rPr>
        <w:t>"</w:t>
      </w:r>
      <w:r w:rsidRPr="004C3DE3">
        <w:rPr>
          <w:sz w:val="24"/>
          <w:szCs w:val="24"/>
        </w:rPr>
        <w:t>). 90 % konfidensinterval er vist i parenteser, hvis det er tilgængeligt.</w:t>
      </w:r>
      <w:r w:rsidR="00F07926">
        <w:rPr>
          <w:sz w:val="24"/>
          <w:szCs w:val="24"/>
        </w:rPr>
        <w:br/>
      </w:r>
    </w:p>
    <w:p w:rsidR="0057668F" w:rsidRPr="00F07926" w:rsidRDefault="0057668F" w:rsidP="00F07926">
      <w:pPr>
        <w:rPr>
          <w:sz w:val="24"/>
          <w:szCs w:val="24"/>
        </w:rPr>
      </w:pPr>
      <w:r w:rsidRPr="004C3DE3">
        <w:rPr>
          <w:b/>
          <w:sz w:val="24"/>
          <w:szCs w:val="24"/>
        </w:rPr>
        <w:t xml:space="preserve">Tabel 2: Interaktioner mellem </w:t>
      </w:r>
      <w:proofErr w:type="gramStart"/>
      <w:r w:rsidRPr="004C3DE3">
        <w:rPr>
          <w:b/>
          <w:sz w:val="24"/>
          <w:szCs w:val="24"/>
        </w:rPr>
        <w:t>den faste kombinationen</w:t>
      </w:r>
      <w:proofErr w:type="gramEnd"/>
      <w:r w:rsidRPr="004C3DE3">
        <w:rPr>
          <w:b/>
          <w:sz w:val="24"/>
          <w:szCs w:val="24"/>
        </w:rPr>
        <w:t xml:space="preserve"> af emtricitabin og tenofovirdisoproxil eller dets individuelle komponent(er) og andre lægemidler</w:t>
      </w:r>
    </w:p>
    <w:p w:rsidR="0057668F" w:rsidRPr="004C3DE3" w:rsidRDefault="0057668F" w:rsidP="0057668F">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17"/>
        <w:gridCol w:w="2717"/>
        <w:gridCol w:w="98"/>
        <w:gridCol w:w="3254"/>
      </w:tblGrid>
      <w:tr w:rsidR="00FC356F" w:rsidRPr="00A00A3C" w:rsidTr="00FC356F">
        <w:tc>
          <w:tcPr>
            <w:tcW w:w="1839"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jc w:val="center"/>
              <w:rPr>
                <w:b/>
                <w:sz w:val="22"/>
                <w:szCs w:val="22"/>
                <w:lang w:eastAsia="da-DK"/>
              </w:rPr>
            </w:pPr>
            <w:r w:rsidRPr="00A00A3C">
              <w:rPr>
                <w:b/>
                <w:sz w:val="22"/>
                <w:szCs w:val="22"/>
              </w:rPr>
              <w:t>Lægemidler iht. terapeutisk område</w:t>
            </w:r>
          </w:p>
        </w:tc>
        <w:tc>
          <w:tcPr>
            <w:tcW w:w="1471" w:type="pct"/>
            <w:gridSpan w:val="3"/>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jc w:val="center"/>
              <w:rPr>
                <w:b/>
                <w:sz w:val="22"/>
                <w:szCs w:val="22"/>
              </w:rPr>
            </w:pPr>
            <w:r w:rsidRPr="00A00A3C">
              <w:rPr>
                <w:b/>
                <w:sz w:val="22"/>
                <w:szCs w:val="22"/>
              </w:rPr>
              <w:t>Effekt på lægemiddelkoncentrationer</w:t>
            </w:r>
          </w:p>
          <w:p w:rsidR="00FC356F" w:rsidRPr="00A00A3C" w:rsidRDefault="00FC356F" w:rsidP="00FC356F">
            <w:pPr>
              <w:jc w:val="center"/>
              <w:rPr>
                <w:b/>
                <w:sz w:val="22"/>
                <w:szCs w:val="22"/>
              </w:rPr>
            </w:pPr>
            <w:r w:rsidRPr="00A00A3C">
              <w:rPr>
                <w:b/>
                <w:sz w:val="22"/>
                <w:szCs w:val="22"/>
              </w:rPr>
              <w:t>Gnst. ændring (%) i AUC, C</w:t>
            </w:r>
            <w:r w:rsidRPr="00A00A3C">
              <w:rPr>
                <w:b/>
                <w:sz w:val="22"/>
                <w:szCs w:val="22"/>
                <w:vertAlign w:val="subscript"/>
              </w:rPr>
              <w:t>max</w:t>
            </w:r>
            <w:r w:rsidRPr="00A00A3C">
              <w:rPr>
                <w:b/>
                <w:sz w:val="22"/>
                <w:szCs w:val="22"/>
              </w:rPr>
              <w:t>, C</w:t>
            </w:r>
            <w:r w:rsidRPr="00A00A3C">
              <w:rPr>
                <w:b/>
                <w:sz w:val="22"/>
                <w:szCs w:val="22"/>
                <w:vertAlign w:val="subscript"/>
              </w:rPr>
              <w:t>min</w:t>
            </w:r>
            <w:r w:rsidRPr="00A00A3C">
              <w:rPr>
                <w:b/>
                <w:sz w:val="22"/>
                <w:szCs w:val="22"/>
              </w:rPr>
              <w:t xml:space="preserve"> med 90 % konfidens-intervaller, hvis muligt</w:t>
            </w:r>
          </w:p>
          <w:p w:rsidR="00FC356F" w:rsidRPr="00A00A3C" w:rsidRDefault="00FC356F" w:rsidP="00FC356F">
            <w:pPr>
              <w:jc w:val="center"/>
              <w:rPr>
                <w:b/>
                <w:sz w:val="22"/>
                <w:szCs w:val="22"/>
              </w:rPr>
            </w:pPr>
            <w:r w:rsidRPr="00A00A3C">
              <w:rPr>
                <w:b/>
                <w:sz w:val="22"/>
                <w:szCs w:val="22"/>
              </w:rPr>
              <w:t>(mekanisme)</w:t>
            </w:r>
          </w:p>
        </w:tc>
        <w:tc>
          <w:tcPr>
            <w:tcW w:w="1690"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jc w:val="center"/>
              <w:rPr>
                <w:b/>
                <w:sz w:val="22"/>
                <w:szCs w:val="22"/>
              </w:rPr>
            </w:pPr>
            <w:r w:rsidRPr="00A00A3C">
              <w:rPr>
                <w:b/>
                <w:sz w:val="22"/>
                <w:szCs w:val="22"/>
              </w:rPr>
              <w:t>Anbefaling vedr. co-administration med Emtricitabine/Tenofovir disoproxil "Sandoz" (emtricitabin 200 mg, tenofovirdisoproxil 245 mg)</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i/>
                <w:sz w:val="22"/>
                <w:szCs w:val="22"/>
              </w:rPr>
            </w:pPr>
            <w:r w:rsidRPr="00A00A3C">
              <w:rPr>
                <w:b/>
                <w:i/>
                <w:sz w:val="22"/>
                <w:szCs w:val="22"/>
              </w:rPr>
              <w:t>ANTIINFEKTIVA</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Antiretrovirale lægemidler</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Proteasehæmmere</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Atazanavir/ritonavir/</w:t>
            </w:r>
          </w:p>
          <w:p w:rsidR="00FC356F" w:rsidRPr="00A00A3C" w:rsidRDefault="00FC356F" w:rsidP="00FC356F">
            <w:pPr>
              <w:rPr>
                <w:sz w:val="22"/>
                <w:szCs w:val="22"/>
              </w:rPr>
            </w:pPr>
            <w:r w:rsidRPr="00A00A3C">
              <w:rPr>
                <w:sz w:val="22"/>
                <w:szCs w:val="22"/>
              </w:rPr>
              <w:t xml:space="preserve">tenofovirdisoproxil </w:t>
            </w:r>
          </w:p>
          <w:p w:rsidR="00FC356F" w:rsidRPr="00A00A3C" w:rsidRDefault="00FC356F" w:rsidP="00FC356F">
            <w:pPr>
              <w:rPr>
                <w:sz w:val="22"/>
                <w:szCs w:val="22"/>
              </w:rPr>
            </w:pPr>
            <w:r w:rsidRPr="00A00A3C">
              <w:rPr>
                <w:sz w:val="22"/>
                <w:szCs w:val="22"/>
              </w:rPr>
              <w:t xml:space="preserve">(300 mg q.d./100 mg q.d./245 mg q.d.) </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 xml:space="preserve">Atazanavir: </w:t>
            </w:r>
          </w:p>
          <w:p w:rsidR="00FC356F" w:rsidRPr="00A00A3C" w:rsidRDefault="00FC356F" w:rsidP="00FC356F">
            <w:pPr>
              <w:rPr>
                <w:sz w:val="22"/>
                <w:szCs w:val="22"/>
              </w:rPr>
            </w:pPr>
            <w:r w:rsidRPr="00A00A3C">
              <w:rPr>
                <w:sz w:val="22"/>
                <w:szCs w:val="22"/>
              </w:rPr>
              <w:t xml:space="preserve">AUC: ↓ 25 % (↓ 42 til ↓ 3)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xml:space="preserve">: ↓ 28 % (↓ 50 til ↑ 5)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xml:space="preserve">: ↓ 26 % (↓ 46 til ↑ 10) </w:t>
            </w:r>
          </w:p>
          <w:p w:rsidR="00FC356F" w:rsidRPr="00A00A3C" w:rsidRDefault="00FC356F" w:rsidP="00FC356F">
            <w:pPr>
              <w:rPr>
                <w:sz w:val="22"/>
                <w:szCs w:val="22"/>
              </w:rPr>
            </w:pPr>
            <w:r w:rsidRPr="00A00A3C">
              <w:rPr>
                <w:sz w:val="22"/>
                <w:szCs w:val="22"/>
              </w:rPr>
              <w:t xml:space="preserve">Tenofovir: </w:t>
            </w:r>
          </w:p>
          <w:p w:rsidR="00FC356F" w:rsidRPr="00A00A3C" w:rsidRDefault="00FC356F" w:rsidP="00FC356F">
            <w:pPr>
              <w:rPr>
                <w:sz w:val="22"/>
                <w:szCs w:val="22"/>
              </w:rPr>
            </w:pPr>
            <w:r w:rsidRPr="00A00A3C">
              <w:rPr>
                <w:sz w:val="22"/>
                <w:szCs w:val="22"/>
              </w:rPr>
              <w:t xml:space="preserve">AUC: ↑ 37 %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xml:space="preserve">: ↑ 34 %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xml:space="preserve">: ↑ 29 % </w:t>
            </w:r>
          </w:p>
        </w:tc>
        <w:tc>
          <w:tcPr>
            <w:tcW w:w="1741" w:type="pct"/>
            <w:gridSpan w:val="2"/>
            <w:vMerge w:val="restar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Ingen dosisjustering er anbefalet.</w:t>
            </w:r>
          </w:p>
          <w:p w:rsidR="00FC356F" w:rsidRPr="00A00A3C" w:rsidRDefault="00FC356F" w:rsidP="00FC356F">
            <w:pPr>
              <w:rPr>
                <w:sz w:val="22"/>
                <w:szCs w:val="22"/>
              </w:rPr>
            </w:pPr>
            <w:r w:rsidRPr="00A00A3C">
              <w:rPr>
                <w:sz w:val="22"/>
                <w:szCs w:val="22"/>
              </w:rPr>
              <w:t xml:space="preserve">Den forøgede tenofovir-eksponering kan øge risikoen for tenofovir-relaterede bivirkninger, inkl. renale lidelser. Nyrefunktionen skal monitoreres tæt (se pkt. 4.4). </w:t>
            </w:r>
          </w:p>
          <w:p w:rsidR="00FC356F" w:rsidRPr="00A00A3C" w:rsidRDefault="00FC356F" w:rsidP="00FC356F">
            <w:pPr>
              <w:rPr>
                <w:sz w:val="22"/>
                <w:szCs w:val="22"/>
              </w:rPr>
            </w:pPr>
          </w:p>
          <w:p w:rsidR="00FC356F" w:rsidRPr="00A00A3C" w:rsidRDefault="00FC356F" w:rsidP="00FC356F">
            <w:pPr>
              <w:rPr>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Atazanavir/ritonavir/emtricitabin </w:t>
            </w:r>
          </w:p>
          <w:p w:rsidR="00FC356F" w:rsidRPr="00A00A3C" w:rsidRDefault="00FC356F" w:rsidP="00FC356F">
            <w:pPr>
              <w:rPr>
                <w:sz w:val="22"/>
                <w:szCs w:val="22"/>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Interaktion er ikke undersøgt.</w:t>
            </w:r>
          </w:p>
          <w:p w:rsidR="00FC356F" w:rsidRPr="00A00A3C" w:rsidRDefault="00FC356F" w:rsidP="00FC356F">
            <w:pPr>
              <w:rPr>
                <w:sz w:val="22"/>
                <w:szCs w:val="22"/>
              </w:rPr>
            </w:pPr>
          </w:p>
        </w:tc>
        <w:tc>
          <w:tcPr>
            <w:tcW w:w="1741" w:type="pct"/>
            <w:gridSpan w:val="2"/>
            <w:vMerge/>
            <w:tcBorders>
              <w:top w:val="single" w:sz="4" w:space="0" w:color="auto"/>
              <w:left w:val="single" w:sz="4" w:space="0" w:color="auto"/>
              <w:bottom w:val="single" w:sz="4" w:space="0" w:color="auto"/>
              <w:right w:val="single" w:sz="4" w:space="0" w:color="auto"/>
            </w:tcBorders>
            <w:vAlign w:val="center"/>
            <w:hideMark/>
          </w:tcPr>
          <w:p w:rsidR="00FC356F" w:rsidRPr="00A00A3C" w:rsidRDefault="00FC356F" w:rsidP="00FC356F">
            <w:pPr>
              <w:rPr>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 xml:space="preserve">Darunavir/ritonavir/ tenofovirdisoproxil </w:t>
            </w:r>
          </w:p>
          <w:p w:rsidR="00FC356F" w:rsidRPr="00A00A3C" w:rsidRDefault="00FC356F" w:rsidP="00FC356F">
            <w:pPr>
              <w:rPr>
                <w:color w:val="FF0000"/>
                <w:sz w:val="22"/>
                <w:szCs w:val="22"/>
              </w:rPr>
            </w:pPr>
            <w:r w:rsidRPr="00A00A3C">
              <w:rPr>
                <w:sz w:val="22"/>
                <w:szCs w:val="22"/>
              </w:rPr>
              <w:t>(300 mg q.d./100 mg q.d./245 mg q.d.)</w:t>
            </w:r>
            <w:r w:rsidRPr="00A00A3C">
              <w:rPr>
                <w:color w:val="FF0000"/>
                <w:sz w:val="22"/>
                <w:szCs w:val="22"/>
              </w:rPr>
              <w:t xml:space="preserve"> </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 xml:space="preserve">Darunavir: </w:t>
            </w:r>
          </w:p>
          <w:p w:rsidR="00FC356F" w:rsidRPr="00A00A3C" w:rsidRDefault="00FC356F" w:rsidP="00FC356F">
            <w:pPr>
              <w:rPr>
                <w:sz w:val="22"/>
                <w:szCs w:val="22"/>
              </w:rPr>
            </w:pPr>
            <w:r w:rsidRPr="00A00A3C">
              <w:rPr>
                <w:sz w:val="22"/>
                <w:szCs w:val="22"/>
              </w:rPr>
              <w:t xml:space="preserve">AUC: ↔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xml:space="preserve">: ↔ </w:t>
            </w:r>
          </w:p>
          <w:p w:rsidR="00FC356F" w:rsidRPr="00A00A3C" w:rsidRDefault="00FC356F" w:rsidP="00FC356F">
            <w:pPr>
              <w:rPr>
                <w:sz w:val="22"/>
                <w:szCs w:val="22"/>
              </w:rPr>
            </w:pPr>
            <w:r w:rsidRPr="00A00A3C">
              <w:rPr>
                <w:sz w:val="22"/>
                <w:szCs w:val="22"/>
              </w:rPr>
              <w:t xml:space="preserve">Tenofovir: </w:t>
            </w:r>
          </w:p>
          <w:p w:rsidR="00FC356F" w:rsidRPr="00A00A3C" w:rsidRDefault="00FC356F" w:rsidP="00FC356F">
            <w:pPr>
              <w:rPr>
                <w:sz w:val="22"/>
                <w:szCs w:val="22"/>
              </w:rPr>
            </w:pPr>
            <w:r w:rsidRPr="00A00A3C">
              <w:rPr>
                <w:sz w:val="22"/>
                <w:szCs w:val="22"/>
              </w:rPr>
              <w:t xml:space="preserve">AUC: ↑ 22 % </w:t>
            </w:r>
          </w:p>
          <w:p w:rsidR="00FC356F" w:rsidRPr="00A00A3C" w:rsidRDefault="00FC356F" w:rsidP="00FC356F">
            <w:pPr>
              <w:rPr>
                <w:color w:val="FF0000"/>
                <w:sz w:val="22"/>
                <w:szCs w:val="22"/>
              </w:rPr>
            </w:pPr>
            <w:r w:rsidRPr="00A00A3C">
              <w:rPr>
                <w:sz w:val="22"/>
                <w:szCs w:val="22"/>
              </w:rPr>
              <w:t>C</w:t>
            </w:r>
            <w:r w:rsidRPr="00A00A3C">
              <w:rPr>
                <w:sz w:val="22"/>
                <w:szCs w:val="22"/>
                <w:vertAlign w:val="subscript"/>
              </w:rPr>
              <w:t>min</w:t>
            </w:r>
            <w:r w:rsidRPr="00A00A3C">
              <w:rPr>
                <w:sz w:val="22"/>
                <w:szCs w:val="22"/>
              </w:rPr>
              <w:t>: ↑ 37 %</w:t>
            </w:r>
            <w:r w:rsidRPr="00A00A3C">
              <w:rPr>
                <w:color w:val="FF0000"/>
                <w:sz w:val="22"/>
                <w:szCs w:val="22"/>
              </w:rPr>
              <w:t xml:space="preserve"> </w:t>
            </w:r>
          </w:p>
        </w:tc>
        <w:tc>
          <w:tcPr>
            <w:tcW w:w="1741" w:type="pct"/>
            <w:gridSpan w:val="2"/>
            <w:vMerge w:val="restar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Ingen dosisjustering er anbefalet.</w:t>
            </w:r>
          </w:p>
          <w:p w:rsidR="00FC356F" w:rsidRPr="00A00A3C" w:rsidRDefault="00FC356F" w:rsidP="00FC356F">
            <w:pPr>
              <w:rPr>
                <w:sz w:val="22"/>
                <w:szCs w:val="22"/>
              </w:rPr>
            </w:pPr>
            <w:r w:rsidRPr="00A00A3C">
              <w:rPr>
                <w:sz w:val="22"/>
                <w:szCs w:val="22"/>
              </w:rPr>
              <w:t xml:space="preserve">Den forøgede tenofovir-eksponering kan øge risikoen for tenofovir-relaterede bivirkninger, inkl. renale lidelser. Nyrefunktionen skal monitoreres tæt (se pkt. 4.4). </w:t>
            </w:r>
          </w:p>
          <w:p w:rsidR="00FC356F" w:rsidRPr="00A00A3C" w:rsidRDefault="00FC356F" w:rsidP="00FC356F">
            <w:pPr>
              <w:rPr>
                <w:color w:val="FF0000"/>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Darunavir/ritonavir/emtricitabin</w:t>
            </w:r>
          </w:p>
          <w:p w:rsidR="00FC356F" w:rsidRPr="00A00A3C" w:rsidRDefault="00FC356F" w:rsidP="00FC356F">
            <w:pPr>
              <w:rPr>
                <w:sz w:val="22"/>
                <w:szCs w:val="22"/>
              </w:rPr>
            </w:pP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 xml:space="preserve">Interaktion er ikke undersøgt. </w:t>
            </w:r>
          </w:p>
        </w:tc>
        <w:tc>
          <w:tcPr>
            <w:tcW w:w="1741" w:type="pct"/>
            <w:gridSpan w:val="2"/>
            <w:vMerge/>
            <w:tcBorders>
              <w:top w:val="single" w:sz="4" w:space="0" w:color="auto"/>
              <w:left w:val="single" w:sz="4" w:space="0" w:color="auto"/>
              <w:bottom w:val="single" w:sz="4" w:space="0" w:color="auto"/>
              <w:right w:val="single" w:sz="4" w:space="0" w:color="auto"/>
            </w:tcBorders>
            <w:vAlign w:val="center"/>
            <w:hideMark/>
          </w:tcPr>
          <w:p w:rsidR="00FC356F" w:rsidRPr="00A00A3C" w:rsidRDefault="00FC356F" w:rsidP="00FC356F">
            <w:pPr>
              <w:rPr>
                <w:color w:val="FF0000"/>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 xml:space="preserve">Lopinavir/ritonavir/tenofovirdisoproxil </w:t>
            </w:r>
          </w:p>
          <w:p w:rsidR="00FC356F" w:rsidRPr="00A00A3C" w:rsidRDefault="00FC356F" w:rsidP="00FC356F">
            <w:pPr>
              <w:rPr>
                <w:color w:val="FF0000"/>
                <w:sz w:val="22"/>
                <w:szCs w:val="22"/>
              </w:rPr>
            </w:pPr>
            <w:r w:rsidRPr="00A00A3C">
              <w:rPr>
                <w:sz w:val="22"/>
                <w:szCs w:val="22"/>
              </w:rPr>
              <w:t>(400 mg b.i.d./100 mg b.i.d/245 mg q.d.)</w:t>
            </w:r>
            <w:r w:rsidRPr="00A00A3C">
              <w:rPr>
                <w:color w:val="FF0000"/>
                <w:sz w:val="22"/>
                <w:szCs w:val="22"/>
              </w:rPr>
              <w:t xml:space="preserve"> </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rPr>
            </w:pPr>
            <w:r w:rsidRPr="00A00A3C">
              <w:rPr>
                <w:sz w:val="22"/>
                <w:szCs w:val="22"/>
                <w:lang w:val="en-US"/>
              </w:rPr>
              <w:t xml:space="preserve">Lopinavir/ritonavir: </w:t>
            </w:r>
          </w:p>
          <w:p w:rsidR="00FC356F" w:rsidRPr="00A00A3C" w:rsidRDefault="00FC356F" w:rsidP="00FC356F">
            <w:pPr>
              <w:rPr>
                <w:sz w:val="22"/>
                <w:szCs w:val="22"/>
                <w:lang w:val="en-US"/>
              </w:rPr>
            </w:pPr>
            <w:r w:rsidRPr="00A00A3C">
              <w:rPr>
                <w:sz w:val="22"/>
                <w:szCs w:val="22"/>
                <w:lang w:val="en-US"/>
              </w:rPr>
              <w:t xml:space="preserve">AUC: ↔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xml:space="preserve">: ↔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xml:space="preserve">: ↔ </w:t>
            </w:r>
          </w:p>
          <w:p w:rsidR="00FC356F" w:rsidRPr="00A00A3C" w:rsidRDefault="00FC356F" w:rsidP="00FC356F">
            <w:pPr>
              <w:rPr>
                <w:sz w:val="22"/>
                <w:szCs w:val="22"/>
                <w:lang w:val="en-US"/>
              </w:rPr>
            </w:pPr>
            <w:r w:rsidRPr="00A00A3C">
              <w:rPr>
                <w:sz w:val="22"/>
                <w:szCs w:val="22"/>
                <w:lang w:val="en-US"/>
              </w:rPr>
              <w:t xml:space="preserve">Tenofovir: </w:t>
            </w:r>
          </w:p>
          <w:p w:rsidR="00FC356F" w:rsidRPr="00A00A3C" w:rsidRDefault="00FC356F" w:rsidP="00FC356F">
            <w:pPr>
              <w:rPr>
                <w:sz w:val="22"/>
                <w:szCs w:val="22"/>
                <w:lang w:val="en-US"/>
              </w:rPr>
            </w:pPr>
            <w:r w:rsidRPr="00A00A3C">
              <w:rPr>
                <w:sz w:val="22"/>
                <w:szCs w:val="22"/>
                <w:lang w:val="en-US"/>
              </w:rPr>
              <w:t xml:space="preserve">AUC: ↑ 32 % (↑ 25 til ↑ 38)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xml:space="preserve">: ↔ </w:t>
            </w:r>
          </w:p>
          <w:p w:rsidR="00FC356F" w:rsidRPr="00A00A3C" w:rsidRDefault="00FC356F" w:rsidP="00FC356F">
            <w:pPr>
              <w:rPr>
                <w:color w:val="FF0000"/>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51 % (↑ 37 til ↑ 66)</w:t>
            </w:r>
            <w:r w:rsidRPr="00A00A3C">
              <w:rPr>
                <w:color w:val="FF0000"/>
                <w:sz w:val="22"/>
                <w:szCs w:val="22"/>
                <w:lang w:val="en-US"/>
              </w:rPr>
              <w:t xml:space="preserve"> </w:t>
            </w:r>
          </w:p>
        </w:tc>
        <w:tc>
          <w:tcPr>
            <w:tcW w:w="1741" w:type="pct"/>
            <w:gridSpan w:val="2"/>
            <w:vMerge w:val="restar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Ingen dosisjustering er anbefalet.</w:t>
            </w:r>
          </w:p>
          <w:p w:rsidR="00FC356F" w:rsidRPr="00A00A3C" w:rsidRDefault="00FC356F" w:rsidP="00FC356F">
            <w:pPr>
              <w:rPr>
                <w:sz w:val="22"/>
                <w:szCs w:val="22"/>
              </w:rPr>
            </w:pPr>
            <w:r w:rsidRPr="00A00A3C">
              <w:rPr>
                <w:sz w:val="22"/>
                <w:szCs w:val="22"/>
              </w:rPr>
              <w:t xml:space="preserve">Den forøgede tenofovir-eksponering kan øge risikoen for tenofovir-relaterede bivirkninger, inkl. renale lidelser. Nyrefunktionen skal monitoreres tæt (se pkt. 4.4). </w:t>
            </w:r>
          </w:p>
          <w:p w:rsidR="00FC356F" w:rsidRPr="00A00A3C" w:rsidRDefault="00FC356F" w:rsidP="00FC356F">
            <w:pPr>
              <w:rPr>
                <w:color w:val="FF0000"/>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Lopinavir/ritonavir/emtricitabin </w:t>
            </w:r>
          </w:p>
          <w:p w:rsidR="00FC356F" w:rsidRPr="00A00A3C" w:rsidRDefault="00FC356F" w:rsidP="00FC356F">
            <w:pPr>
              <w:rPr>
                <w:sz w:val="22"/>
                <w:szCs w:val="22"/>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Interaktion er ikke undersøgt.</w:t>
            </w:r>
          </w:p>
          <w:p w:rsidR="00FC356F" w:rsidRPr="00A00A3C" w:rsidRDefault="00FC356F" w:rsidP="00FC356F">
            <w:pPr>
              <w:rPr>
                <w:sz w:val="22"/>
                <w:szCs w:val="22"/>
              </w:rPr>
            </w:pPr>
          </w:p>
        </w:tc>
        <w:tc>
          <w:tcPr>
            <w:tcW w:w="1741" w:type="pct"/>
            <w:gridSpan w:val="2"/>
            <w:vMerge/>
            <w:tcBorders>
              <w:top w:val="single" w:sz="4" w:space="0" w:color="auto"/>
              <w:left w:val="single" w:sz="4" w:space="0" w:color="auto"/>
              <w:bottom w:val="single" w:sz="4" w:space="0" w:color="auto"/>
              <w:right w:val="single" w:sz="4" w:space="0" w:color="auto"/>
            </w:tcBorders>
            <w:vAlign w:val="center"/>
            <w:hideMark/>
          </w:tcPr>
          <w:p w:rsidR="00FC356F" w:rsidRPr="00A00A3C" w:rsidRDefault="00FC356F" w:rsidP="00FC356F">
            <w:pPr>
              <w:rPr>
                <w:color w:val="FF0000"/>
                <w:sz w:val="22"/>
                <w:szCs w:val="22"/>
              </w:rPr>
            </w:pP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NRTI’er</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lastRenderedPageBreak/>
              <w:t xml:space="preserve">Didanosin/tenofovirdisoproxil </w:t>
            </w:r>
          </w:p>
          <w:p w:rsidR="00FC356F" w:rsidRPr="00A00A3C" w:rsidRDefault="00FC356F" w:rsidP="00FC356F">
            <w:pPr>
              <w:rPr>
                <w:color w:val="FF0000"/>
                <w:sz w:val="22"/>
                <w:szCs w:val="22"/>
              </w:rPr>
            </w:pP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Samtidig indgivelse af</w:t>
            </w:r>
          </w:p>
          <w:p w:rsidR="00FC356F" w:rsidRPr="00A00A3C" w:rsidRDefault="00FC356F" w:rsidP="00FC356F">
            <w:pPr>
              <w:rPr>
                <w:sz w:val="22"/>
                <w:szCs w:val="22"/>
              </w:rPr>
            </w:pPr>
            <w:r w:rsidRPr="00A00A3C">
              <w:rPr>
                <w:sz w:val="22"/>
                <w:szCs w:val="22"/>
              </w:rPr>
              <w:t xml:space="preserve">tenofovirdisoproxil og didanosin resulterer i en 40-60 % stigning i systemisk eksponering for didanosin. </w:t>
            </w:r>
          </w:p>
        </w:tc>
        <w:tc>
          <w:tcPr>
            <w:tcW w:w="1741"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Samtidig administration af Emtricitabine/Tenofovir disoproxil "Sandoz" og didanosin anbefales ikke (se pkt. 4.4). </w:t>
            </w:r>
          </w:p>
          <w:p w:rsidR="00FC356F" w:rsidRPr="00A00A3C" w:rsidRDefault="00FC356F" w:rsidP="00FC356F">
            <w:pPr>
              <w:rPr>
                <w:sz w:val="22"/>
                <w:szCs w:val="22"/>
              </w:rPr>
            </w:pPr>
          </w:p>
          <w:p w:rsidR="00FC356F" w:rsidRPr="00A00A3C" w:rsidRDefault="00FC356F" w:rsidP="00FC356F">
            <w:pPr>
              <w:pStyle w:val="Default"/>
              <w:rPr>
                <w:sz w:val="22"/>
                <w:szCs w:val="22"/>
                <w:lang w:val="da-DK"/>
              </w:rPr>
            </w:pPr>
            <w:r w:rsidRPr="00A00A3C">
              <w:rPr>
                <w:sz w:val="22"/>
                <w:szCs w:val="22"/>
                <w:lang w:val="da-DK"/>
              </w:rPr>
              <w:t xml:space="preserve">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 </w:t>
            </w:r>
          </w:p>
          <w:p w:rsidR="00FC356F" w:rsidRPr="00A00A3C" w:rsidRDefault="00FC356F" w:rsidP="00FC356F">
            <w:pPr>
              <w:rPr>
                <w:color w:val="FF0000"/>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Didanosin/emtricitabin</w:t>
            </w:r>
          </w:p>
          <w:p w:rsidR="00FC356F" w:rsidRPr="00A00A3C" w:rsidRDefault="00FC356F" w:rsidP="00FC356F">
            <w:pPr>
              <w:rPr>
                <w:sz w:val="22"/>
                <w:szCs w:val="22"/>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Interaktion er ikke undersøgt.</w:t>
            </w:r>
          </w:p>
          <w:p w:rsidR="00FC356F" w:rsidRPr="00A00A3C" w:rsidRDefault="00FC356F" w:rsidP="00FC356F">
            <w:pPr>
              <w:rPr>
                <w:sz w:val="22"/>
                <w:szCs w:val="22"/>
              </w:rPr>
            </w:pPr>
          </w:p>
        </w:tc>
        <w:tc>
          <w:tcPr>
            <w:tcW w:w="1741"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Lamivudin/tenofovirdisoproxil</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Lamivudin:</w:t>
            </w:r>
          </w:p>
          <w:p w:rsidR="00FC356F" w:rsidRPr="00A00A3C" w:rsidRDefault="00FC356F" w:rsidP="00FC356F">
            <w:pPr>
              <w:rPr>
                <w:sz w:val="22"/>
                <w:szCs w:val="22"/>
              </w:rPr>
            </w:pPr>
            <w:r w:rsidRPr="00A00A3C">
              <w:rPr>
                <w:sz w:val="22"/>
                <w:szCs w:val="22"/>
              </w:rPr>
              <w:t>AUC: ↓ 3 % (: 8 % til ↑ 15)</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 24 % (</w:t>
            </w:r>
            <w:r w:rsidRPr="00A00A3C">
              <w:rPr>
                <w:color w:val="000000"/>
                <w:sz w:val="22"/>
                <w:szCs w:val="22"/>
                <w:lang w:eastAsia="en-GB"/>
              </w:rPr>
              <w:t xml:space="preserve">↓ 44 to ↓ </w:t>
            </w:r>
            <w:r w:rsidRPr="00A00A3C">
              <w:rPr>
                <w:sz w:val="22"/>
                <w:szCs w:val="22"/>
              </w:rPr>
              <w:t>12)</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IB</w:t>
            </w:r>
          </w:p>
          <w:p w:rsidR="00FC356F" w:rsidRPr="00A00A3C" w:rsidRDefault="00FC356F" w:rsidP="00FC356F">
            <w:pPr>
              <w:rPr>
                <w:sz w:val="22"/>
                <w:szCs w:val="22"/>
                <w:lang w:val="en-US"/>
              </w:rPr>
            </w:pPr>
            <w:r w:rsidRPr="00A00A3C">
              <w:rPr>
                <w:sz w:val="22"/>
                <w:szCs w:val="22"/>
                <w:lang w:val="en-US"/>
              </w:rPr>
              <w:t>Tenofovir:</w:t>
            </w:r>
          </w:p>
          <w:p w:rsidR="00FC356F" w:rsidRPr="00A00A3C" w:rsidRDefault="00FC356F" w:rsidP="00FC356F">
            <w:pPr>
              <w:rPr>
                <w:sz w:val="22"/>
                <w:szCs w:val="22"/>
                <w:lang w:val="en-US"/>
              </w:rPr>
            </w:pPr>
            <w:r w:rsidRPr="00A00A3C">
              <w:rPr>
                <w:sz w:val="22"/>
                <w:szCs w:val="22"/>
                <w:lang w:val="en-US"/>
              </w:rPr>
              <w:t>AUC: ↓ 4 % (</w:t>
            </w:r>
            <w:r w:rsidRPr="00A00A3C">
              <w:rPr>
                <w:color w:val="000000"/>
                <w:sz w:val="22"/>
                <w:szCs w:val="22"/>
                <w:lang w:val="en-US" w:eastAsia="en-GB"/>
              </w:rPr>
              <w:t>↓ 15 to ↑ 8</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102 % (</w:t>
            </w:r>
            <w:r w:rsidRPr="00A00A3C">
              <w:rPr>
                <w:color w:val="000000"/>
                <w:sz w:val="22"/>
                <w:szCs w:val="22"/>
                <w:lang w:val="en-US" w:eastAsia="en-GB"/>
              </w:rPr>
              <w:t>↓ 96 to ↑ 108</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IB</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Lamivudin og Emtricitabine/Tenofovir disoproxil "Sandoz" må ikke administreres samtidigt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Efavirenz/tenofovirdisoproxil</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Efavirenz:</w:t>
            </w:r>
          </w:p>
          <w:p w:rsidR="00FC356F" w:rsidRPr="00A00A3C" w:rsidRDefault="00FC356F" w:rsidP="00FC356F">
            <w:pPr>
              <w:rPr>
                <w:sz w:val="22"/>
                <w:szCs w:val="22"/>
              </w:rPr>
            </w:pPr>
            <w:r w:rsidRPr="00A00A3C">
              <w:rPr>
                <w:sz w:val="22"/>
                <w:szCs w:val="22"/>
              </w:rPr>
              <w:t>AUC: ↓ 4 % (</w:t>
            </w:r>
            <w:r w:rsidRPr="00A00A3C">
              <w:rPr>
                <w:color w:val="000000"/>
                <w:sz w:val="22"/>
                <w:szCs w:val="22"/>
                <w:lang w:eastAsia="en-GB"/>
              </w:rPr>
              <w:t>↓ 7 to ↓ 1</w:t>
            </w:r>
            <w:r w:rsidRPr="00A00A3C">
              <w:rPr>
                <w:sz w:val="22"/>
                <w:szCs w:val="22"/>
              </w:rPr>
              <w:t>)</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 4 % (</w:t>
            </w:r>
            <w:r w:rsidRPr="00A00A3C">
              <w:rPr>
                <w:color w:val="000000"/>
                <w:sz w:val="22"/>
                <w:szCs w:val="22"/>
                <w:lang w:eastAsia="en-GB"/>
              </w:rPr>
              <w:t>↓ 9 to ↑ 2</w:t>
            </w:r>
            <w:r w:rsidRPr="00A00A3C">
              <w:rPr>
                <w:sz w:val="22"/>
                <w:szCs w:val="22"/>
              </w:rPr>
              <w:t>)</w:t>
            </w:r>
          </w:p>
          <w:p w:rsidR="00FC356F" w:rsidRPr="00AC5F5E" w:rsidRDefault="00FC356F" w:rsidP="00FC356F">
            <w:pPr>
              <w:rPr>
                <w:sz w:val="22"/>
                <w:szCs w:val="22"/>
              </w:rPr>
            </w:pPr>
            <w:r w:rsidRPr="00AC5F5E">
              <w:rPr>
                <w:sz w:val="22"/>
                <w:szCs w:val="22"/>
              </w:rPr>
              <w:t>C</w:t>
            </w:r>
            <w:r w:rsidRPr="00AC5F5E">
              <w:rPr>
                <w:sz w:val="22"/>
                <w:szCs w:val="22"/>
                <w:vertAlign w:val="subscript"/>
              </w:rPr>
              <w:t>min</w:t>
            </w:r>
            <w:r w:rsidRPr="00AC5F5E">
              <w:rPr>
                <w:sz w:val="22"/>
                <w:szCs w:val="22"/>
              </w:rPr>
              <w:t>: IB</w:t>
            </w:r>
          </w:p>
          <w:p w:rsidR="00FC356F" w:rsidRPr="00AC5F5E" w:rsidRDefault="00FC356F" w:rsidP="00FC356F">
            <w:pPr>
              <w:rPr>
                <w:sz w:val="22"/>
                <w:szCs w:val="22"/>
              </w:rPr>
            </w:pPr>
            <w:r w:rsidRPr="00AC5F5E">
              <w:rPr>
                <w:sz w:val="22"/>
                <w:szCs w:val="22"/>
              </w:rPr>
              <w:t>Tenofovir:</w:t>
            </w:r>
          </w:p>
          <w:p w:rsidR="00FC356F" w:rsidRPr="00AC5F5E" w:rsidRDefault="00FC356F" w:rsidP="00FC356F">
            <w:pPr>
              <w:rPr>
                <w:sz w:val="22"/>
                <w:szCs w:val="22"/>
              </w:rPr>
            </w:pPr>
            <w:r w:rsidRPr="00AC5F5E">
              <w:rPr>
                <w:sz w:val="22"/>
                <w:szCs w:val="22"/>
              </w:rPr>
              <w:t xml:space="preserve">AUC: ↓ 1 % </w:t>
            </w:r>
            <w:r w:rsidRPr="00AC5F5E">
              <w:rPr>
                <w:color w:val="000000"/>
                <w:sz w:val="22"/>
                <w:szCs w:val="22"/>
                <w:lang w:eastAsia="en-GB"/>
              </w:rPr>
              <w:t xml:space="preserve">(↓ 8 to ↑ </w:t>
            </w:r>
            <w:proofErr w:type="gramStart"/>
            <w:r w:rsidRPr="00AC5F5E">
              <w:rPr>
                <w:color w:val="000000"/>
                <w:sz w:val="22"/>
                <w:szCs w:val="22"/>
                <w:lang w:eastAsia="en-GB"/>
              </w:rPr>
              <w:t>6</w:t>
            </w:r>
            <w:r w:rsidRPr="00AC5F5E">
              <w:rPr>
                <w:sz w:val="22"/>
                <w:szCs w:val="22"/>
              </w:rPr>
              <w:t xml:space="preserve"> )</w:t>
            </w:r>
            <w:proofErr w:type="gramEnd"/>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xml:space="preserve">: ↑ 7 % </w:t>
            </w:r>
            <w:r w:rsidRPr="00A00A3C">
              <w:rPr>
                <w:color w:val="000000"/>
                <w:sz w:val="22"/>
                <w:szCs w:val="22"/>
                <w:lang w:eastAsia="en-GB"/>
              </w:rPr>
              <w:t xml:space="preserve">(↓ 6 to ↑ 22) </w:t>
            </w:r>
            <w:r w:rsidRPr="00A00A3C">
              <w:rPr>
                <w:sz w:val="22"/>
                <w:szCs w:val="22"/>
              </w:rPr>
              <w:t>C</w:t>
            </w:r>
            <w:r w:rsidRPr="00A00A3C">
              <w:rPr>
                <w:sz w:val="22"/>
                <w:szCs w:val="22"/>
                <w:vertAlign w:val="subscript"/>
              </w:rPr>
              <w:t>min</w:t>
            </w:r>
            <w:r w:rsidRPr="00A00A3C">
              <w:rPr>
                <w:sz w:val="22"/>
                <w:szCs w:val="22"/>
              </w:rPr>
              <w:t>: IB</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Dosisjustering af efavirenz er ikke nødvendig.</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i/>
                <w:sz w:val="22"/>
                <w:szCs w:val="22"/>
              </w:rPr>
            </w:pPr>
            <w:r w:rsidRPr="00A00A3C">
              <w:rPr>
                <w:b/>
                <w:i/>
                <w:sz w:val="22"/>
                <w:szCs w:val="22"/>
              </w:rPr>
              <w:t>ANTIINFEKTIVA</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Hepatitis B-virus (HBV) antivirale midler</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t>Adefovirdipivoxil/</w:t>
            </w:r>
          </w:p>
          <w:p w:rsidR="00FC356F" w:rsidRPr="00A00A3C" w:rsidRDefault="00FC356F" w:rsidP="00FC356F">
            <w:pPr>
              <w:rPr>
                <w:sz w:val="22"/>
                <w:szCs w:val="22"/>
              </w:rPr>
            </w:pPr>
            <w:r w:rsidRPr="00A00A3C">
              <w:rPr>
                <w:sz w:val="22"/>
                <w:szCs w:val="22"/>
                <w:lang w:eastAsia="da-DK"/>
              </w:rPr>
              <w:t>tenofovirdisoproxil</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t>Adefovirdipivoxil:</w:t>
            </w:r>
          </w:p>
          <w:p w:rsidR="00FC356F" w:rsidRPr="00A00A3C" w:rsidRDefault="00FC356F" w:rsidP="00FC356F">
            <w:pPr>
              <w:rPr>
                <w:sz w:val="22"/>
                <w:szCs w:val="22"/>
                <w:lang w:eastAsia="da-DK"/>
              </w:rPr>
            </w:pPr>
            <w:r w:rsidRPr="00A00A3C">
              <w:rPr>
                <w:sz w:val="22"/>
                <w:szCs w:val="22"/>
                <w:lang w:eastAsia="da-DK"/>
              </w:rPr>
              <w:t xml:space="preserve">AUC: ↓ 11 % </w:t>
            </w:r>
            <w:r w:rsidRPr="00A00A3C">
              <w:rPr>
                <w:color w:val="000000"/>
                <w:sz w:val="22"/>
                <w:szCs w:val="22"/>
                <w:lang w:eastAsia="en-GB"/>
              </w:rPr>
              <w:t xml:space="preserve">(↓ 14 to ↓ 7) </w:t>
            </w:r>
          </w:p>
          <w:p w:rsidR="00FC356F" w:rsidRPr="00A00A3C" w:rsidRDefault="00FC356F" w:rsidP="00FC356F">
            <w:pPr>
              <w:rPr>
                <w:sz w:val="22"/>
                <w:szCs w:val="22"/>
                <w:lang w:eastAsia="da-DK"/>
              </w:rPr>
            </w:pPr>
            <w:r w:rsidRPr="00A00A3C">
              <w:rPr>
                <w:sz w:val="22"/>
                <w:szCs w:val="22"/>
                <w:lang w:eastAsia="da-DK"/>
              </w:rPr>
              <w:t>C</w:t>
            </w:r>
            <w:r w:rsidRPr="00A00A3C">
              <w:rPr>
                <w:sz w:val="22"/>
                <w:szCs w:val="22"/>
                <w:vertAlign w:val="subscript"/>
                <w:lang w:eastAsia="da-DK"/>
              </w:rPr>
              <w:t>max</w:t>
            </w:r>
            <w:r w:rsidRPr="00A00A3C">
              <w:rPr>
                <w:sz w:val="22"/>
                <w:szCs w:val="22"/>
                <w:lang w:eastAsia="da-DK"/>
              </w:rPr>
              <w:t xml:space="preserve">: ↓ 7 % </w:t>
            </w:r>
            <w:r w:rsidRPr="00A00A3C">
              <w:rPr>
                <w:color w:val="000000"/>
                <w:sz w:val="22"/>
                <w:szCs w:val="22"/>
                <w:lang w:eastAsia="en-GB"/>
              </w:rPr>
              <w:t xml:space="preserve">(↓ 13 to ↓ 0) </w:t>
            </w:r>
          </w:p>
          <w:p w:rsidR="00FC356F" w:rsidRPr="00A00A3C" w:rsidRDefault="00FC356F" w:rsidP="00FC356F">
            <w:pPr>
              <w:rPr>
                <w:sz w:val="22"/>
                <w:szCs w:val="22"/>
                <w:lang w:val="en-US" w:eastAsia="da-DK"/>
              </w:rPr>
            </w:pPr>
            <w:r w:rsidRPr="00A00A3C">
              <w:rPr>
                <w:sz w:val="22"/>
                <w:szCs w:val="22"/>
                <w:lang w:val="en-US" w:eastAsia="da-DK"/>
              </w:rPr>
              <w:t>C</w:t>
            </w:r>
            <w:r w:rsidRPr="00A00A3C">
              <w:rPr>
                <w:sz w:val="22"/>
                <w:szCs w:val="22"/>
                <w:vertAlign w:val="subscript"/>
                <w:lang w:val="en-US" w:eastAsia="da-DK"/>
              </w:rPr>
              <w:t>min</w:t>
            </w:r>
            <w:r w:rsidRPr="00A00A3C">
              <w:rPr>
                <w:sz w:val="22"/>
                <w:szCs w:val="22"/>
                <w:lang w:val="en-US" w:eastAsia="da-DK"/>
              </w:rPr>
              <w:t>: IB</w:t>
            </w:r>
          </w:p>
          <w:p w:rsidR="00FC356F" w:rsidRPr="00A00A3C" w:rsidRDefault="00FC356F" w:rsidP="00FC356F">
            <w:pPr>
              <w:rPr>
                <w:sz w:val="22"/>
                <w:szCs w:val="22"/>
                <w:lang w:val="en-US" w:eastAsia="da-DK"/>
              </w:rPr>
            </w:pPr>
            <w:r w:rsidRPr="00A00A3C">
              <w:rPr>
                <w:sz w:val="22"/>
                <w:szCs w:val="22"/>
                <w:lang w:val="en-US" w:eastAsia="da-DK"/>
              </w:rPr>
              <w:t>Tenofovir:</w:t>
            </w:r>
          </w:p>
          <w:p w:rsidR="00FC356F" w:rsidRPr="00A00A3C" w:rsidRDefault="00FC356F" w:rsidP="00FC356F">
            <w:pPr>
              <w:rPr>
                <w:sz w:val="22"/>
                <w:szCs w:val="22"/>
                <w:lang w:val="en-US" w:eastAsia="da-DK"/>
              </w:rPr>
            </w:pPr>
            <w:r w:rsidRPr="00A00A3C">
              <w:rPr>
                <w:sz w:val="22"/>
                <w:szCs w:val="22"/>
                <w:lang w:val="en-US" w:eastAsia="da-DK"/>
              </w:rPr>
              <w:lastRenderedPageBreak/>
              <w:t xml:space="preserve">AUC: ↓ 2 % </w:t>
            </w:r>
            <w:r w:rsidRPr="00A00A3C">
              <w:rPr>
                <w:color w:val="000000"/>
                <w:sz w:val="22"/>
                <w:szCs w:val="22"/>
                <w:lang w:val="en-US" w:eastAsia="en-GB"/>
              </w:rPr>
              <w:t xml:space="preserve">(↓ 5 to ↑ 0) </w:t>
            </w:r>
          </w:p>
          <w:p w:rsidR="00FC356F" w:rsidRPr="00A00A3C" w:rsidRDefault="00FC356F" w:rsidP="00FC356F">
            <w:pPr>
              <w:rPr>
                <w:sz w:val="22"/>
                <w:szCs w:val="22"/>
                <w:lang w:val="en-US" w:eastAsia="da-DK"/>
              </w:rPr>
            </w:pPr>
            <w:r w:rsidRPr="00A00A3C">
              <w:rPr>
                <w:sz w:val="22"/>
                <w:szCs w:val="22"/>
                <w:lang w:val="en-US" w:eastAsia="da-DK"/>
              </w:rPr>
              <w:t>C</w:t>
            </w:r>
            <w:r w:rsidRPr="00A00A3C">
              <w:rPr>
                <w:sz w:val="22"/>
                <w:szCs w:val="22"/>
                <w:vertAlign w:val="subscript"/>
                <w:lang w:val="en-US" w:eastAsia="da-DK"/>
              </w:rPr>
              <w:t>max</w:t>
            </w:r>
            <w:r w:rsidRPr="00A00A3C">
              <w:rPr>
                <w:sz w:val="22"/>
                <w:szCs w:val="22"/>
                <w:lang w:val="en-US" w:eastAsia="da-DK"/>
              </w:rPr>
              <w:t xml:space="preserve">: ↓ 1 % </w:t>
            </w:r>
            <w:r w:rsidRPr="00A00A3C">
              <w:rPr>
                <w:color w:val="000000"/>
                <w:sz w:val="22"/>
                <w:szCs w:val="22"/>
                <w:lang w:eastAsia="en-GB"/>
              </w:rPr>
              <w:t xml:space="preserve">(↓ 7 to ↑ 6) </w:t>
            </w:r>
          </w:p>
          <w:p w:rsidR="00FC356F" w:rsidRPr="00A00A3C" w:rsidRDefault="00FC356F" w:rsidP="00FC356F">
            <w:pPr>
              <w:rPr>
                <w:sz w:val="22"/>
                <w:szCs w:val="22"/>
                <w:lang w:val="en-US"/>
              </w:rPr>
            </w:pPr>
            <w:r w:rsidRPr="00A00A3C">
              <w:rPr>
                <w:sz w:val="22"/>
                <w:szCs w:val="22"/>
                <w:lang w:val="en-US" w:eastAsia="da-DK"/>
              </w:rPr>
              <w:t>C</w:t>
            </w:r>
            <w:r w:rsidRPr="00A00A3C">
              <w:rPr>
                <w:sz w:val="22"/>
                <w:szCs w:val="22"/>
                <w:vertAlign w:val="subscript"/>
                <w:lang w:val="en-US" w:eastAsia="da-DK"/>
              </w:rPr>
              <w:t>min</w:t>
            </w:r>
            <w:r w:rsidRPr="00A00A3C">
              <w:rPr>
                <w:sz w:val="22"/>
                <w:szCs w:val="22"/>
                <w:lang w:val="en-US" w:eastAsia="da-DK"/>
              </w:rPr>
              <w:t>: IB</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lastRenderedPageBreak/>
              <w:t xml:space="preserve">Adefovirdipivoxil og </w:t>
            </w:r>
            <w:r w:rsidRPr="00A00A3C">
              <w:rPr>
                <w:sz w:val="22"/>
                <w:szCs w:val="22"/>
              </w:rPr>
              <w:t xml:space="preserve">Emtricitabine/Tenofovir disoproxil "Sandoz" </w:t>
            </w:r>
            <w:r w:rsidRPr="00A00A3C">
              <w:rPr>
                <w:sz w:val="22"/>
                <w:szCs w:val="22"/>
                <w:lang w:eastAsia="da-DK"/>
              </w:rPr>
              <w:t>må ikke administreres samtidigt (se pkt. 4.4).</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Antivirale midler mod hepatitis C-virus (HCV)</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Ledipasvir/sofosbuvir </w:t>
            </w:r>
          </w:p>
          <w:p w:rsidR="00FC356F" w:rsidRPr="00A00A3C" w:rsidRDefault="00FC356F" w:rsidP="00FC356F">
            <w:pPr>
              <w:rPr>
                <w:sz w:val="22"/>
                <w:szCs w:val="22"/>
                <w:lang w:val="en-US"/>
              </w:rPr>
            </w:pPr>
            <w:r w:rsidRPr="00A00A3C">
              <w:rPr>
                <w:sz w:val="22"/>
                <w:szCs w:val="22"/>
              </w:rPr>
              <w:t xml:space="preserve">(90 mg/400 mg q.d.) </w:t>
            </w:r>
            <w:r w:rsidRPr="00A00A3C">
              <w:rPr>
                <w:sz w:val="22"/>
                <w:szCs w:val="22"/>
                <w:lang w:val="en-US"/>
              </w:rPr>
              <w:t xml:space="preserve">+ </w:t>
            </w:r>
          </w:p>
          <w:p w:rsidR="00FC356F" w:rsidRPr="00A00A3C" w:rsidRDefault="00FC356F" w:rsidP="00FC356F">
            <w:pPr>
              <w:rPr>
                <w:sz w:val="22"/>
                <w:szCs w:val="22"/>
                <w:lang w:val="en-US"/>
              </w:rPr>
            </w:pPr>
            <w:r w:rsidRPr="00A00A3C">
              <w:rPr>
                <w:sz w:val="22"/>
                <w:szCs w:val="22"/>
                <w:lang w:val="en-US"/>
              </w:rPr>
              <w:t xml:space="preserve">Atazanavir/ritonavir </w:t>
            </w:r>
          </w:p>
          <w:p w:rsidR="00FC356F" w:rsidRPr="00A00A3C" w:rsidRDefault="00FC356F" w:rsidP="00FC356F">
            <w:pPr>
              <w:rPr>
                <w:sz w:val="22"/>
                <w:szCs w:val="22"/>
                <w:lang w:val="en-US"/>
              </w:rPr>
            </w:pPr>
            <w:r w:rsidRPr="00A00A3C">
              <w:rPr>
                <w:sz w:val="22"/>
                <w:szCs w:val="22"/>
                <w:lang w:val="en-US"/>
              </w:rPr>
              <w:t xml:space="preserve">(300 mg q.d./100 mg q.d.) + </w:t>
            </w:r>
          </w:p>
          <w:p w:rsidR="00FC356F" w:rsidRPr="00A00A3C" w:rsidRDefault="00FC356F" w:rsidP="00FC356F">
            <w:pPr>
              <w:rPr>
                <w:sz w:val="22"/>
                <w:szCs w:val="22"/>
                <w:lang w:val="en-US"/>
              </w:rPr>
            </w:pPr>
            <w:r w:rsidRPr="00A00A3C">
              <w:rPr>
                <w:sz w:val="22"/>
                <w:szCs w:val="22"/>
                <w:lang w:val="en-US"/>
              </w:rPr>
              <w:t xml:space="preserve">Emtricitabin/tenofovirdisoproxil </w:t>
            </w:r>
          </w:p>
          <w:p w:rsidR="00FC356F" w:rsidRPr="00A00A3C" w:rsidRDefault="00FC356F" w:rsidP="00FC356F">
            <w:pPr>
              <w:rPr>
                <w:sz w:val="22"/>
                <w:szCs w:val="22"/>
                <w:lang w:val="en-US"/>
              </w:rPr>
            </w:pPr>
            <w:r w:rsidRPr="00A00A3C">
              <w:rPr>
                <w:sz w:val="22"/>
                <w:szCs w:val="22"/>
                <w:lang w:val="en-US"/>
              </w:rPr>
              <w:t>(200 mg/245 mg q.d.)</w:t>
            </w:r>
            <w:r w:rsidRPr="00A00A3C">
              <w:rPr>
                <w:sz w:val="22"/>
                <w:szCs w:val="22"/>
                <w:vertAlign w:val="superscript"/>
                <w:lang w:val="en-US"/>
              </w:rPr>
              <w:t>1</w:t>
            </w:r>
          </w:p>
          <w:p w:rsidR="00FC356F" w:rsidRPr="00A00A3C" w:rsidRDefault="00FC356F" w:rsidP="00FC356F">
            <w:pPr>
              <w:rPr>
                <w:sz w:val="22"/>
                <w:szCs w:val="22"/>
                <w:lang w:val="en-US"/>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val="en-US" w:eastAsia="en-GB"/>
              </w:rPr>
            </w:pPr>
            <w:r w:rsidRPr="00A00A3C">
              <w:rPr>
                <w:sz w:val="22"/>
                <w:szCs w:val="22"/>
                <w:lang w:val="en-US" w:eastAsia="en-GB"/>
              </w:rPr>
              <w:t xml:space="preserve">Ledipasvir: </w:t>
            </w:r>
          </w:p>
          <w:p w:rsidR="00FC356F" w:rsidRPr="00A00A3C" w:rsidRDefault="00FC356F" w:rsidP="00FC356F">
            <w:pPr>
              <w:rPr>
                <w:sz w:val="22"/>
                <w:szCs w:val="22"/>
                <w:lang w:val="en-US" w:eastAsia="en-GB"/>
              </w:rPr>
            </w:pPr>
            <w:r w:rsidRPr="00A00A3C">
              <w:rPr>
                <w:sz w:val="22"/>
                <w:szCs w:val="22"/>
                <w:lang w:val="en-US" w:eastAsia="en-GB"/>
              </w:rPr>
              <w:t xml:space="preserve">AUC: ↑ 96 % (↑ 74 til ↑ 121)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xml:space="preserve">: ↑ 68 % (↑ 54 til ↑ 84)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xml:space="preserve">: ↑ 118 % (↑ 91 til ↑ 150) </w:t>
            </w:r>
          </w:p>
          <w:p w:rsidR="00FC356F" w:rsidRPr="00A00A3C" w:rsidRDefault="00FC356F" w:rsidP="00FC356F">
            <w:pPr>
              <w:rPr>
                <w:sz w:val="22"/>
                <w:szCs w:val="22"/>
                <w:lang w:val="en-US" w:eastAsia="en-GB"/>
              </w:rPr>
            </w:pPr>
            <w:r w:rsidRPr="00A00A3C">
              <w:rPr>
                <w:sz w:val="22"/>
                <w:szCs w:val="22"/>
                <w:lang w:val="en-US" w:eastAsia="en-GB"/>
              </w:rPr>
              <w:t xml:space="preserve">Sofosbuvir: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GS-331007</w:t>
            </w:r>
            <w:r w:rsidRPr="00A00A3C">
              <w:rPr>
                <w:sz w:val="22"/>
                <w:szCs w:val="22"/>
                <w:vertAlign w:val="superscript"/>
                <w:lang w:val="en-US" w:eastAsia="en-GB"/>
              </w:rPr>
              <w:t>2</w:t>
            </w:r>
            <w:r w:rsidRPr="00A00A3C">
              <w:rPr>
                <w:sz w:val="22"/>
                <w:szCs w:val="22"/>
                <w:lang w:val="en-US" w:eastAsia="en-GB"/>
              </w:rPr>
              <w:t xml:space="preserve">: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xml:space="preserve">: ↑ 42 % (↑ 34 til ↑ 49) </w:t>
            </w:r>
          </w:p>
          <w:p w:rsidR="00FC356F" w:rsidRPr="00A00A3C" w:rsidRDefault="00FC356F" w:rsidP="00FC356F">
            <w:pPr>
              <w:rPr>
                <w:sz w:val="22"/>
                <w:szCs w:val="22"/>
                <w:lang w:val="en-US" w:eastAsia="en-GB"/>
              </w:rPr>
            </w:pPr>
            <w:r w:rsidRPr="00A00A3C">
              <w:rPr>
                <w:sz w:val="22"/>
                <w:szCs w:val="22"/>
                <w:lang w:val="en-US" w:eastAsia="en-GB"/>
              </w:rPr>
              <w:t xml:space="preserve">Atazanavir: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xml:space="preserve">: ↑ 63 % (↑ 45 til ↑ 84) </w:t>
            </w:r>
          </w:p>
          <w:p w:rsidR="00FC356F" w:rsidRPr="00A00A3C" w:rsidRDefault="00FC356F" w:rsidP="00FC356F">
            <w:pPr>
              <w:rPr>
                <w:sz w:val="22"/>
                <w:szCs w:val="22"/>
                <w:lang w:val="en-US" w:eastAsia="en-GB"/>
              </w:rPr>
            </w:pPr>
            <w:r w:rsidRPr="00A00A3C">
              <w:rPr>
                <w:sz w:val="22"/>
                <w:szCs w:val="22"/>
                <w:lang w:val="en-US" w:eastAsia="en-GB"/>
              </w:rPr>
              <w:t xml:space="preserve">Ritonavir: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xml:space="preserve">: ↑ 45 % (↑ 27 til ↑ 64) </w:t>
            </w:r>
          </w:p>
          <w:p w:rsidR="00FC356F" w:rsidRPr="00A00A3C" w:rsidRDefault="00FC356F" w:rsidP="00FC356F">
            <w:pPr>
              <w:rPr>
                <w:sz w:val="22"/>
                <w:szCs w:val="22"/>
                <w:lang w:val="en-US" w:eastAsia="en-GB"/>
              </w:rPr>
            </w:pPr>
            <w:r w:rsidRPr="00A00A3C">
              <w:rPr>
                <w:sz w:val="22"/>
                <w:szCs w:val="22"/>
                <w:lang w:val="en-US" w:eastAsia="en-GB"/>
              </w:rPr>
              <w:t xml:space="preserve">Emtricitabin: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 xml:space="preserve">Tenofovir: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xml:space="preserve">: ↑ 47 % (↑ 37 til ↑ 58)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xml:space="preserve">: ↑ 47 % (↑ 38 til ↑ 57) </w:t>
            </w:r>
          </w:p>
          <w:p w:rsidR="00FC356F" w:rsidRPr="00A00A3C" w:rsidRDefault="00FC356F" w:rsidP="00FC356F">
            <w:pPr>
              <w:rPr>
                <w:sz w:val="22"/>
                <w:szCs w:val="22"/>
                <w:lang w:val="en-US"/>
              </w:rPr>
            </w:pP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Øget plasmakoncentration af tenofovir som følge af samtidig administration af tenofovirdisoproxil, ledipasvir/sofosbuvir og atazanavir/ritonavir kan øge risikoen for bivirkninger relateret til tenofovirdisoproxil, herunder nyrerelaterede bivirkninger. Sikkerheden af tenofovirdisoproxil sammen med ledipasvir/sofosbuvir og en farmakokinetisk booster (f.eks. ritonavir eller cobicistat) er ikke klarlagt.</w:t>
            </w:r>
          </w:p>
          <w:p w:rsidR="00FC356F" w:rsidRPr="00A00A3C" w:rsidRDefault="00FC356F" w:rsidP="00FC356F">
            <w:pPr>
              <w:rPr>
                <w:sz w:val="22"/>
                <w:szCs w:val="22"/>
              </w:rPr>
            </w:pPr>
          </w:p>
          <w:p w:rsidR="00FC356F" w:rsidRPr="00A00A3C" w:rsidRDefault="00FC356F" w:rsidP="00FC356F">
            <w:pPr>
              <w:rPr>
                <w:sz w:val="22"/>
                <w:szCs w:val="22"/>
              </w:rPr>
            </w:pPr>
            <w:r w:rsidRPr="00A00A3C">
              <w:rPr>
                <w:sz w:val="22"/>
                <w:szCs w:val="22"/>
              </w:rPr>
              <w:t>Hvis der ikke er andre alternativer, skal kombinationen anvendes med forsigtighed med hyppig monitorering af nyrefunktionen,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eastAsia="en-GB"/>
              </w:rPr>
            </w:pPr>
            <w:r w:rsidRPr="00A00A3C">
              <w:rPr>
                <w:sz w:val="22"/>
                <w:szCs w:val="22"/>
                <w:lang w:eastAsia="en-GB"/>
              </w:rPr>
              <w:t xml:space="preserve">Ledipasvir/sofosbuvir </w:t>
            </w:r>
          </w:p>
          <w:p w:rsidR="00FC356F" w:rsidRPr="00A00A3C" w:rsidRDefault="00FC356F" w:rsidP="00FC356F">
            <w:pPr>
              <w:rPr>
                <w:sz w:val="22"/>
                <w:szCs w:val="22"/>
                <w:lang w:val="en-US" w:eastAsia="en-GB"/>
              </w:rPr>
            </w:pPr>
            <w:r w:rsidRPr="00A00A3C">
              <w:rPr>
                <w:sz w:val="22"/>
                <w:szCs w:val="22"/>
                <w:lang w:eastAsia="en-GB"/>
              </w:rPr>
              <w:t xml:space="preserve">(90 mg/400 mg q.d.) </w:t>
            </w:r>
            <w:r w:rsidRPr="00A00A3C">
              <w:rPr>
                <w:sz w:val="22"/>
                <w:szCs w:val="22"/>
                <w:lang w:val="en-US" w:eastAsia="en-GB"/>
              </w:rPr>
              <w:t xml:space="preserve">+ </w:t>
            </w:r>
          </w:p>
          <w:p w:rsidR="00FC356F" w:rsidRPr="00A00A3C" w:rsidRDefault="00FC356F" w:rsidP="00FC356F">
            <w:pPr>
              <w:rPr>
                <w:sz w:val="22"/>
                <w:szCs w:val="22"/>
                <w:lang w:val="en-US" w:eastAsia="en-GB"/>
              </w:rPr>
            </w:pPr>
            <w:r w:rsidRPr="00A00A3C">
              <w:rPr>
                <w:sz w:val="22"/>
                <w:szCs w:val="22"/>
                <w:lang w:val="en-US" w:eastAsia="en-GB"/>
              </w:rPr>
              <w:t xml:space="preserve">Darunavir/ritonavir </w:t>
            </w:r>
          </w:p>
          <w:p w:rsidR="00FC356F" w:rsidRPr="00A00A3C" w:rsidRDefault="00FC356F" w:rsidP="00FC356F">
            <w:pPr>
              <w:rPr>
                <w:sz w:val="22"/>
                <w:szCs w:val="22"/>
                <w:lang w:val="en-US" w:eastAsia="en-GB"/>
              </w:rPr>
            </w:pPr>
            <w:r w:rsidRPr="00A00A3C">
              <w:rPr>
                <w:sz w:val="22"/>
                <w:szCs w:val="22"/>
                <w:lang w:val="en-US" w:eastAsia="en-GB"/>
              </w:rPr>
              <w:t xml:space="preserve">(800 mg q.d./100 mg q.d.) + </w:t>
            </w:r>
          </w:p>
          <w:p w:rsidR="00FC356F" w:rsidRPr="00A00A3C" w:rsidRDefault="00FC356F" w:rsidP="00FC356F">
            <w:pPr>
              <w:rPr>
                <w:sz w:val="22"/>
                <w:szCs w:val="22"/>
                <w:lang w:val="en-US" w:eastAsia="en-GB"/>
              </w:rPr>
            </w:pPr>
            <w:r w:rsidRPr="00A00A3C">
              <w:rPr>
                <w:sz w:val="22"/>
                <w:szCs w:val="22"/>
                <w:lang w:val="en-US" w:eastAsia="en-GB"/>
              </w:rPr>
              <w:t xml:space="preserve">Emtricitabin/tenofovirdisoproxil </w:t>
            </w:r>
          </w:p>
          <w:p w:rsidR="00FC356F" w:rsidRPr="00A00A3C" w:rsidRDefault="00FC356F" w:rsidP="00FC356F">
            <w:pPr>
              <w:rPr>
                <w:sz w:val="22"/>
                <w:szCs w:val="22"/>
                <w:lang w:val="en-US" w:eastAsia="en-GB"/>
              </w:rPr>
            </w:pPr>
            <w:r w:rsidRPr="00A00A3C">
              <w:rPr>
                <w:sz w:val="22"/>
                <w:szCs w:val="22"/>
                <w:lang w:val="en-US" w:eastAsia="en-GB"/>
              </w:rPr>
              <w:t>(200 mg/245 mg q.d.)</w:t>
            </w:r>
            <w:r w:rsidRPr="00A00A3C">
              <w:rPr>
                <w:sz w:val="22"/>
                <w:szCs w:val="22"/>
                <w:vertAlign w:val="superscript"/>
                <w:lang w:val="en-US" w:eastAsia="en-GB"/>
              </w:rPr>
              <w:t>1</w:t>
            </w:r>
          </w:p>
          <w:p w:rsidR="00FC356F" w:rsidRPr="00A00A3C" w:rsidRDefault="00FC356F" w:rsidP="00FC356F">
            <w:pPr>
              <w:rPr>
                <w:sz w:val="22"/>
                <w:szCs w:val="22"/>
                <w:lang w:val="en-US"/>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val="en-US" w:eastAsia="en-GB"/>
              </w:rPr>
            </w:pPr>
            <w:r w:rsidRPr="00A00A3C">
              <w:rPr>
                <w:sz w:val="22"/>
                <w:szCs w:val="22"/>
                <w:lang w:val="en-US" w:eastAsia="en-GB"/>
              </w:rPr>
              <w:t xml:space="preserve">Ledipasvir: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 xml:space="preserve">Sofosbuvir: </w:t>
            </w:r>
          </w:p>
          <w:p w:rsidR="00FC356F" w:rsidRPr="00A00A3C" w:rsidRDefault="00FC356F" w:rsidP="00FC356F">
            <w:pPr>
              <w:rPr>
                <w:sz w:val="22"/>
                <w:szCs w:val="22"/>
                <w:lang w:val="en-US" w:eastAsia="en-GB"/>
              </w:rPr>
            </w:pPr>
            <w:r w:rsidRPr="00A00A3C">
              <w:rPr>
                <w:sz w:val="22"/>
                <w:szCs w:val="22"/>
                <w:lang w:val="en-US" w:eastAsia="en-GB"/>
              </w:rPr>
              <w:t xml:space="preserve">AUC: ↓ 27 % (↓ 35 til ↓ 18)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xml:space="preserve">: ↓ 37 % (↓ 48 til ↓ 25) </w:t>
            </w:r>
          </w:p>
          <w:p w:rsidR="00FC356F" w:rsidRPr="00A00A3C" w:rsidRDefault="00FC356F" w:rsidP="00FC356F">
            <w:pPr>
              <w:rPr>
                <w:sz w:val="22"/>
                <w:szCs w:val="22"/>
                <w:lang w:val="en-US" w:eastAsia="en-GB"/>
              </w:rPr>
            </w:pPr>
            <w:r w:rsidRPr="00A00A3C">
              <w:rPr>
                <w:sz w:val="22"/>
                <w:szCs w:val="22"/>
                <w:lang w:val="en-US" w:eastAsia="en-GB"/>
              </w:rPr>
              <w:t>GS-331007</w:t>
            </w:r>
            <w:r w:rsidRPr="00A00A3C">
              <w:rPr>
                <w:sz w:val="22"/>
                <w:szCs w:val="22"/>
                <w:vertAlign w:val="superscript"/>
                <w:lang w:val="en-US" w:eastAsia="en-GB"/>
              </w:rPr>
              <w:t>2</w:t>
            </w:r>
            <w:r w:rsidRPr="00A00A3C">
              <w:rPr>
                <w:sz w:val="22"/>
                <w:szCs w:val="22"/>
                <w:lang w:val="en-US" w:eastAsia="en-GB"/>
              </w:rPr>
              <w:t xml:space="preserve">: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 xml:space="preserve">Darunavir: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 xml:space="preserve">Ritonavir: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xml:space="preserve">: ↑ 48 % (↑ 34 til ↑ 63) </w:t>
            </w:r>
          </w:p>
          <w:p w:rsidR="00FC356F" w:rsidRPr="00A00A3C" w:rsidRDefault="00FC356F" w:rsidP="00FC356F">
            <w:pPr>
              <w:rPr>
                <w:sz w:val="22"/>
                <w:szCs w:val="22"/>
                <w:lang w:val="en-US" w:eastAsia="en-GB"/>
              </w:rPr>
            </w:pPr>
            <w:r w:rsidRPr="00A00A3C">
              <w:rPr>
                <w:sz w:val="22"/>
                <w:szCs w:val="22"/>
                <w:lang w:val="en-US" w:eastAsia="en-GB"/>
              </w:rPr>
              <w:t xml:space="preserve">Emtricitabin: </w:t>
            </w:r>
          </w:p>
          <w:p w:rsidR="00FC356F" w:rsidRPr="00A00A3C" w:rsidRDefault="00FC356F" w:rsidP="00FC356F">
            <w:pPr>
              <w:rPr>
                <w:sz w:val="22"/>
                <w:szCs w:val="22"/>
                <w:lang w:val="en-US" w:eastAsia="en-GB"/>
              </w:rPr>
            </w:pPr>
            <w:r w:rsidRPr="00A00A3C">
              <w:rPr>
                <w:sz w:val="22"/>
                <w:szCs w:val="22"/>
                <w:lang w:val="en-US" w:eastAsia="en-GB"/>
              </w:rPr>
              <w:t>AUC: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lastRenderedPageBreak/>
              <w:t>C</w:t>
            </w:r>
            <w:r w:rsidRPr="00A00A3C">
              <w:rPr>
                <w:sz w:val="22"/>
                <w:szCs w:val="22"/>
                <w:vertAlign w:val="subscript"/>
                <w:lang w:val="en-US" w:eastAsia="en-GB"/>
              </w:rPr>
              <w:t>min</w:t>
            </w:r>
            <w:r w:rsidRPr="00A00A3C">
              <w:rPr>
                <w:sz w:val="22"/>
                <w:szCs w:val="22"/>
                <w:lang w:val="en-US" w:eastAsia="en-GB"/>
              </w:rPr>
              <w:t>: ↔</w:t>
            </w:r>
          </w:p>
          <w:p w:rsidR="00FC356F" w:rsidRPr="00A00A3C" w:rsidRDefault="00FC356F" w:rsidP="00FC356F">
            <w:pPr>
              <w:rPr>
                <w:sz w:val="22"/>
                <w:szCs w:val="22"/>
                <w:lang w:val="en-US" w:eastAsia="en-GB"/>
              </w:rPr>
            </w:pPr>
            <w:r w:rsidRPr="00A00A3C">
              <w:rPr>
                <w:sz w:val="22"/>
                <w:szCs w:val="22"/>
                <w:lang w:val="en-US" w:eastAsia="en-GB"/>
              </w:rPr>
              <w:t xml:space="preserve">Tenofovir: </w:t>
            </w:r>
          </w:p>
          <w:p w:rsidR="00FC356F" w:rsidRPr="00A00A3C" w:rsidRDefault="00FC356F" w:rsidP="00FC356F">
            <w:pPr>
              <w:rPr>
                <w:sz w:val="22"/>
                <w:szCs w:val="22"/>
                <w:lang w:val="en-US" w:eastAsia="en-GB"/>
              </w:rPr>
            </w:pPr>
            <w:r w:rsidRPr="00A00A3C">
              <w:rPr>
                <w:sz w:val="22"/>
                <w:szCs w:val="22"/>
                <w:lang w:val="en-US" w:eastAsia="en-GB"/>
              </w:rPr>
              <w:t xml:space="preserve">AUC: ↑ 50 % (↑ 42 til ↑ 59)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max</w:t>
            </w:r>
            <w:r w:rsidRPr="00A00A3C">
              <w:rPr>
                <w:sz w:val="22"/>
                <w:szCs w:val="22"/>
                <w:lang w:val="en-US" w:eastAsia="en-GB"/>
              </w:rPr>
              <w:t xml:space="preserve">: ↑ 64 % (↑ 54 til ↑ 74) </w:t>
            </w:r>
          </w:p>
          <w:p w:rsidR="00FC356F" w:rsidRPr="00A00A3C" w:rsidRDefault="00FC356F" w:rsidP="00FC356F">
            <w:pPr>
              <w:rPr>
                <w:sz w:val="22"/>
                <w:szCs w:val="22"/>
                <w:lang w:val="en-US" w:eastAsia="en-GB"/>
              </w:rPr>
            </w:pPr>
            <w:r w:rsidRPr="00A00A3C">
              <w:rPr>
                <w:sz w:val="22"/>
                <w:szCs w:val="22"/>
                <w:lang w:val="en-US" w:eastAsia="en-GB"/>
              </w:rPr>
              <w:t>C</w:t>
            </w:r>
            <w:r w:rsidRPr="00A00A3C">
              <w:rPr>
                <w:sz w:val="22"/>
                <w:szCs w:val="22"/>
                <w:vertAlign w:val="subscript"/>
                <w:lang w:val="en-US" w:eastAsia="en-GB"/>
              </w:rPr>
              <w:t>min</w:t>
            </w:r>
            <w:r w:rsidRPr="00A00A3C">
              <w:rPr>
                <w:sz w:val="22"/>
                <w:szCs w:val="22"/>
                <w:lang w:val="en-US" w:eastAsia="en-GB"/>
              </w:rPr>
              <w:t xml:space="preserve">: ↑ 59 % (↑ 49 til ↑ 70) </w:t>
            </w:r>
          </w:p>
          <w:p w:rsidR="00FC356F" w:rsidRPr="00A00A3C" w:rsidRDefault="00FC356F" w:rsidP="00FC356F">
            <w:pPr>
              <w:rPr>
                <w:sz w:val="22"/>
                <w:szCs w:val="22"/>
                <w:lang w:val="en-US"/>
              </w:rPr>
            </w:pP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lastRenderedPageBreak/>
              <w:t>Øget plasmakoncentration af tenofovir som følge af samtidig administration af tenofovirdisoproxil, ledipasvir/sofosbuvir og darunavir/ritonavir kan øge risikoen for bivirkninger relateret til tenofovirdisoproxil, herunder nyrerelaterede bivirkninger. Sikkerheden af tenofovirdisoproxil sammen med ledipasvir/sofosbuvir og en farmakokinetisk booster (f.eks. ritonavir eller cobicistat) er ikke klarlagt.</w:t>
            </w:r>
          </w:p>
          <w:p w:rsidR="00FC356F" w:rsidRPr="00A00A3C" w:rsidRDefault="00FC356F" w:rsidP="00FC356F">
            <w:pPr>
              <w:rPr>
                <w:sz w:val="22"/>
                <w:szCs w:val="22"/>
              </w:rPr>
            </w:pPr>
          </w:p>
          <w:p w:rsidR="00FC356F" w:rsidRPr="00A00A3C" w:rsidRDefault="00FC356F" w:rsidP="00FC356F">
            <w:pPr>
              <w:rPr>
                <w:sz w:val="22"/>
                <w:szCs w:val="22"/>
              </w:rPr>
            </w:pPr>
            <w:r w:rsidRPr="00A00A3C">
              <w:rPr>
                <w:sz w:val="22"/>
                <w:szCs w:val="22"/>
              </w:rPr>
              <w:t>Hvis der ikke er andre alternativer, skal kombinationen anvendes med forsigtighed med hyppig monitorering af nyrefunktionen,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eastAsia="en-GB"/>
              </w:rPr>
            </w:pPr>
            <w:r w:rsidRPr="00A00A3C">
              <w:rPr>
                <w:sz w:val="22"/>
                <w:szCs w:val="22"/>
                <w:lang w:eastAsia="en-GB"/>
              </w:rPr>
              <w:t xml:space="preserve">Ledipasvir/sofosbuvir </w:t>
            </w:r>
          </w:p>
          <w:p w:rsidR="00FC356F" w:rsidRPr="00A00A3C" w:rsidRDefault="00FC356F" w:rsidP="00FC356F">
            <w:pPr>
              <w:rPr>
                <w:sz w:val="22"/>
                <w:szCs w:val="22"/>
                <w:lang w:eastAsia="en-GB"/>
              </w:rPr>
            </w:pPr>
            <w:r w:rsidRPr="00A00A3C">
              <w:rPr>
                <w:sz w:val="22"/>
                <w:szCs w:val="22"/>
                <w:lang w:eastAsia="en-GB"/>
              </w:rPr>
              <w:t xml:space="preserve">(90 mg/400 mg q.d.) + </w:t>
            </w:r>
          </w:p>
          <w:p w:rsidR="00FC356F" w:rsidRPr="00A00A3C" w:rsidRDefault="00FC356F" w:rsidP="00FC356F">
            <w:pPr>
              <w:rPr>
                <w:sz w:val="22"/>
                <w:szCs w:val="22"/>
                <w:lang w:eastAsia="en-GB"/>
              </w:rPr>
            </w:pPr>
            <w:r w:rsidRPr="00A00A3C">
              <w:rPr>
                <w:sz w:val="22"/>
                <w:szCs w:val="22"/>
                <w:lang w:eastAsia="en-GB"/>
              </w:rPr>
              <w:t xml:space="preserve">Efavirenz/emtricitabin/ tenofovirdisoproxil  </w:t>
            </w:r>
          </w:p>
          <w:p w:rsidR="00FC356F" w:rsidRPr="00A00A3C" w:rsidRDefault="00FC356F" w:rsidP="00FC356F">
            <w:pPr>
              <w:rPr>
                <w:sz w:val="22"/>
                <w:szCs w:val="22"/>
                <w:lang w:eastAsia="en-GB"/>
              </w:rPr>
            </w:pPr>
            <w:r w:rsidRPr="00A00A3C">
              <w:rPr>
                <w:sz w:val="22"/>
                <w:szCs w:val="22"/>
                <w:lang w:eastAsia="en-GB"/>
              </w:rPr>
              <w:t xml:space="preserve">(600 mg/200 mg/245 mg q.d.) </w:t>
            </w:r>
          </w:p>
          <w:p w:rsidR="00FC356F" w:rsidRPr="00A00A3C" w:rsidRDefault="00FC356F" w:rsidP="00FC356F">
            <w:pPr>
              <w:rPr>
                <w:sz w:val="22"/>
                <w:szCs w:val="22"/>
                <w:lang w:eastAsia="en-GB"/>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eastAsia="en-GB"/>
              </w:rPr>
            </w:pPr>
            <w:r w:rsidRPr="00A00A3C">
              <w:rPr>
                <w:sz w:val="22"/>
                <w:szCs w:val="22"/>
                <w:lang w:eastAsia="en-GB"/>
              </w:rPr>
              <w:t xml:space="preserve">Ledipasvir: </w:t>
            </w:r>
          </w:p>
          <w:p w:rsidR="00FC356F" w:rsidRPr="00A00A3C" w:rsidRDefault="00FC356F" w:rsidP="00FC356F">
            <w:pPr>
              <w:rPr>
                <w:sz w:val="22"/>
                <w:szCs w:val="22"/>
                <w:lang w:eastAsia="en-GB"/>
              </w:rPr>
            </w:pPr>
            <w:r w:rsidRPr="00A00A3C">
              <w:rPr>
                <w:sz w:val="22"/>
                <w:szCs w:val="22"/>
                <w:lang w:eastAsia="en-GB"/>
              </w:rPr>
              <w:t xml:space="preserve">AUC: ↓ 34 % (↓ 41 til ↓ 25)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xml:space="preserve">: ↓ 34 % (↓ 41 til ↑ 25)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xml:space="preserve">: ↓ 34 % (↓ 43 til ↑ 24) </w:t>
            </w:r>
          </w:p>
          <w:p w:rsidR="00FC356F" w:rsidRPr="00A00A3C" w:rsidRDefault="00FC356F" w:rsidP="00FC356F">
            <w:pPr>
              <w:rPr>
                <w:sz w:val="22"/>
                <w:szCs w:val="22"/>
                <w:lang w:eastAsia="en-GB"/>
              </w:rPr>
            </w:pPr>
            <w:r w:rsidRPr="00A00A3C">
              <w:rPr>
                <w:sz w:val="22"/>
                <w:szCs w:val="22"/>
                <w:lang w:eastAsia="en-GB"/>
              </w:rPr>
              <w:t xml:space="preserve">Sofosbuvir: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GS-331007</w:t>
            </w:r>
            <w:r w:rsidRPr="00A00A3C">
              <w:rPr>
                <w:sz w:val="22"/>
                <w:szCs w:val="22"/>
                <w:vertAlign w:val="superscript"/>
                <w:lang w:eastAsia="en-GB"/>
              </w:rPr>
              <w:t>2</w:t>
            </w:r>
            <w:r w:rsidRPr="00A00A3C">
              <w:rPr>
                <w:sz w:val="22"/>
                <w:szCs w:val="22"/>
                <w:lang w:eastAsia="en-GB"/>
              </w:rPr>
              <w:t xml:space="preserve">: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Efavirenz: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Emtricitabin: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Tenofovir: </w:t>
            </w:r>
          </w:p>
          <w:p w:rsidR="00FC356F" w:rsidRPr="00A00A3C" w:rsidRDefault="00FC356F" w:rsidP="00FC356F">
            <w:pPr>
              <w:rPr>
                <w:sz w:val="22"/>
                <w:szCs w:val="22"/>
                <w:lang w:eastAsia="en-GB"/>
              </w:rPr>
            </w:pPr>
            <w:r w:rsidRPr="00A00A3C">
              <w:rPr>
                <w:sz w:val="22"/>
                <w:szCs w:val="22"/>
                <w:lang w:eastAsia="en-GB"/>
              </w:rPr>
              <w:t xml:space="preserve">AUC: ↑ 98 % (↑ 77 til ↑ 123)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xml:space="preserve">: ↑ 79 % (↑ 56 til ↑ 104)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xml:space="preserve">: ↑ 163 % (↑ 137 til ↑ 197) </w:t>
            </w:r>
          </w:p>
          <w:p w:rsidR="00FC356F" w:rsidRPr="00A00A3C" w:rsidRDefault="00FC356F" w:rsidP="00FC356F">
            <w:pPr>
              <w:rPr>
                <w:sz w:val="22"/>
                <w:szCs w:val="22"/>
                <w:lang w:eastAsia="en-GB"/>
              </w:rPr>
            </w:pP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en-GB"/>
              </w:rPr>
            </w:pPr>
            <w:r w:rsidRPr="00A00A3C">
              <w:rPr>
                <w:sz w:val="22"/>
                <w:szCs w:val="22"/>
              </w:rPr>
              <w:t>Ingen dosisjustering er anbefalet. Den forøgede tenofovir-eksponering kan medføre forstærkede bivirkninger af tenofovirdisoproxil, herunder nyrerelaterede bivirkninger. Nyrefunktionen bør monitoreres tæt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eastAsia="en-GB"/>
              </w:rPr>
            </w:pPr>
            <w:r w:rsidRPr="00A00A3C">
              <w:rPr>
                <w:sz w:val="22"/>
                <w:szCs w:val="22"/>
                <w:lang w:eastAsia="en-GB"/>
              </w:rPr>
              <w:t xml:space="preserve">Ledipasvir/sofosbuvir </w:t>
            </w:r>
          </w:p>
          <w:p w:rsidR="00FC356F" w:rsidRPr="00A00A3C" w:rsidRDefault="00FC356F" w:rsidP="00FC356F">
            <w:pPr>
              <w:rPr>
                <w:sz w:val="22"/>
                <w:szCs w:val="22"/>
                <w:lang w:eastAsia="en-GB"/>
              </w:rPr>
            </w:pPr>
            <w:r w:rsidRPr="00A00A3C">
              <w:rPr>
                <w:sz w:val="22"/>
                <w:szCs w:val="22"/>
                <w:lang w:eastAsia="en-GB"/>
              </w:rPr>
              <w:t xml:space="preserve">(90 mg/400 mg q.d.) + </w:t>
            </w:r>
          </w:p>
          <w:p w:rsidR="00FC356F" w:rsidRPr="00A00A3C" w:rsidRDefault="00FC356F" w:rsidP="00FC356F">
            <w:pPr>
              <w:rPr>
                <w:sz w:val="22"/>
                <w:szCs w:val="22"/>
                <w:lang w:eastAsia="en-GB"/>
              </w:rPr>
            </w:pPr>
            <w:r w:rsidRPr="00A00A3C">
              <w:rPr>
                <w:sz w:val="22"/>
                <w:szCs w:val="22"/>
                <w:lang w:eastAsia="en-GB"/>
              </w:rPr>
              <w:t xml:space="preserve">Emtricitabin/rilpivirin/ tenofovirdisoproxil </w:t>
            </w:r>
          </w:p>
          <w:p w:rsidR="00FC356F" w:rsidRPr="00A00A3C" w:rsidRDefault="00FC356F" w:rsidP="00FC356F">
            <w:pPr>
              <w:rPr>
                <w:sz w:val="22"/>
                <w:szCs w:val="22"/>
                <w:lang w:eastAsia="en-GB"/>
              </w:rPr>
            </w:pPr>
            <w:r w:rsidRPr="00A00A3C">
              <w:rPr>
                <w:sz w:val="22"/>
                <w:szCs w:val="22"/>
                <w:lang w:eastAsia="en-GB"/>
              </w:rPr>
              <w:t xml:space="preserve">(200 mg/25 mg/245 mg q.d.) </w:t>
            </w:r>
          </w:p>
          <w:p w:rsidR="00FC356F" w:rsidRPr="00A00A3C" w:rsidRDefault="00FC356F" w:rsidP="00FC356F">
            <w:pPr>
              <w:rPr>
                <w:sz w:val="22"/>
                <w:szCs w:val="22"/>
                <w:lang w:eastAsia="en-GB"/>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eastAsia="en-GB"/>
              </w:rPr>
            </w:pPr>
            <w:r w:rsidRPr="00A00A3C">
              <w:rPr>
                <w:sz w:val="22"/>
                <w:szCs w:val="22"/>
                <w:lang w:eastAsia="en-GB"/>
              </w:rPr>
              <w:t xml:space="preserve">Ledipasvir: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Sofosbuvir: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GS-331007</w:t>
            </w:r>
            <w:r w:rsidRPr="00A00A3C">
              <w:rPr>
                <w:sz w:val="22"/>
                <w:szCs w:val="22"/>
                <w:vertAlign w:val="superscript"/>
                <w:lang w:eastAsia="en-GB"/>
              </w:rPr>
              <w:t>2</w:t>
            </w:r>
            <w:r w:rsidRPr="00A00A3C">
              <w:rPr>
                <w:sz w:val="22"/>
                <w:szCs w:val="22"/>
                <w:lang w:eastAsia="en-GB"/>
              </w:rPr>
              <w:t xml:space="preserve">: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Emtricitabin: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Rilpivirin: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Tenofovir: </w:t>
            </w:r>
          </w:p>
          <w:p w:rsidR="00FC356F" w:rsidRPr="00A00A3C" w:rsidRDefault="00FC356F" w:rsidP="00FC356F">
            <w:pPr>
              <w:rPr>
                <w:sz w:val="22"/>
                <w:szCs w:val="22"/>
                <w:lang w:eastAsia="en-GB"/>
              </w:rPr>
            </w:pPr>
            <w:r w:rsidRPr="00A00A3C">
              <w:rPr>
                <w:sz w:val="22"/>
                <w:szCs w:val="22"/>
                <w:lang w:eastAsia="en-GB"/>
              </w:rPr>
              <w:t xml:space="preserve">AUC: ↑ 40 % (↑ 31 til ↑ 50)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xml:space="preserve">: ↑ 91 % (↑ 74 til ↑ 110) </w:t>
            </w:r>
          </w:p>
          <w:p w:rsidR="00FC356F" w:rsidRPr="00A00A3C" w:rsidRDefault="00FC356F" w:rsidP="00FC356F">
            <w:pPr>
              <w:rPr>
                <w:sz w:val="22"/>
                <w:szCs w:val="22"/>
                <w:lang w:eastAsia="en-GB"/>
              </w:rPr>
            </w:pP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lastRenderedPageBreak/>
              <w:t>Ingen dosisjustering er anbefalet. Den forøgede tenofovir-eksponering kan forstærke effekten af bivirkninger ved tenofovirdisoproxil, herunder nyresygdomme. Nyrefunktionen bør monitoreres tæt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Ledipasvir/sofosbuvir</w:t>
            </w:r>
          </w:p>
          <w:p w:rsidR="00FC356F" w:rsidRPr="00A00A3C" w:rsidRDefault="00FC356F" w:rsidP="00FC356F">
            <w:pPr>
              <w:rPr>
                <w:sz w:val="22"/>
                <w:szCs w:val="22"/>
              </w:rPr>
            </w:pPr>
            <w:r w:rsidRPr="00A00A3C">
              <w:rPr>
                <w:sz w:val="22"/>
                <w:szCs w:val="22"/>
              </w:rPr>
              <w:t>(90 mg/400 mg q.d.) + Dolutegravir</w:t>
            </w:r>
          </w:p>
          <w:p w:rsidR="00FC356F" w:rsidRPr="00A00A3C" w:rsidRDefault="00FC356F" w:rsidP="00FC356F">
            <w:pPr>
              <w:rPr>
                <w:sz w:val="22"/>
                <w:szCs w:val="22"/>
              </w:rPr>
            </w:pPr>
            <w:r w:rsidRPr="00A00A3C">
              <w:rPr>
                <w:sz w:val="22"/>
                <w:szCs w:val="22"/>
              </w:rPr>
              <w:t>(50 mg q.d.) +</w:t>
            </w:r>
          </w:p>
          <w:p w:rsidR="00FC356F" w:rsidRPr="00007690" w:rsidRDefault="00FC356F" w:rsidP="00FC356F">
            <w:pPr>
              <w:rPr>
                <w:sz w:val="22"/>
                <w:szCs w:val="22"/>
                <w:lang w:eastAsia="en-GB"/>
              </w:rPr>
            </w:pPr>
            <w:r w:rsidRPr="00007690">
              <w:rPr>
                <w:sz w:val="22"/>
                <w:szCs w:val="22"/>
              </w:rPr>
              <w:t>Emtricitabin/tenofovirdisoproxil (200 mg/245 mg q.d.)</w:t>
            </w:r>
          </w:p>
        </w:tc>
        <w:tc>
          <w:tcPr>
            <w:tcW w:w="1411" w:type="pct"/>
            <w:tcBorders>
              <w:top w:val="single" w:sz="4" w:space="0" w:color="auto"/>
              <w:left w:val="single" w:sz="4" w:space="0" w:color="auto"/>
              <w:bottom w:val="single" w:sz="4" w:space="0" w:color="auto"/>
              <w:right w:val="single" w:sz="4" w:space="0" w:color="auto"/>
            </w:tcBorders>
            <w:hideMark/>
          </w:tcPr>
          <w:p w:rsidR="00FC356F" w:rsidRPr="00007690" w:rsidRDefault="00FC356F" w:rsidP="00FC356F">
            <w:pPr>
              <w:rPr>
                <w:sz w:val="22"/>
                <w:szCs w:val="22"/>
              </w:rPr>
            </w:pPr>
            <w:r w:rsidRPr="00007690">
              <w:rPr>
                <w:sz w:val="22"/>
                <w:szCs w:val="22"/>
              </w:rPr>
              <w:t>Sofosbuvir:</w:t>
            </w:r>
          </w:p>
          <w:p w:rsidR="00FC356F" w:rsidRPr="00007690" w:rsidRDefault="00FC356F" w:rsidP="00FC356F">
            <w:pPr>
              <w:rPr>
                <w:sz w:val="22"/>
                <w:szCs w:val="22"/>
              </w:rPr>
            </w:pPr>
            <w:r w:rsidRPr="00007690">
              <w:rPr>
                <w:sz w:val="22"/>
                <w:szCs w:val="22"/>
              </w:rPr>
              <w:t>AUC: ↔</w:t>
            </w:r>
          </w:p>
          <w:p w:rsidR="00FC356F" w:rsidRPr="00007690" w:rsidRDefault="00FC356F" w:rsidP="00FC356F">
            <w:pPr>
              <w:rPr>
                <w:sz w:val="22"/>
                <w:szCs w:val="22"/>
              </w:rPr>
            </w:pPr>
            <w:r w:rsidRPr="00007690">
              <w:rPr>
                <w:sz w:val="22"/>
                <w:szCs w:val="22"/>
              </w:rPr>
              <w:t>C</w:t>
            </w:r>
            <w:r w:rsidRPr="00007690">
              <w:rPr>
                <w:sz w:val="22"/>
                <w:szCs w:val="22"/>
                <w:vertAlign w:val="subscript"/>
              </w:rPr>
              <w:t>max</w:t>
            </w:r>
            <w:r w:rsidRPr="00007690">
              <w:rPr>
                <w:sz w:val="22"/>
                <w:szCs w:val="22"/>
              </w:rPr>
              <w:t>: ↔</w:t>
            </w:r>
          </w:p>
          <w:p w:rsidR="00FC356F" w:rsidRPr="00007690" w:rsidRDefault="00FC356F" w:rsidP="00FC356F">
            <w:pPr>
              <w:rPr>
                <w:sz w:val="22"/>
                <w:szCs w:val="22"/>
              </w:rPr>
            </w:pPr>
            <w:r w:rsidRPr="00007690">
              <w:rPr>
                <w:sz w:val="22"/>
                <w:szCs w:val="22"/>
              </w:rPr>
              <w:t>GS-331007</w:t>
            </w:r>
            <w:r w:rsidRPr="00007690">
              <w:rPr>
                <w:sz w:val="22"/>
                <w:szCs w:val="22"/>
                <w:vertAlign w:val="superscript"/>
              </w:rPr>
              <w:t>2</w:t>
            </w:r>
          </w:p>
          <w:p w:rsidR="00FC356F" w:rsidRPr="00007690" w:rsidRDefault="00FC356F" w:rsidP="00FC356F">
            <w:pPr>
              <w:rPr>
                <w:sz w:val="22"/>
                <w:szCs w:val="22"/>
              </w:rPr>
            </w:pPr>
            <w:r w:rsidRPr="00007690">
              <w:rPr>
                <w:sz w:val="22"/>
                <w:szCs w:val="22"/>
              </w:rPr>
              <w:t>AUC: ↔</w:t>
            </w:r>
          </w:p>
          <w:p w:rsidR="00FC356F" w:rsidRPr="00007690" w:rsidRDefault="00FC356F" w:rsidP="00FC356F">
            <w:pPr>
              <w:rPr>
                <w:sz w:val="22"/>
                <w:szCs w:val="22"/>
              </w:rPr>
            </w:pPr>
            <w:r w:rsidRPr="00007690">
              <w:rPr>
                <w:sz w:val="22"/>
                <w:szCs w:val="22"/>
              </w:rPr>
              <w:t>C</w:t>
            </w:r>
            <w:r w:rsidRPr="00007690">
              <w:rPr>
                <w:sz w:val="22"/>
                <w:szCs w:val="22"/>
                <w:vertAlign w:val="subscript"/>
              </w:rPr>
              <w:t>max</w:t>
            </w:r>
            <w:r w:rsidRPr="00007690">
              <w:rPr>
                <w:sz w:val="22"/>
                <w:szCs w:val="22"/>
              </w:rPr>
              <w:t>: ↔</w:t>
            </w:r>
          </w:p>
          <w:p w:rsidR="00FC356F" w:rsidRPr="00007690" w:rsidRDefault="00FC356F" w:rsidP="00FC356F">
            <w:pPr>
              <w:rPr>
                <w:sz w:val="22"/>
                <w:szCs w:val="22"/>
              </w:rPr>
            </w:pPr>
            <w:r w:rsidRPr="00007690">
              <w:rPr>
                <w:sz w:val="22"/>
                <w:szCs w:val="22"/>
              </w:rPr>
              <w:t>C</w:t>
            </w:r>
            <w:r w:rsidRPr="00007690">
              <w:rPr>
                <w:sz w:val="22"/>
                <w:szCs w:val="22"/>
                <w:vertAlign w:val="subscript"/>
              </w:rPr>
              <w:t>min</w:t>
            </w:r>
            <w:r w:rsidRPr="00007690">
              <w:rPr>
                <w:sz w:val="22"/>
                <w:szCs w:val="22"/>
              </w:rPr>
              <w:t>: ↔</w:t>
            </w:r>
          </w:p>
          <w:p w:rsidR="00FC356F" w:rsidRPr="00007690" w:rsidRDefault="00FC356F" w:rsidP="00FC356F">
            <w:pPr>
              <w:rPr>
                <w:sz w:val="22"/>
                <w:szCs w:val="22"/>
              </w:rPr>
            </w:pPr>
            <w:r w:rsidRPr="00007690">
              <w:rPr>
                <w:sz w:val="22"/>
                <w:szCs w:val="22"/>
              </w:rPr>
              <w:t>Ledipasvir:</w:t>
            </w:r>
          </w:p>
          <w:p w:rsidR="00FC356F" w:rsidRPr="00007690" w:rsidRDefault="00FC356F" w:rsidP="00FC356F">
            <w:pPr>
              <w:rPr>
                <w:sz w:val="22"/>
                <w:szCs w:val="22"/>
              </w:rPr>
            </w:pPr>
            <w:r w:rsidRPr="00007690">
              <w:rPr>
                <w:sz w:val="22"/>
                <w:szCs w:val="22"/>
              </w:rPr>
              <w:t>AUC: ↔</w:t>
            </w:r>
          </w:p>
          <w:p w:rsidR="00FC356F" w:rsidRPr="00007690" w:rsidRDefault="00FC356F" w:rsidP="00FC356F">
            <w:pPr>
              <w:rPr>
                <w:sz w:val="22"/>
                <w:szCs w:val="22"/>
              </w:rPr>
            </w:pPr>
            <w:r w:rsidRPr="00007690">
              <w:rPr>
                <w:sz w:val="22"/>
                <w:szCs w:val="22"/>
              </w:rPr>
              <w:t>C</w:t>
            </w:r>
            <w:r w:rsidRPr="00007690">
              <w:rPr>
                <w:sz w:val="22"/>
                <w:szCs w:val="22"/>
                <w:vertAlign w:val="subscript"/>
              </w:rPr>
              <w:t>max</w:t>
            </w:r>
            <w:r w:rsidRPr="00007690">
              <w:rPr>
                <w:sz w:val="22"/>
                <w:szCs w:val="22"/>
              </w:rPr>
              <w:t>: ↔</w:t>
            </w:r>
          </w:p>
          <w:p w:rsidR="00FC356F" w:rsidRPr="00007690" w:rsidRDefault="00FC356F" w:rsidP="00FC356F">
            <w:pPr>
              <w:rPr>
                <w:sz w:val="22"/>
                <w:szCs w:val="22"/>
              </w:rPr>
            </w:pPr>
            <w:r w:rsidRPr="00007690">
              <w:rPr>
                <w:sz w:val="22"/>
                <w:szCs w:val="22"/>
              </w:rPr>
              <w:t>C</w:t>
            </w:r>
            <w:r w:rsidRPr="00007690">
              <w:rPr>
                <w:sz w:val="22"/>
                <w:szCs w:val="22"/>
                <w:vertAlign w:val="subscript"/>
              </w:rPr>
              <w:t>min</w:t>
            </w:r>
            <w:r w:rsidRPr="00007690">
              <w:rPr>
                <w:sz w:val="22"/>
                <w:szCs w:val="22"/>
              </w:rPr>
              <w:t>: ↔</w:t>
            </w:r>
          </w:p>
          <w:p w:rsidR="00FC356F" w:rsidRPr="00007690" w:rsidRDefault="00FC356F" w:rsidP="00FC356F">
            <w:pPr>
              <w:rPr>
                <w:sz w:val="22"/>
                <w:szCs w:val="22"/>
              </w:rPr>
            </w:pPr>
            <w:r w:rsidRPr="00007690">
              <w:rPr>
                <w:sz w:val="22"/>
                <w:szCs w:val="22"/>
              </w:rPr>
              <w:t>Dolutegravir</w:t>
            </w:r>
          </w:p>
          <w:p w:rsidR="00FC356F" w:rsidRPr="00007690" w:rsidRDefault="00FC356F" w:rsidP="00FC356F">
            <w:pPr>
              <w:rPr>
                <w:sz w:val="22"/>
                <w:szCs w:val="22"/>
              </w:rPr>
            </w:pPr>
            <w:r w:rsidRPr="00007690">
              <w:rPr>
                <w:sz w:val="22"/>
                <w:szCs w:val="22"/>
              </w:rPr>
              <w:t>AUC: ↔</w:t>
            </w:r>
          </w:p>
          <w:p w:rsidR="00FC356F" w:rsidRPr="00007690" w:rsidRDefault="00FC356F" w:rsidP="00FC356F">
            <w:pPr>
              <w:rPr>
                <w:sz w:val="22"/>
                <w:szCs w:val="22"/>
              </w:rPr>
            </w:pPr>
            <w:r w:rsidRPr="00007690">
              <w:rPr>
                <w:sz w:val="22"/>
                <w:szCs w:val="22"/>
              </w:rPr>
              <w:t>C</w:t>
            </w:r>
            <w:r w:rsidRPr="00007690">
              <w:rPr>
                <w:sz w:val="22"/>
                <w:szCs w:val="22"/>
                <w:vertAlign w:val="subscript"/>
              </w:rPr>
              <w:t>max</w:t>
            </w:r>
            <w:r w:rsidRPr="00007690">
              <w:rPr>
                <w:sz w:val="22"/>
                <w:szCs w:val="22"/>
              </w:rPr>
              <w:t>: ↔</w:t>
            </w:r>
          </w:p>
          <w:p w:rsidR="00FC356F" w:rsidRPr="00007690" w:rsidRDefault="00FC356F" w:rsidP="00FC356F">
            <w:pPr>
              <w:rPr>
                <w:sz w:val="22"/>
                <w:szCs w:val="22"/>
              </w:rPr>
            </w:pPr>
            <w:r w:rsidRPr="00007690">
              <w:rPr>
                <w:sz w:val="22"/>
                <w:szCs w:val="22"/>
              </w:rPr>
              <w:t>C</w:t>
            </w:r>
            <w:r w:rsidRPr="00007690">
              <w:rPr>
                <w:sz w:val="22"/>
                <w:szCs w:val="22"/>
                <w:vertAlign w:val="subscript"/>
              </w:rPr>
              <w:t>min</w:t>
            </w:r>
            <w:r w:rsidRPr="00007690">
              <w:rPr>
                <w:sz w:val="22"/>
                <w:szCs w:val="22"/>
              </w:rPr>
              <w:t>: ↔</w:t>
            </w:r>
          </w:p>
          <w:p w:rsidR="00FC356F" w:rsidRPr="00007690" w:rsidRDefault="00FC356F" w:rsidP="00FC356F">
            <w:pPr>
              <w:rPr>
                <w:sz w:val="22"/>
                <w:szCs w:val="22"/>
              </w:rPr>
            </w:pPr>
            <w:r w:rsidRPr="00007690">
              <w:rPr>
                <w:sz w:val="22"/>
                <w:szCs w:val="22"/>
              </w:rPr>
              <w:t>Emtricitabin:</w:t>
            </w:r>
          </w:p>
          <w:p w:rsidR="00FC356F" w:rsidRPr="00007690" w:rsidRDefault="00FC356F" w:rsidP="00FC356F">
            <w:pPr>
              <w:rPr>
                <w:sz w:val="22"/>
                <w:szCs w:val="22"/>
              </w:rPr>
            </w:pPr>
            <w:r w:rsidRPr="00007690">
              <w:rPr>
                <w:sz w:val="22"/>
                <w:szCs w:val="22"/>
              </w:rPr>
              <w:t>AUC: ↔</w:t>
            </w:r>
          </w:p>
          <w:p w:rsidR="00FC356F" w:rsidRPr="00007690" w:rsidRDefault="00FC356F" w:rsidP="00FC356F">
            <w:pPr>
              <w:rPr>
                <w:sz w:val="22"/>
                <w:szCs w:val="22"/>
              </w:rPr>
            </w:pPr>
            <w:r w:rsidRPr="00007690">
              <w:rPr>
                <w:sz w:val="22"/>
                <w:szCs w:val="22"/>
              </w:rPr>
              <w:t>C</w:t>
            </w:r>
            <w:r w:rsidRPr="00007690">
              <w:rPr>
                <w:sz w:val="22"/>
                <w:szCs w:val="22"/>
                <w:vertAlign w:val="subscript"/>
              </w:rPr>
              <w:t>max</w:t>
            </w:r>
            <w:r w:rsidRPr="00007690">
              <w:rPr>
                <w:sz w:val="22"/>
                <w:szCs w:val="22"/>
              </w:rPr>
              <w:t>: ↔</w:t>
            </w:r>
          </w:p>
          <w:p w:rsidR="00FC356F" w:rsidRPr="00007690" w:rsidRDefault="00FC356F" w:rsidP="00FC356F">
            <w:pPr>
              <w:rPr>
                <w:sz w:val="22"/>
                <w:szCs w:val="22"/>
              </w:rPr>
            </w:pPr>
            <w:r w:rsidRPr="00007690">
              <w:rPr>
                <w:sz w:val="22"/>
                <w:szCs w:val="22"/>
              </w:rPr>
              <w:t>C</w:t>
            </w:r>
            <w:r w:rsidRPr="00007690">
              <w:rPr>
                <w:sz w:val="22"/>
                <w:szCs w:val="22"/>
                <w:vertAlign w:val="subscript"/>
              </w:rPr>
              <w:t>min</w:t>
            </w:r>
            <w:r w:rsidRPr="00007690">
              <w:rPr>
                <w:sz w:val="22"/>
                <w:szCs w:val="22"/>
              </w:rPr>
              <w:t>: ↔</w:t>
            </w:r>
          </w:p>
          <w:p w:rsidR="00FC356F" w:rsidRPr="00007690" w:rsidRDefault="00FC356F" w:rsidP="00FC356F">
            <w:pPr>
              <w:rPr>
                <w:sz w:val="22"/>
                <w:szCs w:val="22"/>
              </w:rPr>
            </w:pPr>
            <w:r w:rsidRPr="00007690">
              <w:rPr>
                <w:sz w:val="22"/>
                <w:szCs w:val="22"/>
              </w:rPr>
              <w:t>Tenofovir:</w:t>
            </w:r>
          </w:p>
          <w:p w:rsidR="00FC356F" w:rsidRPr="00007690" w:rsidRDefault="00FC356F" w:rsidP="00FC356F">
            <w:pPr>
              <w:rPr>
                <w:sz w:val="22"/>
                <w:szCs w:val="22"/>
              </w:rPr>
            </w:pPr>
            <w:r w:rsidRPr="00007690">
              <w:rPr>
                <w:sz w:val="22"/>
                <w:szCs w:val="22"/>
              </w:rPr>
              <w:t>AUC: ↑ 65 % (↑ 59 til ↑ 71)</w:t>
            </w:r>
          </w:p>
          <w:p w:rsidR="00FC356F" w:rsidRPr="00007690" w:rsidRDefault="00FC356F" w:rsidP="00FC356F">
            <w:pPr>
              <w:rPr>
                <w:sz w:val="22"/>
                <w:szCs w:val="22"/>
              </w:rPr>
            </w:pPr>
            <w:r w:rsidRPr="00007690">
              <w:rPr>
                <w:sz w:val="22"/>
                <w:szCs w:val="22"/>
              </w:rPr>
              <w:t>C</w:t>
            </w:r>
            <w:r w:rsidRPr="00007690">
              <w:rPr>
                <w:sz w:val="22"/>
                <w:szCs w:val="22"/>
                <w:vertAlign w:val="subscript"/>
              </w:rPr>
              <w:t>max</w:t>
            </w:r>
            <w:r w:rsidRPr="00007690">
              <w:rPr>
                <w:sz w:val="22"/>
                <w:szCs w:val="22"/>
              </w:rPr>
              <w:t>: ↑ 61 % (↑ 51 til ↑ 72)</w:t>
            </w:r>
          </w:p>
          <w:p w:rsidR="00FC356F" w:rsidRPr="00007690" w:rsidRDefault="00FC356F" w:rsidP="00FC356F">
            <w:pPr>
              <w:rPr>
                <w:sz w:val="22"/>
                <w:szCs w:val="22"/>
                <w:lang w:eastAsia="en-GB"/>
              </w:rPr>
            </w:pPr>
            <w:r w:rsidRPr="00007690">
              <w:rPr>
                <w:sz w:val="22"/>
                <w:szCs w:val="22"/>
              </w:rPr>
              <w:t>C</w:t>
            </w:r>
            <w:r w:rsidRPr="00007690">
              <w:rPr>
                <w:sz w:val="22"/>
                <w:szCs w:val="22"/>
                <w:vertAlign w:val="subscript"/>
              </w:rPr>
              <w:t>min</w:t>
            </w:r>
            <w:r w:rsidRPr="00007690">
              <w:rPr>
                <w:sz w:val="22"/>
                <w:szCs w:val="22"/>
              </w:rPr>
              <w:t>: ↑ 115 % (↑ 105 til ↑ 126)</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Dosisjustering af efavirenz er ikke nødvendig. Den forøgede tenofovireksponering kan forstærke bivirkninger relateret til tenofovirdisoproxil, herunder nyrerelaterede bivirkninger. Nyrefunktionen skal monitoreres tæt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Sofosbuvir/velpatasvir</w:t>
            </w:r>
          </w:p>
          <w:p w:rsidR="00FC356F" w:rsidRPr="00A00A3C" w:rsidRDefault="00FC356F" w:rsidP="00FC356F">
            <w:pPr>
              <w:rPr>
                <w:sz w:val="22"/>
                <w:szCs w:val="22"/>
                <w:lang w:val="en-US"/>
              </w:rPr>
            </w:pPr>
            <w:r w:rsidRPr="00A00A3C">
              <w:rPr>
                <w:sz w:val="22"/>
                <w:szCs w:val="22"/>
              </w:rPr>
              <w:t xml:space="preserve">(400 mg/100 mg q.d.) </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Atazanavir/ritonavir</w:t>
            </w:r>
          </w:p>
          <w:p w:rsidR="00FC356F" w:rsidRPr="00A00A3C" w:rsidRDefault="00FC356F" w:rsidP="00FC356F">
            <w:pPr>
              <w:rPr>
                <w:sz w:val="22"/>
                <w:szCs w:val="22"/>
                <w:lang w:val="en-US"/>
              </w:rPr>
            </w:pPr>
            <w:r w:rsidRPr="00A00A3C">
              <w:rPr>
                <w:sz w:val="22"/>
                <w:szCs w:val="22"/>
                <w:lang w:val="en-US"/>
              </w:rPr>
              <w:t>(300 mg q.d./100 mg q.d.) +</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tenofovirdisoproxil</w:t>
            </w:r>
          </w:p>
          <w:p w:rsidR="00FC356F" w:rsidRPr="00A00A3C" w:rsidRDefault="00FC356F" w:rsidP="00FC356F">
            <w:pPr>
              <w:rPr>
                <w:sz w:val="22"/>
                <w:szCs w:val="22"/>
                <w:lang w:val="en-US" w:eastAsia="en-GB"/>
              </w:rPr>
            </w:pPr>
            <w:r w:rsidRPr="00A00A3C">
              <w:rPr>
                <w:sz w:val="22"/>
                <w:szCs w:val="22"/>
                <w:lang w:val="en-US"/>
              </w:rPr>
              <w:t>(200 mg/245 mg q.d.)</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rPr>
            </w:pPr>
            <w:r w:rsidRPr="00A00A3C">
              <w:rPr>
                <w:sz w:val="22"/>
                <w:szCs w:val="22"/>
                <w:lang w:val="en-US"/>
              </w:rPr>
              <w:t>Sofosbuvir: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GS 331007</w:t>
            </w:r>
            <w:r w:rsidRPr="00A00A3C">
              <w:rPr>
                <w:sz w:val="22"/>
                <w:szCs w:val="22"/>
                <w:vertAlign w:val="superscript"/>
                <w:lang w:val="en-US"/>
              </w:rPr>
              <w:t>2</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42 % (↑ 37 til ↑ 49)</w:t>
            </w:r>
          </w:p>
          <w:p w:rsidR="00FC356F" w:rsidRPr="00A00A3C" w:rsidRDefault="00FC356F" w:rsidP="00FC356F">
            <w:pPr>
              <w:rPr>
                <w:sz w:val="22"/>
                <w:szCs w:val="22"/>
                <w:lang w:val="en-US"/>
              </w:rPr>
            </w:pPr>
            <w:r w:rsidRPr="00A00A3C">
              <w:rPr>
                <w:sz w:val="22"/>
                <w:szCs w:val="22"/>
                <w:lang w:val="en-US"/>
              </w:rPr>
              <w:t>Velpatasvir:</w:t>
            </w:r>
          </w:p>
          <w:p w:rsidR="00FC356F" w:rsidRPr="00A00A3C" w:rsidRDefault="00FC356F" w:rsidP="00FC356F">
            <w:pPr>
              <w:rPr>
                <w:sz w:val="22"/>
                <w:szCs w:val="22"/>
                <w:lang w:val="en-US"/>
              </w:rPr>
            </w:pPr>
            <w:r w:rsidRPr="00A00A3C">
              <w:rPr>
                <w:sz w:val="22"/>
                <w:szCs w:val="22"/>
                <w:lang w:val="en-US"/>
              </w:rPr>
              <w:t>AUC: ↑ 142 % (↑ 123 til ↑ 164)</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55 % (↑ 41 til ↑ 71)</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301 % (↑ 257 til ↑ 350)</w:t>
            </w:r>
          </w:p>
          <w:p w:rsidR="00FC356F" w:rsidRPr="00A00A3C" w:rsidRDefault="00FC356F" w:rsidP="00FC356F">
            <w:pPr>
              <w:rPr>
                <w:sz w:val="22"/>
                <w:szCs w:val="22"/>
                <w:lang w:val="en-US"/>
              </w:rPr>
            </w:pPr>
            <w:r w:rsidRPr="00A00A3C">
              <w:rPr>
                <w:sz w:val="22"/>
                <w:szCs w:val="22"/>
                <w:lang w:val="en-US"/>
              </w:rPr>
              <w:t>Atazanavir: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39 % (↑ 20 til ↑ 61)</w:t>
            </w:r>
          </w:p>
          <w:p w:rsidR="00FC356F" w:rsidRPr="00A00A3C" w:rsidRDefault="00FC356F" w:rsidP="00FC356F">
            <w:pPr>
              <w:rPr>
                <w:sz w:val="22"/>
                <w:szCs w:val="22"/>
                <w:lang w:val="en-US"/>
              </w:rPr>
            </w:pPr>
            <w:r w:rsidRPr="00A00A3C">
              <w:rPr>
                <w:sz w:val="22"/>
                <w:szCs w:val="22"/>
                <w:lang w:val="en-US"/>
              </w:rPr>
              <w:t>Ritonavir: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29 % (↑ 15 til ↑ 44)</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Tenofovir: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 55 % (↑ 43 til ↑ 68)</w:t>
            </w:r>
          </w:p>
          <w:p w:rsidR="00FC356F" w:rsidRPr="00A00A3C" w:rsidRDefault="00FC356F" w:rsidP="00FC356F">
            <w:pPr>
              <w:rPr>
                <w:sz w:val="22"/>
                <w:szCs w:val="22"/>
                <w:lang w:val="en-US" w:eastAsia="en-GB"/>
              </w:rPr>
            </w:pPr>
            <w:r w:rsidRPr="00A00A3C">
              <w:rPr>
                <w:sz w:val="22"/>
                <w:szCs w:val="22"/>
              </w:rPr>
              <w:t>C</w:t>
            </w:r>
            <w:r w:rsidRPr="00A00A3C">
              <w:rPr>
                <w:sz w:val="22"/>
                <w:szCs w:val="22"/>
                <w:vertAlign w:val="subscript"/>
              </w:rPr>
              <w:t>min</w:t>
            </w:r>
            <w:r w:rsidRPr="00A00A3C">
              <w:rPr>
                <w:sz w:val="22"/>
                <w:szCs w:val="22"/>
              </w:rPr>
              <w:t>: ↑ 39 % (↑ 31 til ↑ 48)</w:t>
            </w:r>
          </w:p>
        </w:tc>
        <w:tc>
          <w:tcPr>
            <w:tcW w:w="1741"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Øget plasmakoncentration af tenofovir som følge af samtidig administration af tenofovirdisoproxil, sofosbuvir/velpatasvir og atazanavir/ritonavir kan øge risikoen for bivirkninger relateret til tenofovirdisoproxil, herunder nyrerelaterede bivirkninger. Sikkerheden af tenofovirdisoproxil sammen med sofosbuvir/velpatasvir og en farmakokinetisk booster (f.eks. ritonavir eller cobicistat) er ikke klarlagt.</w:t>
            </w:r>
          </w:p>
          <w:p w:rsidR="00FC356F" w:rsidRPr="00A00A3C" w:rsidRDefault="00FC356F" w:rsidP="00FC356F">
            <w:pPr>
              <w:rPr>
                <w:sz w:val="22"/>
                <w:szCs w:val="22"/>
              </w:rPr>
            </w:pPr>
          </w:p>
          <w:p w:rsidR="00FC356F" w:rsidRPr="00A00A3C" w:rsidRDefault="00FC356F" w:rsidP="00FC356F">
            <w:pPr>
              <w:rPr>
                <w:sz w:val="22"/>
                <w:szCs w:val="22"/>
              </w:rPr>
            </w:pPr>
            <w:r w:rsidRPr="00A00A3C">
              <w:rPr>
                <w:sz w:val="22"/>
                <w:szCs w:val="22"/>
              </w:rPr>
              <w:t>Kombinationen skal anvendes med forsigtighed og med hyppig monitorering af nyrefunktionen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Sofosbuvir/velpatasvir</w:t>
            </w:r>
          </w:p>
          <w:p w:rsidR="00FC356F" w:rsidRPr="00A00A3C" w:rsidRDefault="00FC356F" w:rsidP="00FC356F">
            <w:pPr>
              <w:rPr>
                <w:sz w:val="22"/>
                <w:szCs w:val="22"/>
                <w:lang w:val="en-US"/>
              </w:rPr>
            </w:pPr>
            <w:r w:rsidRPr="00A00A3C">
              <w:rPr>
                <w:sz w:val="22"/>
                <w:szCs w:val="22"/>
              </w:rPr>
              <w:t xml:space="preserve">(400 mg/100 mg q.d.) </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lastRenderedPageBreak/>
              <w:t>Darunavir/ritonavir</w:t>
            </w:r>
          </w:p>
          <w:p w:rsidR="00FC356F" w:rsidRPr="00A00A3C" w:rsidRDefault="00FC356F" w:rsidP="00FC356F">
            <w:pPr>
              <w:rPr>
                <w:sz w:val="22"/>
                <w:szCs w:val="22"/>
                <w:lang w:val="en-US"/>
              </w:rPr>
            </w:pPr>
            <w:r w:rsidRPr="00A00A3C">
              <w:rPr>
                <w:sz w:val="22"/>
                <w:szCs w:val="22"/>
                <w:lang w:val="en-US"/>
              </w:rPr>
              <w:t>(800 mg q.d./100 mg q.d.) +</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tenofovirdisoproxil</w:t>
            </w:r>
          </w:p>
          <w:p w:rsidR="00FC356F" w:rsidRPr="00A00A3C" w:rsidRDefault="00FC356F" w:rsidP="00FC356F">
            <w:pPr>
              <w:rPr>
                <w:sz w:val="22"/>
                <w:szCs w:val="22"/>
                <w:lang w:val="en-US" w:eastAsia="en-GB"/>
              </w:rPr>
            </w:pPr>
            <w:r w:rsidRPr="00A00A3C">
              <w:rPr>
                <w:sz w:val="22"/>
                <w:szCs w:val="22"/>
                <w:lang w:val="en-US"/>
              </w:rPr>
              <w:t>(200 mg/245 mg q.d.)</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rPr>
            </w:pPr>
            <w:r w:rsidRPr="00A00A3C">
              <w:rPr>
                <w:sz w:val="22"/>
                <w:szCs w:val="22"/>
                <w:lang w:val="en-US"/>
              </w:rPr>
              <w:lastRenderedPageBreak/>
              <w:t>Sofosbuvir:</w:t>
            </w:r>
          </w:p>
          <w:p w:rsidR="00FC356F" w:rsidRPr="00A00A3C" w:rsidRDefault="00FC356F" w:rsidP="00FC356F">
            <w:pPr>
              <w:rPr>
                <w:sz w:val="22"/>
                <w:szCs w:val="22"/>
                <w:lang w:val="en-US"/>
              </w:rPr>
            </w:pPr>
            <w:r w:rsidRPr="00A00A3C">
              <w:rPr>
                <w:sz w:val="22"/>
                <w:szCs w:val="22"/>
                <w:lang w:val="en-US"/>
              </w:rPr>
              <w:t>AUC: ↓ 28 % (↓ 34 til ↓ 20)</w:t>
            </w:r>
          </w:p>
          <w:p w:rsidR="00FC356F" w:rsidRPr="00A00A3C" w:rsidRDefault="00FC356F" w:rsidP="00FC356F">
            <w:pPr>
              <w:rPr>
                <w:sz w:val="22"/>
                <w:szCs w:val="22"/>
                <w:lang w:val="en-US"/>
              </w:rPr>
            </w:pPr>
            <w:r w:rsidRPr="00A00A3C">
              <w:rPr>
                <w:sz w:val="22"/>
                <w:szCs w:val="22"/>
                <w:lang w:val="en-US"/>
              </w:rPr>
              <w:lastRenderedPageBreak/>
              <w:t>C</w:t>
            </w:r>
            <w:r w:rsidRPr="00A00A3C">
              <w:rPr>
                <w:sz w:val="22"/>
                <w:szCs w:val="22"/>
                <w:vertAlign w:val="subscript"/>
                <w:lang w:val="en-US"/>
              </w:rPr>
              <w:t>max</w:t>
            </w:r>
            <w:r w:rsidRPr="00A00A3C">
              <w:rPr>
                <w:sz w:val="22"/>
                <w:szCs w:val="22"/>
                <w:lang w:val="en-US"/>
              </w:rPr>
              <w:t>: ↓ 38 % (↓ 46 til ↓ 29)</w:t>
            </w:r>
          </w:p>
          <w:p w:rsidR="00FC356F" w:rsidRPr="00A00A3C" w:rsidRDefault="00FC356F" w:rsidP="00FC356F">
            <w:pPr>
              <w:rPr>
                <w:sz w:val="22"/>
                <w:szCs w:val="22"/>
                <w:lang w:val="en-US"/>
              </w:rPr>
            </w:pPr>
            <w:r w:rsidRPr="00A00A3C">
              <w:rPr>
                <w:sz w:val="22"/>
                <w:szCs w:val="22"/>
                <w:lang w:val="en-US"/>
              </w:rPr>
              <w:t>GS-331007</w:t>
            </w:r>
            <w:r w:rsidRPr="00A00A3C">
              <w:rPr>
                <w:sz w:val="22"/>
                <w:szCs w:val="22"/>
                <w:vertAlign w:val="superscript"/>
                <w:lang w:val="en-US"/>
              </w:rPr>
              <w:t>2</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Velpatasvir: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24 % (↓ 35 til ↓ 11)</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Darunavir: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Ritonavir: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Tenofovir:</w:t>
            </w:r>
          </w:p>
          <w:p w:rsidR="00FC356F" w:rsidRPr="00A00A3C" w:rsidRDefault="00FC356F" w:rsidP="00FC356F">
            <w:pPr>
              <w:rPr>
                <w:sz w:val="22"/>
                <w:szCs w:val="22"/>
                <w:lang w:val="en-US"/>
              </w:rPr>
            </w:pPr>
            <w:r w:rsidRPr="00A00A3C">
              <w:rPr>
                <w:sz w:val="22"/>
                <w:szCs w:val="22"/>
                <w:lang w:val="en-US"/>
              </w:rPr>
              <w:t>AUC: ↑ 39 % (↑ 33 til ↑ 44)</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55 % (↑ 45 til ↑ 66)</w:t>
            </w:r>
          </w:p>
          <w:p w:rsidR="00FC356F" w:rsidRPr="00A00A3C" w:rsidRDefault="00FC356F" w:rsidP="00FC356F">
            <w:pPr>
              <w:rPr>
                <w:sz w:val="22"/>
                <w:szCs w:val="22"/>
                <w:lang w:val="en-US" w:eastAsia="en-GB"/>
              </w:rPr>
            </w:pPr>
            <w:r w:rsidRPr="00A00A3C">
              <w:rPr>
                <w:sz w:val="22"/>
                <w:szCs w:val="22"/>
              </w:rPr>
              <w:t>C</w:t>
            </w:r>
            <w:r w:rsidRPr="00A00A3C">
              <w:rPr>
                <w:sz w:val="22"/>
                <w:szCs w:val="22"/>
                <w:vertAlign w:val="subscript"/>
              </w:rPr>
              <w:t>min</w:t>
            </w:r>
            <w:r w:rsidRPr="00A00A3C">
              <w:rPr>
                <w:sz w:val="22"/>
                <w:szCs w:val="22"/>
              </w:rPr>
              <w:t>: ↑ 52 % (↑ 45 til ↑ 59)</w:t>
            </w:r>
          </w:p>
        </w:tc>
        <w:tc>
          <w:tcPr>
            <w:tcW w:w="1741"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lastRenderedPageBreak/>
              <w:t xml:space="preserve">Øget plasmakoncentration af tenofovir som følge af samtidig </w:t>
            </w:r>
            <w:r w:rsidRPr="00A00A3C">
              <w:rPr>
                <w:sz w:val="22"/>
                <w:szCs w:val="22"/>
              </w:rPr>
              <w:lastRenderedPageBreak/>
              <w:t>administration af tenofovirdisoproxil, sofosbuvir/velpatasvir og darunavir/ritonavir kan øge risikoen for bivirkninger relateret til tenofovirdisoproxil, herunder nyrerelaterede bivirkninger. Sikkerheden af tenofovirdisoproxil sammen med sofosbuvir/velpatasvir og en farmakokinetisk booster (f.eks. ritonavir eller cobicistat) er ikke klarlagt.</w:t>
            </w:r>
          </w:p>
          <w:p w:rsidR="00FC356F" w:rsidRPr="00A00A3C" w:rsidRDefault="00FC356F" w:rsidP="00FC356F">
            <w:pPr>
              <w:rPr>
                <w:sz w:val="22"/>
                <w:szCs w:val="22"/>
              </w:rPr>
            </w:pPr>
          </w:p>
          <w:p w:rsidR="00FC356F" w:rsidRPr="00A00A3C" w:rsidRDefault="00FC356F" w:rsidP="00FC356F">
            <w:pPr>
              <w:rPr>
                <w:sz w:val="22"/>
                <w:szCs w:val="22"/>
              </w:rPr>
            </w:pPr>
            <w:r w:rsidRPr="00A00A3C">
              <w:rPr>
                <w:sz w:val="22"/>
                <w:szCs w:val="22"/>
              </w:rPr>
              <w:t>Kombinationen skal anvendes med forsigtighed og med hyppig monitorering af nyrefunktionen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lastRenderedPageBreak/>
              <w:t>Sofosbuvir/velpatasvir</w:t>
            </w:r>
          </w:p>
          <w:p w:rsidR="00FC356F" w:rsidRPr="00A00A3C" w:rsidRDefault="00FC356F" w:rsidP="00FC356F">
            <w:pPr>
              <w:rPr>
                <w:sz w:val="22"/>
                <w:szCs w:val="22"/>
                <w:lang w:val="en-US"/>
              </w:rPr>
            </w:pPr>
            <w:r w:rsidRPr="00A00A3C">
              <w:rPr>
                <w:sz w:val="22"/>
                <w:szCs w:val="22"/>
              </w:rPr>
              <w:t xml:space="preserve">(400 mg/100 mg q.d.) </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Lopinavir/ritonavir</w:t>
            </w:r>
          </w:p>
          <w:p w:rsidR="00FC356F" w:rsidRPr="00A00A3C" w:rsidRDefault="00FC356F" w:rsidP="00FC356F">
            <w:pPr>
              <w:rPr>
                <w:sz w:val="22"/>
                <w:szCs w:val="22"/>
                <w:lang w:val="en-US"/>
              </w:rPr>
            </w:pPr>
            <w:r w:rsidRPr="00A00A3C">
              <w:rPr>
                <w:sz w:val="22"/>
                <w:szCs w:val="22"/>
                <w:lang w:val="en-US"/>
              </w:rPr>
              <w:t>(800 mg/200 mg q.d.) +</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tenofovirdisoproxil</w:t>
            </w:r>
          </w:p>
          <w:p w:rsidR="00FC356F" w:rsidRPr="00A00A3C" w:rsidRDefault="00FC356F" w:rsidP="00FC356F">
            <w:pPr>
              <w:rPr>
                <w:sz w:val="22"/>
                <w:szCs w:val="22"/>
                <w:lang w:val="en-US" w:eastAsia="en-GB"/>
              </w:rPr>
            </w:pPr>
            <w:r w:rsidRPr="00A00A3C">
              <w:rPr>
                <w:sz w:val="22"/>
                <w:szCs w:val="22"/>
                <w:lang w:val="en-US"/>
              </w:rPr>
              <w:t>(200 mg/245 mg q.d.)</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rPr>
            </w:pPr>
            <w:r w:rsidRPr="00A00A3C">
              <w:rPr>
                <w:sz w:val="22"/>
                <w:szCs w:val="22"/>
                <w:lang w:val="en-US"/>
              </w:rPr>
              <w:t>Sofosbuvir:</w:t>
            </w:r>
          </w:p>
          <w:p w:rsidR="00FC356F" w:rsidRPr="00A00A3C" w:rsidRDefault="00FC356F" w:rsidP="00FC356F">
            <w:pPr>
              <w:rPr>
                <w:sz w:val="22"/>
                <w:szCs w:val="22"/>
                <w:lang w:val="en-US"/>
              </w:rPr>
            </w:pPr>
            <w:r w:rsidRPr="00A00A3C">
              <w:rPr>
                <w:sz w:val="22"/>
                <w:szCs w:val="22"/>
                <w:lang w:val="en-US"/>
              </w:rPr>
              <w:t>AUC: ↓ 29 % (↓ 36 til ↓ 22)</w:t>
            </w:r>
          </w:p>
          <w:p w:rsidR="00FC356F" w:rsidRPr="00A00A3C" w:rsidRDefault="00FC356F" w:rsidP="00FC356F">
            <w:pPr>
              <w:rPr>
                <w:sz w:val="22"/>
                <w:szCs w:val="22"/>
                <w:lang w:val="en-US"/>
              </w:rPr>
            </w:pPr>
            <w:r w:rsidRPr="00A00A3C">
              <w:rPr>
                <w:sz w:val="22"/>
                <w:szCs w:val="22"/>
                <w:lang w:val="en-US"/>
              </w:rPr>
              <w:t>Cmax: ↓ 41 % (↓ 51 til ↓ 29)</w:t>
            </w:r>
          </w:p>
          <w:p w:rsidR="00FC356F" w:rsidRPr="00A00A3C" w:rsidRDefault="00FC356F" w:rsidP="00FC356F">
            <w:pPr>
              <w:rPr>
                <w:sz w:val="22"/>
                <w:szCs w:val="22"/>
                <w:lang w:val="en-US"/>
              </w:rPr>
            </w:pPr>
            <w:r w:rsidRPr="00A00A3C">
              <w:rPr>
                <w:sz w:val="22"/>
                <w:szCs w:val="22"/>
                <w:lang w:val="en-US"/>
              </w:rPr>
              <w:t>GS-331007</w:t>
            </w:r>
            <w:r w:rsidRPr="00A00A3C">
              <w:rPr>
                <w:sz w:val="22"/>
                <w:szCs w:val="22"/>
                <w:vertAlign w:val="superscript"/>
                <w:lang w:val="en-US"/>
              </w:rPr>
              <w:t>2</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Velpatasvir: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30 % (↓ 41 til ↓ 17)</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63 % (↑ 43 til ↑ 85)</w:t>
            </w:r>
          </w:p>
          <w:p w:rsidR="00FC356F" w:rsidRPr="00A00A3C" w:rsidRDefault="00FC356F" w:rsidP="00FC356F">
            <w:pPr>
              <w:rPr>
                <w:sz w:val="22"/>
                <w:szCs w:val="22"/>
                <w:lang w:val="en-US"/>
              </w:rPr>
            </w:pPr>
            <w:r w:rsidRPr="00A00A3C">
              <w:rPr>
                <w:sz w:val="22"/>
                <w:szCs w:val="22"/>
                <w:lang w:val="en-US"/>
              </w:rPr>
              <w:t>Lopinavir: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Ritonavir: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Tenofovir: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42 % (↑ 27 til ↑ 57)</w:t>
            </w:r>
          </w:p>
          <w:p w:rsidR="00FC356F" w:rsidRPr="00A00A3C" w:rsidRDefault="00FC356F" w:rsidP="00FC356F">
            <w:pPr>
              <w:rPr>
                <w:sz w:val="22"/>
                <w:szCs w:val="22"/>
                <w:lang w:val="en-US" w:eastAsia="en-GB"/>
              </w:rPr>
            </w:pPr>
            <w:r w:rsidRPr="00A00A3C">
              <w:rPr>
                <w:sz w:val="22"/>
                <w:szCs w:val="22"/>
              </w:rPr>
              <w:t>C</w:t>
            </w:r>
            <w:r w:rsidRPr="00A00A3C">
              <w:rPr>
                <w:sz w:val="22"/>
                <w:szCs w:val="22"/>
                <w:vertAlign w:val="subscript"/>
              </w:rPr>
              <w:t>min</w:t>
            </w:r>
            <w:r w:rsidRPr="00A00A3C">
              <w:rPr>
                <w:sz w:val="22"/>
                <w:szCs w:val="22"/>
              </w:rPr>
              <w:t>: ↔</w:t>
            </w:r>
          </w:p>
        </w:tc>
        <w:tc>
          <w:tcPr>
            <w:tcW w:w="1741"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Øget plasmakoncentration af tenofovir som følge af samtidig administration af tenofovirdisoproxil, sofosbuvir/velpatasvir og lopinavir/ritonavir kan øge risikoen for bivirkninger relateret til tenofovirdisoproxil, herunder nyrerelaterede bivirkninger. Sikkerheden af tenofovirdisoproxil sammen med sofosbuvir/velpatasvir og en farmakokinetisk booster (f.eks. ritonavir eller cobicistat) er ikke klarlagt. </w:t>
            </w:r>
          </w:p>
          <w:p w:rsidR="00FC356F" w:rsidRPr="00A00A3C" w:rsidRDefault="00FC356F" w:rsidP="00FC356F">
            <w:pPr>
              <w:rPr>
                <w:sz w:val="22"/>
                <w:szCs w:val="22"/>
              </w:rPr>
            </w:pPr>
          </w:p>
          <w:p w:rsidR="00FC356F" w:rsidRPr="00A00A3C" w:rsidRDefault="00FC356F" w:rsidP="00FC356F">
            <w:pPr>
              <w:rPr>
                <w:sz w:val="22"/>
                <w:szCs w:val="22"/>
              </w:rPr>
            </w:pPr>
            <w:r w:rsidRPr="00A00A3C">
              <w:rPr>
                <w:sz w:val="22"/>
                <w:szCs w:val="22"/>
              </w:rPr>
              <w:t>Kombinationen skal anvendes med forsigtighed og med hyppig monitorering af nyrefunktionen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Sofosbuvir/velpatasvir</w:t>
            </w:r>
          </w:p>
          <w:p w:rsidR="00FC356F" w:rsidRPr="00A00A3C" w:rsidRDefault="00FC356F" w:rsidP="00FC356F">
            <w:pPr>
              <w:rPr>
                <w:sz w:val="22"/>
                <w:szCs w:val="22"/>
                <w:lang w:val="en-US"/>
              </w:rPr>
            </w:pPr>
            <w:r w:rsidRPr="00A00A3C">
              <w:rPr>
                <w:sz w:val="22"/>
                <w:szCs w:val="22"/>
              </w:rPr>
              <w:t xml:space="preserve">(400 mg/100 mg q.d.) </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Raltegravir</w:t>
            </w:r>
          </w:p>
          <w:p w:rsidR="00FC356F" w:rsidRPr="00A00A3C" w:rsidRDefault="00FC356F" w:rsidP="00FC356F">
            <w:pPr>
              <w:rPr>
                <w:sz w:val="22"/>
                <w:szCs w:val="22"/>
                <w:lang w:val="en-US"/>
              </w:rPr>
            </w:pPr>
            <w:r w:rsidRPr="00A00A3C">
              <w:rPr>
                <w:sz w:val="22"/>
                <w:szCs w:val="22"/>
                <w:lang w:val="en-US"/>
              </w:rPr>
              <w:lastRenderedPageBreak/>
              <w:t>(400 mg b.i.d) +</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tenofovirdisoproxil</w:t>
            </w:r>
          </w:p>
          <w:p w:rsidR="00FC356F" w:rsidRPr="00A00A3C" w:rsidRDefault="00FC356F" w:rsidP="00FC356F">
            <w:pPr>
              <w:rPr>
                <w:sz w:val="22"/>
                <w:szCs w:val="22"/>
                <w:lang w:val="en-US" w:eastAsia="en-GB"/>
              </w:rPr>
            </w:pPr>
            <w:r w:rsidRPr="00A00A3C">
              <w:rPr>
                <w:sz w:val="22"/>
                <w:szCs w:val="22"/>
                <w:lang w:val="en-US"/>
              </w:rPr>
              <w:t>(200 mg/245 mg q.d.)</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rPr>
            </w:pPr>
            <w:r w:rsidRPr="00A00A3C">
              <w:rPr>
                <w:sz w:val="22"/>
                <w:szCs w:val="22"/>
                <w:lang w:val="en-US"/>
              </w:rPr>
              <w:lastRenderedPageBreak/>
              <w:t>Sofosbuvir: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lastRenderedPageBreak/>
              <w:t>GS-331007</w:t>
            </w:r>
            <w:r w:rsidRPr="00A00A3C">
              <w:rPr>
                <w:sz w:val="22"/>
                <w:szCs w:val="22"/>
                <w:vertAlign w:val="superscript"/>
                <w:lang w:val="en-US"/>
              </w:rPr>
              <w:t>2</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Velpatasvir: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Raltegravir: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21 % (↓ 58 til ↑ 48)</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Tenofovir:</w:t>
            </w:r>
          </w:p>
          <w:p w:rsidR="00FC356F" w:rsidRPr="00A00A3C" w:rsidRDefault="00FC356F" w:rsidP="00FC356F">
            <w:pPr>
              <w:rPr>
                <w:sz w:val="22"/>
                <w:szCs w:val="22"/>
                <w:lang w:val="en-US"/>
              </w:rPr>
            </w:pPr>
            <w:r w:rsidRPr="00A00A3C">
              <w:rPr>
                <w:sz w:val="22"/>
                <w:szCs w:val="22"/>
                <w:lang w:val="en-US"/>
              </w:rPr>
              <w:t>AUC: ↑ 40 % (↑ 34 til ↑ 45)</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46 % (↑ 39 til ↑ 54)</w:t>
            </w:r>
          </w:p>
          <w:p w:rsidR="00FC356F" w:rsidRPr="00A00A3C" w:rsidRDefault="00FC356F" w:rsidP="00FC356F">
            <w:pPr>
              <w:rPr>
                <w:sz w:val="22"/>
                <w:szCs w:val="22"/>
                <w:lang w:val="en-US" w:eastAsia="en-GB"/>
              </w:rPr>
            </w:pPr>
            <w:r w:rsidRPr="00A00A3C">
              <w:rPr>
                <w:sz w:val="22"/>
                <w:szCs w:val="22"/>
                <w:lang w:val="en-US"/>
              </w:rPr>
              <w:t>C</w:t>
            </w:r>
            <w:r w:rsidRPr="00A00A3C">
              <w:rPr>
                <w:sz w:val="22"/>
                <w:szCs w:val="22"/>
                <w:vertAlign w:val="subscript"/>
                <w:lang w:val="en-US"/>
              </w:rPr>
              <w:t>min</w:t>
            </w:r>
            <w:r w:rsidRPr="00A00A3C">
              <w:rPr>
                <w:sz w:val="22"/>
                <w:szCs w:val="22"/>
                <w:lang w:val="en-US"/>
              </w:rPr>
              <w:t>: ↑ 70 % (↑ 61 til ↑ 79)</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lastRenderedPageBreak/>
              <w:t xml:space="preserve">Anbefaling for dosisjustering foreligger ikke. Den forøgede tenofovireksponering kan </w:t>
            </w:r>
            <w:r w:rsidRPr="00A00A3C">
              <w:rPr>
                <w:sz w:val="22"/>
                <w:szCs w:val="22"/>
              </w:rPr>
              <w:lastRenderedPageBreak/>
              <w:t>forstærke bivirkninger relateret til tenofovirdisoproxil, herunder nyrerelaterede bivirkninger.</w:t>
            </w:r>
          </w:p>
          <w:p w:rsidR="00FC356F" w:rsidRPr="00A00A3C" w:rsidRDefault="00FC356F" w:rsidP="00FC356F">
            <w:pPr>
              <w:rPr>
                <w:sz w:val="22"/>
                <w:szCs w:val="22"/>
              </w:rPr>
            </w:pPr>
            <w:r w:rsidRPr="00A00A3C">
              <w:rPr>
                <w:sz w:val="22"/>
                <w:szCs w:val="22"/>
              </w:rPr>
              <w:t>Nyrefunktionen skal monitoreres tæt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lastRenderedPageBreak/>
              <w:t>Sofosbuvir/velpatasvir</w:t>
            </w:r>
          </w:p>
          <w:p w:rsidR="00FC356F" w:rsidRPr="00A00A3C" w:rsidRDefault="00FC356F" w:rsidP="00FC356F">
            <w:pPr>
              <w:rPr>
                <w:sz w:val="22"/>
                <w:szCs w:val="22"/>
              </w:rPr>
            </w:pPr>
            <w:r w:rsidRPr="00A00A3C">
              <w:rPr>
                <w:sz w:val="22"/>
                <w:szCs w:val="22"/>
              </w:rPr>
              <w:t>(400 mg/100 mg q.d.) +</w:t>
            </w:r>
          </w:p>
          <w:p w:rsidR="00FC356F" w:rsidRPr="00A00A3C" w:rsidRDefault="00FC356F" w:rsidP="00FC356F">
            <w:pPr>
              <w:rPr>
                <w:sz w:val="22"/>
                <w:szCs w:val="22"/>
              </w:rPr>
            </w:pPr>
            <w:r w:rsidRPr="00A00A3C">
              <w:rPr>
                <w:sz w:val="22"/>
                <w:szCs w:val="22"/>
              </w:rPr>
              <w:t>Efavirenz/emtricitabin/</w:t>
            </w:r>
          </w:p>
          <w:p w:rsidR="00FC356F" w:rsidRPr="00A00A3C" w:rsidRDefault="00FC356F" w:rsidP="00FC356F">
            <w:pPr>
              <w:rPr>
                <w:sz w:val="22"/>
                <w:szCs w:val="22"/>
              </w:rPr>
            </w:pPr>
            <w:r w:rsidRPr="00A00A3C">
              <w:rPr>
                <w:sz w:val="22"/>
                <w:szCs w:val="22"/>
              </w:rPr>
              <w:t>tenofovirdisoproxil</w:t>
            </w:r>
          </w:p>
          <w:p w:rsidR="00FC356F" w:rsidRPr="00A00A3C" w:rsidRDefault="00FC356F" w:rsidP="00FC356F">
            <w:pPr>
              <w:rPr>
                <w:sz w:val="22"/>
                <w:szCs w:val="22"/>
                <w:lang w:eastAsia="en-GB"/>
              </w:rPr>
            </w:pPr>
            <w:r w:rsidRPr="00A00A3C">
              <w:rPr>
                <w:sz w:val="22"/>
                <w:szCs w:val="22"/>
              </w:rPr>
              <w:t>(600 mg/200 mg/245 mg q.d.)</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Sofosbuvir:</w:t>
            </w:r>
          </w:p>
          <w:p w:rsidR="00FC356F" w:rsidRPr="00A00A3C" w:rsidRDefault="00FC356F" w:rsidP="00FC356F">
            <w:pPr>
              <w:rPr>
                <w:sz w:val="22"/>
                <w:szCs w:val="22"/>
              </w:rPr>
            </w:pPr>
            <w:r w:rsidRPr="00A00A3C">
              <w:rPr>
                <w:sz w:val="22"/>
                <w:szCs w:val="22"/>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 38 % (↑ 14 til ↑ 67)</w:t>
            </w:r>
          </w:p>
          <w:p w:rsidR="00FC356F" w:rsidRPr="00A00A3C" w:rsidRDefault="00FC356F" w:rsidP="00FC356F">
            <w:pPr>
              <w:rPr>
                <w:sz w:val="22"/>
                <w:szCs w:val="22"/>
              </w:rPr>
            </w:pPr>
            <w:r w:rsidRPr="00A00A3C">
              <w:rPr>
                <w:sz w:val="22"/>
                <w:szCs w:val="22"/>
              </w:rPr>
              <w:t>GS-331007</w:t>
            </w:r>
            <w:r w:rsidRPr="00A00A3C">
              <w:rPr>
                <w:sz w:val="22"/>
                <w:szCs w:val="22"/>
                <w:vertAlign w:val="superscript"/>
              </w:rPr>
              <w:t>2</w:t>
            </w:r>
            <w:r w:rsidRPr="00A00A3C">
              <w:rPr>
                <w:sz w:val="22"/>
                <w:szCs w:val="22"/>
              </w:rPr>
              <w:t>:</w:t>
            </w:r>
          </w:p>
          <w:p w:rsidR="00FC356F" w:rsidRPr="00A00A3C" w:rsidRDefault="00FC356F" w:rsidP="00FC356F">
            <w:pPr>
              <w:rPr>
                <w:sz w:val="22"/>
                <w:szCs w:val="22"/>
              </w:rPr>
            </w:pPr>
            <w:r w:rsidRPr="00A00A3C">
              <w:rPr>
                <w:sz w:val="22"/>
                <w:szCs w:val="22"/>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w:t>
            </w:r>
          </w:p>
          <w:p w:rsidR="00FC356F" w:rsidRPr="00A00A3C" w:rsidRDefault="00FC356F" w:rsidP="00FC356F">
            <w:pPr>
              <w:rPr>
                <w:sz w:val="22"/>
                <w:szCs w:val="22"/>
              </w:rPr>
            </w:pPr>
            <w:r w:rsidRPr="00A00A3C">
              <w:rPr>
                <w:sz w:val="22"/>
                <w:szCs w:val="22"/>
              </w:rPr>
              <w:t>Velpatasvir:</w:t>
            </w:r>
          </w:p>
          <w:p w:rsidR="00FC356F" w:rsidRPr="00A00A3C" w:rsidRDefault="00FC356F" w:rsidP="00FC356F">
            <w:pPr>
              <w:rPr>
                <w:sz w:val="22"/>
                <w:szCs w:val="22"/>
              </w:rPr>
            </w:pPr>
            <w:r w:rsidRPr="00A00A3C">
              <w:rPr>
                <w:sz w:val="22"/>
                <w:szCs w:val="22"/>
              </w:rPr>
              <w:t>AUC: ↓ 53 % (↓ 61 til ↓ 43)</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 47 % (↓ 57 til ↓ 36)</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 57 % (↓ 64 til ↓ 48)</w:t>
            </w:r>
          </w:p>
          <w:p w:rsidR="00FC356F" w:rsidRPr="00A00A3C" w:rsidRDefault="00FC356F" w:rsidP="00FC356F">
            <w:pPr>
              <w:rPr>
                <w:sz w:val="22"/>
                <w:szCs w:val="22"/>
              </w:rPr>
            </w:pPr>
            <w:r w:rsidRPr="00A00A3C">
              <w:rPr>
                <w:sz w:val="22"/>
                <w:szCs w:val="22"/>
              </w:rPr>
              <w:t>Efavirenz:</w:t>
            </w:r>
          </w:p>
          <w:p w:rsidR="00FC356F" w:rsidRPr="00A00A3C" w:rsidRDefault="00FC356F" w:rsidP="00FC356F">
            <w:pPr>
              <w:rPr>
                <w:sz w:val="22"/>
                <w:szCs w:val="22"/>
              </w:rPr>
            </w:pPr>
            <w:r w:rsidRPr="00A00A3C">
              <w:rPr>
                <w:sz w:val="22"/>
                <w:szCs w:val="22"/>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w:t>
            </w:r>
          </w:p>
          <w:p w:rsidR="00FC356F" w:rsidRPr="00A00A3C" w:rsidRDefault="00FC356F" w:rsidP="00FC356F">
            <w:pPr>
              <w:rPr>
                <w:sz w:val="22"/>
                <w:szCs w:val="22"/>
              </w:rPr>
            </w:pPr>
            <w:r w:rsidRPr="00A00A3C">
              <w:rPr>
                <w:sz w:val="22"/>
                <w:szCs w:val="22"/>
              </w:rPr>
              <w:t>Emtricitabin:</w:t>
            </w:r>
          </w:p>
          <w:p w:rsidR="00FC356F" w:rsidRPr="00A00A3C" w:rsidRDefault="00FC356F" w:rsidP="00FC356F">
            <w:pPr>
              <w:rPr>
                <w:sz w:val="22"/>
                <w:szCs w:val="22"/>
              </w:rPr>
            </w:pPr>
            <w:r w:rsidRPr="00A00A3C">
              <w:rPr>
                <w:sz w:val="22"/>
                <w:szCs w:val="22"/>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w:t>
            </w:r>
          </w:p>
          <w:p w:rsidR="00FC356F" w:rsidRPr="00A00A3C" w:rsidRDefault="00FC356F" w:rsidP="00FC356F">
            <w:pPr>
              <w:rPr>
                <w:sz w:val="22"/>
                <w:szCs w:val="22"/>
              </w:rPr>
            </w:pPr>
            <w:r w:rsidRPr="00A00A3C">
              <w:rPr>
                <w:sz w:val="22"/>
                <w:szCs w:val="22"/>
              </w:rPr>
              <w:t>Tenofovir:</w:t>
            </w:r>
          </w:p>
          <w:p w:rsidR="00FC356F" w:rsidRPr="00A00A3C" w:rsidRDefault="00FC356F" w:rsidP="00FC356F">
            <w:pPr>
              <w:rPr>
                <w:sz w:val="22"/>
                <w:szCs w:val="22"/>
              </w:rPr>
            </w:pPr>
            <w:r w:rsidRPr="00A00A3C">
              <w:rPr>
                <w:sz w:val="22"/>
                <w:szCs w:val="22"/>
              </w:rPr>
              <w:t>AUC: ↑ 81 % (↑ 68 til ↑ 94)</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 77 % (↑ 53 til ↑ 104)</w:t>
            </w:r>
          </w:p>
          <w:p w:rsidR="00FC356F" w:rsidRPr="00A00A3C" w:rsidRDefault="00FC356F" w:rsidP="00FC356F">
            <w:pPr>
              <w:rPr>
                <w:sz w:val="22"/>
                <w:szCs w:val="22"/>
                <w:lang w:val="en-US" w:eastAsia="en-GB"/>
              </w:rPr>
            </w:pPr>
            <w:r w:rsidRPr="00A00A3C">
              <w:rPr>
                <w:sz w:val="22"/>
                <w:szCs w:val="22"/>
              </w:rPr>
              <w:t>C</w:t>
            </w:r>
            <w:r w:rsidRPr="00A00A3C">
              <w:rPr>
                <w:sz w:val="22"/>
                <w:szCs w:val="22"/>
                <w:vertAlign w:val="subscript"/>
              </w:rPr>
              <w:t>min</w:t>
            </w:r>
            <w:r w:rsidRPr="00A00A3C">
              <w:rPr>
                <w:sz w:val="22"/>
                <w:szCs w:val="22"/>
              </w:rPr>
              <w:t>: ↑ 121 % (↑ 100 til ↑ 143)</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Samtidig administration af sofosbuvir/velpatasvir og efavirenz forventes at reducere plasmakoncentrationen af velpatasvir. Samtidig administration af sofosbuvir/velpatasvir og regimer indeholdende efavirenz frarådes.</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Sofosbuvir/velpatasvir</w:t>
            </w:r>
          </w:p>
          <w:p w:rsidR="00FC356F" w:rsidRPr="00A00A3C" w:rsidRDefault="00FC356F" w:rsidP="00FC356F">
            <w:pPr>
              <w:rPr>
                <w:sz w:val="22"/>
                <w:szCs w:val="22"/>
              </w:rPr>
            </w:pPr>
            <w:r w:rsidRPr="00A00A3C">
              <w:rPr>
                <w:sz w:val="22"/>
                <w:szCs w:val="22"/>
              </w:rPr>
              <w:t>(400 mg/100 mg q.d.) +</w:t>
            </w:r>
          </w:p>
          <w:p w:rsidR="00FC356F" w:rsidRPr="00A00A3C" w:rsidRDefault="00FC356F" w:rsidP="00FC356F">
            <w:pPr>
              <w:rPr>
                <w:sz w:val="22"/>
                <w:szCs w:val="22"/>
              </w:rPr>
            </w:pPr>
            <w:r w:rsidRPr="00A00A3C">
              <w:rPr>
                <w:sz w:val="22"/>
                <w:szCs w:val="22"/>
              </w:rPr>
              <w:t>Emtricitabin/rilpivirin/</w:t>
            </w:r>
          </w:p>
          <w:p w:rsidR="00FC356F" w:rsidRPr="00A00A3C" w:rsidRDefault="00FC356F" w:rsidP="00FC356F">
            <w:pPr>
              <w:rPr>
                <w:sz w:val="22"/>
                <w:szCs w:val="22"/>
              </w:rPr>
            </w:pPr>
            <w:r w:rsidRPr="00A00A3C">
              <w:rPr>
                <w:sz w:val="22"/>
                <w:szCs w:val="22"/>
              </w:rPr>
              <w:t>tenofovirdisoproxil</w:t>
            </w:r>
          </w:p>
          <w:p w:rsidR="00FC356F" w:rsidRPr="00A00A3C" w:rsidRDefault="00FC356F" w:rsidP="00FC356F">
            <w:pPr>
              <w:rPr>
                <w:sz w:val="22"/>
                <w:szCs w:val="22"/>
                <w:lang w:eastAsia="en-GB"/>
              </w:rPr>
            </w:pPr>
            <w:r w:rsidRPr="00A00A3C">
              <w:rPr>
                <w:sz w:val="22"/>
                <w:szCs w:val="22"/>
              </w:rPr>
              <w:t>(200 mg/25 mg/245 mg q.d.)</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Sofosbuvir:</w:t>
            </w:r>
          </w:p>
          <w:p w:rsidR="00FC356F" w:rsidRPr="00A00A3C" w:rsidRDefault="00FC356F" w:rsidP="00FC356F">
            <w:pPr>
              <w:rPr>
                <w:sz w:val="22"/>
                <w:szCs w:val="22"/>
              </w:rPr>
            </w:pPr>
            <w:r w:rsidRPr="00A00A3C">
              <w:rPr>
                <w:sz w:val="22"/>
                <w:szCs w:val="22"/>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GS-331007</w:t>
            </w:r>
            <w:r w:rsidRPr="00A00A3C">
              <w:rPr>
                <w:sz w:val="22"/>
                <w:szCs w:val="22"/>
                <w:vertAlign w:val="superscript"/>
              </w:rPr>
              <w:t>2</w:t>
            </w:r>
            <w:r w:rsidRPr="00A00A3C">
              <w:rPr>
                <w:sz w:val="22"/>
                <w:szCs w:val="22"/>
              </w:rPr>
              <w:t>:</w:t>
            </w:r>
          </w:p>
          <w:p w:rsidR="00FC356F" w:rsidRPr="00A00A3C" w:rsidRDefault="00FC356F" w:rsidP="00FC356F">
            <w:pPr>
              <w:rPr>
                <w:sz w:val="22"/>
                <w:szCs w:val="22"/>
              </w:rPr>
            </w:pPr>
            <w:r w:rsidRPr="00A00A3C">
              <w:rPr>
                <w:sz w:val="22"/>
                <w:szCs w:val="22"/>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w:t>
            </w:r>
          </w:p>
          <w:p w:rsidR="00FC356F" w:rsidRPr="00A00A3C" w:rsidRDefault="00FC356F" w:rsidP="00FC356F">
            <w:pPr>
              <w:rPr>
                <w:sz w:val="22"/>
                <w:szCs w:val="22"/>
                <w:lang w:eastAsia="da-DK"/>
              </w:rPr>
            </w:pPr>
            <w:r w:rsidRPr="00A00A3C">
              <w:rPr>
                <w:sz w:val="22"/>
                <w:szCs w:val="22"/>
                <w:lang w:eastAsia="da-DK"/>
              </w:rPr>
              <w:t>Velpatasvir:</w:t>
            </w:r>
          </w:p>
          <w:p w:rsidR="00FC356F" w:rsidRPr="00A00A3C" w:rsidRDefault="00FC356F" w:rsidP="00FC356F">
            <w:pPr>
              <w:rPr>
                <w:sz w:val="22"/>
                <w:szCs w:val="22"/>
                <w:lang w:eastAsia="da-DK"/>
              </w:rPr>
            </w:pPr>
            <w:r w:rsidRPr="00A00A3C">
              <w:rPr>
                <w:sz w:val="22"/>
                <w:szCs w:val="22"/>
                <w:lang w:eastAsia="da-DK"/>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w:t>
            </w:r>
          </w:p>
          <w:p w:rsidR="00FC356F" w:rsidRPr="00A00A3C" w:rsidRDefault="00FC356F" w:rsidP="00FC356F">
            <w:pPr>
              <w:rPr>
                <w:sz w:val="22"/>
                <w:szCs w:val="22"/>
              </w:rPr>
            </w:pPr>
            <w:r w:rsidRPr="00A00A3C">
              <w:rPr>
                <w:sz w:val="22"/>
                <w:szCs w:val="22"/>
              </w:rPr>
              <w:lastRenderedPageBreak/>
              <w:t>Emtricitabin:</w:t>
            </w:r>
          </w:p>
          <w:p w:rsidR="00FC356F" w:rsidRPr="00A00A3C" w:rsidRDefault="00FC356F" w:rsidP="00FC356F">
            <w:pPr>
              <w:rPr>
                <w:sz w:val="22"/>
                <w:szCs w:val="22"/>
                <w:lang w:eastAsia="da-DK"/>
              </w:rPr>
            </w:pPr>
            <w:r w:rsidRPr="00A00A3C">
              <w:rPr>
                <w:sz w:val="22"/>
                <w:szCs w:val="22"/>
                <w:lang w:eastAsia="da-DK"/>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w:t>
            </w:r>
          </w:p>
          <w:p w:rsidR="00FC356F" w:rsidRPr="00A00A3C" w:rsidRDefault="00FC356F" w:rsidP="00FC356F">
            <w:pPr>
              <w:rPr>
                <w:sz w:val="22"/>
                <w:szCs w:val="22"/>
              </w:rPr>
            </w:pPr>
            <w:r w:rsidRPr="00A00A3C">
              <w:rPr>
                <w:sz w:val="22"/>
                <w:szCs w:val="22"/>
              </w:rPr>
              <w:t>Rilpivirin:</w:t>
            </w:r>
          </w:p>
          <w:p w:rsidR="00FC356F" w:rsidRPr="00A00A3C" w:rsidRDefault="00FC356F" w:rsidP="00FC356F">
            <w:pPr>
              <w:rPr>
                <w:sz w:val="22"/>
                <w:szCs w:val="22"/>
              </w:rPr>
            </w:pPr>
            <w:r w:rsidRPr="00A00A3C">
              <w:rPr>
                <w:sz w:val="22"/>
                <w:szCs w:val="22"/>
              </w:rPr>
              <w:t>AUC: ↔</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w:t>
            </w:r>
          </w:p>
          <w:p w:rsidR="00FC356F" w:rsidRPr="00A00A3C" w:rsidRDefault="00FC356F" w:rsidP="00FC356F">
            <w:pPr>
              <w:rPr>
                <w:sz w:val="22"/>
                <w:szCs w:val="22"/>
              </w:rPr>
            </w:pPr>
            <w:r w:rsidRPr="00A00A3C">
              <w:rPr>
                <w:sz w:val="22"/>
                <w:szCs w:val="22"/>
              </w:rPr>
              <w:t>C</w:t>
            </w:r>
            <w:r w:rsidRPr="00A00A3C">
              <w:rPr>
                <w:sz w:val="22"/>
                <w:szCs w:val="22"/>
                <w:vertAlign w:val="subscript"/>
              </w:rPr>
              <w:t>min</w:t>
            </w:r>
            <w:r w:rsidRPr="00A00A3C">
              <w:rPr>
                <w:sz w:val="22"/>
                <w:szCs w:val="22"/>
              </w:rPr>
              <w:t>: ↔</w:t>
            </w:r>
          </w:p>
          <w:p w:rsidR="00FC356F" w:rsidRPr="00A00A3C" w:rsidRDefault="00FC356F" w:rsidP="00FC356F">
            <w:pPr>
              <w:rPr>
                <w:sz w:val="22"/>
                <w:szCs w:val="22"/>
              </w:rPr>
            </w:pPr>
            <w:r w:rsidRPr="00A00A3C">
              <w:rPr>
                <w:sz w:val="22"/>
                <w:szCs w:val="22"/>
              </w:rPr>
              <w:t>Tenofovir:</w:t>
            </w:r>
          </w:p>
          <w:p w:rsidR="00FC356F" w:rsidRPr="00A00A3C" w:rsidRDefault="00FC356F" w:rsidP="00FC356F">
            <w:pPr>
              <w:rPr>
                <w:sz w:val="22"/>
                <w:szCs w:val="22"/>
              </w:rPr>
            </w:pPr>
            <w:r w:rsidRPr="00A00A3C">
              <w:rPr>
                <w:sz w:val="22"/>
                <w:szCs w:val="22"/>
              </w:rPr>
              <w:t>AUC: ↑ 40 % (↑ 34 til ↑ 46)</w:t>
            </w:r>
          </w:p>
          <w:p w:rsidR="00FC356F" w:rsidRPr="00A00A3C" w:rsidRDefault="00FC356F" w:rsidP="00FC356F">
            <w:pPr>
              <w:rPr>
                <w:sz w:val="22"/>
                <w:szCs w:val="22"/>
              </w:rPr>
            </w:pPr>
            <w:r w:rsidRPr="00A00A3C">
              <w:rPr>
                <w:sz w:val="22"/>
                <w:szCs w:val="22"/>
              </w:rPr>
              <w:t>C</w:t>
            </w:r>
            <w:r w:rsidRPr="00A00A3C">
              <w:rPr>
                <w:sz w:val="22"/>
                <w:szCs w:val="22"/>
                <w:vertAlign w:val="subscript"/>
              </w:rPr>
              <w:t>max</w:t>
            </w:r>
            <w:r w:rsidRPr="00A00A3C">
              <w:rPr>
                <w:sz w:val="22"/>
                <w:szCs w:val="22"/>
              </w:rPr>
              <w:t>: ↑ 44 % (↑ 33 til ↑ 55)</w:t>
            </w:r>
          </w:p>
          <w:p w:rsidR="00FC356F" w:rsidRPr="00A00A3C" w:rsidRDefault="00FC356F" w:rsidP="00FC356F">
            <w:pPr>
              <w:rPr>
                <w:sz w:val="22"/>
                <w:szCs w:val="22"/>
                <w:lang w:eastAsia="en-GB"/>
              </w:rPr>
            </w:pPr>
            <w:r w:rsidRPr="00A00A3C">
              <w:rPr>
                <w:sz w:val="22"/>
                <w:szCs w:val="22"/>
              </w:rPr>
              <w:t>C</w:t>
            </w:r>
            <w:r w:rsidRPr="00A00A3C">
              <w:rPr>
                <w:sz w:val="22"/>
                <w:szCs w:val="22"/>
                <w:vertAlign w:val="subscript"/>
              </w:rPr>
              <w:t>min</w:t>
            </w:r>
            <w:r w:rsidRPr="00A00A3C">
              <w:rPr>
                <w:sz w:val="22"/>
                <w:szCs w:val="22"/>
              </w:rPr>
              <w:t>: ↑ 84 % (↑ 76 til ↑ 92)</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lang w:eastAsia="da-DK"/>
              </w:rPr>
              <w:lastRenderedPageBreak/>
              <w:t>Anbefaling for</w:t>
            </w:r>
            <w:r w:rsidRPr="00A00A3C">
              <w:rPr>
                <w:sz w:val="22"/>
                <w:szCs w:val="22"/>
              </w:rPr>
              <w:t xml:space="preserve"> </w:t>
            </w:r>
            <w:r w:rsidRPr="00A00A3C">
              <w:rPr>
                <w:sz w:val="22"/>
                <w:szCs w:val="22"/>
                <w:lang w:eastAsia="da-DK"/>
              </w:rPr>
              <w:t>dosisjustering foreligger</w:t>
            </w:r>
            <w:r w:rsidRPr="00A00A3C">
              <w:rPr>
                <w:sz w:val="22"/>
                <w:szCs w:val="22"/>
              </w:rPr>
              <w:t xml:space="preserve"> </w:t>
            </w:r>
            <w:r w:rsidRPr="00A00A3C">
              <w:rPr>
                <w:sz w:val="22"/>
                <w:szCs w:val="22"/>
                <w:lang w:eastAsia="da-DK"/>
              </w:rPr>
              <w:t xml:space="preserve">ikke. </w:t>
            </w:r>
            <w:r w:rsidRPr="00A00A3C">
              <w:rPr>
                <w:sz w:val="22"/>
                <w:szCs w:val="22"/>
              </w:rPr>
              <w:t>Den forøgede tenofovireksponering kan forstærke bivirkninger relateret til tenofovirdisoproxil, herunder nyrerelaterede bivirkninger.</w:t>
            </w:r>
          </w:p>
          <w:p w:rsidR="00FC356F" w:rsidRPr="00A00A3C" w:rsidRDefault="00FC356F" w:rsidP="00FC356F">
            <w:pPr>
              <w:rPr>
                <w:sz w:val="22"/>
                <w:szCs w:val="22"/>
              </w:rPr>
            </w:pPr>
            <w:r w:rsidRPr="00A00A3C">
              <w:rPr>
                <w:sz w:val="22"/>
                <w:szCs w:val="22"/>
              </w:rPr>
              <w:t>Nyrefunktionen skal monitoreres tæt (se pkt. 4.4).</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pStyle w:val="Default"/>
              <w:rPr>
                <w:sz w:val="22"/>
                <w:szCs w:val="22"/>
                <w:lang w:val="da-DK"/>
              </w:rPr>
            </w:pPr>
            <w:r w:rsidRPr="00A00A3C">
              <w:rPr>
                <w:sz w:val="22"/>
                <w:szCs w:val="22"/>
                <w:lang w:val="da-DK"/>
              </w:rPr>
              <w:t xml:space="preserve">Sofosbuvir/velpatasvir/ </w:t>
            </w:r>
          </w:p>
          <w:p w:rsidR="00FC356F" w:rsidRPr="00A00A3C" w:rsidRDefault="00FC356F" w:rsidP="00FC356F">
            <w:pPr>
              <w:pStyle w:val="Default"/>
              <w:rPr>
                <w:sz w:val="22"/>
                <w:szCs w:val="22"/>
                <w:lang w:val="da-DK"/>
              </w:rPr>
            </w:pPr>
            <w:r w:rsidRPr="00A00A3C">
              <w:rPr>
                <w:sz w:val="22"/>
                <w:szCs w:val="22"/>
                <w:lang w:val="da-DK"/>
              </w:rPr>
              <w:t xml:space="preserve">voxilaprevir (400 mg/100 mg/ </w:t>
            </w:r>
          </w:p>
          <w:p w:rsidR="00FC356F" w:rsidRPr="00A00A3C" w:rsidRDefault="00FC356F" w:rsidP="00FC356F">
            <w:pPr>
              <w:rPr>
                <w:sz w:val="22"/>
                <w:szCs w:val="22"/>
              </w:rPr>
            </w:pPr>
            <w:r w:rsidRPr="00A00A3C">
              <w:rPr>
                <w:sz w:val="22"/>
                <w:szCs w:val="22"/>
              </w:rPr>
              <w:t>100 mg+100 mg q.d.)</w:t>
            </w:r>
            <w:r w:rsidRPr="00A00A3C">
              <w:rPr>
                <w:sz w:val="22"/>
                <w:szCs w:val="22"/>
                <w:vertAlign w:val="superscript"/>
              </w:rPr>
              <w:t>3</w:t>
            </w:r>
            <w:r w:rsidRPr="00A00A3C">
              <w:rPr>
                <w:sz w:val="22"/>
                <w:szCs w:val="22"/>
              </w:rPr>
              <w:t xml:space="preserve"> + Darunavir (800 mg q.d.) + Ritonavir (100 mg q.d.) + Emtricitabin/tenofovirdisoproxil (200 mg/245 mg q.d.) </w:t>
            </w: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val="en-US"/>
              </w:rPr>
            </w:pPr>
            <w:r w:rsidRPr="00A00A3C">
              <w:rPr>
                <w:sz w:val="22"/>
                <w:szCs w:val="22"/>
                <w:lang w:val="en-US"/>
              </w:rPr>
              <w:t>Sofosbuvir: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eastAsia="en-GB"/>
              </w:rPr>
            </w:pPr>
            <w:r w:rsidRPr="00A00A3C">
              <w:rPr>
                <w:sz w:val="22"/>
                <w:szCs w:val="22"/>
                <w:lang w:val="en-US"/>
              </w:rPr>
              <w:t>C</w:t>
            </w:r>
            <w:r w:rsidRPr="00A00A3C">
              <w:rPr>
                <w:sz w:val="22"/>
                <w:szCs w:val="22"/>
                <w:vertAlign w:val="subscript"/>
                <w:lang w:val="en-US"/>
              </w:rPr>
              <w:t>max</w:t>
            </w:r>
            <w:r w:rsidRPr="00A00A3C">
              <w:rPr>
                <w:sz w:val="22"/>
                <w:szCs w:val="22"/>
                <w:lang w:val="en-US"/>
              </w:rPr>
              <w:t xml:space="preserve">: </w:t>
            </w:r>
            <w:r w:rsidRPr="00A00A3C">
              <w:rPr>
                <w:sz w:val="22"/>
                <w:szCs w:val="22"/>
                <w:lang w:val="en-US" w:eastAsia="en-GB"/>
              </w:rPr>
              <w:t>↓ 30%</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N/A</w:t>
            </w:r>
          </w:p>
          <w:p w:rsidR="00FC356F" w:rsidRPr="00A00A3C" w:rsidRDefault="00FC356F" w:rsidP="00FC356F">
            <w:pPr>
              <w:rPr>
                <w:sz w:val="22"/>
                <w:szCs w:val="22"/>
                <w:lang w:val="en-US"/>
              </w:rPr>
            </w:pPr>
            <w:r w:rsidRPr="00A00A3C">
              <w:rPr>
                <w:sz w:val="22"/>
                <w:szCs w:val="22"/>
                <w:lang w:val="en-US"/>
              </w:rPr>
              <w:t>GS-331007</w:t>
            </w:r>
            <w:r w:rsidRPr="00A00A3C">
              <w:rPr>
                <w:sz w:val="22"/>
                <w:szCs w:val="22"/>
                <w:vertAlign w:val="superscript"/>
                <w:lang w:val="en-US"/>
              </w:rPr>
              <w:t>2</w:t>
            </w:r>
            <w:r w:rsidRPr="00A00A3C">
              <w:rPr>
                <w:sz w:val="22"/>
                <w:szCs w:val="22"/>
                <w:lang w:val="en-US"/>
              </w:rPr>
              <w:t>:</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N/A</w:t>
            </w:r>
          </w:p>
          <w:p w:rsidR="00FC356F" w:rsidRPr="00A00A3C" w:rsidRDefault="00FC356F" w:rsidP="00FC356F">
            <w:pPr>
              <w:rPr>
                <w:sz w:val="22"/>
                <w:szCs w:val="22"/>
                <w:lang w:val="en-US" w:eastAsia="da-DK"/>
              </w:rPr>
            </w:pPr>
            <w:r w:rsidRPr="00A00A3C">
              <w:rPr>
                <w:sz w:val="22"/>
                <w:szCs w:val="22"/>
                <w:lang w:val="en-US" w:eastAsia="da-DK"/>
              </w:rPr>
              <w:t>Velpatasvir:</w:t>
            </w:r>
          </w:p>
          <w:p w:rsidR="00FC356F" w:rsidRPr="00A00A3C" w:rsidRDefault="00FC356F" w:rsidP="00FC356F">
            <w:pPr>
              <w:rPr>
                <w:sz w:val="22"/>
                <w:szCs w:val="22"/>
                <w:lang w:val="en-US" w:eastAsia="da-DK"/>
              </w:rPr>
            </w:pPr>
            <w:r w:rsidRPr="00A00A3C">
              <w:rPr>
                <w:sz w:val="22"/>
                <w:szCs w:val="22"/>
                <w:lang w:val="en-US" w:eastAsia="da-DK"/>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Voxilaprevir:</w:t>
            </w:r>
          </w:p>
          <w:p w:rsidR="00FC356F" w:rsidRPr="00A00A3C" w:rsidRDefault="00FC356F" w:rsidP="00FC356F">
            <w:pPr>
              <w:rPr>
                <w:sz w:val="22"/>
                <w:szCs w:val="22"/>
                <w:lang w:val="en-US"/>
              </w:rPr>
            </w:pPr>
            <w:r w:rsidRPr="00A00A3C">
              <w:rPr>
                <w:sz w:val="22"/>
                <w:szCs w:val="22"/>
                <w:lang w:val="en-US"/>
              </w:rPr>
              <w:t>AUC: ↑ 143%</w:t>
            </w:r>
          </w:p>
          <w:p w:rsidR="00FC356F" w:rsidRPr="00A00A3C" w:rsidRDefault="00FC356F" w:rsidP="00FC356F">
            <w:pPr>
              <w:rPr>
                <w:sz w:val="22"/>
                <w:szCs w:val="22"/>
                <w:lang w:val="en-US"/>
              </w:rPr>
            </w:pPr>
            <w:proofErr w:type="gramStart"/>
            <w:r w:rsidRPr="00A00A3C">
              <w:rPr>
                <w:sz w:val="22"/>
                <w:szCs w:val="22"/>
                <w:lang w:val="en-US"/>
              </w:rPr>
              <w:t>C</w:t>
            </w:r>
            <w:r w:rsidRPr="00A00A3C">
              <w:rPr>
                <w:sz w:val="22"/>
                <w:szCs w:val="22"/>
                <w:vertAlign w:val="subscript"/>
                <w:lang w:val="en-US"/>
              </w:rPr>
              <w:t>max</w:t>
            </w:r>
            <w:r w:rsidRPr="00A00A3C">
              <w:rPr>
                <w:sz w:val="22"/>
                <w:szCs w:val="22"/>
                <w:lang w:val="en-US"/>
              </w:rPr>
              <w:t>:↑</w:t>
            </w:r>
            <w:proofErr w:type="gramEnd"/>
            <w:r w:rsidRPr="00A00A3C">
              <w:rPr>
                <w:sz w:val="22"/>
                <w:szCs w:val="22"/>
                <w:lang w:val="en-US"/>
              </w:rPr>
              <w:t xml:space="preserve"> 72%</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300%</w:t>
            </w:r>
          </w:p>
          <w:p w:rsidR="00FC356F" w:rsidRPr="00A00A3C" w:rsidRDefault="00FC356F" w:rsidP="00FC356F">
            <w:pPr>
              <w:rPr>
                <w:sz w:val="22"/>
                <w:szCs w:val="22"/>
                <w:lang w:val="en-US"/>
              </w:rPr>
            </w:pPr>
            <w:r w:rsidRPr="00A00A3C">
              <w:rPr>
                <w:sz w:val="22"/>
                <w:szCs w:val="22"/>
                <w:lang w:val="en-US"/>
              </w:rPr>
              <w:t>Darunavir:</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34%</w:t>
            </w:r>
          </w:p>
          <w:p w:rsidR="00FC356F" w:rsidRPr="00A00A3C" w:rsidRDefault="00FC356F" w:rsidP="00FC356F">
            <w:pPr>
              <w:rPr>
                <w:sz w:val="22"/>
                <w:szCs w:val="22"/>
                <w:lang w:val="en-US"/>
              </w:rPr>
            </w:pPr>
            <w:r w:rsidRPr="00A00A3C">
              <w:rPr>
                <w:sz w:val="22"/>
                <w:szCs w:val="22"/>
                <w:lang w:val="en-US"/>
              </w:rPr>
              <w:t>Ritonavir:</w:t>
            </w:r>
          </w:p>
          <w:p w:rsidR="00FC356F" w:rsidRPr="00A00A3C" w:rsidRDefault="00FC356F" w:rsidP="00FC356F">
            <w:pPr>
              <w:rPr>
                <w:sz w:val="22"/>
                <w:szCs w:val="22"/>
                <w:lang w:val="en-US"/>
              </w:rPr>
            </w:pPr>
            <w:r w:rsidRPr="00A00A3C">
              <w:rPr>
                <w:sz w:val="22"/>
                <w:szCs w:val="22"/>
                <w:lang w:val="en-US"/>
              </w:rPr>
              <w:t>AUC: ↑ 45%</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60%</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Emtricitabin:</w:t>
            </w:r>
          </w:p>
          <w:p w:rsidR="00FC356F" w:rsidRPr="00A00A3C" w:rsidRDefault="00FC356F" w:rsidP="00FC356F">
            <w:pPr>
              <w:rPr>
                <w:sz w:val="22"/>
                <w:szCs w:val="22"/>
                <w:lang w:val="en-US" w:eastAsia="da-DK"/>
              </w:rPr>
            </w:pPr>
            <w:r w:rsidRPr="00A00A3C">
              <w:rPr>
                <w:sz w:val="22"/>
                <w:szCs w:val="22"/>
                <w:lang w:val="en-US" w:eastAsia="da-DK"/>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Rilpivirin:</w:t>
            </w:r>
          </w:p>
          <w:p w:rsidR="00FC356F" w:rsidRPr="00A00A3C" w:rsidRDefault="00FC356F" w:rsidP="00FC356F">
            <w:pPr>
              <w:rPr>
                <w:sz w:val="22"/>
                <w:szCs w:val="22"/>
                <w:lang w:val="en-US"/>
              </w:rPr>
            </w:pPr>
            <w:r w:rsidRPr="00A00A3C">
              <w:rPr>
                <w:sz w:val="22"/>
                <w:szCs w:val="22"/>
                <w:lang w:val="en-US"/>
              </w:rPr>
              <w:t>AUC: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w:t>
            </w:r>
          </w:p>
          <w:p w:rsidR="00FC356F" w:rsidRPr="00A00A3C" w:rsidRDefault="00FC356F" w:rsidP="00FC356F">
            <w:pPr>
              <w:rPr>
                <w:sz w:val="22"/>
                <w:szCs w:val="22"/>
                <w:lang w:val="en-US"/>
              </w:rPr>
            </w:pPr>
            <w:r w:rsidRPr="00A00A3C">
              <w:rPr>
                <w:sz w:val="22"/>
                <w:szCs w:val="22"/>
                <w:lang w:val="en-US"/>
              </w:rPr>
              <w:t>Tenofovir:</w:t>
            </w:r>
          </w:p>
          <w:p w:rsidR="00FC356F" w:rsidRPr="00A00A3C" w:rsidRDefault="00FC356F" w:rsidP="00FC356F">
            <w:pPr>
              <w:rPr>
                <w:sz w:val="22"/>
                <w:szCs w:val="22"/>
                <w:lang w:val="en-US"/>
              </w:rPr>
            </w:pPr>
            <w:r w:rsidRPr="00A00A3C">
              <w:rPr>
                <w:sz w:val="22"/>
                <w:szCs w:val="22"/>
                <w:lang w:val="en-US"/>
              </w:rPr>
              <w:t>AUC: ↑ 40 % (↑ 34 til ↑ 46)</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 44 % (↑ 33 til ↑ 55)</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min</w:t>
            </w:r>
            <w:r w:rsidRPr="00A00A3C">
              <w:rPr>
                <w:sz w:val="22"/>
                <w:szCs w:val="22"/>
                <w:lang w:val="en-US"/>
              </w:rPr>
              <w:t>: ↑ 84 % (↑ 76 til ↑ 92)</w:t>
            </w:r>
          </w:p>
        </w:tc>
        <w:tc>
          <w:tcPr>
            <w:tcW w:w="1741"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pStyle w:val="Default"/>
              <w:rPr>
                <w:sz w:val="22"/>
                <w:szCs w:val="22"/>
                <w:lang w:val="da-DK"/>
              </w:rPr>
            </w:pPr>
            <w:r w:rsidRPr="00A00A3C">
              <w:rPr>
                <w:sz w:val="22"/>
                <w:szCs w:val="22"/>
                <w:lang w:val="da-DK"/>
              </w:rPr>
              <w:t xml:space="preserve">Øget plasmakoncentration af tenofovir som følge af samtidig administration af tenofovirdisoproxil, sofosbuvir/velpatasvir/voxilaprevir og darunavir/ritonavir kan øge risikoen for bivirkninger relateret til tenofovirdisoproxil, herunder nyrerelaterede bivirkninger. Sikkerheden af tenofovirdisoproxil sammen med sofosbuvir/velpatasvir/voxilaprevir og en farmakokinetisk booster (f.eks. ritonavir eller cobicistat) er ikke klarlagt. </w:t>
            </w:r>
          </w:p>
          <w:p w:rsidR="00FC356F" w:rsidRPr="00A00A3C" w:rsidRDefault="00FC356F" w:rsidP="00FC356F">
            <w:pPr>
              <w:pStyle w:val="Default"/>
              <w:rPr>
                <w:sz w:val="22"/>
                <w:szCs w:val="22"/>
                <w:lang w:val="da-DK"/>
              </w:rPr>
            </w:pPr>
          </w:p>
          <w:p w:rsidR="00FC356F" w:rsidRPr="00A00A3C" w:rsidRDefault="00FC356F" w:rsidP="00FC356F">
            <w:pPr>
              <w:rPr>
                <w:rFonts w:ascii="Arial" w:hAnsi="Arial"/>
                <w:sz w:val="22"/>
                <w:szCs w:val="22"/>
              </w:rPr>
            </w:pPr>
            <w:r w:rsidRPr="00A00A3C">
              <w:rPr>
                <w:sz w:val="22"/>
                <w:szCs w:val="22"/>
              </w:rPr>
              <w:t xml:space="preserve">Kombinationen skal anvendes med forsigtighed og med hyppig monitorering af nyrefunktionen (se pkt. 4.4). </w:t>
            </w:r>
          </w:p>
          <w:p w:rsidR="00FC356F" w:rsidRPr="00A00A3C" w:rsidRDefault="00FC356F" w:rsidP="00FC356F">
            <w:pPr>
              <w:rPr>
                <w:sz w:val="22"/>
                <w:szCs w:val="22"/>
                <w:lang w:eastAsia="da-DK"/>
              </w:rPr>
            </w:pP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eastAsia="en-GB"/>
              </w:rPr>
            </w:pPr>
            <w:r w:rsidRPr="00A00A3C">
              <w:rPr>
                <w:sz w:val="22"/>
                <w:szCs w:val="22"/>
                <w:lang w:eastAsia="en-GB"/>
              </w:rPr>
              <w:t xml:space="preserve">Sofosbuvir </w:t>
            </w:r>
          </w:p>
          <w:p w:rsidR="00FC356F" w:rsidRPr="00A00A3C" w:rsidRDefault="00FC356F" w:rsidP="00FC356F">
            <w:pPr>
              <w:rPr>
                <w:sz w:val="22"/>
                <w:szCs w:val="22"/>
                <w:lang w:eastAsia="en-GB"/>
              </w:rPr>
            </w:pPr>
            <w:r w:rsidRPr="00A00A3C">
              <w:rPr>
                <w:sz w:val="22"/>
                <w:szCs w:val="22"/>
                <w:lang w:eastAsia="en-GB"/>
              </w:rPr>
              <w:t xml:space="preserve">(400 mg q.d.) + </w:t>
            </w:r>
          </w:p>
          <w:p w:rsidR="00FC356F" w:rsidRPr="00A00A3C" w:rsidRDefault="00FC356F" w:rsidP="00FC356F">
            <w:pPr>
              <w:rPr>
                <w:sz w:val="22"/>
                <w:szCs w:val="22"/>
                <w:lang w:eastAsia="en-GB"/>
              </w:rPr>
            </w:pPr>
            <w:r w:rsidRPr="00A00A3C">
              <w:rPr>
                <w:sz w:val="22"/>
                <w:szCs w:val="22"/>
                <w:lang w:eastAsia="en-GB"/>
              </w:rPr>
              <w:t xml:space="preserve">Efavirenz/emtricitabin/ tenofovirdisoproxil </w:t>
            </w:r>
          </w:p>
          <w:p w:rsidR="00FC356F" w:rsidRPr="00A00A3C" w:rsidRDefault="00FC356F" w:rsidP="00FC356F">
            <w:pPr>
              <w:rPr>
                <w:sz w:val="22"/>
                <w:szCs w:val="22"/>
                <w:lang w:eastAsia="en-GB"/>
              </w:rPr>
            </w:pPr>
            <w:r w:rsidRPr="00A00A3C">
              <w:rPr>
                <w:sz w:val="22"/>
                <w:szCs w:val="22"/>
                <w:lang w:eastAsia="en-GB"/>
              </w:rPr>
              <w:t xml:space="preserve">(600 mg/200 mg/245 mg q.d.) </w:t>
            </w:r>
          </w:p>
          <w:p w:rsidR="00FC356F" w:rsidRPr="00A00A3C" w:rsidRDefault="00FC356F" w:rsidP="00FC356F">
            <w:pPr>
              <w:rPr>
                <w:sz w:val="22"/>
                <w:szCs w:val="22"/>
                <w:lang w:eastAsia="en-GB"/>
              </w:rPr>
            </w:pPr>
          </w:p>
        </w:tc>
        <w:tc>
          <w:tcPr>
            <w:tcW w:w="1411"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lang w:eastAsia="en-GB"/>
              </w:rPr>
            </w:pPr>
            <w:r w:rsidRPr="00A00A3C">
              <w:rPr>
                <w:sz w:val="22"/>
                <w:szCs w:val="22"/>
                <w:lang w:eastAsia="en-GB"/>
              </w:rPr>
              <w:t xml:space="preserve">Sofosbuvir: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xml:space="preserve">: ↓ 19 % (↓ 40 til ↑ 10) </w:t>
            </w:r>
          </w:p>
          <w:p w:rsidR="00FC356F" w:rsidRPr="00A00A3C" w:rsidRDefault="00FC356F" w:rsidP="00FC356F">
            <w:pPr>
              <w:rPr>
                <w:sz w:val="22"/>
                <w:szCs w:val="22"/>
                <w:lang w:eastAsia="en-GB"/>
              </w:rPr>
            </w:pPr>
            <w:r w:rsidRPr="00A00A3C">
              <w:rPr>
                <w:sz w:val="22"/>
                <w:szCs w:val="22"/>
                <w:lang w:eastAsia="en-GB"/>
              </w:rPr>
              <w:t>GS-331007</w:t>
            </w:r>
            <w:r w:rsidRPr="00A00A3C">
              <w:rPr>
                <w:sz w:val="22"/>
                <w:szCs w:val="22"/>
                <w:vertAlign w:val="superscript"/>
                <w:lang w:eastAsia="en-GB"/>
              </w:rPr>
              <w:t>2</w:t>
            </w:r>
            <w:r w:rsidRPr="00A00A3C">
              <w:rPr>
                <w:sz w:val="22"/>
                <w:szCs w:val="22"/>
                <w:lang w:eastAsia="en-GB"/>
              </w:rPr>
              <w:t xml:space="preserve">: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xml:space="preserve">: ↓ 23 % (↓ 30 til ↑ 16) </w:t>
            </w:r>
          </w:p>
          <w:p w:rsidR="00FC356F" w:rsidRPr="00A00A3C" w:rsidRDefault="00FC356F" w:rsidP="00FC356F">
            <w:pPr>
              <w:rPr>
                <w:sz w:val="22"/>
                <w:szCs w:val="22"/>
                <w:lang w:eastAsia="en-GB"/>
              </w:rPr>
            </w:pPr>
            <w:r w:rsidRPr="00A00A3C">
              <w:rPr>
                <w:sz w:val="22"/>
                <w:szCs w:val="22"/>
                <w:lang w:eastAsia="en-GB"/>
              </w:rPr>
              <w:t xml:space="preserve">Efavirenz: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lastRenderedPageBreak/>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Emtricitabin: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r w:rsidRPr="00A00A3C">
              <w:rPr>
                <w:sz w:val="22"/>
                <w:szCs w:val="22"/>
                <w:lang w:eastAsia="en-GB"/>
              </w:rPr>
              <w:t xml:space="preserve">Tenofovir: </w:t>
            </w:r>
          </w:p>
          <w:p w:rsidR="00FC356F" w:rsidRPr="00A00A3C" w:rsidRDefault="00FC356F" w:rsidP="00FC356F">
            <w:pPr>
              <w:rPr>
                <w:sz w:val="22"/>
                <w:szCs w:val="22"/>
                <w:lang w:eastAsia="en-GB"/>
              </w:rPr>
            </w:pPr>
            <w:r w:rsidRPr="00A00A3C">
              <w:rPr>
                <w:sz w:val="22"/>
                <w:szCs w:val="22"/>
                <w:lang w:eastAsia="en-GB"/>
              </w:rPr>
              <w:t>AUC: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xml:space="preserve">: ↑ 25 % (↑ 8 til ↑ 45)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min</w:t>
            </w:r>
            <w:r w:rsidRPr="00A00A3C">
              <w:rPr>
                <w:sz w:val="22"/>
                <w:szCs w:val="22"/>
                <w:lang w:eastAsia="en-GB"/>
              </w:rPr>
              <w:t>: ↔</w:t>
            </w:r>
          </w:p>
          <w:p w:rsidR="00FC356F" w:rsidRPr="00A00A3C" w:rsidRDefault="00FC356F" w:rsidP="00FC356F">
            <w:pPr>
              <w:rPr>
                <w:sz w:val="22"/>
                <w:szCs w:val="22"/>
                <w:lang w:eastAsia="en-GB"/>
              </w:rPr>
            </w:pP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lastRenderedPageBreak/>
              <w:t>Ingen dosisjustering er anbefalet.</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en-GB"/>
              </w:rPr>
            </w:pPr>
            <w:r w:rsidRPr="00A00A3C">
              <w:rPr>
                <w:sz w:val="22"/>
                <w:szCs w:val="22"/>
                <w:lang w:eastAsia="en-GB"/>
              </w:rPr>
              <w:t>Ribavirin/tenofovirdisoproxil</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rPr>
            </w:pPr>
            <w:r w:rsidRPr="00A00A3C">
              <w:rPr>
                <w:sz w:val="22"/>
                <w:szCs w:val="22"/>
                <w:lang w:val="en-US"/>
              </w:rPr>
              <w:t>Ribavirin:</w:t>
            </w:r>
          </w:p>
          <w:p w:rsidR="00FC356F" w:rsidRPr="00A00A3C" w:rsidRDefault="00FC356F" w:rsidP="00FC356F">
            <w:pPr>
              <w:rPr>
                <w:sz w:val="22"/>
                <w:szCs w:val="22"/>
                <w:lang w:val="en-US"/>
              </w:rPr>
            </w:pPr>
            <w:r w:rsidRPr="00A00A3C">
              <w:rPr>
                <w:sz w:val="22"/>
                <w:szCs w:val="22"/>
                <w:lang w:val="en-US"/>
              </w:rPr>
              <w:t xml:space="preserve">AUC: ↑ 26 % </w:t>
            </w:r>
            <w:proofErr w:type="gramStart"/>
            <w:r w:rsidRPr="00A00A3C">
              <w:rPr>
                <w:sz w:val="22"/>
                <w:szCs w:val="22"/>
                <w:lang w:val="en-US"/>
              </w:rPr>
              <w:t>(  20</w:t>
            </w:r>
            <w:proofErr w:type="gramEnd"/>
            <w:r w:rsidRPr="00A00A3C">
              <w:rPr>
                <w:sz w:val="22"/>
                <w:szCs w:val="22"/>
                <w:lang w:val="en-US"/>
              </w:rPr>
              <w:t xml:space="preserve"> to ↑ 32)</w:t>
            </w:r>
          </w:p>
          <w:p w:rsidR="00FC356F" w:rsidRPr="00A00A3C" w:rsidRDefault="00FC356F" w:rsidP="00FC356F">
            <w:pPr>
              <w:rPr>
                <w:sz w:val="22"/>
                <w:szCs w:val="22"/>
                <w:lang w:val="en-US"/>
              </w:rPr>
            </w:pPr>
            <w:r w:rsidRPr="00A00A3C">
              <w:rPr>
                <w:sz w:val="22"/>
                <w:szCs w:val="22"/>
                <w:lang w:val="en-US"/>
              </w:rPr>
              <w:t>C</w:t>
            </w:r>
            <w:r w:rsidRPr="00A00A3C">
              <w:rPr>
                <w:sz w:val="22"/>
                <w:szCs w:val="22"/>
                <w:vertAlign w:val="subscript"/>
                <w:lang w:val="en-US"/>
              </w:rPr>
              <w:t>max</w:t>
            </w:r>
            <w:r w:rsidRPr="00A00A3C">
              <w:rPr>
                <w:sz w:val="22"/>
                <w:szCs w:val="22"/>
                <w:lang w:val="en-US"/>
              </w:rPr>
              <w:t xml:space="preserve">: ↓ 5 % </w:t>
            </w:r>
            <w:proofErr w:type="gramStart"/>
            <w:r w:rsidRPr="00A00A3C">
              <w:rPr>
                <w:sz w:val="22"/>
                <w:szCs w:val="22"/>
                <w:lang w:val="en-US"/>
              </w:rPr>
              <w:t>(  11</w:t>
            </w:r>
            <w:proofErr w:type="gramEnd"/>
            <w:r w:rsidRPr="00A00A3C">
              <w:rPr>
                <w:sz w:val="22"/>
                <w:szCs w:val="22"/>
                <w:lang w:val="en-US"/>
              </w:rPr>
              <w:t xml:space="preserve"> to ↑ 1)</w:t>
            </w:r>
          </w:p>
          <w:p w:rsidR="00FC356F" w:rsidRPr="00A00A3C" w:rsidRDefault="00FC356F" w:rsidP="00FC356F">
            <w:pPr>
              <w:rPr>
                <w:sz w:val="22"/>
                <w:szCs w:val="22"/>
                <w:lang w:val="en-US" w:eastAsia="en-GB"/>
              </w:rPr>
            </w:pPr>
            <w:r w:rsidRPr="00A00A3C">
              <w:rPr>
                <w:sz w:val="22"/>
                <w:szCs w:val="22"/>
                <w:lang w:val="en-US"/>
              </w:rPr>
              <w:t>C</w:t>
            </w:r>
            <w:r w:rsidRPr="00A00A3C">
              <w:rPr>
                <w:sz w:val="22"/>
                <w:szCs w:val="22"/>
                <w:vertAlign w:val="subscript"/>
                <w:lang w:val="en-US"/>
              </w:rPr>
              <w:t>min</w:t>
            </w:r>
            <w:r w:rsidRPr="00A00A3C">
              <w:rPr>
                <w:sz w:val="22"/>
                <w:szCs w:val="22"/>
                <w:lang w:val="en-US"/>
              </w:rPr>
              <w:t>: IB</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Dosisjustering af ribavirin er ikke nødvendig.</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Antivirale midler mod herpesvirus</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en-GB"/>
              </w:rPr>
            </w:pPr>
            <w:r w:rsidRPr="00A00A3C">
              <w:rPr>
                <w:sz w:val="22"/>
                <w:szCs w:val="22"/>
                <w:lang w:eastAsia="en-GB"/>
              </w:rPr>
              <w:t>Famciclovir/emtricitabin</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en-GB"/>
              </w:rPr>
            </w:pPr>
            <w:r w:rsidRPr="00A00A3C">
              <w:rPr>
                <w:sz w:val="22"/>
                <w:szCs w:val="22"/>
                <w:lang w:eastAsia="en-GB"/>
              </w:rPr>
              <w:t>Famciclovir:</w:t>
            </w:r>
          </w:p>
          <w:p w:rsidR="00FC356F" w:rsidRPr="00A00A3C" w:rsidRDefault="00FC356F" w:rsidP="00FC356F">
            <w:pPr>
              <w:rPr>
                <w:sz w:val="22"/>
                <w:szCs w:val="22"/>
                <w:lang w:eastAsia="en-GB"/>
              </w:rPr>
            </w:pPr>
            <w:r w:rsidRPr="00A00A3C">
              <w:rPr>
                <w:sz w:val="22"/>
                <w:szCs w:val="22"/>
                <w:lang w:eastAsia="en-GB"/>
              </w:rPr>
              <w:t xml:space="preserve">AUC: ↓ 9 % </w:t>
            </w:r>
            <w:r w:rsidRPr="00A00A3C">
              <w:rPr>
                <w:color w:val="000000"/>
                <w:sz w:val="22"/>
                <w:szCs w:val="22"/>
                <w:lang w:eastAsia="en-GB"/>
              </w:rPr>
              <w:t xml:space="preserve">(↓ 16 to ↓ 1) </w:t>
            </w:r>
          </w:p>
          <w:p w:rsidR="00FC356F" w:rsidRPr="00A00A3C" w:rsidRDefault="00FC356F" w:rsidP="00FC356F">
            <w:pPr>
              <w:rPr>
                <w:sz w:val="22"/>
                <w:szCs w:val="22"/>
                <w:lang w:eastAsia="en-GB"/>
              </w:rPr>
            </w:pPr>
            <w:r w:rsidRPr="00A00A3C">
              <w:rPr>
                <w:sz w:val="22"/>
                <w:szCs w:val="22"/>
                <w:lang w:eastAsia="en-GB"/>
              </w:rPr>
              <w:t>C</w:t>
            </w:r>
            <w:r w:rsidRPr="00A00A3C">
              <w:rPr>
                <w:sz w:val="22"/>
                <w:szCs w:val="22"/>
                <w:vertAlign w:val="subscript"/>
                <w:lang w:eastAsia="en-GB"/>
              </w:rPr>
              <w:t>max</w:t>
            </w:r>
            <w:r w:rsidRPr="00A00A3C">
              <w:rPr>
                <w:sz w:val="22"/>
                <w:szCs w:val="22"/>
                <w:lang w:eastAsia="en-GB"/>
              </w:rPr>
              <w:t xml:space="preserve">: ↓ 7 % </w:t>
            </w:r>
            <w:r w:rsidRPr="00A00A3C">
              <w:rPr>
                <w:color w:val="000000"/>
                <w:sz w:val="22"/>
                <w:szCs w:val="22"/>
                <w:lang w:eastAsia="en-GB"/>
              </w:rPr>
              <w:t xml:space="preserve">(↓ 22 to ↑ 11) </w:t>
            </w:r>
            <w:r w:rsidRPr="00A00A3C">
              <w:rPr>
                <w:color w:val="000000"/>
                <w:sz w:val="22"/>
                <w:szCs w:val="22"/>
                <w:lang w:eastAsia="en-GB"/>
              </w:rPr>
              <w:br/>
            </w:r>
            <w:r w:rsidRPr="00A00A3C">
              <w:rPr>
                <w:sz w:val="22"/>
                <w:szCs w:val="22"/>
                <w:lang w:eastAsia="en-GB"/>
              </w:rPr>
              <w:t>C</w:t>
            </w:r>
            <w:r w:rsidRPr="00A00A3C">
              <w:rPr>
                <w:sz w:val="22"/>
                <w:szCs w:val="22"/>
                <w:vertAlign w:val="subscript"/>
                <w:lang w:eastAsia="en-GB"/>
              </w:rPr>
              <w:t>min</w:t>
            </w:r>
            <w:r w:rsidRPr="00A00A3C">
              <w:rPr>
                <w:sz w:val="22"/>
                <w:szCs w:val="22"/>
                <w:lang w:eastAsia="en-GB"/>
              </w:rPr>
              <w:t>: IB</w:t>
            </w:r>
          </w:p>
          <w:p w:rsidR="00FC356F" w:rsidRPr="00A00A3C" w:rsidRDefault="00FC356F" w:rsidP="00FC356F">
            <w:pPr>
              <w:rPr>
                <w:sz w:val="22"/>
                <w:szCs w:val="22"/>
                <w:lang w:val="en-US" w:eastAsia="en-GB"/>
              </w:rPr>
            </w:pPr>
            <w:r w:rsidRPr="00A00A3C">
              <w:rPr>
                <w:sz w:val="22"/>
                <w:szCs w:val="22"/>
                <w:lang w:val="en-US" w:eastAsia="en-GB"/>
              </w:rPr>
              <w:t>Emtricitabin:</w:t>
            </w:r>
          </w:p>
          <w:p w:rsidR="00FC356F" w:rsidRPr="00A00A3C" w:rsidRDefault="00FC356F" w:rsidP="00FC356F">
            <w:pPr>
              <w:rPr>
                <w:color w:val="000000"/>
                <w:sz w:val="22"/>
                <w:szCs w:val="22"/>
                <w:lang w:val="en-US" w:eastAsia="en-GB"/>
              </w:rPr>
            </w:pPr>
            <w:r w:rsidRPr="00A00A3C">
              <w:rPr>
                <w:sz w:val="22"/>
                <w:szCs w:val="22"/>
                <w:lang w:val="en-US" w:eastAsia="en-GB"/>
              </w:rPr>
              <w:t xml:space="preserve">AUC: ↓ 7 % </w:t>
            </w:r>
            <w:r w:rsidRPr="00A00A3C">
              <w:rPr>
                <w:color w:val="000000"/>
                <w:sz w:val="22"/>
                <w:szCs w:val="22"/>
                <w:lang w:val="en-US" w:eastAsia="en-GB"/>
              </w:rPr>
              <w:t xml:space="preserve">(↓ 13 to ↓ 1) </w:t>
            </w:r>
            <w:r w:rsidRPr="00A00A3C">
              <w:rPr>
                <w:color w:val="000000"/>
                <w:sz w:val="22"/>
                <w:szCs w:val="22"/>
                <w:lang w:val="en-US" w:eastAsia="en-GB"/>
              </w:rPr>
              <w:br/>
              <w:t>C</w:t>
            </w:r>
            <w:r w:rsidRPr="00A00A3C">
              <w:rPr>
                <w:color w:val="000000"/>
                <w:sz w:val="22"/>
                <w:szCs w:val="22"/>
                <w:vertAlign w:val="subscript"/>
                <w:lang w:val="en-US" w:eastAsia="en-GB"/>
              </w:rPr>
              <w:t>max</w:t>
            </w:r>
            <w:r w:rsidRPr="00A00A3C">
              <w:rPr>
                <w:color w:val="000000"/>
                <w:sz w:val="22"/>
                <w:szCs w:val="22"/>
                <w:lang w:val="en-US" w:eastAsia="en-GB"/>
              </w:rPr>
              <w:t xml:space="preserve">: ↓ 11% (↓ 20 to ↑ 1) </w:t>
            </w:r>
          </w:p>
          <w:p w:rsidR="00FC356F" w:rsidRPr="00A00A3C" w:rsidRDefault="00FC356F" w:rsidP="00FC356F">
            <w:pPr>
              <w:rPr>
                <w:sz w:val="22"/>
                <w:szCs w:val="22"/>
                <w:lang w:val="en-US"/>
              </w:rPr>
            </w:pPr>
            <w:r w:rsidRPr="00A00A3C">
              <w:rPr>
                <w:color w:val="000000"/>
                <w:sz w:val="22"/>
                <w:szCs w:val="22"/>
                <w:lang w:val="en-US" w:eastAsia="en-GB"/>
              </w:rPr>
              <w:t>C</w:t>
            </w:r>
            <w:r w:rsidRPr="00A00A3C">
              <w:rPr>
                <w:color w:val="000000"/>
                <w:sz w:val="22"/>
                <w:szCs w:val="22"/>
                <w:vertAlign w:val="subscript"/>
                <w:lang w:val="en-US" w:eastAsia="en-GB"/>
              </w:rPr>
              <w:t>min</w:t>
            </w:r>
            <w:r w:rsidRPr="00A00A3C">
              <w:rPr>
                <w:color w:val="000000"/>
                <w:sz w:val="22"/>
                <w:szCs w:val="22"/>
                <w:lang w:val="en-US" w:eastAsia="en-GB"/>
              </w:rPr>
              <w:t>: NC</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lang w:eastAsia="da-DK"/>
              </w:rPr>
              <w:t>Dosisjustering af famciclovir er ikke nødvendig.</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lang w:eastAsia="en-GB"/>
              </w:rPr>
              <w:t>Antimykobakterielle midler</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en-GB"/>
              </w:rPr>
            </w:pPr>
            <w:r w:rsidRPr="00A00A3C">
              <w:rPr>
                <w:sz w:val="22"/>
                <w:szCs w:val="22"/>
                <w:lang w:eastAsia="da-DK"/>
              </w:rPr>
              <w:t>Rifampicin/tenofovirdisoproxil</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eastAsia="da-DK"/>
              </w:rPr>
            </w:pPr>
            <w:r w:rsidRPr="00A00A3C">
              <w:rPr>
                <w:sz w:val="22"/>
                <w:szCs w:val="22"/>
                <w:lang w:val="en-US" w:eastAsia="da-DK"/>
              </w:rPr>
              <w:t>Tenofovir:</w:t>
            </w:r>
          </w:p>
          <w:p w:rsidR="00FC356F" w:rsidRPr="00A00A3C" w:rsidRDefault="00FC356F" w:rsidP="00FC356F">
            <w:pPr>
              <w:rPr>
                <w:sz w:val="22"/>
                <w:szCs w:val="22"/>
                <w:lang w:val="en-US" w:eastAsia="da-DK"/>
              </w:rPr>
            </w:pPr>
            <w:r w:rsidRPr="00A00A3C">
              <w:rPr>
                <w:sz w:val="22"/>
                <w:szCs w:val="22"/>
                <w:lang w:val="en-US" w:eastAsia="da-DK"/>
              </w:rPr>
              <w:t xml:space="preserve">AUC: ↓ 12 % </w:t>
            </w:r>
            <w:r w:rsidRPr="00A00A3C">
              <w:rPr>
                <w:color w:val="000000"/>
                <w:sz w:val="22"/>
                <w:szCs w:val="22"/>
                <w:lang w:val="en-US" w:eastAsia="en-GB"/>
              </w:rPr>
              <w:t xml:space="preserve">(↓ 16 to ↓ 8) </w:t>
            </w:r>
          </w:p>
          <w:p w:rsidR="00FC356F" w:rsidRPr="00A00A3C" w:rsidRDefault="00FC356F" w:rsidP="00FC356F">
            <w:pPr>
              <w:rPr>
                <w:sz w:val="22"/>
                <w:szCs w:val="22"/>
                <w:lang w:val="en-US" w:eastAsia="da-DK"/>
              </w:rPr>
            </w:pPr>
            <w:r w:rsidRPr="00A00A3C">
              <w:rPr>
                <w:sz w:val="22"/>
                <w:szCs w:val="22"/>
                <w:lang w:val="en-US" w:eastAsia="da-DK"/>
              </w:rPr>
              <w:t>C</w:t>
            </w:r>
            <w:r w:rsidRPr="00A00A3C">
              <w:rPr>
                <w:sz w:val="22"/>
                <w:szCs w:val="22"/>
                <w:vertAlign w:val="subscript"/>
                <w:lang w:val="en-US" w:eastAsia="da-DK"/>
              </w:rPr>
              <w:t>max</w:t>
            </w:r>
            <w:r w:rsidRPr="00A00A3C">
              <w:rPr>
                <w:sz w:val="22"/>
                <w:szCs w:val="22"/>
                <w:lang w:val="en-US" w:eastAsia="da-DK"/>
              </w:rPr>
              <w:t xml:space="preserve">: ↓ 16 % </w:t>
            </w:r>
            <w:r w:rsidRPr="00A00A3C">
              <w:rPr>
                <w:color w:val="000000"/>
                <w:sz w:val="22"/>
                <w:szCs w:val="22"/>
                <w:lang w:val="en-US" w:eastAsia="en-GB"/>
              </w:rPr>
              <w:t xml:space="preserve">(↓ 22 to ↓ 10) </w:t>
            </w:r>
          </w:p>
          <w:p w:rsidR="00FC356F" w:rsidRPr="00A00A3C" w:rsidRDefault="00FC356F" w:rsidP="00FC356F">
            <w:pPr>
              <w:rPr>
                <w:sz w:val="22"/>
                <w:szCs w:val="22"/>
                <w:lang w:eastAsia="da-DK"/>
              </w:rPr>
            </w:pPr>
            <w:r w:rsidRPr="00A00A3C">
              <w:rPr>
                <w:sz w:val="22"/>
                <w:szCs w:val="22"/>
                <w:lang w:eastAsia="da-DK"/>
              </w:rPr>
              <w:t>C</w:t>
            </w:r>
            <w:r w:rsidRPr="00A00A3C">
              <w:rPr>
                <w:sz w:val="22"/>
                <w:szCs w:val="22"/>
                <w:vertAlign w:val="subscript"/>
                <w:lang w:eastAsia="da-DK"/>
              </w:rPr>
              <w:t>min</w:t>
            </w:r>
            <w:r w:rsidRPr="00A00A3C">
              <w:rPr>
                <w:sz w:val="22"/>
                <w:szCs w:val="22"/>
                <w:lang w:eastAsia="da-DK"/>
              </w:rPr>
              <w:t xml:space="preserve">: ↓ 15 % </w:t>
            </w:r>
            <w:r w:rsidRPr="00A00A3C">
              <w:rPr>
                <w:color w:val="000000"/>
                <w:sz w:val="22"/>
                <w:szCs w:val="22"/>
                <w:lang w:eastAsia="en-GB"/>
              </w:rPr>
              <w:t xml:space="preserve">(↓ 12 to ↓ 9) </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t>Dosisjustering er ikke nødvendig.</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bCs/>
                <w:i/>
                <w:iCs/>
                <w:sz w:val="22"/>
                <w:szCs w:val="22"/>
                <w:lang w:eastAsia="da-DK"/>
              </w:rPr>
              <w:t>ORALE KONTRACEPTIVA</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t>Norgestimat/ethinylestradiol/</w:t>
            </w:r>
          </w:p>
          <w:p w:rsidR="00FC356F" w:rsidRPr="00A00A3C" w:rsidRDefault="00FC356F" w:rsidP="00FC356F">
            <w:pPr>
              <w:rPr>
                <w:sz w:val="22"/>
                <w:szCs w:val="22"/>
                <w:lang w:eastAsia="en-GB"/>
              </w:rPr>
            </w:pPr>
            <w:r w:rsidRPr="00A00A3C">
              <w:rPr>
                <w:sz w:val="22"/>
                <w:szCs w:val="22"/>
                <w:lang w:eastAsia="da-DK"/>
              </w:rPr>
              <w:t>tenofovirdisoproxil</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nb-NO" w:eastAsia="da-DK"/>
              </w:rPr>
            </w:pPr>
            <w:r w:rsidRPr="00A00A3C">
              <w:rPr>
                <w:sz w:val="22"/>
                <w:szCs w:val="22"/>
                <w:lang w:val="nb-NO" w:eastAsia="da-DK"/>
              </w:rPr>
              <w:t>Norgestimat:</w:t>
            </w:r>
          </w:p>
          <w:p w:rsidR="00FC356F" w:rsidRPr="00A00A3C" w:rsidRDefault="00FC356F" w:rsidP="00FC356F">
            <w:pPr>
              <w:rPr>
                <w:sz w:val="22"/>
                <w:szCs w:val="22"/>
                <w:lang w:val="nb-NO" w:eastAsia="da-DK"/>
              </w:rPr>
            </w:pPr>
            <w:r w:rsidRPr="00A00A3C">
              <w:rPr>
                <w:sz w:val="22"/>
                <w:szCs w:val="22"/>
                <w:lang w:val="nb-NO" w:eastAsia="da-DK"/>
              </w:rPr>
              <w:t xml:space="preserve">AUC: ↓ 4 % </w:t>
            </w:r>
            <w:r w:rsidRPr="00A00A3C">
              <w:rPr>
                <w:color w:val="000000"/>
                <w:sz w:val="22"/>
                <w:szCs w:val="22"/>
                <w:lang w:val="en-US" w:eastAsia="en-GB"/>
              </w:rPr>
              <w:t xml:space="preserve">(↓ 32 to ↑ 34) </w:t>
            </w:r>
          </w:p>
          <w:p w:rsidR="00FC356F" w:rsidRPr="00A00A3C" w:rsidRDefault="00FC356F" w:rsidP="00FC356F">
            <w:pPr>
              <w:rPr>
                <w:sz w:val="22"/>
                <w:szCs w:val="22"/>
                <w:lang w:val="nb-NO" w:eastAsia="da-DK"/>
              </w:rPr>
            </w:pPr>
            <w:r w:rsidRPr="00A00A3C">
              <w:rPr>
                <w:sz w:val="22"/>
                <w:szCs w:val="22"/>
                <w:lang w:val="nb-NO" w:eastAsia="da-DK"/>
              </w:rPr>
              <w:t>C</w:t>
            </w:r>
            <w:r w:rsidRPr="00A00A3C">
              <w:rPr>
                <w:sz w:val="22"/>
                <w:szCs w:val="22"/>
                <w:vertAlign w:val="subscript"/>
                <w:lang w:val="nb-NO" w:eastAsia="da-DK"/>
              </w:rPr>
              <w:t>max</w:t>
            </w:r>
            <w:r w:rsidRPr="00A00A3C">
              <w:rPr>
                <w:sz w:val="22"/>
                <w:szCs w:val="22"/>
                <w:lang w:val="nb-NO" w:eastAsia="da-DK"/>
              </w:rPr>
              <w:t xml:space="preserve">: ↓ 5 % </w:t>
            </w:r>
            <w:r w:rsidRPr="00A00A3C">
              <w:rPr>
                <w:color w:val="000000"/>
                <w:sz w:val="22"/>
                <w:szCs w:val="22"/>
                <w:lang w:val="en-US" w:eastAsia="en-GB"/>
              </w:rPr>
              <w:t xml:space="preserve">(↓ 27 to ↑ 24) </w:t>
            </w:r>
          </w:p>
          <w:p w:rsidR="00FC356F" w:rsidRPr="00A00A3C" w:rsidRDefault="00FC356F" w:rsidP="00FC356F">
            <w:pPr>
              <w:rPr>
                <w:sz w:val="22"/>
                <w:szCs w:val="22"/>
                <w:lang w:val="nb-NO" w:eastAsia="da-DK"/>
              </w:rPr>
            </w:pPr>
            <w:r w:rsidRPr="00A00A3C">
              <w:rPr>
                <w:sz w:val="22"/>
                <w:szCs w:val="22"/>
                <w:lang w:val="nb-NO" w:eastAsia="da-DK"/>
              </w:rPr>
              <w:t>C</w:t>
            </w:r>
            <w:r w:rsidRPr="00A00A3C">
              <w:rPr>
                <w:sz w:val="22"/>
                <w:szCs w:val="22"/>
                <w:vertAlign w:val="subscript"/>
                <w:lang w:val="nb-NO" w:eastAsia="da-DK"/>
              </w:rPr>
              <w:t>min</w:t>
            </w:r>
            <w:r w:rsidRPr="00A00A3C">
              <w:rPr>
                <w:sz w:val="22"/>
                <w:szCs w:val="22"/>
                <w:lang w:val="nb-NO" w:eastAsia="da-DK"/>
              </w:rPr>
              <w:t>: IB</w:t>
            </w:r>
          </w:p>
          <w:p w:rsidR="00FC356F" w:rsidRPr="00A00A3C" w:rsidRDefault="00FC356F" w:rsidP="00FC356F">
            <w:pPr>
              <w:rPr>
                <w:sz w:val="22"/>
                <w:szCs w:val="22"/>
                <w:lang w:val="nb-NO" w:eastAsia="da-DK"/>
              </w:rPr>
            </w:pPr>
            <w:r w:rsidRPr="00A00A3C">
              <w:rPr>
                <w:sz w:val="22"/>
                <w:szCs w:val="22"/>
                <w:lang w:val="nb-NO" w:eastAsia="da-DK"/>
              </w:rPr>
              <w:t>Ethinylestradiol:</w:t>
            </w:r>
          </w:p>
          <w:p w:rsidR="00FC356F" w:rsidRPr="00A00A3C" w:rsidRDefault="00FC356F" w:rsidP="00FC356F">
            <w:pPr>
              <w:rPr>
                <w:color w:val="000000"/>
                <w:sz w:val="22"/>
                <w:szCs w:val="22"/>
                <w:lang w:val="en-US" w:eastAsia="en-GB"/>
              </w:rPr>
            </w:pPr>
            <w:r w:rsidRPr="00A00A3C">
              <w:rPr>
                <w:color w:val="000000"/>
                <w:sz w:val="22"/>
                <w:szCs w:val="22"/>
                <w:lang w:val="en-US" w:eastAsia="en-GB"/>
              </w:rPr>
              <w:t xml:space="preserve">AUC: ↓ 4% (↓ 9 to ↑ 0) </w:t>
            </w:r>
          </w:p>
          <w:p w:rsidR="00FC356F" w:rsidRPr="00A00A3C" w:rsidRDefault="00FC356F" w:rsidP="00FC356F">
            <w:pPr>
              <w:rPr>
                <w:color w:val="000000"/>
                <w:sz w:val="22"/>
                <w:szCs w:val="22"/>
                <w:lang w:eastAsia="en-GB"/>
              </w:rPr>
            </w:pPr>
            <w:r w:rsidRPr="00A00A3C">
              <w:rPr>
                <w:color w:val="000000"/>
                <w:sz w:val="22"/>
                <w:szCs w:val="22"/>
                <w:lang w:eastAsia="en-GB"/>
              </w:rPr>
              <w:t>C</w:t>
            </w:r>
            <w:r w:rsidRPr="00A00A3C">
              <w:rPr>
                <w:color w:val="000000"/>
                <w:sz w:val="22"/>
                <w:szCs w:val="22"/>
                <w:vertAlign w:val="subscript"/>
                <w:lang w:eastAsia="en-GB"/>
              </w:rPr>
              <w:t>max</w:t>
            </w:r>
            <w:r w:rsidRPr="00A00A3C">
              <w:rPr>
                <w:color w:val="000000"/>
                <w:sz w:val="22"/>
                <w:szCs w:val="22"/>
                <w:lang w:eastAsia="en-GB"/>
              </w:rPr>
              <w:t xml:space="preserve">: ↓ 6% (↓ 13 to ↑ 0) </w:t>
            </w:r>
          </w:p>
          <w:p w:rsidR="00FC356F" w:rsidRPr="00A00A3C" w:rsidRDefault="00FC356F" w:rsidP="00FC356F">
            <w:pPr>
              <w:rPr>
                <w:sz w:val="22"/>
                <w:szCs w:val="22"/>
                <w:lang w:val="nb-NO" w:eastAsia="da-DK"/>
              </w:rPr>
            </w:pPr>
            <w:r w:rsidRPr="00A00A3C">
              <w:rPr>
                <w:color w:val="000000"/>
                <w:sz w:val="22"/>
                <w:szCs w:val="22"/>
                <w:lang w:eastAsia="en-GB"/>
              </w:rPr>
              <w:t>C</w:t>
            </w:r>
            <w:r w:rsidRPr="00A00A3C">
              <w:rPr>
                <w:color w:val="000000"/>
                <w:sz w:val="22"/>
                <w:szCs w:val="22"/>
                <w:vertAlign w:val="subscript"/>
                <w:lang w:eastAsia="en-GB"/>
              </w:rPr>
              <w:t>min</w:t>
            </w:r>
            <w:r w:rsidRPr="00A00A3C">
              <w:rPr>
                <w:color w:val="000000"/>
                <w:sz w:val="22"/>
                <w:szCs w:val="22"/>
                <w:lang w:eastAsia="en-GB"/>
              </w:rPr>
              <w:t>: ↓ 2% (↓ 9 to ↑ 6)</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t>Dosisjustering af norgestimat/ethinylestradiol er ikke nødvendig.</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keepNext/>
              <w:rPr>
                <w:b/>
                <w:sz w:val="22"/>
                <w:szCs w:val="22"/>
              </w:rPr>
            </w:pPr>
            <w:r w:rsidRPr="00A00A3C">
              <w:rPr>
                <w:b/>
                <w:bCs/>
                <w:i/>
                <w:iCs/>
                <w:sz w:val="22"/>
                <w:szCs w:val="22"/>
                <w:lang w:eastAsia="da-DK"/>
              </w:rPr>
              <w:t>IMMUNSUPPRESSIVA</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t>Tacrolimus/tenofovirdisoproxil/</w:t>
            </w:r>
          </w:p>
          <w:p w:rsidR="00FC356F" w:rsidRPr="00A00A3C" w:rsidRDefault="00FC356F" w:rsidP="00FC356F">
            <w:pPr>
              <w:rPr>
                <w:sz w:val="22"/>
                <w:szCs w:val="22"/>
                <w:lang w:eastAsia="en-GB"/>
              </w:rPr>
            </w:pPr>
            <w:r w:rsidRPr="00A00A3C">
              <w:rPr>
                <w:sz w:val="22"/>
                <w:szCs w:val="22"/>
                <w:lang w:eastAsia="da-DK"/>
              </w:rPr>
              <w:t>emtricitabin</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eastAsia="da-DK"/>
              </w:rPr>
            </w:pPr>
            <w:r w:rsidRPr="00A00A3C">
              <w:rPr>
                <w:sz w:val="22"/>
                <w:szCs w:val="22"/>
                <w:lang w:val="en-US" w:eastAsia="da-DK"/>
              </w:rPr>
              <w:t>Tacrolimus:</w:t>
            </w:r>
          </w:p>
          <w:p w:rsidR="00FC356F" w:rsidRPr="00A00A3C" w:rsidRDefault="00FC356F" w:rsidP="00FC356F">
            <w:pPr>
              <w:rPr>
                <w:sz w:val="22"/>
                <w:szCs w:val="22"/>
                <w:lang w:val="en-US" w:eastAsia="da-DK"/>
              </w:rPr>
            </w:pPr>
            <w:r w:rsidRPr="00A00A3C">
              <w:rPr>
                <w:sz w:val="22"/>
                <w:szCs w:val="22"/>
                <w:lang w:val="en-US" w:eastAsia="da-DK"/>
              </w:rPr>
              <w:t xml:space="preserve">AUC: ↑ 4 % </w:t>
            </w:r>
            <w:r w:rsidRPr="00A00A3C">
              <w:rPr>
                <w:color w:val="000000"/>
                <w:sz w:val="22"/>
                <w:szCs w:val="22"/>
                <w:lang w:val="en-US" w:eastAsia="en-GB"/>
              </w:rPr>
              <w:t>(↓ 3 to ↑ 11)</w:t>
            </w:r>
          </w:p>
          <w:p w:rsidR="00FC356F" w:rsidRPr="00A00A3C" w:rsidRDefault="00FC356F" w:rsidP="00FC356F">
            <w:pPr>
              <w:rPr>
                <w:sz w:val="22"/>
                <w:szCs w:val="22"/>
                <w:lang w:val="en-US" w:eastAsia="da-DK"/>
              </w:rPr>
            </w:pPr>
            <w:r w:rsidRPr="00A00A3C">
              <w:rPr>
                <w:sz w:val="22"/>
                <w:szCs w:val="22"/>
                <w:lang w:val="en-US" w:eastAsia="da-DK"/>
              </w:rPr>
              <w:t>C</w:t>
            </w:r>
            <w:r w:rsidRPr="00A00A3C">
              <w:rPr>
                <w:sz w:val="22"/>
                <w:szCs w:val="22"/>
                <w:vertAlign w:val="subscript"/>
                <w:lang w:val="en-US" w:eastAsia="da-DK"/>
              </w:rPr>
              <w:t>max</w:t>
            </w:r>
            <w:r w:rsidRPr="00A00A3C">
              <w:rPr>
                <w:sz w:val="22"/>
                <w:szCs w:val="22"/>
                <w:lang w:val="en-US" w:eastAsia="da-DK"/>
              </w:rPr>
              <w:t xml:space="preserve">: ↑ 3 % </w:t>
            </w:r>
            <w:r w:rsidRPr="00A00A3C">
              <w:rPr>
                <w:color w:val="000000"/>
                <w:sz w:val="22"/>
                <w:szCs w:val="22"/>
                <w:lang w:val="en-US" w:eastAsia="en-GB"/>
              </w:rPr>
              <w:t xml:space="preserve">(↓ 3 to ↑ 9) </w:t>
            </w:r>
          </w:p>
          <w:p w:rsidR="00FC356F" w:rsidRPr="00A00A3C" w:rsidRDefault="00FC356F" w:rsidP="00FC356F">
            <w:pPr>
              <w:rPr>
                <w:sz w:val="22"/>
                <w:szCs w:val="22"/>
                <w:lang w:val="en-US" w:eastAsia="da-DK"/>
              </w:rPr>
            </w:pPr>
            <w:r w:rsidRPr="00A00A3C">
              <w:rPr>
                <w:sz w:val="22"/>
                <w:szCs w:val="22"/>
                <w:lang w:val="en-US" w:eastAsia="da-DK"/>
              </w:rPr>
              <w:t>C</w:t>
            </w:r>
            <w:r w:rsidRPr="00A00A3C">
              <w:rPr>
                <w:sz w:val="22"/>
                <w:szCs w:val="22"/>
                <w:vertAlign w:val="subscript"/>
                <w:lang w:val="en-US" w:eastAsia="da-DK"/>
              </w:rPr>
              <w:t>min</w:t>
            </w:r>
            <w:r w:rsidRPr="00A00A3C">
              <w:rPr>
                <w:sz w:val="22"/>
                <w:szCs w:val="22"/>
                <w:lang w:val="en-US" w:eastAsia="da-DK"/>
              </w:rPr>
              <w:t>: IB</w:t>
            </w:r>
          </w:p>
          <w:p w:rsidR="00FC356F" w:rsidRPr="00A00A3C" w:rsidRDefault="00FC356F" w:rsidP="00FC356F">
            <w:pPr>
              <w:rPr>
                <w:sz w:val="22"/>
                <w:szCs w:val="22"/>
                <w:lang w:val="en-US" w:eastAsia="da-DK"/>
              </w:rPr>
            </w:pPr>
            <w:r w:rsidRPr="00A00A3C">
              <w:rPr>
                <w:sz w:val="22"/>
                <w:szCs w:val="22"/>
                <w:lang w:val="en-US" w:eastAsia="da-DK"/>
              </w:rPr>
              <w:t>Emtricitabin:</w:t>
            </w:r>
          </w:p>
          <w:p w:rsidR="00FC356F" w:rsidRPr="00A00A3C" w:rsidRDefault="00FC356F" w:rsidP="00FC356F">
            <w:pPr>
              <w:rPr>
                <w:color w:val="000000"/>
                <w:sz w:val="22"/>
                <w:szCs w:val="22"/>
                <w:lang w:val="en-US" w:eastAsia="en-GB"/>
              </w:rPr>
            </w:pPr>
            <w:r w:rsidRPr="00A00A3C">
              <w:rPr>
                <w:color w:val="000000"/>
                <w:sz w:val="22"/>
                <w:szCs w:val="22"/>
                <w:lang w:val="en-US" w:eastAsia="en-GB"/>
              </w:rPr>
              <w:t xml:space="preserve">AUC: ↓ 5% (↓ 9 to ↓ 1) </w:t>
            </w:r>
          </w:p>
          <w:p w:rsidR="00FC356F" w:rsidRPr="00A00A3C" w:rsidRDefault="00FC356F" w:rsidP="00FC356F">
            <w:pPr>
              <w:rPr>
                <w:color w:val="000000"/>
                <w:sz w:val="22"/>
                <w:szCs w:val="22"/>
                <w:lang w:val="en-US" w:eastAsia="en-GB"/>
              </w:rPr>
            </w:pPr>
            <w:r w:rsidRPr="00A00A3C">
              <w:rPr>
                <w:color w:val="000000"/>
                <w:sz w:val="22"/>
                <w:szCs w:val="22"/>
                <w:lang w:val="en-US" w:eastAsia="en-GB"/>
              </w:rPr>
              <w:t>C</w:t>
            </w:r>
            <w:r w:rsidRPr="00A00A3C">
              <w:rPr>
                <w:color w:val="000000"/>
                <w:sz w:val="22"/>
                <w:szCs w:val="22"/>
                <w:vertAlign w:val="subscript"/>
                <w:lang w:val="en-US" w:eastAsia="en-GB"/>
              </w:rPr>
              <w:t>max</w:t>
            </w:r>
            <w:r w:rsidRPr="00A00A3C">
              <w:rPr>
                <w:color w:val="000000"/>
                <w:sz w:val="22"/>
                <w:szCs w:val="22"/>
                <w:lang w:val="en-US" w:eastAsia="en-GB"/>
              </w:rPr>
              <w:t xml:space="preserve">: ↓ 11% (↓ 17 to ↓ 5) </w:t>
            </w:r>
          </w:p>
          <w:p w:rsidR="00FC356F" w:rsidRPr="00A00A3C" w:rsidRDefault="00FC356F" w:rsidP="00FC356F">
            <w:pPr>
              <w:rPr>
                <w:sz w:val="22"/>
                <w:szCs w:val="22"/>
                <w:lang w:val="en-US" w:eastAsia="da-DK"/>
              </w:rPr>
            </w:pPr>
            <w:r w:rsidRPr="00A00A3C">
              <w:rPr>
                <w:sz w:val="22"/>
                <w:szCs w:val="22"/>
                <w:lang w:val="en-US" w:eastAsia="da-DK"/>
              </w:rPr>
              <w:t>C</w:t>
            </w:r>
            <w:r w:rsidRPr="00A00A3C">
              <w:rPr>
                <w:sz w:val="22"/>
                <w:szCs w:val="22"/>
                <w:vertAlign w:val="subscript"/>
                <w:lang w:val="en-US" w:eastAsia="da-DK"/>
              </w:rPr>
              <w:t>min</w:t>
            </w:r>
            <w:r w:rsidRPr="00A00A3C">
              <w:rPr>
                <w:sz w:val="22"/>
                <w:szCs w:val="22"/>
                <w:lang w:val="en-US" w:eastAsia="da-DK"/>
              </w:rPr>
              <w:t>: IB</w:t>
            </w:r>
          </w:p>
          <w:p w:rsidR="00FC356F" w:rsidRPr="00A00A3C" w:rsidRDefault="00FC356F" w:rsidP="00FC356F">
            <w:pPr>
              <w:rPr>
                <w:sz w:val="22"/>
                <w:szCs w:val="22"/>
                <w:lang w:val="en-US" w:eastAsia="da-DK"/>
              </w:rPr>
            </w:pPr>
            <w:r w:rsidRPr="00A00A3C">
              <w:rPr>
                <w:sz w:val="22"/>
                <w:szCs w:val="22"/>
                <w:lang w:val="en-US" w:eastAsia="da-DK"/>
              </w:rPr>
              <w:t>Tenofovir:</w:t>
            </w:r>
          </w:p>
          <w:p w:rsidR="00FC356F" w:rsidRPr="00A00A3C" w:rsidRDefault="00FC356F" w:rsidP="00FC356F">
            <w:pPr>
              <w:rPr>
                <w:color w:val="000000"/>
                <w:sz w:val="22"/>
                <w:szCs w:val="22"/>
                <w:lang w:val="en-US" w:eastAsia="en-GB"/>
              </w:rPr>
            </w:pPr>
            <w:r w:rsidRPr="00A00A3C">
              <w:rPr>
                <w:color w:val="000000"/>
                <w:sz w:val="22"/>
                <w:szCs w:val="22"/>
                <w:lang w:val="en-US" w:eastAsia="en-GB"/>
              </w:rPr>
              <w:t xml:space="preserve">AUC: ↑ 6% (↓ 1 to ↑ 13) </w:t>
            </w:r>
          </w:p>
          <w:p w:rsidR="00FC356F" w:rsidRPr="00A00A3C" w:rsidRDefault="00FC356F" w:rsidP="00FC356F">
            <w:pPr>
              <w:rPr>
                <w:sz w:val="22"/>
                <w:szCs w:val="22"/>
                <w:lang w:val="en-US" w:eastAsia="da-DK"/>
              </w:rPr>
            </w:pPr>
            <w:r w:rsidRPr="00A00A3C">
              <w:rPr>
                <w:color w:val="000000"/>
                <w:sz w:val="22"/>
                <w:szCs w:val="22"/>
                <w:lang w:val="en-US" w:eastAsia="en-GB"/>
              </w:rPr>
              <w:t>C</w:t>
            </w:r>
            <w:r w:rsidRPr="00A00A3C">
              <w:rPr>
                <w:color w:val="000000"/>
                <w:sz w:val="22"/>
                <w:szCs w:val="22"/>
                <w:vertAlign w:val="subscript"/>
                <w:lang w:val="en-US" w:eastAsia="en-GB"/>
              </w:rPr>
              <w:t>max</w:t>
            </w:r>
            <w:r w:rsidRPr="00A00A3C">
              <w:rPr>
                <w:color w:val="000000"/>
                <w:sz w:val="22"/>
                <w:szCs w:val="22"/>
                <w:lang w:val="en-US" w:eastAsia="en-GB"/>
              </w:rPr>
              <w:t xml:space="preserve">: ↑13% (↑ 1 to ↑ 27) </w:t>
            </w:r>
            <w:r w:rsidRPr="00A00A3C">
              <w:rPr>
                <w:color w:val="000000"/>
                <w:sz w:val="22"/>
                <w:szCs w:val="22"/>
                <w:lang w:val="en-US" w:eastAsia="en-GB"/>
              </w:rPr>
              <w:br/>
            </w:r>
            <w:r w:rsidRPr="00A00A3C">
              <w:rPr>
                <w:sz w:val="22"/>
                <w:szCs w:val="22"/>
                <w:lang w:val="en-US" w:eastAsia="da-DK"/>
              </w:rPr>
              <w:t>C</w:t>
            </w:r>
            <w:r w:rsidRPr="00A00A3C">
              <w:rPr>
                <w:sz w:val="22"/>
                <w:szCs w:val="22"/>
                <w:vertAlign w:val="subscript"/>
                <w:lang w:val="en-US" w:eastAsia="da-DK"/>
              </w:rPr>
              <w:t>min</w:t>
            </w:r>
            <w:r w:rsidRPr="00A00A3C">
              <w:rPr>
                <w:sz w:val="22"/>
                <w:szCs w:val="22"/>
                <w:lang w:val="en-US" w:eastAsia="da-DK"/>
              </w:rPr>
              <w:t>: IB</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da-DK"/>
              </w:rPr>
            </w:pPr>
            <w:r w:rsidRPr="00A00A3C">
              <w:rPr>
                <w:sz w:val="22"/>
                <w:szCs w:val="22"/>
                <w:lang w:eastAsia="da-DK"/>
              </w:rPr>
              <w:t>Dosisjustering af tacrolimus er ikke nødvendig.</w:t>
            </w:r>
          </w:p>
        </w:tc>
      </w:tr>
      <w:tr w:rsidR="00FC356F" w:rsidRPr="00A00A3C" w:rsidTr="00FC356F">
        <w:tc>
          <w:tcPr>
            <w:tcW w:w="5000" w:type="pct"/>
            <w:gridSpan w:val="5"/>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bCs/>
                <w:i/>
                <w:iCs/>
                <w:sz w:val="22"/>
                <w:szCs w:val="22"/>
                <w:lang w:eastAsia="da-DK"/>
              </w:rPr>
              <w:t>NARKOTISKE ANALGETIKA</w:t>
            </w:r>
          </w:p>
        </w:tc>
      </w:tr>
      <w:tr w:rsidR="00FC356F" w:rsidRPr="00A00A3C" w:rsidTr="00FC356F">
        <w:tc>
          <w:tcPr>
            <w:tcW w:w="1848"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eastAsia="en-GB"/>
              </w:rPr>
            </w:pPr>
            <w:r w:rsidRPr="00A00A3C">
              <w:rPr>
                <w:sz w:val="22"/>
                <w:szCs w:val="22"/>
                <w:lang w:eastAsia="da-DK"/>
              </w:rPr>
              <w:t>Methadon/tenofovirdisoproxil</w:t>
            </w:r>
          </w:p>
        </w:tc>
        <w:tc>
          <w:tcPr>
            <w:tcW w:w="1411"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lang w:val="en-US" w:eastAsia="da-DK"/>
              </w:rPr>
            </w:pPr>
            <w:r w:rsidRPr="00A00A3C">
              <w:rPr>
                <w:sz w:val="22"/>
                <w:szCs w:val="22"/>
                <w:lang w:val="en-US" w:eastAsia="da-DK"/>
              </w:rPr>
              <w:t>Methadon:</w:t>
            </w:r>
          </w:p>
          <w:p w:rsidR="00FC356F" w:rsidRPr="00A00A3C" w:rsidRDefault="00FC356F" w:rsidP="00FC356F">
            <w:pPr>
              <w:rPr>
                <w:color w:val="000000"/>
                <w:sz w:val="22"/>
                <w:szCs w:val="22"/>
                <w:lang w:val="en-US" w:eastAsia="en-GB"/>
              </w:rPr>
            </w:pPr>
            <w:r w:rsidRPr="00A00A3C">
              <w:rPr>
                <w:color w:val="000000"/>
                <w:sz w:val="22"/>
                <w:szCs w:val="22"/>
                <w:lang w:val="en-US" w:eastAsia="en-GB"/>
              </w:rPr>
              <w:t xml:space="preserve">AUC: ↑ 5% (↓ 2 to ↑ 13) </w:t>
            </w:r>
          </w:p>
          <w:p w:rsidR="00FC356F" w:rsidRPr="00A00A3C" w:rsidRDefault="00FC356F" w:rsidP="00FC356F">
            <w:pPr>
              <w:rPr>
                <w:color w:val="000000"/>
                <w:sz w:val="22"/>
                <w:szCs w:val="22"/>
                <w:lang w:val="en-US" w:eastAsia="en-GB"/>
              </w:rPr>
            </w:pPr>
            <w:r w:rsidRPr="00A00A3C">
              <w:rPr>
                <w:color w:val="000000"/>
                <w:sz w:val="22"/>
                <w:szCs w:val="22"/>
                <w:lang w:val="en-US" w:eastAsia="en-GB"/>
              </w:rPr>
              <w:t>C</w:t>
            </w:r>
            <w:r w:rsidRPr="00A00A3C">
              <w:rPr>
                <w:color w:val="000000"/>
                <w:sz w:val="22"/>
                <w:szCs w:val="22"/>
                <w:vertAlign w:val="subscript"/>
                <w:lang w:val="en-US" w:eastAsia="en-GB"/>
              </w:rPr>
              <w:t>max</w:t>
            </w:r>
            <w:r w:rsidRPr="00A00A3C">
              <w:rPr>
                <w:color w:val="000000"/>
                <w:sz w:val="22"/>
                <w:szCs w:val="22"/>
                <w:lang w:val="en-US" w:eastAsia="en-GB"/>
              </w:rPr>
              <w:t xml:space="preserve">: ↑ 5% (↓ 3 to ↑ 14) </w:t>
            </w:r>
          </w:p>
          <w:p w:rsidR="00FC356F" w:rsidRPr="00A00A3C" w:rsidRDefault="00FC356F" w:rsidP="00FC356F">
            <w:pPr>
              <w:rPr>
                <w:sz w:val="22"/>
                <w:szCs w:val="22"/>
              </w:rPr>
            </w:pPr>
            <w:r w:rsidRPr="00A00A3C">
              <w:rPr>
                <w:sz w:val="22"/>
                <w:szCs w:val="22"/>
                <w:lang w:eastAsia="da-DK"/>
              </w:rPr>
              <w:lastRenderedPageBreak/>
              <w:t>C</w:t>
            </w:r>
            <w:r w:rsidRPr="00A00A3C">
              <w:rPr>
                <w:sz w:val="22"/>
                <w:szCs w:val="22"/>
                <w:vertAlign w:val="subscript"/>
                <w:lang w:eastAsia="da-DK"/>
              </w:rPr>
              <w:t>min</w:t>
            </w:r>
            <w:r w:rsidRPr="00A00A3C">
              <w:rPr>
                <w:sz w:val="22"/>
                <w:szCs w:val="22"/>
                <w:lang w:eastAsia="da-DK"/>
              </w:rPr>
              <w:t>: IB</w:t>
            </w:r>
          </w:p>
        </w:tc>
        <w:tc>
          <w:tcPr>
            <w:tcW w:w="1741"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lang w:eastAsia="da-DK"/>
              </w:rPr>
              <w:lastRenderedPageBreak/>
              <w:t>Dosisjustering af methadon er ikke nødvendig.</w:t>
            </w:r>
          </w:p>
        </w:tc>
      </w:tr>
    </w:tbl>
    <w:p w:rsidR="00FC356F" w:rsidRPr="009D75B2" w:rsidRDefault="00FC356F" w:rsidP="00FC356F">
      <w:pPr>
        <w:rPr>
          <w:sz w:val="22"/>
          <w:szCs w:val="22"/>
        </w:rPr>
      </w:pPr>
      <w:r w:rsidRPr="009D75B2">
        <w:rPr>
          <w:sz w:val="22"/>
          <w:szCs w:val="22"/>
        </w:rPr>
        <w:t>IB =ikke beregnet</w:t>
      </w:r>
    </w:p>
    <w:p w:rsidR="00FC356F" w:rsidRPr="009D75B2" w:rsidRDefault="00FC356F" w:rsidP="00FC356F">
      <w:pPr>
        <w:rPr>
          <w:sz w:val="22"/>
          <w:szCs w:val="22"/>
        </w:rPr>
      </w:pPr>
      <w:r w:rsidRPr="009D75B2">
        <w:rPr>
          <w:sz w:val="22"/>
          <w:szCs w:val="22"/>
          <w:vertAlign w:val="superscript"/>
        </w:rPr>
        <w:t>1</w:t>
      </w:r>
      <w:r w:rsidRPr="009D75B2">
        <w:rPr>
          <w:sz w:val="22"/>
          <w:szCs w:val="22"/>
        </w:rPr>
        <w:t xml:space="preserve"> Data genereret fra samtidig dosering af ledipasvir/sofosbuvir. Forskudt administration (12 timers mellemrum) gav tilsvarende resultater. </w:t>
      </w:r>
    </w:p>
    <w:p w:rsidR="00FC356F" w:rsidRPr="009D75B2" w:rsidRDefault="00FC356F" w:rsidP="00FC356F">
      <w:pPr>
        <w:rPr>
          <w:sz w:val="22"/>
          <w:szCs w:val="22"/>
        </w:rPr>
      </w:pPr>
      <w:r w:rsidRPr="009D75B2">
        <w:rPr>
          <w:sz w:val="22"/>
          <w:szCs w:val="22"/>
          <w:vertAlign w:val="superscript"/>
        </w:rPr>
        <w:t>2</w:t>
      </w:r>
      <w:r w:rsidRPr="009D75B2">
        <w:rPr>
          <w:sz w:val="22"/>
          <w:szCs w:val="22"/>
        </w:rPr>
        <w:t xml:space="preserve"> Den primære cirkulerende sofosbuvirmetabolit.</w:t>
      </w:r>
    </w:p>
    <w:p w:rsidR="0057668F" w:rsidRPr="004C3DE3" w:rsidRDefault="00FC356F" w:rsidP="00FC356F">
      <w:pPr>
        <w:tabs>
          <w:tab w:val="left" w:pos="851"/>
        </w:tabs>
        <w:ind w:left="851" w:hanging="851"/>
        <w:rPr>
          <w:sz w:val="24"/>
          <w:szCs w:val="24"/>
        </w:rPr>
      </w:pPr>
      <w:r w:rsidRPr="009D75B2">
        <w:rPr>
          <w:sz w:val="22"/>
          <w:szCs w:val="22"/>
          <w:vertAlign w:val="superscript"/>
        </w:rPr>
        <w:t>3</w:t>
      </w:r>
      <w:r w:rsidRPr="009D75B2">
        <w:rPr>
          <w:sz w:val="22"/>
          <w:szCs w:val="22"/>
        </w:rPr>
        <w:t xml:space="preserve"> Studiet blev udført med yderligere voxilaprevir 100 mg for at opnå de forventede voxilaprevir-eksponeringer hos HCV-inficerede patienter.</w:t>
      </w:r>
      <w:r w:rsidR="00F07926">
        <w:rPr>
          <w:sz w:val="24"/>
          <w:szCs w:val="24"/>
        </w:rPr>
        <w:br/>
      </w:r>
    </w:p>
    <w:p w:rsidR="0057668F" w:rsidRPr="00AD7CE0" w:rsidRDefault="0057668F" w:rsidP="00AD7CE0">
      <w:pPr>
        <w:tabs>
          <w:tab w:val="left" w:pos="851"/>
        </w:tabs>
        <w:ind w:left="851" w:hanging="851"/>
        <w:rPr>
          <w:b/>
          <w:sz w:val="24"/>
          <w:szCs w:val="24"/>
        </w:rPr>
      </w:pPr>
      <w:r w:rsidRPr="004C3DE3">
        <w:rPr>
          <w:b/>
          <w:sz w:val="24"/>
          <w:szCs w:val="24"/>
        </w:rPr>
        <w:t>4.6</w:t>
      </w:r>
      <w:r w:rsidRPr="004C3DE3">
        <w:rPr>
          <w:b/>
          <w:sz w:val="24"/>
          <w:szCs w:val="24"/>
        </w:rPr>
        <w:tab/>
      </w:r>
      <w:r w:rsidR="00FC356F">
        <w:rPr>
          <w:b/>
          <w:sz w:val="24"/>
          <w:szCs w:val="24"/>
        </w:rPr>
        <w:t>Fertilitet, g</w:t>
      </w:r>
      <w:r w:rsidRPr="004C3DE3">
        <w:rPr>
          <w:b/>
          <w:sz w:val="24"/>
          <w:szCs w:val="24"/>
        </w:rPr>
        <w:t>raviditet og amning</w:t>
      </w:r>
    </w:p>
    <w:p w:rsidR="0057668F" w:rsidRPr="004C3DE3" w:rsidRDefault="0057668F" w:rsidP="0057668F">
      <w:pPr>
        <w:ind w:left="851"/>
        <w:rPr>
          <w:sz w:val="24"/>
          <w:szCs w:val="24"/>
          <w:u w:val="single"/>
        </w:rPr>
      </w:pPr>
      <w:r w:rsidRPr="004C3DE3">
        <w:rPr>
          <w:sz w:val="24"/>
          <w:szCs w:val="24"/>
          <w:u w:val="single"/>
        </w:rPr>
        <w:t>Graviditet</w:t>
      </w:r>
    </w:p>
    <w:p w:rsidR="00803BD1" w:rsidRDefault="00803BD1" w:rsidP="00803BD1">
      <w:pPr>
        <w:ind w:left="851"/>
        <w:rPr>
          <w:sz w:val="24"/>
          <w:szCs w:val="24"/>
        </w:rPr>
      </w:pPr>
      <w:r>
        <w:rPr>
          <w:sz w:val="24"/>
          <w:szCs w:val="24"/>
        </w:rPr>
        <w:t>En stor mængde data fra gravide kvinder (mere end 1.000 graviditetsudfald) indikerer ingen misdannelser eller føtal/neonatal toksicitet i forbindelse med emtricitabin og tenofovirdisoproxil. Dyreforsøg med emtricitabin og tenofovirdisoproxil indikerer ikke reproduktionstoksicitet (se pkt. 5.3). Anvendelse af kombinationen af emtricitabin og tenofovirdisoproxil kan derfor om nødvendigt overvejes under graviditet.</w:t>
      </w:r>
    </w:p>
    <w:p w:rsidR="0057668F" w:rsidRPr="004C3DE3" w:rsidRDefault="0057668F" w:rsidP="0057668F">
      <w:pPr>
        <w:ind w:left="851"/>
        <w:rPr>
          <w:sz w:val="24"/>
          <w:szCs w:val="24"/>
        </w:rPr>
      </w:pPr>
    </w:p>
    <w:p w:rsidR="0057668F" w:rsidRDefault="0057668F" w:rsidP="0057668F">
      <w:pPr>
        <w:ind w:left="851"/>
        <w:rPr>
          <w:sz w:val="24"/>
          <w:szCs w:val="24"/>
          <w:u w:val="single"/>
        </w:rPr>
      </w:pPr>
      <w:r w:rsidRPr="004C3DE3">
        <w:rPr>
          <w:sz w:val="24"/>
          <w:szCs w:val="24"/>
          <w:u w:val="single"/>
        </w:rPr>
        <w:t>Amning</w:t>
      </w:r>
    </w:p>
    <w:p w:rsidR="00FC356F" w:rsidRPr="004C3DE3" w:rsidRDefault="00FC356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Emtricitabin og tenofovir udskilles i human mælk. Der foreligger utilstrækkelige data for virkningen af emtricitabin og tenofovir hos nyfødte/spædbørn. </w:t>
      </w:r>
      <w:r>
        <w:rPr>
          <w:sz w:val="24"/>
          <w:szCs w:val="24"/>
        </w:rPr>
        <w:t>Emtricitabine/Tenofovir disoproxil "Sandoz"</w:t>
      </w:r>
      <w:r w:rsidRPr="004C3DE3">
        <w:rPr>
          <w:sz w:val="24"/>
          <w:szCs w:val="24"/>
        </w:rPr>
        <w:t xml:space="preserve"> bør derfor ikke anvendes under amning.</w:t>
      </w:r>
    </w:p>
    <w:p w:rsidR="0057668F" w:rsidRPr="004C3DE3" w:rsidRDefault="0057668F" w:rsidP="0057668F">
      <w:pPr>
        <w:ind w:left="851"/>
        <w:rPr>
          <w:sz w:val="24"/>
          <w:szCs w:val="24"/>
        </w:rPr>
      </w:pPr>
    </w:p>
    <w:p w:rsidR="0057668F" w:rsidRDefault="00FC356F" w:rsidP="0057668F">
      <w:pPr>
        <w:ind w:left="851"/>
        <w:rPr>
          <w:sz w:val="24"/>
          <w:szCs w:val="24"/>
        </w:rPr>
      </w:pPr>
      <w:r w:rsidRPr="000815C3">
        <w:rPr>
          <w:sz w:val="24"/>
          <w:szCs w:val="24"/>
        </w:rPr>
        <w:t>For at undgå overførsel af hiv til spædbarnet anbefales det, at hiv-inficerede kvinder undlader at amme deres spædbørn.</w:t>
      </w:r>
    </w:p>
    <w:p w:rsidR="00FC356F" w:rsidRPr="004C3DE3" w:rsidRDefault="00FC356F" w:rsidP="0057668F">
      <w:pPr>
        <w:ind w:left="851"/>
        <w:rPr>
          <w:sz w:val="24"/>
          <w:szCs w:val="24"/>
        </w:rPr>
      </w:pPr>
    </w:p>
    <w:p w:rsidR="0057668F" w:rsidRDefault="0057668F" w:rsidP="0057668F">
      <w:pPr>
        <w:ind w:left="851"/>
        <w:rPr>
          <w:sz w:val="24"/>
          <w:szCs w:val="24"/>
          <w:u w:val="single"/>
        </w:rPr>
      </w:pPr>
      <w:r w:rsidRPr="004C3DE3">
        <w:rPr>
          <w:sz w:val="24"/>
          <w:szCs w:val="24"/>
          <w:u w:val="single"/>
        </w:rPr>
        <w:t>Fertilitet</w:t>
      </w:r>
    </w:p>
    <w:p w:rsidR="00FC356F" w:rsidRPr="004C3DE3" w:rsidRDefault="00FC356F" w:rsidP="0057668F">
      <w:pPr>
        <w:ind w:left="851"/>
        <w:rPr>
          <w:sz w:val="24"/>
          <w:szCs w:val="24"/>
          <w:u w:val="single"/>
        </w:rPr>
      </w:pPr>
    </w:p>
    <w:p w:rsidR="0057668F" w:rsidRPr="004C3DE3" w:rsidRDefault="0057668F" w:rsidP="0057668F">
      <w:pPr>
        <w:ind w:left="851"/>
        <w:rPr>
          <w:sz w:val="24"/>
          <w:szCs w:val="24"/>
        </w:rPr>
      </w:pPr>
      <w:r w:rsidRPr="004C3DE3">
        <w:rPr>
          <w:sz w:val="24"/>
          <w:szCs w:val="24"/>
        </w:rPr>
        <w:t>Der foreligger ingen humane data vedrørende effekten af kombinationen af emtricitabin og tenofovirdisoproxil. Dyreforsøg indikerer ingen skadelige effekter af emtricitabin eller tenofovirdisoproxil på fertiliteten.</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4.7</w:t>
      </w:r>
      <w:r w:rsidRPr="004C3DE3">
        <w:rPr>
          <w:b/>
          <w:sz w:val="24"/>
          <w:szCs w:val="24"/>
        </w:rPr>
        <w:tab/>
        <w:t>Virkning</w:t>
      </w:r>
      <w:r w:rsidR="00FC356F">
        <w:rPr>
          <w:b/>
          <w:sz w:val="24"/>
          <w:szCs w:val="24"/>
        </w:rPr>
        <w:t xml:space="preserve"> </w:t>
      </w:r>
      <w:r w:rsidRPr="004C3DE3">
        <w:rPr>
          <w:b/>
          <w:sz w:val="24"/>
          <w:szCs w:val="24"/>
        </w:rPr>
        <w:t xml:space="preserve">på evnen til at føre motorkøretøj </w:t>
      </w:r>
      <w:r w:rsidR="00FC356F">
        <w:rPr>
          <w:b/>
          <w:sz w:val="24"/>
          <w:szCs w:val="24"/>
        </w:rPr>
        <w:t>og</w:t>
      </w:r>
      <w:r w:rsidRPr="004C3DE3">
        <w:rPr>
          <w:b/>
          <w:sz w:val="24"/>
          <w:szCs w:val="24"/>
        </w:rPr>
        <w:t xml:space="preserve"> betjene maskiner</w:t>
      </w:r>
    </w:p>
    <w:p w:rsidR="0057668F" w:rsidRPr="004C3DE3" w:rsidRDefault="0057668F" w:rsidP="0057668F">
      <w:pPr>
        <w:ind w:left="851"/>
        <w:rPr>
          <w:sz w:val="24"/>
          <w:szCs w:val="24"/>
        </w:rPr>
      </w:pPr>
      <w:r w:rsidRPr="004C3DE3">
        <w:rPr>
          <w:sz w:val="24"/>
          <w:szCs w:val="24"/>
        </w:rPr>
        <w:t>Ikke mærkning.</w:t>
      </w:r>
    </w:p>
    <w:p w:rsidR="0057668F" w:rsidRPr="004C3DE3" w:rsidRDefault="0057668F" w:rsidP="0057668F">
      <w:pPr>
        <w:ind w:left="851"/>
        <w:rPr>
          <w:sz w:val="24"/>
          <w:szCs w:val="24"/>
        </w:rPr>
      </w:pPr>
      <w:r w:rsidRPr="004C3DE3">
        <w:rPr>
          <w:sz w:val="24"/>
          <w:szCs w:val="24"/>
        </w:rPr>
        <w:t>Der er ikke udført studier vedrørende effekten på evnen til at betjene maskiner eller føre motorkøretøj. Patienter bør dog informeres om, at der er rapporteret om svimmelhed under behandling med både emtricitabin og tenofovirdisoproxil.</w:t>
      </w:r>
    </w:p>
    <w:p w:rsidR="0057668F" w:rsidRPr="004C3DE3" w:rsidRDefault="0057668F" w:rsidP="00AD7CE0">
      <w:pPr>
        <w:rPr>
          <w:sz w:val="24"/>
          <w:szCs w:val="24"/>
        </w:rPr>
      </w:pPr>
    </w:p>
    <w:p w:rsidR="00FC356F" w:rsidRPr="00AD7CE0" w:rsidRDefault="0057668F" w:rsidP="00FC356F">
      <w:pPr>
        <w:tabs>
          <w:tab w:val="left" w:pos="851"/>
        </w:tabs>
        <w:ind w:left="851" w:hanging="851"/>
        <w:rPr>
          <w:b/>
          <w:sz w:val="24"/>
          <w:szCs w:val="24"/>
        </w:rPr>
      </w:pPr>
      <w:r w:rsidRPr="004C3DE3">
        <w:rPr>
          <w:b/>
          <w:sz w:val="24"/>
          <w:szCs w:val="24"/>
        </w:rPr>
        <w:t>4.8</w:t>
      </w:r>
      <w:r w:rsidRPr="004C3DE3">
        <w:rPr>
          <w:b/>
          <w:sz w:val="24"/>
          <w:szCs w:val="24"/>
        </w:rPr>
        <w:tab/>
        <w:t>Bivirkninger</w:t>
      </w:r>
    </w:p>
    <w:p w:rsidR="0057668F" w:rsidRDefault="0057668F" w:rsidP="0057668F">
      <w:pPr>
        <w:ind w:left="851"/>
        <w:rPr>
          <w:sz w:val="24"/>
          <w:szCs w:val="24"/>
          <w:u w:val="single"/>
        </w:rPr>
      </w:pPr>
      <w:r w:rsidRPr="004C3DE3">
        <w:rPr>
          <w:sz w:val="24"/>
          <w:szCs w:val="24"/>
          <w:u w:val="single"/>
        </w:rPr>
        <w:t>Resumé af sikkerhedsprofilen</w:t>
      </w:r>
    </w:p>
    <w:p w:rsidR="00FC356F" w:rsidRPr="004C3DE3" w:rsidRDefault="00FC356F" w:rsidP="0057668F">
      <w:pPr>
        <w:ind w:left="851"/>
        <w:rPr>
          <w:sz w:val="24"/>
          <w:szCs w:val="24"/>
          <w:u w:val="single"/>
        </w:rPr>
      </w:pPr>
    </w:p>
    <w:p w:rsidR="0057668F" w:rsidRPr="004C3DE3" w:rsidRDefault="0057668F" w:rsidP="0057668F">
      <w:pPr>
        <w:ind w:left="851"/>
        <w:rPr>
          <w:sz w:val="24"/>
          <w:szCs w:val="24"/>
        </w:rPr>
      </w:pPr>
      <w:r w:rsidRPr="004C3DE3">
        <w:rPr>
          <w:i/>
          <w:sz w:val="24"/>
          <w:szCs w:val="24"/>
        </w:rPr>
        <w:t>Hiv 1-infektion:</w:t>
      </w:r>
      <w:r w:rsidRPr="004C3DE3">
        <w:rPr>
          <w:sz w:val="24"/>
          <w:szCs w:val="24"/>
        </w:rPr>
        <w:t xml:space="preserve"> I et åbent, randomiseret, klinisk studie hos voksne (GS-01-934, se pkt. 5.1) var de hyppigst indberettede bivirkninger, som blev anset for at have en mulig eller sandsynlig forbindelse til emtricitabin og/eller tenofovirdisoproxil, kvalme (12 %) og diarré (7 %). Sikkerhedsprofilen for emtricitabin og tenofovirdisoproxil i dette studie svarede til de tidligere erfaringer med disse komponenter, når hver af dem blev administreret sammen med andre antiretrovirale stoffer.</w:t>
      </w:r>
    </w:p>
    <w:p w:rsidR="0057668F" w:rsidRPr="004C3DE3" w:rsidRDefault="0057668F" w:rsidP="0057668F">
      <w:pPr>
        <w:ind w:left="851"/>
        <w:rPr>
          <w:sz w:val="24"/>
          <w:szCs w:val="24"/>
        </w:rPr>
      </w:pPr>
    </w:p>
    <w:p w:rsidR="0057668F" w:rsidRPr="004C3DE3" w:rsidRDefault="0057668F" w:rsidP="0057668F">
      <w:pPr>
        <w:autoSpaceDE w:val="0"/>
        <w:autoSpaceDN w:val="0"/>
        <w:adjustRightInd w:val="0"/>
        <w:ind w:left="851"/>
        <w:rPr>
          <w:sz w:val="24"/>
          <w:szCs w:val="24"/>
        </w:rPr>
      </w:pPr>
      <w:r w:rsidRPr="004C3DE3">
        <w:rPr>
          <w:i/>
          <w:iCs/>
          <w:sz w:val="24"/>
          <w:szCs w:val="24"/>
          <w:lang w:eastAsia="da-DK"/>
        </w:rPr>
        <w:t xml:space="preserve">Profylakse før eksponering: </w:t>
      </w:r>
      <w:r w:rsidRPr="004C3DE3">
        <w:rPr>
          <w:sz w:val="24"/>
          <w:szCs w:val="24"/>
          <w:lang w:eastAsia="da-DK"/>
        </w:rPr>
        <w:t xml:space="preserve">Der blev ikke identificeret nogen nye bivirkninger fra kombinationen af emtricitabin og tenofovirdisoproxil i to randomiserede placebokontrollerede studier (iPrEx, Partners PrEP), hvor 2.830 voksne uden hiv 1- infektion fik kombinationen af emtricitabin og tenofovirdisoproxil én gang dagligt som profylakse før eksponering. Patienterne blev gennemsnitligt fulgt i henholdsvis 71 uger og </w:t>
      </w:r>
      <w:r w:rsidRPr="004C3DE3">
        <w:rPr>
          <w:sz w:val="24"/>
          <w:szCs w:val="24"/>
          <w:lang w:eastAsia="da-DK"/>
        </w:rPr>
        <w:lastRenderedPageBreak/>
        <w:t>87 uger. Den hyppigste bivirkning i gruppen med kombinationen af emtricitabin og tenofovirdisoproxil i iPrEx-studiet var hovedpine (1 %).</w:t>
      </w:r>
    </w:p>
    <w:p w:rsidR="0057668F" w:rsidRPr="004C3DE3" w:rsidRDefault="0057668F" w:rsidP="0057668F">
      <w:pPr>
        <w:ind w:left="851"/>
        <w:rPr>
          <w:sz w:val="24"/>
          <w:szCs w:val="24"/>
        </w:rPr>
      </w:pPr>
    </w:p>
    <w:p w:rsidR="0057668F" w:rsidRDefault="0057668F" w:rsidP="0057668F">
      <w:pPr>
        <w:ind w:left="851"/>
        <w:rPr>
          <w:sz w:val="24"/>
          <w:szCs w:val="24"/>
          <w:u w:val="single"/>
        </w:rPr>
      </w:pPr>
      <w:r w:rsidRPr="004C3DE3">
        <w:rPr>
          <w:sz w:val="24"/>
          <w:szCs w:val="24"/>
          <w:u w:val="single"/>
        </w:rPr>
        <w:t>Resumé af bivirkninger i tabelform</w:t>
      </w:r>
    </w:p>
    <w:p w:rsidR="00FC356F" w:rsidRPr="004C3DE3" w:rsidRDefault="00FC356F" w:rsidP="0057668F">
      <w:pPr>
        <w:ind w:left="851"/>
        <w:rPr>
          <w:sz w:val="24"/>
          <w:szCs w:val="24"/>
          <w:u w:val="single"/>
        </w:rPr>
      </w:pPr>
    </w:p>
    <w:p w:rsidR="0057668F" w:rsidRPr="004C3DE3" w:rsidRDefault="0057668F" w:rsidP="0057668F">
      <w:pPr>
        <w:ind w:left="851"/>
        <w:rPr>
          <w:sz w:val="24"/>
          <w:szCs w:val="24"/>
        </w:rPr>
      </w:pPr>
      <w:r w:rsidRPr="004C3DE3">
        <w:rPr>
          <w:sz w:val="24"/>
          <w:szCs w:val="24"/>
        </w:rPr>
        <w:t>De bivirkninger, som blev anset for mindst at have en mulig forbindelse til behandling med komponenterne i kombinationen af emtricitabin og tenofovirdisoproxil fra kliniske studier og erfaringer hos hiv 1-inficerede patienter efter markedsføring er opført i tabel 3 herunder, opgjort efter systemorganklasse og frekvens. Inden for hver frekvensgruppe er bivirkningerne opstillet efter, hvor alvorlige de er. De alvorligste bivirkninger er anført først. Frekvenserne er defineret som meget almindelig (≥ 1/10), almindelig (≥ 1/100 til &lt; 1/10), ikke almindelig (≥ 1/1.000 til &lt; 1/100) eller sjælden (≥ 1/10.000 til &lt; 1/1.000).</w:t>
      </w:r>
    </w:p>
    <w:p w:rsidR="0057668F" w:rsidRPr="004C3DE3" w:rsidRDefault="0057668F" w:rsidP="0057668F">
      <w:pPr>
        <w:ind w:left="851" w:hanging="851"/>
        <w:rPr>
          <w:i/>
          <w:sz w:val="24"/>
          <w:szCs w:val="24"/>
        </w:rPr>
      </w:pPr>
    </w:p>
    <w:p w:rsidR="0057668F" w:rsidRPr="004C3DE3" w:rsidRDefault="0057668F" w:rsidP="0057668F">
      <w:pPr>
        <w:rPr>
          <w:b/>
          <w:sz w:val="24"/>
          <w:szCs w:val="24"/>
        </w:rPr>
      </w:pPr>
      <w:r w:rsidRPr="004C3DE3">
        <w:rPr>
          <w:b/>
          <w:sz w:val="24"/>
          <w:szCs w:val="24"/>
        </w:rPr>
        <w:t>Tabel 3: Resumé af bivirkninger forbundet med de individuelle komponenter i kombinationen af emtricitabin og tenofovirdisoproxil baseret på kliniske studier og erfaringer efter markedsføring i tabelform</w:t>
      </w:r>
    </w:p>
    <w:p w:rsidR="0057668F" w:rsidRPr="004C3DE3" w:rsidRDefault="0057668F" w:rsidP="0057668F">
      <w:pP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247"/>
        <w:gridCol w:w="3227"/>
      </w:tblGrid>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b/>
                <w:sz w:val="22"/>
                <w:szCs w:val="22"/>
              </w:rPr>
            </w:pPr>
            <w:r w:rsidRPr="009D75B2">
              <w:rPr>
                <w:b/>
                <w:sz w:val="22"/>
                <w:szCs w:val="22"/>
              </w:rPr>
              <w:t>Frekvens</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b/>
                <w:sz w:val="22"/>
                <w:szCs w:val="22"/>
              </w:rPr>
            </w:pPr>
            <w:r w:rsidRPr="009D75B2">
              <w:rPr>
                <w:b/>
                <w:sz w:val="22"/>
                <w:szCs w:val="22"/>
              </w:rPr>
              <w:t>Emtricitabin</w:t>
            </w: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b/>
                <w:sz w:val="22"/>
                <w:szCs w:val="22"/>
              </w:rPr>
            </w:pPr>
            <w:r w:rsidRPr="009D75B2">
              <w:rPr>
                <w:b/>
                <w:sz w:val="22"/>
                <w:szCs w:val="22"/>
              </w:rPr>
              <w:t>Tenofovirdisoproxil</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sz w:val="22"/>
                <w:szCs w:val="22"/>
              </w:rPr>
            </w:pPr>
            <w:r w:rsidRPr="009D75B2">
              <w:rPr>
                <w:i/>
                <w:iCs/>
                <w:sz w:val="22"/>
                <w:szCs w:val="22"/>
              </w:rPr>
              <w:t xml:space="preserve">Blod og lymfesystem: </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Neutropeni</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Ikke 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Anæmi</w:t>
            </w:r>
            <w:r w:rsidRPr="009D75B2">
              <w:rPr>
                <w:sz w:val="22"/>
                <w:szCs w:val="22"/>
                <w:vertAlign w:val="superscript"/>
              </w:rPr>
              <w:t>2</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Immunsystemet:</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Allergiske reaktioner</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Metabolisme og ernæring:</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Meget 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Hypophosphatæmi</w:t>
            </w:r>
            <w:r w:rsidRPr="009D75B2">
              <w:rPr>
                <w:sz w:val="22"/>
                <w:szCs w:val="22"/>
                <w:vertAlign w:val="superscript"/>
              </w:rPr>
              <w:t>1</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Hyperglykæmi, hypertriglyceridæmi</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Ikke 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Hypokalæmi</w:t>
            </w:r>
            <w:r w:rsidRPr="009D75B2">
              <w:rPr>
                <w:sz w:val="22"/>
                <w:szCs w:val="22"/>
                <w:vertAlign w:val="superscript"/>
              </w:rPr>
              <w:t>1</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Sjælden:</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Laktatacidose</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Psykiske forstyrrelser:</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Insomnia, unormale drømme</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Nervesystemet:</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Meget 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Hovedpine</w:t>
            </w: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Svimmelhed</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Svimmelhed</w:t>
            </w: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Hovedpine</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Mave-tarm-kanalen:</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Meget 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Diarré, kvalme</w:t>
            </w: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Diarré, opkastning, kvalme</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r w:rsidRPr="009D75B2">
              <w:rPr>
                <w:sz w:val="22"/>
                <w:szCs w:val="22"/>
              </w:rPr>
              <w:t xml:space="preserve">Forhøjet amylase inklusive forhøjet pancreasamylase, forhøjet serumlipase, opkastning, abdominalsmerter, dyspepsi </w:t>
            </w:r>
          </w:p>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Abdominalsmerter, abdominal distension, flatulens</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Ikke 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Pancreatitis</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Lever og galdeveje:</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Forhøjet serum aspartate aminotransferase (AST) og/eller forhøjet serum alanin aminotransferase (ALT), hyperbilirubinæmi</w:t>
            </w: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Forhøjede transaminaser</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Sjælden:</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Steatosis hepatis, hepatitis</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Hud og subkutane væv:</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Meget 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Udslæt</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 xml:space="preserve">Vesikulobulløst udslæt, pustuløst udslæt, makulopapuløst udslæt, </w:t>
            </w:r>
            <w:r w:rsidRPr="009D75B2">
              <w:rPr>
                <w:sz w:val="22"/>
                <w:szCs w:val="22"/>
              </w:rPr>
              <w:lastRenderedPageBreak/>
              <w:t>udslæt, pruritus, urticaria, misfarvning af huden (øget pigmentering)</w:t>
            </w:r>
            <w:r w:rsidRPr="009D75B2">
              <w:rPr>
                <w:sz w:val="22"/>
                <w:szCs w:val="22"/>
                <w:vertAlign w:val="superscript"/>
              </w:rPr>
              <w:t>2</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Ikke 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Angioødem</w:t>
            </w:r>
            <w:r w:rsidRPr="009D75B2">
              <w:rPr>
                <w:sz w:val="22"/>
                <w:szCs w:val="22"/>
                <w:vertAlign w:val="superscript"/>
              </w:rPr>
              <w:t>3</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Sjælden:</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Angioødem</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Knogler, led, muskler og bindevæv:</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Meget 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Forhøjet kreatinkinase</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r w:rsidRPr="009D75B2">
              <w:rPr>
                <w:sz w:val="22"/>
                <w:szCs w:val="22"/>
              </w:rPr>
              <w:t>Fald i knoglemineraltæthed</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Ikke 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Rhabdomyolyse</w:t>
            </w:r>
            <w:r w:rsidRPr="009D75B2">
              <w:rPr>
                <w:sz w:val="22"/>
                <w:szCs w:val="22"/>
                <w:vertAlign w:val="superscript"/>
              </w:rPr>
              <w:t>1</w:t>
            </w:r>
            <w:r w:rsidRPr="009D75B2">
              <w:rPr>
                <w:sz w:val="22"/>
                <w:szCs w:val="22"/>
              </w:rPr>
              <w:t>, muskelsvaghed</w:t>
            </w:r>
            <w:r w:rsidRPr="009D75B2">
              <w:rPr>
                <w:sz w:val="22"/>
                <w:szCs w:val="22"/>
                <w:vertAlign w:val="superscript"/>
              </w:rPr>
              <w:t>1</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Sjælden:</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Osteomalaci (manifesteret som knoglesmerter, i sjældne tilfælde medvirkende til frakturer)</w:t>
            </w:r>
            <w:r w:rsidRPr="009D75B2">
              <w:rPr>
                <w:sz w:val="22"/>
                <w:szCs w:val="22"/>
                <w:vertAlign w:val="superscript"/>
              </w:rPr>
              <w:t>1,3</w:t>
            </w:r>
            <w:r w:rsidRPr="009D75B2">
              <w:rPr>
                <w:sz w:val="22"/>
                <w:szCs w:val="22"/>
              </w:rPr>
              <w:t>, myopati</w:t>
            </w:r>
            <w:r w:rsidRPr="009D75B2">
              <w:rPr>
                <w:sz w:val="22"/>
                <w:szCs w:val="22"/>
                <w:vertAlign w:val="superscript"/>
              </w:rPr>
              <w:t>1</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Nyrer og urinveje:</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Ikke 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Forhøjet kreatinin, proteinuri, proksimal renal tubulopati, herunder Fanconis syndrom</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Sjælden:</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Nyresvigt (akut og kronisk), akut tubulær nekrose, nefritis (herunder akut interstitiel nefritis)</w:t>
            </w:r>
            <w:r w:rsidRPr="009D75B2">
              <w:rPr>
                <w:sz w:val="22"/>
                <w:szCs w:val="22"/>
                <w:vertAlign w:val="superscript"/>
              </w:rPr>
              <w:t>3</w:t>
            </w:r>
            <w:r w:rsidRPr="009D75B2">
              <w:rPr>
                <w:sz w:val="22"/>
                <w:szCs w:val="22"/>
              </w:rPr>
              <w:t>, nefrogen diabetes insipidus</w:t>
            </w:r>
          </w:p>
        </w:tc>
      </w:tr>
      <w:tr w:rsidR="00FC356F" w:rsidRPr="00A00A3C" w:rsidTr="00FC356F">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FC356F" w:rsidRPr="009D75B2" w:rsidRDefault="00FC356F" w:rsidP="00FC356F">
            <w:pPr>
              <w:rPr>
                <w:i/>
                <w:sz w:val="22"/>
                <w:szCs w:val="22"/>
              </w:rPr>
            </w:pPr>
            <w:r w:rsidRPr="009D75B2">
              <w:rPr>
                <w:i/>
                <w:sz w:val="22"/>
                <w:szCs w:val="22"/>
              </w:rPr>
              <w:t>Almene symptomer og reaktioner på administrationsstedet:</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Meget almindelig:</w:t>
            </w:r>
          </w:p>
        </w:tc>
        <w:tc>
          <w:tcPr>
            <w:tcW w:w="168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c>
          <w:tcPr>
            <w:tcW w:w="167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Asteni</w:t>
            </w:r>
          </w:p>
        </w:tc>
      </w:tr>
      <w:tr w:rsidR="00FC356F" w:rsidRPr="00A00A3C" w:rsidTr="00FC356F">
        <w:tc>
          <w:tcPr>
            <w:tcW w:w="1638"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Almindelig:</w:t>
            </w:r>
          </w:p>
        </w:tc>
        <w:tc>
          <w:tcPr>
            <w:tcW w:w="1686" w:type="pct"/>
            <w:tcBorders>
              <w:top w:val="single" w:sz="4" w:space="0" w:color="auto"/>
              <w:left w:val="single" w:sz="4" w:space="0" w:color="auto"/>
              <w:bottom w:val="single" w:sz="4" w:space="0" w:color="auto"/>
              <w:right w:val="single" w:sz="4" w:space="0" w:color="auto"/>
            </w:tcBorders>
            <w:hideMark/>
          </w:tcPr>
          <w:p w:rsidR="00FC356F" w:rsidRPr="009D75B2" w:rsidRDefault="00FC356F" w:rsidP="00FC356F">
            <w:pPr>
              <w:rPr>
                <w:sz w:val="22"/>
                <w:szCs w:val="22"/>
              </w:rPr>
            </w:pPr>
            <w:r w:rsidRPr="009D75B2">
              <w:rPr>
                <w:sz w:val="22"/>
                <w:szCs w:val="22"/>
              </w:rPr>
              <w:t>Smerter, asteni</w:t>
            </w:r>
          </w:p>
        </w:tc>
        <w:tc>
          <w:tcPr>
            <w:tcW w:w="1676" w:type="pct"/>
            <w:tcBorders>
              <w:top w:val="single" w:sz="4" w:space="0" w:color="auto"/>
              <w:left w:val="single" w:sz="4" w:space="0" w:color="auto"/>
              <w:bottom w:val="single" w:sz="4" w:space="0" w:color="auto"/>
              <w:right w:val="single" w:sz="4" w:space="0" w:color="auto"/>
            </w:tcBorders>
          </w:tcPr>
          <w:p w:rsidR="00FC356F" w:rsidRPr="009D75B2" w:rsidRDefault="00FC356F" w:rsidP="00FC356F">
            <w:pPr>
              <w:rPr>
                <w:sz w:val="22"/>
                <w:szCs w:val="22"/>
              </w:rPr>
            </w:pPr>
          </w:p>
        </w:tc>
      </w:tr>
    </w:tbl>
    <w:p w:rsidR="00FC356F" w:rsidRPr="009D75B2" w:rsidRDefault="00FC356F" w:rsidP="00FC356F">
      <w:pPr>
        <w:rPr>
          <w:rFonts w:eastAsia="TimesNewRoman"/>
          <w:sz w:val="22"/>
          <w:szCs w:val="22"/>
        </w:rPr>
      </w:pPr>
      <w:r w:rsidRPr="009D75B2">
        <w:rPr>
          <w:rFonts w:eastAsia="TimesNewRoman"/>
          <w:sz w:val="22"/>
          <w:szCs w:val="22"/>
          <w:vertAlign w:val="superscript"/>
        </w:rPr>
        <w:t>1</w:t>
      </w:r>
      <w:r w:rsidRPr="009D75B2">
        <w:rPr>
          <w:rFonts w:eastAsia="TimesNewRoman"/>
          <w:sz w:val="22"/>
          <w:szCs w:val="22"/>
        </w:rPr>
        <w:t xml:space="preserve"> Denne bivirkning kan forekomme som resultat af proksimal renal tubulopati. Den anses ikke som årsagsmæssigt forbundet med tenofovirdisoproxil, hvis denne tilstand ikke er tilstede.</w:t>
      </w:r>
    </w:p>
    <w:p w:rsidR="00FC356F" w:rsidRPr="009D75B2" w:rsidRDefault="00FC356F" w:rsidP="00FC356F">
      <w:pPr>
        <w:rPr>
          <w:rFonts w:eastAsia="TimesNewRoman"/>
          <w:sz w:val="22"/>
          <w:szCs w:val="22"/>
        </w:rPr>
      </w:pPr>
      <w:r w:rsidRPr="009D75B2">
        <w:rPr>
          <w:rFonts w:eastAsia="TimesNewRoman"/>
          <w:sz w:val="22"/>
          <w:szCs w:val="22"/>
          <w:vertAlign w:val="superscript"/>
        </w:rPr>
        <w:t>2</w:t>
      </w:r>
      <w:r w:rsidRPr="009D75B2">
        <w:rPr>
          <w:rFonts w:eastAsia="TimesNewRoman"/>
          <w:sz w:val="22"/>
          <w:szCs w:val="22"/>
        </w:rPr>
        <w:t xml:space="preserve"> Anæmi var almindelig og misfarvning af huden (øget pigmentering) var meget almindelig, når emtricitabin blev indgivet til pædiatriske patienter.</w:t>
      </w:r>
    </w:p>
    <w:p w:rsidR="00FC356F" w:rsidRPr="009D75B2" w:rsidRDefault="00FC356F" w:rsidP="00FC356F">
      <w:pPr>
        <w:rPr>
          <w:rFonts w:eastAsia="TimesNewRoman"/>
          <w:sz w:val="22"/>
          <w:szCs w:val="22"/>
        </w:rPr>
      </w:pPr>
      <w:r w:rsidRPr="009D75B2">
        <w:rPr>
          <w:rFonts w:eastAsia="TimesNewRoman"/>
          <w:sz w:val="22"/>
          <w:szCs w:val="22"/>
          <w:vertAlign w:val="superscript"/>
        </w:rPr>
        <w:t>3</w:t>
      </w:r>
      <w:r w:rsidRPr="009D75B2">
        <w:rPr>
          <w:rFonts w:eastAsia="TimesNewRoman"/>
          <w:sz w:val="22"/>
          <w:szCs w:val="22"/>
        </w:rPr>
        <w:t xml:space="preserve"> Denne bivirkning, som blev identificeret under sikkerhedsovervågningen efter markedsføring, blev ikke observeret i randomiserede, kontrollerede, kliniske studier af emtricitabin hos voksne, eller i kliniske studier af emtricitabin hos pædiatriske hiv-patienter, eller i randomiserede, kontrollerede kliniske studier eller i expanded access program til tenofovirdisoproxil. Frekvenskategorien blev estimeret ud fra en statistisk beregning baseret på det totale antal patienter eksponeret for emtricitabin i randomiserede, kontrollerede kliniske studier (n = 1.563) eller tenofovirdisoproxil i randomiserede, kontrollerede, kliniske studier og i expanded access program (n=7.319).</w:t>
      </w:r>
    </w:p>
    <w:p w:rsidR="0057668F" w:rsidRPr="004C3DE3" w:rsidRDefault="0057668F" w:rsidP="0057668F">
      <w:pPr>
        <w:ind w:left="851" w:hanging="851"/>
        <w:rPr>
          <w:i/>
          <w:sz w:val="24"/>
          <w:szCs w:val="24"/>
        </w:rPr>
      </w:pPr>
    </w:p>
    <w:p w:rsidR="0057668F" w:rsidRDefault="0057668F" w:rsidP="0057668F">
      <w:pPr>
        <w:ind w:left="851"/>
        <w:rPr>
          <w:sz w:val="24"/>
          <w:szCs w:val="24"/>
          <w:u w:val="single"/>
        </w:rPr>
      </w:pPr>
      <w:r w:rsidRPr="004C3DE3">
        <w:rPr>
          <w:sz w:val="24"/>
          <w:szCs w:val="24"/>
          <w:u w:val="single"/>
        </w:rPr>
        <w:t>Beskrivelse af udvalgte bivirkninger</w:t>
      </w:r>
    </w:p>
    <w:p w:rsidR="00FC356F" w:rsidRPr="004C3DE3" w:rsidRDefault="00FC356F" w:rsidP="0057668F">
      <w:pPr>
        <w:ind w:left="851"/>
        <w:rPr>
          <w:sz w:val="24"/>
          <w:szCs w:val="24"/>
          <w:u w:val="single"/>
        </w:rPr>
      </w:pPr>
    </w:p>
    <w:p w:rsidR="00DD1001" w:rsidRPr="00DD1001" w:rsidRDefault="00DD1001" w:rsidP="00DD1001">
      <w:pPr>
        <w:ind w:left="851"/>
        <w:rPr>
          <w:sz w:val="24"/>
          <w:szCs w:val="24"/>
        </w:rPr>
      </w:pPr>
      <w:r w:rsidRPr="004C3DE3">
        <w:rPr>
          <w:i/>
          <w:iCs/>
          <w:sz w:val="24"/>
          <w:szCs w:val="24"/>
        </w:rPr>
        <w:t>Nedsat nyrefunktion</w:t>
      </w:r>
      <w:r w:rsidRPr="004C3DE3">
        <w:rPr>
          <w:sz w:val="24"/>
          <w:szCs w:val="24"/>
        </w:rPr>
        <w:t xml:space="preserve">: Da kombinationen af emtricitabin og tenofovirdisoproxil kan forårsage nyreskader, anbefales det at monitorere nyrefunktionen (se pkt. 4.4). Proksimal renal tubulopati gik generelt væk eller blev bedre efter seponering af tenofovirdisoproxil. Hos nogle hiv 1-inficerende patienter gik reduktionen i kreatininclearance imidlertid ikke helt væk, trods seponering af tenofovirdisoproxil. Patienter med risiko for nedsat nyrefunktion (såsom patienter med renale risikofaktorer ved </w:t>
      </w:r>
      <w:r w:rsidRPr="004C3DE3">
        <w:rPr>
          <w:i/>
          <w:iCs/>
          <w:sz w:val="24"/>
          <w:szCs w:val="24"/>
        </w:rPr>
        <w:t xml:space="preserve">baseline, </w:t>
      </w:r>
      <w:r w:rsidRPr="004C3DE3">
        <w:rPr>
          <w:sz w:val="24"/>
          <w:szCs w:val="24"/>
        </w:rPr>
        <w:t xml:space="preserve">fremskreden hiv-sygdom eller </w:t>
      </w:r>
      <w:r w:rsidRPr="00DD1001">
        <w:rPr>
          <w:sz w:val="24"/>
          <w:szCs w:val="24"/>
        </w:rPr>
        <w:t>patienter i samtidig behandling med nefrotoksiske lægemidler) har en øget risiko for at opleve en ufuldstændig bedring af nyrefunktionen, trods seponering af tenofovirdisoproxil (se pkt. 4.4).</w:t>
      </w:r>
    </w:p>
    <w:p w:rsidR="00DD1001" w:rsidRPr="00DD1001" w:rsidRDefault="00DD1001" w:rsidP="00DD1001">
      <w:pPr>
        <w:ind w:left="851"/>
        <w:rPr>
          <w:i/>
          <w:iCs/>
          <w:sz w:val="24"/>
          <w:szCs w:val="24"/>
        </w:rPr>
      </w:pPr>
    </w:p>
    <w:p w:rsidR="00DD1001" w:rsidRPr="00DD1001" w:rsidRDefault="00DD1001" w:rsidP="00DD1001">
      <w:pPr>
        <w:ind w:left="851"/>
        <w:rPr>
          <w:i/>
          <w:iCs/>
          <w:sz w:val="24"/>
          <w:szCs w:val="24"/>
        </w:rPr>
      </w:pPr>
      <w:r w:rsidRPr="00DD1001">
        <w:rPr>
          <w:i/>
          <w:iCs/>
          <w:sz w:val="24"/>
          <w:szCs w:val="24"/>
        </w:rPr>
        <w:t xml:space="preserve">Laktatacidose </w:t>
      </w:r>
    </w:p>
    <w:p w:rsidR="00DD1001" w:rsidRPr="004C3DE3" w:rsidRDefault="00DD1001" w:rsidP="00FC356F">
      <w:pPr>
        <w:ind w:left="851"/>
        <w:rPr>
          <w:sz w:val="24"/>
          <w:szCs w:val="24"/>
        </w:rPr>
      </w:pPr>
      <w:r w:rsidRPr="00DD1001">
        <w:rPr>
          <w:sz w:val="24"/>
          <w:szCs w:val="24"/>
        </w:rPr>
        <w:t xml:space="preserve">Der er rapporteret tilfælde af laktatacidose med tenofovirdisoproxil alene eller i kombination med andre antiretrovirale midler. Patienter med prædisponerende faktorer, såsom patienter med dekompenseret leversygdom, eller patienter der får samtidige </w:t>
      </w:r>
      <w:r w:rsidRPr="00DD1001">
        <w:rPr>
          <w:sz w:val="24"/>
          <w:szCs w:val="24"/>
        </w:rPr>
        <w:lastRenderedPageBreak/>
        <w:t>lægemidler, der vides at inducere laktatacidose, har en større risiko for at få svær laktatacidose under behandling med tenofovirdisoproxil, herunder med letal udgang.</w:t>
      </w:r>
    </w:p>
    <w:p w:rsidR="00DD1001" w:rsidRPr="004C3DE3" w:rsidRDefault="00DD1001" w:rsidP="00DD1001">
      <w:pPr>
        <w:ind w:left="851"/>
        <w:rPr>
          <w:i/>
          <w:sz w:val="24"/>
          <w:szCs w:val="24"/>
        </w:rPr>
      </w:pPr>
    </w:p>
    <w:p w:rsidR="00DD1001" w:rsidRPr="004C3DE3" w:rsidRDefault="00DD1001" w:rsidP="00DD1001">
      <w:pPr>
        <w:ind w:left="851"/>
        <w:rPr>
          <w:i/>
          <w:iCs/>
          <w:sz w:val="24"/>
          <w:szCs w:val="24"/>
        </w:rPr>
      </w:pPr>
      <w:r w:rsidRPr="004C3DE3">
        <w:rPr>
          <w:i/>
          <w:iCs/>
          <w:sz w:val="24"/>
          <w:szCs w:val="24"/>
        </w:rPr>
        <w:t>Metaboliske parametre</w:t>
      </w:r>
    </w:p>
    <w:p w:rsidR="00DD1001" w:rsidRPr="004C3DE3" w:rsidRDefault="00DD1001" w:rsidP="00DD1001">
      <w:pPr>
        <w:ind w:left="851"/>
        <w:rPr>
          <w:i/>
          <w:iCs/>
          <w:sz w:val="24"/>
          <w:szCs w:val="24"/>
        </w:rPr>
      </w:pPr>
      <w:r w:rsidRPr="004C3DE3">
        <w:rPr>
          <w:iCs/>
          <w:sz w:val="24"/>
          <w:szCs w:val="24"/>
        </w:rPr>
        <w:t xml:space="preserve">Vægten og niveauerne af blodlipider og blodglucose kan øges under antiretroviral behandling (se pkt. 4.4). </w:t>
      </w:r>
      <w:r w:rsidRPr="004C3DE3">
        <w:rPr>
          <w:i/>
          <w:iCs/>
          <w:sz w:val="24"/>
          <w:szCs w:val="24"/>
        </w:rPr>
        <w:t xml:space="preserve"> </w:t>
      </w:r>
    </w:p>
    <w:p w:rsidR="00DD1001" w:rsidRPr="004C3DE3" w:rsidRDefault="00DD1001" w:rsidP="00DD1001">
      <w:pPr>
        <w:ind w:left="851"/>
        <w:rPr>
          <w:sz w:val="24"/>
          <w:szCs w:val="24"/>
        </w:rPr>
      </w:pPr>
    </w:p>
    <w:p w:rsidR="00DD1001" w:rsidRDefault="00DD1001" w:rsidP="00DD1001">
      <w:pPr>
        <w:ind w:left="851"/>
        <w:rPr>
          <w:sz w:val="24"/>
          <w:szCs w:val="24"/>
        </w:rPr>
      </w:pPr>
      <w:r>
        <w:rPr>
          <w:i/>
          <w:iCs/>
          <w:sz w:val="24"/>
          <w:szCs w:val="24"/>
        </w:rPr>
        <w:t xml:space="preserve">Immunreaktiveringssyndrom: </w:t>
      </w:r>
      <w:r>
        <w:rPr>
          <w:sz w:val="24"/>
          <w:szCs w:val="24"/>
        </w:rPr>
        <w:t xml:space="preserve">Hos hiv-inficerede patienter med svær immuninsufficiens kan der ved påbegyndelse af CART opstå en inflammatorisk reaktion på asymptomatiske eller residuale opportunistiske infektioner. Der er desuden rapporteret om autoimmune lidelser (såsom Graves sygdom </w:t>
      </w:r>
      <w:r>
        <w:rPr>
          <w:color w:val="000000"/>
          <w:sz w:val="24"/>
          <w:szCs w:val="24"/>
          <w:lang w:eastAsia="da-DK"/>
        </w:rPr>
        <w:t>og</w:t>
      </w:r>
      <w:r>
        <w:rPr>
          <w:sz w:val="24"/>
          <w:szCs w:val="24"/>
        </w:rPr>
        <w:t xml:space="preserve"> autoimmun hepatitis); tiden til udbrud er imidlertid mere variabel og kan være mange måneder efter påbegyndelse af behandling (se pkt. 4.4).</w:t>
      </w:r>
    </w:p>
    <w:p w:rsidR="00DD1001" w:rsidRPr="004C3DE3" w:rsidRDefault="00DD1001" w:rsidP="00DD1001">
      <w:pPr>
        <w:ind w:left="851"/>
        <w:rPr>
          <w:i/>
          <w:iCs/>
          <w:sz w:val="24"/>
          <w:szCs w:val="24"/>
        </w:rPr>
      </w:pPr>
    </w:p>
    <w:p w:rsidR="00DD1001" w:rsidRPr="004C3DE3" w:rsidRDefault="00DD1001" w:rsidP="00DD1001">
      <w:pPr>
        <w:ind w:left="851"/>
        <w:rPr>
          <w:sz w:val="24"/>
          <w:szCs w:val="24"/>
        </w:rPr>
      </w:pPr>
      <w:r w:rsidRPr="004C3DE3">
        <w:rPr>
          <w:i/>
          <w:iCs/>
          <w:sz w:val="24"/>
          <w:szCs w:val="24"/>
        </w:rPr>
        <w:t xml:space="preserve">Osteonekrose: </w:t>
      </w:r>
      <w:r w:rsidRPr="004C3DE3">
        <w:rPr>
          <w:iCs/>
          <w:sz w:val="24"/>
          <w:szCs w:val="24"/>
        </w:rPr>
        <w:t xml:space="preserve">Der er rapporteret om </w:t>
      </w:r>
      <w:r w:rsidRPr="004C3DE3">
        <w:rPr>
          <w:sz w:val="24"/>
          <w:szCs w:val="24"/>
        </w:rPr>
        <w:t>tilfælde af osteonekrose, specielt hos patienter med generelt anerkendte risikofaktorer, fremskreden hiv-sygdom eller langvarig CART. Hyppigheden er ukendt (se pkt. 4.4).</w:t>
      </w:r>
    </w:p>
    <w:p w:rsidR="0057668F" w:rsidRPr="004C3DE3" w:rsidRDefault="0057668F" w:rsidP="0057668F">
      <w:pPr>
        <w:ind w:left="851"/>
        <w:rPr>
          <w:i/>
          <w:sz w:val="24"/>
          <w:szCs w:val="24"/>
        </w:rPr>
      </w:pPr>
    </w:p>
    <w:p w:rsidR="0057668F" w:rsidRPr="004C3DE3" w:rsidRDefault="0057668F" w:rsidP="0057668F">
      <w:pPr>
        <w:ind w:left="851"/>
        <w:rPr>
          <w:sz w:val="24"/>
          <w:szCs w:val="24"/>
          <w:u w:val="single"/>
        </w:rPr>
      </w:pPr>
      <w:r w:rsidRPr="004C3DE3">
        <w:rPr>
          <w:sz w:val="24"/>
          <w:szCs w:val="24"/>
          <w:u w:val="single"/>
        </w:rPr>
        <w:t>Pædiatrisk population</w:t>
      </w:r>
    </w:p>
    <w:p w:rsidR="0057668F" w:rsidRPr="004C3DE3" w:rsidRDefault="0057668F" w:rsidP="0057668F">
      <w:pPr>
        <w:autoSpaceDE w:val="0"/>
        <w:autoSpaceDN w:val="0"/>
        <w:adjustRightInd w:val="0"/>
        <w:ind w:left="851"/>
        <w:rPr>
          <w:sz w:val="24"/>
          <w:szCs w:val="24"/>
        </w:rPr>
      </w:pPr>
      <w:r w:rsidRPr="004C3DE3">
        <w:rPr>
          <w:sz w:val="24"/>
          <w:szCs w:val="24"/>
        </w:rPr>
        <w:br/>
        <w:t xml:space="preserve">Vurderingen af bivirkninger i forbindelse med emtricitabin er baseret på erfaringer fra tre pædiatriske studier (n = 169), hvor behandlingsnaive (n = 123) og behandlingserfarne (n = 46) pædiatriske hiv-inficerede patienter i alderen 4 måneder til 18 år blev behandlet med emtricitabin i kombination med andre antiretrovirale stoffer. Udover de bivirkninger, der blev rapporteret hos voksne, forekom anæmi (9,5 %) og misfarvning af huden (31,8 %) hyppigere hos pædiatriske patienter end hos voksne i de kliniske studier (se pkt. 4.8, </w:t>
      </w:r>
      <w:r w:rsidRPr="00FC356F">
        <w:rPr>
          <w:i/>
          <w:sz w:val="24"/>
          <w:szCs w:val="24"/>
        </w:rPr>
        <w:t>Tabel over bivirkninger</w:t>
      </w:r>
      <w:r w:rsidRPr="004C3DE3">
        <w:rPr>
          <w:sz w:val="24"/>
          <w:szCs w:val="24"/>
        </w:rPr>
        <w:t>).</w:t>
      </w:r>
    </w:p>
    <w:p w:rsidR="0057668F" w:rsidRPr="004C3DE3" w:rsidRDefault="0057668F" w:rsidP="0057668F">
      <w:pPr>
        <w:autoSpaceDE w:val="0"/>
        <w:autoSpaceDN w:val="0"/>
        <w:adjustRightInd w:val="0"/>
        <w:ind w:left="851"/>
        <w:rPr>
          <w:sz w:val="24"/>
          <w:szCs w:val="24"/>
        </w:rPr>
      </w:pPr>
    </w:p>
    <w:p w:rsidR="0057668F" w:rsidRPr="004C3DE3" w:rsidRDefault="0057668F" w:rsidP="0057668F">
      <w:pPr>
        <w:autoSpaceDE w:val="0"/>
        <w:autoSpaceDN w:val="0"/>
        <w:adjustRightInd w:val="0"/>
        <w:ind w:left="851"/>
        <w:rPr>
          <w:sz w:val="24"/>
          <w:szCs w:val="24"/>
        </w:rPr>
      </w:pPr>
      <w:r w:rsidRPr="004C3DE3">
        <w:rPr>
          <w:sz w:val="24"/>
          <w:szCs w:val="24"/>
        </w:rPr>
        <w:t>Vurderingen af bivirkninger i forbindelse med tenofovirdisoproxil er baseret på to randomiserede studier (studierne GS-US-104-0321 og GS-US-104-0352) hos 184 hiv 1-inficerede pædiatriske patienter (2 år til &lt; 18 år), som fik behandling med tenofovir</w:t>
      </w:r>
      <w:r>
        <w:rPr>
          <w:sz w:val="24"/>
          <w:szCs w:val="24"/>
        </w:rPr>
        <w:softHyphen/>
      </w:r>
      <w:r w:rsidRPr="004C3DE3">
        <w:rPr>
          <w:sz w:val="24"/>
          <w:szCs w:val="24"/>
        </w:rPr>
        <w:t>disoproxil</w:t>
      </w:r>
      <w:r>
        <w:rPr>
          <w:sz w:val="24"/>
          <w:szCs w:val="24"/>
        </w:rPr>
        <w:softHyphen/>
      </w:r>
      <w:r w:rsidRPr="004C3DE3">
        <w:rPr>
          <w:sz w:val="24"/>
          <w:szCs w:val="24"/>
        </w:rPr>
        <w:t xml:space="preserve">fumarat (n = 93) eller placebo/aktiv komparator (n = 91) i kombination med andre antiretrovirale stoffer i 48 uger (se pkt. 5.1). De bivirkninger, der blev observeret hos pædiatriske patienter, som fik tenofovirdisoproxilfumarat, svarede til dem, der blev observeret i kliniske studier af tenofovirdisoproxilfumarat hos voksne (se pkt. 4.8 </w:t>
      </w:r>
      <w:r w:rsidRPr="00FC356F">
        <w:rPr>
          <w:i/>
          <w:sz w:val="24"/>
          <w:szCs w:val="24"/>
        </w:rPr>
        <w:t xml:space="preserve">Tabel over bivirkninger </w:t>
      </w:r>
      <w:r w:rsidRPr="004C3DE3">
        <w:rPr>
          <w:sz w:val="24"/>
          <w:szCs w:val="24"/>
        </w:rPr>
        <w:t>og 5.1).</w:t>
      </w:r>
    </w:p>
    <w:p w:rsidR="0057668F" w:rsidRPr="004C3DE3" w:rsidRDefault="0057668F" w:rsidP="0057668F">
      <w:pPr>
        <w:autoSpaceDE w:val="0"/>
        <w:autoSpaceDN w:val="0"/>
        <w:adjustRightInd w:val="0"/>
        <w:ind w:left="851"/>
        <w:rPr>
          <w:sz w:val="24"/>
          <w:szCs w:val="24"/>
        </w:rPr>
      </w:pPr>
    </w:p>
    <w:p w:rsidR="0057668F" w:rsidRPr="004C3DE3" w:rsidRDefault="0057668F" w:rsidP="0057668F">
      <w:pPr>
        <w:autoSpaceDE w:val="0"/>
        <w:autoSpaceDN w:val="0"/>
        <w:adjustRightInd w:val="0"/>
        <w:ind w:left="851"/>
        <w:rPr>
          <w:sz w:val="24"/>
          <w:szCs w:val="24"/>
        </w:rPr>
      </w:pPr>
      <w:r w:rsidRPr="004C3DE3">
        <w:rPr>
          <w:sz w:val="24"/>
          <w:szCs w:val="24"/>
        </w:rPr>
        <w:t>Nedsat BMD er blevet rapporteret hos pædiatriske patienter. Hos hiv 1-inficerede unge (12 til &lt; 18 år) var de observerede BMD Z-scorer hos de forsøgspersoner, som fik tenofovir</w:t>
      </w:r>
      <w:r>
        <w:rPr>
          <w:sz w:val="24"/>
          <w:szCs w:val="24"/>
        </w:rPr>
        <w:softHyphen/>
      </w:r>
      <w:r w:rsidRPr="004C3DE3">
        <w:rPr>
          <w:sz w:val="24"/>
          <w:szCs w:val="24"/>
        </w:rPr>
        <w:t xml:space="preserve">disoproxilfumarat, lavere end hos de forsøgspersoner, der fik placebo. Hos hiv 1-inficerede børn (2-15 år) var de observerede BMD Z-scorer hos de forsøgspersoner, der skiftede til tenofovirdisoproxil, lavere end hos de forsøgspersoner, der fortsatte med et regime indeholdende stavudin eller zidovudin (se pkt. 4.4 og 5.1). </w:t>
      </w:r>
    </w:p>
    <w:p w:rsidR="0057668F" w:rsidRPr="004C3DE3" w:rsidRDefault="0057668F" w:rsidP="0057668F">
      <w:pPr>
        <w:autoSpaceDE w:val="0"/>
        <w:autoSpaceDN w:val="0"/>
        <w:adjustRightInd w:val="0"/>
        <w:ind w:left="851"/>
        <w:rPr>
          <w:sz w:val="24"/>
          <w:szCs w:val="24"/>
        </w:rPr>
      </w:pPr>
    </w:p>
    <w:p w:rsidR="00803BD1" w:rsidRPr="00F07926" w:rsidRDefault="00DD1001" w:rsidP="00F07926">
      <w:pPr>
        <w:autoSpaceDE w:val="0"/>
        <w:autoSpaceDN w:val="0"/>
        <w:adjustRightInd w:val="0"/>
        <w:ind w:left="851"/>
        <w:rPr>
          <w:sz w:val="24"/>
          <w:szCs w:val="24"/>
        </w:rPr>
      </w:pPr>
      <w:r>
        <w:rPr>
          <w:sz w:val="24"/>
          <w:szCs w:val="24"/>
        </w:rPr>
        <w:t>I studiet GS-US-</w:t>
      </w:r>
      <w:r w:rsidRPr="00DD1001">
        <w:rPr>
          <w:sz w:val="24"/>
          <w:szCs w:val="24"/>
        </w:rPr>
        <w:t>104-0352 blev 89 hiv-1 inficerede pædiatriske patienter med en medianalder på 7 år (2-15 år) eksponeret for tenofovirdisoproxilfumarat i en median periode på 331 uger. Otte af de 89 patienter (9,0 %) seponerede studiemedicinen på grund af nyrebivirkninger. Fem forsøgsdeltagere (5,6 %) havde laboratoriefund, der var klinisk overensstemmende med</w:t>
      </w:r>
      <w:r>
        <w:rPr>
          <w:sz w:val="24"/>
          <w:szCs w:val="24"/>
        </w:rPr>
        <w:t xml:space="preserve"> proksimal renal tubulopati, og 4 af disse seponerede behandlingen med tenofovirdisoproxil. 7 patienter havde en estimeret glomerulær filtrationshastighed (GFR) mellem 70 og 90 ml/min/1,73 m</w:t>
      </w:r>
      <w:r>
        <w:rPr>
          <w:sz w:val="24"/>
          <w:szCs w:val="24"/>
          <w:vertAlign w:val="superscript"/>
        </w:rPr>
        <w:t>2</w:t>
      </w:r>
      <w:r>
        <w:rPr>
          <w:sz w:val="24"/>
          <w:szCs w:val="24"/>
        </w:rPr>
        <w:t xml:space="preserve">. Under behandlingen oplevede 3 af disse patienter et klinisk betydningsfuldt fald i estimeret GFR, som blev forbedret efter seponering af </w:t>
      </w:r>
      <w:r>
        <w:rPr>
          <w:sz w:val="24"/>
          <w:szCs w:val="24"/>
        </w:rPr>
        <w:lastRenderedPageBreak/>
        <w:t>tenofovirdisoproxil.</w:t>
      </w:r>
      <w:r>
        <w:rPr>
          <w:sz w:val="24"/>
          <w:szCs w:val="24"/>
        </w:rPr>
        <w:br/>
      </w:r>
    </w:p>
    <w:p w:rsidR="00803BD1" w:rsidRDefault="00803BD1" w:rsidP="00803BD1">
      <w:pPr>
        <w:ind w:left="851"/>
        <w:rPr>
          <w:sz w:val="24"/>
          <w:szCs w:val="24"/>
          <w:u w:val="single"/>
        </w:rPr>
      </w:pPr>
      <w:r>
        <w:rPr>
          <w:sz w:val="24"/>
          <w:szCs w:val="24"/>
          <w:u w:val="single"/>
        </w:rPr>
        <w:t>Andre særlige populationer</w:t>
      </w:r>
    </w:p>
    <w:p w:rsidR="00FC356F" w:rsidRDefault="00FC356F" w:rsidP="00803BD1">
      <w:pPr>
        <w:ind w:left="851"/>
        <w:rPr>
          <w:sz w:val="24"/>
          <w:szCs w:val="24"/>
          <w:u w:val="single"/>
        </w:rPr>
      </w:pPr>
    </w:p>
    <w:p w:rsidR="00803BD1" w:rsidRDefault="00803BD1" w:rsidP="00803BD1">
      <w:pPr>
        <w:ind w:left="851"/>
        <w:rPr>
          <w:sz w:val="24"/>
          <w:szCs w:val="24"/>
        </w:rPr>
      </w:pPr>
      <w:r>
        <w:rPr>
          <w:i/>
          <w:iCs/>
          <w:sz w:val="24"/>
          <w:szCs w:val="24"/>
        </w:rPr>
        <w:t>Patienter med nedsat nyrefunktion:</w:t>
      </w:r>
      <w:r>
        <w:rPr>
          <w:iCs/>
          <w:sz w:val="24"/>
          <w:szCs w:val="24"/>
        </w:rPr>
        <w:t xml:space="preserve"> </w:t>
      </w:r>
      <w:r>
        <w:rPr>
          <w:sz w:val="24"/>
          <w:szCs w:val="24"/>
        </w:rPr>
        <w:t>Da tenofovirdisoproxil kan forårsage nyretoksicitet, anbefales tæt monitorering af nyrefunktionen hos alle voksne patienter med nedsat nyrefunktion, som behandles med kombinationen af emtricitabin og tenofovirdisoproxil (se pkt. 4.2, 4.4 og 5.2). Brug af Emtricitabine/Tenofovir disoproxil "Sandoz" frarådes hos personer under 18 år med nedsat nyrefunktion (se pkt. 4.2 og 4.4).</w:t>
      </w:r>
    </w:p>
    <w:p w:rsidR="0057668F" w:rsidRPr="004C3DE3" w:rsidRDefault="0057668F" w:rsidP="0057668F">
      <w:pPr>
        <w:ind w:left="851"/>
        <w:rPr>
          <w:iCs/>
          <w:sz w:val="24"/>
          <w:szCs w:val="24"/>
        </w:rPr>
      </w:pPr>
    </w:p>
    <w:p w:rsidR="0057668F" w:rsidRPr="004C3DE3" w:rsidRDefault="0057668F" w:rsidP="0057668F">
      <w:pPr>
        <w:ind w:left="851"/>
        <w:rPr>
          <w:sz w:val="24"/>
          <w:szCs w:val="24"/>
        </w:rPr>
      </w:pPr>
      <w:r w:rsidRPr="004C3DE3">
        <w:rPr>
          <w:i/>
          <w:iCs/>
          <w:sz w:val="24"/>
          <w:szCs w:val="24"/>
        </w:rPr>
        <w:t>Patienter, som både er inficerede med hiv og HBV eller HCV:</w:t>
      </w:r>
      <w:r w:rsidRPr="004C3DE3">
        <w:rPr>
          <w:iCs/>
          <w:sz w:val="24"/>
          <w:szCs w:val="24"/>
        </w:rPr>
        <w:t xml:space="preserve"> </w:t>
      </w:r>
      <w:r w:rsidRPr="004C3DE3">
        <w:rPr>
          <w:sz w:val="24"/>
          <w:szCs w:val="24"/>
          <w:lang w:eastAsia="da-DK"/>
        </w:rPr>
        <w:t xml:space="preserve">I </w:t>
      </w:r>
      <w:r w:rsidRPr="004C3DE3">
        <w:rPr>
          <w:sz w:val="24"/>
          <w:szCs w:val="24"/>
        </w:rPr>
        <w:t>studie GS-01-934 lignede bivirkningsprofilen for emtricitabin og tenofovirdisoproxilfumarat hos et begrænset antal hiv-inficerede patienter, der samtidig var inficeret med HBV (n = 13) eller HCV (n = 26), bivirkningsprofilen hos patienter, som kun er inficerede med hiv. Som det kunne forventes, forekom stigninger i ASAT og ALAT dog hyppigere hos denne patientpopulation end i den generelle hiv-inficerede population.</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i/>
          <w:iCs/>
          <w:sz w:val="24"/>
          <w:szCs w:val="24"/>
        </w:rPr>
        <w:t>Hepatitis-eksacerbationer efter seponering af behandling:</w:t>
      </w:r>
      <w:r w:rsidRPr="004C3DE3">
        <w:rPr>
          <w:iCs/>
          <w:sz w:val="24"/>
          <w:szCs w:val="24"/>
        </w:rPr>
        <w:t xml:space="preserve"> </w:t>
      </w:r>
      <w:r w:rsidRPr="004C3DE3">
        <w:rPr>
          <w:sz w:val="24"/>
          <w:szCs w:val="24"/>
        </w:rPr>
        <w:t>Hos HBV-inficerede patienter er der forekommet klinisk og laboratoriemæssig evidens for hepatitis efter seponering af behandlingen (se pkt. 4.4).</w:t>
      </w:r>
    </w:p>
    <w:p w:rsidR="0057668F" w:rsidRPr="004C3DE3" w:rsidRDefault="0057668F" w:rsidP="0057668F">
      <w:pPr>
        <w:ind w:left="851"/>
        <w:rPr>
          <w:i/>
          <w:sz w:val="24"/>
          <w:szCs w:val="24"/>
        </w:rPr>
      </w:pPr>
    </w:p>
    <w:p w:rsidR="0057668F" w:rsidRDefault="0057668F" w:rsidP="0057668F">
      <w:pPr>
        <w:autoSpaceDE w:val="0"/>
        <w:autoSpaceDN w:val="0"/>
        <w:ind w:left="851"/>
        <w:rPr>
          <w:sz w:val="24"/>
          <w:szCs w:val="24"/>
          <w:u w:val="single"/>
        </w:rPr>
      </w:pPr>
      <w:r w:rsidRPr="004C3DE3">
        <w:rPr>
          <w:sz w:val="24"/>
          <w:szCs w:val="24"/>
          <w:u w:val="single"/>
        </w:rPr>
        <w:t>Indberetning af formodede bivirkninger</w:t>
      </w:r>
    </w:p>
    <w:p w:rsidR="00FC356F" w:rsidRPr="004C3DE3" w:rsidRDefault="00FC356F" w:rsidP="0057668F">
      <w:pPr>
        <w:autoSpaceDE w:val="0"/>
        <w:autoSpaceDN w:val="0"/>
        <w:ind w:left="851"/>
        <w:rPr>
          <w:sz w:val="24"/>
          <w:szCs w:val="24"/>
          <w:u w:val="single"/>
        </w:rPr>
      </w:pPr>
    </w:p>
    <w:p w:rsidR="0057668F" w:rsidRPr="004C3DE3" w:rsidRDefault="0057668F" w:rsidP="0057668F">
      <w:pPr>
        <w:ind w:left="851"/>
        <w:rPr>
          <w:sz w:val="24"/>
          <w:szCs w:val="24"/>
        </w:rPr>
      </w:pPr>
      <w:r w:rsidRPr="004C3DE3">
        <w:rPr>
          <w:sz w:val="24"/>
          <w:szCs w:val="24"/>
        </w:rPr>
        <w:t xml:space="preserve">Når lægemidlet er godkendt, er indberetning af formodede bivirkninger vigtig. Det muliggør løbende overvågning af benefit/risk-forholdet for lægemidlet. </w:t>
      </w:r>
      <w:r w:rsidR="00DD1001">
        <w:rPr>
          <w:sz w:val="24"/>
          <w:szCs w:val="24"/>
        </w:rPr>
        <w:t>Sundhedspersoner</w:t>
      </w:r>
      <w:r w:rsidRPr="004C3DE3">
        <w:rPr>
          <w:sz w:val="24"/>
          <w:szCs w:val="24"/>
        </w:rPr>
        <w:t xml:space="preserve"> anmodes om at indberette alle formodede bivirkninger via:</w:t>
      </w:r>
    </w:p>
    <w:p w:rsidR="0057668F" w:rsidRPr="004C3DE3" w:rsidRDefault="0057668F" w:rsidP="0057668F">
      <w:pPr>
        <w:tabs>
          <w:tab w:val="left" w:pos="2440"/>
        </w:tabs>
        <w:ind w:left="851"/>
        <w:rPr>
          <w:sz w:val="24"/>
          <w:szCs w:val="24"/>
        </w:rPr>
      </w:pPr>
    </w:p>
    <w:p w:rsidR="0057668F" w:rsidRPr="004C3DE3" w:rsidRDefault="0057668F" w:rsidP="0057668F">
      <w:pPr>
        <w:ind w:left="851"/>
        <w:rPr>
          <w:sz w:val="24"/>
          <w:szCs w:val="24"/>
        </w:rPr>
      </w:pPr>
      <w:r w:rsidRPr="004C3DE3">
        <w:rPr>
          <w:sz w:val="24"/>
          <w:szCs w:val="24"/>
        </w:rPr>
        <w:t>Lægemiddelstyrelsen</w:t>
      </w:r>
    </w:p>
    <w:p w:rsidR="0057668F" w:rsidRPr="004C3DE3" w:rsidRDefault="0057668F" w:rsidP="0057668F">
      <w:pPr>
        <w:ind w:left="851"/>
        <w:rPr>
          <w:sz w:val="24"/>
          <w:szCs w:val="24"/>
        </w:rPr>
      </w:pPr>
      <w:r w:rsidRPr="004C3DE3">
        <w:rPr>
          <w:sz w:val="24"/>
          <w:szCs w:val="24"/>
        </w:rPr>
        <w:t>Axel Heides Gade 1</w:t>
      </w:r>
    </w:p>
    <w:p w:rsidR="0057668F" w:rsidRPr="004C3DE3" w:rsidRDefault="0057668F" w:rsidP="0057668F">
      <w:pPr>
        <w:ind w:left="851"/>
        <w:rPr>
          <w:sz w:val="24"/>
          <w:szCs w:val="24"/>
        </w:rPr>
      </w:pPr>
      <w:r w:rsidRPr="004C3DE3">
        <w:rPr>
          <w:sz w:val="24"/>
          <w:szCs w:val="24"/>
        </w:rPr>
        <w:t>DK-2300 København S</w:t>
      </w:r>
    </w:p>
    <w:p w:rsidR="0057668F" w:rsidRPr="00D24B04" w:rsidRDefault="0057668F" w:rsidP="0057668F">
      <w:pPr>
        <w:ind w:left="851"/>
        <w:rPr>
          <w:sz w:val="24"/>
          <w:szCs w:val="24"/>
        </w:rPr>
      </w:pPr>
      <w:r w:rsidRPr="00D24B04">
        <w:rPr>
          <w:sz w:val="24"/>
          <w:szCs w:val="24"/>
        </w:rPr>
        <w:t xml:space="preserve">Websted: </w:t>
      </w:r>
      <w:hyperlink r:id="rId8" w:history="1">
        <w:r w:rsidRPr="00D24B04">
          <w:rPr>
            <w:rStyle w:val="Hyperlink"/>
            <w:sz w:val="24"/>
            <w:szCs w:val="24"/>
          </w:rPr>
          <w:t>www.meldenbivirkning.dk</w:t>
        </w:r>
      </w:hyperlink>
    </w:p>
    <w:p w:rsidR="0057668F" w:rsidRPr="00D24B04" w:rsidRDefault="0057668F" w:rsidP="0057668F">
      <w:pPr>
        <w:pStyle w:val="Sidehoved"/>
        <w:tabs>
          <w:tab w:val="left" w:pos="851"/>
        </w:tabs>
        <w:ind w:left="851" w:hanging="851"/>
        <w:rPr>
          <w:szCs w:val="24"/>
        </w:rPr>
      </w:pPr>
    </w:p>
    <w:p w:rsidR="0057668F" w:rsidRPr="004C3DE3" w:rsidRDefault="0057668F" w:rsidP="0057668F">
      <w:pPr>
        <w:tabs>
          <w:tab w:val="left" w:pos="851"/>
        </w:tabs>
        <w:ind w:left="851" w:hanging="851"/>
        <w:rPr>
          <w:b/>
          <w:sz w:val="24"/>
          <w:szCs w:val="24"/>
        </w:rPr>
      </w:pPr>
      <w:r w:rsidRPr="004C3DE3">
        <w:rPr>
          <w:b/>
          <w:sz w:val="24"/>
          <w:szCs w:val="24"/>
        </w:rPr>
        <w:t>4.9</w:t>
      </w:r>
      <w:r w:rsidRPr="004C3DE3">
        <w:rPr>
          <w:b/>
          <w:sz w:val="24"/>
          <w:szCs w:val="24"/>
        </w:rPr>
        <w:tab/>
        <w:t>Overdosering</w:t>
      </w:r>
    </w:p>
    <w:p w:rsidR="0057668F" w:rsidRPr="004C3DE3" w:rsidRDefault="0057668F" w:rsidP="0057668F">
      <w:pPr>
        <w:ind w:left="851"/>
        <w:rPr>
          <w:sz w:val="24"/>
          <w:szCs w:val="24"/>
        </w:rPr>
      </w:pPr>
      <w:r w:rsidRPr="004C3DE3">
        <w:rPr>
          <w:sz w:val="24"/>
          <w:szCs w:val="24"/>
        </w:rPr>
        <w:t>Såfremt der forekommer overdosering, skal patienten monitoreres for tegn på toksicitet (se pkt. 4.8), og der skal gives støttende standardbehandling efter behov.</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Op til 30 % af emtricitabindosen og cirka 10 % af tenofovirdosen kan fjernes ved hæmodialyse. Det vides ikke, om emtricitabin eller tenofovir kan fjernes ved peritonealdialyse.</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4.10</w:t>
      </w:r>
      <w:r w:rsidRPr="004C3DE3">
        <w:rPr>
          <w:b/>
          <w:sz w:val="24"/>
          <w:szCs w:val="24"/>
        </w:rPr>
        <w:tab/>
        <w:t>Udlevering</w:t>
      </w:r>
    </w:p>
    <w:p w:rsidR="0057668F" w:rsidRPr="004C3DE3" w:rsidRDefault="0057668F" w:rsidP="0057668F">
      <w:pPr>
        <w:tabs>
          <w:tab w:val="left" w:pos="851"/>
        </w:tabs>
        <w:ind w:left="851"/>
        <w:rPr>
          <w:sz w:val="24"/>
          <w:szCs w:val="24"/>
        </w:rPr>
      </w:pPr>
      <w:r>
        <w:rPr>
          <w:sz w:val="24"/>
          <w:szCs w:val="24"/>
        </w:rPr>
        <w:t>BEGR - kun til sygehuse</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5.</w:t>
      </w:r>
      <w:r w:rsidRPr="004C3DE3">
        <w:rPr>
          <w:b/>
          <w:sz w:val="24"/>
          <w:szCs w:val="24"/>
        </w:rPr>
        <w:tab/>
        <w:t>FARMAKOLOGISKE EGENSKABER</w:t>
      </w:r>
    </w:p>
    <w:p w:rsidR="0057668F" w:rsidRPr="004C3DE3" w:rsidRDefault="0057668F" w:rsidP="00FC356F">
      <w:pPr>
        <w:tabs>
          <w:tab w:val="left" w:pos="851"/>
        </w:tabs>
        <w:rPr>
          <w:sz w:val="24"/>
          <w:szCs w:val="24"/>
        </w:rPr>
      </w:pPr>
    </w:p>
    <w:p w:rsidR="0057668F" w:rsidRPr="00AD7CE0" w:rsidRDefault="0057668F" w:rsidP="00AD7CE0">
      <w:pPr>
        <w:keepNext/>
        <w:tabs>
          <w:tab w:val="num" w:pos="851"/>
        </w:tabs>
        <w:ind w:left="851" w:hanging="851"/>
        <w:rPr>
          <w:b/>
          <w:sz w:val="24"/>
          <w:szCs w:val="24"/>
        </w:rPr>
      </w:pPr>
      <w:r w:rsidRPr="004C3DE3">
        <w:rPr>
          <w:b/>
          <w:sz w:val="24"/>
          <w:szCs w:val="24"/>
        </w:rPr>
        <w:t>5.1</w:t>
      </w:r>
      <w:r w:rsidRPr="004C3DE3">
        <w:rPr>
          <w:b/>
          <w:sz w:val="24"/>
          <w:szCs w:val="24"/>
        </w:rPr>
        <w:tab/>
        <w:t>Farmakodynamiske egenskaber</w:t>
      </w:r>
    </w:p>
    <w:p w:rsidR="00FC356F" w:rsidRPr="004C3DE3" w:rsidRDefault="00FC356F" w:rsidP="00FC356F">
      <w:pPr>
        <w:suppressAutoHyphens/>
        <w:ind w:left="851"/>
        <w:rPr>
          <w:sz w:val="24"/>
          <w:szCs w:val="24"/>
        </w:rPr>
      </w:pPr>
      <w:r>
        <w:rPr>
          <w:sz w:val="24"/>
          <w:szCs w:val="24"/>
        </w:rPr>
        <w:t>Farmakoterapeutisk klassifikation:</w:t>
      </w:r>
      <w:r w:rsidRPr="00FC356F">
        <w:rPr>
          <w:sz w:val="24"/>
          <w:szCs w:val="24"/>
        </w:rPr>
        <w:t xml:space="preserve"> </w:t>
      </w:r>
      <w:r w:rsidRPr="004C3DE3">
        <w:rPr>
          <w:sz w:val="24"/>
          <w:szCs w:val="24"/>
        </w:rPr>
        <w:t xml:space="preserve">Antivirale lægemidler til systemisk brug; </w:t>
      </w:r>
      <w:r>
        <w:rPr>
          <w:sz w:val="24"/>
          <w:szCs w:val="24"/>
        </w:rPr>
        <w:t>a</w:t>
      </w:r>
      <w:r w:rsidRPr="004C3DE3">
        <w:rPr>
          <w:sz w:val="24"/>
          <w:szCs w:val="24"/>
        </w:rPr>
        <w:t>ntivirale midler til behandling af hiv-infektioner, komb</w:t>
      </w:r>
      <w:r>
        <w:rPr>
          <w:sz w:val="24"/>
          <w:szCs w:val="24"/>
        </w:rPr>
        <w:t xml:space="preserve">inationer, </w:t>
      </w:r>
      <w:r w:rsidRPr="004C3DE3">
        <w:rPr>
          <w:sz w:val="24"/>
          <w:szCs w:val="24"/>
        </w:rPr>
        <w:t>ATC-kode: J05AR03.</w:t>
      </w:r>
      <w:r>
        <w:rPr>
          <w:sz w:val="24"/>
          <w:szCs w:val="24"/>
        </w:rPr>
        <w:t xml:space="preserve"> </w:t>
      </w:r>
    </w:p>
    <w:p w:rsidR="00FC356F" w:rsidRDefault="00FC356F" w:rsidP="00FC356F">
      <w:pPr>
        <w:suppressAutoHyphens/>
        <w:ind w:left="851"/>
        <w:rPr>
          <w:sz w:val="24"/>
          <w:szCs w:val="24"/>
        </w:rPr>
      </w:pPr>
    </w:p>
    <w:p w:rsidR="00FC356F" w:rsidRPr="00FC356F" w:rsidRDefault="00FC356F" w:rsidP="00AD7CE0">
      <w:pPr>
        <w:keepNext/>
        <w:ind w:left="851"/>
        <w:rPr>
          <w:sz w:val="24"/>
          <w:szCs w:val="24"/>
        </w:rPr>
      </w:pPr>
    </w:p>
    <w:p w:rsidR="0057668F" w:rsidRDefault="0057668F" w:rsidP="00AD7CE0">
      <w:pPr>
        <w:keepNext/>
        <w:ind w:left="851"/>
        <w:rPr>
          <w:sz w:val="24"/>
          <w:szCs w:val="24"/>
          <w:u w:val="single"/>
        </w:rPr>
      </w:pPr>
      <w:r w:rsidRPr="004C3DE3">
        <w:rPr>
          <w:sz w:val="24"/>
          <w:szCs w:val="24"/>
          <w:u w:val="single"/>
        </w:rPr>
        <w:t>Virkningsmekanisme</w:t>
      </w:r>
    </w:p>
    <w:p w:rsidR="00FC356F" w:rsidRPr="004C3DE3" w:rsidRDefault="00FC356F" w:rsidP="00AD7CE0">
      <w:pPr>
        <w:keepNext/>
        <w:ind w:left="851"/>
        <w:rPr>
          <w:sz w:val="24"/>
          <w:szCs w:val="24"/>
          <w:u w:val="single"/>
        </w:rPr>
      </w:pPr>
    </w:p>
    <w:p w:rsidR="0057668F" w:rsidRPr="004C3DE3" w:rsidRDefault="0057668F" w:rsidP="0057668F">
      <w:pPr>
        <w:ind w:left="851"/>
        <w:rPr>
          <w:sz w:val="24"/>
          <w:szCs w:val="24"/>
        </w:rPr>
      </w:pPr>
      <w:r w:rsidRPr="004C3DE3">
        <w:rPr>
          <w:sz w:val="24"/>
          <w:szCs w:val="24"/>
        </w:rPr>
        <w:t xml:space="preserve">Emtricitabin er en nukleosidanalog af cytidin. Tenofovirdisoproxil omdannes </w:t>
      </w:r>
      <w:r w:rsidRPr="004C3DE3">
        <w:rPr>
          <w:i/>
          <w:iCs/>
          <w:sz w:val="24"/>
          <w:szCs w:val="24"/>
        </w:rPr>
        <w:t>in vivo</w:t>
      </w:r>
      <w:r w:rsidRPr="004C3DE3">
        <w:rPr>
          <w:sz w:val="24"/>
          <w:szCs w:val="24"/>
        </w:rPr>
        <w:t xml:space="preserve"> til tenofovir, som er en nukleosidmono</w:t>
      </w:r>
      <w:r>
        <w:rPr>
          <w:sz w:val="24"/>
          <w:szCs w:val="24"/>
        </w:rPr>
        <w:t>ph</w:t>
      </w:r>
      <w:r w:rsidRPr="004C3DE3">
        <w:rPr>
          <w:sz w:val="24"/>
          <w:szCs w:val="24"/>
        </w:rPr>
        <w:t>os</w:t>
      </w:r>
      <w:r>
        <w:rPr>
          <w:sz w:val="24"/>
          <w:szCs w:val="24"/>
        </w:rPr>
        <w:t>ph</w:t>
      </w:r>
      <w:r w:rsidRPr="004C3DE3">
        <w:rPr>
          <w:sz w:val="24"/>
          <w:szCs w:val="24"/>
        </w:rPr>
        <w:t>at-(nukleotid)-analog af adenosinmono</w:t>
      </w:r>
      <w:r>
        <w:rPr>
          <w:sz w:val="24"/>
          <w:szCs w:val="24"/>
        </w:rPr>
        <w:softHyphen/>
        <w:t>phosphat</w:t>
      </w:r>
      <w:r w:rsidRPr="004C3DE3">
        <w:rPr>
          <w:sz w:val="24"/>
          <w:szCs w:val="24"/>
        </w:rPr>
        <w:t>. Både emtricitabin og tenofovir har aktivitet, som er specifik mod human immundefekt virus (hiv-1 og hiv-2) og hepatitis B-virus.</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Emtricitabin og tenofovir fosforyleres af cellulære enzymer til at danne henholdsvis emtricitabintri</w:t>
      </w:r>
      <w:r>
        <w:rPr>
          <w:sz w:val="24"/>
          <w:szCs w:val="24"/>
        </w:rPr>
        <w:t>phosphat</w:t>
      </w:r>
      <w:r w:rsidRPr="004C3DE3">
        <w:rPr>
          <w:sz w:val="24"/>
          <w:szCs w:val="24"/>
        </w:rPr>
        <w:t xml:space="preserve"> og tenofovirdi</w:t>
      </w:r>
      <w:r>
        <w:rPr>
          <w:sz w:val="24"/>
          <w:szCs w:val="24"/>
        </w:rPr>
        <w:t>phosphat</w:t>
      </w:r>
      <w:r w:rsidRPr="004C3DE3">
        <w:rPr>
          <w:sz w:val="24"/>
          <w:szCs w:val="24"/>
        </w:rPr>
        <w:t xml:space="preserve">. Studier </w:t>
      </w:r>
      <w:r w:rsidRPr="004C3DE3">
        <w:rPr>
          <w:i/>
          <w:iCs/>
          <w:sz w:val="24"/>
          <w:szCs w:val="24"/>
        </w:rPr>
        <w:t xml:space="preserve">in vitro </w:t>
      </w:r>
      <w:r w:rsidRPr="004C3DE3">
        <w:rPr>
          <w:sz w:val="24"/>
          <w:szCs w:val="24"/>
        </w:rPr>
        <w:t>har vist, at både emtricitabin og tenofovir kan fosforyleres fuldstændigt, når de kombineres i celler. Emtricitabintri</w:t>
      </w:r>
      <w:r>
        <w:rPr>
          <w:sz w:val="24"/>
          <w:szCs w:val="24"/>
        </w:rPr>
        <w:t>phosphat</w:t>
      </w:r>
      <w:r w:rsidRPr="004C3DE3">
        <w:rPr>
          <w:sz w:val="24"/>
          <w:szCs w:val="24"/>
        </w:rPr>
        <w:t xml:space="preserve"> og tenofovirdi</w:t>
      </w:r>
      <w:r>
        <w:rPr>
          <w:sz w:val="24"/>
          <w:szCs w:val="24"/>
        </w:rPr>
        <w:t>phosphat</w:t>
      </w:r>
      <w:r w:rsidRPr="004C3DE3">
        <w:rPr>
          <w:sz w:val="24"/>
          <w:szCs w:val="24"/>
        </w:rPr>
        <w:t xml:space="preserve"> inhiberer hiv-1 revers transkriptase kompetitivt, hvilket resulterer i dna-kædeblokering.</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Både emtricitabintri</w:t>
      </w:r>
      <w:r>
        <w:rPr>
          <w:sz w:val="24"/>
          <w:szCs w:val="24"/>
        </w:rPr>
        <w:t>phosphat</w:t>
      </w:r>
      <w:r w:rsidRPr="004C3DE3">
        <w:rPr>
          <w:sz w:val="24"/>
          <w:szCs w:val="24"/>
        </w:rPr>
        <w:t xml:space="preserve"> og tenofovirdi</w:t>
      </w:r>
      <w:r>
        <w:rPr>
          <w:sz w:val="24"/>
          <w:szCs w:val="24"/>
        </w:rPr>
        <w:t>phosphat</w:t>
      </w:r>
      <w:r w:rsidRPr="004C3DE3">
        <w:rPr>
          <w:sz w:val="24"/>
          <w:szCs w:val="24"/>
        </w:rPr>
        <w:t xml:space="preserve"> er svage inhibitorer af mammale dna-polymeraser, og der var intet tegn på toksicitet over for mitokondrier </w:t>
      </w:r>
      <w:r w:rsidRPr="004C3DE3">
        <w:rPr>
          <w:i/>
          <w:iCs/>
          <w:sz w:val="24"/>
          <w:szCs w:val="24"/>
        </w:rPr>
        <w:t xml:space="preserve">in vitro </w:t>
      </w:r>
      <w:r w:rsidRPr="004C3DE3">
        <w:rPr>
          <w:sz w:val="24"/>
          <w:szCs w:val="24"/>
        </w:rPr>
        <w:t xml:space="preserve">eller </w:t>
      </w:r>
      <w:r w:rsidRPr="004C3DE3">
        <w:rPr>
          <w:i/>
          <w:iCs/>
          <w:sz w:val="24"/>
          <w:szCs w:val="24"/>
        </w:rPr>
        <w:t>in vivo</w:t>
      </w:r>
      <w:r w:rsidRPr="004C3DE3">
        <w:rPr>
          <w:sz w:val="24"/>
          <w:szCs w:val="24"/>
        </w:rPr>
        <w:t>.</w:t>
      </w:r>
    </w:p>
    <w:p w:rsidR="0057668F" w:rsidRPr="004C3DE3" w:rsidRDefault="0057668F" w:rsidP="0057668F">
      <w:pPr>
        <w:ind w:left="851"/>
        <w:rPr>
          <w:sz w:val="24"/>
          <w:szCs w:val="24"/>
        </w:rPr>
      </w:pPr>
    </w:p>
    <w:p w:rsidR="0057668F" w:rsidRDefault="0057668F" w:rsidP="0057668F">
      <w:pPr>
        <w:ind w:left="851"/>
        <w:rPr>
          <w:i/>
          <w:iCs/>
          <w:sz w:val="24"/>
          <w:szCs w:val="24"/>
          <w:u w:val="single"/>
        </w:rPr>
      </w:pPr>
      <w:r w:rsidRPr="004C3DE3">
        <w:rPr>
          <w:iCs/>
          <w:sz w:val="24"/>
          <w:szCs w:val="24"/>
          <w:u w:val="single"/>
        </w:rPr>
        <w:t>Antiviral aktivitet</w:t>
      </w:r>
      <w:r w:rsidRPr="004C3DE3">
        <w:rPr>
          <w:i/>
          <w:iCs/>
          <w:sz w:val="24"/>
          <w:szCs w:val="24"/>
          <w:u w:val="single"/>
        </w:rPr>
        <w:t xml:space="preserve"> in vitro</w:t>
      </w:r>
    </w:p>
    <w:p w:rsidR="00FC356F" w:rsidRPr="004C3DE3" w:rsidRDefault="00FC356F" w:rsidP="0057668F">
      <w:pPr>
        <w:ind w:left="851"/>
        <w:rPr>
          <w:i/>
          <w:iCs/>
          <w:sz w:val="24"/>
          <w:szCs w:val="24"/>
          <w:u w:val="single"/>
        </w:rPr>
      </w:pPr>
    </w:p>
    <w:p w:rsidR="0057668F" w:rsidRPr="004C3DE3" w:rsidRDefault="0057668F" w:rsidP="0057668F">
      <w:pPr>
        <w:ind w:left="851"/>
        <w:rPr>
          <w:sz w:val="24"/>
          <w:szCs w:val="24"/>
        </w:rPr>
      </w:pPr>
      <w:r w:rsidRPr="004C3DE3">
        <w:rPr>
          <w:iCs/>
          <w:sz w:val="24"/>
          <w:szCs w:val="24"/>
        </w:rPr>
        <w:t>Der blev observeret</w:t>
      </w:r>
      <w:r w:rsidRPr="00FE531C">
        <w:rPr>
          <w:iCs/>
          <w:sz w:val="24"/>
          <w:szCs w:val="24"/>
        </w:rPr>
        <w:t xml:space="preserve"> s</w:t>
      </w:r>
      <w:r w:rsidRPr="004C3DE3">
        <w:rPr>
          <w:sz w:val="24"/>
          <w:szCs w:val="24"/>
        </w:rPr>
        <w:t xml:space="preserve">ynergistisk antiviral aktivitet med kombinationen af emtricitabin og tenofovir </w:t>
      </w:r>
      <w:r w:rsidRPr="004C3DE3">
        <w:rPr>
          <w:i/>
          <w:iCs/>
          <w:sz w:val="24"/>
          <w:szCs w:val="24"/>
        </w:rPr>
        <w:t>in vitro</w:t>
      </w:r>
      <w:r w:rsidRPr="004C3DE3">
        <w:rPr>
          <w:sz w:val="24"/>
          <w:szCs w:val="24"/>
        </w:rPr>
        <w:t>. Yderligere synergistiske effekter blev observeret i kombinationsstudier med proteasehæmmere og med nukleosid- og non-nukleosid-analoghæmmere af hiv-revers transkriptase.</w:t>
      </w:r>
    </w:p>
    <w:p w:rsidR="0057668F" w:rsidRPr="004C3DE3" w:rsidRDefault="0057668F" w:rsidP="0057668F">
      <w:pPr>
        <w:ind w:left="851"/>
        <w:rPr>
          <w:sz w:val="24"/>
          <w:szCs w:val="24"/>
        </w:rPr>
      </w:pPr>
    </w:p>
    <w:p w:rsidR="0057668F" w:rsidRPr="004C3DE3" w:rsidRDefault="0057668F" w:rsidP="0057668F">
      <w:pPr>
        <w:ind w:left="851"/>
        <w:rPr>
          <w:iCs/>
          <w:sz w:val="24"/>
          <w:szCs w:val="24"/>
          <w:u w:val="single"/>
        </w:rPr>
      </w:pPr>
      <w:r w:rsidRPr="004C3DE3">
        <w:rPr>
          <w:iCs/>
          <w:sz w:val="24"/>
          <w:szCs w:val="24"/>
          <w:u w:val="single"/>
        </w:rPr>
        <w:t xml:space="preserve">Resistens </w:t>
      </w:r>
    </w:p>
    <w:p w:rsidR="0057668F" w:rsidRPr="004C3DE3" w:rsidRDefault="0057668F" w:rsidP="0057668F">
      <w:pPr>
        <w:ind w:left="851"/>
        <w:rPr>
          <w:i/>
          <w:iCs/>
          <w:sz w:val="24"/>
          <w:szCs w:val="24"/>
        </w:rPr>
      </w:pPr>
    </w:p>
    <w:p w:rsidR="0057668F" w:rsidRPr="004C3DE3" w:rsidRDefault="0057668F" w:rsidP="0057668F">
      <w:pPr>
        <w:ind w:left="851"/>
        <w:rPr>
          <w:sz w:val="24"/>
          <w:szCs w:val="24"/>
        </w:rPr>
      </w:pPr>
      <w:r w:rsidRPr="004C3DE3">
        <w:rPr>
          <w:i/>
          <w:sz w:val="24"/>
          <w:szCs w:val="24"/>
        </w:rPr>
        <w:t>In vitro:</w:t>
      </w:r>
      <w:r w:rsidRPr="004C3DE3">
        <w:rPr>
          <w:sz w:val="24"/>
          <w:szCs w:val="24"/>
        </w:rPr>
        <w:t xml:space="preserve"> Der er observeret resistens </w:t>
      </w:r>
      <w:r w:rsidRPr="004C3DE3">
        <w:rPr>
          <w:i/>
          <w:iCs/>
          <w:sz w:val="24"/>
          <w:szCs w:val="24"/>
        </w:rPr>
        <w:t xml:space="preserve">in vitro </w:t>
      </w:r>
      <w:r w:rsidRPr="004C3DE3">
        <w:rPr>
          <w:sz w:val="24"/>
          <w:szCs w:val="24"/>
        </w:rPr>
        <w:t>og hos nogle hiv-1-inficerede patienter grundet udvikling af M184V/I-mutationen med emtricitabin eller K65R-mutationen med tenofovir.</w:t>
      </w:r>
    </w:p>
    <w:p w:rsidR="0057668F" w:rsidRPr="004C3DE3" w:rsidRDefault="0057668F" w:rsidP="0057668F">
      <w:pPr>
        <w:ind w:left="851"/>
        <w:rPr>
          <w:sz w:val="24"/>
          <w:szCs w:val="24"/>
        </w:rPr>
      </w:pPr>
      <w:r w:rsidRPr="004C3DE3">
        <w:rPr>
          <w:sz w:val="24"/>
          <w:szCs w:val="24"/>
        </w:rPr>
        <w:t>Emtricitabin-resistente virus med M184V/I-mutationen var krydsresistente over for lamivudin, men bibeholdt følsomhed over for didanosin, stavudin, tenofovir og zidovudin. K65R-mutationen kan desuden selekteres ved hjælp af abacavir eller didanosin og forårsager nedsat følsomhed over for disse stoffer samt lamivudin, emtricitabin og tenofovir. Tenofovirdisoproxil bør undgås hos tidligere antiretroviral-behandlede patienter med hiv-1 med stammer, som bærer K65R-mutationen. Desuden er en K70E-substitution i hiv-1 revers transkriptase blevet selekteret af tenofovir, hvilket fører til nedsat følsomhed for abacavir, emtricitabin, lamivudin og tenofovir på lavt niveau. Hiv-1 som udtrykker tre eller flere thymidinanalog-associerede mutationer (TAMs), som inkluderede enten M41L- eller L210W-revers transkriptase mutationen, udviste reduceret følsomhed overfor tenofovirdisoproxil.</w:t>
      </w:r>
    </w:p>
    <w:p w:rsidR="0057668F" w:rsidRPr="004C3DE3" w:rsidRDefault="0057668F" w:rsidP="0057668F">
      <w:pPr>
        <w:ind w:left="851"/>
        <w:rPr>
          <w:i/>
          <w:iCs/>
          <w:sz w:val="24"/>
          <w:szCs w:val="24"/>
        </w:rPr>
      </w:pPr>
    </w:p>
    <w:p w:rsidR="0057668F" w:rsidRDefault="0057668F" w:rsidP="0057668F">
      <w:pPr>
        <w:ind w:left="851"/>
        <w:rPr>
          <w:sz w:val="24"/>
          <w:szCs w:val="24"/>
        </w:rPr>
      </w:pPr>
      <w:r w:rsidRPr="004C3DE3">
        <w:rPr>
          <w:i/>
          <w:iCs/>
          <w:sz w:val="24"/>
          <w:szCs w:val="24"/>
        </w:rPr>
        <w:t xml:space="preserve">In vivo-behandling af hiv: </w:t>
      </w:r>
      <w:r w:rsidRPr="004C3DE3">
        <w:rPr>
          <w:sz w:val="24"/>
          <w:szCs w:val="24"/>
        </w:rPr>
        <w:t>I et open-label, randomiseret, klinisk studie (GS-01-934) med antiretroviral-naive patienter blev der foretaget genotypebestemmelse på hiv-1 plasmaisolater fra alle patienter med bekræftet hiv-RNA &gt; 400 kopier/ml ved uge 48, 96 eller 144 eller på tidspunktet for tidlig seponering af forsøgsmedicinen. Fra uge 144:</w:t>
      </w:r>
    </w:p>
    <w:p w:rsidR="00FC356F" w:rsidRPr="004C3DE3" w:rsidRDefault="00FC356F" w:rsidP="0057668F">
      <w:pPr>
        <w:ind w:left="851"/>
        <w:rPr>
          <w:sz w:val="24"/>
          <w:szCs w:val="24"/>
        </w:rPr>
      </w:pPr>
    </w:p>
    <w:p w:rsidR="0057668F" w:rsidRPr="004C3DE3" w:rsidRDefault="0057668F" w:rsidP="0057668F">
      <w:pPr>
        <w:pStyle w:val="Listeafsnit"/>
        <w:numPr>
          <w:ilvl w:val="0"/>
          <w:numId w:val="9"/>
        </w:numPr>
        <w:ind w:left="1276" w:hanging="425"/>
        <w:rPr>
          <w:sz w:val="24"/>
          <w:szCs w:val="24"/>
        </w:rPr>
      </w:pPr>
      <w:r w:rsidRPr="004C3DE3">
        <w:rPr>
          <w:sz w:val="24"/>
          <w:szCs w:val="24"/>
        </w:rPr>
        <w:t>M184V/I-mutationen udviklede sig i 2/19 (10,5 %) af de isolater, der blev analyseret fra patienter i emtricitabin/tenofovirdisoproxil/efavirenz-gruppen og i 10/29 (34,5 %) af de isolater, der blev analyseret fra lamivudin/zidovudin/efavirenz-gruppen (p-værdi &lt; 0,05; Fisher’s Exact test, som sammenligner alle patienterne fra henholdsvis emtricitabin + tenofovirdisoproxil-gruppen med lamivudin/zidovudin-gruppen).</w:t>
      </w:r>
    </w:p>
    <w:p w:rsidR="0057668F" w:rsidRPr="004C3DE3" w:rsidRDefault="0057668F" w:rsidP="0057668F">
      <w:pPr>
        <w:pStyle w:val="Listeafsnit"/>
        <w:numPr>
          <w:ilvl w:val="0"/>
          <w:numId w:val="9"/>
        </w:numPr>
        <w:ind w:left="1276" w:hanging="425"/>
        <w:rPr>
          <w:sz w:val="24"/>
          <w:szCs w:val="24"/>
        </w:rPr>
      </w:pPr>
      <w:r w:rsidRPr="004C3DE3">
        <w:rPr>
          <w:sz w:val="24"/>
          <w:szCs w:val="24"/>
        </w:rPr>
        <w:t>Ingen af de analyserede vira indeholdt K65R- eller K70E-mutationen.</w:t>
      </w:r>
    </w:p>
    <w:p w:rsidR="0057668F" w:rsidRPr="004C3DE3" w:rsidRDefault="0057668F" w:rsidP="0057668F">
      <w:pPr>
        <w:pStyle w:val="Listeafsnit"/>
        <w:numPr>
          <w:ilvl w:val="0"/>
          <w:numId w:val="9"/>
        </w:numPr>
        <w:ind w:left="1276" w:hanging="425"/>
        <w:rPr>
          <w:sz w:val="24"/>
          <w:szCs w:val="24"/>
        </w:rPr>
      </w:pPr>
      <w:r w:rsidRPr="004C3DE3">
        <w:rPr>
          <w:sz w:val="24"/>
          <w:szCs w:val="24"/>
        </w:rPr>
        <w:lastRenderedPageBreak/>
        <w:t>Genotyperesistens over for efavirenz, især K103N-mutationen, udviklede sig i virus fra 13/19 (68 %) af patienterne i emtricitabin/tenofovirdisoproxil/efavirenz-gruppen og i virus fra 21/29 (72 %) af patienterne i sammenligningsgruppen.</w:t>
      </w:r>
    </w:p>
    <w:p w:rsidR="0057668F" w:rsidRPr="004C3DE3" w:rsidRDefault="0057668F" w:rsidP="0057668F">
      <w:pPr>
        <w:ind w:left="1276" w:hanging="425"/>
        <w:rPr>
          <w:sz w:val="24"/>
          <w:szCs w:val="24"/>
          <w:u w:val="single"/>
        </w:rPr>
      </w:pPr>
    </w:p>
    <w:p w:rsidR="0057668F" w:rsidRPr="004C3DE3" w:rsidRDefault="0057668F" w:rsidP="0057668F">
      <w:pPr>
        <w:autoSpaceDE w:val="0"/>
        <w:autoSpaceDN w:val="0"/>
        <w:adjustRightInd w:val="0"/>
        <w:ind w:left="851"/>
        <w:rPr>
          <w:sz w:val="24"/>
          <w:szCs w:val="24"/>
          <w:lang w:eastAsia="da-DK"/>
        </w:rPr>
      </w:pPr>
      <w:r w:rsidRPr="004C3DE3">
        <w:rPr>
          <w:i/>
          <w:iCs/>
          <w:sz w:val="24"/>
          <w:szCs w:val="24"/>
          <w:lang w:eastAsia="da-DK"/>
        </w:rPr>
        <w:t xml:space="preserve">In vivo – PrEP: </w:t>
      </w:r>
      <w:r w:rsidRPr="004C3DE3">
        <w:rPr>
          <w:sz w:val="24"/>
          <w:szCs w:val="24"/>
          <w:lang w:eastAsia="da-DK"/>
        </w:rPr>
        <w:t>Plasmaprøver fra 2 kliniske studier med forsøgspersoner uden hiv-infektion, iPrEx og Partners PrEP, blev analyseret for 4 hiv 1-varianter, der eksprimerer aminosyresubstitutioner (K65R, K70E, M184V og M184I), som potentielt kan udvise resistens over for tenofovir eller emtricitabin. I det kliniske iPrEx-studie blev der ikke registreret hiv 1-varianter, som eksprimerede K65R, K70E, M184V eller M184I på tidspunktet for serokonvertering, blandt forsøgspersoner, som blev inficeret med hiv 1 efter optagelse i studiet. Hos 3 ud af 10 patienter, som havde akut hiv-infektion ved optagelse i studiet, blev M184I- og M184V-mutationer påvist i hiv hos 2 ud af 2 forsøgspersoner i gruppen med kombinationen af emtricitabin og tenofovirdisoproxil og hos 1 ud af 8 forsøgspersoner i placebogruppen.</w:t>
      </w:r>
    </w:p>
    <w:p w:rsidR="0057668F" w:rsidRPr="004C3DE3" w:rsidRDefault="0057668F" w:rsidP="0057668F">
      <w:pPr>
        <w:autoSpaceDE w:val="0"/>
        <w:autoSpaceDN w:val="0"/>
        <w:adjustRightInd w:val="0"/>
        <w:ind w:left="851" w:hanging="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I det kliniske Partners PrEP-studie blev der ikke registreret hiv 1-varianter, som eksprimerede K65R, K70E, M184V eller M184I på tidspunktet for serokonvertering, blandt forsøgspersoner, der blev inficeret med hiv 1 i løbet af studiet. Hos 2 ud af 14 patienter, som havde akut hiv-infektion ved optagelse i studiet, blev K65R-mutationen påvist i hiv 1 hos 5 forsøgspersoner i tenofovirdisoproxil 245 mg (som fumarat) -gruppen, og M184V-mutationen (forbundet med resistens over for emtricitabin) blev påvist i hiv hos 1 ud af 3 forsøgspersoner i gruppen med kombinationen af emtricitabin og tenofovirdisoproxil.</w:t>
      </w:r>
    </w:p>
    <w:p w:rsidR="0057668F" w:rsidRPr="004C3DE3" w:rsidRDefault="0057668F" w:rsidP="0057668F">
      <w:pPr>
        <w:ind w:left="851" w:hanging="851"/>
        <w:rPr>
          <w:sz w:val="24"/>
          <w:szCs w:val="24"/>
          <w:u w:val="single"/>
        </w:rPr>
      </w:pPr>
    </w:p>
    <w:p w:rsidR="0057668F" w:rsidRPr="004C3DE3" w:rsidRDefault="0057668F" w:rsidP="0057668F">
      <w:pPr>
        <w:ind w:left="851"/>
        <w:rPr>
          <w:sz w:val="24"/>
          <w:szCs w:val="24"/>
          <w:u w:val="single"/>
        </w:rPr>
      </w:pPr>
      <w:r w:rsidRPr="004C3DE3">
        <w:rPr>
          <w:sz w:val="24"/>
          <w:szCs w:val="24"/>
          <w:u w:val="single"/>
        </w:rPr>
        <w:t>Kliniske data</w:t>
      </w:r>
    </w:p>
    <w:p w:rsidR="0057668F" w:rsidRPr="004C3DE3" w:rsidRDefault="0057668F" w:rsidP="0057668F">
      <w:pPr>
        <w:ind w:left="851" w:hanging="851"/>
        <w:rPr>
          <w:sz w:val="24"/>
          <w:szCs w:val="24"/>
        </w:rPr>
      </w:pPr>
    </w:p>
    <w:p w:rsidR="0057668F" w:rsidRPr="004C3DE3" w:rsidRDefault="0057668F" w:rsidP="0057668F">
      <w:pPr>
        <w:ind w:left="851"/>
        <w:rPr>
          <w:sz w:val="24"/>
          <w:szCs w:val="24"/>
        </w:rPr>
      </w:pPr>
      <w:r w:rsidRPr="004C3DE3">
        <w:rPr>
          <w:i/>
          <w:sz w:val="24"/>
          <w:szCs w:val="24"/>
        </w:rPr>
        <w:t>Behandling af hiv 1-infektion:</w:t>
      </w:r>
      <w:r w:rsidRPr="004C3DE3">
        <w:rPr>
          <w:sz w:val="24"/>
          <w:szCs w:val="24"/>
        </w:rPr>
        <w:t xml:space="preserve"> I et open-label, randomiseret, klinisk studie (GS-01-934) fik antiretroviral-naive voksne patienter, som var inficeret med hiv-1, et regime med enten emtricitabin, tenofovirdisoproxil og efavirenz én gang daglig (n=255) eller en fast kombination af lamivudin og zidovudin administreret to gange daglig og efavirenz én gang daglig (n=254). Patienterne i emtricitabin- og tenofovirdisoproxil-gruppen fik kombinationen af emtricitabin og tenofovirdisoproxil og efavirenz fra uge 96 til uge 144. Ved </w:t>
      </w:r>
      <w:r w:rsidRPr="004C3DE3">
        <w:rPr>
          <w:iCs/>
          <w:sz w:val="24"/>
          <w:szCs w:val="24"/>
        </w:rPr>
        <w:t>baseline</w:t>
      </w:r>
      <w:r w:rsidRPr="004C3DE3">
        <w:rPr>
          <w:i/>
          <w:iCs/>
          <w:sz w:val="24"/>
          <w:szCs w:val="24"/>
        </w:rPr>
        <w:t xml:space="preserve"> </w:t>
      </w:r>
      <w:r w:rsidRPr="004C3DE3">
        <w:rPr>
          <w:sz w:val="24"/>
          <w:szCs w:val="24"/>
        </w:rPr>
        <w:t>havde de randomiserede grupper samme mediane plasma hiv-1 RNA (5,02 og 5,00 log</w:t>
      </w:r>
      <w:r w:rsidRPr="004C3DE3">
        <w:rPr>
          <w:sz w:val="24"/>
          <w:szCs w:val="24"/>
          <w:vertAlign w:val="subscript"/>
        </w:rPr>
        <w:t>10</w:t>
      </w:r>
      <w:r w:rsidRPr="004C3DE3">
        <w:rPr>
          <w:sz w:val="24"/>
          <w:szCs w:val="24"/>
        </w:rPr>
        <w:t xml:space="preserve"> kopier/ml) og CD4-tal (233 og 241 celler/mm</w:t>
      </w:r>
      <w:r w:rsidRPr="004C3DE3">
        <w:rPr>
          <w:sz w:val="24"/>
          <w:szCs w:val="24"/>
          <w:vertAlign w:val="superscript"/>
        </w:rPr>
        <w:t>3</w:t>
      </w:r>
      <w:r w:rsidRPr="004C3DE3">
        <w:rPr>
          <w:sz w:val="24"/>
          <w:szCs w:val="24"/>
        </w:rPr>
        <w:t xml:space="preserve">). Det primære effektmål i dette studie var at opnå og vedligeholde bekræftede hiv-1 RNA-koncentrationer &lt; 400 kopier/ml i 48 uger. Sekundære effektanalyser over de 144 uger omfattede andelen af patienter med hiv-1 RNA-koncentrationer &lt; 400 eller &lt; 50 kopier/ml og en ændring i CD4-celletallet fra </w:t>
      </w:r>
      <w:r w:rsidRPr="004C3DE3">
        <w:rPr>
          <w:iCs/>
          <w:sz w:val="24"/>
          <w:szCs w:val="24"/>
        </w:rPr>
        <w:t>baseline</w:t>
      </w:r>
      <w:r w:rsidRPr="004C3DE3">
        <w:rPr>
          <w:sz w:val="24"/>
          <w:szCs w:val="24"/>
        </w:rPr>
        <w:t>.</w:t>
      </w:r>
    </w:p>
    <w:p w:rsidR="0057668F" w:rsidRPr="004C3DE3" w:rsidRDefault="0057668F" w:rsidP="0057668F">
      <w:pPr>
        <w:ind w:left="851" w:hanging="851"/>
        <w:rPr>
          <w:sz w:val="24"/>
          <w:szCs w:val="24"/>
        </w:rPr>
      </w:pPr>
    </w:p>
    <w:p w:rsidR="0057668F" w:rsidRDefault="0057668F" w:rsidP="00F07926">
      <w:pPr>
        <w:ind w:left="851"/>
        <w:rPr>
          <w:sz w:val="24"/>
          <w:szCs w:val="24"/>
        </w:rPr>
      </w:pPr>
      <w:r w:rsidRPr="004C3DE3">
        <w:rPr>
          <w:sz w:val="24"/>
          <w:szCs w:val="24"/>
        </w:rPr>
        <w:t>De primære effektmål-data fra uge 48 viste, at kombinationen af emtricitabin, tenofovirdisoproxil og efavirenz havde en bedre antiviral effekt sammenlignet med den faste kombination af lamivudin og zidovudin med efavirenz. Dette vises i tabel 4. De sekundære effektmål-data fra uge 144 er også angivet i tabel 4.</w:t>
      </w:r>
    </w:p>
    <w:p w:rsidR="00FC356F" w:rsidRDefault="00FC356F" w:rsidP="00F07926">
      <w:pPr>
        <w:ind w:left="851"/>
        <w:rPr>
          <w:sz w:val="24"/>
          <w:szCs w:val="24"/>
        </w:rPr>
      </w:pPr>
    </w:p>
    <w:p w:rsidR="0057668F" w:rsidRPr="004C3DE3" w:rsidRDefault="0057668F" w:rsidP="00FC356F">
      <w:pPr>
        <w:keepNext/>
        <w:rPr>
          <w:b/>
          <w:sz w:val="24"/>
          <w:szCs w:val="24"/>
        </w:rPr>
      </w:pPr>
      <w:r w:rsidRPr="004C3DE3">
        <w:rPr>
          <w:b/>
          <w:sz w:val="24"/>
          <w:szCs w:val="24"/>
        </w:rPr>
        <w:lastRenderedPageBreak/>
        <w:t>Tabel 4: Effekt-data fra uge 48 og 144 af studie GS-01-934, hvor emtricitabin, tenofovir disoproxil og efavirenz blev administreret til antiretroviral-naive patienter med hiv-1 infektion.</w:t>
      </w:r>
    </w:p>
    <w:p w:rsidR="0057668F" w:rsidRPr="004C3DE3" w:rsidRDefault="0057668F" w:rsidP="00AD7CE0">
      <w:pPr>
        <w:keepNex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274"/>
        <w:gridCol w:w="64"/>
        <w:gridCol w:w="1585"/>
        <w:gridCol w:w="2274"/>
        <w:gridCol w:w="64"/>
        <w:gridCol w:w="1581"/>
      </w:tblGrid>
      <w:tr w:rsidR="0057668F" w:rsidRPr="00F033C6" w:rsidTr="00FC356F">
        <w:tc>
          <w:tcPr>
            <w:tcW w:w="928" w:type="pct"/>
            <w:tcBorders>
              <w:top w:val="single" w:sz="4" w:space="0" w:color="auto"/>
              <w:left w:val="single" w:sz="4" w:space="0" w:color="auto"/>
              <w:bottom w:val="single" w:sz="4" w:space="0" w:color="auto"/>
              <w:right w:val="single" w:sz="4" w:space="0" w:color="auto"/>
            </w:tcBorders>
          </w:tcPr>
          <w:p w:rsidR="0057668F" w:rsidRPr="00F033C6" w:rsidRDefault="0057668F" w:rsidP="00AD7CE0">
            <w:pPr>
              <w:keepNext/>
              <w:rPr>
                <w:sz w:val="22"/>
                <w:szCs w:val="22"/>
              </w:rPr>
            </w:pPr>
          </w:p>
        </w:tc>
        <w:tc>
          <w:tcPr>
            <w:tcW w:w="2037"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b/>
                <w:sz w:val="22"/>
                <w:szCs w:val="22"/>
              </w:rPr>
            </w:pPr>
            <w:r w:rsidRPr="00F033C6">
              <w:rPr>
                <w:b/>
                <w:sz w:val="22"/>
                <w:szCs w:val="22"/>
              </w:rPr>
              <w:t>GS-01-934</w:t>
            </w:r>
          </w:p>
          <w:p w:rsidR="0057668F" w:rsidRPr="00F033C6" w:rsidRDefault="0057668F" w:rsidP="00AD7CE0">
            <w:pPr>
              <w:keepNext/>
              <w:jc w:val="center"/>
              <w:rPr>
                <w:sz w:val="22"/>
                <w:szCs w:val="22"/>
              </w:rPr>
            </w:pPr>
            <w:r w:rsidRPr="00F033C6">
              <w:rPr>
                <w:b/>
                <w:sz w:val="22"/>
                <w:szCs w:val="22"/>
              </w:rPr>
              <w:t>Behandling i 48 uger</w:t>
            </w:r>
          </w:p>
        </w:tc>
        <w:tc>
          <w:tcPr>
            <w:tcW w:w="2035"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b/>
                <w:sz w:val="22"/>
                <w:szCs w:val="22"/>
              </w:rPr>
            </w:pPr>
            <w:r w:rsidRPr="00F033C6">
              <w:rPr>
                <w:b/>
                <w:sz w:val="22"/>
                <w:szCs w:val="22"/>
              </w:rPr>
              <w:t>GS-01-934</w:t>
            </w:r>
          </w:p>
          <w:p w:rsidR="0057668F" w:rsidRPr="00F033C6" w:rsidRDefault="0057668F" w:rsidP="00AD7CE0">
            <w:pPr>
              <w:keepNext/>
              <w:jc w:val="center"/>
              <w:rPr>
                <w:sz w:val="22"/>
                <w:szCs w:val="22"/>
              </w:rPr>
            </w:pPr>
            <w:r w:rsidRPr="00F033C6">
              <w:rPr>
                <w:b/>
                <w:sz w:val="22"/>
                <w:szCs w:val="22"/>
              </w:rPr>
              <w:t>Behandling i 144 uger</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tcPr>
          <w:p w:rsidR="0057668F" w:rsidRPr="00F033C6" w:rsidRDefault="0057668F" w:rsidP="00AD7CE0">
            <w:pPr>
              <w:keepNext/>
              <w:rPr>
                <w:sz w:val="22"/>
                <w:szCs w:val="22"/>
              </w:rPr>
            </w:pPr>
          </w:p>
        </w:tc>
        <w:tc>
          <w:tcPr>
            <w:tcW w:w="118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Emtricitabin + tenofovirdisoproxil + efavirenz</w:t>
            </w:r>
          </w:p>
        </w:tc>
        <w:tc>
          <w:tcPr>
            <w:tcW w:w="856"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Lamivudin + zidovudin + efavirenz</w:t>
            </w:r>
          </w:p>
        </w:tc>
        <w:tc>
          <w:tcPr>
            <w:tcW w:w="118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Emtricitabin + tenofovirdisoproxil + efavirenz</w:t>
            </w:r>
            <w:r w:rsidRPr="00F033C6">
              <w:rPr>
                <w:sz w:val="22"/>
                <w:szCs w:val="22"/>
                <w:vertAlign w:val="superscript"/>
              </w:rPr>
              <w:t>*</w:t>
            </w:r>
          </w:p>
        </w:tc>
        <w:tc>
          <w:tcPr>
            <w:tcW w:w="854"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Lamivudin + zidovudin + efavirenz</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rPr>
                <w:sz w:val="22"/>
                <w:szCs w:val="22"/>
              </w:rPr>
            </w:pPr>
            <w:r w:rsidRPr="00F033C6">
              <w:rPr>
                <w:sz w:val="22"/>
                <w:szCs w:val="22"/>
              </w:rPr>
              <w:t xml:space="preserve">Hiv-1 RNA </w:t>
            </w:r>
          </w:p>
          <w:p w:rsidR="0057668F" w:rsidRPr="00F033C6" w:rsidRDefault="0057668F" w:rsidP="00AD7CE0">
            <w:pPr>
              <w:keepNext/>
              <w:rPr>
                <w:sz w:val="22"/>
                <w:szCs w:val="22"/>
              </w:rPr>
            </w:pPr>
            <w:r w:rsidRPr="00F033C6">
              <w:rPr>
                <w:sz w:val="22"/>
                <w:szCs w:val="22"/>
              </w:rPr>
              <w:t>&lt; 400 kopier/ml (TLOVR)</w:t>
            </w:r>
          </w:p>
        </w:tc>
        <w:tc>
          <w:tcPr>
            <w:tcW w:w="118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84 % (206/244)</w:t>
            </w:r>
          </w:p>
        </w:tc>
        <w:tc>
          <w:tcPr>
            <w:tcW w:w="856"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73 % (177/243)</w:t>
            </w:r>
          </w:p>
        </w:tc>
        <w:tc>
          <w:tcPr>
            <w:tcW w:w="118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71 % (161/227)</w:t>
            </w:r>
          </w:p>
        </w:tc>
        <w:tc>
          <w:tcPr>
            <w:tcW w:w="854"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AD7CE0">
            <w:pPr>
              <w:keepNext/>
              <w:jc w:val="center"/>
              <w:rPr>
                <w:sz w:val="22"/>
                <w:szCs w:val="22"/>
              </w:rPr>
            </w:pPr>
            <w:r w:rsidRPr="00F033C6">
              <w:rPr>
                <w:sz w:val="22"/>
                <w:szCs w:val="22"/>
              </w:rPr>
              <w:t>58 % (133/229)</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p-værdi</w:t>
            </w:r>
          </w:p>
        </w:tc>
        <w:tc>
          <w:tcPr>
            <w:tcW w:w="2037"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vertAlign w:val="superscript"/>
              </w:rPr>
            </w:pPr>
            <w:r w:rsidRPr="00F033C6">
              <w:rPr>
                <w:sz w:val="22"/>
                <w:szCs w:val="22"/>
              </w:rPr>
              <w:t>0,002</w:t>
            </w:r>
            <w:r w:rsidRPr="00F033C6">
              <w:rPr>
                <w:sz w:val="22"/>
                <w:szCs w:val="22"/>
                <w:vertAlign w:val="superscript"/>
              </w:rPr>
              <w:t>**</w:t>
            </w:r>
          </w:p>
        </w:tc>
        <w:tc>
          <w:tcPr>
            <w:tcW w:w="2035"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vertAlign w:val="superscript"/>
              </w:rPr>
            </w:pPr>
            <w:r w:rsidRPr="00F033C6">
              <w:rPr>
                <w:sz w:val="22"/>
                <w:szCs w:val="22"/>
              </w:rPr>
              <w:t>0,004</w:t>
            </w:r>
            <w:r w:rsidRPr="00F033C6">
              <w:rPr>
                <w:sz w:val="22"/>
                <w:szCs w:val="22"/>
                <w:vertAlign w:val="superscript"/>
              </w:rPr>
              <w:t>**</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 forskel </w:t>
            </w:r>
          </w:p>
          <w:p w:rsidR="0057668F" w:rsidRPr="00F033C6" w:rsidRDefault="0057668F" w:rsidP="00803BD1">
            <w:pPr>
              <w:rPr>
                <w:sz w:val="22"/>
                <w:szCs w:val="22"/>
              </w:rPr>
            </w:pPr>
            <w:r w:rsidRPr="00F033C6">
              <w:rPr>
                <w:sz w:val="22"/>
                <w:szCs w:val="22"/>
              </w:rPr>
              <w:t>(95 % CI)</w:t>
            </w:r>
          </w:p>
        </w:tc>
        <w:tc>
          <w:tcPr>
            <w:tcW w:w="2037"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11 % (4 % til 19 %)</w:t>
            </w:r>
          </w:p>
        </w:tc>
        <w:tc>
          <w:tcPr>
            <w:tcW w:w="2035"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13 % (4 % til 22 %)</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Hiv-1 RNA </w:t>
            </w:r>
          </w:p>
          <w:p w:rsidR="0057668F" w:rsidRPr="00F033C6" w:rsidRDefault="0057668F" w:rsidP="00803BD1">
            <w:pPr>
              <w:rPr>
                <w:sz w:val="22"/>
                <w:szCs w:val="22"/>
              </w:rPr>
            </w:pPr>
            <w:r w:rsidRPr="00F033C6">
              <w:rPr>
                <w:sz w:val="22"/>
                <w:szCs w:val="22"/>
              </w:rPr>
              <w:t>&lt; 50 kopier/ml (TLOVR)</w:t>
            </w:r>
          </w:p>
        </w:tc>
        <w:tc>
          <w:tcPr>
            <w:tcW w:w="1214"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80 % (194/244)</w:t>
            </w:r>
          </w:p>
        </w:tc>
        <w:tc>
          <w:tcPr>
            <w:tcW w:w="823"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70 % (171/243)</w:t>
            </w:r>
          </w:p>
        </w:tc>
        <w:tc>
          <w:tcPr>
            <w:tcW w:w="1214"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64 % (146/227)</w:t>
            </w:r>
          </w:p>
        </w:tc>
        <w:tc>
          <w:tcPr>
            <w:tcW w:w="82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56 % (130/231)</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p-værdi</w:t>
            </w:r>
          </w:p>
        </w:tc>
        <w:tc>
          <w:tcPr>
            <w:tcW w:w="2037"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vertAlign w:val="superscript"/>
              </w:rPr>
            </w:pPr>
            <w:r w:rsidRPr="00F033C6">
              <w:rPr>
                <w:sz w:val="22"/>
                <w:szCs w:val="22"/>
              </w:rPr>
              <w:t>0,021</w:t>
            </w:r>
            <w:r w:rsidRPr="00F033C6">
              <w:rPr>
                <w:sz w:val="22"/>
                <w:szCs w:val="22"/>
                <w:vertAlign w:val="superscript"/>
              </w:rPr>
              <w:t>**</w:t>
            </w:r>
          </w:p>
        </w:tc>
        <w:tc>
          <w:tcPr>
            <w:tcW w:w="2035"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vertAlign w:val="superscript"/>
              </w:rPr>
            </w:pPr>
            <w:r w:rsidRPr="00F033C6">
              <w:rPr>
                <w:sz w:val="22"/>
                <w:szCs w:val="22"/>
              </w:rPr>
              <w:t>0,082</w:t>
            </w:r>
            <w:r w:rsidRPr="00F033C6">
              <w:rPr>
                <w:sz w:val="22"/>
                <w:szCs w:val="22"/>
                <w:vertAlign w:val="superscript"/>
              </w:rPr>
              <w:t>**</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 forskel </w:t>
            </w:r>
          </w:p>
          <w:p w:rsidR="0057668F" w:rsidRPr="00F033C6" w:rsidRDefault="0057668F" w:rsidP="00803BD1">
            <w:pPr>
              <w:rPr>
                <w:sz w:val="22"/>
                <w:szCs w:val="22"/>
              </w:rPr>
            </w:pPr>
            <w:r w:rsidRPr="00F033C6">
              <w:rPr>
                <w:sz w:val="22"/>
                <w:szCs w:val="22"/>
              </w:rPr>
              <w:t>(95 % CI)</w:t>
            </w:r>
          </w:p>
        </w:tc>
        <w:tc>
          <w:tcPr>
            <w:tcW w:w="2037"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9 % (2% til 17%)</w:t>
            </w:r>
          </w:p>
        </w:tc>
        <w:tc>
          <w:tcPr>
            <w:tcW w:w="2035"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8 % (-1% til 17%)</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Gennemsnitlig ændring af CD4-celletal fra baseline (celler/mm</w:t>
            </w:r>
            <w:r w:rsidRPr="00F033C6">
              <w:rPr>
                <w:sz w:val="22"/>
                <w:szCs w:val="22"/>
                <w:vertAlign w:val="superscript"/>
              </w:rPr>
              <w:t>3</w:t>
            </w:r>
            <w:r w:rsidRPr="00F033C6">
              <w:rPr>
                <w:sz w:val="22"/>
                <w:szCs w:val="22"/>
              </w:rPr>
              <w:t>)</w:t>
            </w:r>
          </w:p>
        </w:tc>
        <w:tc>
          <w:tcPr>
            <w:tcW w:w="1214"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+190</w:t>
            </w:r>
          </w:p>
        </w:tc>
        <w:tc>
          <w:tcPr>
            <w:tcW w:w="823"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+158</w:t>
            </w:r>
          </w:p>
        </w:tc>
        <w:tc>
          <w:tcPr>
            <w:tcW w:w="1214"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+312</w:t>
            </w:r>
          </w:p>
        </w:tc>
        <w:tc>
          <w:tcPr>
            <w:tcW w:w="82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+271</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p-værdi</w:t>
            </w:r>
          </w:p>
        </w:tc>
        <w:tc>
          <w:tcPr>
            <w:tcW w:w="2037"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vertAlign w:val="superscript"/>
              </w:rPr>
            </w:pPr>
            <w:r w:rsidRPr="00F033C6">
              <w:rPr>
                <w:sz w:val="22"/>
                <w:szCs w:val="22"/>
              </w:rPr>
              <w:t>0,002</w:t>
            </w:r>
            <w:r w:rsidRPr="00F033C6">
              <w:rPr>
                <w:sz w:val="22"/>
                <w:szCs w:val="22"/>
                <w:vertAlign w:val="superscript"/>
              </w:rPr>
              <w:t>a</w:t>
            </w:r>
          </w:p>
        </w:tc>
        <w:tc>
          <w:tcPr>
            <w:tcW w:w="2035"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vertAlign w:val="superscript"/>
              </w:rPr>
            </w:pPr>
            <w:r w:rsidRPr="00F033C6">
              <w:rPr>
                <w:sz w:val="22"/>
                <w:szCs w:val="22"/>
              </w:rPr>
              <w:t>0,089</w:t>
            </w:r>
            <w:r w:rsidRPr="00F033C6">
              <w:rPr>
                <w:sz w:val="22"/>
                <w:szCs w:val="22"/>
                <w:vertAlign w:val="superscript"/>
              </w:rPr>
              <w:t>a</w:t>
            </w:r>
          </w:p>
        </w:tc>
      </w:tr>
      <w:tr w:rsidR="0057668F" w:rsidRPr="00F033C6" w:rsidTr="00FC356F">
        <w:tc>
          <w:tcPr>
            <w:tcW w:w="92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Forskel </w:t>
            </w:r>
          </w:p>
          <w:p w:rsidR="0057668F" w:rsidRPr="00F033C6" w:rsidRDefault="0057668F" w:rsidP="00803BD1">
            <w:pPr>
              <w:rPr>
                <w:sz w:val="22"/>
                <w:szCs w:val="22"/>
              </w:rPr>
            </w:pPr>
            <w:r w:rsidRPr="00F033C6">
              <w:rPr>
                <w:sz w:val="22"/>
                <w:szCs w:val="22"/>
              </w:rPr>
              <w:t>(95 % CI)</w:t>
            </w:r>
          </w:p>
        </w:tc>
        <w:tc>
          <w:tcPr>
            <w:tcW w:w="2037"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32 (9 til 55)</w:t>
            </w:r>
          </w:p>
        </w:tc>
        <w:tc>
          <w:tcPr>
            <w:tcW w:w="2035" w:type="pct"/>
            <w:gridSpan w:val="3"/>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jc w:val="center"/>
              <w:rPr>
                <w:sz w:val="22"/>
                <w:szCs w:val="22"/>
              </w:rPr>
            </w:pPr>
            <w:r w:rsidRPr="00F033C6">
              <w:rPr>
                <w:sz w:val="22"/>
                <w:szCs w:val="22"/>
              </w:rPr>
              <w:t>41 (4 til 79)</w:t>
            </w:r>
          </w:p>
        </w:tc>
      </w:tr>
    </w:tbl>
    <w:p w:rsidR="00FC356F" w:rsidRPr="009D75B2" w:rsidRDefault="00FC356F" w:rsidP="00FC356F">
      <w:pPr>
        <w:autoSpaceDE w:val="0"/>
        <w:autoSpaceDN w:val="0"/>
        <w:adjustRightInd w:val="0"/>
        <w:rPr>
          <w:rFonts w:eastAsia="TimesNewRoman"/>
          <w:sz w:val="22"/>
          <w:szCs w:val="22"/>
          <w:lang w:eastAsia="da-DK"/>
        </w:rPr>
      </w:pPr>
      <w:r w:rsidRPr="009D75B2">
        <w:rPr>
          <w:rFonts w:eastAsia="TimesNewRoman"/>
          <w:sz w:val="22"/>
          <w:szCs w:val="22"/>
          <w:lang w:eastAsia="da-DK"/>
        </w:rPr>
        <w:t>* Patienter, som fik emtricitabin, tenofovirdisoproxil og efavirenz, fik kombinationen af emtricitabin og tenofovirdisoproxil plus efavirenz fra uge 96 til 144.</w:t>
      </w:r>
    </w:p>
    <w:p w:rsidR="00FC356F" w:rsidRPr="009D75B2" w:rsidRDefault="00FC356F" w:rsidP="00FC356F">
      <w:pPr>
        <w:autoSpaceDE w:val="0"/>
        <w:autoSpaceDN w:val="0"/>
        <w:adjustRightInd w:val="0"/>
        <w:rPr>
          <w:rFonts w:eastAsia="TimesNewRoman"/>
          <w:i/>
          <w:iCs/>
          <w:sz w:val="22"/>
          <w:szCs w:val="22"/>
          <w:lang w:eastAsia="da-DK"/>
        </w:rPr>
      </w:pPr>
      <w:r w:rsidRPr="009D75B2">
        <w:rPr>
          <w:rFonts w:eastAsia="TimesNewRoman"/>
          <w:sz w:val="22"/>
          <w:szCs w:val="22"/>
          <w:lang w:eastAsia="da-DK"/>
        </w:rPr>
        <w:t xml:space="preserve">** p-værdien baseret på Cochran-Mantel-Haenszel-testen stratificeret til CD4-celletal ved </w:t>
      </w:r>
      <w:r w:rsidRPr="009D75B2">
        <w:rPr>
          <w:rFonts w:eastAsia="TimesNewRoman"/>
          <w:iCs/>
          <w:sz w:val="22"/>
          <w:szCs w:val="22"/>
          <w:lang w:eastAsia="da-DK"/>
        </w:rPr>
        <w:t>baseline</w:t>
      </w:r>
    </w:p>
    <w:p w:rsidR="00FC356F" w:rsidRPr="009D75B2" w:rsidRDefault="00FC356F" w:rsidP="00FC356F">
      <w:pPr>
        <w:autoSpaceDE w:val="0"/>
        <w:autoSpaceDN w:val="0"/>
        <w:adjustRightInd w:val="0"/>
        <w:rPr>
          <w:rFonts w:eastAsia="TimesNewRoman"/>
          <w:sz w:val="22"/>
          <w:szCs w:val="22"/>
          <w:lang w:val="en-US" w:eastAsia="da-DK"/>
        </w:rPr>
      </w:pPr>
      <w:r w:rsidRPr="009D75B2">
        <w:rPr>
          <w:rFonts w:eastAsia="TimesNewRoman"/>
          <w:sz w:val="22"/>
          <w:szCs w:val="22"/>
          <w:lang w:val="en-US" w:eastAsia="da-DK"/>
        </w:rPr>
        <w:t>TLOVR=Time to Loss of Virologic Response (tid til tab af virologisk respons).</w:t>
      </w:r>
    </w:p>
    <w:p w:rsidR="00FC356F" w:rsidRPr="009D75B2" w:rsidRDefault="00FC356F" w:rsidP="00FC356F">
      <w:pPr>
        <w:rPr>
          <w:sz w:val="22"/>
          <w:szCs w:val="22"/>
        </w:rPr>
      </w:pPr>
      <w:r w:rsidRPr="009D75B2">
        <w:rPr>
          <w:rFonts w:eastAsia="TimesNewRoman"/>
          <w:sz w:val="22"/>
          <w:szCs w:val="22"/>
          <w:vertAlign w:val="superscript"/>
          <w:lang w:eastAsia="da-DK"/>
        </w:rPr>
        <w:t>a</w:t>
      </w:r>
      <w:r w:rsidRPr="009D75B2">
        <w:rPr>
          <w:rFonts w:eastAsia="TimesNewRoman"/>
          <w:sz w:val="22"/>
          <w:szCs w:val="22"/>
          <w:lang w:eastAsia="da-DK"/>
        </w:rPr>
        <w:t>: Van Elteren-test.</w:t>
      </w:r>
    </w:p>
    <w:p w:rsidR="0057668F" w:rsidRPr="004C3DE3" w:rsidRDefault="0057668F" w:rsidP="0057668F">
      <w:pPr>
        <w:ind w:left="851" w:hanging="851"/>
        <w:rPr>
          <w:sz w:val="24"/>
          <w:szCs w:val="24"/>
        </w:rPr>
      </w:pPr>
    </w:p>
    <w:p w:rsidR="0057668F" w:rsidRPr="004C3DE3" w:rsidRDefault="0057668F" w:rsidP="0057668F">
      <w:pPr>
        <w:ind w:left="851"/>
        <w:rPr>
          <w:sz w:val="24"/>
          <w:szCs w:val="24"/>
        </w:rPr>
      </w:pPr>
      <w:r w:rsidRPr="004C3DE3">
        <w:rPr>
          <w:sz w:val="24"/>
          <w:szCs w:val="24"/>
        </w:rPr>
        <w:t xml:space="preserve">I et randomiseret, klinisk studie (M02-418) blev 190 antiretroviral-naive voksne behandlet én gang daglig med emtricitabin og tenofovirdisoproxil i kombination med lopinavir/ritonavir indgivet én eller to gange daglig. I uge 48 af behandlingen udviste 70 % og 64 % af patienterne hiv-1 RNA &lt; 50 kopier/ml ved henholdsvis én og to gange daglig behandling med lopinavir/ritonavir. De gennemsnitlige ændringer i CD4-celletallet fra </w:t>
      </w:r>
      <w:r w:rsidRPr="004C3DE3">
        <w:rPr>
          <w:iCs/>
          <w:sz w:val="24"/>
          <w:szCs w:val="24"/>
        </w:rPr>
        <w:t>baseline</w:t>
      </w:r>
      <w:r w:rsidRPr="004C3DE3">
        <w:rPr>
          <w:i/>
          <w:iCs/>
          <w:sz w:val="24"/>
          <w:szCs w:val="24"/>
        </w:rPr>
        <w:t xml:space="preserve"> </w:t>
      </w:r>
      <w:r w:rsidRPr="004C3DE3">
        <w:rPr>
          <w:sz w:val="24"/>
          <w:szCs w:val="24"/>
        </w:rPr>
        <w:t>var +185 celler/mm</w:t>
      </w:r>
      <w:r w:rsidRPr="004C3DE3">
        <w:rPr>
          <w:sz w:val="24"/>
          <w:szCs w:val="24"/>
          <w:vertAlign w:val="superscript"/>
        </w:rPr>
        <w:t>3</w:t>
      </w:r>
      <w:r w:rsidRPr="004C3DE3">
        <w:rPr>
          <w:sz w:val="24"/>
          <w:szCs w:val="24"/>
        </w:rPr>
        <w:t xml:space="preserve"> og +196 celler/mm</w:t>
      </w:r>
      <w:r w:rsidRPr="004C3DE3">
        <w:rPr>
          <w:sz w:val="24"/>
          <w:szCs w:val="24"/>
          <w:vertAlign w:val="superscript"/>
        </w:rPr>
        <w:t>3</w:t>
      </w:r>
      <w:r w:rsidRPr="004C3DE3">
        <w:rPr>
          <w:sz w:val="24"/>
          <w:szCs w:val="24"/>
        </w:rPr>
        <w:t>.</w:t>
      </w:r>
    </w:p>
    <w:p w:rsidR="0057668F" w:rsidRPr="004C3DE3" w:rsidRDefault="0057668F" w:rsidP="0057668F">
      <w:pPr>
        <w:ind w:left="851"/>
        <w:rPr>
          <w:sz w:val="24"/>
          <w:szCs w:val="24"/>
        </w:rPr>
      </w:pPr>
    </w:p>
    <w:p w:rsidR="0057668F" w:rsidRPr="004C3DE3" w:rsidRDefault="0057668F" w:rsidP="0057668F">
      <w:pPr>
        <w:ind w:left="851"/>
        <w:rPr>
          <w:sz w:val="24"/>
          <w:szCs w:val="24"/>
          <w:u w:val="single"/>
        </w:rPr>
      </w:pPr>
      <w:r w:rsidRPr="004C3DE3">
        <w:rPr>
          <w:sz w:val="24"/>
          <w:szCs w:val="24"/>
        </w:rPr>
        <w:t>Begrænset klinisk erfaring med patienter, som co-inficeret med hiv og HBV, tyder på, at behandling med emtricitabin eller tenofovirdisoproxil i antiretroviral kombinationsbehandling for at kontrollere hiv-infektionen resulterer i en reduktion af HBV-dna (henholdsvis 3 log</w:t>
      </w:r>
      <w:r w:rsidRPr="004C3DE3">
        <w:rPr>
          <w:sz w:val="24"/>
          <w:szCs w:val="24"/>
          <w:vertAlign w:val="subscript"/>
        </w:rPr>
        <w:t>10</w:t>
      </w:r>
      <w:r w:rsidRPr="004C3DE3">
        <w:rPr>
          <w:sz w:val="24"/>
          <w:szCs w:val="24"/>
        </w:rPr>
        <w:t>-reduktion eller 4 til 5 log</w:t>
      </w:r>
      <w:r w:rsidRPr="004C3DE3">
        <w:rPr>
          <w:sz w:val="24"/>
          <w:szCs w:val="24"/>
          <w:vertAlign w:val="subscript"/>
        </w:rPr>
        <w:t>10</w:t>
      </w:r>
      <w:r w:rsidRPr="004C3DE3">
        <w:rPr>
          <w:sz w:val="24"/>
          <w:szCs w:val="24"/>
        </w:rPr>
        <w:t xml:space="preserve">-reduktion) (se pkt. 4.4). </w:t>
      </w:r>
    </w:p>
    <w:p w:rsidR="0057668F" w:rsidRPr="004C3DE3" w:rsidRDefault="0057668F" w:rsidP="0057668F">
      <w:pPr>
        <w:ind w:left="851"/>
        <w:rPr>
          <w:sz w:val="24"/>
          <w:szCs w:val="24"/>
          <w:u w:val="single"/>
        </w:rPr>
      </w:pPr>
    </w:p>
    <w:p w:rsidR="0057668F" w:rsidRPr="004C3DE3" w:rsidRDefault="0057668F" w:rsidP="0057668F">
      <w:pPr>
        <w:autoSpaceDE w:val="0"/>
        <w:autoSpaceDN w:val="0"/>
        <w:adjustRightInd w:val="0"/>
        <w:ind w:left="851"/>
        <w:rPr>
          <w:sz w:val="24"/>
          <w:szCs w:val="24"/>
        </w:rPr>
      </w:pPr>
      <w:r w:rsidRPr="004C3DE3">
        <w:rPr>
          <w:i/>
          <w:sz w:val="24"/>
          <w:szCs w:val="24"/>
        </w:rPr>
        <w:t>Profylakse før eksponering:</w:t>
      </w:r>
      <w:r w:rsidRPr="004C3DE3">
        <w:rPr>
          <w:sz w:val="24"/>
          <w:szCs w:val="24"/>
        </w:rPr>
        <w:t xml:space="preserve"> iPrEx-studiet (CO−US−104−0288) evaluerede kombinationen af emtricitabin og tenofovirdisoproxil versus placebo hos 2.499 mænd (eller transkønnede kvinder) uden hiv-infektion, der har sex med mænd, og som blev anset for at have høj risiko for hiv-infektion. Forsøgspersonerne blev fulgt i 4.237 personår. Baseline-karakteristika er opsummeret i Tabel 5.</w:t>
      </w:r>
    </w:p>
    <w:p w:rsidR="0057668F" w:rsidRPr="004C3DE3" w:rsidRDefault="0057668F" w:rsidP="0057668F">
      <w:pPr>
        <w:autoSpaceDE w:val="0"/>
        <w:autoSpaceDN w:val="0"/>
        <w:adjustRightInd w:val="0"/>
        <w:ind w:left="851" w:hanging="851"/>
        <w:rPr>
          <w:sz w:val="24"/>
          <w:szCs w:val="24"/>
        </w:rPr>
      </w:pPr>
    </w:p>
    <w:p w:rsidR="0057668F" w:rsidRPr="001E1D17" w:rsidRDefault="0057668F" w:rsidP="0057668F">
      <w:pPr>
        <w:ind w:left="851" w:hanging="851"/>
        <w:rPr>
          <w:b/>
          <w:sz w:val="24"/>
          <w:szCs w:val="24"/>
          <w:lang w:val="en-US"/>
        </w:rPr>
      </w:pPr>
      <w:r w:rsidRPr="001E1D17">
        <w:rPr>
          <w:b/>
          <w:sz w:val="24"/>
          <w:szCs w:val="24"/>
          <w:lang w:val="en-US"/>
        </w:rPr>
        <w:lastRenderedPageBreak/>
        <w:t>Tabel 5: Studiepopulation fra studie CO-US-104-0288 (iPrEx)</w:t>
      </w:r>
    </w:p>
    <w:p w:rsidR="0057668F" w:rsidRPr="004C3DE3" w:rsidRDefault="0057668F" w:rsidP="0057668F">
      <w:pPr>
        <w:ind w:left="851" w:hanging="851"/>
        <w:rPr>
          <w:b/>
          <w:sz w:val="24"/>
          <w:szCs w:val="24"/>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735"/>
        <w:gridCol w:w="2403"/>
      </w:tblGrid>
      <w:tr w:rsidR="0057668F" w:rsidRPr="00F033C6" w:rsidTr="00803BD1">
        <w:tc>
          <w:tcPr>
            <w:tcW w:w="2851"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lang w:val="en-US"/>
              </w:rPr>
            </w:pPr>
          </w:p>
        </w:tc>
        <w:tc>
          <w:tcPr>
            <w:tcW w:w="901" w:type="pct"/>
            <w:tcBorders>
              <w:top w:val="single" w:sz="4" w:space="0" w:color="auto"/>
              <w:left w:val="single" w:sz="4" w:space="0" w:color="auto"/>
              <w:bottom w:val="single" w:sz="4" w:space="0" w:color="auto"/>
              <w:right w:val="single" w:sz="4" w:space="0" w:color="auto"/>
            </w:tcBorders>
          </w:tcPr>
          <w:p w:rsidR="0057668F" w:rsidRDefault="0057668F" w:rsidP="00803BD1">
            <w:pPr>
              <w:rPr>
                <w:b/>
                <w:bCs/>
                <w:sz w:val="22"/>
                <w:szCs w:val="22"/>
              </w:rPr>
            </w:pPr>
            <w:r w:rsidRPr="00F033C6">
              <w:rPr>
                <w:b/>
                <w:bCs/>
                <w:sz w:val="22"/>
                <w:szCs w:val="22"/>
              </w:rPr>
              <w:t>Placebo</w:t>
            </w:r>
          </w:p>
          <w:p w:rsidR="0057668F" w:rsidRPr="00F033C6" w:rsidRDefault="0057668F" w:rsidP="00803BD1">
            <w:pPr>
              <w:rPr>
                <w:sz w:val="22"/>
                <w:szCs w:val="22"/>
              </w:rPr>
            </w:pPr>
            <w:r w:rsidRPr="00F033C6">
              <w:rPr>
                <w:b/>
                <w:bCs/>
                <w:sz w:val="22"/>
                <w:szCs w:val="22"/>
              </w:rPr>
              <w:t xml:space="preserve">(n = 1.248) </w:t>
            </w:r>
          </w:p>
          <w:p w:rsidR="0057668F" w:rsidRPr="00F033C6" w:rsidRDefault="0057668F" w:rsidP="00803BD1">
            <w:pPr>
              <w:rPr>
                <w:sz w:val="22"/>
                <w:szCs w:val="22"/>
              </w:rPr>
            </w:pPr>
          </w:p>
        </w:tc>
        <w:tc>
          <w:tcPr>
            <w:tcW w:w="1248"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 xml:space="preserve">Kombination af emtricitabin og tenofovir (n = 1.251) </w:t>
            </w:r>
          </w:p>
          <w:p w:rsidR="0057668F" w:rsidRPr="00F033C6" w:rsidRDefault="0057668F" w:rsidP="00803BD1">
            <w:pPr>
              <w:rPr>
                <w:sz w:val="22"/>
                <w:szCs w:val="22"/>
              </w:rPr>
            </w:pP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Alder (År), Gennemsnit (SD)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27 (8,5)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27 (8,6)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Race, N (%) </w:t>
            </w:r>
          </w:p>
        </w:tc>
        <w:tc>
          <w:tcPr>
            <w:tcW w:w="901"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p>
        </w:tc>
        <w:tc>
          <w:tcPr>
            <w:tcW w:w="1248"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Sort/afroamerikaner</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97 (8)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117 (9)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Hvid</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208 (17)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223 (18)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Blandet afstamning/andre</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878 (70)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849 (68)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Asiatisk afstamning</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65 (5)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62 (5)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Spansk/latinamerikansk </w:t>
            </w:r>
            <w:r w:rsidRPr="00F033C6">
              <w:rPr>
                <w:b/>
                <w:sz w:val="22"/>
                <w:szCs w:val="22"/>
              </w:rPr>
              <w:t>etnicitet</w:t>
            </w:r>
            <w:r w:rsidRPr="00F033C6">
              <w:rPr>
                <w:b/>
                <w:bCs/>
                <w:sz w:val="22"/>
                <w:szCs w:val="22"/>
              </w:rPr>
              <w:t xml:space="preserve">,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906 (73)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900 (72)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Seksuelle risikofaktorer til screening </w:t>
            </w:r>
          </w:p>
        </w:tc>
        <w:tc>
          <w:tcPr>
            <w:tcW w:w="901"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p>
        </w:tc>
        <w:tc>
          <w:tcPr>
            <w:tcW w:w="1248"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Antal partnere forudgående 12 uger, gennemsnit (SD)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18 (43)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18 (35)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URAI de sidste 12 uger,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753 (60)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732 (59)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URAI med hiv+ (ukendt status) Partner forudg. 6 måneder,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1.009 (81)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992 (79)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Involveret i transaktionssex forudg. 6 måneder,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510 (41)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517 (41)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Kendt hiv+ Partnere de sidste 6 måneder,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32 (3)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23 (2)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Syfilis Seroreaktivitet,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162/1.239 (13)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164/1.240 (13)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Serum herpes simplex virus type 2 infektion,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430/1.243 (35)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458/1.241 (37) </w:t>
            </w:r>
          </w:p>
        </w:tc>
      </w:tr>
      <w:tr w:rsidR="0057668F" w:rsidRPr="00F033C6" w:rsidTr="00803BD1">
        <w:tc>
          <w:tcPr>
            <w:tcW w:w="285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Urin-leukocytesterase positiv, N (%) </w:t>
            </w:r>
          </w:p>
        </w:tc>
        <w:tc>
          <w:tcPr>
            <w:tcW w:w="901"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22 (2) </w:t>
            </w:r>
          </w:p>
        </w:tc>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23 (2) </w:t>
            </w:r>
          </w:p>
        </w:tc>
      </w:tr>
    </w:tbl>
    <w:p w:rsidR="00FC356F" w:rsidRPr="009D75B2" w:rsidRDefault="00FC356F" w:rsidP="00FC356F">
      <w:pPr>
        <w:ind w:left="851" w:hanging="851"/>
        <w:rPr>
          <w:sz w:val="22"/>
          <w:szCs w:val="22"/>
        </w:rPr>
      </w:pPr>
      <w:r w:rsidRPr="009D75B2">
        <w:rPr>
          <w:sz w:val="22"/>
          <w:szCs w:val="22"/>
        </w:rPr>
        <w:t>URAI = ubeskyttet receptivt analt samleje.</w:t>
      </w:r>
    </w:p>
    <w:p w:rsidR="0057668F" w:rsidRPr="004C3DE3" w:rsidRDefault="0057668F" w:rsidP="0057668F">
      <w:pPr>
        <w:ind w:left="851" w:hanging="851"/>
        <w:rPr>
          <w:sz w:val="24"/>
          <w:szCs w:val="24"/>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Forekomsten af hiv-serokonversion samlet set og i den delmængde, som rapporterede ubeskyttet receptivt analt samleje, er vist i Tabel 6. Effekt var stærkt korreleret til adhærens, vurderet ud fra påvisning af plasma- eller intracellulære lægemiddelniveauer i et </w:t>
      </w:r>
      <w:proofErr w:type="gramStart"/>
      <w:r w:rsidRPr="004C3DE3">
        <w:rPr>
          <w:sz w:val="24"/>
          <w:szCs w:val="24"/>
          <w:lang w:eastAsia="da-DK"/>
        </w:rPr>
        <w:t>case-kontrol studie</w:t>
      </w:r>
      <w:proofErr w:type="gramEnd"/>
      <w:r w:rsidRPr="004C3DE3">
        <w:rPr>
          <w:sz w:val="24"/>
          <w:szCs w:val="24"/>
          <w:lang w:eastAsia="da-DK"/>
        </w:rPr>
        <w:t xml:space="preserve"> (Tabel 7).</w:t>
      </w:r>
    </w:p>
    <w:p w:rsidR="0057668F" w:rsidRPr="004C3DE3" w:rsidRDefault="0057668F" w:rsidP="0057668F">
      <w:pPr>
        <w:autoSpaceDE w:val="0"/>
        <w:autoSpaceDN w:val="0"/>
        <w:adjustRightInd w:val="0"/>
        <w:ind w:left="851" w:hanging="851"/>
        <w:rPr>
          <w:sz w:val="24"/>
          <w:szCs w:val="24"/>
          <w:lang w:eastAsia="da-DK"/>
        </w:rPr>
      </w:pPr>
    </w:p>
    <w:p w:rsidR="0057668F" w:rsidRPr="004C3DE3" w:rsidRDefault="0057668F" w:rsidP="0057668F">
      <w:pPr>
        <w:ind w:left="851" w:hanging="851"/>
        <w:rPr>
          <w:b/>
          <w:bCs/>
          <w:sz w:val="24"/>
          <w:szCs w:val="24"/>
          <w:lang w:val="en-US" w:eastAsia="da-DK"/>
        </w:rPr>
      </w:pPr>
      <w:r w:rsidRPr="004C3DE3">
        <w:rPr>
          <w:b/>
          <w:bCs/>
          <w:sz w:val="24"/>
          <w:szCs w:val="24"/>
          <w:lang w:val="en-US" w:eastAsia="da-DK"/>
        </w:rPr>
        <w:t>Tabel 6: Virkning i studie CO-US-104-0288 (iPrEx)</w:t>
      </w:r>
    </w:p>
    <w:p w:rsidR="0057668F" w:rsidRPr="004C3DE3" w:rsidRDefault="0057668F" w:rsidP="0057668F">
      <w:pPr>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376"/>
        <w:gridCol w:w="2444"/>
        <w:gridCol w:w="2368"/>
      </w:tblGrid>
      <w:tr w:rsidR="0057668F" w:rsidRPr="00F033C6" w:rsidTr="00FC356F">
        <w:tc>
          <w:tcPr>
            <w:tcW w:w="1267"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lang w:val="en-US"/>
              </w:rPr>
            </w:pPr>
          </w:p>
        </w:tc>
        <w:tc>
          <w:tcPr>
            <w:tcW w:w="1234"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Placebo </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Kombination af emtricitabin og tenofovirdisoproxil </w:t>
            </w:r>
          </w:p>
        </w:tc>
        <w:tc>
          <w:tcPr>
            <w:tcW w:w="1230"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 xml:space="preserve">P-værdi </w:t>
            </w:r>
            <w:r w:rsidRPr="00F033C6">
              <w:rPr>
                <w:b/>
                <w:bCs/>
                <w:sz w:val="22"/>
                <w:szCs w:val="22"/>
                <w:vertAlign w:val="superscript"/>
              </w:rPr>
              <w:t>a, b</w:t>
            </w:r>
          </w:p>
          <w:p w:rsidR="0057668F" w:rsidRPr="00F033C6" w:rsidRDefault="0057668F" w:rsidP="00803BD1">
            <w:pPr>
              <w:rPr>
                <w:sz w:val="22"/>
                <w:szCs w:val="22"/>
              </w:rPr>
            </w:pPr>
          </w:p>
        </w:tc>
      </w:tr>
      <w:tr w:rsidR="0057668F" w:rsidRPr="00F033C6" w:rsidTr="00803BD1">
        <w:tc>
          <w:tcPr>
            <w:tcW w:w="5000" w:type="pct"/>
            <w:gridSpan w:val="4"/>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 xml:space="preserve">mITT-Analyse </w:t>
            </w:r>
          </w:p>
          <w:p w:rsidR="0057668F" w:rsidRPr="00F033C6" w:rsidRDefault="0057668F" w:rsidP="00803BD1">
            <w:pPr>
              <w:rPr>
                <w:sz w:val="22"/>
                <w:szCs w:val="22"/>
              </w:rPr>
            </w:pPr>
          </w:p>
        </w:tc>
      </w:tr>
      <w:tr w:rsidR="0057668F" w:rsidRPr="00F033C6" w:rsidTr="00FC356F">
        <w:tc>
          <w:tcPr>
            <w:tcW w:w="1267"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Serokonverteringer / N </w:t>
            </w:r>
          </w:p>
        </w:tc>
        <w:tc>
          <w:tcPr>
            <w:tcW w:w="1234"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83 / 1.217</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48 / 1.224 </w:t>
            </w:r>
          </w:p>
        </w:tc>
        <w:tc>
          <w:tcPr>
            <w:tcW w:w="1230" w:type="pct"/>
            <w:vMerge w:val="restar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0,002</w:t>
            </w:r>
          </w:p>
        </w:tc>
      </w:tr>
      <w:tr w:rsidR="0057668F" w:rsidRPr="00F033C6" w:rsidTr="00803BD1">
        <w:tc>
          <w:tcPr>
            <w:tcW w:w="1267"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Relativ risikoreduktion (95% </w:t>
            </w:r>
            <w:proofErr w:type="gramStart"/>
            <w:r w:rsidRPr="00F033C6">
              <w:rPr>
                <w:sz w:val="22"/>
                <w:szCs w:val="22"/>
              </w:rPr>
              <w:t>CI)</w:t>
            </w:r>
            <w:r w:rsidRPr="00F033C6">
              <w:rPr>
                <w:sz w:val="22"/>
                <w:szCs w:val="22"/>
                <w:vertAlign w:val="superscript"/>
              </w:rPr>
              <w:t>b</w:t>
            </w:r>
            <w:proofErr w:type="gramEnd"/>
          </w:p>
        </w:tc>
        <w:tc>
          <w:tcPr>
            <w:tcW w:w="2503"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42 % (18 %, 60 %)</w:t>
            </w:r>
          </w:p>
        </w:tc>
        <w:tc>
          <w:tcPr>
            <w:tcW w:w="1230" w:type="pct"/>
            <w:vMerge/>
            <w:tcBorders>
              <w:top w:val="single" w:sz="4" w:space="0" w:color="auto"/>
              <w:left w:val="single" w:sz="4" w:space="0" w:color="auto"/>
              <w:bottom w:val="single" w:sz="4" w:space="0" w:color="auto"/>
              <w:right w:val="single" w:sz="4" w:space="0" w:color="auto"/>
            </w:tcBorders>
            <w:vAlign w:val="center"/>
            <w:hideMark/>
          </w:tcPr>
          <w:p w:rsidR="0057668F" w:rsidRPr="00F033C6" w:rsidRDefault="0057668F" w:rsidP="00803BD1">
            <w:pPr>
              <w:rPr>
                <w:sz w:val="22"/>
                <w:szCs w:val="22"/>
              </w:rPr>
            </w:pPr>
          </w:p>
        </w:tc>
      </w:tr>
      <w:tr w:rsidR="0057668F" w:rsidRPr="00F033C6" w:rsidTr="00803BD1">
        <w:tc>
          <w:tcPr>
            <w:tcW w:w="5000" w:type="pct"/>
            <w:gridSpan w:val="4"/>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b/>
                <w:sz w:val="22"/>
                <w:szCs w:val="22"/>
              </w:rPr>
            </w:pPr>
            <w:r w:rsidRPr="00F033C6">
              <w:rPr>
                <w:b/>
                <w:sz w:val="22"/>
                <w:szCs w:val="22"/>
              </w:rPr>
              <w:t>URAI inden for 12 uger før screening, mITT-analyse</w:t>
            </w:r>
          </w:p>
        </w:tc>
      </w:tr>
      <w:tr w:rsidR="0057668F" w:rsidRPr="00F033C6" w:rsidTr="00FC356F">
        <w:tc>
          <w:tcPr>
            <w:tcW w:w="1267"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Serokonverteringer/ N </w:t>
            </w:r>
          </w:p>
        </w:tc>
        <w:tc>
          <w:tcPr>
            <w:tcW w:w="1234"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72 / 753 </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34 / 732 </w:t>
            </w:r>
          </w:p>
        </w:tc>
        <w:tc>
          <w:tcPr>
            <w:tcW w:w="1230" w:type="pct"/>
            <w:vMerge w:val="restar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0,0349</w:t>
            </w:r>
          </w:p>
        </w:tc>
      </w:tr>
      <w:tr w:rsidR="0057668F" w:rsidRPr="00F033C6" w:rsidTr="00803BD1">
        <w:tc>
          <w:tcPr>
            <w:tcW w:w="1267"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Relativ risikoreduktion (95 % </w:t>
            </w:r>
            <w:proofErr w:type="gramStart"/>
            <w:r w:rsidRPr="00F033C6">
              <w:rPr>
                <w:sz w:val="22"/>
                <w:szCs w:val="22"/>
              </w:rPr>
              <w:t>CI)</w:t>
            </w:r>
            <w:r w:rsidRPr="00F033C6">
              <w:rPr>
                <w:sz w:val="22"/>
                <w:szCs w:val="22"/>
                <w:vertAlign w:val="superscript"/>
              </w:rPr>
              <w:t>b</w:t>
            </w:r>
            <w:proofErr w:type="gramEnd"/>
          </w:p>
        </w:tc>
        <w:tc>
          <w:tcPr>
            <w:tcW w:w="2503" w:type="pct"/>
            <w:gridSpan w:val="2"/>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52 % (28 %, 68 %)</w:t>
            </w:r>
          </w:p>
        </w:tc>
        <w:tc>
          <w:tcPr>
            <w:tcW w:w="1230" w:type="pct"/>
            <w:vMerge/>
            <w:tcBorders>
              <w:top w:val="single" w:sz="4" w:space="0" w:color="auto"/>
              <w:left w:val="single" w:sz="4" w:space="0" w:color="auto"/>
              <w:bottom w:val="single" w:sz="4" w:space="0" w:color="auto"/>
              <w:right w:val="single" w:sz="4" w:space="0" w:color="auto"/>
            </w:tcBorders>
            <w:vAlign w:val="center"/>
            <w:hideMark/>
          </w:tcPr>
          <w:p w:rsidR="0057668F" w:rsidRPr="00F033C6" w:rsidRDefault="0057668F" w:rsidP="00803BD1">
            <w:pPr>
              <w:rPr>
                <w:sz w:val="22"/>
                <w:szCs w:val="22"/>
              </w:rPr>
            </w:pPr>
          </w:p>
        </w:tc>
      </w:tr>
    </w:tbl>
    <w:p w:rsidR="00FC356F" w:rsidRPr="009D75B2" w:rsidRDefault="00FC356F" w:rsidP="00FC356F">
      <w:pPr>
        <w:rPr>
          <w:sz w:val="22"/>
          <w:szCs w:val="22"/>
        </w:rPr>
      </w:pPr>
      <w:r w:rsidRPr="009D75B2">
        <w:rPr>
          <w:sz w:val="22"/>
          <w:szCs w:val="22"/>
          <w:vertAlign w:val="superscript"/>
        </w:rPr>
        <w:t xml:space="preserve">a </w:t>
      </w:r>
      <w:r w:rsidRPr="009D75B2">
        <w:rPr>
          <w:sz w:val="22"/>
          <w:szCs w:val="22"/>
        </w:rPr>
        <w:t>P-værdi efter log(rank) test. P-værdi for URAI henvisertil den nul-hypotese, at virkningen var forskellig mellem undergruppestrata (URAI, ingen URAI).</w:t>
      </w:r>
    </w:p>
    <w:p w:rsidR="00FC356F" w:rsidRPr="009D75B2" w:rsidRDefault="00FC356F" w:rsidP="00FC356F">
      <w:pPr>
        <w:rPr>
          <w:sz w:val="22"/>
          <w:szCs w:val="22"/>
        </w:rPr>
      </w:pPr>
      <w:r w:rsidRPr="009D75B2">
        <w:rPr>
          <w:sz w:val="22"/>
          <w:szCs w:val="22"/>
          <w:vertAlign w:val="superscript"/>
        </w:rPr>
        <w:t>b</w:t>
      </w:r>
      <w:r w:rsidRPr="009D75B2">
        <w:rPr>
          <w:sz w:val="22"/>
          <w:szCs w:val="22"/>
        </w:rPr>
        <w:t xml:space="preserve"> Relativ risikoreduktion beregnet for mITT baseret på hændelsesbaseret serokonvertering, dvs. som forekommer efter baseline til og med det første besøg efter behandlingen (ca. 1 måned efter sidste udlevering af forsøgsmedicin).</w:t>
      </w:r>
    </w:p>
    <w:p w:rsidR="0057668F" w:rsidRPr="004C3DE3" w:rsidRDefault="0057668F" w:rsidP="0057668F">
      <w:pPr>
        <w:ind w:left="851" w:hanging="851"/>
        <w:rPr>
          <w:sz w:val="24"/>
          <w:szCs w:val="24"/>
        </w:rPr>
      </w:pPr>
    </w:p>
    <w:p w:rsidR="0057668F" w:rsidRPr="004C3DE3" w:rsidRDefault="0057668F" w:rsidP="00AD7CE0">
      <w:pPr>
        <w:keepNext/>
        <w:rPr>
          <w:b/>
          <w:sz w:val="24"/>
          <w:szCs w:val="24"/>
        </w:rPr>
      </w:pPr>
      <w:r w:rsidRPr="004C3DE3">
        <w:rPr>
          <w:b/>
          <w:sz w:val="24"/>
          <w:szCs w:val="24"/>
        </w:rPr>
        <w:lastRenderedPageBreak/>
        <w:t>Tabel 7: Effektivitet og adhærens i studie CO-US-104-0288 (iPrEx, parret case-kontrol analyse)</w:t>
      </w:r>
    </w:p>
    <w:p w:rsidR="0057668F" w:rsidRPr="004C3DE3" w:rsidRDefault="0057668F" w:rsidP="00AD7CE0">
      <w:pPr>
        <w:keepNext/>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49"/>
        <w:gridCol w:w="2378"/>
        <w:gridCol w:w="2397"/>
      </w:tblGrid>
      <w:tr w:rsidR="0057668F" w:rsidRPr="00B42CB8" w:rsidTr="00803BD1">
        <w:tc>
          <w:tcPr>
            <w:tcW w:w="1248" w:type="pct"/>
            <w:tcBorders>
              <w:top w:val="single" w:sz="4" w:space="0" w:color="auto"/>
              <w:left w:val="single" w:sz="4" w:space="0" w:color="auto"/>
              <w:bottom w:val="single" w:sz="4" w:space="0" w:color="auto"/>
              <w:right w:val="single" w:sz="4" w:space="0" w:color="auto"/>
            </w:tcBorders>
            <w:hideMark/>
          </w:tcPr>
          <w:p w:rsidR="0057668F" w:rsidRPr="00B42CB8" w:rsidRDefault="0057668F" w:rsidP="00803BD1">
            <w:pPr>
              <w:rPr>
                <w:b/>
                <w:sz w:val="22"/>
                <w:szCs w:val="22"/>
              </w:rPr>
            </w:pPr>
            <w:r w:rsidRPr="00B42CB8">
              <w:rPr>
                <w:b/>
                <w:sz w:val="22"/>
                <w:szCs w:val="22"/>
              </w:rPr>
              <w:t>Kohort</w:t>
            </w:r>
          </w:p>
        </w:tc>
        <w:tc>
          <w:tcPr>
            <w:tcW w:w="1272" w:type="pct"/>
            <w:tcBorders>
              <w:top w:val="single" w:sz="4" w:space="0" w:color="auto"/>
              <w:left w:val="single" w:sz="4" w:space="0" w:color="auto"/>
              <w:bottom w:val="single" w:sz="4" w:space="0" w:color="auto"/>
              <w:right w:val="single" w:sz="4" w:space="0" w:color="auto"/>
            </w:tcBorders>
            <w:hideMark/>
          </w:tcPr>
          <w:p w:rsidR="0057668F" w:rsidRPr="00B42CB8" w:rsidRDefault="0057668F" w:rsidP="00803BD1">
            <w:pPr>
              <w:rPr>
                <w:b/>
                <w:sz w:val="22"/>
                <w:szCs w:val="22"/>
              </w:rPr>
            </w:pPr>
            <w:r w:rsidRPr="00B42CB8">
              <w:rPr>
                <w:b/>
                <w:bCs/>
                <w:sz w:val="22"/>
                <w:szCs w:val="22"/>
              </w:rPr>
              <w:t xml:space="preserve">Lægemiddeldetekteret </w:t>
            </w:r>
          </w:p>
        </w:tc>
        <w:tc>
          <w:tcPr>
            <w:tcW w:w="1235" w:type="pct"/>
            <w:tcBorders>
              <w:top w:val="single" w:sz="4" w:space="0" w:color="auto"/>
              <w:left w:val="single" w:sz="4" w:space="0" w:color="auto"/>
              <w:bottom w:val="single" w:sz="4" w:space="0" w:color="auto"/>
              <w:right w:val="single" w:sz="4" w:space="0" w:color="auto"/>
            </w:tcBorders>
          </w:tcPr>
          <w:p w:rsidR="0057668F" w:rsidRPr="00B42CB8" w:rsidRDefault="0057668F" w:rsidP="00803BD1">
            <w:pPr>
              <w:rPr>
                <w:b/>
                <w:sz w:val="22"/>
                <w:szCs w:val="22"/>
              </w:rPr>
            </w:pPr>
            <w:r w:rsidRPr="00B42CB8">
              <w:rPr>
                <w:b/>
                <w:bCs/>
                <w:sz w:val="22"/>
                <w:szCs w:val="22"/>
              </w:rPr>
              <w:t xml:space="preserve">Lægemiddel Ikke detekteret </w:t>
            </w:r>
          </w:p>
          <w:p w:rsidR="0057668F" w:rsidRPr="00B42CB8" w:rsidRDefault="0057668F" w:rsidP="00803BD1">
            <w:pPr>
              <w:rPr>
                <w:b/>
                <w:sz w:val="22"/>
                <w:szCs w:val="22"/>
                <w:u w:val="single"/>
              </w:rPr>
            </w:pPr>
          </w:p>
        </w:tc>
        <w:tc>
          <w:tcPr>
            <w:tcW w:w="1245" w:type="pct"/>
            <w:tcBorders>
              <w:top w:val="single" w:sz="4" w:space="0" w:color="auto"/>
              <w:left w:val="single" w:sz="4" w:space="0" w:color="auto"/>
              <w:bottom w:val="single" w:sz="4" w:space="0" w:color="auto"/>
              <w:right w:val="single" w:sz="4" w:space="0" w:color="auto"/>
            </w:tcBorders>
          </w:tcPr>
          <w:p w:rsidR="0057668F" w:rsidRPr="00B42CB8" w:rsidRDefault="0057668F" w:rsidP="00803BD1">
            <w:pPr>
              <w:rPr>
                <w:b/>
                <w:sz w:val="22"/>
                <w:szCs w:val="22"/>
              </w:rPr>
            </w:pPr>
            <w:r w:rsidRPr="00B42CB8">
              <w:rPr>
                <w:b/>
                <w:bCs/>
                <w:sz w:val="22"/>
                <w:szCs w:val="22"/>
              </w:rPr>
              <w:t xml:space="preserve">Relativ risikoreduktion (2-sidet 95 % CI) </w:t>
            </w:r>
            <w:r w:rsidRPr="00B42CB8">
              <w:rPr>
                <w:b/>
                <w:bCs/>
                <w:sz w:val="22"/>
                <w:szCs w:val="22"/>
                <w:vertAlign w:val="superscript"/>
              </w:rPr>
              <w:t>a</w:t>
            </w:r>
          </w:p>
          <w:p w:rsidR="0057668F" w:rsidRPr="00B42CB8" w:rsidRDefault="0057668F" w:rsidP="00803BD1">
            <w:pPr>
              <w:rPr>
                <w:b/>
                <w:sz w:val="22"/>
                <w:szCs w:val="22"/>
                <w:u w:val="single"/>
              </w:rPr>
            </w:pPr>
          </w:p>
        </w:tc>
      </w:tr>
      <w:tr w:rsidR="0057668F" w:rsidRPr="00F033C6" w:rsidTr="00803BD1">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Hiv-positive forsøgspersoner </w:t>
            </w:r>
          </w:p>
        </w:tc>
        <w:tc>
          <w:tcPr>
            <w:tcW w:w="1272"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4 (8 %) </w:t>
            </w:r>
          </w:p>
        </w:tc>
        <w:tc>
          <w:tcPr>
            <w:tcW w:w="123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44 (92 %) </w:t>
            </w:r>
          </w:p>
        </w:tc>
        <w:tc>
          <w:tcPr>
            <w:tcW w:w="124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94 % (78 %, 99 %) </w:t>
            </w:r>
          </w:p>
        </w:tc>
      </w:tr>
      <w:tr w:rsidR="0057668F" w:rsidRPr="00F033C6" w:rsidTr="00803BD1">
        <w:tc>
          <w:tcPr>
            <w:tcW w:w="1248"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Hiv-negative matchede kontrolpersoner </w:t>
            </w:r>
          </w:p>
        </w:tc>
        <w:tc>
          <w:tcPr>
            <w:tcW w:w="1272"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63 (44 %) </w:t>
            </w:r>
          </w:p>
        </w:tc>
        <w:tc>
          <w:tcPr>
            <w:tcW w:w="123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81 (56 %) </w:t>
            </w:r>
          </w:p>
        </w:tc>
        <w:tc>
          <w:tcPr>
            <w:tcW w:w="124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u w:val="single"/>
              </w:rPr>
            </w:pPr>
            <w:r w:rsidRPr="00F033C6">
              <w:rPr>
                <w:sz w:val="22"/>
                <w:szCs w:val="22"/>
                <w:u w:val="single"/>
              </w:rPr>
              <w:t>__</w:t>
            </w:r>
          </w:p>
        </w:tc>
      </w:tr>
    </w:tbl>
    <w:p w:rsidR="00FC356F" w:rsidRPr="009D75B2" w:rsidRDefault="00FC356F" w:rsidP="00FC356F">
      <w:pPr>
        <w:rPr>
          <w:b/>
          <w:bCs/>
          <w:sz w:val="22"/>
          <w:szCs w:val="22"/>
          <w:lang w:eastAsia="da-DK"/>
        </w:rPr>
      </w:pPr>
      <w:r w:rsidRPr="009D75B2">
        <w:rPr>
          <w:sz w:val="22"/>
          <w:szCs w:val="22"/>
          <w:vertAlign w:val="superscript"/>
        </w:rPr>
        <w:t>a</w:t>
      </w:r>
      <w:r w:rsidRPr="009D75B2">
        <w:rPr>
          <w:sz w:val="22"/>
          <w:szCs w:val="22"/>
        </w:rPr>
        <w:t xml:space="preserve"> Relativ risikoreduktion beregnet ud fra tilfælde (post-baseline) serokonversion fra den dobbeltblindet behandlingsperiode og igennem den 8 uger opfølgningsperiode. Kun prøver fra randomiseret valgte personer med kombinationen af emtricitabin og tenofovirdisoproxil blev evalueret ud fra detekterbare plasma eller intrcellulære tenofovirdisoproxil-</w:t>
      </w:r>
      <w:proofErr w:type="gramStart"/>
      <w:r w:rsidRPr="009D75B2">
        <w:rPr>
          <w:sz w:val="22"/>
          <w:szCs w:val="22"/>
        </w:rPr>
        <w:t>DP niveauer</w:t>
      </w:r>
      <w:proofErr w:type="gramEnd"/>
      <w:r w:rsidRPr="009D75B2">
        <w:rPr>
          <w:sz w:val="22"/>
          <w:szCs w:val="22"/>
        </w:rPr>
        <w:t>.</w:t>
      </w:r>
    </w:p>
    <w:p w:rsidR="0057668F" w:rsidRPr="004C3DE3" w:rsidRDefault="0057668F" w:rsidP="0057668F">
      <w:pPr>
        <w:ind w:left="851" w:hanging="851"/>
        <w:rPr>
          <w:sz w:val="24"/>
          <w:szCs w:val="24"/>
        </w:rPr>
      </w:pPr>
    </w:p>
    <w:p w:rsidR="0057668F" w:rsidRPr="004C3DE3" w:rsidRDefault="0057668F" w:rsidP="0057668F">
      <w:pPr>
        <w:autoSpaceDE w:val="0"/>
        <w:autoSpaceDN w:val="0"/>
        <w:adjustRightInd w:val="0"/>
        <w:ind w:left="851"/>
        <w:rPr>
          <w:color w:val="000000"/>
          <w:sz w:val="24"/>
          <w:szCs w:val="24"/>
          <w:lang w:eastAsia="da-DK"/>
        </w:rPr>
      </w:pPr>
      <w:r w:rsidRPr="004C3DE3">
        <w:rPr>
          <w:color w:val="000000"/>
          <w:sz w:val="24"/>
          <w:szCs w:val="24"/>
          <w:lang w:eastAsia="da-DK"/>
        </w:rPr>
        <w:t>Det kliniske studie Partners PrEP (CO-US-104-0380) evaluerede kombinationen af emtricitabin og tenofovirdisoproxil, tenofovirdisoproxil 245 mg og placebo hos 4.758 forsøgspersoner fra Kenya eller Uganda, som ikke var inficeret med hiv, og som var i serodiskordante heterosektuelle parforhold. Forsøgspersoner blev fulgt i 7.830 personår. Baseline</w:t>
      </w:r>
      <w:r w:rsidRPr="004C3DE3">
        <w:rPr>
          <w:i/>
          <w:iCs/>
          <w:color w:val="000000"/>
          <w:sz w:val="24"/>
          <w:szCs w:val="24"/>
          <w:lang w:eastAsia="da-DK"/>
        </w:rPr>
        <w:t>-</w:t>
      </w:r>
      <w:r w:rsidRPr="004C3DE3">
        <w:rPr>
          <w:color w:val="000000"/>
          <w:sz w:val="24"/>
          <w:szCs w:val="24"/>
          <w:lang w:eastAsia="da-DK"/>
        </w:rPr>
        <w:t xml:space="preserve">karakteristika er sammenfattet i Tabel 8. </w:t>
      </w:r>
    </w:p>
    <w:p w:rsidR="0057668F" w:rsidRPr="004C3DE3" w:rsidRDefault="0057668F" w:rsidP="0057668F">
      <w:pPr>
        <w:autoSpaceDE w:val="0"/>
        <w:autoSpaceDN w:val="0"/>
        <w:adjustRightInd w:val="0"/>
        <w:ind w:left="851" w:hanging="851"/>
        <w:rPr>
          <w:color w:val="000000"/>
          <w:sz w:val="24"/>
          <w:szCs w:val="24"/>
          <w:lang w:eastAsia="da-DK"/>
        </w:rPr>
      </w:pPr>
    </w:p>
    <w:p w:rsidR="0057668F" w:rsidRPr="004C3DE3" w:rsidRDefault="0057668F" w:rsidP="0057668F">
      <w:pPr>
        <w:ind w:left="851" w:hanging="851"/>
        <w:rPr>
          <w:sz w:val="24"/>
          <w:szCs w:val="24"/>
          <w:lang w:val="en-US"/>
        </w:rPr>
      </w:pPr>
      <w:r w:rsidRPr="004C3DE3">
        <w:rPr>
          <w:b/>
          <w:bCs/>
          <w:color w:val="000000"/>
          <w:sz w:val="24"/>
          <w:szCs w:val="24"/>
          <w:lang w:val="en-US" w:eastAsia="da-DK"/>
        </w:rPr>
        <w:t>Tabel 8: Studiepopulation fra studie CO−US−104−0380 (Partners PrEP)</w:t>
      </w:r>
    </w:p>
    <w:p w:rsidR="0057668F" w:rsidRPr="004C3DE3" w:rsidRDefault="0057668F" w:rsidP="0057668F">
      <w:pPr>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59"/>
        <w:gridCol w:w="2444"/>
        <w:gridCol w:w="2438"/>
      </w:tblGrid>
      <w:tr w:rsidR="0057668F" w:rsidRPr="00F033C6" w:rsidTr="00803BD1">
        <w:tc>
          <w:tcPr>
            <w:tcW w:w="1240"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 xml:space="preserve">Placebo (n = 1.584) </w:t>
            </w:r>
          </w:p>
          <w:p w:rsidR="0057668F" w:rsidRPr="00F033C6" w:rsidRDefault="0057668F" w:rsidP="00803BD1">
            <w:pPr>
              <w:rPr>
                <w:sz w:val="22"/>
                <w:szCs w:val="22"/>
              </w:rPr>
            </w:pPr>
          </w:p>
        </w:tc>
        <w:tc>
          <w:tcPr>
            <w:tcW w:w="1269"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 xml:space="preserve">Tenofovirdisoproxil 245 mg (som fumarat) (n = 1.584) </w:t>
            </w:r>
          </w:p>
          <w:p w:rsidR="0057668F" w:rsidRPr="00F033C6" w:rsidRDefault="0057668F" w:rsidP="00803BD1">
            <w:pPr>
              <w:rPr>
                <w:sz w:val="22"/>
                <w:szCs w:val="22"/>
              </w:rPr>
            </w:pPr>
          </w:p>
        </w:tc>
        <w:tc>
          <w:tcPr>
            <w:tcW w:w="1266"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 xml:space="preserve">Kombinationen af emtricitabin og tenofovirdisoproxil (n = 1.579) </w:t>
            </w:r>
          </w:p>
          <w:p w:rsidR="0057668F" w:rsidRPr="00F033C6" w:rsidRDefault="0057668F" w:rsidP="00803BD1">
            <w:pPr>
              <w:rPr>
                <w:sz w:val="22"/>
                <w:szCs w:val="22"/>
              </w:rPr>
            </w:pPr>
          </w:p>
        </w:tc>
      </w:tr>
      <w:tr w:rsidR="0057668F" w:rsidRPr="00F033C6" w:rsidTr="00803BD1">
        <w:tc>
          <w:tcPr>
            <w:tcW w:w="1240"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Alder (år), Median (1. kvartil, 3. kvartil)</w:t>
            </w:r>
          </w:p>
        </w:tc>
        <w:tc>
          <w:tcPr>
            <w:tcW w:w="1225"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sz w:val="22"/>
                <w:szCs w:val="22"/>
              </w:rPr>
              <w:t xml:space="preserve">34 (28, 40) </w:t>
            </w:r>
          </w:p>
          <w:p w:rsidR="0057668F" w:rsidRPr="00F033C6" w:rsidRDefault="0057668F" w:rsidP="00803BD1">
            <w:pPr>
              <w:rPr>
                <w:sz w:val="22"/>
                <w:szCs w:val="22"/>
              </w:rPr>
            </w:pPr>
          </w:p>
        </w:tc>
        <w:tc>
          <w:tcPr>
            <w:tcW w:w="1269"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sz w:val="22"/>
                <w:szCs w:val="22"/>
              </w:rPr>
              <w:t xml:space="preserve">33 (28, 39) </w:t>
            </w:r>
          </w:p>
          <w:p w:rsidR="0057668F" w:rsidRPr="00F033C6" w:rsidRDefault="0057668F" w:rsidP="00803BD1">
            <w:pPr>
              <w:rPr>
                <w:sz w:val="22"/>
                <w:szCs w:val="22"/>
              </w:rPr>
            </w:pPr>
          </w:p>
        </w:tc>
        <w:tc>
          <w:tcPr>
            <w:tcW w:w="1266"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sz w:val="22"/>
                <w:szCs w:val="22"/>
              </w:rPr>
              <w:t xml:space="preserve">33 (28, 40) </w:t>
            </w:r>
          </w:p>
          <w:p w:rsidR="0057668F" w:rsidRPr="00F033C6" w:rsidRDefault="0057668F" w:rsidP="00803BD1">
            <w:pPr>
              <w:rPr>
                <w:sz w:val="22"/>
                <w:szCs w:val="22"/>
              </w:rPr>
            </w:pPr>
          </w:p>
        </w:tc>
      </w:tr>
      <w:tr w:rsidR="0057668F" w:rsidRPr="00F033C6" w:rsidTr="00803BD1">
        <w:tc>
          <w:tcPr>
            <w:tcW w:w="1240"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Køn, N (%) </w:t>
            </w:r>
          </w:p>
        </w:tc>
        <w:tc>
          <w:tcPr>
            <w:tcW w:w="1225"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p>
        </w:tc>
        <w:tc>
          <w:tcPr>
            <w:tcW w:w="1269"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p>
        </w:tc>
        <w:tc>
          <w:tcPr>
            <w:tcW w:w="1266"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p>
        </w:tc>
      </w:tr>
      <w:tr w:rsidR="0057668F" w:rsidRPr="00F033C6" w:rsidTr="00803BD1">
        <w:tc>
          <w:tcPr>
            <w:tcW w:w="1240"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Mænd </w:t>
            </w:r>
          </w:p>
        </w:tc>
        <w:tc>
          <w:tcPr>
            <w:tcW w:w="122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963 (61) </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986 (62) </w:t>
            </w: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1.013 (64) </w:t>
            </w:r>
          </w:p>
        </w:tc>
      </w:tr>
      <w:tr w:rsidR="0057668F" w:rsidRPr="00F033C6" w:rsidTr="00803BD1">
        <w:tc>
          <w:tcPr>
            <w:tcW w:w="1240"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Kvinder </w:t>
            </w:r>
          </w:p>
        </w:tc>
        <w:tc>
          <w:tcPr>
            <w:tcW w:w="122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621 (39) </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598 (38) </w:t>
            </w: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566 (36) </w:t>
            </w:r>
          </w:p>
        </w:tc>
      </w:tr>
      <w:tr w:rsidR="0057668F" w:rsidRPr="00F033C6" w:rsidTr="00803BD1">
        <w:tc>
          <w:tcPr>
            <w:tcW w:w="5000" w:type="pct"/>
            <w:gridSpan w:val="4"/>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Vigtigste parkarakteristika, N (%) eller median (1. kvartil, 3. kvartil) </w:t>
            </w:r>
          </w:p>
        </w:tc>
      </w:tr>
      <w:tr w:rsidR="0057668F" w:rsidRPr="00F033C6" w:rsidTr="00803BD1">
        <w:tc>
          <w:tcPr>
            <w:tcW w:w="1240"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Gift med studiepartner </w:t>
            </w:r>
          </w:p>
        </w:tc>
        <w:tc>
          <w:tcPr>
            <w:tcW w:w="122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1.552 (98) </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1.543 (97) </w:t>
            </w: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1.540 (98) </w:t>
            </w:r>
          </w:p>
        </w:tc>
      </w:tr>
      <w:tr w:rsidR="0057668F" w:rsidRPr="00F033C6" w:rsidTr="00803BD1">
        <w:tc>
          <w:tcPr>
            <w:tcW w:w="1240"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Antal år levet sammen med studiepartner </w:t>
            </w:r>
          </w:p>
        </w:tc>
        <w:tc>
          <w:tcPr>
            <w:tcW w:w="122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7,1 (3,0, 14,0) </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7,0 (3,0, 13,5) </w:t>
            </w: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7,1 (3,0, 14,0) </w:t>
            </w:r>
          </w:p>
        </w:tc>
      </w:tr>
      <w:tr w:rsidR="0057668F" w:rsidRPr="00F033C6" w:rsidTr="00803BD1">
        <w:tc>
          <w:tcPr>
            <w:tcW w:w="1240"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Antal år klar over diskordant status </w:t>
            </w:r>
          </w:p>
        </w:tc>
        <w:tc>
          <w:tcPr>
            <w:tcW w:w="1225"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0,4 (0,1, 2,0) </w:t>
            </w:r>
          </w:p>
        </w:tc>
        <w:tc>
          <w:tcPr>
            <w:tcW w:w="126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0,5 (0,1, 2,0) </w:t>
            </w: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0,4 (0,1, 2,0) </w:t>
            </w:r>
          </w:p>
        </w:tc>
      </w:tr>
    </w:tbl>
    <w:p w:rsidR="0057668F" w:rsidRPr="004C3DE3" w:rsidRDefault="0057668F" w:rsidP="0057668F">
      <w:pPr>
        <w:ind w:left="851" w:hanging="851"/>
        <w:rPr>
          <w:sz w:val="24"/>
          <w:szCs w:val="24"/>
        </w:rPr>
      </w:pPr>
    </w:p>
    <w:p w:rsidR="0057668F" w:rsidRPr="004C3DE3" w:rsidRDefault="0057668F" w:rsidP="0057668F">
      <w:pPr>
        <w:autoSpaceDE w:val="0"/>
        <w:autoSpaceDN w:val="0"/>
        <w:adjustRightInd w:val="0"/>
        <w:ind w:left="851"/>
        <w:rPr>
          <w:color w:val="000000"/>
          <w:sz w:val="24"/>
          <w:szCs w:val="24"/>
          <w:lang w:eastAsia="da-DK"/>
        </w:rPr>
      </w:pPr>
      <w:r w:rsidRPr="004C3DE3">
        <w:rPr>
          <w:color w:val="000000"/>
          <w:sz w:val="24"/>
          <w:szCs w:val="24"/>
          <w:lang w:eastAsia="da-DK"/>
        </w:rPr>
        <w:t xml:space="preserve">Forekomsten af hiv-serokonvertering er vist i Tabel 9. Forekomsten af hiv 1-serokonvertering hos mænd var 0,24/100 personår med eksponering af kombinationen af emtricitabin og tenofovirdisoproxil, og forekomsten af hiv 1-serokonvertering hos kvinder var 0,95/100 personår med eksponering af kombinationen af emtricitabin og tenofovirdisoproxil. Effekt var stærkt korreleret med adhærens vurderet ud fra påvisning af plasma- eller intracellulære lægemiddelniveauer og var højere blandt deltagere i et substudie, der fik aktiv adhærensrådgivning som vist i Tabel 10. </w:t>
      </w:r>
    </w:p>
    <w:p w:rsidR="0057668F" w:rsidRPr="004C3DE3" w:rsidRDefault="0057668F" w:rsidP="0057668F">
      <w:pPr>
        <w:autoSpaceDE w:val="0"/>
        <w:autoSpaceDN w:val="0"/>
        <w:adjustRightInd w:val="0"/>
        <w:ind w:left="851" w:hanging="851"/>
        <w:rPr>
          <w:color w:val="000000"/>
          <w:sz w:val="24"/>
          <w:szCs w:val="24"/>
          <w:lang w:eastAsia="da-DK"/>
        </w:rPr>
      </w:pPr>
    </w:p>
    <w:p w:rsidR="0057668F" w:rsidRPr="004C3DE3" w:rsidRDefault="0057668F" w:rsidP="00AD7CE0">
      <w:pPr>
        <w:keepNext/>
        <w:ind w:left="851" w:hanging="851"/>
        <w:rPr>
          <w:b/>
          <w:bCs/>
          <w:color w:val="000000"/>
          <w:sz w:val="24"/>
          <w:szCs w:val="24"/>
          <w:lang w:val="en-US" w:eastAsia="da-DK"/>
        </w:rPr>
      </w:pPr>
      <w:r w:rsidRPr="004C3DE3">
        <w:rPr>
          <w:b/>
          <w:bCs/>
          <w:color w:val="000000"/>
          <w:sz w:val="24"/>
          <w:szCs w:val="24"/>
          <w:lang w:val="en-US" w:eastAsia="da-DK"/>
        </w:rPr>
        <w:lastRenderedPageBreak/>
        <w:t>Tabel 9:</w:t>
      </w:r>
      <w:r>
        <w:rPr>
          <w:b/>
          <w:bCs/>
          <w:color w:val="000000"/>
          <w:sz w:val="24"/>
          <w:szCs w:val="24"/>
          <w:lang w:val="en-US" w:eastAsia="da-DK"/>
        </w:rPr>
        <w:t xml:space="preserve"> </w:t>
      </w:r>
      <w:r w:rsidRPr="004C3DE3">
        <w:rPr>
          <w:b/>
          <w:bCs/>
          <w:color w:val="000000"/>
          <w:sz w:val="24"/>
          <w:szCs w:val="24"/>
          <w:lang w:val="en-US" w:eastAsia="da-DK"/>
        </w:rPr>
        <w:t>Virkning i studie CO-US-104-0380 (Partners PrEP)</w:t>
      </w:r>
    </w:p>
    <w:p w:rsidR="0057668F" w:rsidRPr="004C3DE3" w:rsidRDefault="0057668F" w:rsidP="00AD7CE0">
      <w:pPr>
        <w:keepNext/>
        <w:ind w:left="851" w:hanging="851"/>
        <w:rPr>
          <w:b/>
          <w:bCs/>
          <w:color w:val="000000"/>
          <w:sz w:val="24"/>
          <w:szCs w:val="24"/>
          <w:lang w:val="en-US"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328"/>
        <w:gridCol w:w="2438"/>
        <w:gridCol w:w="2430"/>
      </w:tblGrid>
      <w:tr w:rsidR="0057668F" w:rsidRPr="00F033C6" w:rsidTr="00803BD1">
        <w:tc>
          <w:tcPr>
            <w:tcW w:w="1263"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lang w:val="en-US"/>
              </w:rPr>
            </w:pPr>
          </w:p>
        </w:tc>
        <w:tc>
          <w:tcPr>
            <w:tcW w:w="1209"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 xml:space="preserve">Placebo </w:t>
            </w:r>
          </w:p>
          <w:p w:rsidR="0057668F" w:rsidRPr="00F033C6" w:rsidRDefault="0057668F" w:rsidP="00803BD1">
            <w:pPr>
              <w:rPr>
                <w:sz w:val="22"/>
                <w:szCs w:val="22"/>
              </w:rPr>
            </w:pP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Tenofovirdisoproxil 245 mg (som fumarat) </w:t>
            </w:r>
          </w:p>
        </w:tc>
        <w:tc>
          <w:tcPr>
            <w:tcW w:w="1262"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b/>
                <w:bCs/>
                <w:sz w:val="22"/>
                <w:szCs w:val="22"/>
              </w:rPr>
              <w:t>Kombinationen af emtricitabin og tenofovirdisoproxil</w:t>
            </w:r>
          </w:p>
          <w:p w:rsidR="0057668F" w:rsidRPr="00F033C6" w:rsidRDefault="0057668F" w:rsidP="00803BD1">
            <w:pPr>
              <w:rPr>
                <w:sz w:val="22"/>
                <w:szCs w:val="22"/>
              </w:rPr>
            </w:pPr>
          </w:p>
        </w:tc>
      </w:tr>
      <w:tr w:rsidR="0057668F" w:rsidRPr="00F033C6" w:rsidTr="00803BD1">
        <w:tc>
          <w:tcPr>
            <w:tcW w:w="1263"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b/>
                <w:bCs/>
                <w:sz w:val="22"/>
                <w:szCs w:val="22"/>
              </w:rPr>
              <w:t xml:space="preserve">Seroconverteringer / Na </w:t>
            </w:r>
            <w:r w:rsidRPr="00F033C6">
              <w:rPr>
                <w:b/>
                <w:bCs/>
                <w:sz w:val="22"/>
                <w:szCs w:val="22"/>
                <w:vertAlign w:val="superscript"/>
              </w:rPr>
              <w:t>a</w:t>
            </w:r>
          </w:p>
        </w:tc>
        <w:tc>
          <w:tcPr>
            <w:tcW w:w="120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52 / 1.578 </w:t>
            </w: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17 / 1.579 </w:t>
            </w:r>
          </w:p>
        </w:tc>
        <w:tc>
          <w:tcPr>
            <w:tcW w:w="1262"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13 / 1.576 </w:t>
            </w:r>
          </w:p>
        </w:tc>
      </w:tr>
      <w:tr w:rsidR="0057668F" w:rsidRPr="00F033C6" w:rsidTr="00803BD1">
        <w:tc>
          <w:tcPr>
            <w:tcW w:w="1263"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Forekomst pr. 100 personår (95 % CI) </w:t>
            </w:r>
          </w:p>
        </w:tc>
        <w:tc>
          <w:tcPr>
            <w:tcW w:w="120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1,99 (1,49, 2,62) </w:t>
            </w:r>
          </w:p>
        </w:tc>
        <w:tc>
          <w:tcPr>
            <w:tcW w:w="1266"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sz w:val="22"/>
                <w:szCs w:val="22"/>
              </w:rPr>
              <w:t xml:space="preserve">0,65 (0,38, 1,05) </w:t>
            </w:r>
          </w:p>
          <w:p w:rsidR="0057668F" w:rsidRPr="00F033C6" w:rsidRDefault="0057668F" w:rsidP="00803BD1">
            <w:pPr>
              <w:rPr>
                <w:sz w:val="22"/>
                <w:szCs w:val="22"/>
              </w:rPr>
            </w:pPr>
          </w:p>
        </w:tc>
        <w:tc>
          <w:tcPr>
            <w:tcW w:w="1262" w:type="pct"/>
            <w:tcBorders>
              <w:top w:val="single" w:sz="4" w:space="0" w:color="auto"/>
              <w:left w:val="single" w:sz="4" w:space="0" w:color="auto"/>
              <w:bottom w:val="single" w:sz="4" w:space="0" w:color="auto"/>
              <w:right w:val="single" w:sz="4" w:space="0" w:color="auto"/>
            </w:tcBorders>
          </w:tcPr>
          <w:p w:rsidR="0057668F" w:rsidRPr="00F033C6" w:rsidRDefault="0057668F" w:rsidP="00803BD1">
            <w:pPr>
              <w:rPr>
                <w:sz w:val="22"/>
                <w:szCs w:val="22"/>
              </w:rPr>
            </w:pPr>
            <w:r w:rsidRPr="00F033C6">
              <w:rPr>
                <w:sz w:val="22"/>
                <w:szCs w:val="22"/>
              </w:rPr>
              <w:t xml:space="preserve">0,50 (0,27, 0,85) </w:t>
            </w:r>
          </w:p>
          <w:p w:rsidR="0057668F" w:rsidRPr="00F033C6" w:rsidRDefault="0057668F" w:rsidP="00803BD1">
            <w:pPr>
              <w:rPr>
                <w:sz w:val="22"/>
                <w:szCs w:val="22"/>
              </w:rPr>
            </w:pPr>
          </w:p>
        </w:tc>
      </w:tr>
      <w:tr w:rsidR="0057668F" w:rsidRPr="00F033C6" w:rsidTr="00803BD1">
        <w:tc>
          <w:tcPr>
            <w:tcW w:w="1263"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Relativ Risikoreduktion (95 % CI) </w:t>
            </w:r>
          </w:p>
        </w:tc>
        <w:tc>
          <w:tcPr>
            <w:tcW w:w="1209"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 </w:t>
            </w:r>
          </w:p>
        </w:tc>
        <w:tc>
          <w:tcPr>
            <w:tcW w:w="1266"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67 % (44 %, 81 %) </w:t>
            </w:r>
          </w:p>
        </w:tc>
        <w:tc>
          <w:tcPr>
            <w:tcW w:w="1262" w:type="pct"/>
            <w:tcBorders>
              <w:top w:val="single" w:sz="4" w:space="0" w:color="auto"/>
              <w:left w:val="single" w:sz="4" w:space="0" w:color="auto"/>
              <w:bottom w:val="single" w:sz="4" w:space="0" w:color="auto"/>
              <w:right w:val="single" w:sz="4" w:space="0" w:color="auto"/>
            </w:tcBorders>
            <w:hideMark/>
          </w:tcPr>
          <w:p w:rsidR="0057668F" w:rsidRPr="00F033C6" w:rsidRDefault="0057668F" w:rsidP="00803BD1">
            <w:pPr>
              <w:rPr>
                <w:sz w:val="22"/>
                <w:szCs w:val="22"/>
              </w:rPr>
            </w:pPr>
            <w:r w:rsidRPr="00F033C6">
              <w:rPr>
                <w:sz w:val="22"/>
                <w:szCs w:val="22"/>
              </w:rPr>
              <w:t xml:space="preserve">75 % (55 %, 87 %) </w:t>
            </w:r>
          </w:p>
        </w:tc>
      </w:tr>
    </w:tbl>
    <w:p w:rsidR="00FC356F" w:rsidRPr="009D75B2" w:rsidRDefault="00FC356F" w:rsidP="00FC356F">
      <w:pPr>
        <w:rPr>
          <w:sz w:val="22"/>
          <w:szCs w:val="22"/>
        </w:rPr>
      </w:pPr>
      <w:r w:rsidRPr="009D75B2">
        <w:rPr>
          <w:sz w:val="22"/>
          <w:szCs w:val="22"/>
          <w:vertAlign w:val="superscript"/>
        </w:rPr>
        <w:t>a</w:t>
      </w:r>
      <w:r w:rsidRPr="009D75B2">
        <w:rPr>
          <w:sz w:val="22"/>
          <w:szCs w:val="22"/>
        </w:rPr>
        <w:t xml:space="preserve"> Relativ risikoreduktion beregnet for mITT-kohorte baseret på hændelsen (post-baseline) serokonvertering. Grupper med aktiv studiemedicin er sammenlignet med placebo.</w:t>
      </w:r>
    </w:p>
    <w:p w:rsidR="0057668F" w:rsidRPr="004C3DE3" w:rsidRDefault="0057668F" w:rsidP="0057668F">
      <w:pPr>
        <w:ind w:left="851" w:hanging="851"/>
        <w:rPr>
          <w:sz w:val="24"/>
          <w:szCs w:val="24"/>
        </w:rPr>
      </w:pPr>
    </w:p>
    <w:p w:rsidR="0057668F" w:rsidRPr="004C3DE3" w:rsidRDefault="0057668F" w:rsidP="0057668F">
      <w:pPr>
        <w:ind w:left="851" w:hanging="851"/>
        <w:rPr>
          <w:sz w:val="24"/>
          <w:szCs w:val="24"/>
          <w:lang w:val="nb-NO"/>
        </w:rPr>
      </w:pPr>
      <w:r w:rsidRPr="004C3DE3">
        <w:rPr>
          <w:b/>
          <w:bCs/>
          <w:sz w:val="24"/>
          <w:szCs w:val="24"/>
          <w:lang w:val="nb-NO"/>
        </w:rPr>
        <w:t>Tabel 10: Virkning og adhærens i studie CO-US-104-0380 (Partners PrEP)</w:t>
      </w:r>
    </w:p>
    <w:p w:rsidR="0057668F" w:rsidRPr="004C3DE3" w:rsidRDefault="0057668F" w:rsidP="0057668F">
      <w:pPr>
        <w:ind w:left="851" w:hanging="851"/>
        <w:rPr>
          <w:sz w:val="24"/>
          <w:szCs w:val="24"/>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785"/>
        <w:gridCol w:w="2172"/>
        <w:gridCol w:w="1929"/>
        <w:gridCol w:w="1747"/>
      </w:tblGrid>
      <w:tr w:rsidR="00FC356F" w:rsidRPr="00A00A3C" w:rsidTr="00FC356F">
        <w:tc>
          <w:tcPr>
            <w:tcW w:w="1036" w:type="pct"/>
            <w:vMerge w:val="restar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Studiemedicin</w:t>
            </w:r>
          </w:p>
          <w:p w:rsidR="00FC356F" w:rsidRPr="00A00A3C" w:rsidRDefault="00FC356F" w:rsidP="00FC356F">
            <w:pPr>
              <w:rPr>
                <w:sz w:val="22"/>
                <w:szCs w:val="22"/>
              </w:rPr>
            </w:pPr>
            <w:r w:rsidRPr="00A00A3C">
              <w:rPr>
                <w:sz w:val="22"/>
                <w:szCs w:val="22"/>
              </w:rPr>
              <w:t>Kvantificering</w:t>
            </w:r>
          </w:p>
        </w:tc>
        <w:tc>
          <w:tcPr>
            <w:tcW w:w="2055"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b/>
                <w:bCs/>
                <w:sz w:val="22"/>
                <w:szCs w:val="22"/>
              </w:rPr>
              <w:t xml:space="preserve">Antal med detekteret tenofovir/Samlet prøveantal (%) </w:t>
            </w:r>
          </w:p>
          <w:p w:rsidR="00FC356F" w:rsidRPr="00A00A3C" w:rsidRDefault="00FC356F" w:rsidP="00FC356F">
            <w:pPr>
              <w:rPr>
                <w:sz w:val="22"/>
                <w:szCs w:val="22"/>
              </w:rPr>
            </w:pPr>
          </w:p>
        </w:tc>
        <w:tc>
          <w:tcPr>
            <w:tcW w:w="1909" w:type="pct"/>
            <w:gridSpan w:val="2"/>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b/>
                <w:sz w:val="22"/>
                <w:szCs w:val="22"/>
              </w:rPr>
              <w:t>Risikoestimat for hiv 1-beskyttelse: Detektering af vs. ingen detektering af tenofovir</w:t>
            </w:r>
          </w:p>
        </w:tc>
      </w:tr>
      <w:tr w:rsidR="00FC356F" w:rsidRPr="00A00A3C" w:rsidTr="00FC356F">
        <w:tc>
          <w:tcPr>
            <w:tcW w:w="1036" w:type="pct"/>
            <w:vMerge/>
            <w:tcBorders>
              <w:top w:val="single" w:sz="4" w:space="0" w:color="auto"/>
              <w:left w:val="single" w:sz="4" w:space="0" w:color="auto"/>
              <w:bottom w:val="single" w:sz="4" w:space="0" w:color="auto"/>
              <w:right w:val="single" w:sz="4" w:space="0" w:color="auto"/>
            </w:tcBorders>
            <w:vAlign w:val="center"/>
            <w:hideMark/>
          </w:tcPr>
          <w:p w:rsidR="00FC356F" w:rsidRPr="00A00A3C" w:rsidRDefault="00FC356F" w:rsidP="00FC356F">
            <w:pPr>
              <w:rPr>
                <w:sz w:val="22"/>
                <w:szCs w:val="22"/>
              </w:rPr>
            </w:pPr>
          </w:p>
        </w:tc>
        <w:tc>
          <w:tcPr>
            <w:tcW w:w="927"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b/>
                <w:bCs/>
                <w:sz w:val="22"/>
                <w:szCs w:val="22"/>
              </w:rPr>
              <w:t xml:space="preserve">Case </w:t>
            </w:r>
          </w:p>
        </w:tc>
        <w:tc>
          <w:tcPr>
            <w:tcW w:w="1128"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b/>
                <w:bCs/>
                <w:sz w:val="22"/>
                <w:szCs w:val="22"/>
              </w:rPr>
              <w:t xml:space="preserve">Kokorte </w:t>
            </w:r>
          </w:p>
        </w:tc>
        <w:tc>
          <w:tcPr>
            <w:tcW w:w="1002"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b/>
                <w:bCs/>
                <w:sz w:val="22"/>
                <w:szCs w:val="22"/>
              </w:rPr>
              <w:t xml:space="preserve">Relativ risikoreduktion </w:t>
            </w:r>
            <w:r w:rsidRPr="00A00A3C">
              <w:rPr>
                <w:b/>
                <w:bCs/>
                <w:sz w:val="22"/>
                <w:szCs w:val="22"/>
              </w:rPr>
              <w:br/>
              <w:t xml:space="preserve">(95 % CI) </w:t>
            </w:r>
          </w:p>
        </w:tc>
        <w:tc>
          <w:tcPr>
            <w:tcW w:w="90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b/>
                <w:bCs/>
                <w:sz w:val="22"/>
                <w:szCs w:val="22"/>
              </w:rPr>
              <w:t xml:space="preserve">P-værdi </w:t>
            </w:r>
          </w:p>
          <w:p w:rsidR="00FC356F" w:rsidRPr="00A00A3C" w:rsidRDefault="00FC356F" w:rsidP="00FC356F">
            <w:pPr>
              <w:rPr>
                <w:sz w:val="22"/>
                <w:szCs w:val="22"/>
              </w:rPr>
            </w:pPr>
          </w:p>
        </w:tc>
      </w:tr>
      <w:tr w:rsidR="00FC356F" w:rsidRPr="00A00A3C" w:rsidTr="00FC356F">
        <w:tc>
          <w:tcPr>
            <w:tcW w:w="1036"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sz w:val="22"/>
                <w:szCs w:val="22"/>
              </w:rPr>
              <w:t>FTC/</w:t>
            </w:r>
            <w:r w:rsidRPr="009D75B2">
              <w:rPr>
                <w:sz w:val="22"/>
                <w:szCs w:val="22"/>
              </w:rPr>
              <w:t xml:space="preserve"> </w:t>
            </w:r>
            <w:r w:rsidRPr="00A00A3C">
              <w:rPr>
                <w:sz w:val="22"/>
                <w:szCs w:val="22"/>
              </w:rPr>
              <w:t xml:space="preserve">tenofovirdisoproxil -gruppe </w:t>
            </w:r>
            <w:r w:rsidRPr="00A00A3C">
              <w:rPr>
                <w:sz w:val="22"/>
                <w:szCs w:val="22"/>
                <w:vertAlign w:val="superscript"/>
              </w:rPr>
              <w:t>a</w:t>
            </w:r>
          </w:p>
        </w:tc>
        <w:tc>
          <w:tcPr>
            <w:tcW w:w="92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3 / 12 (25 %) </w:t>
            </w:r>
          </w:p>
          <w:p w:rsidR="00FC356F" w:rsidRPr="00A00A3C" w:rsidRDefault="00FC356F" w:rsidP="00FC356F">
            <w:pPr>
              <w:rPr>
                <w:sz w:val="22"/>
                <w:szCs w:val="22"/>
              </w:rPr>
            </w:pPr>
          </w:p>
        </w:tc>
        <w:tc>
          <w:tcPr>
            <w:tcW w:w="1128"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375 / 465 (81 %) </w:t>
            </w:r>
          </w:p>
          <w:p w:rsidR="00FC356F" w:rsidRPr="00A00A3C" w:rsidRDefault="00FC356F" w:rsidP="00FC356F">
            <w:pPr>
              <w:rPr>
                <w:sz w:val="22"/>
                <w:szCs w:val="22"/>
              </w:rPr>
            </w:pPr>
          </w:p>
        </w:tc>
        <w:tc>
          <w:tcPr>
            <w:tcW w:w="1002"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90 % (56 %, 98 %) </w:t>
            </w:r>
          </w:p>
          <w:p w:rsidR="00FC356F" w:rsidRPr="00A00A3C" w:rsidRDefault="00FC356F" w:rsidP="00FC356F">
            <w:pPr>
              <w:rPr>
                <w:sz w:val="22"/>
                <w:szCs w:val="22"/>
              </w:rPr>
            </w:pPr>
          </w:p>
        </w:tc>
        <w:tc>
          <w:tcPr>
            <w:tcW w:w="90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0,002 </w:t>
            </w:r>
          </w:p>
          <w:p w:rsidR="00FC356F" w:rsidRPr="00A00A3C" w:rsidRDefault="00FC356F" w:rsidP="00FC356F">
            <w:pPr>
              <w:rPr>
                <w:sz w:val="22"/>
                <w:szCs w:val="22"/>
              </w:rPr>
            </w:pPr>
          </w:p>
        </w:tc>
      </w:tr>
      <w:tr w:rsidR="00FC356F" w:rsidRPr="00A00A3C" w:rsidTr="00FC356F">
        <w:tc>
          <w:tcPr>
            <w:tcW w:w="1036"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Tenofovirdisoproxil -gruppe </w:t>
            </w:r>
            <w:r w:rsidRPr="00A00A3C">
              <w:rPr>
                <w:sz w:val="22"/>
                <w:szCs w:val="22"/>
                <w:vertAlign w:val="superscript"/>
              </w:rPr>
              <w:t>a</w:t>
            </w:r>
          </w:p>
          <w:p w:rsidR="00FC356F" w:rsidRPr="00A00A3C" w:rsidRDefault="00FC356F" w:rsidP="00FC356F">
            <w:pPr>
              <w:rPr>
                <w:sz w:val="22"/>
                <w:szCs w:val="22"/>
              </w:rPr>
            </w:pPr>
          </w:p>
        </w:tc>
        <w:tc>
          <w:tcPr>
            <w:tcW w:w="92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6 / 17 (35 %) </w:t>
            </w:r>
          </w:p>
          <w:p w:rsidR="00FC356F" w:rsidRPr="00A00A3C" w:rsidRDefault="00FC356F" w:rsidP="00FC356F">
            <w:pPr>
              <w:rPr>
                <w:sz w:val="22"/>
                <w:szCs w:val="22"/>
              </w:rPr>
            </w:pPr>
          </w:p>
        </w:tc>
        <w:tc>
          <w:tcPr>
            <w:tcW w:w="1128"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363 / 437 (83 %) </w:t>
            </w:r>
          </w:p>
          <w:p w:rsidR="00FC356F" w:rsidRPr="00A00A3C" w:rsidRDefault="00FC356F" w:rsidP="00FC356F">
            <w:pPr>
              <w:rPr>
                <w:sz w:val="22"/>
                <w:szCs w:val="22"/>
              </w:rPr>
            </w:pPr>
          </w:p>
        </w:tc>
        <w:tc>
          <w:tcPr>
            <w:tcW w:w="1002"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86 % (67 %, 95 %) </w:t>
            </w:r>
          </w:p>
          <w:p w:rsidR="00FC356F" w:rsidRPr="00A00A3C" w:rsidRDefault="00FC356F" w:rsidP="00FC356F">
            <w:pPr>
              <w:rPr>
                <w:sz w:val="22"/>
                <w:szCs w:val="22"/>
              </w:rPr>
            </w:pPr>
          </w:p>
        </w:tc>
        <w:tc>
          <w:tcPr>
            <w:tcW w:w="90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&lt; 0,001 </w:t>
            </w:r>
          </w:p>
          <w:p w:rsidR="00FC356F" w:rsidRPr="00A00A3C" w:rsidRDefault="00FC356F" w:rsidP="00FC356F">
            <w:pPr>
              <w:rPr>
                <w:sz w:val="22"/>
                <w:szCs w:val="22"/>
              </w:rPr>
            </w:pPr>
          </w:p>
        </w:tc>
      </w:tr>
      <w:tr w:rsidR="00FC356F" w:rsidRPr="00A00A3C" w:rsidTr="00FC356F">
        <w:tc>
          <w:tcPr>
            <w:tcW w:w="1036"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p>
        </w:tc>
        <w:tc>
          <w:tcPr>
            <w:tcW w:w="2055" w:type="pct"/>
            <w:gridSpan w:val="2"/>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b/>
                <w:bCs/>
                <w:sz w:val="22"/>
                <w:szCs w:val="22"/>
              </w:rPr>
              <w:t xml:space="preserve">Deltagere i adhærensdelstudiet </w:t>
            </w:r>
            <w:r w:rsidRPr="00A00A3C">
              <w:rPr>
                <w:b/>
                <w:bCs/>
                <w:sz w:val="22"/>
                <w:szCs w:val="22"/>
                <w:vertAlign w:val="superscript"/>
              </w:rPr>
              <w:t>b</w:t>
            </w:r>
          </w:p>
          <w:p w:rsidR="00FC356F" w:rsidRPr="00A00A3C" w:rsidRDefault="00FC356F" w:rsidP="00FC356F">
            <w:pPr>
              <w:rPr>
                <w:sz w:val="22"/>
                <w:szCs w:val="22"/>
              </w:rPr>
            </w:pPr>
          </w:p>
        </w:tc>
        <w:tc>
          <w:tcPr>
            <w:tcW w:w="1002"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p>
        </w:tc>
        <w:tc>
          <w:tcPr>
            <w:tcW w:w="90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p>
        </w:tc>
      </w:tr>
      <w:tr w:rsidR="00FC356F" w:rsidRPr="00A00A3C" w:rsidTr="00FC356F">
        <w:tc>
          <w:tcPr>
            <w:tcW w:w="1036"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b/>
                <w:bCs/>
                <w:sz w:val="22"/>
                <w:szCs w:val="22"/>
              </w:rPr>
              <w:t>Adhærens-delstudiet</w:t>
            </w:r>
          </w:p>
          <w:p w:rsidR="00FC356F" w:rsidRPr="00A00A3C" w:rsidRDefault="00FC356F" w:rsidP="00FC356F">
            <w:pPr>
              <w:rPr>
                <w:sz w:val="22"/>
                <w:szCs w:val="22"/>
              </w:rPr>
            </w:pPr>
          </w:p>
        </w:tc>
        <w:tc>
          <w:tcPr>
            <w:tcW w:w="927"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Placebo</w:t>
            </w:r>
          </w:p>
        </w:tc>
        <w:tc>
          <w:tcPr>
            <w:tcW w:w="1128"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Tenofovirdisoproxil 245 mg +kombinationen af emtricitabin og tenofovirdisoproxil</w:t>
            </w:r>
          </w:p>
        </w:tc>
        <w:tc>
          <w:tcPr>
            <w:tcW w:w="1002"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sz w:val="22"/>
                <w:szCs w:val="22"/>
              </w:rPr>
            </w:pPr>
            <w:r w:rsidRPr="00A00A3C">
              <w:rPr>
                <w:b/>
                <w:sz w:val="22"/>
                <w:szCs w:val="22"/>
              </w:rPr>
              <w:t>Relativ risikoreduktion</w:t>
            </w:r>
            <w:r w:rsidRPr="00A00A3C">
              <w:rPr>
                <w:b/>
                <w:bCs/>
                <w:sz w:val="22"/>
                <w:szCs w:val="22"/>
              </w:rPr>
              <w:t xml:space="preserve"> </w:t>
            </w:r>
            <w:r w:rsidRPr="00A00A3C">
              <w:rPr>
                <w:b/>
                <w:sz w:val="22"/>
                <w:szCs w:val="22"/>
              </w:rPr>
              <w:t>(95 % CI</w:t>
            </w:r>
            <w:r w:rsidRPr="00A00A3C">
              <w:rPr>
                <w:sz w:val="22"/>
                <w:szCs w:val="22"/>
              </w:rPr>
              <w:t>)</w:t>
            </w:r>
          </w:p>
        </w:tc>
        <w:tc>
          <w:tcPr>
            <w:tcW w:w="907" w:type="pct"/>
            <w:tcBorders>
              <w:top w:val="single" w:sz="4" w:space="0" w:color="auto"/>
              <w:left w:val="single" w:sz="4" w:space="0" w:color="auto"/>
              <w:bottom w:val="single" w:sz="4" w:space="0" w:color="auto"/>
              <w:right w:val="single" w:sz="4" w:space="0" w:color="auto"/>
            </w:tcBorders>
            <w:hideMark/>
          </w:tcPr>
          <w:p w:rsidR="00FC356F" w:rsidRPr="00A00A3C" w:rsidRDefault="00FC356F" w:rsidP="00FC356F">
            <w:pPr>
              <w:rPr>
                <w:b/>
                <w:sz w:val="22"/>
                <w:szCs w:val="22"/>
              </w:rPr>
            </w:pPr>
            <w:r w:rsidRPr="00A00A3C">
              <w:rPr>
                <w:b/>
                <w:sz w:val="22"/>
                <w:szCs w:val="22"/>
              </w:rPr>
              <w:t>P-værdi</w:t>
            </w:r>
          </w:p>
        </w:tc>
      </w:tr>
      <w:tr w:rsidR="00FC356F" w:rsidRPr="00A00A3C" w:rsidTr="00FC356F">
        <w:tc>
          <w:tcPr>
            <w:tcW w:w="1036"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Serokonverteringer / N </w:t>
            </w:r>
            <w:r w:rsidRPr="00A00A3C">
              <w:rPr>
                <w:sz w:val="22"/>
                <w:szCs w:val="22"/>
                <w:vertAlign w:val="superscript"/>
              </w:rPr>
              <w:t>b</w:t>
            </w:r>
          </w:p>
          <w:p w:rsidR="00FC356F" w:rsidRPr="00A00A3C" w:rsidRDefault="00FC356F" w:rsidP="00FC356F">
            <w:pPr>
              <w:rPr>
                <w:sz w:val="22"/>
                <w:szCs w:val="22"/>
              </w:rPr>
            </w:pPr>
          </w:p>
        </w:tc>
        <w:tc>
          <w:tcPr>
            <w:tcW w:w="92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14 / 404 (3,5 %) </w:t>
            </w:r>
          </w:p>
          <w:p w:rsidR="00FC356F" w:rsidRPr="00A00A3C" w:rsidRDefault="00FC356F" w:rsidP="00FC356F">
            <w:pPr>
              <w:rPr>
                <w:sz w:val="22"/>
                <w:szCs w:val="22"/>
              </w:rPr>
            </w:pPr>
          </w:p>
        </w:tc>
        <w:tc>
          <w:tcPr>
            <w:tcW w:w="1128"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0 / 745 (0 %) </w:t>
            </w:r>
          </w:p>
          <w:p w:rsidR="00FC356F" w:rsidRPr="00A00A3C" w:rsidRDefault="00FC356F" w:rsidP="00FC356F">
            <w:pPr>
              <w:rPr>
                <w:sz w:val="22"/>
                <w:szCs w:val="22"/>
              </w:rPr>
            </w:pPr>
          </w:p>
        </w:tc>
        <w:tc>
          <w:tcPr>
            <w:tcW w:w="1002"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100 % </w:t>
            </w:r>
            <w:r w:rsidRPr="00A00A3C">
              <w:rPr>
                <w:sz w:val="22"/>
                <w:szCs w:val="22"/>
              </w:rPr>
              <w:br/>
              <w:t xml:space="preserve">(87 %, 100 %) </w:t>
            </w:r>
          </w:p>
          <w:p w:rsidR="00FC356F" w:rsidRPr="00A00A3C" w:rsidRDefault="00FC356F" w:rsidP="00FC356F">
            <w:pPr>
              <w:rPr>
                <w:sz w:val="22"/>
                <w:szCs w:val="22"/>
              </w:rPr>
            </w:pPr>
          </w:p>
        </w:tc>
        <w:tc>
          <w:tcPr>
            <w:tcW w:w="907" w:type="pct"/>
            <w:tcBorders>
              <w:top w:val="single" w:sz="4" w:space="0" w:color="auto"/>
              <w:left w:val="single" w:sz="4" w:space="0" w:color="auto"/>
              <w:bottom w:val="single" w:sz="4" w:space="0" w:color="auto"/>
              <w:right w:val="single" w:sz="4" w:space="0" w:color="auto"/>
            </w:tcBorders>
          </w:tcPr>
          <w:p w:rsidR="00FC356F" w:rsidRPr="00A00A3C" w:rsidRDefault="00FC356F" w:rsidP="00FC356F">
            <w:pPr>
              <w:rPr>
                <w:sz w:val="22"/>
                <w:szCs w:val="22"/>
              </w:rPr>
            </w:pPr>
            <w:r w:rsidRPr="00A00A3C">
              <w:rPr>
                <w:sz w:val="22"/>
                <w:szCs w:val="22"/>
              </w:rPr>
              <w:t xml:space="preserve">&lt; 0,001 </w:t>
            </w:r>
          </w:p>
          <w:p w:rsidR="00FC356F" w:rsidRPr="00A00A3C" w:rsidRDefault="00FC356F" w:rsidP="00FC356F">
            <w:pPr>
              <w:rPr>
                <w:sz w:val="22"/>
                <w:szCs w:val="22"/>
              </w:rPr>
            </w:pPr>
          </w:p>
        </w:tc>
      </w:tr>
    </w:tbl>
    <w:p w:rsidR="00FC356F" w:rsidRPr="009D75B2" w:rsidRDefault="00FC356F" w:rsidP="00FC356F">
      <w:pPr>
        <w:autoSpaceDE w:val="0"/>
        <w:autoSpaceDN w:val="0"/>
        <w:adjustRightInd w:val="0"/>
        <w:rPr>
          <w:color w:val="000000"/>
          <w:sz w:val="22"/>
          <w:szCs w:val="22"/>
          <w:lang w:eastAsia="da-DK"/>
        </w:rPr>
      </w:pPr>
      <w:r w:rsidRPr="009D75B2">
        <w:rPr>
          <w:color w:val="000000"/>
          <w:sz w:val="22"/>
          <w:szCs w:val="22"/>
          <w:vertAlign w:val="superscript"/>
          <w:lang w:eastAsia="da-DK"/>
        </w:rPr>
        <w:t>a</w:t>
      </w:r>
      <w:r w:rsidRPr="009D75B2">
        <w:rPr>
          <w:color w:val="000000"/>
          <w:sz w:val="22"/>
          <w:szCs w:val="22"/>
          <w:lang w:eastAsia="da-DK"/>
        </w:rPr>
        <w:t xml:space="preserve"> ‘Case’ = personer med hiv-serokonversion; ‘Kohorte’ = 100 tilfældigt udvalgte forsøgspersoner fra hver af tenofovirdisoproxil 245 mg og kombinationen af emtricitabin og tenofovirdisoproxil-grupperne. Kun case- eller kohorte-prøver fra forsøgspersoner randomiseret til enten tenofovirdisoproxil 245 mg eller kombinationen af emtricitabin og tenofovirdisoproxil blev vurderet for detekterbart plasmaniveau af tenofovir. </w:t>
      </w:r>
    </w:p>
    <w:p w:rsidR="00FC356F" w:rsidRPr="009D75B2" w:rsidRDefault="00FC356F" w:rsidP="00FC356F">
      <w:pPr>
        <w:rPr>
          <w:sz w:val="22"/>
          <w:szCs w:val="22"/>
        </w:rPr>
      </w:pPr>
      <w:r w:rsidRPr="009D75B2">
        <w:rPr>
          <w:color w:val="000000"/>
          <w:sz w:val="22"/>
          <w:szCs w:val="22"/>
          <w:vertAlign w:val="superscript"/>
          <w:lang w:eastAsia="da-DK"/>
        </w:rPr>
        <w:t>b</w:t>
      </w:r>
      <w:r w:rsidRPr="009D75B2">
        <w:rPr>
          <w:color w:val="000000"/>
          <w:sz w:val="22"/>
          <w:szCs w:val="22"/>
          <w:lang w:eastAsia="da-DK"/>
        </w:rPr>
        <w:t xml:space="preserve"> Deltagerne i delstudiet modtog aktiv adhærensmonitorering, f.eks. uanmeldt hjemmebesøg og tablettælling, samt rådgivning i at forbedre komplians med studiemedicinen.</w:t>
      </w:r>
    </w:p>
    <w:p w:rsidR="0057668F" w:rsidRPr="004C3DE3" w:rsidRDefault="0057668F" w:rsidP="0057668F">
      <w:pPr>
        <w:ind w:left="851" w:hanging="851"/>
        <w:rPr>
          <w:sz w:val="24"/>
          <w:szCs w:val="24"/>
        </w:rPr>
      </w:pPr>
    </w:p>
    <w:p w:rsidR="00803BD1" w:rsidRDefault="00803BD1" w:rsidP="00803BD1">
      <w:pPr>
        <w:ind w:left="851"/>
        <w:rPr>
          <w:sz w:val="24"/>
          <w:szCs w:val="24"/>
          <w:u w:val="single"/>
        </w:rPr>
      </w:pPr>
      <w:r>
        <w:rPr>
          <w:sz w:val="24"/>
          <w:szCs w:val="24"/>
          <w:u w:val="single"/>
        </w:rPr>
        <w:t>Pædiatrisk population</w:t>
      </w:r>
    </w:p>
    <w:p w:rsidR="00FC356F" w:rsidRDefault="00FC356F" w:rsidP="00803BD1">
      <w:pPr>
        <w:ind w:left="851"/>
        <w:rPr>
          <w:sz w:val="24"/>
          <w:szCs w:val="24"/>
          <w:u w:val="single"/>
        </w:rPr>
      </w:pPr>
    </w:p>
    <w:p w:rsidR="00803BD1" w:rsidRDefault="00803BD1" w:rsidP="00803BD1">
      <w:pPr>
        <w:autoSpaceDE w:val="0"/>
        <w:autoSpaceDN w:val="0"/>
        <w:adjustRightInd w:val="0"/>
        <w:ind w:left="851"/>
        <w:rPr>
          <w:sz w:val="22"/>
          <w:szCs w:val="22"/>
        </w:rPr>
      </w:pPr>
      <w:r>
        <w:rPr>
          <w:sz w:val="22"/>
          <w:szCs w:val="22"/>
        </w:rPr>
        <w:t xml:space="preserve">Sikkerheden og virkningen af </w:t>
      </w:r>
      <w:r>
        <w:rPr>
          <w:sz w:val="24"/>
          <w:szCs w:val="24"/>
          <w:lang w:eastAsia="da-DK"/>
        </w:rPr>
        <w:t>kombinationen af emtricitabin og tenofovirdisoproxil</w:t>
      </w:r>
      <w:r>
        <w:rPr>
          <w:sz w:val="22"/>
          <w:szCs w:val="22"/>
        </w:rPr>
        <w:t xml:space="preserve"> hos børn under 12 år er ikke klarlagt. </w:t>
      </w:r>
    </w:p>
    <w:p w:rsidR="00FC356F" w:rsidRDefault="00FC356F" w:rsidP="00803BD1">
      <w:pPr>
        <w:autoSpaceDE w:val="0"/>
        <w:autoSpaceDN w:val="0"/>
        <w:adjustRightInd w:val="0"/>
        <w:ind w:left="851"/>
        <w:rPr>
          <w:sz w:val="24"/>
          <w:szCs w:val="24"/>
          <w:lang w:eastAsia="da-DK"/>
        </w:rPr>
      </w:pPr>
    </w:p>
    <w:p w:rsidR="00803BD1" w:rsidRDefault="00803BD1" w:rsidP="00FC356F">
      <w:pPr>
        <w:keepNext/>
        <w:autoSpaceDE w:val="0"/>
        <w:autoSpaceDN w:val="0"/>
        <w:adjustRightInd w:val="0"/>
        <w:ind w:left="851"/>
        <w:rPr>
          <w:i/>
          <w:sz w:val="24"/>
          <w:szCs w:val="24"/>
          <w:lang w:eastAsia="da-DK"/>
        </w:rPr>
      </w:pPr>
      <w:r>
        <w:rPr>
          <w:i/>
          <w:sz w:val="24"/>
          <w:szCs w:val="24"/>
          <w:lang w:eastAsia="da-DK"/>
        </w:rPr>
        <w:lastRenderedPageBreak/>
        <w:t>Behandling af HIV 1-infektion hos den pædiatriske population</w:t>
      </w:r>
    </w:p>
    <w:p w:rsidR="00803BD1" w:rsidRDefault="00803BD1" w:rsidP="00803BD1">
      <w:pPr>
        <w:autoSpaceDE w:val="0"/>
        <w:autoSpaceDN w:val="0"/>
        <w:adjustRightInd w:val="0"/>
        <w:ind w:left="851"/>
        <w:rPr>
          <w:sz w:val="22"/>
          <w:szCs w:val="22"/>
        </w:rPr>
      </w:pPr>
      <w:r>
        <w:rPr>
          <w:sz w:val="22"/>
          <w:szCs w:val="22"/>
        </w:rPr>
        <w:t xml:space="preserve">Der er ikke udført kliniske studier med Truvada hos den pædiatriske population med HIV 1-infektion. </w:t>
      </w:r>
    </w:p>
    <w:p w:rsidR="0057668F" w:rsidRDefault="00803BD1" w:rsidP="00803BD1">
      <w:pPr>
        <w:autoSpaceDE w:val="0"/>
        <w:autoSpaceDN w:val="0"/>
        <w:adjustRightInd w:val="0"/>
        <w:ind w:left="851"/>
        <w:rPr>
          <w:sz w:val="24"/>
          <w:szCs w:val="24"/>
          <w:lang w:eastAsia="da-DK"/>
        </w:rPr>
      </w:pPr>
      <w:r>
        <w:rPr>
          <w:sz w:val="24"/>
          <w:szCs w:val="24"/>
          <w:lang w:eastAsia="da-DK"/>
        </w:rPr>
        <w:t>Kliniske virkning og sikkerhed ved kombinationen af emtricitabin og tenofovirdisoproxil blev fastlagt ud fra studier, der er udført med emtricitabin og tenofovirdisoproxilfumarat givet som enkeltstoffer</w:t>
      </w:r>
    </w:p>
    <w:p w:rsidR="00803BD1" w:rsidRPr="004C3DE3" w:rsidRDefault="00803BD1" w:rsidP="00803BD1">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Studier med emtricitabin</w:t>
      </w:r>
    </w:p>
    <w:p w:rsidR="0057668F" w:rsidRPr="004C3DE3" w:rsidRDefault="0057668F" w:rsidP="0057668F">
      <w:pPr>
        <w:ind w:left="851"/>
        <w:rPr>
          <w:sz w:val="24"/>
          <w:szCs w:val="24"/>
        </w:rPr>
      </w:pPr>
      <w:r w:rsidRPr="004C3DE3">
        <w:rPr>
          <w:sz w:val="24"/>
          <w:szCs w:val="24"/>
          <w:lang w:eastAsia="da-DK"/>
        </w:rPr>
        <w:t xml:space="preserve">Hos spædbørn og børn over 4 måneder opnåede eller bevarede størstedelen af de patienter, der fik </w:t>
      </w:r>
      <w:r w:rsidRPr="004C3DE3">
        <w:rPr>
          <w:sz w:val="24"/>
          <w:szCs w:val="24"/>
        </w:rPr>
        <w:t xml:space="preserve">emtricitabin, fuldstændig suppression af hiv 1-rna i plasma igennem 48 uger (89 % opnåede </w:t>
      </w:r>
      <w:r w:rsidRPr="004C3DE3">
        <w:rPr>
          <w:rFonts w:eastAsia="TimesNewRomanPSMT"/>
          <w:sz w:val="24"/>
          <w:szCs w:val="24"/>
        </w:rPr>
        <w:t xml:space="preserve">≤ </w:t>
      </w:r>
      <w:r w:rsidRPr="004C3DE3">
        <w:rPr>
          <w:sz w:val="24"/>
          <w:szCs w:val="24"/>
        </w:rPr>
        <w:t xml:space="preserve">400 kopier/ml, og 77 % opnåede </w:t>
      </w:r>
      <w:r w:rsidRPr="004C3DE3">
        <w:rPr>
          <w:rFonts w:eastAsia="TimesNewRomanPSMT"/>
          <w:sz w:val="24"/>
          <w:szCs w:val="24"/>
        </w:rPr>
        <w:t xml:space="preserve">≤ </w:t>
      </w:r>
      <w:r w:rsidRPr="004C3DE3">
        <w:rPr>
          <w:sz w:val="24"/>
          <w:szCs w:val="24"/>
        </w:rPr>
        <w:t>50 kopier/ml).</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i/>
          <w:iCs/>
          <w:sz w:val="24"/>
          <w:szCs w:val="24"/>
          <w:lang w:eastAsia="da-DK"/>
        </w:rPr>
      </w:pPr>
      <w:r w:rsidRPr="004C3DE3">
        <w:rPr>
          <w:i/>
          <w:iCs/>
          <w:sz w:val="24"/>
          <w:szCs w:val="24"/>
          <w:lang w:eastAsia="da-DK"/>
        </w:rPr>
        <w:t>Studier med tenofovirdisoproxil</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I studie GS-US-104-0321 blev 87 hiv 1-inficerede behandlingserfarne patienter i alderen 12 til &lt; 18 år behandlet med tenofovirdisoproxilfumarat (n = 45) eller placebo (n = 42) samtidigt med et optimeret baggrundsregime (OBR) i 48 uger. På grund af begrænsninger i studiet blev der ikke påvist en fordel ved tenofovirdisoproxilfumarat i forhold til placebo på grundlag af plasmaniveauerne af hiv 1-rna i uge 24. På grundlag af ekstrapolering af data for voksne og sammenlignelige farmakokinetiske data forventes der imidlertid at være en fordel for den unge population (se pkt. 5.2).</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 xml:space="preserve">Hos patienter, der fik tenofovirdisoproxil eller placebo, var den gennemsnitlige BMD Z-score i lænderygsøjlen -1,004 og -0,809, og den gennemsnitlige BMD Z-score i hele kroppen var henholdsvis -0,866 og -0,584 ved </w:t>
      </w:r>
      <w:r w:rsidRPr="004C3DE3">
        <w:rPr>
          <w:i/>
          <w:iCs/>
          <w:sz w:val="24"/>
          <w:szCs w:val="24"/>
          <w:lang w:eastAsia="da-DK"/>
        </w:rPr>
        <w:t>baseline</w:t>
      </w:r>
      <w:r w:rsidRPr="004C3DE3">
        <w:rPr>
          <w:sz w:val="24"/>
          <w:szCs w:val="24"/>
          <w:lang w:eastAsia="da-DK"/>
        </w:rPr>
        <w:t xml:space="preserve">. De gennemsnitlige ændringer i BMD Z-score i uge 48 (afslutningen på den dobbeltblinde fase) var -0,215 og -0,165 i lænderygsøjlen og -0,254 og -0,179 i hele kroppen for henholdsvis tenofovirdisoproxil og placebo. Gennemsnitligt var stigningen i BMD mindre i gruppen, der fik tenofovirdisoproxil, sammenlignet med placebogruppen. I uge 48 havde seks unge i gruppen, der fik tenofovirdisoproxil, og en ung i placebogruppen signifikante fald i BMD i lænderygsøjlen (defineret som fald på &gt; 4 %). Hos de 28 patienter, der fik tenofovirdisoproxil i 96 uger, faldt BMD Z-scorerne med -0,341 i lænderygsøjlen og </w:t>
      </w:r>
      <w:r w:rsidRPr="004C3DE3">
        <w:rPr>
          <w:sz w:val="24"/>
          <w:szCs w:val="24"/>
          <w:lang w:eastAsia="da-DK"/>
        </w:rPr>
        <w:br/>
        <w:t>-0,458 i hele kroppen.</w:t>
      </w:r>
    </w:p>
    <w:p w:rsidR="0057668F" w:rsidRPr="004C3DE3" w:rsidRDefault="0057668F" w:rsidP="0057668F">
      <w:pPr>
        <w:autoSpaceDE w:val="0"/>
        <w:autoSpaceDN w:val="0"/>
        <w:adjustRightInd w:val="0"/>
        <w:ind w:left="851"/>
        <w:rPr>
          <w:sz w:val="24"/>
          <w:szCs w:val="24"/>
          <w:lang w:eastAsia="da-DK"/>
        </w:rPr>
      </w:pP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t>I studie GS-US-104-0352 deltog 97 behandlingserfarne patienter i alderen 2 til &lt; 12 år, der havde stabil virologisk suppression med regimer indeholdende stavudin eller zidovudin. Disse patienter blev randomiseret til enten at erstatte stavudin eller zidovudin med tenofovirdisoproxil (n = 48) eller fortsætte med deres oprindelige regime (n = 49) i 48 uger. I uge 48 havde 83 % af patienterne i gruppen, der fik tenofovirdisoproxil, og 92 % af patienterne i gruppen, der fik stavudin eller zidovudin, koncentrationer af hiv 1-rna på &lt; 400 kopier/ml. Forskellen i andelen af patienter, der fortsat havde &lt; 400 kopier/ml i uge 48, skyldtes hovedsageligt, at flere seponerede behandlingen i gruppen, der fik tenofovirdisoproxil. Når manglende data fraregnes, havde 91 % af patienterne i gruppen, der fik tenofovirdisoproxil, og 94 % af patienterne i gruppen, der fik stavudin eller zidovudin, koncentrationer af hiv 1-rna på &lt; 400 kopier/ml i uge 48.</w:t>
      </w:r>
    </w:p>
    <w:p w:rsidR="0057668F" w:rsidRPr="004C3DE3" w:rsidRDefault="0057668F" w:rsidP="0057668F">
      <w:pPr>
        <w:autoSpaceDE w:val="0"/>
        <w:autoSpaceDN w:val="0"/>
        <w:adjustRightInd w:val="0"/>
        <w:ind w:left="851"/>
        <w:rPr>
          <w:sz w:val="24"/>
          <w:szCs w:val="24"/>
          <w:lang w:eastAsia="da-DK"/>
        </w:rPr>
      </w:pPr>
      <w:r w:rsidRPr="004C3DE3">
        <w:rPr>
          <w:sz w:val="24"/>
          <w:szCs w:val="24"/>
          <w:lang w:eastAsia="da-DK"/>
        </w:rPr>
        <w:br/>
        <w:t xml:space="preserve">Nedsat BMD er rapporteret hos pædiatriske patienter. Hos patienter, der fik behandling med tenofovirdisoproxil, eller stavudin eller zidovudin, var den gennemsnitlige BMD Z-score i lænderygsøjlen -1,034 og -0,498, og den gennemsnitlige BMD Z-score i hele kroppen var henholdsvis -0,471 og -0,386 ved </w:t>
      </w:r>
      <w:r w:rsidRPr="004C3DE3">
        <w:rPr>
          <w:i/>
          <w:iCs/>
          <w:sz w:val="24"/>
          <w:szCs w:val="24"/>
          <w:lang w:eastAsia="da-DK"/>
        </w:rPr>
        <w:t>baseline</w:t>
      </w:r>
      <w:r w:rsidRPr="004C3DE3">
        <w:rPr>
          <w:sz w:val="24"/>
          <w:szCs w:val="24"/>
          <w:lang w:eastAsia="da-DK"/>
        </w:rPr>
        <w:t xml:space="preserve">. De gennemsnitlige ændringer i BMD Z-score i uge 48 (afslutningen på den randomiserede fase) var 0,032 og 0,087 i lænderygsøjlen og -0,184 og -0,027 i hele kroppen for henholdsvis tenofovirdisoproxil og </w:t>
      </w:r>
      <w:r w:rsidRPr="004C3DE3">
        <w:rPr>
          <w:sz w:val="24"/>
          <w:szCs w:val="24"/>
          <w:lang w:eastAsia="da-DK"/>
        </w:rPr>
        <w:lastRenderedPageBreak/>
        <w:t xml:space="preserve">stavudin eller zidovudin. Gennemsnitligt var BMD-stigningen i lænderygsøjlen i uge 48 ens i gruppen, der fik tenofovirdisoproxil, og gruppen, der fik stavudin eller zidovudin. BMD-stigningen i hele kroppen var mindre i gruppen, der fik tenofovirdisoproxil, sammenlignet med gruppen, der fik stavudin eller zidovudin. En forsøgsperson, der fik tenofovirdisoproxil, og ingen forsøgspersoner, der fik stavudin eller zidovudin, havde signifikant fald (&gt; 4 %) i BMD i lænderygsøjlen i uge 48. BMD Z-scorerne faldt med -0,012 i lænderygsøjlen og med -0,338 i hele kroppen hos de 64 forsøgspersoner, der fik tenofovirdisoproxil i 96 uger. BMD Z-scorerne blev ikke blevet justeret for højde og vægt. </w:t>
      </w:r>
    </w:p>
    <w:p w:rsidR="0057668F" w:rsidRPr="004C3DE3" w:rsidRDefault="0057668F" w:rsidP="0057668F">
      <w:pPr>
        <w:autoSpaceDE w:val="0"/>
        <w:autoSpaceDN w:val="0"/>
        <w:adjustRightInd w:val="0"/>
        <w:ind w:left="851"/>
        <w:rPr>
          <w:sz w:val="24"/>
          <w:szCs w:val="24"/>
          <w:lang w:eastAsia="da-DK"/>
        </w:rPr>
      </w:pPr>
    </w:p>
    <w:p w:rsidR="00803BD1" w:rsidRDefault="00803BD1" w:rsidP="00803BD1">
      <w:pPr>
        <w:autoSpaceDE w:val="0"/>
        <w:autoSpaceDN w:val="0"/>
        <w:adjustRightInd w:val="0"/>
        <w:ind w:left="851"/>
        <w:rPr>
          <w:sz w:val="24"/>
          <w:szCs w:val="24"/>
          <w:u w:val="single"/>
        </w:rPr>
      </w:pPr>
      <w:r>
        <w:rPr>
          <w:sz w:val="24"/>
          <w:szCs w:val="24"/>
          <w:lang w:eastAsia="da-DK"/>
        </w:rPr>
        <w:t xml:space="preserve">I studie GS-US-104-0352 gik 8 ud af 89 pædiatriske patienter (9,0%), der blev eksponeret for tenofovirdisoproxil, </w:t>
      </w:r>
      <w:r>
        <w:rPr>
          <w:sz w:val="24"/>
          <w:szCs w:val="24"/>
        </w:rPr>
        <w:t>seponeret studiemedicinen på grund af nyrebivirkninger. Fem forsøgsdeltagere (5,6 %) havde laboratoriefund, der var klinisk overensstemmende med proksimal renal tubulopati, og 4 af disse seponerede behandlingen med tenofovirdisoproxil (median eksponering for tenofovirdisoproxil var 331 uger).</w:t>
      </w:r>
    </w:p>
    <w:p w:rsidR="00803BD1" w:rsidRDefault="00803BD1" w:rsidP="00803BD1">
      <w:pPr>
        <w:ind w:left="851"/>
        <w:rPr>
          <w:sz w:val="24"/>
          <w:szCs w:val="24"/>
        </w:rPr>
      </w:pPr>
    </w:p>
    <w:p w:rsidR="00803BD1" w:rsidRDefault="00803BD1" w:rsidP="00803BD1">
      <w:pPr>
        <w:pStyle w:val="Default"/>
        <w:ind w:left="851"/>
        <w:rPr>
          <w:sz w:val="24"/>
          <w:szCs w:val="24"/>
          <w:lang w:val="da-DK"/>
        </w:rPr>
      </w:pPr>
      <w:r>
        <w:rPr>
          <w:i/>
          <w:iCs/>
          <w:sz w:val="22"/>
          <w:szCs w:val="22"/>
          <w:lang w:val="da-DK"/>
        </w:rPr>
        <w:t>P</w:t>
      </w:r>
      <w:r>
        <w:rPr>
          <w:i/>
          <w:iCs/>
          <w:sz w:val="24"/>
          <w:szCs w:val="24"/>
          <w:lang w:val="da-DK"/>
        </w:rPr>
        <w:t xml:space="preserve">rofylakse før eksponering hos den pædiatriske population </w:t>
      </w:r>
    </w:p>
    <w:p w:rsidR="00803BD1" w:rsidRDefault="00803BD1" w:rsidP="00803BD1">
      <w:pPr>
        <w:ind w:left="851"/>
        <w:rPr>
          <w:sz w:val="24"/>
          <w:szCs w:val="24"/>
        </w:rPr>
      </w:pPr>
      <w:r>
        <w:rPr>
          <w:sz w:val="24"/>
          <w:szCs w:val="24"/>
        </w:rPr>
        <w:t>Sikkerheden og effekten af kombinationen af emtricitabin og tenofovirdisoproxil ved profylakse før eksponering hos unge som adhærerer til daglig dosering forventes at være den samme som for voksne med det samme adhærensniveau. De potentielle virkninger på nyrer og knogler ved langtidsbrug af kombinationen af emtricitabin og tenofovirdisoproxil til profylakse før eksponering hos voksne er ukendt (se pkt. 4.4).</w:t>
      </w:r>
    </w:p>
    <w:p w:rsidR="0057668F" w:rsidRPr="004C3DE3" w:rsidRDefault="0057668F" w:rsidP="0057668F">
      <w:pPr>
        <w:tabs>
          <w:tab w:val="left" w:pos="851"/>
        </w:tabs>
        <w:ind w:left="851" w:hanging="851"/>
        <w:rPr>
          <w:sz w:val="24"/>
          <w:szCs w:val="24"/>
        </w:rPr>
      </w:pPr>
    </w:p>
    <w:p w:rsidR="0057668F" w:rsidRPr="00803BD1" w:rsidRDefault="0057668F" w:rsidP="00803BD1">
      <w:pPr>
        <w:tabs>
          <w:tab w:val="left" w:pos="851"/>
        </w:tabs>
        <w:ind w:left="851" w:hanging="851"/>
        <w:rPr>
          <w:b/>
          <w:sz w:val="24"/>
          <w:szCs w:val="24"/>
        </w:rPr>
      </w:pPr>
      <w:r w:rsidRPr="004C3DE3">
        <w:rPr>
          <w:b/>
          <w:sz w:val="24"/>
          <w:szCs w:val="24"/>
        </w:rPr>
        <w:t>5.2</w:t>
      </w:r>
      <w:r w:rsidRPr="004C3DE3">
        <w:rPr>
          <w:b/>
          <w:sz w:val="24"/>
          <w:szCs w:val="24"/>
        </w:rPr>
        <w:tab/>
        <w:t>Farmakokinetiske egenskaber</w:t>
      </w:r>
    </w:p>
    <w:p w:rsidR="0057668F" w:rsidRDefault="0057668F" w:rsidP="0057668F">
      <w:pPr>
        <w:ind w:left="851"/>
        <w:rPr>
          <w:sz w:val="24"/>
          <w:szCs w:val="24"/>
          <w:u w:val="single"/>
        </w:rPr>
      </w:pPr>
      <w:r w:rsidRPr="004C3DE3">
        <w:rPr>
          <w:sz w:val="24"/>
          <w:szCs w:val="24"/>
          <w:u w:val="single"/>
        </w:rPr>
        <w:t>Absorption</w:t>
      </w:r>
    </w:p>
    <w:p w:rsidR="00FC356F" w:rsidRPr="004C3DE3" w:rsidRDefault="00FC356F" w:rsidP="0057668F">
      <w:pPr>
        <w:ind w:left="851"/>
        <w:rPr>
          <w:sz w:val="24"/>
          <w:szCs w:val="24"/>
          <w:u w:val="single"/>
        </w:rPr>
      </w:pPr>
    </w:p>
    <w:p w:rsidR="0057668F" w:rsidRPr="004C3DE3" w:rsidRDefault="0057668F" w:rsidP="0057668F">
      <w:pPr>
        <w:ind w:left="851"/>
        <w:rPr>
          <w:sz w:val="24"/>
          <w:szCs w:val="24"/>
        </w:rPr>
      </w:pPr>
      <w:r w:rsidRPr="004C3DE3">
        <w:rPr>
          <w:sz w:val="24"/>
          <w:szCs w:val="24"/>
        </w:rPr>
        <w:t>Bioækvivalensen mellem én filmovertrukket tablet indeholdende kombinationen af emtricitabin og tenofovirdisoproxil og én 200 mg hård kapsel emtricitabin og 245 mg én filmovertrukket tablet tenofovirdisoproxil blev fastlagt efter indgivelse af en enkelt dosis hos fastende, raske personer. Efter oral administration af kombinationen af emtricitabin og tenofovirdisoproxil til raske personer absorberes emtricitabin og tenofovirdisoproxil hurtigt, og tenofovirdisoproxil omdannes til tenofovir. De maksimale koncentrationer af emtricitabin og tenofovir findes i serum inden for 0,5 til 3,0 timer efter indgivelse i fastende tilstand. Administration af kombinationen af emtricitabin og tenofovirdisoproxil sammen med mad forårsagede en forsinkelse på cirka tre kvarter i forhold til opnåelse af den maksimale tenofovirkoncentration og en forøgelse i tenofovirs AUC og C</w:t>
      </w:r>
      <w:r w:rsidRPr="004C3DE3">
        <w:rPr>
          <w:sz w:val="24"/>
          <w:szCs w:val="24"/>
          <w:vertAlign w:val="subscript"/>
        </w:rPr>
        <w:t>max</w:t>
      </w:r>
      <w:r w:rsidRPr="004C3DE3">
        <w:rPr>
          <w:sz w:val="24"/>
          <w:szCs w:val="24"/>
        </w:rPr>
        <w:t xml:space="preserve"> med henholdsvis ca. 35 % og 15 %, når det blev indgivet sammen med et let måltid eller et måltid med højt fedtindhold, sammenlignet med administration i fastende tilstand. For at optimere tenofovirs absorption anbefales det, at kombinationen af emtricitabin og tenofovirdisoproxil tages sammen med mad.</w:t>
      </w:r>
    </w:p>
    <w:p w:rsidR="0057668F" w:rsidRPr="004C3DE3" w:rsidRDefault="0057668F" w:rsidP="0057668F">
      <w:pPr>
        <w:ind w:left="851" w:hanging="851"/>
        <w:rPr>
          <w:sz w:val="24"/>
          <w:szCs w:val="24"/>
        </w:rPr>
      </w:pPr>
    </w:p>
    <w:p w:rsidR="0057668F" w:rsidRDefault="0057668F" w:rsidP="0057668F">
      <w:pPr>
        <w:ind w:left="851"/>
        <w:rPr>
          <w:sz w:val="24"/>
          <w:szCs w:val="24"/>
          <w:u w:val="single"/>
        </w:rPr>
      </w:pPr>
      <w:r w:rsidRPr="004C3DE3">
        <w:rPr>
          <w:sz w:val="24"/>
          <w:szCs w:val="24"/>
          <w:u w:val="single"/>
        </w:rPr>
        <w:t>Fordeling</w:t>
      </w:r>
    </w:p>
    <w:p w:rsidR="00FC356F" w:rsidRPr="004C3DE3" w:rsidRDefault="00FC356F" w:rsidP="0057668F">
      <w:pPr>
        <w:ind w:left="851"/>
        <w:rPr>
          <w:sz w:val="24"/>
          <w:szCs w:val="24"/>
          <w:u w:val="single"/>
        </w:rPr>
      </w:pPr>
    </w:p>
    <w:p w:rsidR="0057668F" w:rsidRPr="004C3DE3" w:rsidRDefault="0057668F" w:rsidP="0057668F">
      <w:pPr>
        <w:ind w:left="851"/>
        <w:rPr>
          <w:sz w:val="24"/>
          <w:szCs w:val="24"/>
        </w:rPr>
      </w:pPr>
      <w:r w:rsidRPr="004C3DE3">
        <w:rPr>
          <w:sz w:val="24"/>
          <w:szCs w:val="24"/>
        </w:rPr>
        <w:t xml:space="preserve">Efter intravenøs administration blev emtricitabins og tenofovirs fordelingsvolumen vurderet til at være henholdsvis ca. 1,4 l/kg og 800 ml/kg. Efter oral indgift af emtricitabin eller tenofovirdisoproxil fordeles emtricitabin og tenofovir i stort omfang i hele legemet. Emtricitabins binding til humane plasmaproteiner </w:t>
      </w:r>
      <w:r w:rsidRPr="004C3DE3">
        <w:rPr>
          <w:i/>
          <w:iCs/>
          <w:sz w:val="24"/>
          <w:szCs w:val="24"/>
        </w:rPr>
        <w:t xml:space="preserve">in vitro </w:t>
      </w:r>
      <w:r w:rsidRPr="004C3DE3">
        <w:rPr>
          <w:sz w:val="24"/>
          <w:szCs w:val="24"/>
        </w:rPr>
        <w:t xml:space="preserve">var &lt; 4 % og uafhængig af koncentrationen indenfor området 0,02-200 μg/ml. Tenofovirs proteinbinding til plasma- eller serumproteiner </w:t>
      </w:r>
      <w:r w:rsidRPr="004C3DE3">
        <w:rPr>
          <w:i/>
          <w:iCs/>
          <w:sz w:val="24"/>
          <w:szCs w:val="24"/>
        </w:rPr>
        <w:t>in vitro</w:t>
      </w:r>
      <w:r w:rsidRPr="004C3DE3">
        <w:rPr>
          <w:sz w:val="24"/>
          <w:szCs w:val="24"/>
        </w:rPr>
        <w:t xml:space="preserve"> var mindre end henholdsvis 0,7 og 7,2 % i tenofovir-koncentrationsområdet 0,01-25 μg/ml.</w:t>
      </w:r>
    </w:p>
    <w:p w:rsidR="0057668F" w:rsidRPr="004C3DE3" w:rsidRDefault="0057668F" w:rsidP="0057668F">
      <w:pPr>
        <w:ind w:left="851"/>
        <w:rPr>
          <w:sz w:val="24"/>
          <w:szCs w:val="24"/>
          <w:u w:val="single"/>
        </w:rPr>
      </w:pPr>
    </w:p>
    <w:p w:rsidR="0057668F" w:rsidRDefault="0057668F" w:rsidP="00FC356F">
      <w:pPr>
        <w:keepNext/>
        <w:ind w:left="851"/>
        <w:rPr>
          <w:sz w:val="24"/>
          <w:szCs w:val="24"/>
          <w:u w:val="single"/>
        </w:rPr>
      </w:pPr>
      <w:r w:rsidRPr="004C3DE3">
        <w:rPr>
          <w:sz w:val="24"/>
          <w:szCs w:val="24"/>
          <w:u w:val="single"/>
        </w:rPr>
        <w:lastRenderedPageBreak/>
        <w:t>Biotransformation</w:t>
      </w:r>
    </w:p>
    <w:p w:rsidR="00FC356F" w:rsidRPr="004C3DE3" w:rsidRDefault="00FC356F" w:rsidP="00FC356F">
      <w:pPr>
        <w:keepNext/>
        <w:ind w:left="851"/>
        <w:rPr>
          <w:sz w:val="24"/>
          <w:szCs w:val="24"/>
          <w:u w:val="single"/>
        </w:rPr>
      </w:pPr>
    </w:p>
    <w:p w:rsidR="0057668F" w:rsidRPr="004C3DE3" w:rsidRDefault="0057668F" w:rsidP="0057668F">
      <w:pPr>
        <w:ind w:left="851"/>
        <w:rPr>
          <w:sz w:val="24"/>
          <w:szCs w:val="24"/>
        </w:rPr>
      </w:pPr>
      <w:r w:rsidRPr="004C3DE3">
        <w:rPr>
          <w:sz w:val="24"/>
          <w:szCs w:val="24"/>
        </w:rPr>
        <w:t xml:space="preserve">Metaboliseringen af </w:t>
      </w:r>
      <w:r w:rsidRPr="004C3DE3">
        <w:rPr>
          <w:iCs/>
          <w:sz w:val="24"/>
          <w:szCs w:val="24"/>
        </w:rPr>
        <w:t>emtricitabin</w:t>
      </w:r>
      <w:r w:rsidRPr="004C3DE3">
        <w:rPr>
          <w:sz w:val="24"/>
          <w:szCs w:val="24"/>
        </w:rPr>
        <w:t xml:space="preserve"> er begrænset. Biotransformationen af emtricitabin omfatter oxidation af thiolandelen til at danne 3'-sulfoxid-diastereomere (ca. 9 % af dosen) og konjugation med glucuronsyre til at danne 2'-O-glucuronid (ca. 4 % af dosen). </w:t>
      </w:r>
      <w:r w:rsidRPr="004C3DE3">
        <w:rPr>
          <w:i/>
          <w:iCs/>
          <w:sz w:val="24"/>
          <w:szCs w:val="24"/>
        </w:rPr>
        <w:t>In vitro</w:t>
      </w:r>
      <w:r w:rsidRPr="004C3DE3">
        <w:rPr>
          <w:sz w:val="24"/>
          <w:szCs w:val="24"/>
        </w:rPr>
        <w:t xml:space="preserve">-studier har vist, at hverken tenofovirdisoproxil eller tenofovir er substrater for CYP450-enzymerne. Hverken emtricitabin eller tenofovir inhiberer </w:t>
      </w:r>
      <w:r w:rsidRPr="004C3DE3">
        <w:rPr>
          <w:i/>
          <w:iCs/>
          <w:sz w:val="24"/>
          <w:szCs w:val="24"/>
        </w:rPr>
        <w:t>in vitro-</w:t>
      </w:r>
      <w:r w:rsidRPr="004C3DE3">
        <w:rPr>
          <w:sz w:val="24"/>
          <w:szCs w:val="24"/>
        </w:rPr>
        <w:t>lægemiddel</w:t>
      </w:r>
      <w:r w:rsidRPr="004C3DE3">
        <w:rPr>
          <w:sz w:val="24"/>
          <w:szCs w:val="24"/>
        </w:rPr>
        <w:softHyphen/>
        <w:t>metabolisering medieret af de vigtigste humane CYP450-isoformer, som er involveret i biotransformation af lægemidler. Yderligere, inhiberede emtricitabin ikke uridin-5'-difosfoglucuronyl-transferase, som er det enzym der er ansvarlig for glukuronidering.</w:t>
      </w:r>
    </w:p>
    <w:p w:rsidR="0057668F" w:rsidRPr="004C3DE3" w:rsidRDefault="0057668F" w:rsidP="0057668F">
      <w:pPr>
        <w:ind w:left="851"/>
        <w:rPr>
          <w:sz w:val="24"/>
          <w:szCs w:val="24"/>
          <w:u w:val="single"/>
        </w:rPr>
      </w:pPr>
    </w:p>
    <w:p w:rsidR="0057668F" w:rsidRDefault="0057668F" w:rsidP="0057668F">
      <w:pPr>
        <w:ind w:left="851"/>
        <w:rPr>
          <w:sz w:val="24"/>
          <w:szCs w:val="24"/>
          <w:u w:val="single"/>
        </w:rPr>
      </w:pPr>
      <w:r w:rsidRPr="004C3DE3">
        <w:rPr>
          <w:sz w:val="24"/>
          <w:szCs w:val="24"/>
          <w:u w:val="single"/>
        </w:rPr>
        <w:t>Elimination</w:t>
      </w:r>
    </w:p>
    <w:p w:rsidR="00FC356F" w:rsidRPr="004C3DE3" w:rsidRDefault="00FC356F" w:rsidP="0057668F">
      <w:pPr>
        <w:ind w:left="851"/>
        <w:rPr>
          <w:sz w:val="24"/>
          <w:szCs w:val="24"/>
          <w:u w:val="single"/>
        </w:rPr>
      </w:pPr>
    </w:p>
    <w:p w:rsidR="0057668F" w:rsidRPr="004C3DE3" w:rsidRDefault="0057668F" w:rsidP="0057668F">
      <w:pPr>
        <w:ind w:left="851"/>
        <w:rPr>
          <w:sz w:val="24"/>
          <w:szCs w:val="24"/>
        </w:rPr>
      </w:pPr>
      <w:r w:rsidRPr="004C3DE3">
        <w:rPr>
          <w:sz w:val="24"/>
          <w:szCs w:val="24"/>
        </w:rPr>
        <w:t>Emtricitabin udskilles primært via nyrerne med komplet genfinding af dosis opnået i urinen (ca. 86 %) og fæces (ca. 14 %). 13% af dosen af emtricitabin blev genfundet i urinen som tre metabolitter.</w:t>
      </w:r>
    </w:p>
    <w:p w:rsidR="0057668F" w:rsidRPr="004C3DE3" w:rsidRDefault="0057668F" w:rsidP="0057668F">
      <w:pPr>
        <w:ind w:left="851"/>
        <w:rPr>
          <w:sz w:val="24"/>
          <w:szCs w:val="24"/>
        </w:rPr>
      </w:pPr>
      <w:r w:rsidRPr="004C3DE3">
        <w:rPr>
          <w:sz w:val="24"/>
          <w:szCs w:val="24"/>
        </w:rPr>
        <w:t>Den systemiske clearance af emtricitabin var i gennemsnit 307 ml/min. Efter oral administration er halveringstiden for elimination af emtricitabin ca. 10 timer.</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Tenofovir udskilles primært via nyrerne både ved filtration og et aktivt tubulært transportsystem, hvor ca. 70-80 % af dosen udskilles uomdannet i urinen efter intravenøs indgift. Den tilsyneladende clearance af tenofovir var i gennemsnit ca. 307 ml/min. Renal clearance er estimeret til at være ca. 210 ml/min, hvilket overstiger den glomerulære filtrationshastighed. Dette angiver, at aktiv tubulær sekretion udgør en vigtig del af eliminationen af tenofovir. Efter peroral administration er halveringstiden for elimination af tenofovir ca. 12-18 timer.</w:t>
      </w:r>
    </w:p>
    <w:p w:rsidR="0057668F" w:rsidRPr="004C3DE3" w:rsidRDefault="0057668F" w:rsidP="0057668F">
      <w:pPr>
        <w:ind w:left="851"/>
        <w:rPr>
          <w:sz w:val="24"/>
          <w:szCs w:val="24"/>
        </w:rPr>
      </w:pPr>
    </w:p>
    <w:p w:rsidR="00825573" w:rsidRDefault="00825573" w:rsidP="00825573">
      <w:pPr>
        <w:ind w:left="851"/>
        <w:rPr>
          <w:sz w:val="24"/>
          <w:szCs w:val="24"/>
          <w:u w:val="single"/>
        </w:rPr>
      </w:pPr>
      <w:r>
        <w:rPr>
          <w:sz w:val="24"/>
          <w:szCs w:val="24"/>
          <w:u w:val="single"/>
        </w:rPr>
        <w:t>Ældre</w:t>
      </w:r>
    </w:p>
    <w:p w:rsidR="00FC356F" w:rsidRDefault="00FC356F" w:rsidP="00825573">
      <w:pPr>
        <w:ind w:left="851"/>
        <w:rPr>
          <w:sz w:val="24"/>
          <w:szCs w:val="24"/>
          <w:u w:val="single"/>
        </w:rPr>
      </w:pPr>
    </w:p>
    <w:p w:rsidR="00825573" w:rsidRPr="00FC356F" w:rsidRDefault="00825573" w:rsidP="00825573">
      <w:pPr>
        <w:ind w:left="851"/>
        <w:rPr>
          <w:sz w:val="24"/>
          <w:szCs w:val="24"/>
        </w:rPr>
      </w:pPr>
      <w:r>
        <w:rPr>
          <w:sz w:val="24"/>
          <w:szCs w:val="24"/>
        </w:rPr>
        <w:t xml:space="preserve">Der er ikke foretaget farmakokinetiske studier med emtricitabin eller tenofovir </w:t>
      </w:r>
      <w:r w:rsidRPr="00FC356F">
        <w:rPr>
          <w:sz w:val="24"/>
          <w:szCs w:val="24"/>
        </w:rPr>
        <w:t>(administreret som tenofovirdisoproxil) hos ældre (over 65 år).</w:t>
      </w:r>
    </w:p>
    <w:p w:rsidR="00825573" w:rsidRPr="00FC356F" w:rsidRDefault="00825573" w:rsidP="00825573">
      <w:pPr>
        <w:ind w:left="851"/>
        <w:rPr>
          <w:sz w:val="24"/>
          <w:szCs w:val="24"/>
        </w:rPr>
      </w:pPr>
    </w:p>
    <w:p w:rsidR="00825573" w:rsidRPr="00FC356F" w:rsidRDefault="00825573" w:rsidP="00825573">
      <w:pPr>
        <w:ind w:left="851"/>
        <w:rPr>
          <w:sz w:val="24"/>
          <w:szCs w:val="24"/>
          <w:u w:val="single"/>
        </w:rPr>
      </w:pPr>
      <w:r w:rsidRPr="00FC356F">
        <w:rPr>
          <w:sz w:val="24"/>
          <w:szCs w:val="24"/>
          <w:u w:val="single"/>
        </w:rPr>
        <w:t>Køn</w:t>
      </w:r>
    </w:p>
    <w:p w:rsidR="00FC356F" w:rsidRPr="00FC356F" w:rsidRDefault="00FC356F" w:rsidP="00825573">
      <w:pPr>
        <w:ind w:left="851"/>
        <w:rPr>
          <w:sz w:val="24"/>
          <w:szCs w:val="24"/>
          <w:u w:val="single"/>
        </w:rPr>
      </w:pPr>
    </w:p>
    <w:p w:rsidR="00825573" w:rsidRPr="00FC356F" w:rsidRDefault="00825573" w:rsidP="00825573">
      <w:pPr>
        <w:ind w:left="851"/>
        <w:rPr>
          <w:sz w:val="24"/>
          <w:szCs w:val="24"/>
        </w:rPr>
      </w:pPr>
      <w:r w:rsidRPr="00FC356F">
        <w:rPr>
          <w:sz w:val="24"/>
          <w:szCs w:val="24"/>
        </w:rPr>
        <w:t>Farmakokinetikken for emtricitabin og tenofovir er ens hos mænd og kvinder.</w:t>
      </w:r>
    </w:p>
    <w:p w:rsidR="00825573" w:rsidRPr="00FC356F" w:rsidRDefault="00825573" w:rsidP="00825573">
      <w:pPr>
        <w:ind w:left="851"/>
        <w:rPr>
          <w:sz w:val="24"/>
          <w:szCs w:val="24"/>
        </w:rPr>
      </w:pPr>
    </w:p>
    <w:p w:rsidR="00825573" w:rsidRPr="00FC356F" w:rsidRDefault="00825573" w:rsidP="00825573">
      <w:pPr>
        <w:ind w:left="851"/>
        <w:rPr>
          <w:sz w:val="24"/>
          <w:szCs w:val="24"/>
          <w:u w:val="single"/>
        </w:rPr>
      </w:pPr>
      <w:r w:rsidRPr="00FC356F">
        <w:rPr>
          <w:sz w:val="24"/>
          <w:szCs w:val="24"/>
          <w:u w:val="single"/>
        </w:rPr>
        <w:t>Etnisk oprindelse</w:t>
      </w:r>
    </w:p>
    <w:p w:rsidR="00FC356F" w:rsidRPr="00FC356F" w:rsidRDefault="00FC356F" w:rsidP="00825573">
      <w:pPr>
        <w:ind w:left="851"/>
        <w:rPr>
          <w:sz w:val="24"/>
          <w:szCs w:val="24"/>
          <w:u w:val="single"/>
        </w:rPr>
      </w:pPr>
    </w:p>
    <w:p w:rsidR="00825573" w:rsidRPr="00FC356F" w:rsidRDefault="00825573" w:rsidP="00825573">
      <w:pPr>
        <w:ind w:left="851"/>
        <w:rPr>
          <w:sz w:val="24"/>
          <w:szCs w:val="24"/>
        </w:rPr>
      </w:pPr>
      <w:r w:rsidRPr="00FC356F">
        <w:rPr>
          <w:sz w:val="24"/>
          <w:szCs w:val="24"/>
        </w:rPr>
        <w:t>Der er ikke blevet identificeret nogle afgørende kliniske farmakokinetiske forskelle på baggrund af etnicitet for emtricitabin. Farmakokinetikken for tenofovir (administreret som tenofovirdisoproxil) er ikke blevet specifikt undersøgt for forskellige etniske grupper.</w:t>
      </w:r>
    </w:p>
    <w:p w:rsidR="0057668F" w:rsidRPr="00FC356F" w:rsidRDefault="0057668F" w:rsidP="0057668F">
      <w:pPr>
        <w:ind w:left="851"/>
        <w:rPr>
          <w:sz w:val="24"/>
          <w:szCs w:val="24"/>
        </w:rPr>
      </w:pPr>
    </w:p>
    <w:p w:rsidR="0057668F" w:rsidRPr="00FC356F" w:rsidRDefault="0057668F" w:rsidP="0057668F">
      <w:pPr>
        <w:ind w:left="851"/>
        <w:rPr>
          <w:sz w:val="24"/>
          <w:szCs w:val="24"/>
          <w:u w:val="single"/>
        </w:rPr>
      </w:pPr>
      <w:r w:rsidRPr="00FC356F">
        <w:rPr>
          <w:sz w:val="24"/>
          <w:szCs w:val="24"/>
          <w:u w:val="single"/>
        </w:rPr>
        <w:t>Pædiatrisk population</w:t>
      </w:r>
    </w:p>
    <w:p w:rsidR="00FC356F" w:rsidRPr="004C3DE3" w:rsidRDefault="00FC356F" w:rsidP="0057668F">
      <w:pPr>
        <w:ind w:left="851"/>
        <w:rPr>
          <w:sz w:val="24"/>
          <w:szCs w:val="24"/>
          <w:u w:val="single"/>
        </w:rPr>
      </w:pPr>
    </w:p>
    <w:p w:rsidR="0057668F" w:rsidRDefault="0057668F" w:rsidP="0057668F">
      <w:pPr>
        <w:ind w:left="851"/>
        <w:rPr>
          <w:sz w:val="24"/>
          <w:szCs w:val="24"/>
        </w:rPr>
      </w:pPr>
      <w:r w:rsidRPr="004C3DE3">
        <w:rPr>
          <w:sz w:val="24"/>
          <w:szCs w:val="24"/>
        </w:rPr>
        <w:t xml:space="preserve">Der er ikke udført farmakokinetiske studier med kombinationen af emtricitabin og tenofovirdisoproxil hos børn og unge (under 18 år). </w:t>
      </w:r>
      <w:r w:rsidRPr="004C3DE3">
        <w:rPr>
          <w:i/>
          <w:iCs/>
          <w:sz w:val="24"/>
          <w:szCs w:val="24"/>
        </w:rPr>
        <w:t xml:space="preserve">Steady state </w:t>
      </w:r>
      <w:r w:rsidRPr="004C3DE3">
        <w:rPr>
          <w:sz w:val="24"/>
          <w:szCs w:val="24"/>
        </w:rPr>
        <w:t xml:space="preserve">farmakokinetik af tenofovir blev evalueret hos 8 hiv 1-inficerede unge patienter (i alderen 12 til &lt; 18 år) med kropsvægt ≥ 35 kg og hos 23 hiv 1-inficerede børn i alderen 2 til &lt; 12 år. Den tenofovireksponering, som blev opnået hos disse pædiatriske patienter, som fik tenofovirdisoproxil 245 mg eller 6,5 mg/kg kropsvægt tenofovirdisoproxil (som fumarat) op til en maksimal dosis på 245 mg oralt dagligt, svarede til eksponeringen hos voksne, der </w:t>
      </w:r>
      <w:r w:rsidRPr="004C3DE3">
        <w:rPr>
          <w:sz w:val="24"/>
          <w:szCs w:val="24"/>
        </w:rPr>
        <w:lastRenderedPageBreak/>
        <w:t>fik 245 mg tenofovirdisoproxil en gang dagligt. Der er ikke udført farmakokinetiske studier med tenofovirdisoproxil hos børn under 2 år.</w:t>
      </w:r>
      <w:r>
        <w:rPr>
          <w:sz w:val="24"/>
          <w:szCs w:val="24"/>
        </w:rPr>
        <w:t xml:space="preserve"> </w:t>
      </w:r>
      <w:r w:rsidRPr="004C3DE3">
        <w:rPr>
          <w:sz w:val="24"/>
          <w:szCs w:val="24"/>
        </w:rPr>
        <w:t xml:space="preserve">Generelt er farmakokinetikken for emtricitabin hos spædbørn, børn og unge (fra 4 måneder til 18 år) ligesom hos voksne. </w:t>
      </w:r>
    </w:p>
    <w:p w:rsidR="00825573" w:rsidRDefault="00825573" w:rsidP="0057668F">
      <w:pPr>
        <w:ind w:left="851"/>
        <w:rPr>
          <w:sz w:val="24"/>
          <w:szCs w:val="24"/>
        </w:rPr>
      </w:pPr>
    </w:p>
    <w:p w:rsidR="00825573" w:rsidRPr="004C3DE3" w:rsidRDefault="00825573" w:rsidP="00825573">
      <w:pPr>
        <w:ind w:left="851"/>
        <w:rPr>
          <w:sz w:val="24"/>
          <w:szCs w:val="24"/>
        </w:rPr>
      </w:pPr>
      <w:r>
        <w:rPr>
          <w:sz w:val="24"/>
          <w:szCs w:val="24"/>
        </w:rPr>
        <w:t>Farmakokinetikken af emtricitabin og tenofovir (administreret som tenofovirdisoproxil) forventes at være den samme hos hiv 1-inficerede og ikke-inficerede unge, når dette baseres på samme eksponering over for emtricitabin og tenofovir hos hiv 1-inficerede unge og voksne samt ved samme eksponering over for emtricitabin og tenofovir hos hiv 1-inficerede og ikke-inficerede voksne.</w:t>
      </w:r>
    </w:p>
    <w:p w:rsidR="0057668F" w:rsidRPr="004C3DE3" w:rsidRDefault="0057668F" w:rsidP="0057668F">
      <w:pPr>
        <w:ind w:left="851"/>
        <w:rPr>
          <w:sz w:val="24"/>
          <w:szCs w:val="24"/>
        </w:rPr>
      </w:pPr>
    </w:p>
    <w:p w:rsidR="0057668F" w:rsidRDefault="0057668F" w:rsidP="00AD7CE0">
      <w:pPr>
        <w:keepNext/>
        <w:ind w:left="851"/>
        <w:rPr>
          <w:sz w:val="24"/>
          <w:szCs w:val="24"/>
          <w:u w:val="single"/>
        </w:rPr>
      </w:pPr>
      <w:r w:rsidRPr="004C3DE3">
        <w:rPr>
          <w:sz w:val="24"/>
          <w:szCs w:val="24"/>
          <w:u w:val="single"/>
        </w:rPr>
        <w:t>Nedsat nyrefunktion</w:t>
      </w:r>
    </w:p>
    <w:p w:rsidR="00FC356F" w:rsidRPr="004C3DE3" w:rsidRDefault="00FC356F" w:rsidP="00AD7CE0">
      <w:pPr>
        <w:keepNext/>
        <w:ind w:left="851"/>
        <w:rPr>
          <w:sz w:val="24"/>
          <w:szCs w:val="24"/>
          <w:u w:val="single"/>
        </w:rPr>
      </w:pPr>
    </w:p>
    <w:p w:rsidR="0057668F" w:rsidRPr="004C3DE3" w:rsidRDefault="0057668F" w:rsidP="0057668F">
      <w:pPr>
        <w:ind w:left="851"/>
        <w:rPr>
          <w:sz w:val="24"/>
          <w:szCs w:val="24"/>
        </w:rPr>
      </w:pPr>
      <w:r w:rsidRPr="004C3DE3">
        <w:rPr>
          <w:sz w:val="24"/>
          <w:szCs w:val="24"/>
        </w:rPr>
        <w:t>Der foreligger begrænsede farmakokinetiske data for emtricitabin og tenofovir efter co-administration af separate præparater eller som kombinationen af emtricitabin og tenofovirdisoproxil hos patienter med nedsat nyrefunktion. De farmakokinetiske parametre blev hovedsageligt bestemt efter administration af enkeltdoser på 200 mg emtricitabin eller 245 mg tenofovirdisoproxil til ikke-hiv-inficerede patienter med forskellige grader af nedsat nyrefunktion. Graden af nedsat nyrefunktion blev defineret i henhold til kreatininclearance ved baseline (CrCl) (normal nyrefunktion med CrCl &gt; 80 ml/min; let nedsat nyrefunktion med CrCl = 50-79 ml/min; moderat nedsat nyrefunktion med CrCl = 30-49 ml/min og svært nedsat nyrefunktion med CrCl = 10-29 ml/min).</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Den gennemsnitlige (%CV) emtricitabin-eksponering steg fra 12 (25 %) μg</w:t>
      </w:r>
      <w:r w:rsidRPr="004C3DE3">
        <w:rPr>
          <w:sz w:val="24"/>
          <w:szCs w:val="24"/>
        </w:rPr>
        <w:sym w:font="Symbol" w:char="F0D7"/>
      </w:r>
      <w:r w:rsidRPr="004C3DE3">
        <w:rPr>
          <w:sz w:val="24"/>
          <w:szCs w:val="24"/>
        </w:rPr>
        <w:t>t/ml hos personer med normal nyrefunktion til 20 (6 %) μg</w:t>
      </w:r>
      <w:r w:rsidRPr="004C3DE3">
        <w:rPr>
          <w:sz w:val="24"/>
          <w:szCs w:val="24"/>
        </w:rPr>
        <w:sym w:font="Symbol" w:char="F0D7"/>
      </w:r>
      <w:r w:rsidRPr="004C3DE3">
        <w:rPr>
          <w:sz w:val="24"/>
          <w:szCs w:val="24"/>
        </w:rPr>
        <w:t>t/ml, 25 (23 %) μg</w:t>
      </w:r>
      <w:r w:rsidRPr="004C3DE3">
        <w:rPr>
          <w:sz w:val="24"/>
          <w:szCs w:val="24"/>
        </w:rPr>
        <w:sym w:font="Symbol" w:char="F0D7"/>
      </w:r>
      <w:r w:rsidRPr="004C3DE3">
        <w:rPr>
          <w:sz w:val="24"/>
          <w:szCs w:val="24"/>
        </w:rPr>
        <w:t>t/ml og 34 (6 %) μg</w:t>
      </w:r>
      <w:r w:rsidRPr="004C3DE3">
        <w:rPr>
          <w:sz w:val="24"/>
          <w:szCs w:val="24"/>
        </w:rPr>
        <w:sym w:font="Symbol" w:char="F0D7"/>
      </w:r>
      <w:r w:rsidRPr="004C3DE3">
        <w:rPr>
          <w:sz w:val="24"/>
          <w:szCs w:val="24"/>
        </w:rPr>
        <w:t>t/ml hos patienter med henholdsvis let, moderat og svært nedsat nyrefunktion.</w:t>
      </w:r>
    </w:p>
    <w:p w:rsidR="0057668F" w:rsidRPr="004C3DE3" w:rsidRDefault="0057668F" w:rsidP="0057668F">
      <w:pPr>
        <w:ind w:left="851"/>
        <w:rPr>
          <w:sz w:val="24"/>
          <w:szCs w:val="24"/>
        </w:rPr>
      </w:pPr>
      <w:r w:rsidRPr="004C3DE3">
        <w:rPr>
          <w:sz w:val="24"/>
          <w:szCs w:val="24"/>
        </w:rPr>
        <w:t>Den gennemsnitlige (%CV) tenofovir-eksponering steg fra 2.185 (12 %) ng</w:t>
      </w:r>
      <w:r w:rsidRPr="004C3DE3">
        <w:rPr>
          <w:sz w:val="24"/>
          <w:szCs w:val="24"/>
        </w:rPr>
        <w:sym w:font="Symbol" w:char="F0D7"/>
      </w:r>
      <w:r w:rsidRPr="004C3DE3">
        <w:rPr>
          <w:sz w:val="24"/>
          <w:szCs w:val="24"/>
        </w:rPr>
        <w:t>t/ml hos personer med normal nyrefunktion til 3.064 (30 %) ng</w:t>
      </w:r>
      <w:r w:rsidRPr="004C3DE3">
        <w:rPr>
          <w:sz w:val="24"/>
          <w:szCs w:val="24"/>
        </w:rPr>
        <w:sym w:font="Symbol" w:char="F0D7"/>
      </w:r>
      <w:r w:rsidRPr="004C3DE3">
        <w:rPr>
          <w:sz w:val="24"/>
          <w:szCs w:val="24"/>
        </w:rPr>
        <w:t>t/ml, 6.009 (42 %) ng</w:t>
      </w:r>
      <w:r w:rsidRPr="004C3DE3">
        <w:rPr>
          <w:sz w:val="24"/>
          <w:szCs w:val="24"/>
        </w:rPr>
        <w:sym w:font="Symbol" w:char="F0D7"/>
      </w:r>
      <w:r w:rsidRPr="004C3DE3">
        <w:rPr>
          <w:sz w:val="24"/>
          <w:szCs w:val="24"/>
        </w:rPr>
        <w:t>t/ml og 15.985 (45 %) ng</w:t>
      </w:r>
      <w:r w:rsidRPr="004C3DE3">
        <w:rPr>
          <w:sz w:val="24"/>
          <w:szCs w:val="24"/>
        </w:rPr>
        <w:sym w:font="Symbol" w:char="F0D7"/>
      </w:r>
      <w:r w:rsidRPr="004C3DE3">
        <w:rPr>
          <w:sz w:val="24"/>
          <w:szCs w:val="24"/>
        </w:rPr>
        <w:t>t/ml hos patienter med henholdsvis let, moderat og svært nedsat nyrefunktion.</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Det øgede dosisinterval for kombinationen af emtricitabin og tenofovirdisoproxil hos hiv 1-patienter med moderat nedsat nyrefunktion forventes at resultere i højere peak-plasmakoncentrationer og lavere C</w:t>
      </w:r>
      <w:r w:rsidRPr="004C3DE3">
        <w:rPr>
          <w:sz w:val="24"/>
          <w:szCs w:val="24"/>
          <w:vertAlign w:val="subscript"/>
        </w:rPr>
        <w:t>min</w:t>
      </w:r>
      <w:r w:rsidRPr="004C3DE3">
        <w:rPr>
          <w:sz w:val="24"/>
          <w:szCs w:val="24"/>
        </w:rPr>
        <w:t xml:space="preserve">-niveauer sammenlignet med patienter med normal nyrefunktion. </w:t>
      </w:r>
      <w:r w:rsidRPr="004C3DE3">
        <w:rPr>
          <w:sz w:val="24"/>
          <w:szCs w:val="24"/>
        </w:rPr>
        <w:br/>
      </w:r>
      <w:r w:rsidRPr="004C3DE3">
        <w:rPr>
          <w:sz w:val="24"/>
          <w:szCs w:val="24"/>
        </w:rPr>
        <w:br/>
        <w:t xml:space="preserve">Hos patienter med nyresygdom i slutstadiet </w:t>
      </w:r>
      <w:r w:rsidRPr="004C3DE3">
        <w:rPr>
          <w:i/>
          <w:iCs/>
          <w:sz w:val="24"/>
          <w:szCs w:val="24"/>
        </w:rPr>
        <w:t>(End Stage Renal Disease, ESRD)</w:t>
      </w:r>
      <w:r w:rsidRPr="004C3DE3">
        <w:rPr>
          <w:sz w:val="24"/>
          <w:szCs w:val="24"/>
        </w:rPr>
        <w:t>, som havde behov for hæmodialyse, steg lægemiddeleksponeringen betragteligt mellem dialyserne over et tidsrum på 72 timer til 53 (19 %) μg</w:t>
      </w:r>
      <w:r w:rsidRPr="004C3DE3">
        <w:rPr>
          <w:sz w:val="24"/>
          <w:szCs w:val="24"/>
        </w:rPr>
        <w:sym w:font="Symbol" w:char="F0D7"/>
      </w:r>
      <w:r w:rsidRPr="004C3DE3">
        <w:rPr>
          <w:sz w:val="24"/>
          <w:szCs w:val="24"/>
        </w:rPr>
        <w:t>t/ml for emtricitabin og over et tidsrum på 48 timer til 42.857 (29 %) ng</w:t>
      </w:r>
      <w:r w:rsidRPr="004C3DE3">
        <w:rPr>
          <w:sz w:val="24"/>
          <w:szCs w:val="24"/>
        </w:rPr>
        <w:sym w:font="Symbol" w:char="F0D7"/>
      </w:r>
      <w:r w:rsidRPr="004C3DE3">
        <w:rPr>
          <w:sz w:val="24"/>
          <w:szCs w:val="24"/>
        </w:rPr>
        <w:t>t/ml for tenofovir.</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 xml:space="preserve">Der blev udført et lille klinisk studie for at vurdere sikkerhed, antiviral aktivitet og farmakokinetik for tenofovirdisoproxil i kombination med emtricitabin hos hiv-inficerede patienter med nedsat nyrefunktion. En undergruppe af patienter med </w:t>
      </w:r>
      <w:r w:rsidRPr="004C3DE3">
        <w:rPr>
          <w:iCs/>
          <w:sz w:val="24"/>
          <w:szCs w:val="24"/>
        </w:rPr>
        <w:t>baseline</w:t>
      </w:r>
      <w:r w:rsidRPr="004C3DE3">
        <w:rPr>
          <w:sz w:val="24"/>
          <w:szCs w:val="24"/>
        </w:rPr>
        <w:t>-kreatininclearance mellem 50 og 60 ml/min., som fik én daglig dosis, havde en 2-4 gange højere eksponering for tenofovir og forværrelse af nyrefunktion.</w:t>
      </w:r>
    </w:p>
    <w:p w:rsidR="0057668F" w:rsidRPr="004C3DE3" w:rsidRDefault="0057668F" w:rsidP="0057668F">
      <w:pPr>
        <w:autoSpaceDE w:val="0"/>
        <w:autoSpaceDN w:val="0"/>
        <w:adjustRightInd w:val="0"/>
        <w:ind w:left="851"/>
        <w:rPr>
          <w:sz w:val="24"/>
          <w:szCs w:val="24"/>
        </w:rPr>
      </w:pPr>
    </w:p>
    <w:p w:rsidR="00825573" w:rsidRDefault="00825573" w:rsidP="00825573">
      <w:pPr>
        <w:autoSpaceDE w:val="0"/>
        <w:autoSpaceDN w:val="0"/>
        <w:adjustRightInd w:val="0"/>
        <w:ind w:left="851"/>
        <w:rPr>
          <w:sz w:val="24"/>
          <w:szCs w:val="24"/>
        </w:rPr>
      </w:pPr>
      <w:r>
        <w:rPr>
          <w:sz w:val="24"/>
          <w:szCs w:val="24"/>
        </w:rPr>
        <w:t>Emtricitabins og tenofovirs (administreret som tenofovirdisoproxil) farmakokinetik er ikke undersøgt hos pædiatriske patienter med nedsat nyrefunktion. Der foreligger ingen data, og der kan ikke gives nogen anbefalinger vedrørende dosering (se pkt. 4.2 og 4.4).</w:t>
      </w:r>
    </w:p>
    <w:p w:rsidR="0057668F" w:rsidRPr="004C3DE3" w:rsidRDefault="0057668F" w:rsidP="0057668F">
      <w:pPr>
        <w:ind w:left="851"/>
        <w:rPr>
          <w:sz w:val="24"/>
          <w:szCs w:val="24"/>
        </w:rPr>
      </w:pPr>
    </w:p>
    <w:p w:rsidR="0057668F" w:rsidRDefault="0057668F" w:rsidP="00FC356F">
      <w:pPr>
        <w:keepNext/>
        <w:ind w:left="851"/>
        <w:rPr>
          <w:sz w:val="24"/>
          <w:szCs w:val="24"/>
          <w:u w:val="single"/>
        </w:rPr>
      </w:pPr>
      <w:r w:rsidRPr="004C3DE3">
        <w:rPr>
          <w:sz w:val="24"/>
          <w:szCs w:val="24"/>
          <w:u w:val="single"/>
        </w:rPr>
        <w:lastRenderedPageBreak/>
        <w:t>Nedsat leverfunktion</w:t>
      </w:r>
    </w:p>
    <w:p w:rsidR="00FC356F" w:rsidRPr="004C3DE3" w:rsidRDefault="00FC356F" w:rsidP="00FC356F">
      <w:pPr>
        <w:keepNext/>
        <w:ind w:left="851"/>
        <w:rPr>
          <w:sz w:val="24"/>
          <w:szCs w:val="24"/>
          <w:u w:val="single"/>
        </w:rPr>
      </w:pPr>
    </w:p>
    <w:p w:rsidR="0057668F" w:rsidRPr="004C3DE3" w:rsidRDefault="0057668F" w:rsidP="0057668F">
      <w:pPr>
        <w:ind w:left="851"/>
        <w:rPr>
          <w:sz w:val="24"/>
          <w:szCs w:val="24"/>
        </w:rPr>
      </w:pPr>
      <w:r w:rsidRPr="004C3DE3">
        <w:rPr>
          <w:sz w:val="24"/>
          <w:szCs w:val="24"/>
        </w:rPr>
        <w:t xml:space="preserve">Farmakokinetik for kombinationen af emtricitabin og tenofovirdisoproxil er ikke undersøgt hos patienter med nedsat leverfunktion. </w:t>
      </w:r>
      <w:r w:rsidRPr="004C3DE3">
        <w:rPr>
          <w:sz w:val="24"/>
          <w:szCs w:val="24"/>
        </w:rPr>
        <w:br/>
      </w:r>
    </w:p>
    <w:p w:rsidR="0057668F" w:rsidRPr="004C3DE3" w:rsidRDefault="0057668F" w:rsidP="0057668F">
      <w:pPr>
        <w:ind w:left="851"/>
        <w:rPr>
          <w:sz w:val="24"/>
          <w:szCs w:val="24"/>
        </w:rPr>
      </w:pPr>
      <w:r w:rsidRPr="004C3DE3">
        <w:rPr>
          <w:sz w:val="24"/>
          <w:szCs w:val="24"/>
        </w:rPr>
        <w:t>Emtricitabins farmakokinetik er ikke blevet undersøgt hos ikke-HBV-inficerede patienter med forskellige grader af leverinsufficiens. Generelt lignede farmakokinetikken for emtricitabin hos HBV-inficerede patienter den hos raske personer og hos hiv-inficerede patienter.</w:t>
      </w:r>
    </w:p>
    <w:p w:rsidR="0057668F" w:rsidRPr="004C3DE3" w:rsidRDefault="0057668F" w:rsidP="0057668F">
      <w:pPr>
        <w:ind w:left="851"/>
        <w:rPr>
          <w:sz w:val="24"/>
          <w:szCs w:val="24"/>
        </w:rPr>
      </w:pPr>
    </w:p>
    <w:p w:rsidR="0057668F" w:rsidRPr="004C3DE3" w:rsidRDefault="0057668F" w:rsidP="0057668F">
      <w:pPr>
        <w:ind w:left="851"/>
        <w:rPr>
          <w:sz w:val="24"/>
          <w:szCs w:val="24"/>
        </w:rPr>
      </w:pPr>
      <w:r w:rsidRPr="004C3DE3">
        <w:rPr>
          <w:sz w:val="24"/>
          <w:szCs w:val="24"/>
        </w:rPr>
        <w:t>En enkelt dosis på 245 mg tenofovirdisoproxil blev administreret til ikke-hiv-inficerede patienter med forskellige grader af nedsat leverfunktion defineret i henhold til Child-Pugh-Turcotte (CPT) klassifikationen. Der skete ingen betydelig ændring af farmakokinetikken for tenofovir hos personer med nedsat leverfunktion, hvilket tyder på, at det ikke er nødvendigt at justere dosis hos disse personer. De gennemsnitlige (% CV) C</w:t>
      </w:r>
      <w:r w:rsidRPr="004C3DE3">
        <w:rPr>
          <w:sz w:val="24"/>
          <w:szCs w:val="24"/>
          <w:vertAlign w:val="subscript"/>
        </w:rPr>
        <w:t>max</w:t>
      </w:r>
      <w:r w:rsidRPr="004C3DE3">
        <w:rPr>
          <w:sz w:val="24"/>
          <w:szCs w:val="24"/>
        </w:rPr>
        <w:t xml:space="preserve">- og </w:t>
      </w:r>
    </w:p>
    <w:p w:rsidR="0057668F" w:rsidRPr="004C3DE3" w:rsidRDefault="0057668F" w:rsidP="0057668F">
      <w:pPr>
        <w:ind w:left="851"/>
        <w:rPr>
          <w:sz w:val="24"/>
          <w:szCs w:val="24"/>
        </w:rPr>
      </w:pPr>
      <w:r w:rsidRPr="004C3DE3">
        <w:rPr>
          <w:sz w:val="24"/>
          <w:szCs w:val="24"/>
        </w:rPr>
        <w:t>AUC</w:t>
      </w:r>
      <w:r w:rsidRPr="004C3DE3">
        <w:rPr>
          <w:sz w:val="24"/>
          <w:szCs w:val="24"/>
          <w:vertAlign w:val="subscript"/>
        </w:rPr>
        <w:t>0-∞</w:t>
      </w:r>
      <w:r w:rsidRPr="004C3DE3">
        <w:rPr>
          <w:sz w:val="24"/>
          <w:szCs w:val="24"/>
        </w:rPr>
        <w:t>-værdier for tenofovir var henholdsvis 223 (34,8 %) ng/ml og 2.050 (50,8 %) ng</w:t>
      </w:r>
      <w:r w:rsidRPr="004C3DE3">
        <w:rPr>
          <w:sz w:val="24"/>
          <w:szCs w:val="24"/>
        </w:rPr>
        <w:sym w:font="Symbol" w:char="F0D7"/>
      </w:r>
      <w:r w:rsidRPr="004C3DE3">
        <w:rPr>
          <w:sz w:val="24"/>
          <w:szCs w:val="24"/>
        </w:rPr>
        <w:t>t/ml hos personer med normal leverfunktion sammenlignet med 289 (46,0 %) ng/ml og 2.310 (43,5 %) ng</w:t>
      </w:r>
      <w:r w:rsidRPr="004C3DE3">
        <w:rPr>
          <w:sz w:val="24"/>
          <w:szCs w:val="24"/>
        </w:rPr>
        <w:sym w:font="Symbol" w:char="F0D7"/>
      </w:r>
      <w:r w:rsidRPr="004C3DE3">
        <w:rPr>
          <w:sz w:val="24"/>
          <w:szCs w:val="24"/>
        </w:rPr>
        <w:t>t/ml hos personer med moderat nedsat leverfunktion og 305 (24,8 %) ng/ml og 2.740 (44,0 %) ng</w:t>
      </w:r>
      <w:r w:rsidRPr="004C3DE3">
        <w:rPr>
          <w:sz w:val="24"/>
          <w:szCs w:val="24"/>
        </w:rPr>
        <w:sym w:font="Symbol" w:char="F0D7"/>
      </w:r>
      <w:r w:rsidRPr="004C3DE3">
        <w:rPr>
          <w:sz w:val="24"/>
          <w:szCs w:val="24"/>
        </w:rPr>
        <w:t>t/ml hos personer med svært nedsat leverfunktion.</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5.3</w:t>
      </w:r>
      <w:r w:rsidRPr="004C3DE3">
        <w:rPr>
          <w:b/>
          <w:sz w:val="24"/>
          <w:szCs w:val="24"/>
        </w:rPr>
        <w:tab/>
      </w:r>
      <w:r w:rsidR="00FC356F">
        <w:rPr>
          <w:b/>
          <w:sz w:val="24"/>
          <w:szCs w:val="24"/>
        </w:rPr>
        <w:t>Non-</w:t>
      </w:r>
      <w:r w:rsidRPr="004C3DE3">
        <w:rPr>
          <w:b/>
          <w:sz w:val="24"/>
          <w:szCs w:val="24"/>
        </w:rPr>
        <w:t>kliniske sikkerhedsdata</w:t>
      </w:r>
    </w:p>
    <w:p w:rsidR="0057668F" w:rsidRPr="004C3DE3" w:rsidRDefault="0057668F" w:rsidP="0057668F">
      <w:pPr>
        <w:numPr>
          <w:ilvl w:val="12"/>
          <w:numId w:val="0"/>
        </w:numPr>
        <w:ind w:left="851" w:right="11"/>
        <w:rPr>
          <w:sz w:val="24"/>
          <w:szCs w:val="24"/>
        </w:rPr>
      </w:pPr>
      <w:r w:rsidRPr="004C3DE3">
        <w:rPr>
          <w:i/>
          <w:iCs/>
          <w:sz w:val="24"/>
          <w:szCs w:val="24"/>
        </w:rPr>
        <w:t>Emtricitabin</w:t>
      </w:r>
      <w:r w:rsidRPr="004C3DE3">
        <w:rPr>
          <w:sz w:val="24"/>
          <w:szCs w:val="24"/>
        </w:rPr>
        <w:t>: Non-kliniske data for emtricitabin afdækker ingen særlig risiko for mennesker vurderet ud fra konventionelle studier af sikkerhedsfarmakologi, toksicitet efter gentagne doser, genotoksicitet, karcinogent potentiale samt reproduktions- og udviklings</w:t>
      </w:r>
      <w:r>
        <w:rPr>
          <w:sz w:val="24"/>
          <w:szCs w:val="24"/>
        </w:rPr>
        <w:softHyphen/>
      </w:r>
      <w:r w:rsidRPr="004C3DE3">
        <w:rPr>
          <w:sz w:val="24"/>
          <w:szCs w:val="24"/>
        </w:rPr>
        <w:t>toksicitet.</w:t>
      </w:r>
    </w:p>
    <w:p w:rsidR="0057668F" w:rsidRPr="004C3DE3" w:rsidRDefault="0057668F" w:rsidP="0057668F">
      <w:pPr>
        <w:numPr>
          <w:ilvl w:val="12"/>
          <w:numId w:val="0"/>
        </w:numPr>
        <w:ind w:left="851" w:right="11" w:hanging="851"/>
        <w:rPr>
          <w:sz w:val="24"/>
          <w:szCs w:val="24"/>
        </w:rPr>
      </w:pPr>
    </w:p>
    <w:p w:rsidR="0057668F" w:rsidRPr="004C3DE3" w:rsidRDefault="0057668F" w:rsidP="0057668F">
      <w:pPr>
        <w:numPr>
          <w:ilvl w:val="12"/>
          <w:numId w:val="0"/>
        </w:numPr>
        <w:ind w:left="851" w:right="11"/>
        <w:rPr>
          <w:sz w:val="24"/>
          <w:szCs w:val="24"/>
        </w:rPr>
      </w:pPr>
      <w:r w:rsidRPr="004C3DE3">
        <w:rPr>
          <w:i/>
          <w:iCs/>
          <w:sz w:val="24"/>
          <w:szCs w:val="24"/>
        </w:rPr>
        <w:t xml:space="preserve">Tenofovirdisoproxil: </w:t>
      </w:r>
      <w:r w:rsidRPr="004C3DE3">
        <w:rPr>
          <w:sz w:val="24"/>
          <w:szCs w:val="24"/>
        </w:rPr>
        <w:t>Non-kliniske studier af sikkerhedsfarmakologien for tenofovir</w:t>
      </w:r>
      <w:r>
        <w:rPr>
          <w:sz w:val="24"/>
          <w:szCs w:val="24"/>
        </w:rPr>
        <w:softHyphen/>
      </w:r>
      <w:r w:rsidRPr="004C3DE3">
        <w:rPr>
          <w:sz w:val="24"/>
          <w:szCs w:val="24"/>
        </w:rPr>
        <w:t>disoproxil afdækker ingen særlig risiko for mennesker. Studier af toksicitet efter gentagne doser hos rotter, hunde og aber, ved eksponeringsniveauer højere end eller lig de kliniske eksponeringsniveauer og med mulig relevans for klinisk anvendelse, omfatter nyre- og knogletoksicitet og et fald i serum-</w:t>
      </w:r>
      <w:r>
        <w:rPr>
          <w:sz w:val="24"/>
          <w:szCs w:val="24"/>
        </w:rPr>
        <w:t>phosphat</w:t>
      </w:r>
      <w:r w:rsidRPr="004C3DE3">
        <w:rPr>
          <w:sz w:val="24"/>
          <w:szCs w:val="24"/>
        </w:rPr>
        <w:t xml:space="preserve">-koncentrationen.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i studier med rotter og aber viste, at der var en substans-relateret reduktion i den intestinale absorption af </w:t>
      </w:r>
      <w:r>
        <w:rPr>
          <w:sz w:val="24"/>
          <w:szCs w:val="24"/>
        </w:rPr>
        <w:t>phosphat</w:t>
      </w:r>
      <w:r w:rsidRPr="004C3DE3">
        <w:rPr>
          <w:sz w:val="24"/>
          <w:szCs w:val="24"/>
        </w:rPr>
        <w:t xml:space="preserve"> med potentiel, sekundær reduktion af BMD.</w:t>
      </w:r>
    </w:p>
    <w:p w:rsidR="0057668F" w:rsidRPr="004C3DE3" w:rsidRDefault="0057668F" w:rsidP="0057668F">
      <w:pPr>
        <w:numPr>
          <w:ilvl w:val="12"/>
          <w:numId w:val="0"/>
        </w:numPr>
        <w:ind w:left="851" w:right="11" w:hanging="851"/>
        <w:rPr>
          <w:sz w:val="24"/>
          <w:szCs w:val="24"/>
        </w:rPr>
      </w:pPr>
    </w:p>
    <w:p w:rsidR="0057668F" w:rsidRPr="004C3DE3" w:rsidRDefault="0057668F" w:rsidP="0057668F">
      <w:pPr>
        <w:numPr>
          <w:ilvl w:val="12"/>
          <w:numId w:val="0"/>
        </w:numPr>
        <w:ind w:left="851" w:right="11"/>
        <w:rPr>
          <w:sz w:val="24"/>
          <w:szCs w:val="24"/>
        </w:rPr>
      </w:pPr>
      <w:r w:rsidRPr="004C3DE3">
        <w:rPr>
          <w:sz w:val="24"/>
          <w:szCs w:val="24"/>
        </w:rPr>
        <w:t xml:space="preserve">Studier af genotoksicitet viste positive resultater i </w:t>
      </w:r>
      <w:r w:rsidRPr="004C3DE3">
        <w:rPr>
          <w:i/>
          <w:iCs/>
          <w:sz w:val="24"/>
          <w:szCs w:val="24"/>
        </w:rPr>
        <w:t>in vitro</w:t>
      </w:r>
      <w:r w:rsidRPr="004C3DE3">
        <w:rPr>
          <w:sz w:val="24"/>
          <w:szCs w:val="24"/>
        </w:rPr>
        <w:t xml:space="preserve">-muselymfom-assay, uklare resultater for en af de stammer, der blev anvendt i Ames-testen, og svagt positive resultater i UDS-testen i primære rottehepatocytter. Resultaterne var imidlertid negative i en </w:t>
      </w:r>
      <w:r w:rsidRPr="004C3DE3">
        <w:rPr>
          <w:i/>
          <w:iCs/>
          <w:sz w:val="24"/>
          <w:szCs w:val="24"/>
        </w:rPr>
        <w:t>in vivo</w:t>
      </w:r>
      <w:r w:rsidRPr="004C3DE3">
        <w:rPr>
          <w:sz w:val="24"/>
          <w:szCs w:val="24"/>
        </w:rPr>
        <w:t>-mikronukleus-analyse med museknoglemarv.</w:t>
      </w:r>
    </w:p>
    <w:p w:rsidR="0057668F" w:rsidRPr="004C3DE3" w:rsidRDefault="0057668F" w:rsidP="0057668F">
      <w:pPr>
        <w:numPr>
          <w:ilvl w:val="12"/>
          <w:numId w:val="0"/>
        </w:numPr>
        <w:ind w:left="851" w:right="11" w:hanging="851"/>
        <w:rPr>
          <w:sz w:val="24"/>
          <w:szCs w:val="24"/>
        </w:rPr>
      </w:pPr>
    </w:p>
    <w:p w:rsidR="0057668F" w:rsidRPr="004C3DE3" w:rsidRDefault="0057668F" w:rsidP="0057668F">
      <w:pPr>
        <w:numPr>
          <w:ilvl w:val="12"/>
          <w:numId w:val="0"/>
        </w:numPr>
        <w:ind w:left="851" w:right="11"/>
        <w:rPr>
          <w:sz w:val="24"/>
          <w:szCs w:val="24"/>
        </w:rPr>
      </w:pPr>
      <w:r w:rsidRPr="004C3DE3">
        <w:rPr>
          <w:sz w:val="24"/>
          <w:szCs w:val="24"/>
        </w:rPr>
        <w:t>Orale karcinogenicitetsstudier med rotter og mus viste kun en lav forekomst af duodenaltumorer ved en ekstremt høj dosis i mus. Disse tumorer har sandsynligvis ingen relevans for mennesker.</w:t>
      </w:r>
    </w:p>
    <w:p w:rsidR="0057668F" w:rsidRPr="004C3DE3" w:rsidRDefault="0057668F" w:rsidP="0057668F">
      <w:pPr>
        <w:numPr>
          <w:ilvl w:val="12"/>
          <w:numId w:val="0"/>
        </w:numPr>
        <w:ind w:left="851" w:right="11"/>
        <w:rPr>
          <w:sz w:val="24"/>
          <w:szCs w:val="24"/>
        </w:rPr>
      </w:pPr>
    </w:p>
    <w:p w:rsidR="0057668F" w:rsidRPr="004C3DE3" w:rsidRDefault="0057668F" w:rsidP="0057668F">
      <w:pPr>
        <w:numPr>
          <w:ilvl w:val="12"/>
          <w:numId w:val="0"/>
        </w:numPr>
        <w:ind w:left="851" w:right="11"/>
        <w:rPr>
          <w:sz w:val="24"/>
          <w:szCs w:val="24"/>
        </w:rPr>
      </w:pPr>
      <w:r w:rsidRPr="004C3DE3">
        <w:rPr>
          <w:sz w:val="24"/>
          <w:szCs w:val="24"/>
        </w:rPr>
        <w:t xml:space="preserve">Studier af reproduktionstoksicitet udført med rotter og kaniner viste ingen effekt på hverken parrings-, fertilitets-, graviditets- eller fosterparametre. Tenofovirdisoproxil </w:t>
      </w:r>
      <w:r w:rsidRPr="004C3DE3">
        <w:rPr>
          <w:sz w:val="24"/>
          <w:szCs w:val="24"/>
        </w:rPr>
        <w:lastRenderedPageBreak/>
        <w:t>reducerede imidlertid afkommets levedygtighed og vægt i peri- og postnatale studier af toksicitet ved doser, der var toksiske for moderen.</w:t>
      </w:r>
    </w:p>
    <w:p w:rsidR="0057668F" w:rsidRPr="004C3DE3" w:rsidRDefault="0057668F" w:rsidP="0057668F">
      <w:pPr>
        <w:numPr>
          <w:ilvl w:val="12"/>
          <w:numId w:val="0"/>
        </w:numPr>
        <w:ind w:left="851" w:right="11"/>
        <w:rPr>
          <w:i/>
          <w:iCs/>
          <w:sz w:val="24"/>
          <w:szCs w:val="24"/>
        </w:rPr>
      </w:pPr>
    </w:p>
    <w:p w:rsidR="0057668F" w:rsidRPr="004C3DE3" w:rsidRDefault="0057668F" w:rsidP="0057668F">
      <w:pPr>
        <w:numPr>
          <w:ilvl w:val="12"/>
          <w:numId w:val="0"/>
        </w:numPr>
        <w:ind w:left="851" w:right="11"/>
        <w:rPr>
          <w:sz w:val="24"/>
          <w:szCs w:val="24"/>
        </w:rPr>
      </w:pPr>
      <w:r w:rsidRPr="004C3DE3">
        <w:rPr>
          <w:i/>
          <w:iCs/>
          <w:sz w:val="24"/>
          <w:szCs w:val="24"/>
        </w:rPr>
        <w:t xml:space="preserve">Kombination af emtricitabin og tenofovirdisoproxil: </w:t>
      </w:r>
      <w:r w:rsidRPr="004C3DE3">
        <w:rPr>
          <w:sz w:val="24"/>
          <w:szCs w:val="24"/>
        </w:rPr>
        <w:t>I studier af en måneds varighed eller derunder af genotoksicitet og af toksicitet efter gentagne doser med en kombination af disse to indholdsstoffer blev der ikke fundet nogen forværring af toksikologiske effekter, sammenlignet med studier med de separate indholdsstoffer.</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6.</w:t>
      </w:r>
      <w:r w:rsidRPr="004C3DE3">
        <w:rPr>
          <w:b/>
          <w:sz w:val="24"/>
          <w:szCs w:val="24"/>
        </w:rPr>
        <w:tab/>
        <w:t>FARMACEUTISKE OPLYSNINGER</w:t>
      </w:r>
    </w:p>
    <w:p w:rsidR="0057668F" w:rsidRPr="004C3DE3" w:rsidRDefault="0057668F" w:rsidP="0057668F">
      <w:pPr>
        <w:tabs>
          <w:tab w:val="left" w:pos="851"/>
        </w:tabs>
        <w:ind w:left="851" w:hanging="851"/>
        <w:rPr>
          <w:sz w:val="24"/>
          <w:szCs w:val="24"/>
        </w:rPr>
      </w:pPr>
    </w:p>
    <w:p w:rsidR="0057668F" w:rsidRPr="00AD7CE0" w:rsidRDefault="0057668F" w:rsidP="00AD7CE0">
      <w:pPr>
        <w:tabs>
          <w:tab w:val="left" w:pos="851"/>
        </w:tabs>
        <w:ind w:left="851" w:hanging="851"/>
        <w:rPr>
          <w:b/>
          <w:sz w:val="24"/>
          <w:szCs w:val="24"/>
        </w:rPr>
      </w:pPr>
      <w:r w:rsidRPr="004C3DE3">
        <w:rPr>
          <w:b/>
          <w:sz w:val="24"/>
          <w:szCs w:val="24"/>
        </w:rPr>
        <w:t>6.1</w:t>
      </w:r>
      <w:r w:rsidRPr="004C3DE3">
        <w:rPr>
          <w:b/>
          <w:sz w:val="24"/>
          <w:szCs w:val="24"/>
        </w:rPr>
        <w:tab/>
        <w:t>Hjælpestoffer</w:t>
      </w:r>
    </w:p>
    <w:p w:rsidR="0057668F" w:rsidRPr="004C3DE3" w:rsidRDefault="0057668F" w:rsidP="0057668F">
      <w:pPr>
        <w:ind w:left="851"/>
        <w:rPr>
          <w:i/>
          <w:sz w:val="24"/>
          <w:szCs w:val="24"/>
        </w:rPr>
      </w:pPr>
      <w:r w:rsidRPr="004C3DE3">
        <w:rPr>
          <w:i/>
          <w:sz w:val="24"/>
          <w:szCs w:val="24"/>
        </w:rPr>
        <w:t>Tabletkerne:</w:t>
      </w:r>
    </w:p>
    <w:p w:rsidR="0057668F" w:rsidRPr="004C3DE3" w:rsidRDefault="0057668F" w:rsidP="0057668F">
      <w:pPr>
        <w:ind w:left="851"/>
        <w:rPr>
          <w:sz w:val="24"/>
          <w:szCs w:val="24"/>
        </w:rPr>
      </w:pPr>
      <w:r w:rsidRPr="004C3DE3">
        <w:rPr>
          <w:sz w:val="24"/>
          <w:szCs w:val="24"/>
        </w:rPr>
        <w:t>Cellulose, mikrokrystallinsk</w:t>
      </w:r>
    </w:p>
    <w:p w:rsidR="0057668F" w:rsidRPr="004C3DE3" w:rsidRDefault="0057668F" w:rsidP="0057668F">
      <w:pPr>
        <w:ind w:left="851"/>
        <w:rPr>
          <w:sz w:val="24"/>
          <w:szCs w:val="24"/>
        </w:rPr>
      </w:pPr>
      <w:r w:rsidRPr="004C3DE3">
        <w:rPr>
          <w:sz w:val="24"/>
          <w:szCs w:val="24"/>
        </w:rPr>
        <w:t xml:space="preserve">Croscarmellosenatrium </w:t>
      </w:r>
    </w:p>
    <w:p w:rsidR="0057668F" w:rsidRPr="004C3DE3" w:rsidRDefault="0057668F" w:rsidP="0057668F">
      <w:pPr>
        <w:ind w:left="851"/>
        <w:rPr>
          <w:sz w:val="24"/>
          <w:szCs w:val="24"/>
        </w:rPr>
      </w:pPr>
      <w:r w:rsidRPr="004C3DE3">
        <w:rPr>
          <w:sz w:val="24"/>
          <w:szCs w:val="24"/>
        </w:rPr>
        <w:t xml:space="preserve">Magnesiumstearat </w:t>
      </w:r>
    </w:p>
    <w:p w:rsidR="0057668F" w:rsidRPr="004C3DE3" w:rsidRDefault="0057668F" w:rsidP="0057668F">
      <w:pPr>
        <w:ind w:left="851"/>
        <w:rPr>
          <w:sz w:val="24"/>
          <w:szCs w:val="24"/>
        </w:rPr>
      </w:pPr>
      <w:r w:rsidRPr="004C3DE3">
        <w:rPr>
          <w:sz w:val="24"/>
          <w:szCs w:val="24"/>
        </w:rPr>
        <w:t>Pregelatineret stivelse (majs)</w:t>
      </w:r>
    </w:p>
    <w:p w:rsidR="0057668F" w:rsidRPr="004C3DE3" w:rsidRDefault="0057668F" w:rsidP="0057668F">
      <w:pPr>
        <w:ind w:left="851"/>
        <w:rPr>
          <w:sz w:val="24"/>
          <w:szCs w:val="24"/>
        </w:rPr>
      </w:pPr>
      <w:r w:rsidRPr="004C3DE3">
        <w:rPr>
          <w:sz w:val="24"/>
          <w:szCs w:val="24"/>
        </w:rPr>
        <w:t>Lactosemonohydrat</w:t>
      </w:r>
    </w:p>
    <w:p w:rsidR="0057668F" w:rsidRPr="004C3DE3" w:rsidRDefault="0057668F" w:rsidP="0057668F">
      <w:pPr>
        <w:ind w:left="851"/>
        <w:rPr>
          <w:i/>
          <w:sz w:val="24"/>
          <w:szCs w:val="24"/>
        </w:rPr>
      </w:pPr>
    </w:p>
    <w:p w:rsidR="0057668F" w:rsidRPr="004C3DE3" w:rsidRDefault="0057668F" w:rsidP="0057668F">
      <w:pPr>
        <w:ind w:left="851"/>
        <w:rPr>
          <w:i/>
          <w:sz w:val="24"/>
          <w:szCs w:val="24"/>
        </w:rPr>
      </w:pPr>
      <w:r w:rsidRPr="004C3DE3">
        <w:rPr>
          <w:i/>
          <w:sz w:val="24"/>
          <w:szCs w:val="24"/>
        </w:rPr>
        <w:t>Filmovertræk:</w:t>
      </w:r>
    </w:p>
    <w:p w:rsidR="0057668F" w:rsidRPr="004C3DE3" w:rsidRDefault="0057668F" w:rsidP="0057668F">
      <w:pPr>
        <w:ind w:left="851"/>
        <w:rPr>
          <w:sz w:val="24"/>
          <w:szCs w:val="24"/>
        </w:rPr>
      </w:pPr>
      <w:r w:rsidRPr="004C3DE3">
        <w:rPr>
          <w:sz w:val="24"/>
          <w:szCs w:val="24"/>
        </w:rPr>
        <w:t xml:space="preserve">Hypromellose </w:t>
      </w:r>
    </w:p>
    <w:p w:rsidR="0057668F" w:rsidRPr="004C3DE3" w:rsidRDefault="0057668F" w:rsidP="0057668F">
      <w:pPr>
        <w:ind w:left="851"/>
        <w:rPr>
          <w:sz w:val="24"/>
          <w:szCs w:val="24"/>
        </w:rPr>
      </w:pPr>
      <w:r w:rsidRPr="004C3DE3">
        <w:rPr>
          <w:sz w:val="24"/>
          <w:szCs w:val="24"/>
        </w:rPr>
        <w:t>Lactosemonohydrat</w:t>
      </w:r>
    </w:p>
    <w:p w:rsidR="0057668F" w:rsidRPr="004C3DE3" w:rsidRDefault="0057668F" w:rsidP="0057668F">
      <w:pPr>
        <w:ind w:left="851"/>
        <w:rPr>
          <w:sz w:val="24"/>
          <w:szCs w:val="24"/>
        </w:rPr>
      </w:pPr>
      <w:r w:rsidRPr="004C3DE3">
        <w:rPr>
          <w:sz w:val="24"/>
          <w:szCs w:val="24"/>
        </w:rPr>
        <w:t>Titaniumdioxid (E171)</w:t>
      </w:r>
    </w:p>
    <w:p w:rsidR="0057668F" w:rsidRPr="004C3DE3" w:rsidRDefault="0057668F" w:rsidP="0057668F">
      <w:pPr>
        <w:ind w:left="851"/>
        <w:rPr>
          <w:sz w:val="24"/>
          <w:szCs w:val="24"/>
        </w:rPr>
      </w:pPr>
      <w:r w:rsidRPr="004C3DE3">
        <w:rPr>
          <w:sz w:val="24"/>
          <w:szCs w:val="24"/>
        </w:rPr>
        <w:t>Triacetin</w:t>
      </w:r>
    </w:p>
    <w:p w:rsidR="0057668F" w:rsidRPr="004C3DE3" w:rsidRDefault="0057668F" w:rsidP="0057668F">
      <w:pPr>
        <w:ind w:left="851"/>
        <w:rPr>
          <w:sz w:val="24"/>
          <w:szCs w:val="24"/>
        </w:rPr>
      </w:pPr>
      <w:r w:rsidRPr="004C3DE3">
        <w:rPr>
          <w:sz w:val="24"/>
          <w:szCs w:val="24"/>
        </w:rPr>
        <w:t>Indigotin (E132)</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6.2</w:t>
      </w:r>
      <w:r w:rsidRPr="004C3DE3">
        <w:rPr>
          <w:b/>
          <w:sz w:val="24"/>
          <w:szCs w:val="24"/>
        </w:rPr>
        <w:tab/>
        <w:t>Uforligeligheder</w:t>
      </w:r>
    </w:p>
    <w:p w:rsidR="0057668F" w:rsidRPr="004C3DE3" w:rsidRDefault="0057668F" w:rsidP="0057668F">
      <w:pPr>
        <w:ind w:left="851"/>
        <w:rPr>
          <w:sz w:val="24"/>
          <w:szCs w:val="24"/>
        </w:rPr>
      </w:pPr>
      <w:r w:rsidRPr="004C3DE3">
        <w:rPr>
          <w:sz w:val="24"/>
          <w:szCs w:val="24"/>
        </w:rPr>
        <w:t>Ikke relevant.</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6.3</w:t>
      </w:r>
      <w:r w:rsidRPr="004C3DE3">
        <w:rPr>
          <w:b/>
          <w:sz w:val="24"/>
          <w:szCs w:val="24"/>
        </w:rPr>
        <w:tab/>
        <w:t>Opbevaringstid</w:t>
      </w:r>
    </w:p>
    <w:p w:rsidR="0057668F" w:rsidRPr="005D46A7" w:rsidRDefault="0057668F" w:rsidP="0057668F">
      <w:pPr>
        <w:ind w:left="851" w:hanging="851"/>
        <w:rPr>
          <w:sz w:val="24"/>
          <w:szCs w:val="24"/>
        </w:rPr>
      </w:pPr>
      <w:r w:rsidRPr="005D46A7">
        <w:rPr>
          <w:sz w:val="24"/>
          <w:szCs w:val="24"/>
        </w:rPr>
        <w:tab/>
        <w:t>2 år</w:t>
      </w:r>
      <w:r>
        <w:rPr>
          <w:sz w:val="24"/>
          <w:szCs w:val="24"/>
        </w:rPr>
        <w:t>.</w:t>
      </w:r>
    </w:p>
    <w:p w:rsidR="0057668F" w:rsidRPr="005D46A7" w:rsidRDefault="0057668F" w:rsidP="0057668F">
      <w:pPr>
        <w:tabs>
          <w:tab w:val="left" w:pos="851"/>
        </w:tabs>
        <w:ind w:left="851" w:hanging="851"/>
        <w:rPr>
          <w:rStyle w:val="Fremhv"/>
          <w:sz w:val="24"/>
          <w:szCs w:val="24"/>
        </w:rPr>
      </w:pPr>
      <w:r w:rsidRPr="005D46A7">
        <w:rPr>
          <w:sz w:val="24"/>
          <w:szCs w:val="24"/>
        </w:rPr>
        <w:tab/>
      </w:r>
      <w:r w:rsidRPr="00B261C9">
        <w:rPr>
          <w:sz w:val="24"/>
          <w:szCs w:val="24"/>
        </w:rPr>
        <w:t>Beholder</w:t>
      </w:r>
      <w:r w:rsidRPr="00B261C9">
        <w:rPr>
          <w:b/>
          <w:sz w:val="24"/>
          <w:szCs w:val="24"/>
        </w:rPr>
        <w:t xml:space="preserve">: </w:t>
      </w:r>
      <w:r w:rsidRPr="00B261C9">
        <w:rPr>
          <w:rStyle w:val="Fremhv"/>
          <w:b w:val="0"/>
          <w:sz w:val="24"/>
          <w:szCs w:val="24"/>
        </w:rPr>
        <w:t>Efter første åbning: 30 dage.</w:t>
      </w:r>
    </w:p>
    <w:p w:rsidR="0057668F" w:rsidRPr="004C3DE3" w:rsidRDefault="0057668F" w:rsidP="0057668F">
      <w:pPr>
        <w:tabs>
          <w:tab w:val="left" w:pos="851"/>
        </w:tabs>
        <w:ind w:left="851" w:hanging="851"/>
        <w:rPr>
          <w:sz w:val="24"/>
          <w:szCs w:val="24"/>
        </w:rPr>
      </w:pPr>
    </w:p>
    <w:p w:rsidR="0057668F" w:rsidRPr="00AD7CE0" w:rsidRDefault="0057668F" w:rsidP="00AD7CE0">
      <w:pPr>
        <w:tabs>
          <w:tab w:val="left" w:pos="851"/>
        </w:tabs>
        <w:ind w:left="851" w:hanging="851"/>
        <w:rPr>
          <w:b/>
          <w:sz w:val="24"/>
          <w:szCs w:val="24"/>
        </w:rPr>
      </w:pPr>
      <w:r w:rsidRPr="004C3DE3">
        <w:rPr>
          <w:b/>
          <w:sz w:val="24"/>
          <w:szCs w:val="24"/>
        </w:rPr>
        <w:t>6.4</w:t>
      </w:r>
      <w:r w:rsidRPr="004C3DE3">
        <w:rPr>
          <w:b/>
          <w:sz w:val="24"/>
          <w:szCs w:val="24"/>
        </w:rPr>
        <w:tab/>
        <w:t>Særlige opbevaringsforhold</w:t>
      </w:r>
    </w:p>
    <w:p w:rsidR="0057668F" w:rsidRPr="004C3DE3" w:rsidRDefault="0057668F" w:rsidP="0057668F">
      <w:pPr>
        <w:ind w:left="851"/>
        <w:rPr>
          <w:sz w:val="24"/>
          <w:szCs w:val="24"/>
        </w:rPr>
      </w:pPr>
      <w:r w:rsidRPr="005D46A7">
        <w:rPr>
          <w:i/>
          <w:sz w:val="24"/>
          <w:szCs w:val="24"/>
        </w:rPr>
        <w:t xml:space="preserve">Beholdere: </w:t>
      </w:r>
      <w:r w:rsidRPr="005D46A7">
        <w:rPr>
          <w:i/>
          <w:sz w:val="24"/>
          <w:szCs w:val="24"/>
        </w:rPr>
        <w:br/>
      </w:r>
      <w:r w:rsidRPr="004C3DE3">
        <w:rPr>
          <w:sz w:val="24"/>
          <w:szCs w:val="24"/>
        </w:rPr>
        <w:t>Opbevares i den originale beholder for at beskytte mod fugt. Hold beholderen tæt lukket.</w:t>
      </w:r>
    </w:p>
    <w:p w:rsidR="0057668F" w:rsidRDefault="0057668F" w:rsidP="0057668F">
      <w:pPr>
        <w:ind w:left="851"/>
        <w:rPr>
          <w:sz w:val="24"/>
          <w:szCs w:val="24"/>
        </w:rPr>
      </w:pPr>
      <w:r>
        <w:rPr>
          <w:sz w:val="24"/>
          <w:szCs w:val="24"/>
        </w:rPr>
        <w:t>Der er ingen særlige krav vedrørende opbevaringstemperaturer for dette lægemiddel.</w:t>
      </w:r>
    </w:p>
    <w:p w:rsidR="0057668F" w:rsidRDefault="0057668F" w:rsidP="0057668F">
      <w:pPr>
        <w:ind w:left="851"/>
        <w:rPr>
          <w:sz w:val="24"/>
          <w:szCs w:val="24"/>
        </w:rPr>
      </w:pPr>
    </w:p>
    <w:p w:rsidR="0057668F" w:rsidRPr="005D46A7" w:rsidRDefault="0057668F" w:rsidP="0057668F">
      <w:pPr>
        <w:ind w:left="851"/>
        <w:rPr>
          <w:i/>
          <w:sz w:val="24"/>
          <w:szCs w:val="24"/>
        </w:rPr>
      </w:pPr>
      <w:r w:rsidRPr="005D46A7">
        <w:rPr>
          <w:i/>
          <w:sz w:val="24"/>
          <w:szCs w:val="24"/>
        </w:rPr>
        <w:t xml:space="preserve">Blister: </w:t>
      </w:r>
    </w:p>
    <w:p w:rsidR="00825573" w:rsidRDefault="00825573" w:rsidP="00825573">
      <w:pPr>
        <w:ind w:left="851"/>
        <w:rPr>
          <w:sz w:val="24"/>
          <w:szCs w:val="24"/>
        </w:rPr>
      </w:pPr>
      <w:r>
        <w:rPr>
          <w:sz w:val="24"/>
          <w:szCs w:val="24"/>
        </w:rPr>
        <w:t xml:space="preserve">Opbevares ved temperaturer under 30 °C. </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6.5</w:t>
      </w:r>
      <w:r w:rsidRPr="004C3DE3">
        <w:rPr>
          <w:b/>
          <w:sz w:val="24"/>
          <w:szCs w:val="24"/>
        </w:rPr>
        <w:tab/>
        <w:t>Emballagetype og pakningsstørrelser</w:t>
      </w:r>
    </w:p>
    <w:p w:rsidR="0057668F" w:rsidRPr="004C3DE3" w:rsidRDefault="0057668F" w:rsidP="0057668F">
      <w:pPr>
        <w:ind w:left="851"/>
        <w:rPr>
          <w:sz w:val="24"/>
          <w:szCs w:val="24"/>
        </w:rPr>
      </w:pPr>
      <w:r>
        <w:rPr>
          <w:sz w:val="24"/>
          <w:szCs w:val="24"/>
        </w:rPr>
        <w:t>OPA/Alu/PVC/Al blister.</w:t>
      </w:r>
    </w:p>
    <w:p w:rsidR="0057668F" w:rsidRPr="004C3DE3" w:rsidRDefault="0057668F" w:rsidP="0057668F">
      <w:pPr>
        <w:ind w:left="851"/>
        <w:rPr>
          <w:sz w:val="24"/>
          <w:szCs w:val="24"/>
        </w:rPr>
      </w:pPr>
      <w:r w:rsidRPr="004C3DE3">
        <w:rPr>
          <w:sz w:val="24"/>
          <w:szCs w:val="24"/>
        </w:rPr>
        <w:t>Pakningsstørrelser: 10, 30, 60 og 90 filmovertrukne tabletter.</w:t>
      </w:r>
    </w:p>
    <w:p w:rsidR="0057668F" w:rsidRPr="004C3DE3" w:rsidRDefault="0057668F" w:rsidP="0057668F">
      <w:pPr>
        <w:ind w:left="851" w:hanging="851"/>
        <w:rPr>
          <w:sz w:val="24"/>
          <w:szCs w:val="24"/>
          <w:highlight w:val="yellow"/>
        </w:rPr>
      </w:pPr>
    </w:p>
    <w:p w:rsidR="0057668F" w:rsidRPr="004C3DE3" w:rsidRDefault="0057668F" w:rsidP="0057668F">
      <w:pPr>
        <w:ind w:left="851"/>
        <w:rPr>
          <w:sz w:val="24"/>
          <w:szCs w:val="24"/>
        </w:rPr>
      </w:pPr>
      <w:r w:rsidRPr="004C3DE3">
        <w:rPr>
          <w:sz w:val="24"/>
          <w:szCs w:val="24"/>
        </w:rPr>
        <w:t>Hvid uigennemsigtig HDPE-beholder med hvidt uigennemsigtigt polypropylen børnesikret låg. Beholderen indeholder silicagel-tørremiddel.</w:t>
      </w:r>
      <w:r w:rsidRPr="004C3DE3">
        <w:rPr>
          <w:color w:val="000000"/>
          <w:sz w:val="24"/>
          <w:szCs w:val="24"/>
        </w:rPr>
        <w:t xml:space="preserve"> </w:t>
      </w:r>
    </w:p>
    <w:p w:rsidR="0057668F" w:rsidRPr="004C3DE3" w:rsidRDefault="0057668F" w:rsidP="0057668F">
      <w:pPr>
        <w:suppressAutoHyphens/>
        <w:ind w:left="851"/>
        <w:rPr>
          <w:sz w:val="24"/>
          <w:szCs w:val="24"/>
        </w:rPr>
      </w:pPr>
      <w:r w:rsidRPr="004C3DE3">
        <w:rPr>
          <w:sz w:val="24"/>
          <w:szCs w:val="24"/>
        </w:rPr>
        <w:t>Pakningsstørrelser: 30, 60 (2×30) og 90 (3×30) filmovertrukne tabletter.</w:t>
      </w:r>
    </w:p>
    <w:p w:rsidR="0057668F" w:rsidRPr="004C3DE3" w:rsidRDefault="0057668F" w:rsidP="0057668F">
      <w:pPr>
        <w:suppressAutoHyphens/>
        <w:ind w:left="851" w:hanging="851"/>
        <w:rPr>
          <w:sz w:val="24"/>
          <w:szCs w:val="24"/>
        </w:rPr>
      </w:pPr>
    </w:p>
    <w:p w:rsidR="0057668F" w:rsidRPr="004C3DE3" w:rsidRDefault="0057668F" w:rsidP="0057668F">
      <w:pPr>
        <w:suppressAutoHyphens/>
        <w:ind w:left="851"/>
        <w:rPr>
          <w:sz w:val="24"/>
          <w:szCs w:val="24"/>
        </w:rPr>
      </w:pPr>
      <w:r w:rsidRPr="004C3DE3">
        <w:rPr>
          <w:sz w:val="24"/>
          <w:szCs w:val="24"/>
        </w:rPr>
        <w:t xml:space="preserve">Ikke alle pakningsstørrelser er nødvendigvis markedsført. </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lastRenderedPageBreak/>
        <w:t>6.6</w:t>
      </w:r>
      <w:r w:rsidRPr="004C3DE3">
        <w:rPr>
          <w:b/>
          <w:sz w:val="24"/>
          <w:szCs w:val="24"/>
        </w:rPr>
        <w:tab/>
        <w:t xml:space="preserve">Regler for </w:t>
      </w:r>
      <w:r w:rsidR="00B261C9">
        <w:rPr>
          <w:b/>
          <w:sz w:val="24"/>
          <w:szCs w:val="24"/>
        </w:rPr>
        <w:t>bortskaffelse</w:t>
      </w:r>
      <w:r w:rsidRPr="004C3DE3">
        <w:rPr>
          <w:b/>
          <w:sz w:val="24"/>
          <w:szCs w:val="24"/>
        </w:rPr>
        <w:t xml:space="preserve"> og anden håndtering</w:t>
      </w:r>
    </w:p>
    <w:p w:rsidR="0057668F" w:rsidRPr="004C3DE3" w:rsidRDefault="0057668F" w:rsidP="0057668F">
      <w:pPr>
        <w:ind w:left="851"/>
        <w:rPr>
          <w:sz w:val="24"/>
          <w:szCs w:val="24"/>
        </w:rPr>
      </w:pPr>
      <w:r w:rsidRPr="004C3DE3">
        <w:rPr>
          <w:sz w:val="24"/>
          <w:szCs w:val="24"/>
        </w:rPr>
        <w:t>Ikke anvendt lægemiddel samt affald heraf skal bortskaffes i henhold til lokale retningslinjer.</w:t>
      </w:r>
    </w:p>
    <w:p w:rsidR="0057668F" w:rsidRPr="004C3DE3" w:rsidRDefault="0057668F" w:rsidP="0057668F">
      <w:pPr>
        <w:tabs>
          <w:tab w:val="left" w:pos="851"/>
        </w:tabs>
        <w:ind w:left="851" w:hanging="851"/>
        <w:jc w:val="both"/>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7.</w:t>
      </w:r>
      <w:r w:rsidRPr="004C3DE3">
        <w:rPr>
          <w:b/>
          <w:sz w:val="24"/>
          <w:szCs w:val="24"/>
        </w:rPr>
        <w:tab/>
        <w:t>INDEHAVER AF MARKEDSFØRINGSTILLADELSEN</w:t>
      </w:r>
    </w:p>
    <w:p w:rsidR="0057668F" w:rsidRPr="004C3DE3" w:rsidRDefault="0057668F" w:rsidP="0057668F">
      <w:pPr>
        <w:ind w:left="851"/>
        <w:jc w:val="both"/>
        <w:rPr>
          <w:spacing w:val="-3"/>
          <w:sz w:val="24"/>
          <w:szCs w:val="24"/>
        </w:rPr>
      </w:pPr>
      <w:r w:rsidRPr="004C3DE3">
        <w:rPr>
          <w:spacing w:val="-3"/>
          <w:sz w:val="24"/>
          <w:szCs w:val="24"/>
        </w:rPr>
        <w:t>Sandoz A/S</w:t>
      </w:r>
    </w:p>
    <w:p w:rsidR="0057668F" w:rsidRPr="004C3DE3" w:rsidRDefault="0057668F" w:rsidP="0057668F">
      <w:pPr>
        <w:ind w:left="851"/>
        <w:jc w:val="both"/>
        <w:rPr>
          <w:spacing w:val="-3"/>
          <w:sz w:val="24"/>
          <w:szCs w:val="24"/>
        </w:rPr>
      </w:pPr>
      <w:r w:rsidRPr="004C3DE3">
        <w:rPr>
          <w:spacing w:val="-3"/>
          <w:sz w:val="24"/>
          <w:szCs w:val="24"/>
        </w:rPr>
        <w:t>Edvard Thomsens Vej 14</w:t>
      </w:r>
    </w:p>
    <w:p w:rsidR="0057668F" w:rsidRPr="004C3DE3" w:rsidRDefault="0057668F" w:rsidP="0057668F">
      <w:pPr>
        <w:ind w:left="851"/>
        <w:jc w:val="both"/>
        <w:rPr>
          <w:spacing w:val="-3"/>
          <w:sz w:val="24"/>
          <w:szCs w:val="24"/>
        </w:rPr>
      </w:pPr>
      <w:r w:rsidRPr="004C3DE3">
        <w:rPr>
          <w:spacing w:val="-3"/>
          <w:sz w:val="24"/>
          <w:szCs w:val="24"/>
        </w:rPr>
        <w:t>2300 København S</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8.</w:t>
      </w:r>
      <w:r w:rsidRPr="004C3DE3">
        <w:rPr>
          <w:b/>
          <w:sz w:val="24"/>
          <w:szCs w:val="24"/>
        </w:rPr>
        <w:tab/>
        <w:t>MARKEDSFØRINGSTILLADELSESNUMMER (</w:t>
      </w:r>
      <w:r w:rsidR="00B261C9">
        <w:rPr>
          <w:b/>
          <w:sz w:val="24"/>
          <w:szCs w:val="24"/>
        </w:rPr>
        <w:t>-</w:t>
      </w:r>
      <w:r w:rsidRPr="004C3DE3">
        <w:rPr>
          <w:b/>
          <w:sz w:val="24"/>
          <w:szCs w:val="24"/>
        </w:rPr>
        <w:t>NUMRE)</w:t>
      </w:r>
    </w:p>
    <w:p w:rsidR="0057668F" w:rsidRPr="004C3DE3" w:rsidRDefault="0057668F" w:rsidP="0057668F">
      <w:pPr>
        <w:tabs>
          <w:tab w:val="left" w:pos="851"/>
        </w:tabs>
        <w:ind w:left="851" w:hanging="851"/>
        <w:rPr>
          <w:sz w:val="24"/>
          <w:szCs w:val="24"/>
        </w:rPr>
      </w:pPr>
      <w:r>
        <w:rPr>
          <w:sz w:val="24"/>
          <w:szCs w:val="24"/>
        </w:rPr>
        <w:tab/>
      </w:r>
      <w:r w:rsidRPr="004C3DE3">
        <w:rPr>
          <w:sz w:val="24"/>
          <w:szCs w:val="24"/>
        </w:rPr>
        <w:t>61477</w:t>
      </w:r>
    </w:p>
    <w:p w:rsidR="0057668F" w:rsidRPr="004C3DE3" w:rsidRDefault="0057668F" w:rsidP="0057668F">
      <w:pPr>
        <w:tabs>
          <w:tab w:val="left" w:pos="851"/>
        </w:tabs>
        <w:ind w:left="851" w:hanging="851"/>
        <w:jc w:val="both"/>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9.</w:t>
      </w:r>
      <w:r w:rsidRPr="004C3DE3">
        <w:rPr>
          <w:b/>
          <w:sz w:val="24"/>
          <w:szCs w:val="24"/>
        </w:rPr>
        <w:tab/>
        <w:t>DATO FOR FØRSTE MARKEDSFØRINGSTILLADELSE</w:t>
      </w:r>
    </w:p>
    <w:p w:rsidR="0057668F" w:rsidRPr="004C3DE3" w:rsidRDefault="0057668F" w:rsidP="0057668F">
      <w:pPr>
        <w:tabs>
          <w:tab w:val="left" w:pos="851"/>
        </w:tabs>
        <w:ind w:left="851" w:hanging="851"/>
        <w:rPr>
          <w:sz w:val="24"/>
          <w:szCs w:val="24"/>
        </w:rPr>
      </w:pPr>
      <w:r>
        <w:rPr>
          <w:sz w:val="24"/>
          <w:szCs w:val="24"/>
        </w:rPr>
        <w:tab/>
        <w:t>14. november 2018</w:t>
      </w:r>
    </w:p>
    <w:p w:rsidR="0057668F" w:rsidRPr="004C3DE3" w:rsidRDefault="0057668F" w:rsidP="0057668F">
      <w:pPr>
        <w:tabs>
          <w:tab w:val="left" w:pos="851"/>
        </w:tabs>
        <w:ind w:left="851" w:hanging="851"/>
        <w:rPr>
          <w:sz w:val="24"/>
          <w:szCs w:val="24"/>
        </w:rPr>
      </w:pPr>
    </w:p>
    <w:p w:rsidR="0057668F" w:rsidRPr="004C3DE3" w:rsidRDefault="0057668F" w:rsidP="0057668F">
      <w:pPr>
        <w:tabs>
          <w:tab w:val="left" w:pos="851"/>
        </w:tabs>
        <w:ind w:left="851" w:hanging="851"/>
        <w:rPr>
          <w:b/>
          <w:sz w:val="24"/>
          <w:szCs w:val="24"/>
        </w:rPr>
      </w:pPr>
      <w:r w:rsidRPr="004C3DE3">
        <w:rPr>
          <w:b/>
          <w:sz w:val="24"/>
          <w:szCs w:val="24"/>
        </w:rPr>
        <w:t>10.</w:t>
      </w:r>
      <w:r w:rsidRPr="004C3DE3">
        <w:rPr>
          <w:b/>
          <w:sz w:val="24"/>
          <w:szCs w:val="24"/>
        </w:rPr>
        <w:tab/>
        <w:t>DATO FOR ÆNDRING AF TEKSTEN</w:t>
      </w:r>
    </w:p>
    <w:p w:rsidR="0057668F" w:rsidRPr="00F60215" w:rsidRDefault="000A7130" w:rsidP="0057668F">
      <w:pPr>
        <w:tabs>
          <w:tab w:val="left" w:pos="851"/>
        </w:tabs>
        <w:ind w:left="851" w:hanging="851"/>
        <w:rPr>
          <w:sz w:val="24"/>
          <w:szCs w:val="24"/>
        </w:rPr>
      </w:pPr>
      <w:r>
        <w:rPr>
          <w:sz w:val="24"/>
          <w:szCs w:val="24"/>
        </w:rPr>
        <w:tab/>
      </w:r>
      <w:r w:rsidR="00AC5F5E">
        <w:rPr>
          <w:sz w:val="24"/>
          <w:szCs w:val="24"/>
        </w:rPr>
        <w:t>6. januar 2025</w:t>
      </w:r>
      <w:bookmarkStart w:id="0" w:name="_GoBack"/>
      <w:bookmarkEnd w:id="0"/>
    </w:p>
    <w:p w:rsidR="0057668F" w:rsidRPr="00B974CD" w:rsidRDefault="0057668F" w:rsidP="0057668F"/>
    <w:p w:rsidR="0057668F" w:rsidRPr="002000FA" w:rsidRDefault="0057668F" w:rsidP="0057668F"/>
    <w:p w:rsidR="009260DE" w:rsidRPr="0057668F" w:rsidRDefault="009260DE" w:rsidP="0057668F"/>
    <w:sectPr w:rsidR="009260DE" w:rsidRPr="0057668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56F" w:rsidRDefault="00FC356F">
      <w:r>
        <w:separator/>
      </w:r>
    </w:p>
  </w:endnote>
  <w:endnote w:type="continuationSeparator" w:id="0">
    <w:p w:rsidR="00FC356F" w:rsidRDefault="00FC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83" w:usb1="08070000" w:usb2="00000010" w:usb3="00000000" w:csb0="00020009"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56F" w:rsidRDefault="00FC356F">
    <w:pPr>
      <w:pStyle w:val="Sidefod"/>
      <w:pBdr>
        <w:bottom w:val="single" w:sz="6" w:space="1" w:color="auto"/>
      </w:pBdr>
    </w:pPr>
  </w:p>
  <w:p w:rsidR="00FC356F" w:rsidRDefault="00FC356F" w:rsidP="00C42586">
    <w:pPr>
      <w:pStyle w:val="Sidefod"/>
      <w:tabs>
        <w:tab w:val="clear" w:pos="4819"/>
        <w:tab w:val="left" w:pos="8505"/>
      </w:tabs>
      <w:rPr>
        <w:i/>
        <w:sz w:val="18"/>
        <w:szCs w:val="18"/>
      </w:rPr>
    </w:pPr>
  </w:p>
  <w:p w:rsidR="00FC356F" w:rsidRPr="00B373D7" w:rsidRDefault="00FC356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Emtricitabine-Tenofovir disoproxil Sandoz, filmovertrukne tabletter 200+245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56F" w:rsidRDefault="00FC356F">
      <w:r>
        <w:separator/>
      </w:r>
    </w:p>
  </w:footnote>
  <w:footnote w:type="continuationSeparator" w:id="0">
    <w:p w:rsidR="00FC356F" w:rsidRDefault="00FC3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501CB9"/>
    <w:multiLevelType w:val="hybridMultilevel"/>
    <w:tmpl w:val="2F86A9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8F"/>
    <w:rsid w:val="000259B9"/>
    <w:rsid w:val="00041491"/>
    <w:rsid w:val="00047CE4"/>
    <w:rsid w:val="00050D16"/>
    <w:rsid w:val="00074F2A"/>
    <w:rsid w:val="000A1CA8"/>
    <w:rsid w:val="000A466B"/>
    <w:rsid w:val="000A7130"/>
    <w:rsid w:val="000B058C"/>
    <w:rsid w:val="000E4EE6"/>
    <w:rsid w:val="001454E2"/>
    <w:rsid w:val="00153859"/>
    <w:rsid w:val="001A7340"/>
    <w:rsid w:val="00206CE8"/>
    <w:rsid w:val="0021526C"/>
    <w:rsid w:val="00283A2B"/>
    <w:rsid w:val="002B30AD"/>
    <w:rsid w:val="002B3E27"/>
    <w:rsid w:val="002C2C01"/>
    <w:rsid w:val="003162E4"/>
    <w:rsid w:val="003A12B1"/>
    <w:rsid w:val="003A29AE"/>
    <w:rsid w:val="003A32D7"/>
    <w:rsid w:val="003B4074"/>
    <w:rsid w:val="003C769A"/>
    <w:rsid w:val="003F1838"/>
    <w:rsid w:val="0045746C"/>
    <w:rsid w:val="0049104B"/>
    <w:rsid w:val="004E3B12"/>
    <w:rsid w:val="00532310"/>
    <w:rsid w:val="00560ECC"/>
    <w:rsid w:val="00565F0F"/>
    <w:rsid w:val="0057668F"/>
    <w:rsid w:val="00594A86"/>
    <w:rsid w:val="00596D86"/>
    <w:rsid w:val="00637F5A"/>
    <w:rsid w:val="006560B1"/>
    <w:rsid w:val="006756DD"/>
    <w:rsid w:val="00737275"/>
    <w:rsid w:val="00740EEC"/>
    <w:rsid w:val="00741B45"/>
    <w:rsid w:val="0078011A"/>
    <w:rsid w:val="00782AF4"/>
    <w:rsid w:val="00790EE7"/>
    <w:rsid w:val="007B6649"/>
    <w:rsid w:val="00803BD1"/>
    <w:rsid w:val="00815082"/>
    <w:rsid w:val="0081546F"/>
    <w:rsid w:val="00825573"/>
    <w:rsid w:val="0082576E"/>
    <w:rsid w:val="008E4376"/>
    <w:rsid w:val="008F059B"/>
    <w:rsid w:val="00907F75"/>
    <w:rsid w:val="009260DE"/>
    <w:rsid w:val="0093258A"/>
    <w:rsid w:val="009C7BA3"/>
    <w:rsid w:val="009D1F5A"/>
    <w:rsid w:val="00A60E49"/>
    <w:rsid w:val="00AC5F5E"/>
    <w:rsid w:val="00AD7CE0"/>
    <w:rsid w:val="00B003BF"/>
    <w:rsid w:val="00B261C9"/>
    <w:rsid w:val="00B373D7"/>
    <w:rsid w:val="00C36276"/>
    <w:rsid w:val="00C42586"/>
    <w:rsid w:val="00C60CCD"/>
    <w:rsid w:val="00C84483"/>
    <w:rsid w:val="00C95551"/>
    <w:rsid w:val="00CB20D7"/>
    <w:rsid w:val="00D020B0"/>
    <w:rsid w:val="00D11748"/>
    <w:rsid w:val="00D24B04"/>
    <w:rsid w:val="00D366CF"/>
    <w:rsid w:val="00DD1001"/>
    <w:rsid w:val="00E108AA"/>
    <w:rsid w:val="00E31812"/>
    <w:rsid w:val="00E3749A"/>
    <w:rsid w:val="00E7437F"/>
    <w:rsid w:val="00E865B8"/>
    <w:rsid w:val="00EC0B9B"/>
    <w:rsid w:val="00ED5E9F"/>
    <w:rsid w:val="00F07926"/>
    <w:rsid w:val="00F66D4F"/>
    <w:rsid w:val="00FB6D01"/>
    <w:rsid w:val="00FC33DF"/>
    <w:rsid w:val="00FC35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21783"/>
  <w15:chartTrackingRefBased/>
  <w15:docId w15:val="{D1025D83-738E-47C8-A7A6-2C0F7380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7668F"/>
    <w:rPr>
      <w:rFonts w:ascii="Arial" w:hAnsi="Arial"/>
      <w:b/>
      <w:kern w:val="28"/>
      <w:sz w:val="28"/>
      <w:lang w:eastAsia="en-US"/>
    </w:rPr>
  </w:style>
  <w:style w:type="character" w:customStyle="1" w:styleId="Overskrift3Tegn">
    <w:name w:val="Overskrift 3 Tegn"/>
    <w:basedOn w:val="Standardskrifttypeiafsnit"/>
    <w:link w:val="Overskrift3"/>
    <w:rsid w:val="0057668F"/>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57668F"/>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57668F"/>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7668F"/>
    <w:rPr>
      <w:color w:val="808080"/>
    </w:rPr>
  </w:style>
  <w:style w:type="character" w:customStyle="1" w:styleId="BrdtekstTegn">
    <w:name w:val="Brødtekst Tegn"/>
    <w:basedOn w:val="Standardskrifttypeiafsnit"/>
    <w:link w:val="Brdtekst"/>
    <w:uiPriority w:val="1"/>
    <w:semiHidden/>
    <w:rsid w:val="0057668F"/>
    <w:rPr>
      <w:sz w:val="22"/>
      <w:szCs w:val="22"/>
      <w:lang w:val="en-US" w:eastAsia="en-US"/>
    </w:rPr>
  </w:style>
  <w:style w:type="paragraph" w:styleId="Brdtekst">
    <w:name w:val="Body Text"/>
    <w:basedOn w:val="Normal"/>
    <w:link w:val="BrdtekstTegn"/>
    <w:uiPriority w:val="1"/>
    <w:semiHidden/>
    <w:unhideWhenUsed/>
    <w:qFormat/>
    <w:rsid w:val="0057668F"/>
    <w:pPr>
      <w:widowControl w:val="0"/>
      <w:autoSpaceDE w:val="0"/>
      <w:autoSpaceDN w:val="0"/>
    </w:pPr>
    <w:rPr>
      <w:sz w:val="22"/>
      <w:szCs w:val="22"/>
      <w:lang w:val="en-US"/>
    </w:rPr>
  </w:style>
  <w:style w:type="character" w:customStyle="1" w:styleId="BrdtekstTegn1">
    <w:name w:val="Brødtekst Tegn1"/>
    <w:basedOn w:val="Standardskrifttypeiafsnit"/>
    <w:uiPriority w:val="99"/>
    <w:semiHidden/>
    <w:rsid w:val="0057668F"/>
    <w:rPr>
      <w:sz w:val="23"/>
      <w:lang w:eastAsia="en-US"/>
    </w:rPr>
  </w:style>
  <w:style w:type="paragraph" w:customStyle="1" w:styleId="Default">
    <w:name w:val="Default"/>
    <w:rsid w:val="0057668F"/>
    <w:pPr>
      <w:autoSpaceDE w:val="0"/>
      <w:autoSpaceDN w:val="0"/>
      <w:adjustRightInd w:val="0"/>
    </w:pPr>
    <w:rPr>
      <w:lang w:val="en-US" w:eastAsia="en-US"/>
    </w:rPr>
  </w:style>
  <w:style w:type="character" w:styleId="Hyperlink">
    <w:name w:val="Hyperlink"/>
    <w:basedOn w:val="Standardskrifttypeiafsnit"/>
    <w:uiPriority w:val="99"/>
    <w:semiHidden/>
    <w:unhideWhenUsed/>
    <w:rsid w:val="0057668F"/>
    <w:rPr>
      <w:color w:val="0563C1" w:themeColor="hyperlink"/>
      <w:u w:val="single"/>
    </w:rPr>
  </w:style>
  <w:style w:type="paragraph" w:styleId="Listeafsnit">
    <w:name w:val="List Paragraph"/>
    <w:basedOn w:val="Normal"/>
    <w:uiPriority w:val="34"/>
    <w:qFormat/>
    <w:rsid w:val="0057668F"/>
    <w:pPr>
      <w:ind w:left="720"/>
      <w:contextualSpacing/>
    </w:pPr>
    <w:rPr>
      <w:sz w:val="22"/>
    </w:rPr>
  </w:style>
  <w:style w:type="character" w:styleId="Fremhv">
    <w:name w:val="Emphasis"/>
    <w:basedOn w:val="Standardskrifttypeiafsnit"/>
    <w:uiPriority w:val="20"/>
    <w:qFormat/>
    <w:rsid w:val="0057668F"/>
    <w:rPr>
      <w:b/>
      <w:bCs/>
      <w:i w:val="0"/>
      <w:iCs w:val="0"/>
    </w:rPr>
  </w:style>
  <w:style w:type="character" w:customStyle="1" w:styleId="st1">
    <w:name w:val="st1"/>
    <w:basedOn w:val="Standardskrifttypeiafsnit"/>
    <w:rsid w:val="0057668F"/>
  </w:style>
  <w:style w:type="character" w:styleId="BesgtLink">
    <w:name w:val="FollowedHyperlink"/>
    <w:basedOn w:val="Standardskrifttypeiafsnit"/>
    <w:uiPriority w:val="99"/>
    <w:semiHidden/>
    <w:unhideWhenUsed/>
    <w:rsid w:val="00DD1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22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1616478">
      <w:bodyDiv w:val="1"/>
      <w:marLeft w:val="0"/>
      <w:marRight w:val="0"/>
      <w:marTop w:val="0"/>
      <w:marBottom w:val="0"/>
      <w:divBdr>
        <w:top w:val="none" w:sz="0" w:space="0" w:color="auto"/>
        <w:left w:val="none" w:sz="0" w:space="0" w:color="auto"/>
        <w:bottom w:val="none" w:sz="0" w:space="0" w:color="auto"/>
        <w:right w:val="none" w:sz="0" w:space="0" w:color="auto"/>
      </w:divBdr>
    </w:div>
    <w:div w:id="331419967">
      <w:bodyDiv w:val="1"/>
      <w:marLeft w:val="0"/>
      <w:marRight w:val="0"/>
      <w:marTop w:val="0"/>
      <w:marBottom w:val="0"/>
      <w:divBdr>
        <w:top w:val="none" w:sz="0" w:space="0" w:color="auto"/>
        <w:left w:val="none" w:sz="0" w:space="0" w:color="auto"/>
        <w:bottom w:val="none" w:sz="0" w:space="0" w:color="auto"/>
        <w:right w:val="none" w:sz="0" w:space="0" w:color="auto"/>
      </w:divBdr>
    </w:div>
    <w:div w:id="423503030">
      <w:bodyDiv w:val="1"/>
      <w:marLeft w:val="0"/>
      <w:marRight w:val="0"/>
      <w:marTop w:val="0"/>
      <w:marBottom w:val="0"/>
      <w:divBdr>
        <w:top w:val="none" w:sz="0" w:space="0" w:color="auto"/>
        <w:left w:val="none" w:sz="0" w:space="0" w:color="auto"/>
        <w:bottom w:val="none" w:sz="0" w:space="0" w:color="auto"/>
        <w:right w:val="none" w:sz="0" w:space="0" w:color="auto"/>
      </w:divBdr>
    </w:div>
    <w:div w:id="553127048">
      <w:bodyDiv w:val="1"/>
      <w:marLeft w:val="0"/>
      <w:marRight w:val="0"/>
      <w:marTop w:val="0"/>
      <w:marBottom w:val="0"/>
      <w:divBdr>
        <w:top w:val="none" w:sz="0" w:space="0" w:color="auto"/>
        <w:left w:val="none" w:sz="0" w:space="0" w:color="auto"/>
        <w:bottom w:val="none" w:sz="0" w:space="0" w:color="auto"/>
        <w:right w:val="none" w:sz="0" w:space="0" w:color="auto"/>
      </w:divBdr>
    </w:div>
    <w:div w:id="562954988">
      <w:bodyDiv w:val="1"/>
      <w:marLeft w:val="0"/>
      <w:marRight w:val="0"/>
      <w:marTop w:val="0"/>
      <w:marBottom w:val="0"/>
      <w:divBdr>
        <w:top w:val="none" w:sz="0" w:space="0" w:color="auto"/>
        <w:left w:val="none" w:sz="0" w:space="0" w:color="auto"/>
        <w:bottom w:val="none" w:sz="0" w:space="0" w:color="auto"/>
        <w:right w:val="none" w:sz="0" w:space="0" w:color="auto"/>
      </w:divBdr>
    </w:div>
    <w:div w:id="674653147">
      <w:bodyDiv w:val="1"/>
      <w:marLeft w:val="0"/>
      <w:marRight w:val="0"/>
      <w:marTop w:val="0"/>
      <w:marBottom w:val="0"/>
      <w:divBdr>
        <w:top w:val="none" w:sz="0" w:space="0" w:color="auto"/>
        <w:left w:val="none" w:sz="0" w:space="0" w:color="auto"/>
        <w:bottom w:val="none" w:sz="0" w:space="0" w:color="auto"/>
        <w:right w:val="none" w:sz="0" w:space="0" w:color="auto"/>
      </w:divBdr>
    </w:div>
    <w:div w:id="687368617">
      <w:bodyDiv w:val="1"/>
      <w:marLeft w:val="0"/>
      <w:marRight w:val="0"/>
      <w:marTop w:val="0"/>
      <w:marBottom w:val="0"/>
      <w:divBdr>
        <w:top w:val="none" w:sz="0" w:space="0" w:color="auto"/>
        <w:left w:val="none" w:sz="0" w:space="0" w:color="auto"/>
        <w:bottom w:val="none" w:sz="0" w:space="0" w:color="auto"/>
        <w:right w:val="none" w:sz="0" w:space="0" w:color="auto"/>
      </w:divBdr>
    </w:div>
    <w:div w:id="698704036">
      <w:bodyDiv w:val="1"/>
      <w:marLeft w:val="0"/>
      <w:marRight w:val="0"/>
      <w:marTop w:val="0"/>
      <w:marBottom w:val="0"/>
      <w:divBdr>
        <w:top w:val="none" w:sz="0" w:space="0" w:color="auto"/>
        <w:left w:val="none" w:sz="0" w:space="0" w:color="auto"/>
        <w:bottom w:val="none" w:sz="0" w:space="0" w:color="auto"/>
        <w:right w:val="none" w:sz="0" w:space="0" w:color="auto"/>
      </w:divBdr>
    </w:div>
    <w:div w:id="846670554">
      <w:bodyDiv w:val="1"/>
      <w:marLeft w:val="0"/>
      <w:marRight w:val="0"/>
      <w:marTop w:val="0"/>
      <w:marBottom w:val="0"/>
      <w:divBdr>
        <w:top w:val="none" w:sz="0" w:space="0" w:color="auto"/>
        <w:left w:val="none" w:sz="0" w:space="0" w:color="auto"/>
        <w:bottom w:val="none" w:sz="0" w:space="0" w:color="auto"/>
        <w:right w:val="none" w:sz="0" w:space="0" w:color="auto"/>
      </w:divBdr>
    </w:div>
    <w:div w:id="846753708">
      <w:bodyDiv w:val="1"/>
      <w:marLeft w:val="0"/>
      <w:marRight w:val="0"/>
      <w:marTop w:val="0"/>
      <w:marBottom w:val="0"/>
      <w:divBdr>
        <w:top w:val="none" w:sz="0" w:space="0" w:color="auto"/>
        <w:left w:val="none" w:sz="0" w:space="0" w:color="auto"/>
        <w:bottom w:val="none" w:sz="0" w:space="0" w:color="auto"/>
        <w:right w:val="none" w:sz="0" w:space="0" w:color="auto"/>
      </w:divBdr>
    </w:div>
    <w:div w:id="966737931">
      <w:bodyDiv w:val="1"/>
      <w:marLeft w:val="0"/>
      <w:marRight w:val="0"/>
      <w:marTop w:val="0"/>
      <w:marBottom w:val="0"/>
      <w:divBdr>
        <w:top w:val="none" w:sz="0" w:space="0" w:color="auto"/>
        <w:left w:val="none" w:sz="0" w:space="0" w:color="auto"/>
        <w:bottom w:val="none" w:sz="0" w:space="0" w:color="auto"/>
        <w:right w:val="none" w:sz="0" w:space="0" w:color="auto"/>
      </w:divBdr>
    </w:div>
    <w:div w:id="1095008140">
      <w:bodyDiv w:val="1"/>
      <w:marLeft w:val="0"/>
      <w:marRight w:val="0"/>
      <w:marTop w:val="0"/>
      <w:marBottom w:val="0"/>
      <w:divBdr>
        <w:top w:val="none" w:sz="0" w:space="0" w:color="auto"/>
        <w:left w:val="none" w:sz="0" w:space="0" w:color="auto"/>
        <w:bottom w:val="none" w:sz="0" w:space="0" w:color="auto"/>
        <w:right w:val="none" w:sz="0" w:space="0" w:color="auto"/>
      </w:divBdr>
    </w:div>
    <w:div w:id="1201169839">
      <w:bodyDiv w:val="1"/>
      <w:marLeft w:val="0"/>
      <w:marRight w:val="0"/>
      <w:marTop w:val="0"/>
      <w:marBottom w:val="0"/>
      <w:divBdr>
        <w:top w:val="none" w:sz="0" w:space="0" w:color="auto"/>
        <w:left w:val="none" w:sz="0" w:space="0" w:color="auto"/>
        <w:bottom w:val="none" w:sz="0" w:space="0" w:color="auto"/>
        <w:right w:val="none" w:sz="0" w:space="0" w:color="auto"/>
      </w:divBdr>
    </w:div>
    <w:div w:id="1240284236">
      <w:bodyDiv w:val="1"/>
      <w:marLeft w:val="0"/>
      <w:marRight w:val="0"/>
      <w:marTop w:val="0"/>
      <w:marBottom w:val="0"/>
      <w:divBdr>
        <w:top w:val="none" w:sz="0" w:space="0" w:color="auto"/>
        <w:left w:val="none" w:sz="0" w:space="0" w:color="auto"/>
        <w:bottom w:val="none" w:sz="0" w:space="0" w:color="auto"/>
        <w:right w:val="none" w:sz="0" w:space="0" w:color="auto"/>
      </w:divBdr>
    </w:div>
    <w:div w:id="1286813138">
      <w:bodyDiv w:val="1"/>
      <w:marLeft w:val="0"/>
      <w:marRight w:val="0"/>
      <w:marTop w:val="0"/>
      <w:marBottom w:val="0"/>
      <w:divBdr>
        <w:top w:val="none" w:sz="0" w:space="0" w:color="auto"/>
        <w:left w:val="none" w:sz="0" w:space="0" w:color="auto"/>
        <w:bottom w:val="none" w:sz="0" w:space="0" w:color="auto"/>
        <w:right w:val="none" w:sz="0" w:space="0" w:color="auto"/>
      </w:divBdr>
    </w:div>
    <w:div w:id="1420322254">
      <w:bodyDiv w:val="1"/>
      <w:marLeft w:val="0"/>
      <w:marRight w:val="0"/>
      <w:marTop w:val="0"/>
      <w:marBottom w:val="0"/>
      <w:divBdr>
        <w:top w:val="none" w:sz="0" w:space="0" w:color="auto"/>
        <w:left w:val="none" w:sz="0" w:space="0" w:color="auto"/>
        <w:bottom w:val="none" w:sz="0" w:space="0" w:color="auto"/>
        <w:right w:val="none" w:sz="0" w:space="0" w:color="auto"/>
      </w:divBdr>
    </w:div>
    <w:div w:id="1558012213">
      <w:bodyDiv w:val="1"/>
      <w:marLeft w:val="0"/>
      <w:marRight w:val="0"/>
      <w:marTop w:val="0"/>
      <w:marBottom w:val="0"/>
      <w:divBdr>
        <w:top w:val="none" w:sz="0" w:space="0" w:color="auto"/>
        <w:left w:val="none" w:sz="0" w:space="0" w:color="auto"/>
        <w:bottom w:val="none" w:sz="0" w:space="0" w:color="auto"/>
        <w:right w:val="none" w:sz="0" w:space="0" w:color="auto"/>
      </w:divBdr>
    </w:div>
    <w:div w:id="1652904574">
      <w:bodyDiv w:val="1"/>
      <w:marLeft w:val="0"/>
      <w:marRight w:val="0"/>
      <w:marTop w:val="0"/>
      <w:marBottom w:val="0"/>
      <w:divBdr>
        <w:top w:val="none" w:sz="0" w:space="0" w:color="auto"/>
        <w:left w:val="none" w:sz="0" w:space="0" w:color="auto"/>
        <w:bottom w:val="none" w:sz="0" w:space="0" w:color="auto"/>
        <w:right w:val="none" w:sz="0" w:space="0" w:color="auto"/>
      </w:divBdr>
    </w:div>
    <w:div w:id="1662268067">
      <w:bodyDiv w:val="1"/>
      <w:marLeft w:val="0"/>
      <w:marRight w:val="0"/>
      <w:marTop w:val="0"/>
      <w:marBottom w:val="0"/>
      <w:divBdr>
        <w:top w:val="none" w:sz="0" w:space="0" w:color="auto"/>
        <w:left w:val="none" w:sz="0" w:space="0" w:color="auto"/>
        <w:bottom w:val="none" w:sz="0" w:space="0" w:color="auto"/>
        <w:right w:val="none" w:sz="0" w:space="0" w:color="auto"/>
      </w:divBdr>
    </w:div>
    <w:div w:id="1673795595">
      <w:bodyDiv w:val="1"/>
      <w:marLeft w:val="0"/>
      <w:marRight w:val="0"/>
      <w:marTop w:val="0"/>
      <w:marBottom w:val="0"/>
      <w:divBdr>
        <w:top w:val="none" w:sz="0" w:space="0" w:color="auto"/>
        <w:left w:val="none" w:sz="0" w:space="0" w:color="auto"/>
        <w:bottom w:val="none" w:sz="0" w:space="0" w:color="auto"/>
        <w:right w:val="none" w:sz="0" w:space="0" w:color="auto"/>
      </w:divBdr>
    </w:div>
    <w:div w:id="1704407248">
      <w:bodyDiv w:val="1"/>
      <w:marLeft w:val="0"/>
      <w:marRight w:val="0"/>
      <w:marTop w:val="0"/>
      <w:marBottom w:val="0"/>
      <w:divBdr>
        <w:top w:val="none" w:sz="0" w:space="0" w:color="auto"/>
        <w:left w:val="none" w:sz="0" w:space="0" w:color="auto"/>
        <w:bottom w:val="none" w:sz="0" w:space="0" w:color="auto"/>
        <w:right w:val="none" w:sz="0" w:space="0" w:color="auto"/>
      </w:divBdr>
    </w:div>
    <w:div w:id="1748843913">
      <w:bodyDiv w:val="1"/>
      <w:marLeft w:val="0"/>
      <w:marRight w:val="0"/>
      <w:marTop w:val="0"/>
      <w:marBottom w:val="0"/>
      <w:divBdr>
        <w:top w:val="none" w:sz="0" w:space="0" w:color="auto"/>
        <w:left w:val="none" w:sz="0" w:space="0" w:color="auto"/>
        <w:bottom w:val="none" w:sz="0" w:space="0" w:color="auto"/>
        <w:right w:val="none" w:sz="0" w:space="0" w:color="auto"/>
      </w:divBdr>
    </w:div>
    <w:div w:id="1791321623">
      <w:bodyDiv w:val="1"/>
      <w:marLeft w:val="0"/>
      <w:marRight w:val="0"/>
      <w:marTop w:val="0"/>
      <w:marBottom w:val="0"/>
      <w:divBdr>
        <w:top w:val="none" w:sz="0" w:space="0" w:color="auto"/>
        <w:left w:val="none" w:sz="0" w:space="0" w:color="auto"/>
        <w:bottom w:val="none" w:sz="0" w:space="0" w:color="auto"/>
        <w:right w:val="none" w:sz="0" w:space="0" w:color="auto"/>
      </w:divBdr>
    </w:div>
    <w:div w:id="1835946568">
      <w:bodyDiv w:val="1"/>
      <w:marLeft w:val="0"/>
      <w:marRight w:val="0"/>
      <w:marTop w:val="0"/>
      <w:marBottom w:val="0"/>
      <w:divBdr>
        <w:top w:val="none" w:sz="0" w:space="0" w:color="auto"/>
        <w:left w:val="none" w:sz="0" w:space="0" w:color="auto"/>
        <w:bottom w:val="none" w:sz="0" w:space="0" w:color="auto"/>
        <w:right w:val="none" w:sz="0" w:space="0" w:color="auto"/>
      </w:divBdr>
    </w:div>
    <w:div w:id="1875725816">
      <w:bodyDiv w:val="1"/>
      <w:marLeft w:val="0"/>
      <w:marRight w:val="0"/>
      <w:marTop w:val="0"/>
      <w:marBottom w:val="0"/>
      <w:divBdr>
        <w:top w:val="none" w:sz="0" w:space="0" w:color="auto"/>
        <w:left w:val="none" w:sz="0" w:space="0" w:color="auto"/>
        <w:bottom w:val="none" w:sz="0" w:space="0" w:color="auto"/>
        <w:right w:val="none" w:sz="0" w:space="0" w:color="auto"/>
      </w:divBdr>
    </w:div>
    <w:div w:id="1928802590">
      <w:bodyDiv w:val="1"/>
      <w:marLeft w:val="0"/>
      <w:marRight w:val="0"/>
      <w:marTop w:val="0"/>
      <w:marBottom w:val="0"/>
      <w:divBdr>
        <w:top w:val="none" w:sz="0" w:space="0" w:color="auto"/>
        <w:left w:val="none" w:sz="0" w:space="0" w:color="auto"/>
        <w:bottom w:val="none" w:sz="0" w:space="0" w:color="auto"/>
        <w:right w:val="none" w:sz="0" w:space="0" w:color="auto"/>
      </w:divBdr>
    </w:div>
    <w:div w:id="1952936221">
      <w:bodyDiv w:val="1"/>
      <w:marLeft w:val="0"/>
      <w:marRight w:val="0"/>
      <w:marTop w:val="0"/>
      <w:marBottom w:val="0"/>
      <w:divBdr>
        <w:top w:val="none" w:sz="0" w:space="0" w:color="auto"/>
        <w:left w:val="none" w:sz="0" w:space="0" w:color="auto"/>
        <w:bottom w:val="none" w:sz="0" w:space="0" w:color="auto"/>
        <w:right w:val="none" w:sz="0" w:space="0" w:color="auto"/>
      </w:divBdr>
    </w:div>
    <w:div w:id="19938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12598</Words>
  <Characters>79588</Characters>
  <Application>Microsoft Office Word</Application>
  <DocSecurity>0</DocSecurity>
  <Lines>663</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2024042957  - pkt. 4.2, 4.4, 4.6, 4.8, 5.1, 5.2, 6.3</dc:description>
  <cp:lastModifiedBy>Line Aaboe Würtz</cp:lastModifiedBy>
  <cp:revision>4</cp:revision>
  <cp:lastPrinted>2012-08-22T08:53:00Z</cp:lastPrinted>
  <dcterms:created xsi:type="dcterms:W3CDTF">2024-12-19T07:25:00Z</dcterms:created>
  <dcterms:modified xsi:type="dcterms:W3CDTF">2025-01-06T02:15:00Z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