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F32ECF" w:rsidRDefault="006B3847" w:rsidP="006B3847">
      <w:pPr>
        <w:rPr>
          <w:sz w:val="24"/>
          <w:szCs w:val="24"/>
        </w:rPr>
      </w:pPr>
    </w:p>
    <w:p w:rsidR="006B3847" w:rsidRPr="006B7527" w:rsidRDefault="006B3847" w:rsidP="006B3847">
      <w:pPr>
        <w:tabs>
          <w:tab w:val="right" w:pos="9356"/>
        </w:tabs>
        <w:rPr>
          <w:b/>
          <w:sz w:val="24"/>
          <w:szCs w:val="24"/>
          <w:lang w:val="en-US"/>
        </w:rPr>
      </w:pPr>
      <w:r w:rsidRPr="00F32ECF">
        <w:rPr>
          <w:b/>
          <w:sz w:val="24"/>
          <w:szCs w:val="24"/>
        </w:rPr>
        <w:tab/>
      </w:r>
      <w:r w:rsidR="007F3EBE" w:rsidRPr="006B7527">
        <w:rPr>
          <w:b/>
          <w:sz w:val="24"/>
          <w:szCs w:val="24"/>
          <w:lang w:val="en-US"/>
        </w:rPr>
        <w:t>1</w:t>
      </w:r>
      <w:r w:rsidR="008B541B" w:rsidRPr="006B7527">
        <w:rPr>
          <w:b/>
          <w:sz w:val="24"/>
          <w:szCs w:val="24"/>
          <w:lang w:val="en-US"/>
        </w:rPr>
        <w:t>5</w:t>
      </w:r>
      <w:r w:rsidR="00990EAC" w:rsidRPr="006B7527">
        <w:rPr>
          <w:b/>
          <w:sz w:val="24"/>
          <w:szCs w:val="24"/>
          <w:lang w:val="en-US"/>
        </w:rPr>
        <w:t xml:space="preserve"> J</w:t>
      </w:r>
      <w:r w:rsidR="008B541B" w:rsidRPr="006B7527">
        <w:rPr>
          <w:b/>
          <w:sz w:val="24"/>
          <w:szCs w:val="24"/>
          <w:lang w:val="en-US"/>
        </w:rPr>
        <w:t>anuary</w:t>
      </w:r>
      <w:r w:rsidR="007F3EBE" w:rsidRPr="006B7527">
        <w:rPr>
          <w:b/>
          <w:sz w:val="24"/>
          <w:szCs w:val="24"/>
          <w:lang w:val="en-US"/>
        </w:rPr>
        <w:t xml:space="preserve"> 202</w:t>
      </w:r>
      <w:r w:rsidR="008B541B" w:rsidRPr="006B7527">
        <w:rPr>
          <w:b/>
          <w:sz w:val="24"/>
          <w:szCs w:val="24"/>
          <w:lang w:val="en-US"/>
        </w:rPr>
        <w:t>4</w:t>
      </w:r>
    </w:p>
    <w:p w:rsidR="006B3847" w:rsidRPr="006B7527" w:rsidRDefault="006B3847" w:rsidP="006B3847">
      <w:pPr>
        <w:rPr>
          <w:sz w:val="24"/>
          <w:szCs w:val="24"/>
          <w:lang w:val="en-US"/>
        </w:rPr>
      </w:pPr>
    </w:p>
    <w:p w:rsidR="007C5D2A" w:rsidRPr="006B7527" w:rsidRDefault="007C5D2A" w:rsidP="007C5D2A">
      <w:pPr>
        <w:rPr>
          <w:sz w:val="24"/>
          <w:szCs w:val="24"/>
          <w:lang w:val="en-US"/>
        </w:rPr>
      </w:pPr>
    </w:p>
    <w:p w:rsidR="007C5D2A" w:rsidRPr="006B7527" w:rsidRDefault="007C5D2A" w:rsidP="007C5D2A">
      <w:pPr>
        <w:rPr>
          <w:sz w:val="24"/>
          <w:szCs w:val="24"/>
          <w:lang w:val="en-US"/>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347226" w:rsidP="007C5D2A">
      <w:pPr>
        <w:jc w:val="center"/>
        <w:rPr>
          <w:b/>
          <w:sz w:val="24"/>
          <w:szCs w:val="24"/>
          <w:lang w:val="en-GB"/>
        </w:rPr>
      </w:pPr>
      <w:proofErr w:type="spellStart"/>
      <w:r>
        <w:rPr>
          <w:b/>
          <w:sz w:val="24"/>
          <w:szCs w:val="24"/>
          <w:lang w:val="en-GB"/>
        </w:rPr>
        <w:t>Emylif</w:t>
      </w:r>
      <w:proofErr w:type="spellEnd"/>
      <w:r>
        <w:rPr>
          <w:b/>
          <w:sz w:val="24"/>
          <w:szCs w:val="24"/>
          <w:lang w:val="en-GB"/>
        </w:rPr>
        <w:t xml:space="preserve">, </w:t>
      </w:r>
      <w:proofErr w:type="spellStart"/>
      <w:r w:rsidR="00E36080">
        <w:rPr>
          <w:b/>
          <w:sz w:val="24"/>
          <w:szCs w:val="24"/>
          <w:lang w:val="en-GB"/>
        </w:rPr>
        <w:t>orodispersible</w:t>
      </w:r>
      <w:proofErr w:type="spellEnd"/>
      <w:r w:rsidR="00E36080">
        <w:rPr>
          <w:b/>
          <w:sz w:val="24"/>
          <w:szCs w:val="24"/>
          <w:lang w:val="en-GB"/>
        </w:rPr>
        <w:t xml:space="preserve"> film</w:t>
      </w:r>
    </w:p>
    <w:p w:rsidR="007C5D2A" w:rsidRPr="00303008" w:rsidRDefault="007C5D2A"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rsidR="008F2F8C" w:rsidRPr="00303008" w:rsidRDefault="009D55BA" w:rsidP="008F2F8C">
      <w:pPr>
        <w:tabs>
          <w:tab w:val="left" w:pos="8222"/>
        </w:tabs>
        <w:ind w:left="851"/>
        <w:rPr>
          <w:sz w:val="24"/>
          <w:szCs w:val="24"/>
          <w:lang w:val="en-GB"/>
        </w:rPr>
      </w:pPr>
      <w:r>
        <w:rPr>
          <w:sz w:val="24"/>
          <w:szCs w:val="24"/>
          <w:lang w:val="en-GB"/>
        </w:rPr>
        <w:t>32679</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E11FDB" w:rsidP="004A3BF4">
      <w:pPr>
        <w:tabs>
          <w:tab w:val="left" w:pos="851"/>
        </w:tabs>
        <w:ind w:left="851"/>
        <w:rPr>
          <w:sz w:val="24"/>
          <w:szCs w:val="24"/>
          <w:lang w:val="en-GB"/>
        </w:rPr>
      </w:pPr>
      <w:proofErr w:type="spellStart"/>
      <w:r>
        <w:rPr>
          <w:sz w:val="24"/>
          <w:szCs w:val="24"/>
          <w:lang w:val="en-GB"/>
        </w:rPr>
        <w:t>Em</w:t>
      </w:r>
      <w:r w:rsidR="002B6C6D">
        <w:rPr>
          <w:sz w:val="24"/>
          <w:szCs w:val="24"/>
          <w:lang w:val="en-GB"/>
        </w:rPr>
        <w:t>ylif</w:t>
      </w:r>
      <w:proofErr w:type="spellEnd"/>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2B6C6D" w:rsidRPr="002B6C6D" w:rsidRDefault="002B6C6D" w:rsidP="002B6C6D">
      <w:pPr>
        <w:tabs>
          <w:tab w:val="left" w:pos="851"/>
        </w:tabs>
        <w:ind w:left="851"/>
        <w:rPr>
          <w:sz w:val="24"/>
          <w:szCs w:val="24"/>
          <w:lang w:val="en-US"/>
        </w:rPr>
      </w:pPr>
      <w:r w:rsidRPr="002B6C6D">
        <w:rPr>
          <w:sz w:val="24"/>
          <w:szCs w:val="24"/>
          <w:lang w:val="en-US"/>
        </w:rPr>
        <w:t xml:space="preserve">Each </w:t>
      </w:r>
      <w:proofErr w:type="spellStart"/>
      <w:r w:rsidRPr="002B6C6D">
        <w:rPr>
          <w:sz w:val="24"/>
          <w:szCs w:val="24"/>
          <w:lang w:val="en-US"/>
        </w:rPr>
        <w:t>orodispersible</w:t>
      </w:r>
      <w:proofErr w:type="spellEnd"/>
      <w:r w:rsidRPr="002B6C6D">
        <w:rPr>
          <w:sz w:val="24"/>
          <w:szCs w:val="24"/>
          <w:lang w:val="en-US"/>
        </w:rPr>
        <w:t xml:space="preserve"> film contains 50 mg of </w:t>
      </w:r>
      <w:proofErr w:type="spellStart"/>
      <w:r w:rsidRPr="002B6C6D">
        <w:rPr>
          <w:sz w:val="24"/>
          <w:szCs w:val="24"/>
          <w:lang w:val="en-US"/>
        </w:rPr>
        <w:t>riluzole</w:t>
      </w:r>
      <w:proofErr w:type="spellEnd"/>
      <w:r>
        <w:rPr>
          <w:sz w:val="24"/>
          <w:szCs w:val="24"/>
          <w:lang w:val="en-US"/>
        </w:rPr>
        <w:t>.</w:t>
      </w:r>
    </w:p>
    <w:p w:rsidR="002B6C6D" w:rsidRPr="002B6C6D" w:rsidRDefault="002B6C6D" w:rsidP="002B6C6D">
      <w:pPr>
        <w:tabs>
          <w:tab w:val="left" w:pos="851"/>
        </w:tabs>
        <w:ind w:left="851"/>
        <w:rPr>
          <w:sz w:val="24"/>
          <w:szCs w:val="24"/>
          <w:lang w:val="en-US"/>
        </w:rPr>
      </w:pPr>
    </w:p>
    <w:p w:rsidR="002B6C6D" w:rsidRPr="002B6C6D" w:rsidRDefault="002B6C6D" w:rsidP="002B6C6D">
      <w:pPr>
        <w:tabs>
          <w:tab w:val="left" w:pos="851"/>
        </w:tabs>
        <w:ind w:left="851"/>
        <w:rPr>
          <w:sz w:val="24"/>
          <w:szCs w:val="24"/>
          <w:u w:val="single"/>
          <w:lang w:val="en-US"/>
        </w:rPr>
      </w:pPr>
      <w:r w:rsidRPr="002B6C6D">
        <w:rPr>
          <w:sz w:val="24"/>
          <w:szCs w:val="24"/>
          <w:u w:val="single"/>
          <w:lang w:val="en-US"/>
        </w:rPr>
        <w:t>Excipient with known effect</w:t>
      </w:r>
    </w:p>
    <w:p w:rsidR="002B6C6D" w:rsidRPr="002B6C6D" w:rsidRDefault="002B6C6D" w:rsidP="002B6C6D">
      <w:pPr>
        <w:tabs>
          <w:tab w:val="left" w:pos="851"/>
        </w:tabs>
        <w:ind w:left="851"/>
        <w:rPr>
          <w:sz w:val="24"/>
          <w:szCs w:val="24"/>
          <w:lang w:val="en-US"/>
        </w:rPr>
      </w:pPr>
      <w:r w:rsidRPr="002B6C6D">
        <w:rPr>
          <w:sz w:val="24"/>
          <w:szCs w:val="24"/>
          <w:lang w:val="en-US"/>
        </w:rPr>
        <w:t xml:space="preserve">Each </w:t>
      </w:r>
      <w:proofErr w:type="spellStart"/>
      <w:r w:rsidRPr="002B6C6D">
        <w:rPr>
          <w:sz w:val="24"/>
          <w:szCs w:val="24"/>
          <w:lang w:val="en-US"/>
        </w:rPr>
        <w:t>orodispersible</w:t>
      </w:r>
      <w:proofErr w:type="spellEnd"/>
      <w:r w:rsidRPr="002B6C6D">
        <w:rPr>
          <w:sz w:val="24"/>
          <w:szCs w:val="24"/>
          <w:lang w:val="en-US"/>
        </w:rPr>
        <w:t xml:space="preserve"> film contains 2 mg fructose</w:t>
      </w:r>
      <w:r>
        <w:rPr>
          <w:sz w:val="24"/>
          <w:szCs w:val="24"/>
          <w:lang w:val="en-US"/>
        </w:rPr>
        <w:t>.</w:t>
      </w:r>
    </w:p>
    <w:p w:rsidR="002B6C6D" w:rsidRPr="002B6C6D" w:rsidRDefault="002B6C6D" w:rsidP="002B6C6D">
      <w:pPr>
        <w:tabs>
          <w:tab w:val="left" w:pos="851"/>
        </w:tabs>
        <w:ind w:left="851"/>
        <w:rPr>
          <w:sz w:val="24"/>
          <w:szCs w:val="24"/>
          <w:lang w:val="en-US"/>
        </w:rPr>
      </w:pPr>
      <w:r w:rsidRPr="002B6C6D">
        <w:rPr>
          <w:sz w:val="24"/>
          <w:szCs w:val="24"/>
          <w:lang w:val="en-US"/>
        </w:rPr>
        <w:t xml:space="preserve">This medicine also contains Sunset yellow FCF (E110). </w:t>
      </w:r>
      <w:bookmarkStart w:id="1" w:name="_Hlk115252592"/>
    </w:p>
    <w:bookmarkEnd w:id="1"/>
    <w:p w:rsidR="002B6C6D" w:rsidRPr="002B6C6D" w:rsidRDefault="002B6C6D" w:rsidP="002B6C6D">
      <w:pPr>
        <w:tabs>
          <w:tab w:val="left" w:pos="851"/>
        </w:tabs>
        <w:ind w:left="851"/>
        <w:rPr>
          <w:sz w:val="24"/>
          <w:szCs w:val="24"/>
          <w:lang w:val="en-US"/>
        </w:rPr>
      </w:pPr>
    </w:p>
    <w:p w:rsidR="002B6C6D" w:rsidRPr="0006270F" w:rsidRDefault="002B6C6D" w:rsidP="002B6C6D">
      <w:pPr>
        <w:tabs>
          <w:tab w:val="left" w:pos="851"/>
        </w:tabs>
        <w:ind w:left="851"/>
        <w:rPr>
          <w:sz w:val="24"/>
          <w:szCs w:val="24"/>
          <w:lang w:val="en-US"/>
        </w:rPr>
      </w:pPr>
      <w:r w:rsidRPr="0006270F">
        <w:rPr>
          <w:sz w:val="24"/>
          <w:szCs w:val="24"/>
          <w:lang w:val="en-US"/>
        </w:rPr>
        <w:t xml:space="preserve">For the full list of excipients, see </w:t>
      </w:r>
      <w:hyperlink r:id="rId8" w:anchor="_bookmark6" w:history="1">
        <w:r w:rsidRPr="0006270F">
          <w:rPr>
            <w:rStyle w:val="Hyperlink"/>
            <w:color w:val="auto"/>
            <w:sz w:val="24"/>
            <w:szCs w:val="24"/>
            <w:u w:val="none"/>
            <w:lang w:val="en-US"/>
          </w:rPr>
          <w:t>section 6.1</w:t>
        </w:r>
      </w:hyperlink>
      <w:r w:rsidRPr="0006270F">
        <w:rPr>
          <w:sz w:val="24"/>
          <w:szCs w:val="24"/>
          <w:lang w:val="en-US"/>
        </w:rPr>
        <w:t>.</w:t>
      </w:r>
    </w:p>
    <w:p w:rsidR="007C5D2A" w:rsidRPr="002B6C6D"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06270F" w:rsidRDefault="0006270F" w:rsidP="0006270F">
      <w:pPr>
        <w:tabs>
          <w:tab w:val="left" w:pos="851"/>
        </w:tabs>
        <w:ind w:left="851"/>
        <w:rPr>
          <w:sz w:val="24"/>
          <w:szCs w:val="24"/>
          <w:lang w:val="en-US"/>
        </w:rPr>
      </w:pPr>
      <w:proofErr w:type="spellStart"/>
      <w:r w:rsidRPr="0006270F">
        <w:rPr>
          <w:sz w:val="24"/>
          <w:szCs w:val="24"/>
          <w:lang w:val="en-US"/>
        </w:rPr>
        <w:t>Orodispersible</w:t>
      </w:r>
      <w:proofErr w:type="spellEnd"/>
      <w:r w:rsidRPr="0006270F">
        <w:rPr>
          <w:sz w:val="24"/>
          <w:szCs w:val="24"/>
          <w:lang w:val="en-US"/>
        </w:rPr>
        <w:t xml:space="preserve"> film</w:t>
      </w:r>
    </w:p>
    <w:p w:rsidR="0006270F" w:rsidRPr="0006270F" w:rsidRDefault="0006270F" w:rsidP="0006270F">
      <w:pPr>
        <w:tabs>
          <w:tab w:val="left" w:pos="851"/>
        </w:tabs>
        <w:ind w:left="851"/>
        <w:rPr>
          <w:sz w:val="24"/>
          <w:szCs w:val="24"/>
          <w:lang w:val="en-US"/>
        </w:rPr>
      </w:pPr>
    </w:p>
    <w:p w:rsidR="0006270F" w:rsidRPr="0006270F" w:rsidRDefault="0006270F" w:rsidP="0006270F">
      <w:pPr>
        <w:tabs>
          <w:tab w:val="left" w:pos="851"/>
        </w:tabs>
        <w:ind w:left="851"/>
        <w:rPr>
          <w:sz w:val="24"/>
          <w:szCs w:val="24"/>
          <w:lang w:val="en-US"/>
        </w:rPr>
      </w:pPr>
      <w:r w:rsidRPr="0006270F">
        <w:rPr>
          <w:sz w:val="24"/>
          <w:szCs w:val="24"/>
          <w:lang w:val="en-US"/>
        </w:rPr>
        <w:t>Orange, rectangular-shaped, orally dissolving thin film (32 mm</w:t>
      </w:r>
      <w:r>
        <w:rPr>
          <w:sz w:val="24"/>
          <w:szCs w:val="24"/>
          <w:lang w:val="en-US"/>
        </w:rPr>
        <w:t>×</w:t>
      </w:r>
      <w:r w:rsidRPr="0006270F">
        <w:rPr>
          <w:sz w:val="24"/>
          <w:szCs w:val="24"/>
          <w:lang w:val="en-US"/>
        </w:rPr>
        <w:t>22 mm) with “R50” printed in white on one side.</w:t>
      </w:r>
    </w:p>
    <w:p w:rsidR="007C5D2A" w:rsidRPr="0006270F"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06270F" w:rsidRPr="0006270F" w:rsidRDefault="0006270F" w:rsidP="0006270F">
      <w:pPr>
        <w:tabs>
          <w:tab w:val="left" w:pos="851"/>
        </w:tabs>
        <w:ind w:left="851"/>
        <w:rPr>
          <w:sz w:val="24"/>
          <w:szCs w:val="24"/>
          <w:lang w:val="en-US"/>
        </w:rPr>
      </w:pPr>
      <w:proofErr w:type="spellStart"/>
      <w:r w:rsidRPr="0006270F">
        <w:rPr>
          <w:sz w:val="24"/>
          <w:szCs w:val="24"/>
          <w:lang w:val="en-US"/>
        </w:rPr>
        <w:t>Emylif</w:t>
      </w:r>
      <w:proofErr w:type="spellEnd"/>
      <w:r w:rsidRPr="0006270F">
        <w:rPr>
          <w:sz w:val="24"/>
          <w:szCs w:val="24"/>
          <w:lang w:val="en-US"/>
        </w:rPr>
        <w:t xml:space="preserve"> is indicated for the treatment of amyotrophic lateral sclerosis (ALS) in adults (see section 5.1).</w:t>
      </w:r>
    </w:p>
    <w:p w:rsidR="0006270F" w:rsidRPr="0006270F" w:rsidRDefault="0006270F" w:rsidP="0006270F">
      <w:pPr>
        <w:tabs>
          <w:tab w:val="left" w:pos="851"/>
        </w:tabs>
        <w:ind w:left="851"/>
        <w:rPr>
          <w:sz w:val="24"/>
          <w:szCs w:val="24"/>
          <w:lang w:val="en-US"/>
        </w:rPr>
      </w:pPr>
    </w:p>
    <w:p w:rsidR="0006270F" w:rsidRPr="0006270F" w:rsidRDefault="0006270F" w:rsidP="0006270F">
      <w:pPr>
        <w:tabs>
          <w:tab w:val="left" w:pos="851"/>
        </w:tabs>
        <w:ind w:left="851"/>
        <w:rPr>
          <w:sz w:val="24"/>
          <w:szCs w:val="24"/>
          <w:lang w:val="en-US"/>
        </w:rPr>
      </w:pPr>
      <w:proofErr w:type="spellStart"/>
      <w:r w:rsidRPr="0006270F">
        <w:rPr>
          <w:sz w:val="24"/>
          <w:szCs w:val="24"/>
          <w:lang w:val="en-US"/>
        </w:rPr>
        <w:t>Emylif</w:t>
      </w:r>
      <w:proofErr w:type="spellEnd"/>
      <w:r w:rsidRPr="0006270F">
        <w:rPr>
          <w:sz w:val="24"/>
          <w:szCs w:val="24"/>
          <w:lang w:val="en-US"/>
        </w:rPr>
        <w:t xml:space="preserve"> has not been shown to be effective in the late stages of ALS.</w:t>
      </w:r>
    </w:p>
    <w:p w:rsidR="0006270F" w:rsidRPr="0006270F" w:rsidRDefault="0006270F" w:rsidP="0006270F">
      <w:pPr>
        <w:tabs>
          <w:tab w:val="left" w:pos="851"/>
        </w:tabs>
        <w:ind w:left="851"/>
        <w:rPr>
          <w:sz w:val="24"/>
          <w:szCs w:val="24"/>
          <w:lang w:val="en-US"/>
        </w:rPr>
      </w:pPr>
    </w:p>
    <w:p w:rsidR="007C5D2A" w:rsidRPr="00303008" w:rsidRDefault="009925C9" w:rsidP="006305F7">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06270F" w:rsidRPr="00632517" w:rsidRDefault="0006270F" w:rsidP="006305F7">
      <w:pPr>
        <w:pStyle w:val="Brdtekst"/>
        <w:ind w:left="851"/>
        <w:jc w:val="both"/>
        <w:rPr>
          <w:sz w:val="24"/>
          <w:szCs w:val="24"/>
        </w:rPr>
      </w:pPr>
      <w:r w:rsidRPr="00632517">
        <w:rPr>
          <w:sz w:val="24"/>
          <w:szCs w:val="24"/>
        </w:rPr>
        <w:t xml:space="preserve">Treatment with </w:t>
      </w:r>
      <w:proofErr w:type="spellStart"/>
      <w:r w:rsidRPr="00632517">
        <w:rPr>
          <w:sz w:val="24"/>
          <w:szCs w:val="24"/>
        </w:rPr>
        <w:t>riluzole</w:t>
      </w:r>
      <w:proofErr w:type="spellEnd"/>
      <w:r w:rsidRPr="00632517">
        <w:rPr>
          <w:sz w:val="24"/>
          <w:szCs w:val="24"/>
        </w:rPr>
        <w:t xml:space="preserve"> should only be initiated by specialist physicians with experience in the management of motor </w:t>
      </w:r>
      <w:proofErr w:type="spellStart"/>
      <w:r w:rsidRPr="00632517">
        <w:rPr>
          <w:sz w:val="24"/>
          <w:szCs w:val="24"/>
        </w:rPr>
        <w:t>neurone</w:t>
      </w:r>
      <w:proofErr w:type="spellEnd"/>
      <w:r w:rsidRPr="00632517">
        <w:rPr>
          <w:sz w:val="24"/>
          <w:szCs w:val="24"/>
        </w:rPr>
        <w:t xml:space="preserve"> diseases.</w:t>
      </w:r>
    </w:p>
    <w:p w:rsidR="00632517" w:rsidRPr="00632517" w:rsidRDefault="00632517" w:rsidP="006305F7">
      <w:pPr>
        <w:ind w:left="851"/>
        <w:rPr>
          <w:sz w:val="24"/>
          <w:szCs w:val="24"/>
          <w:lang w:val="en-US" w:eastAsia="en-US"/>
        </w:rPr>
      </w:pPr>
      <w:r w:rsidRPr="00785979">
        <w:rPr>
          <w:sz w:val="24"/>
          <w:szCs w:val="24"/>
          <w:lang w:val="en-US"/>
        </w:rPr>
        <w:br w:type="page"/>
      </w:r>
    </w:p>
    <w:p w:rsidR="0006270F" w:rsidRPr="00632517" w:rsidRDefault="0006270F" w:rsidP="006305F7">
      <w:pPr>
        <w:pStyle w:val="Brdtekst"/>
        <w:spacing w:before="11"/>
        <w:ind w:left="1134" w:hanging="283"/>
        <w:rPr>
          <w:sz w:val="24"/>
          <w:szCs w:val="24"/>
        </w:rPr>
      </w:pPr>
    </w:p>
    <w:p w:rsidR="0006270F" w:rsidRPr="00632517" w:rsidRDefault="0006270F" w:rsidP="006305F7">
      <w:pPr>
        <w:pStyle w:val="Brdtekst"/>
        <w:ind w:left="851"/>
        <w:rPr>
          <w:sz w:val="24"/>
          <w:szCs w:val="24"/>
        </w:rPr>
      </w:pPr>
      <w:r w:rsidRPr="00632517">
        <w:rPr>
          <w:sz w:val="24"/>
          <w:szCs w:val="24"/>
          <w:u w:val="single"/>
        </w:rPr>
        <w:t>Posology</w:t>
      </w:r>
    </w:p>
    <w:p w:rsidR="0006270F" w:rsidRPr="00632517" w:rsidRDefault="0006270F" w:rsidP="006305F7">
      <w:pPr>
        <w:pStyle w:val="Brdtekst"/>
        <w:spacing w:before="1"/>
        <w:ind w:left="851"/>
        <w:rPr>
          <w:sz w:val="24"/>
          <w:szCs w:val="24"/>
        </w:rPr>
      </w:pPr>
      <w:r w:rsidRPr="00632517">
        <w:rPr>
          <w:sz w:val="24"/>
          <w:szCs w:val="24"/>
        </w:rPr>
        <w:t>The recommended daily dose in adults or older people is 100 mg (50 mg every 12 hours). No significant increased benefit can be expected from higher daily doses.</w:t>
      </w:r>
    </w:p>
    <w:p w:rsidR="0006270F" w:rsidRPr="00632517" w:rsidRDefault="0006270F" w:rsidP="006305F7">
      <w:pPr>
        <w:pStyle w:val="Brdtekst"/>
        <w:ind w:left="851"/>
        <w:rPr>
          <w:sz w:val="24"/>
          <w:szCs w:val="24"/>
        </w:rPr>
      </w:pPr>
    </w:p>
    <w:p w:rsidR="0006270F" w:rsidRPr="00632517" w:rsidRDefault="0006270F" w:rsidP="006305F7">
      <w:pPr>
        <w:pStyle w:val="Brdtekst"/>
        <w:spacing w:line="252" w:lineRule="exact"/>
        <w:ind w:left="851"/>
        <w:rPr>
          <w:sz w:val="24"/>
          <w:szCs w:val="24"/>
        </w:rPr>
      </w:pPr>
      <w:r w:rsidRPr="00632517">
        <w:rPr>
          <w:sz w:val="24"/>
          <w:szCs w:val="24"/>
          <w:u w:val="single"/>
        </w:rPr>
        <w:t>Special populations</w:t>
      </w:r>
    </w:p>
    <w:p w:rsidR="00632517" w:rsidRPr="00632517" w:rsidRDefault="00632517" w:rsidP="006305F7">
      <w:pPr>
        <w:spacing w:line="252" w:lineRule="exact"/>
        <w:ind w:left="851"/>
        <w:rPr>
          <w:i/>
          <w:sz w:val="24"/>
          <w:szCs w:val="24"/>
          <w:lang w:val="en-US"/>
        </w:rPr>
      </w:pPr>
    </w:p>
    <w:p w:rsidR="0006270F" w:rsidRPr="00632517" w:rsidRDefault="0006270F" w:rsidP="006305F7">
      <w:pPr>
        <w:spacing w:line="252" w:lineRule="exact"/>
        <w:ind w:left="851"/>
        <w:rPr>
          <w:i/>
          <w:sz w:val="24"/>
          <w:szCs w:val="24"/>
          <w:lang w:val="en-US"/>
        </w:rPr>
      </w:pPr>
      <w:r w:rsidRPr="00632517">
        <w:rPr>
          <w:i/>
          <w:sz w:val="24"/>
          <w:szCs w:val="24"/>
          <w:lang w:val="en-US"/>
        </w:rPr>
        <w:t>Impaired renal function</w:t>
      </w:r>
    </w:p>
    <w:p w:rsidR="0006270F" w:rsidRPr="00632517" w:rsidRDefault="0006270F" w:rsidP="006305F7">
      <w:pPr>
        <w:pStyle w:val="Brdtekst"/>
        <w:spacing w:before="2"/>
        <w:ind w:left="851"/>
        <w:rPr>
          <w:sz w:val="24"/>
          <w:szCs w:val="24"/>
        </w:rPr>
      </w:pPr>
      <w:proofErr w:type="spellStart"/>
      <w:r w:rsidRPr="00632517">
        <w:rPr>
          <w:sz w:val="24"/>
          <w:szCs w:val="24"/>
        </w:rPr>
        <w:t>Riluzole</w:t>
      </w:r>
      <w:proofErr w:type="spellEnd"/>
      <w:r w:rsidRPr="00632517">
        <w:rPr>
          <w:sz w:val="24"/>
          <w:szCs w:val="24"/>
        </w:rPr>
        <w:t xml:space="preserve"> is not recommended for use in patients with impaired renal function, as studies at repeated doses have not been conducted in this population (see </w:t>
      </w:r>
      <w:hyperlink r:id="rId9" w:anchor="_bookmark1" w:history="1">
        <w:r w:rsidRPr="00632517">
          <w:rPr>
            <w:rStyle w:val="Hyperlink"/>
            <w:sz w:val="24"/>
            <w:szCs w:val="24"/>
          </w:rPr>
          <w:t>section 4.4</w:t>
        </w:r>
      </w:hyperlink>
      <w:r w:rsidRPr="00632517">
        <w:rPr>
          <w:sz w:val="24"/>
          <w:szCs w:val="24"/>
        </w:rPr>
        <w:t>).</w:t>
      </w:r>
    </w:p>
    <w:p w:rsidR="0006270F" w:rsidRPr="00632517" w:rsidRDefault="0006270F" w:rsidP="006305F7">
      <w:pPr>
        <w:pStyle w:val="Brdtekst"/>
        <w:spacing w:before="11"/>
        <w:ind w:left="851"/>
        <w:rPr>
          <w:sz w:val="24"/>
          <w:szCs w:val="24"/>
        </w:rPr>
      </w:pPr>
    </w:p>
    <w:p w:rsidR="0006270F" w:rsidRPr="00632517" w:rsidRDefault="0006270F" w:rsidP="006305F7">
      <w:pPr>
        <w:spacing w:line="252" w:lineRule="exact"/>
        <w:ind w:left="851"/>
        <w:rPr>
          <w:i/>
          <w:sz w:val="24"/>
          <w:szCs w:val="24"/>
          <w:lang w:val="en-US"/>
        </w:rPr>
      </w:pPr>
      <w:r w:rsidRPr="00632517">
        <w:rPr>
          <w:i/>
          <w:sz w:val="24"/>
          <w:szCs w:val="24"/>
          <w:lang w:val="en-US"/>
        </w:rPr>
        <w:t>Elderly</w:t>
      </w:r>
    </w:p>
    <w:p w:rsidR="0006270F" w:rsidRPr="00632517" w:rsidRDefault="0006270F" w:rsidP="006305F7">
      <w:pPr>
        <w:pStyle w:val="Brdtekst"/>
        <w:ind w:left="851"/>
        <w:rPr>
          <w:sz w:val="24"/>
          <w:szCs w:val="24"/>
        </w:rPr>
      </w:pPr>
      <w:r w:rsidRPr="00632517">
        <w:rPr>
          <w:sz w:val="24"/>
          <w:szCs w:val="24"/>
        </w:rPr>
        <w:t xml:space="preserve">Based on pharmacokinetic data, there are no special instructions for the use of </w:t>
      </w:r>
      <w:proofErr w:type="spellStart"/>
      <w:r w:rsidRPr="00632517">
        <w:rPr>
          <w:sz w:val="24"/>
          <w:szCs w:val="24"/>
        </w:rPr>
        <w:t>riluzole</w:t>
      </w:r>
      <w:proofErr w:type="spellEnd"/>
      <w:r w:rsidRPr="00632517">
        <w:rPr>
          <w:sz w:val="24"/>
          <w:szCs w:val="24"/>
        </w:rPr>
        <w:t xml:space="preserve"> in this population.</w:t>
      </w:r>
    </w:p>
    <w:p w:rsidR="0006270F" w:rsidRPr="00632517" w:rsidRDefault="0006270F" w:rsidP="006305F7">
      <w:pPr>
        <w:pStyle w:val="Brdtekst"/>
        <w:spacing w:before="10"/>
        <w:ind w:left="851"/>
        <w:rPr>
          <w:sz w:val="24"/>
          <w:szCs w:val="24"/>
        </w:rPr>
      </w:pPr>
    </w:p>
    <w:p w:rsidR="0006270F" w:rsidRPr="00632517" w:rsidRDefault="0006270F" w:rsidP="006305F7">
      <w:pPr>
        <w:ind w:left="851"/>
        <w:jc w:val="both"/>
        <w:rPr>
          <w:i/>
          <w:sz w:val="24"/>
          <w:szCs w:val="24"/>
          <w:lang w:val="en-US"/>
        </w:rPr>
      </w:pPr>
      <w:r w:rsidRPr="00632517">
        <w:rPr>
          <w:i/>
          <w:sz w:val="24"/>
          <w:szCs w:val="24"/>
          <w:lang w:val="en-US"/>
        </w:rPr>
        <w:t>Impaired hepatic function</w:t>
      </w:r>
    </w:p>
    <w:p w:rsidR="0006270F" w:rsidRPr="00632517" w:rsidRDefault="0006270F" w:rsidP="006305F7">
      <w:pPr>
        <w:pStyle w:val="Brdtekst"/>
        <w:spacing w:before="2"/>
        <w:ind w:left="851"/>
        <w:jc w:val="both"/>
        <w:rPr>
          <w:sz w:val="24"/>
          <w:szCs w:val="24"/>
        </w:rPr>
      </w:pPr>
      <w:r w:rsidRPr="00632517">
        <w:rPr>
          <w:sz w:val="24"/>
          <w:szCs w:val="24"/>
        </w:rPr>
        <w:t xml:space="preserve">See </w:t>
      </w:r>
      <w:hyperlink r:id="rId10" w:anchor="_bookmark1" w:history="1">
        <w:r w:rsidRPr="00632517">
          <w:rPr>
            <w:rStyle w:val="Hyperlink"/>
            <w:color w:val="auto"/>
            <w:sz w:val="24"/>
            <w:szCs w:val="24"/>
            <w:u w:val="none"/>
          </w:rPr>
          <w:t>sections 4.3</w:t>
        </w:r>
      </w:hyperlink>
      <w:r w:rsidRPr="00632517">
        <w:rPr>
          <w:sz w:val="24"/>
          <w:szCs w:val="24"/>
        </w:rPr>
        <w:t xml:space="preserve">, </w:t>
      </w:r>
      <w:hyperlink r:id="rId11" w:anchor="_bookmark1" w:history="1">
        <w:r w:rsidRPr="00632517">
          <w:rPr>
            <w:rStyle w:val="Hyperlink"/>
            <w:color w:val="auto"/>
            <w:sz w:val="24"/>
            <w:szCs w:val="24"/>
            <w:u w:val="none"/>
          </w:rPr>
          <w:t xml:space="preserve">4.4 </w:t>
        </w:r>
      </w:hyperlink>
      <w:r w:rsidRPr="00632517">
        <w:rPr>
          <w:sz w:val="24"/>
          <w:szCs w:val="24"/>
        </w:rPr>
        <w:t xml:space="preserve">and </w:t>
      </w:r>
      <w:hyperlink r:id="rId12" w:anchor="_bookmark4" w:history="1">
        <w:r w:rsidRPr="00632517">
          <w:rPr>
            <w:rStyle w:val="Hyperlink"/>
            <w:color w:val="auto"/>
            <w:sz w:val="24"/>
            <w:szCs w:val="24"/>
            <w:u w:val="none"/>
          </w:rPr>
          <w:t>5.2</w:t>
        </w:r>
      </w:hyperlink>
    </w:p>
    <w:p w:rsidR="0006270F" w:rsidRPr="00632517" w:rsidRDefault="0006270F" w:rsidP="006305F7">
      <w:pPr>
        <w:pStyle w:val="Brdtekst"/>
        <w:ind w:left="851"/>
        <w:rPr>
          <w:sz w:val="24"/>
          <w:szCs w:val="24"/>
        </w:rPr>
      </w:pPr>
    </w:p>
    <w:p w:rsidR="0006270F" w:rsidRPr="00632517" w:rsidRDefault="0006270F" w:rsidP="006305F7">
      <w:pPr>
        <w:spacing w:before="1" w:line="252" w:lineRule="exact"/>
        <w:ind w:left="851"/>
        <w:rPr>
          <w:i/>
          <w:sz w:val="24"/>
          <w:szCs w:val="24"/>
          <w:lang w:val="en-US"/>
        </w:rPr>
      </w:pPr>
      <w:proofErr w:type="spellStart"/>
      <w:r w:rsidRPr="00632517">
        <w:rPr>
          <w:i/>
          <w:sz w:val="24"/>
          <w:szCs w:val="24"/>
          <w:lang w:val="en-US"/>
        </w:rPr>
        <w:t>Paediatric</w:t>
      </w:r>
      <w:proofErr w:type="spellEnd"/>
      <w:r w:rsidRPr="00632517">
        <w:rPr>
          <w:i/>
          <w:sz w:val="24"/>
          <w:szCs w:val="24"/>
          <w:lang w:val="en-US"/>
        </w:rPr>
        <w:t xml:space="preserve"> population</w:t>
      </w:r>
    </w:p>
    <w:p w:rsidR="0006270F" w:rsidRPr="00632517" w:rsidRDefault="0006270F" w:rsidP="006305F7">
      <w:pPr>
        <w:pStyle w:val="Brdtekst"/>
        <w:ind w:left="851"/>
        <w:rPr>
          <w:sz w:val="24"/>
          <w:szCs w:val="24"/>
        </w:rPr>
      </w:pPr>
      <w:r w:rsidRPr="00632517">
        <w:rPr>
          <w:sz w:val="24"/>
          <w:szCs w:val="24"/>
        </w:rPr>
        <w:t xml:space="preserve">The safety and efficacy of </w:t>
      </w:r>
      <w:proofErr w:type="spellStart"/>
      <w:r w:rsidRPr="00632517">
        <w:rPr>
          <w:sz w:val="24"/>
          <w:szCs w:val="24"/>
        </w:rPr>
        <w:t>Emylif</w:t>
      </w:r>
      <w:proofErr w:type="spellEnd"/>
      <w:r w:rsidRPr="00632517">
        <w:rPr>
          <w:sz w:val="24"/>
          <w:szCs w:val="24"/>
        </w:rPr>
        <w:t xml:space="preserve"> for the treatment of ALS in the pediatric population have not been established. No data are available.</w:t>
      </w:r>
    </w:p>
    <w:p w:rsidR="0006270F" w:rsidRPr="00632517" w:rsidRDefault="0006270F" w:rsidP="006305F7">
      <w:pPr>
        <w:pStyle w:val="Brdtekst"/>
        <w:ind w:left="1134" w:hanging="283"/>
        <w:jc w:val="both"/>
        <w:rPr>
          <w:sz w:val="24"/>
          <w:szCs w:val="24"/>
          <w:u w:val="single"/>
        </w:rPr>
      </w:pPr>
    </w:p>
    <w:p w:rsidR="0006270F" w:rsidRPr="00632517" w:rsidRDefault="0006270F" w:rsidP="006305F7">
      <w:pPr>
        <w:pStyle w:val="Brdtekst"/>
        <w:ind w:left="1134" w:hanging="283"/>
        <w:jc w:val="both"/>
        <w:rPr>
          <w:sz w:val="24"/>
          <w:szCs w:val="24"/>
        </w:rPr>
      </w:pPr>
      <w:r w:rsidRPr="00632517">
        <w:rPr>
          <w:sz w:val="24"/>
          <w:szCs w:val="24"/>
          <w:u w:val="single"/>
        </w:rPr>
        <w:t>Method of administration</w:t>
      </w:r>
    </w:p>
    <w:p w:rsidR="0006270F" w:rsidRPr="00632517" w:rsidRDefault="0006270F" w:rsidP="006305F7">
      <w:pPr>
        <w:pStyle w:val="Brdtekst"/>
        <w:ind w:left="1134" w:hanging="283"/>
        <w:rPr>
          <w:sz w:val="24"/>
          <w:szCs w:val="24"/>
        </w:rPr>
      </w:pPr>
      <w:bookmarkStart w:id="2" w:name="4.3_Contraindications"/>
      <w:bookmarkStart w:id="3" w:name="4.4_Special_warnings_and_precautions_for"/>
      <w:bookmarkStart w:id="4" w:name="4.5_Interaction_with_other_medicinal_pro"/>
      <w:bookmarkStart w:id="5" w:name="_bookmark1"/>
      <w:bookmarkEnd w:id="2"/>
      <w:bookmarkEnd w:id="3"/>
      <w:bookmarkEnd w:id="4"/>
      <w:bookmarkEnd w:id="5"/>
      <w:proofErr w:type="spellStart"/>
      <w:r w:rsidRPr="00632517">
        <w:rPr>
          <w:sz w:val="24"/>
          <w:szCs w:val="24"/>
        </w:rPr>
        <w:t>Emylif</w:t>
      </w:r>
      <w:proofErr w:type="spellEnd"/>
      <w:r w:rsidRPr="00632517">
        <w:rPr>
          <w:sz w:val="24"/>
          <w:szCs w:val="24"/>
        </w:rPr>
        <w:t xml:space="preserve"> is for oral administration.</w:t>
      </w:r>
    </w:p>
    <w:p w:rsidR="0006270F" w:rsidRPr="00632517" w:rsidRDefault="0006270F" w:rsidP="006305F7">
      <w:pPr>
        <w:pStyle w:val="Brdtekst"/>
        <w:ind w:left="1134" w:hanging="283"/>
        <w:rPr>
          <w:sz w:val="24"/>
          <w:szCs w:val="24"/>
        </w:rPr>
      </w:pP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Hands should be clean and dry before handling </w:t>
      </w:r>
      <w:proofErr w:type="spellStart"/>
      <w:r w:rsidRPr="00632517">
        <w:rPr>
          <w:sz w:val="24"/>
          <w:szCs w:val="24"/>
          <w:lang w:val="en-US"/>
        </w:rPr>
        <w:t>Emylif</w:t>
      </w:r>
      <w:proofErr w:type="spellEnd"/>
      <w:r w:rsidRPr="00632517">
        <w:rPr>
          <w:sz w:val="24"/>
          <w:szCs w:val="24"/>
          <w:lang w:val="en-US"/>
        </w:rPr>
        <w:t xml:space="preserve"> so the </w:t>
      </w:r>
      <w:proofErr w:type="spellStart"/>
      <w:r w:rsidRPr="00632517">
        <w:rPr>
          <w:sz w:val="24"/>
          <w:szCs w:val="24"/>
          <w:lang w:val="en-US"/>
        </w:rPr>
        <w:t>orodispersible</w:t>
      </w:r>
      <w:proofErr w:type="spellEnd"/>
      <w:r w:rsidRPr="00632517">
        <w:rPr>
          <w:sz w:val="24"/>
          <w:szCs w:val="24"/>
          <w:lang w:val="en-US"/>
        </w:rPr>
        <w:t xml:space="preserve"> film does not stick to the fingers.</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Fold foil sachet along solid line at top.</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While keeping top of sachet folded over at solid line, tear down at the slit along the arrow on the side of the sachet to open.</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Remove </w:t>
      </w:r>
      <w:proofErr w:type="spellStart"/>
      <w:r w:rsidRPr="00632517">
        <w:rPr>
          <w:sz w:val="24"/>
          <w:szCs w:val="24"/>
          <w:lang w:val="en-US"/>
        </w:rPr>
        <w:t>Emylif</w:t>
      </w:r>
      <w:proofErr w:type="spellEnd"/>
      <w:r w:rsidRPr="00632517">
        <w:rPr>
          <w:sz w:val="24"/>
          <w:szCs w:val="24"/>
          <w:lang w:val="en-US"/>
        </w:rPr>
        <w:t xml:space="preserve"> </w:t>
      </w:r>
      <w:proofErr w:type="spellStart"/>
      <w:r w:rsidRPr="00632517">
        <w:rPr>
          <w:sz w:val="24"/>
          <w:szCs w:val="24"/>
          <w:lang w:val="en-US"/>
        </w:rPr>
        <w:t>orodispersible</w:t>
      </w:r>
      <w:proofErr w:type="spellEnd"/>
      <w:r w:rsidRPr="00632517">
        <w:rPr>
          <w:sz w:val="24"/>
          <w:szCs w:val="24"/>
          <w:lang w:val="en-US"/>
        </w:rPr>
        <w:t xml:space="preserve"> film from foil sachet. Each sachet contains one dose of </w:t>
      </w:r>
      <w:proofErr w:type="spellStart"/>
      <w:r w:rsidRPr="00632517">
        <w:rPr>
          <w:sz w:val="24"/>
          <w:szCs w:val="24"/>
          <w:lang w:val="en-US"/>
        </w:rPr>
        <w:t>Emylif</w:t>
      </w:r>
      <w:proofErr w:type="spellEnd"/>
      <w:r w:rsidRPr="00632517">
        <w:rPr>
          <w:sz w:val="24"/>
          <w:szCs w:val="24"/>
          <w:lang w:val="en-US"/>
        </w:rPr>
        <w:t xml:space="preserve">. </w:t>
      </w:r>
    </w:p>
    <w:p w:rsidR="0006270F" w:rsidRPr="00632517" w:rsidRDefault="0006270F" w:rsidP="006305F7">
      <w:pPr>
        <w:numPr>
          <w:ilvl w:val="0"/>
          <w:numId w:val="5"/>
        </w:numPr>
        <w:tabs>
          <w:tab w:val="left" w:pos="851"/>
        </w:tabs>
        <w:ind w:left="1134" w:hanging="283"/>
        <w:rPr>
          <w:sz w:val="24"/>
          <w:szCs w:val="24"/>
          <w:lang w:val="en-US"/>
        </w:rPr>
      </w:pPr>
      <w:proofErr w:type="spellStart"/>
      <w:r w:rsidRPr="00632517">
        <w:rPr>
          <w:sz w:val="24"/>
          <w:szCs w:val="24"/>
          <w:lang w:val="en-US"/>
        </w:rPr>
        <w:t>Emylif</w:t>
      </w:r>
      <w:proofErr w:type="spellEnd"/>
      <w:r w:rsidRPr="00632517">
        <w:rPr>
          <w:sz w:val="24"/>
          <w:szCs w:val="24"/>
          <w:lang w:val="en-US"/>
        </w:rPr>
        <w:t xml:space="preserve"> film should not be folded.</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Place </w:t>
      </w:r>
      <w:proofErr w:type="spellStart"/>
      <w:r w:rsidRPr="00632517">
        <w:rPr>
          <w:sz w:val="24"/>
          <w:szCs w:val="24"/>
          <w:lang w:val="en-US"/>
        </w:rPr>
        <w:t>Emylif</w:t>
      </w:r>
      <w:proofErr w:type="spellEnd"/>
      <w:r w:rsidRPr="00632517">
        <w:rPr>
          <w:sz w:val="24"/>
          <w:szCs w:val="24"/>
          <w:lang w:val="en-US"/>
        </w:rPr>
        <w:t xml:space="preserve"> film on top of the tongue, film will stick to the tongue and begin to dissolve.</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Once mouth is closed, saliva will normally be swallowed as </w:t>
      </w:r>
      <w:proofErr w:type="spellStart"/>
      <w:r w:rsidRPr="00632517">
        <w:rPr>
          <w:sz w:val="24"/>
          <w:szCs w:val="24"/>
          <w:lang w:val="en-US"/>
        </w:rPr>
        <w:t>Emylif</w:t>
      </w:r>
      <w:proofErr w:type="spellEnd"/>
      <w:r w:rsidRPr="00632517">
        <w:rPr>
          <w:sz w:val="24"/>
          <w:szCs w:val="24"/>
          <w:lang w:val="en-US"/>
        </w:rPr>
        <w:t xml:space="preserve"> dissolves. </w:t>
      </w:r>
    </w:p>
    <w:p w:rsidR="0006270F" w:rsidRPr="00632517" w:rsidRDefault="0006270F" w:rsidP="006305F7">
      <w:pPr>
        <w:numPr>
          <w:ilvl w:val="0"/>
          <w:numId w:val="5"/>
        </w:numPr>
        <w:tabs>
          <w:tab w:val="left" w:pos="851"/>
        </w:tabs>
        <w:ind w:left="1134" w:hanging="283"/>
        <w:rPr>
          <w:sz w:val="24"/>
          <w:szCs w:val="24"/>
          <w:lang w:val="en-US"/>
        </w:rPr>
      </w:pPr>
      <w:proofErr w:type="spellStart"/>
      <w:r w:rsidRPr="00632517">
        <w:rPr>
          <w:sz w:val="24"/>
          <w:szCs w:val="24"/>
          <w:lang w:val="en-US"/>
        </w:rPr>
        <w:t>Emylif</w:t>
      </w:r>
      <w:proofErr w:type="spellEnd"/>
      <w:r w:rsidRPr="00632517">
        <w:rPr>
          <w:sz w:val="24"/>
          <w:szCs w:val="24"/>
          <w:lang w:val="en-US"/>
        </w:rPr>
        <w:t xml:space="preserve"> should not be taken with liquids, chewed or spitted.</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Patient should not talk while </w:t>
      </w:r>
      <w:proofErr w:type="spellStart"/>
      <w:r w:rsidRPr="00632517">
        <w:rPr>
          <w:sz w:val="24"/>
          <w:szCs w:val="24"/>
          <w:lang w:val="en-US"/>
        </w:rPr>
        <w:t>Emylif</w:t>
      </w:r>
      <w:proofErr w:type="spellEnd"/>
      <w:r w:rsidRPr="00632517">
        <w:rPr>
          <w:sz w:val="24"/>
          <w:szCs w:val="24"/>
          <w:lang w:val="en-US"/>
        </w:rPr>
        <w:t xml:space="preserve"> dissolves.</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After the administration of </w:t>
      </w:r>
      <w:proofErr w:type="spellStart"/>
      <w:r w:rsidRPr="00632517">
        <w:rPr>
          <w:sz w:val="24"/>
          <w:szCs w:val="24"/>
          <w:lang w:val="en-US"/>
        </w:rPr>
        <w:t>Emylif</w:t>
      </w:r>
      <w:proofErr w:type="spellEnd"/>
      <w:r w:rsidRPr="00632517">
        <w:rPr>
          <w:sz w:val="24"/>
          <w:szCs w:val="24"/>
          <w:lang w:val="en-US"/>
        </w:rPr>
        <w:t>, hands should be washed.</w:t>
      </w:r>
    </w:p>
    <w:p w:rsidR="0006270F" w:rsidRPr="00632517" w:rsidRDefault="0006270F" w:rsidP="006305F7">
      <w:pPr>
        <w:numPr>
          <w:ilvl w:val="0"/>
          <w:numId w:val="5"/>
        </w:numPr>
        <w:tabs>
          <w:tab w:val="left" w:pos="851"/>
        </w:tabs>
        <w:ind w:left="1134" w:hanging="283"/>
        <w:rPr>
          <w:sz w:val="24"/>
          <w:szCs w:val="24"/>
          <w:lang w:val="en-US"/>
        </w:rPr>
      </w:pPr>
      <w:r w:rsidRPr="00632517">
        <w:rPr>
          <w:sz w:val="24"/>
          <w:szCs w:val="24"/>
          <w:lang w:val="en-US"/>
        </w:rPr>
        <w:t xml:space="preserve">After the administration of </w:t>
      </w:r>
      <w:proofErr w:type="spellStart"/>
      <w:r w:rsidRPr="00632517">
        <w:rPr>
          <w:sz w:val="24"/>
          <w:szCs w:val="24"/>
          <w:lang w:val="en-US"/>
        </w:rPr>
        <w:t>Emylif</w:t>
      </w:r>
      <w:proofErr w:type="spellEnd"/>
      <w:r w:rsidRPr="00632517">
        <w:rPr>
          <w:sz w:val="24"/>
          <w:szCs w:val="24"/>
          <w:lang w:val="en-US"/>
        </w:rPr>
        <w:t>, it is recommended to use caution if taking food (see section 4.4).</w:t>
      </w:r>
    </w:p>
    <w:p w:rsidR="007C5D2A" w:rsidRPr="00632517" w:rsidRDefault="007C5D2A" w:rsidP="0006270F">
      <w:pPr>
        <w:tabs>
          <w:tab w:val="left" w:pos="851"/>
        </w:tabs>
        <w:ind w:left="1134" w:hanging="283"/>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110366" w:rsidRDefault="00110366" w:rsidP="00110366">
      <w:pPr>
        <w:pStyle w:val="Listeafsnit"/>
        <w:numPr>
          <w:ilvl w:val="0"/>
          <w:numId w:val="6"/>
        </w:numPr>
        <w:tabs>
          <w:tab w:val="left" w:pos="851"/>
        </w:tabs>
        <w:ind w:left="1134" w:hanging="283"/>
        <w:rPr>
          <w:sz w:val="24"/>
          <w:szCs w:val="24"/>
          <w:lang w:val="en-US"/>
        </w:rPr>
      </w:pPr>
      <w:r w:rsidRPr="00110366">
        <w:rPr>
          <w:sz w:val="24"/>
          <w:szCs w:val="24"/>
          <w:lang w:val="en-US"/>
        </w:rPr>
        <w:t xml:space="preserve">Hypersensitivity to the active substance or to any of the excipients listed in </w:t>
      </w:r>
      <w:r w:rsidR="006B7527">
        <w:fldChar w:fldCharType="begin"/>
      </w:r>
      <w:r w:rsidR="006B7527" w:rsidRPr="006B7527">
        <w:rPr>
          <w:lang w:val="en-US"/>
        </w:rPr>
        <w:instrText xml:space="preserve"> HYPERLINK "file:///C:\\Users\\hti\\AppData\\Local\\Microsoft\\Windows\\INetCache\\IE\\MMBF0A7Z\\131-common-combined_c</w:instrText>
      </w:r>
      <w:r w:rsidR="006B7527" w:rsidRPr="006B7527">
        <w:rPr>
          <w:lang w:val="en-US"/>
        </w:rPr>
        <w:instrText xml:space="preserve">lean%5b1%5d.docx" \l "_bookmark6" </w:instrText>
      </w:r>
      <w:r w:rsidR="006B7527">
        <w:fldChar w:fldCharType="separate"/>
      </w:r>
      <w:r w:rsidRPr="00110366">
        <w:rPr>
          <w:rStyle w:val="Hyperlink"/>
          <w:color w:val="auto"/>
          <w:sz w:val="24"/>
          <w:szCs w:val="24"/>
          <w:u w:val="none"/>
          <w:lang w:val="en-US"/>
        </w:rPr>
        <w:t>section 6.1</w:t>
      </w:r>
      <w:r w:rsidR="006B7527">
        <w:rPr>
          <w:rStyle w:val="Hyperlink"/>
          <w:color w:val="auto"/>
          <w:sz w:val="24"/>
          <w:szCs w:val="24"/>
          <w:u w:val="none"/>
          <w:lang w:val="en-US"/>
        </w:rPr>
        <w:fldChar w:fldCharType="end"/>
      </w:r>
      <w:r w:rsidRPr="00110366">
        <w:rPr>
          <w:sz w:val="24"/>
          <w:szCs w:val="24"/>
          <w:lang w:val="en-US"/>
        </w:rPr>
        <w:t>.</w:t>
      </w:r>
    </w:p>
    <w:p w:rsidR="00110366" w:rsidRDefault="00110366" w:rsidP="00110366">
      <w:pPr>
        <w:pStyle w:val="Listeafsnit"/>
        <w:numPr>
          <w:ilvl w:val="0"/>
          <w:numId w:val="6"/>
        </w:numPr>
        <w:tabs>
          <w:tab w:val="left" w:pos="851"/>
        </w:tabs>
        <w:ind w:left="1134" w:hanging="283"/>
        <w:rPr>
          <w:sz w:val="24"/>
          <w:szCs w:val="24"/>
          <w:lang w:val="en-US"/>
        </w:rPr>
      </w:pPr>
      <w:r w:rsidRPr="00110366">
        <w:rPr>
          <w:sz w:val="24"/>
          <w:szCs w:val="24"/>
          <w:lang w:val="en-US"/>
        </w:rPr>
        <w:t>Hepatic disease or baseline transaminases greater than 3 times the upper limit of normal.</w:t>
      </w:r>
    </w:p>
    <w:p w:rsidR="00110366" w:rsidRPr="00110366" w:rsidRDefault="00110366" w:rsidP="00110366">
      <w:pPr>
        <w:pStyle w:val="Listeafsnit"/>
        <w:numPr>
          <w:ilvl w:val="0"/>
          <w:numId w:val="6"/>
        </w:numPr>
        <w:tabs>
          <w:tab w:val="left" w:pos="851"/>
        </w:tabs>
        <w:ind w:left="1134" w:hanging="283"/>
        <w:rPr>
          <w:sz w:val="24"/>
          <w:szCs w:val="24"/>
          <w:lang w:val="en-US"/>
        </w:rPr>
      </w:pPr>
      <w:r w:rsidRPr="00110366">
        <w:rPr>
          <w:sz w:val="24"/>
          <w:szCs w:val="24"/>
          <w:lang w:val="en-US"/>
        </w:rPr>
        <w:t>Patients who are pregnant or breast-feeding.</w:t>
      </w:r>
    </w:p>
    <w:p w:rsidR="000F71DE" w:rsidRDefault="000F71DE">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110366" w:rsidRPr="00110366" w:rsidRDefault="00110366" w:rsidP="00110366">
      <w:pPr>
        <w:tabs>
          <w:tab w:val="left" w:pos="851"/>
        </w:tabs>
        <w:ind w:left="851"/>
        <w:rPr>
          <w:b/>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Liver impairment</w:t>
      </w:r>
    </w:p>
    <w:p w:rsidR="00110366" w:rsidRPr="00110366" w:rsidRDefault="00110366" w:rsidP="00110366">
      <w:pPr>
        <w:tabs>
          <w:tab w:val="left" w:pos="851"/>
        </w:tabs>
        <w:ind w:left="851"/>
        <w:rPr>
          <w:sz w:val="24"/>
          <w:szCs w:val="24"/>
          <w:lang w:val="en-US"/>
        </w:rPr>
      </w:pPr>
      <w:proofErr w:type="spellStart"/>
      <w:r w:rsidRPr="00110366">
        <w:rPr>
          <w:sz w:val="24"/>
          <w:szCs w:val="24"/>
          <w:lang w:val="en-US"/>
        </w:rPr>
        <w:t>Riluzole</w:t>
      </w:r>
      <w:proofErr w:type="spellEnd"/>
      <w:r w:rsidRPr="00110366">
        <w:rPr>
          <w:sz w:val="24"/>
          <w:szCs w:val="24"/>
          <w:lang w:val="en-US"/>
        </w:rPr>
        <w:t xml:space="preserve"> should be prescribed with care in patients with a history of abnormal liver function, or in patients with slightly elevated serum transaminases (ALT/SGPT; AST/SGOT up to 3 times the upper limit of the normal range (ULN)), bilirubin and/or gamma-glutamyl transferase (GGT) levels. Baseline elevations of several liver function tests (especially elevated bilirubin) should preclude the use of </w:t>
      </w:r>
      <w:proofErr w:type="spellStart"/>
      <w:r w:rsidRPr="00110366">
        <w:rPr>
          <w:sz w:val="24"/>
          <w:szCs w:val="24"/>
          <w:lang w:val="en-US"/>
        </w:rPr>
        <w:t>riluzole</w:t>
      </w:r>
      <w:proofErr w:type="spellEnd"/>
      <w:r w:rsidRPr="00110366">
        <w:rPr>
          <w:sz w:val="24"/>
          <w:szCs w:val="24"/>
          <w:lang w:val="en-US"/>
        </w:rPr>
        <w:t xml:space="preserve"> (see </w:t>
      </w:r>
      <w:r w:rsidR="006B7527">
        <w:fldChar w:fldCharType="begin"/>
      </w:r>
      <w:r w:rsidR="006B7527" w:rsidRPr="006B7527">
        <w:rPr>
          <w:lang w:val="en-US"/>
        </w:rPr>
        <w:instrText xml:space="preserve"> HYPERLINK "file:///C:\\Users\\hti\\AppData\\Local\\Microsoft\\Windows\\INetCache\\IE\\MMBF0A7Z\</w:instrText>
      </w:r>
      <w:r w:rsidR="006B7527" w:rsidRPr="006B7527">
        <w:rPr>
          <w:lang w:val="en-US"/>
        </w:rPr>
        <w:instrText xml:space="preserve">\131-common-combined_clean%5b1%5d.docx" \l "_bookmark2" </w:instrText>
      </w:r>
      <w:r w:rsidR="006B7527">
        <w:fldChar w:fldCharType="separate"/>
      </w:r>
      <w:r w:rsidRPr="00110366">
        <w:rPr>
          <w:rStyle w:val="Hyperlink"/>
          <w:sz w:val="24"/>
          <w:szCs w:val="24"/>
          <w:lang w:val="en-US"/>
        </w:rPr>
        <w:t>section 4.8</w:t>
      </w:r>
      <w:r w:rsidR="006B7527">
        <w:rPr>
          <w:rStyle w:val="Hyperlink"/>
          <w:sz w:val="24"/>
          <w:szCs w:val="24"/>
          <w:lang w:val="en-US"/>
        </w:rPr>
        <w:fldChar w:fldCharType="end"/>
      </w:r>
      <w:r w:rsidRPr="00110366">
        <w:rPr>
          <w:sz w:val="24"/>
          <w:szCs w:val="24"/>
          <w:lang w:val="en-US"/>
        </w:rPr>
        <w:t>).</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lang w:val="en-US"/>
        </w:rPr>
        <w:t xml:space="preserve">Because of the risk of hepatitis, serum transaminases, including ALT, should be measured before and during therapy with </w:t>
      </w:r>
      <w:proofErr w:type="spellStart"/>
      <w:r w:rsidRPr="00110366">
        <w:rPr>
          <w:sz w:val="24"/>
          <w:szCs w:val="24"/>
          <w:lang w:val="en-US"/>
        </w:rPr>
        <w:t>riluzole</w:t>
      </w:r>
      <w:proofErr w:type="spellEnd"/>
      <w:r w:rsidRPr="00110366">
        <w:rPr>
          <w:sz w:val="24"/>
          <w:szCs w:val="24"/>
          <w:lang w:val="en-US"/>
        </w:rPr>
        <w:t>. ALT should be measured every month during the first 3 months of treatment, every 3 months during the remainder of the first year, and periodically thereafter. ALT levels should be measured more frequently in patients who develop elevated ALT levels.</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proofErr w:type="spellStart"/>
      <w:r w:rsidRPr="00110366">
        <w:rPr>
          <w:sz w:val="24"/>
          <w:szCs w:val="24"/>
          <w:lang w:val="en-US"/>
        </w:rPr>
        <w:t>Riluzole</w:t>
      </w:r>
      <w:proofErr w:type="spellEnd"/>
      <w:r w:rsidRPr="00110366">
        <w:rPr>
          <w:sz w:val="24"/>
          <w:szCs w:val="24"/>
          <w:lang w:val="en-US"/>
        </w:rPr>
        <w:t xml:space="preserve"> should be discontinued if the ALT levels increase to 5 times the ULN. There is no experience with dose reduction or </w:t>
      </w:r>
      <w:proofErr w:type="spellStart"/>
      <w:r w:rsidRPr="00110366">
        <w:rPr>
          <w:sz w:val="24"/>
          <w:szCs w:val="24"/>
          <w:lang w:val="en-US"/>
        </w:rPr>
        <w:t>rechallenge</w:t>
      </w:r>
      <w:proofErr w:type="spellEnd"/>
      <w:r w:rsidRPr="00110366">
        <w:rPr>
          <w:sz w:val="24"/>
          <w:szCs w:val="24"/>
          <w:lang w:val="en-US"/>
        </w:rPr>
        <w:t xml:space="preserve"> in patients who have developed an increase of ALT to 5 times ULN. </w:t>
      </w:r>
      <w:proofErr w:type="spellStart"/>
      <w:r w:rsidRPr="00110366">
        <w:rPr>
          <w:sz w:val="24"/>
          <w:szCs w:val="24"/>
          <w:lang w:val="en-US"/>
        </w:rPr>
        <w:t>Readministration</w:t>
      </w:r>
      <w:proofErr w:type="spellEnd"/>
      <w:r w:rsidRPr="00110366">
        <w:rPr>
          <w:sz w:val="24"/>
          <w:szCs w:val="24"/>
          <w:lang w:val="en-US"/>
        </w:rPr>
        <w:t xml:space="preserve"> of </w:t>
      </w:r>
      <w:proofErr w:type="spellStart"/>
      <w:r w:rsidRPr="00110366">
        <w:rPr>
          <w:sz w:val="24"/>
          <w:szCs w:val="24"/>
          <w:lang w:val="en-US"/>
        </w:rPr>
        <w:t>riluzole</w:t>
      </w:r>
      <w:proofErr w:type="spellEnd"/>
      <w:r w:rsidRPr="00110366">
        <w:rPr>
          <w:sz w:val="24"/>
          <w:szCs w:val="24"/>
          <w:lang w:val="en-US"/>
        </w:rPr>
        <w:t xml:space="preserve"> to patients in this situation cannot be recommended.</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Neutropenia</w:t>
      </w:r>
    </w:p>
    <w:p w:rsidR="00110366" w:rsidRPr="00110366" w:rsidRDefault="00110366" w:rsidP="00110366">
      <w:pPr>
        <w:tabs>
          <w:tab w:val="left" w:pos="851"/>
        </w:tabs>
        <w:ind w:left="851"/>
        <w:rPr>
          <w:sz w:val="24"/>
          <w:szCs w:val="24"/>
          <w:lang w:val="en-US"/>
        </w:rPr>
      </w:pPr>
      <w:r w:rsidRPr="00110366">
        <w:rPr>
          <w:sz w:val="24"/>
          <w:szCs w:val="24"/>
          <w:lang w:val="en-US"/>
        </w:rPr>
        <w:t xml:space="preserve">Patients should be warned to report any febrile illness to their physicians. The report of a febrile illness should prompt physicians to check white blood cell counts and to discontinue </w:t>
      </w:r>
      <w:proofErr w:type="spellStart"/>
      <w:r w:rsidRPr="00110366">
        <w:rPr>
          <w:sz w:val="24"/>
          <w:szCs w:val="24"/>
          <w:lang w:val="en-US"/>
        </w:rPr>
        <w:t>riluzole</w:t>
      </w:r>
      <w:proofErr w:type="spellEnd"/>
      <w:r w:rsidRPr="00110366">
        <w:rPr>
          <w:sz w:val="24"/>
          <w:szCs w:val="24"/>
          <w:lang w:val="en-US"/>
        </w:rPr>
        <w:t xml:space="preserve"> in case of neutropenia (see section 4.8).</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Interstitial lung disease</w:t>
      </w:r>
    </w:p>
    <w:p w:rsidR="00110366" w:rsidRPr="00110366" w:rsidRDefault="00110366" w:rsidP="00110366">
      <w:pPr>
        <w:tabs>
          <w:tab w:val="left" w:pos="851"/>
        </w:tabs>
        <w:ind w:left="851"/>
        <w:rPr>
          <w:sz w:val="24"/>
          <w:szCs w:val="24"/>
          <w:lang w:val="en-US"/>
        </w:rPr>
      </w:pPr>
      <w:r w:rsidRPr="00110366">
        <w:rPr>
          <w:sz w:val="24"/>
          <w:szCs w:val="24"/>
          <w:lang w:val="en-US"/>
        </w:rPr>
        <w:t xml:space="preserve">Cases of interstitial lung disease have been reported in patients treated with </w:t>
      </w:r>
      <w:proofErr w:type="spellStart"/>
      <w:r w:rsidRPr="00110366">
        <w:rPr>
          <w:sz w:val="24"/>
          <w:szCs w:val="24"/>
          <w:lang w:val="en-US"/>
        </w:rPr>
        <w:t>riluzole</w:t>
      </w:r>
      <w:proofErr w:type="spellEnd"/>
      <w:r w:rsidRPr="00110366">
        <w:rPr>
          <w:sz w:val="24"/>
          <w:szCs w:val="24"/>
          <w:lang w:val="en-US"/>
        </w:rPr>
        <w:t xml:space="preserve">, some of them were severe (see section 4.8). If respiratory symptoms develop such as dry cough and/or </w:t>
      </w:r>
      <w:proofErr w:type="spellStart"/>
      <w:r w:rsidRPr="00110366">
        <w:rPr>
          <w:sz w:val="24"/>
          <w:szCs w:val="24"/>
          <w:lang w:val="en-US"/>
        </w:rPr>
        <w:t>dyspnoea</w:t>
      </w:r>
      <w:proofErr w:type="spellEnd"/>
      <w:r w:rsidRPr="00110366">
        <w:rPr>
          <w:sz w:val="24"/>
          <w:szCs w:val="24"/>
          <w:lang w:val="en-US"/>
        </w:rPr>
        <w:t xml:space="preserve">, chest radiography should be performed, and in case of findings suggestive of interstitial lung disease (e.g. bilateral diffuse lung opacities), </w:t>
      </w:r>
      <w:proofErr w:type="spellStart"/>
      <w:r w:rsidRPr="00110366">
        <w:rPr>
          <w:sz w:val="24"/>
          <w:szCs w:val="24"/>
          <w:lang w:val="en-US"/>
        </w:rPr>
        <w:t>riluzole</w:t>
      </w:r>
      <w:proofErr w:type="spellEnd"/>
      <w:r w:rsidRPr="00110366">
        <w:rPr>
          <w:sz w:val="24"/>
          <w:szCs w:val="24"/>
          <w:lang w:val="en-US"/>
        </w:rPr>
        <w:t xml:space="preserve"> should be discontinued immediately. In the majority of the reported cases, symptoms resolved after medicinal product discontinuation and symptomatic treatment.</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Renal impairment</w:t>
      </w:r>
    </w:p>
    <w:p w:rsidR="00110366" w:rsidRPr="000F71DE" w:rsidRDefault="00110366" w:rsidP="00110366">
      <w:pPr>
        <w:tabs>
          <w:tab w:val="left" w:pos="851"/>
        </w:tabs>
        <w:ind w:left="851"/>
        <w:rPr>
          <w:sz w:val="24"/>
          <w:szCs w:val="24"/>
          <w:lang w:val="en-US"/>
        </w:rPr>
      </w:pPr>
      <w:r w:rsidRPr="000F71DE">
        <w:rPr>
          <w:sz w:val="24"/>
          <w:szCs w:val="24"/>
          <w:lang w:val="en-US"/>
        </w:rPr>
        <w:t xml:space="preserve">Studies at repeated doses have not been conducted in patients with impaired renal function (see </w:t>
      </w:r>
      <w:r w:rsidR="006B7527">
        <w:fldChar w:fldCharType="begin"/>
      </w:r>
      <w:r w:rsidR="006B7527" w:rsidRPr="006B7527">
        <w:rPr>
          <w:lang w:val="en-US"/>
        </w:rPr>
        <w:instrText xml:space="preserve"> HYPERLINK "file:///C:\\Users\\hti\\AppData\\Local\\Microsoft\\Windows\\INetCache\\IE\\MMBF0A7Z\\131-common-combined_clean%5b1%5d.docx" \l "_bookmar</w:instrText>
      </w:r>
      <w:r w:rsidR="006B7527" w:rsidRPr="006B7527">
        <w:rPr>
          <w:lang w:val="en-US"/>
        </w:rPr>
        <w:instrText xml:space="preserve">k0" </w:instrText>
      </w:r>
      <w:r w:rsidR="006B7527">
        <w:fldChar w:fldCharType="separate"/>
      </w:r>
      <w:r w:rsidRPr="000F71DE">
        <w:rPr>
          <w:rStyle w:val="Hyperlink"/>
          <w:color w:val="auto"/>
          <w:sz w:val="24"/>
          <w:szCs w:val="24"/>
          <w:u w:val="none"/>
          <w:lang w:val="en-US"/>
        </w:rPr>
        <w:t>section</w:t>
      </w:r>
      <w:r w:rsidR="006B7527">
        <w:rPr>
          <w:rStyle w:val="Hyperlink"/>
          <w:color w:val="auto"/>
          <w:sz w:val="24"/>
          <w:szCs w:val="24"/>
          <w:u w:val="none"/>
          <w:lang w:val="en-US"/>
        </w:rPr>
        <w:fldChar w:fldCharType="end"/>
      </w:r>
      <w:r w:rsidRPr="000F71DE">
        <w:rPr>
          <w:sz w:val="24"/>
          <w:szCs w:val="24"/>
          <w:lang w:val="en-US"/>
        </w:rPr>
        <w:t xml:space="preserve"> </w:t>
      </w:r>
      <w:r w:rsidR="006B7527">
        <w:fldChar w:fldCharType="begin"/>
      </w:r>
      <w:r w:rsidR="006B7527" w:rsidRPr="006B7527">
        <w:rPr>
          <w:lang w:val="en-US"/>
        </w:rPr>
        <w:instrText xml:space="preserve"> HYPERLINK "file:///C:\\Users\\hti\\AppData\\Local\\Microsoft\\Windows\\INetCache\\IE\\MMBF0A7Z\\131-common-combined_clean%5b1%5d.docx" \l "_bookmark0" </w:instrText>
      </w:r>
      <w:r w:rsidR="006B7527">
        <w:fldChar w:fldCharType="separate"/>
      </w:r>
      <w:r w:rsidRPr="000F71DE">
        <w:rPr>
          <w:rStyle w:val="Hyperlink"/>
          <w:color w:val="auto"/>
          <w:sz w:val="24"/>
          <w:szCs w:val="24"/>
          <w:u w:val="none"/>
          <w:lang w:val="en-US"/>
        </w:rPr>
        <w:t>4.2</w:t>
      </w:r>
      <w:r w:rsidR="006B7527">
        <w:rPr>
          <w:rStyle w:val="Hyperlink"/>
          <w:color w:val="auto"/>
          <w:sz w:val="24"/>
          <w:szCs w:val="24"/>
          <w:u w:val="none"/>
          <w:lang w:val="en-US"/>
        </w:rPr>
        <w:fldChar w:fldCharType="end"/>
      </w:r>
      <w:r w:rsidRPr="000F71DE">
        <w:rPr>
          <w:sz w:val="24"/>
          <w:szCs w:val="24"/>
          <w:lang w:val="en-US"/>
        </w:rPr>
        <w:t>).</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Oral hypoesthesia</w:t>
      </w:r>
    </w:p>
    <w:p w:rsidR="00110366" w:rsidRPr="00110366" w:rsidRDefault="00110366" w:rsidP="00110366">
      <w:pPr>
        <w:tabs>
          <w:tab w:val="left" w:pos="851"/>
        </w:tabs>
        <w:ind w:left="851"/>
        <w:rPr>
          <w:sz w:val="24"/>
          <w:szCs w:val="24"/>
          <w:lang w:val="en-US"/>
        </w:rPr>
      </w:pPr>
      <w:r w:rsidRPr="00110366">
        <w:rPr>
          <w:sz w:val="24"/>
          <w:szCs w:val="24"/>
          <w:lang w:val="en-US"/>
        </w:rPr>
        <w:t xml:space="preserve">In a single dose study in healthy </w:t>
      </w:r>
      <w:proofErr w:type="gramStart"/>
      <w:r w:rsidRPr="00110366">
        <w:rPr>
          <w:sz w:val="24"/>
          <w:szCs w:val="24"/>
          <w:lang w:val="en-US"/>
        </w:rPr>
        <w:t>subjects</w:t>
      </w:r>
      <w:proofErr w:type="gramEnd"/>
      <w:r w:rsidRPr="00110366">
        <w:rPr>
          <w:sz w:val="24"/>
          <w:szCs w:val="24"/>
          <w:lang w:val="en-US"/>
        </w:rPr>
        <w:t xml:space="preserve"> mild transient oral hypoesthesia has been reported. Median time to onset was 1 minute from the administration and median duration 40 minutes. In case oral hypoesthesia occurs, it is recommended to use caution if taking food until the symptom improves (see section 4.2).</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lang w:val="en-US"/>
        </w:rPr>
        <w:t xml:space="preserve">The swallowing safety of </w:t>
      </w:r>
      <w:proofErr w:type="spellStart"/>
      <w:r w:rsidRPr="00110366">
        <w:rPr>
          <w:sz w:val="24"/>
          <w:szCs w:val="24"/>
          <w:lang w:val="en-US"/>
        </w:rPr>
        <w:t>Emylif</w:t>
      </w:r>
      <w:proofErr w:type="spellEnd"/>
      <w:r w:rsidRPr="00110366">
        <w:rPr>
          <w:sz w:val="24"/>
          <w:szCs w:val="24"/>
          <w:lang w:val="en-US"/>
        </w:rPr>
        <w:t xml:space="preserve"> has not been evaluated in patients with severe sialorrhea or dysphagia. Caution should be exercised when administering </w:t>
      </w:r>
      <w:proofErr w:type="spellStart"/>
      <w:r w:rsidRPr="00110366">
        <w:rPr>
          <w:sz w:val="24"/>
          <w:szCs w:val="24"/>
          <w:lang w:val="en-US"/>
        </w:rPr>
        <w:t>Emylif</w:t>
      </w:r>
      <w:proofErr w:type="spellEnd"/>
      <w:r w:rsidRPr="00110366">
        <w:rPr>
          <w:sz w:val="24"/>
          <w:szCs w:val="24"/>
          <w:lang w:val="en-US"/>
        </w:rPr>
        <w:t xml:space="preserve"> to these patients.</w:t>
      </w:r>
    </w:p>
    <w:p w:rsidR="00110366" w:rsidRPr="00110366" w:rsidRDefault="00110366" w:rsidP="00110366">
      <w:pPr>
        <w:tabs>
          <w:tab w:val="left" w:pos="851"/>
        </w:tabs>
        <w:ind w:left="851"/>
        <w:rPr>
          <w:sz w:val="24"/>
          <w:szCs w:val="24"/>
          <w:u w:val="single"/>
          <w:lang w:val="en-US"/>
        </w:rPr>
      </w:pPr>
    </w:p>
    <w:p w:rsidR="00110366" w:rsidRPr="00110366" w:rsidRDefault="00110366" w:rsidP="00110366">
      <w:pPr>
        <w:tabs>
          <w:tab w:val="left" w:pos="851"/>
        </w:tabs>
        <w:ind w:left="851"/>
        <w:rPr>
          <w:sz w:val="24"/>
          <w:szCs w:val="24"/>
          <w:lang w:val="en-US"/>
        </w:rPr>
      </w:pPr>
      <w:r w:rsidRPr="00110366">
        <w:rPr>
          <w:sz w:val="24"/>
          <w:szCs w:val="24"/>
          <w:u w:val="single"/>
          <w:lang w:val="en-US"/>
        </w:rPr>
        <w:t>Fructose</w:t>
      </w:r>
    </w:p>
    <w:p w:rsidR="00110366" w:rsidRPr="00110366" w:rsidRDefault="00110366" w:rsidP="00110366">
      <w:pPr>
        <w:tabs>
          <w:tab w:val="left" w:pos="851"/>
        </w:tabs>
        <w:ind w:left="851"/>
        <w:rPr>
          <w:sz w:val="24"/>
          <w:szCs w:val="24"/>
          <w:lang w:val="en-US"/>
        </w:rPr>
      </w:pPr>
      <w:r w:rsidRPr="00110366">
        <w:rPr>
          <w:sz w:val="24"/>
          <w:szCs w:val="24"/>
          <w:lang w:val="en-US"/>
        </w:rPr>
        <w:t xml:space="preserve">Each </w:t>
      </w:r>
      <w:proofErr w:type="spellStart"/>
      <w:r w:rsidRPr="00110366">
        <w:rPr>
          <w:sz w:val="24"/>
          <w:szCs w:val="24"/>
          <w:lang w:val="en-US"/>
        </w:rPr>
        <w:t>orodispersible</w:t>
      </w:r>
      <w:proofErr w:type="spellEnd"/>
      <w:r w:rsidRPr="00110366">
        <w:rPr>
          <w:sz w:val="24"/>
          <w:szCs w:val="24"/>
          <w:lang w:val="en-US"/>
        </w:rPr>
        <w:t xml:space="preserve"> film contains 2 mg. Fructose may damage teeth.</w:t>
      </w:r>
    </w:p>
    <w:p w:rsidR="00110366" w:rsidRPr="00110366" w:rsidRDefault="00110366" w:rsidP="00110366">
      <w:pPr>
        <w:tabs>
          <w:tab w:val="left" w:pos="851"/>
        </w:tabs>
        <w:ind w:left="851"/>
        <w:rPr>
          <w:sz w:val="24"/>
          <w:szCs w:val="24"/>
          <w:lang w:val="en-US"/>
        </w:rPr>
      </w:pPr>
    </w:p>
    <w:p w:rsidR="00110366" w:rsidRPr="00110366" w:rsidRDefault="00110366" w:rsidP="00110366">
      <w:pPr>
        <w:tabs>
          <w:tab w:val="left" w:pos="851"/>
        </w:tabs>
        <w:ind w:left="851"/>
        <w:rPr>
          <w:sz w:val="24"/>
          <w:szCs w:val="24"/>
          <w:lang w:val="en-US"/>
        </w:rPr>
      </w:pPr>
      <w:r w:rsidRPr="00110366">
        <w:rPr>
          <w:sz w:val="24"/>
          <w:szCs w:val="24"/>
          <w:lang w:val="en-US"/>
        </w:rPr>
        <w:lastRenderedPageBreak/>
        <w:t>This medicinal product contains Sunset yellow FCF (E110), which may cause allergic reactions.</w:t>
      </w:r>
    </w:p>
    <w:p w:rsidR="00110366" w:rsidRPr="00110366" w:rsidRDefault="00110366" w:rsidP="00110366">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0F71DE" w:rsidRPr="000F71DE" w:rsidRDefault="000F71DE" w:rsidP="000F71DE">
      <w:pPr>
        <w:tabs>
          <w:tab w:val="left" w:pos="851"/>
        </w:tabs>
        <w:ind w:left="851"/>
        <w:rPr>
          <w:sz w:val="24"/>
          <w:szCs w:val="24"/>
          <w:lang w:val="en-US"/>
        </w:rPr>
      </w:pPr>
      <w:r w:rsidRPr="000F71DE">
        <w:rPr>
          <w:sz w:val="24"/>
          <w:szCs w:val="24"/>
          <w:lang w:val="en-US"/>
        </w:rPr>
        <w:t xml:space="preserve">There have been no clinical studies to evaluate the interactions of </w:t>
      </w:r>
      <w:proofErr w:type="spellStart"/>
      <w:r w:rsidRPr="000F71DE">
        <w:rPr>
          <w:sz w:val="24"/>
          <w:szCs w:val="24"/>
          <w:lang w:val="en-US"/>
        </w:rPr>
        <w:t>riluzole</w:t>
      </w:r>
      <w:proofErr w:type="spellEnd"/>
      <w:r w:rsidRPr="000F71DE">
        <w:rPr>
          <w:sz w:val="24"/>
          <w:szCs w:val="24"/>
          <w:lang w:val="en-US"/>
        </w:rPr>
        <w:t xml:space="preserve"> with other medicinal</w:t>
      </w:r>
      <w:bookmarkStart w:id="6" w:name="4.6_Fertility,_pregnancy_and_lactation"/>
      <w:bookmarkStart w:id="7" w:name="4.7_Effects_on_ability_to_drive_and_use_"/>
      <w:bookmarkStart w:id="8" w:name="4.8_Undesirable_effects"/>
      <w:bookmarkStart w:id="9" w:name="_bookmark2"/>
      <w:bookmarkEnd w:id="6"/>
      <w:bookmarkEnd w:id="7"/>
      <w:bookmarkEnd w:id="8"/>
      <w:bookmarkEnd w:id="9"/>
      <w:r w:rsidRPr="000F71DE">
        <w:rPr>
          <w:sz w:val="24"/>
          <w:szCs w:val="24"/>
          <w:lang w:val="en-US"/>
        </w:rPr>
        <w:t xml:space="preserve"> products.</w:t>
      </w:r>
    </w:p>
    <w:p w:rsidR="000F71DE" w:rsidRPr="000F71DE" w:rsidRDefault="000F71DE" w:rsidP="000F71DE">
      <w:pPr>
        <w:tabs>
          <w:tab w:val="left" w:pos="851"/>
        </w:tabs>
        <w:ind w:left="851"/>
        <w:rPr>
          <w:sz w:val="24"/>
          <w:szCs w:val="24"/>
          <w:lang w:val="en-US"/>
        </w:rPr>
      </w:pPr>
    </w:p>
    <w:p w:rsidR="000F71DE" w:rsidRPr="000F71DE" w:rsidRDefault="000F71DE" w:rsidP="000F71DE">
      <w:pPr>
        <w:tabs>
          <w:tab w:val="left" w:pos="851"/>
        </w:tabs>
        <w:ind w:left="851"/>
        <w:rPr>
          <w:sz w:val="24"/>
          <w:szCs w:val="24"/>
          <w:lang w:val="en-US"/>
        </w:rPr>
      </w:pPr>
      <w:r w:rsidRPr="000F71DE">
        <w:rPr>
          <w:i/>
          <w:sz w:val="24"/>
          <w:szCs w:val="24"/>
          <w:lang w:val="en-US"/>
        </w:rPr>
        <w:t xml:space="preserve">In vitro </w:t>
      </w:r>
      <w:r w:rsidRPr="000F71DE">
        <w:rPr>
          <w:sz w:val="24"/>
          <w:szCs w:val="24"/>
          <w:lang w:val="en-US"/>
        </w:rPr>
        <w:t xml:space="preserve">studies using human liver microsomal preparations suggest that CYP 1A2 is the principal isozyme involved in the initial oxidative metabolism of </w:t>
      </w:r>
      <w:proofErr w:type="spellStart"/>
      <w:r w:rsidRPr="000F71DE">
        <w:rPr>
          <w:sz w:val="24"/>
          <w:szCs w:val="24"/>
          <w:lang w:val="en-US"/>
        </w:rPr>
        <w:t>riluzole</w:t>
      </w:r>
      <w:proofErr w:type="spellEnd"/>
      <w:r w:rsidRPr="000F71DE">
        <w:rPr>
          <w:sz w:val="24"/>
          <w:szCs w:val="24"/>
          <w:lang w:val="en-US"/>
        </w:rPr>
        <w:t xml:space="preserve">. Inhibitors of CYP 1A2 (e.g. caffeine, diclofenac, diazepam, nicergoline, clomipramine, imipramine, fluvoxamine, phenacetin, theophylline, amitriptyline and quinolones) could potentially decrease the rate of </w:t>
      </w:r>
      <w:proofErr w:type="spellStart"/>
      <w:r w:rsidRPr="000F71DE">
        <w:rPr>
          <w:sz w:val="24"/>
          <w:szCs w:val="24"/>
          <w:lang w:val="en-US"/>
        </w:rPr>
        <w:t>riluzole</w:t>
      </w:r>
      <w:proofErr w:type="spellEnd"/>
      <w:r w:rsidRPr="000F71DE">
        <w:rPr>
          <w:sz w:val="24"/>
          <w:szCs w:val="24"/>
          <w:lang w:val="en-US"/>
        </w:rPr>
        <w:t xml:space="preserve"> elimination, while inducers of CYP 1A2 (e.g. cigarette smoke, charcoal-broiled food, rifampicin and omeprazole) could increase the rate of </w:t>
      </w:r>
      <w:proofErr w:type="spellStart"/>
      <w:r w:rsidRPr="000F71DE">
        <w:rPr>
          <w:sz w:val="24"/>
          <w:szCs w:val="24"/>
          <w:lang w:val="en-US"/>
        </w:rPr>
        <w:t>riluzole</w:t>
      </w:r>
      <w:proofErr w:type="spellEnd"/>
      <w:r w:rsidRPr="000F71DE">
        <w:rPr>
          <w:sz w:val="24"/>
          <w:szCs w:val="24"/>
          <w:lang w:val="en-US"/>
        </w:rPr>
        <w:t xml:space="preserve"> elimination.</w:t>
      </w:r>
    </w:p>
    <w:p w:rsidR="000F71DE" w:rsidRPr="000F71DE" w:rsidRDefault="000F71DE" w:rsidP="000F71DE">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0F71DE" w:rsidRPr="000F71DE" w:rsidRDefault="000F71DE" w:rsidP="000F71DE">
      <w:pPr>
        <w:tabs>
          <w:tab w:val="left" w:pos="851"/>
        </w:tabs>
        <w:ind w:left="851"/>
        <w:rPr>
          <w:b/>
          <w:sz w:val="24"/>
          <w:szCs w:val="24"/>
          <w:lang w:val="en-US"/>
        </w:rPr>
      </w:pPr>
    </w:p>
    <w:p w:rsidR="000F71DE" w:rsidRPr="000F71DE" w:rsidRDefault="000F71DE" w:rsidP="000F71DE">
      <w:pPr>
        <w:tabs>
          <w:tab w:val="left" w:pos="851"/>
        </w:tabs>
        <w:ind w:left="851"/>
        <w:rPr>
          <w:sz w:val="24"/>
          <w:szCs w:val="24"/>
          <w:lang w:val="en-US"/>
        </w:rPr>
      </w:pPr>
      <w:r w:rsidRPr="000F71DE">
        <w:rPr>
          <w:sz w:val="24"/>
          <w:szCs w:val="24"/>
          <w:u w:val="single"/>
          <w:lang w:val="en-US"/>
        </w:rPr>
        <w:t>Pregnancy</w:t>
      </w:r>
    </w:p>
    <w:p w:rsidR="000F71DE" w:rsidRPr="000F71DE" w:rsidRDefault="000F71DE" w:rsidP="000F71DE">
      <w:pPr>
        <w:tabs>
          <w:tab w:val="left" w:pos="851"/>
        </w:tabs>
        <w:ind w:left="851"/>
        <w:rPr>
          <w:sz w:val="24"/>
          <w:szCs w:val="24"/>
          <w:lang w:val="en-US"/>
        </w:rPr>
      </w:pPr>
      <w:proofErr w:type="spellStart"/>
      <w:r w:rsidRPr="000F71DE">
        <w:rPr>
          <w:sz w:val="24"/>
          <w:szCs w:val="24"/>
          <w:lang w:val="en-US"/>
        </w:rPr>
        <w:t>Emylif</w:t>
      </w:r>
      <w:proofErr w:type="spellEnd"/>
      <w:r w:rsidRPr="000F71DE">
        <w:rPr>
          <w:sz w:val="24"/>
          <w:szCs w:val="24"/>
          <w:lang w:val="en-US"/>
        </w:rPr>
        <w:t xml:space="preserve"> is contraindicated in pregnancy (see </w:t>
      </w:r>
      <w:r w:rsidR="006B7527">
        <w:fldChar w:fldCharType="begin"/>
      </w:r>
      <w:r w:rsidR="006B7527" w:rsidRPr="006B7527">
        <w:rPr>
          <w:lang w:val="en-US"/>
        </w:rPr>
        <w:instrText xml:space="preserve"> HYPERLINK "file:///C:\\Users\\hti\\AppData\\Local\\Microsoft\\Windows\\INetCache\\IE\\MMBF0A7Z\\1</w:instrText>
      </w:r>
      <w:r w:rsidR="006B7527" w:rsidRPr="006B7527">
        <w:rPr>
          <w:lang w:val="en-US"/>
        </w:rPr>
        <w:instrText xml:space="preserve">31-common-combined_clean%5b1%5d.docx" \l "_bookmark1" </w:instrText>
      </w:r>
      <w:r w:rsidR="006B7527">
        <w:fldChar w:fldCharType="separate"/>
      </w:r>
      <w:r w:rsidRPr="000F71DE">
        <w:rPr>
          <w:rStyle w:val="Hyperlink"/>
          <w:color w:val="auto"/>
          <w:sz w:val="24"/>
          <w:szCs w:val="24"/>
          <w:u w:val="none"/>
          <w:lang w:val="en-US"/>
        </w:rPr>
        <w:t xml:space="preserve">sections 4.3 </w:t>
      </w:r>
      <w:r w:rsidR="006B7527">
        <w:rPr>
          <w:rStyle w:val="Hyperlink"/>
          <w:color w:val="auto"/>
          <w:sz w:val="24"/>
          <w:szCs w:val="24"/>
          <w:u w:val="none"/>
          <w:lang w:val="en-US"/>
        </w:rPr>
        <w:fldChar w:fldCharType="end"/>
      </w:r>
      <w:r w:rsidRPr="000F71DE">
        <w:rPr>
          <w:sz w:val="24"/>
          <w:szCs w:val="24"/>
          <w:lang w:val="en-US"/>
        </w:rPr>
        <w:t xml:space="preserve">and 5.3). Clinical experience with </w:t>
      </w:r>
      <w:proofErr w:type="spellStart"/>
      <w:r w:rsidRPr="000F71DE">
        <w:rPr>
          <w:sz w:val="24"/>
          <w:szCs w:val="24"/>
          <w:lang w:val="en-US"/>
        </w:rPr>
        <w:t>riluzole</w:t>
      </w:r>
      <w:proofErr w:type="spellEnd"/>
      <w:r w:rsidRPr="000F71DE">
        <w:rPr>
          <w:sz w:val="24"/>
          <w:szCs w:val="24"/>
          <w:lang w:val="en-US"/>
        </w:rPr>
        <w:t xml:space="preserve"> in pregnant women is lacking.</w:t>
      </w:r>
    </w:p>
    <w:p w:rsidR="000F71DE" w:rsidRPr="000F71DE" w:rsidRDefault="000F71DE" w:rsidP="000F71DE">
      <w:pPr>
        <w:tabs>
          <w:tab w:val="left" w:pos="851"/>
        </w:tabs>
        <w:ind w:left="851"/>
        <w:rPr>
          <w:sz w:val="24"/>
          <w:szCs w:val="24"/>
          <w:lang w:val="en-US"/>
        </w:rPr>
      </w:pPr>
    </w:p>
    <w:p w:rsidR="000F71DE" w:rsidRPr="000F71DE" w:rsidRDefault="000F71DE" w:rsidP="000F71DE">
      <w:pPr>
        <w:tabs>
          <w:tab w:val="left" w:pos="851"/>
        </w:tabs>
        <w:ind w:left="851"/>
        <w:rPr>
          <w:sz w:val="24"/>
          <w:szCs w:val="24"/>
          <w:lang w:val="en-US"/>
        </w:rPr>
      </w:pPr>
      <w:r w:rsidRPr="000F71DE">
        <w:rPr>
          <w:sz w:val="24"/>
          <w:szCs w:val="24"/>
          <w:u w:val="single"/>
          <w:lang w:val="en-US"/>
        </w:rPr>
        <w:t>Breast-feeding</w:t>
      </w:r>
    </w:p>
    <w:p w:rsidR="000F71DE" w:rsidRPr="000F71DE" w:rsidRDefault="000F71DE" w:rsidP="000F71DE">
      <w:pPr>
        <w:tabs>
          <w:tab w:val="left" w:pos="851"/>
        </w:tabs>
        <w:ind w:left="851"/>
        <w:rPr>
          <w:sz w:val="24"/>
          <w:szCs w:val="24"/>
          <w:lang w:val="en-US"/>
        </w:rPr>
      </w:pPr>
      <w:proofErr w:type="spellStart"/>
      <w:r w:rsidRPr="000F71DE">
        <w:rPr>
          <w:sz w:val="24"/>
          <w:szCs w:val="24"/>
          <w:lang w:val="en-US"/>
        </w:rPr>
        <w:t>Emylif</w:t>
      </w:r>
      <w:proofErr w:type="spellEnd"/>
      <w:r w:rsidRPr="000F71DE">
        <w:rPr>
          <w:sz w:val="24"/>
          <w:szCs w:val="24"/>
          <w:lang w:val="en-US"/>
        </w:rPr>
        <w:t xml:space="preserve"> is contraindicated in breast-feeding women (see sections 4.3 and 5.3). It is not known whether </w:t>
      </w:r>
      <w:proofErr w:type="spellStart"/>
      <w:r w:rsidRPr="000F71DE">
        <w:rPr>
          <w:sz w:val="24"/>
          <w:szCs w:val="24"/>
          <w:lang w:val="en-US"/>
        </w:rPr>
        <w:t>riluzole</w:t>
      </w:r>
      <w:proofErr w:type="spellEnd"/>
      <w:r w:rsidRPr="000F71DE">
        <w:rPr>
          <w:sz w:val="24"/>
          <w:szCs w:val="24"/>
          <w:lang w:val="en-US"/>
        </w:rPr>
        <w:t xml:space="preserve"> is excreted in human milk.</w:t>
      </w:r>
    </w:p>
    <w:p w:rsidR="000F71DE" w:rsidRPr="000F71DE" w:rsidRDefault="000F71DE" w:rsidP="000F71DE">
      <w:pPr>
        <w:tabs>
          <w:tab w:val="left" w:pos="851"/>
        </w:tabs>
        <w:ind w:left="851"/>
        <w:rPr>
          <w:sz w:val="24"/>
          <w:szCs w:val="24"/>
          <w:lang w:val="en-US"/>
        </w:rPr>
      </w:pPr>
    </w:p>
    <w:p w:rsidR="000F71DE" w:rsidRPr="000F71DE" w:rsidRDefault="000F71DE" w:rsidP="000F71DE">
      <w:pPr>
        <w:tabs>
          <w:tab w:val="left" w:pos="851"/>
        </w:tabs>
        <w:ind w:left="851"/>
        <w:rPr>
          <w:sz w:val="24"/>
          <w:szCs w:val="24"/>
          <w:lang w:val="en-US"/>
        </w:rPr>
      </w:pPr>
      <w:r w:rsidRPr="000F71DE">
        <w:rPr>
          <w:sz w:val="24"/>
          <w:szCs w:val="24"/>
          <w:u w:val="single"/>
          <w:lang w:val="en-US"/>
        </w:rPr>
        <w:t>Fertility</w:t>
      </w:r>
    </w:p>
    <w:p w:rsidR="000F71DE" w:rsidRPr="000F71DE" w:rsidRDefault="000F71DE" w:rsidP="000F71DE">
      <w:pPr>
        <w:tabs>
          <w:tab w:val="left" w:pos="851"/>
        </w:tabs>
        <w:ind w:left="851"/>
        <w:rPr>
          <w:sz w:val="24"/>
          <w:szCs w:val="24"/>
          <w:lang w:val="en-US"/>
        </w:rPr>
      </w:pPr>
      <w:r w:rsidRPr="000F71DE">
        <w:rPr>
          <w:sz w:val="24"/>
          <w:szCs w:val="24"/>
          <w:lang w:val="en-US"/>
        </w:rPr>
        <w:t>Fertility studies in rats revealed slight impairment of reproductive performance and fertility at doses of 15 mg/kg/day (which is higher than the therapeutic dose), probably due to sedation and lethargy.</w:t>
      </w:r>
    </w:p>
    <w:p w:rsidR="007C5D2A" w:rsidRPr="000F71DE"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4B2515" w:rsidRDefault="004B2515" w:rsidP="00F82308">
      <w:pPr>
        <w:tabs>
          <w:tab w:val="left" w:pos="851"/>
        </w:tabs>
        <w:ind w:left="851"/>
        <w:rPr>
          <w:sz w:val="24"/>
          <w:szCs w:val="24"/>
          <w:lang w:val="en-US"/>
        </w:rPr>
      </w:pPr>
      <w:r>
        <w:rPr>
          <w:sz w:val="24"/>
          <w:szCs w:val="24"/>
          <w:lang w:val="en-US"/>
        </w:rPr>
        <w:t>Traffic warning.</w:t>
      </w:r>
    </w:p>
    <w:p w:rsidR="00F82308" w:rsidRPr="00F82308" w:rsidRDefault="00F82308" w:rsidP="00F82308">
      <w:pPr>
        <w:tabs>
          <w:tab w:val="left" w:pos="851"/>
        </w:tabs>
        <w:ind w:left="851"/>
        <w:rPr>
          <w:sz w:val="24"/>
          <w:szCs w:val="24"/>
          <w:lang w:val="en-US"/>
        </w:rPr>
      </w:pPr>
      <w:r w:rsidRPr="00F82308">
        <w:rPr>
          <w:sz w:val="24"/>
          <w:szCs w:val="24"/>
          <w:lang w:val="en-US"/>
        </w:rPr>
        <w:t>Patients should be warned about the potential for dizziness or vertigo, and advised not to drive or operate machinery if these symptoms occur.</w:t>
      </w:r>
    </w:p>
    <w:p w:rsidR="00F82308" w:rsidRPr="00F82308" w:rsidRDefault="00F82308" w:rsidP="00F82308">
      <w:pPr>
        <w:tabs>
          <w:tab w:val="left" w:pos="851"/>
        </w:tabs>
        <w:ind w:left="851"/>
        <w:rPr>
          <w:sz w:val="24"/>
          <w:szCs w:val="24"/>
          <w:lang w:val="en-US"/>
        </w:rPr>
      </w:pPr>
    </w:p>
    <w:p w:rsidR="00F82308" w:rsidRPr="00F82308" w:rsidRDefault="00F82308" w:rsidP="00F82308">
      <w:pPr>
        <w:tabs>
          <w:tab w:val="left" w:pos="851"/>
        </w:tabs>
        <w:ind w:left="851"/>
        <w:rPr>
          <w:sz w:val="24"/>
          <w:szCs w:val="24"/>
          <w:lang w:val="en-US"/>
        </w:rPr>
      </w:pPr>
      <w:r w:rsidRPr="00F82308">
        <w:rPr>
          <w:sz w:val="24"/>
          <w:szCs w:val="24"/>
          <w:lang w:val="en-US"/>
        </w:rPr>
        <w:t>No studies on the effects on the ability to drive and use machines have been performed.</w:t>
      </w:r>
    </w:p>
    <w:p w:rsidR="00F82308" w:rsidRPr="00F82308" w:rsidRDefault="00F82308" w:rsidP="00F82308">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072084" w:rsidRPr="00072084" w:rsidRDefault="00072084" w:rsidP="00072084">
      <w:pPr>
        <w:tabs>
          <w:tab w:val="left" w:pos="851"/>
        </w:tabs>
        <w:ind w:left="851"/>
        <w:rPr>
          <w:b/>
          <w:sz w:val="24"/>
          <w:szCs w:val="24"/>
          <w:lang w:val="en-US"/>
        </w:rPr>
      </w:pPr>
    </w:p>
    <w:p w:rsidR="00072084" w:rsidRPr="00072084" w:rsidRDefault="00072084" w:rsidP="00072084">
      <w:pPr>
        <w:tabs>
          <w:tab w:val="left" w:pos="851"/>
        </w:tabs>
        <w:ind w:left="851"/>
        <w:rPr>
          <w:sz w:val="24"/>
          <w:szCs w:val="24"/>
          <w:lang w:val="en-US"/>
        </w:rPr>
      </w:pPr>
      <w:r w:rsidRPr="00072084">
        <w:rPr>
          <w:sz w:val="24"/>
          <w:szCs w:val="24"/>
          <w:u w:val="single"/>
          <w:lang w:val="en-US"/>
        </w:rPr>
        <w:t>Summary of safety profile</w:t>
      </w:r>
    </w:p>
    <w:p w:rsidR="00072084" w:rsidRPr="00072084" w:rsidRDefault="00072084" w:rsidP="00072084">
      <w:pPr>
        <w:tabs>
          <w:tab w:val="left" w:pos="851"/>
        </w:tabs>
        <w:ind w:left="851"/>
        <w:rPr>
          <w:sz w:val="24"/>
          <w:szCs w:val="24"/>
          <w:lang w:val="en-US"/>
        </w:rPr>
      </w:pPr>
      <w:r w:rsidRPr="00072084">
        <w:rPr>
          <w:sz w:val="24"/>
          <w:szCs w:val="24"/>
          <w:lang w:val="en-US"/>
        </w:rPr>
        <w:t xml:space="preserve">In phase III clinical studies conducted in ALS patients treated with </w:t>
      </w:r>
      <w:proofErr w:type="spellStart"/>
      <w:r w:rsidRPr="00072084">
        <w:rPr>
          <w:sz w:val="24"/>
          <w:szCs w:val="24"/>
          <w:lang w:val="en-US"/>
        </w:rPr>
        <w:t>riluzole</w:t>
      </w:r>
      <w:proofErr w:type="spellEnd"/>
      <w:r w:rsidRPr="00072084">
        <w:rPr>
          <w:sz w:val="24"/>
          <w:szCs w:val="24"/>
          <w:lang w:val="en-US"/>
        </w:rPr>
        <w:t>, the most commonly reported adverse reactions were asthenia, nausea and abnormal liver function tests.</w:t>
      </w:r>
    </w:p>
    <w:p w:rsidR="00072084" w:rsidRPr="00072084" w:rsidRDefault="00072084" w:rsidP="00072084">
      <w:pPr>
        <w:tabs>
          <w:tab w:val="left" w:pos="851"/>
        </w:tabs>
        <w:ind w:left="851"/>
        <w:rPr>
          <w:sz w:val="24"/>
          <w:szCs w:val="24"/>
          <w:lang w:val="en-US"/>
        </w:rPr>
      </w:pPr>
    </w:p>
    <w:p w:rsidR="00072084" w:rsidRPr="00072084" w:rsidRDefault="00072084" w:rsidP="00072084">
      <w:pPr>
        <w:tabs>
          <w:tab w:val="left" w:pos="851"/>
        </w:tabs>
        <w:ind w:left="851"/>
        <w:rPr>
          <w:sz w:val="24"/>
          <w:szCs w:val="24"/>
          <w:lang w:val="en-US"/>
        </w:rPr>
      </w:pPr>
      <w:r w:rsidRPr="00072084">
        <w:rPr>
          <w:sz w:val="24"/>
          <w:szCs w:val="24"/>
          <w:u w:val="single"/>
          <w:lang w:val="en-US"/>
        </w:rPr>
        <w:t>Tabulated summary of adverse reactions</w:t>
      </w:r>
    </w:p>
    <w:p w:rsidR="00072084" w:rsidRPr="00072084" w:rsidRDefault="00072084" w:rsidP="00072084">
      <w:pPr>
        <w:tabs>
          <w:tab w:val="left" w:pos="851"/>
        </w:tabs>
        <w:ind w:left="851"/>
        <w:rPr>
          <w:sz w:val="24"/>
          <w:szCs w:val="24"/>
          <w:lang w:val="en-US"/>
        </w:rPr>
      </w:pPr>
      <w:r w:rsidRPr="00072084">
        <w:rPr>
          <w:sz w:val="24"/>
          <w:szCs w:val="24"/>
          <w:lang w:val="en-US"/>
        </w:rPr>
        <w:t xml:space="preserve">Undesirable effects ranked under headings of frequency are listed below, using the following convention: </w:t>
      </w:r>
      <w:r w:rsidR="008024F0">
        <w:rPr>
          <w:sz w:val="24"/>
          <w:szCs w:val="24"/>
          <w:lang w:val="en-US"/>
        </w:rPr>
        <w:t>V</w:t>
      </w:r>
      <w:r w:rsidRPr="00072084">
        <w:rPr>
          <w:sz w:val="24"/>
          <w:szCs w:val="24"/>
          <w:lang w:val="en-US"/>
        </w:rPr>
        <w:t>ery common (</w:t>
      </w:r>
      <w:r w:rsidR="000A2F23">
        <w:rPr>
          <w:sz w:val="24"/>
          <w:szCs w:val="24"/>
          <w:lang w:val="en-US"/>
        </w:rPr>
        <w:t xml:space="preserve">≥ </w:t>
      </w:r>
      <w:r w:rsidRPr="00072084">
        <w:rPr>
          <w:sz w:val="24"/>
          <w:szCs w:val="24"/>
          <w:lang w:val="en-US"/>
        </w:rPr>
        <w:t>1/10): common (</w:t>
      </w:r>
      <w:r w:rsidR="000A2F23">
        <w:rPr>
          <w:sz w:val="24"/>
          <w:szCs w:val="24"/>
          <w:lang w:val="en-US"/>
        </w:rPr>
        <w:t xml:space="preserve">≥ </w:t>
      </w:r>
      <w:r w:rsidRPr="00072084">
        <w:rPr>
          <w:sz w:val="24"/>
          <w:szCs w:val="24"/>
          <w:lang w:val="en-US"/>
        </w:rPr>
        <w:t>1/100 to &lt;1/10): uncommon (</w:t>
      </w:r>
      <w:r w:rsidR="000A6D52">
        <w:rPr>
          <w:sz w:val="24"/>
          <w:szCs w:val="24"/>
          <w:lang w:val="en-US"/>
        </w:rPr>
        <w:t xml:space="preserve">≥ </w:t>
      </w:r>
      <w:r w:rsidRPr="00072084">
        <w:rPr>
          <w:sz w:val="24"/>
          <w:szCs w:val="24"/>
          <w:lang w:val="en-US"/>
        </w:rPr>
        <w:t>1/1,000 to &lt;1/100): rare (</w:t>
      </w:r>
      <w:r w:rsidR="000A6D52">
        <w:rPr>
          <w:sz w:val="24"/>
          <w:szCs w:val="24"/>
          <w:lang w:val="en-US"/>
        </w:rPr>
        <w:t xml:space="preserve">≥ </w:t>
      </w:r>
      <w:r w:rsidRPr="00072084">
        <w:rPr>
          <w:sz w:val="24"/>
          <w:szCs w:val="24"/>
          <w:lang w:val="en-US"/>
        </w:rPr>
        <w:t>1/10,000 to &lt;1/1,000) and very rare (&lt;1/10,000), not known (cannot be estimated from the available data)</w:t>
      </w:r>
      <w:r w:rsidR="00D83DBF">
        <w:rPr>
          <w:sz w:val="24"/>
          <w:szCs w:val="24"/>
          <w:lang w:val="en-US"/>
        </w:rPr>
        <w:t>.</w:t>
      </w:r>
    </w:p>
    <w:p w:rsidR="00D83DBF" w:rsidRDefault="00D83DBF">
      <w:pPr>
        <w:rPr>
          <w:sz w:val="24"/>
          <w:szCs w:val="24"/>
          <w:lang w:val="en-US"/>
        </w:rPr>
      </w:pPr>
      <w:r>
        <w:rPr>
          <w:sz w:val="24"/>
          <w:szCs w:val="24"/>
          <w:lang w:val="en-US"/>
        </w:rPr>
        <w:br w:type="page"/>
      </w:r>
    </w:p>
    <w:p w:rsidR="00072084" w:rsidRPr="00072084" w:rsidRDefault="00072084" w:rsidP="00072084">
      <w:pPr>
        <w:tabs>
          <w:tab w:val="left" w:pos="851"/>
        </w:tabs>
        <w:ind w:left="851"/>
        <w:rPr>
          <w:sz w:val="24"/>
          <w:szCs w:val="24"/>
          <w:lang w:val="en-US"/>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3"/>
        <w:gridCol w:w="1777"/>
        <w:gridCol w:w="1843"/>
        <w:gridCol w:w="1557"/>
        <w:gridCol w:w="1808"/>
      </w:tblGrid>
      <w:tr w:rsidR="00072084" w:rsidRPr="00D83DBF" w:rsidTr="00072084">
        <w:trPr>
          <w:trHeight w:val="253"/>
        </w:trPr>
        <w:tc>
          <w:tcPr>
            <w:tcW w:w="1973" w:type="dxa"/>
            <w:tcBorders>
              <w:top w:val="single" w:sz="4" w:space="0" w:color="000000"/>
              <w:left w:val="single" w:sz="4" w:space="0" w:color="000000"/>
              <w:bottom w:val="single" w:sz="4" w:space="0" w:color="000000"/>
              <w:right w:val="single" w:sz="4" w:space="0" w:color="000000"/>
            </w:tcBorders>
          </w:tcPr>
          <w:p w:rsidR="00072084" w:rsidRPr="00D83DBF" w:rsidRDefault="00072084" w:rsidP="008024F0">
            <w:pPr>
              <w:ind w:left="66"/>
              <w:rPr>
                <w:sz w:val="22"/>
                <w:szCs w:val="22"/>
                <w:lang w:val="en-US"/>
              </w:rPr>
            </w:pPr>
          </w:p>
        </w:tc>
        <w:tc>
          <w:tcPr>
            <w:tcW w:w="177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80"/>
              <w:rPr>
                <w:b/>
                <w:sz w:val="22"/>
                <w:szCs w:val="22"/>
                <w:lang w:val="en-US"/>
              </w:rPr>
            </w:pPr>
            <w:r w:rsidRPr="00D83DBF">
              <w:rPr>
                <w:b/>
                <w:sz w:val="22"/>
                <w:szCs w:val="22"/>
                <w:lang w:val="en-US"/>
              </w:rPr>
              <w:t>Very common</w:t>
            </w:r>
          </w:p>
        </w:tc>
        <w:tc>
          <w:tcPr>
            <w:tcW w:w="184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3"/>
              <w:rPr>
                <w:b/>
                <w:sz w:val="22"/>
                <w:szCs w:val="22"/>
                <w:lang w:val="en-US"/>
              </w:rPr>
            </w:pPr>
            <w:r w:rsidRPr="00D83DBF">
              <w:rPr>
                <w:b/>
                <w:sz w:val="22"/>
                <w:szCs w:val="22"/>
                <w:lang w:val="en-US"/>
              </w:rPr>
              <w:t>Common</w:t>
            </w:r>
          </w:p>
        </w:tc>
        <w:tc>
          <w:tcPr>
            <w:tcW w:w="155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D83DBF">
            <w:pPr>
              <w:ind w:left="146"/>
              <w:rPr>
                <w:b/>
                <w:sz w:val="22"/>
                <w:szCs w:val="22"/>
                <w:lang w:val="en-US"/>
              </w:rPr>
            </w:pPr>
            <w:r w:rsidRPr="00D83DBF">
              <w:rPr>
                <w:b/>
                <w:sz w:val="22"/>
                <w:szCs w:val="22"/>
                <w:lang w:val="en-US"/>
              </w:rPr>
              <w:t>Uncommon</w:t>
            </w:r>
          </w:p>
        </w:tc>
        <w:tc>
          <w:tcPr>
            <w:tcW w:w="1808"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5"/>
              <w:rPr>
                <w:b/>
                <w:sz w:val="22"/>
                <w:szCs w:val="22"/>
                <w:lang w:val="en-US"/>
              </w:rPr>
            </w:pPr>
            <w:r w:rsidRPr="00D83DBF">
              <w:rPr>
                <w:b/>
                <w:sz w:val="22"/>
                <w:szCs w:val="22"/>
                <w:lang w:val="en-US"/>
              </w:rPr>
              <w:t>Not known</w:t>
            </w:r>
          </w:p>
        </w:tc>
      </w:tr>
      <w:tr w:rsidR="00072084" w:rsidRPr="00D83DBF" w:rsidTr="00072084">
        <w:trPr>
          <w:trHeight w:val="1010"/>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Blood and lymphatic system disorders</w:t>
            </w:r>
          </w:p>
        </w:tc>
        <w:tc>
          <w:tcPr>
            <w:tcW w:w="1777"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80"/>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3"/>
              <w:rPr>
                <w:sz w:val="22"/>
                <w:szCs w:val="22"/>
                <w:lang w:val="en-US"/>
              </w:rPr>
            </w:pPr>
          </w:p>
        </w:tc>
        <w:tc>
          <w:tcPr>
            <w:tcW w:w="155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D83DBF">
            <w:pPr>
              <w:ind w:left="146"/>
              <w:rPr>
                <w:sz w:val="22"/>
                <w:szCs w:val="22"/>
                <w:lang w:val="en-US"/>
              </w:rPr>
            </w:pPr>
            <w:proofErr w:type="spellStart"/>
            <w:r w:rsidRPr="00D83DBF">
              <w:rPr>
                <w:sz w:val="22"/>
                <w:szCs w:val="22"/>
                <w:lang w:val="en-US"/>
              </w:rPr>
              <w:t>Anaemia</w:t>
            </w:r>
            <w:proofErr w:type="spellEnd"/>
          </w:p>
        </w:tc>
        <w:tc>
          <w:tcPr>
            <w:tcW w:w="1808"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5"/>
              <w:rPr>
                <w:sz w:val="22"/>
                <w:szCs w:val="22"/>
                <w:lang w:val="en-US"/>
              </w:rPr>
            </w:pPr>
            <w:r w:rsidRPr="00D83DBF">
              <w:rPr>
                <w:sz w:val="22"/>
                <w:szCs w:val="22"/>
                <w:lang w:val="en-US"/>
              </w:rPr>
              <w:t xml:space="preserve">Severe neutropenia (see </w:t>
            </w:r>
            <w:hyperlink r:id="rId13" w:anchor="_bookmark1" w:history="1">
              <w:r w:rsidRPr="00D83DBF">
                <w:rPr>
                  <w:rStyle w:val="Hyperlink"/>
                  <w:color w:val="auto"/>
                  <w:sz w:val="22"/>
                  <w:szCs w:val="22"/>
                  <w:u w:val="none"/>
                  <w:lang w:val="en-US"/>
                </w:rPr>
                <w:t>section 4.4</w:t>
              </w:r>
            </w:hyperlink>
            <w:r w:rsidRPr="00D83DBF">
              <w:rPr>
                <w:sz w:val="22"/>
                <w:szCs w:val="22"/>
                <w:lang w:val="en-US"/>
              </w:rPr>
              <w:t>)</w:t>
            </w:r>
          </w:p>
        </w:tc>
      </w:tr>
      <w:tr w:rsidR="00072084" w:rsidRPr="00D83DBF" w:rsidTr="00072084">
        <w:trPr>
          <w:trHeight w:val="760"/>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Immune system disorders</w:t>
            </w:r>
          </w:p>
        </w:tc>
        <w:tc>
          <w:tcPr>
            <w:tcW w:w="1777"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80"/>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3"/>
              <w:rPr>
                <w:sz w:val="22"/>
                <w:szCs w:val="22"/>
                <w:lang w:val="en-US"/>
              </w:rPr>
            </w:pPr>
          </w:p>
        </w:tc>
        <w:tc>
          <w:tcPr>
            <w:tcW w:w="155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D83DBF">
            <w:pPr>
              <w:ind w:left="146"/>
              <w:rPr>
                <w:sz w:val="22"/>
                <w:szCs w:val="22"/>
                <w:lang w:val="en-US"/>
              </w:rPr>
            </w:pPr>
            <w:r w:rsidRPr="00D83DBF">
              <w:rPr>
                <w:sz w:val="22"/>
                <w:szCs w:val="22"/>
                <w:lang w:val="en-US"/>
              </w:rPr>
              <w:t>Anaphylactoid reaction,</w:t>
            </w:r>
          </w:p>
          <w:p w:rsidR="00072084" w:rsidRPr="00D83DBF" w:rsidRDefault="00072084" w:rsidP="00D83DBF">
            <w:pPr>
              <w:ind w:left="146"/>
              <w:rPr>
                <w:sz w:val="22"/>
                <w:szCs w:val="22"/>
                <w:lang w:val="en-US"/>
              </w:rPr>
            </w:pPr>
            <w:r w:rsidRPr="00D83DBF">
              <w:rPr>
                <w:sz w:val="22"/>
                <w:szCs w:val="22"/>
                <w:lang w:val="en-US"/>
              </w:rPr>
              <w:t>angioedema</w:t>
            </w: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r w:rsidR="00072084" w:rsidRPr="006B7527" w:rsidTr="00072084">
        <w:trPr>
          <w:trHeight w:val="1012"/>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Nervous system disorders</w:t>
            </w:r>
          </w:p>
        </w:tc>
        <w:tc>
          <w:tcPr>
            <w:tcW w:w="177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80"/>
              <w:rPr>
                <w:sz w:val="22"/>
                <w:szCs w:val="22"/>
                <w:lang w:val="en-US"/>
              </w:rPr>
            </w:pPr>
            <w:r w:rsidRPr="00D83DBF">
              <w:rPr>
                <w:sz w:val="22"/>
                <w:szCs w:val="22"/>
                <w:lang w:val="en-US"/>
              </w:rPr>
              <w:t>Oral hypoesthesia</w:t>
            </w:r>
          </w:p>
        </w:tc>
        <w:tc>
          <w:tcPr>
            <w:tcW w:w="184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3"/>
              <w:rPr>
                <w:sz w:val="22"/>
                <w:szCs w:val="22"/>
                <w:lang w:val="en-US"/>
              </w:rPr>
            </w:pPr>
            <w:r w:rsidRPr="00D83DBF">
              <w:rPr>
                <w:sz w:val="22"/>
                <w:szCs w:val="22"/>
                <w:lang w:val="en-US"/>
              </w:rPr>
              <w:t>Headache, dizziness,</w:t>
            </w:r>
          </w:p>
          <w:p w:rsidR="00072084" w:rsidRPr="00D83DBF" w:rsidRDefault="00072084" w:rsidP="00E07F55">
            <w:pPr>
              <w:ind w:left="143"/>
              <w:rPr>
                <w:sz w:val="22"/>
                <w:szCs w:val="22"/>
                <w:lang w:val="en-US"/>
              </w:rPr>
            </w:pPr>
            <w:r w:rsidRPr="00D83DBF">
              <w:rPr>
                <w:sz w:val="22"/>
                <w:szCs w:val="22"/>
                <w:lang w:val="en-US"/>
              </w:rPr>
              <w:t>oral paresthesia, somnolence</w:t>
            </w:r>
          </w:p>
        </w:tc>
        <w:tc>
          <w:tcPr>
            <w:tcW w:w="1557" w:type="dxa"/>
            <w:tcBorders>
              <w:top w:val="single" w:sz="4" w:space="0" w:color="000000"/>
              <w:left w:val="single" w:sz="4" w:space="0" w:color="000000"/>
              <w:bottom w:val="single" w:sz="4" w:space="0" w:color="000000"/>
              <w:right w:val="single" w:sz="4" w:space="0" w:color="000000"/>
            </w:tcBorders>
          </w:tcPr>
          <w:p w:rsidR="00072084" w:rsidRPr="00D83DBF" w:rsidRDefault="00072084" w:rsidP="00D83DBF">
            <w:pPr>
              <w:ind w:left="146"/>
              <w:rPr>
                <w:sz w:val="22"/>
                <w:szCs w:val="22"/>
                <w:lang w:val="en-US"/>
              </w:rPr>
            </w:pP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r w:rsidR="00072084" w:rsidRPr="00D83DBF" w:rsidTr="00072084">
        <w:trPr>
          <w:trHeight w:val="758"/>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Cardiac disorders</w:t>
            </w:r>
          </w:p>
        </w:tc>
        <w:tc>
          <w:tcPr>
            <w:tcW w:w="1777"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80"/>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3"/>
              <w:rPr>
                <w:sz w:val="22"/>
                <w:szCs w:val="22"/>
                <w:lang w:val="en-US"/>
              </w:rPr>
            </w:pPr>
            <w:r w:rsidRPr="00D83DBF">
              <w:rPr>
                <w:sz w:val="22"/>
                <w:szCs w:val="22"/>
                <w:lang w:val="en-US"/>
              </w:rPr>
              <w:t>Tachycardia</w:t>
            </w:r>
          </w:p>
        </w:tc>
        <w:tc>
          <w:tcPr>
            <w:tcW w:w="1557" w:type="dxa"/>
            <w:tcBorders>
              <w:top w:val="single" w:sz="4" w:space="0" w:color="000000"/>
              <w:left w:val="single" w:sz="4" w:space="0" w:color="000000"/>
              <w:bottom w:val="single" w:sz="4" w:space="0" w:color="000000"/>
              <w:right w:val="single" w:sz="4" w:space="0" w:color="000000"/>
            </w:tcBorders>
          </w:tcPr>
          <w:p w:rsidR="00072084" w:rsidRPr="00D83DBF" w:rsidRDefault="00072084" w:rsidP="00D83DBF">
            <w:pPr>
              <w:ind w:left="146"/>
              <w:rPr>
                <w:sz w:val="22"/>
                <w:szCs w:val="22"/>
                <w:lang w:val="en-US"/>
              </w:rPr>
            </w:pP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r w:rsidR="00072084" w:rsidRPr="006B7527" w:rsidTr="00072084">
        <w:trPr>
          <w:trHeight w:val="1267"/>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bookmarkStart w:id="10" w:name="_bookmark3"/>
            <w:bookmarkStart w:id="11" w:name="5.1_Pharmacodynamic_properties"/>
            <w:bookmarkStart w:id="12" w:name="5._Pharmacological_Properties"/>
            <w:bookmarkStart w:id="13" w:name="4.9_Overdose"/>
            <w:bookmarkEnd w:id="10"/>
            <w:bookmarkEnd w:id="11"/>
            <w:bookmarkEnd w:id="12"/>
            <w:bookmarkEnd w:id="13"/>
            <w:r w:rsidRPr="00D83DBF">
              <w:rPr>
                <w:b/>
                <w:sz w:val="22"/>
                <w:szCs w:val="22"/>
                <w:lang w:val="en-US"/>
              </w:rPr>
              <w:t>Respiratory, thoracic and mediastinal disorders</w:t>
            </w:r>
          </w:p>
        </w:tc>
        <w:tc>
          <w:tcPr>
            <w:tcW w:w="1777"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80"/>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3"/>
              <w:rPr>
                <w:sz w:val="22"/>
                <w:szCs w:val="22"/>
                <w:lang w:val="en-US"/>
              </w:rPr>
            </w:pPr>
          </w:p>
        </w:tc>
        <w:tc>
          <w:tcPr>
            <w:tcW w:w="155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D83DBF">
            <w:pPr>
              <w:ind w:left="146"/>
              <w:rPr>
                <w:sz w:val="22"/>
                <w:szCs w:val="22"/>
                <w:lang w:val="en-US"/>
              </w:rPr>
            </w:pPr>
            <w:r w:rsidRPr="00D83DBF">
              <w:rPr>
                <w:sz w:val="22"/>
                <w:szCs w:val="22"/>
                <w:lang w:val="en-US"/>
              </w:rPr>
              <w:t xml:space="preserve">Interstitial lung disease (see </w:t>
            </w:r>
            <w:r w:rsidR="006B7527">
              <w:fldChar w:fldCharType="begin"/>
            </w:r>
            <w:r w:rsidR="006B7527" w:rsidRPr="006B7527">
              <w:rPr>
                <w:lang w:val="en-US"/>
              </w:rPr>
              <w:instrText xml:space="preserve"> HYPERLINK "file:///C:\\Users\\hti\\AppData\\Local\\Microsoft\\Windows\\INetCache\\IE\\MMBF0A7Z\\131-common-combined_clean%5b1%5d.docx" \l "_bookmark1" </w:instrText>
            </w:r>
            <w:r w:rsidR="006B7527">
              <w:fldChar w:fldCharType="separate"/>
            </w:r>
            <w:r w:rsidRPr="00D83DBF">
              <w:rPr>
                <w:rStyle w:val="Hyperlink"/>
                <w:color w:val="auto"/>
                <w:sz w:val="22"/>
                <w:szCs w:val="22"/>
                <w:u w:val="none"/>
                <w:lang w:val="en-US"/>
              </w:rPr>
              <w:t>section 4.4</w:t>
            </w:r>
            <w:r w:rsidR="006B7527">
              <w:rPr>
                <w:rStyle w:val="Hyperlink"/>
                <w:color w:val="auto"/>
                <w:sz w:val="22"/>
                <w:szCs w:val="22"/>
                <w:u w:val="none"/>
                <w:lang w:val="en-US"/>
              </w:rPr>
              <w:fldChar w:fldCharType="end"/>
            </w:r>
            <w:r w:rsidRPr="00D83DBF">
              <w:rPr>
                <w:sz w:val="22"/>
                <w:szCs w:val="22"/>
                <w:lang w:val="en-US"/>
              </w:rPr>
              <w:t>)</w:t>
            </w: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r w:rsidR="00072084" w:rsidRPr="00D83DBF" w:rsidTr="00072084">
        <w:trPr>
          <w:trHeight w:val="757"/>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Gastrointestinal disorders</w:t>
            </w:r>
          </w:p>
        </w:tc>
        <w:tc>
          <w:tcPr>
            <w:tcW w:w="177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80"/>
              <w:rPr>
                <w:sz w:val="22"/>
                <w:szCs w:val="22"/>
                <w:lang w:val="en-US"/>
              </w:rPr>
            </w:pPr>
            <w:r w:rsidRPr="00D83DBF">
              <w:rPr>
                <w:sz w:val="22"/>
                <w:szCs w:val="22"/>
                <w:lang w:val="en-US"/>
              </w:rPr>
              <w:t>Nausea</w:t>
            </w:r>
          </w:p>
        </w:tc>
        <w:tc>
          <w:tcPr>
            <w:tcW w:w="184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3"/>
              <w:rPr>
                <w:sz w:val="22"/>
                <w:szCs w:val="22"/>
                <w:lang w:val="en-US"/>
              </w:rPr>
            </w:pPr>
            <w:proofErr w:type="spellStart"/>
            <w:r w:rsidRPr="00D83DBF">
              <w:rPr>
                <w:sz w:val="22"/>
                <w:szCs w:val="22"/>
                <w:lang w:val="en-US"/>
              </w:rPr>
              <w:t>Diarrhoea</w:t>
            </w:r>
            <w:proofErr w:type="spellEnd"/>
            <w:r w:rsidRPr="00D83DBF">
              <w:rPr>
                <w:sz w:val="22"/>
                <w:szCs w:val="22"/>
                <w:lang w:val="en-US"/>
              </w:rPr>
              <w:t>, abdominal pain,</w:t>
            </w:r>
          </w:p>
          <w:p w:rsidR="00072084" w:rsidRPr="00D83DBF" w:rsidRDefault="00072084" w:rsidP="00E07F55">
            <w:pPr>
              <w:ind w:left="143"/>
              <w:rPr>
                <w:sz w:val="22"/>
                <w:szCs w:val="22"/>
                <w:lang w:val="en-US"/>
              </w:rPr>
            </w:pPr>
            <w:r w:rsidRPr="00D83DBF">
              <w:rPr>
                <w:sz w:val="22"/>
                <w:szCs w:val="22"/>
                <w:lang w:val="en-US"/>
              </w:rPr>
              <w:t>vomiting</w:t>
            </w:r>
          </w:p>
        </w:tc>
        <w:tc>
          <w:tcPr>
            <w:tcW w:w="155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D83DBF">
            <w:pPr>
              <w:ind w:left="146"/>
              <w:rPr>
                <w:sz w:val="22"/>
                <w:szCs w:val="22"/>
                <w:lang w:val="en-US"/>
              </w:rPr>
            </w:pPr>
            <w:r w:rsidRPr="00D83DBF">
              <w:rPr>
                <w:sz w:val="22"/>
                <w:szCs w:val="22"/>
                <w:lang w:val="en-US"/>
              </w:rPr>
              <w:t>Pancreatitis</w:t>
            </w: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r w:rsidR="00072084" w:rsidRPr="00D83DBF" w:rsidTr="00072084">
        <w:trPr>
          <w:trHeight w:val="757"/>
        </w:trPr>
        <w:tc>
          <w:tcPr>
            <w:tcW w:w="1973" w:type="dxa"/>
            <w:tcBorders>
              <w:top w:val="single" w:sz="4" w:space="0" w:color="000000"/>
              <w:left w:val="single" w:sz="4" w:space="0" w:color="000000"/>
              <w:bottom w:val="single" w:sz="4" w:space="0" w:color="000000"/>
              <w:right w:val="single" w:sz="4" w:space="0" w:color="000000"/>
            </w:tcBorders>
          </w:tcPr>
          <w:p w:rsidR="00072084" w:rsidRPr="00D83DBF" w:rsidRDefault="00072084" w:rsidP="008024F0">
            <w:pPr>
              <w:ind w:left="66"/>
              <w:rPr>
                <w:b/>
                <w:sz w:val="22"/>
                <w:szCs w:val="22"/>
                <w:lang w:val="en-US"/>
              </w:rPr>
            </w:pPr>
            <w:r w:rsidRPr="00D83DBF">
              <w:rPr>
                <w:b/>
                <w:sz w:val="22"/>
                <w:szCs w:val="22"/>
                <w:lang w:val="en-US"/>
              </w:rPr>
              <w:t xml:space="preserve">Skin and subcutaneous tissue disorders </w:t>
            </w:r>
          </w:p>
          <w:p w:rsidR="00072084" w:rsidRPr="00D83DBF" w:rsidRDefault="00072084" w:rsidP="008024F0">
            <w:pPr>
              <w:ind w:left="66"/>
              <w:rPr>
                <w:b/>
                <w:sz w:val="22"/>
                <w:szCs w:val="22"/>
                <w:lang w:val="it-IT"/>
              </w:rPr>
            </w:pPr>
          </w:p>
        </w:tc>
        <w:tc>
          <w:tcPr>
            <w:tcW w:w="1777"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80"/>
              <w:rPr>
                <w:sz w:val="22"/>
                <w:szCs w:val="22"/>
                <w:lang w:val="en-US"/>
              </w:rPr>
            </w:pPr>
          </w:p>
        </w:tc>
        <w:tc>
          <w:tcPr>
            <w:tcW w:w="1843"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3"/>
              <w:rPr>
                <w:sz w:val="22"/>
                <w:szCs w:val="22"/>
                <w:lang w:val="en-US"/>
              </w:rPr>
            </w:pPr>
          </w:p>
        </w:tc>
        <w:tc>
          <w:tcPr>
            <w:tcW w:w="1557" w:type="dxa"/>
            <w:tcBorders>
              <w:top w:val="single" w:sz="4" w:space="0" w:color="000000"/>
              <w:left w:val="single" w:sz="4" w:space="0" w:color="000000"/>
              <w:bottom w:val="single" w:sz="4" w:space="0" w:color="000000"/>
              <w:right w:val="single" w:sz="4" w:space="0" w:color="000000"/>
            </w:tcBorders>
          </w:tcPr>
          <w:p w:rsidR="00072084" w:rsidRPr="00D83DBF" w:rsidRDefault="00072084" w:rsidP="00D83DBF">
            <w:pPr>
              <w:ind w:left="146"/>
              <w:rPr>
                <w:sz w:val="22"/>
                <w:szCs w:val="22"/>
                <w:lang w:val="en-US"/>
              </w:rPr>
            </w:pPr>
          </w:p>
        </w:tc>
        <w:tc>
          <w:tcPr>
            <w:tcW w:w="1808"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5"/>
              <w:rPr>
                <w:sz w:val="22"/>
                <w:szCs w:val="22"/>
                <w:lang w:val="en-US"/>
              </w:rPr>
            </w:pPr>
            <w:r w:rsidRPr="00D83DBF">
              <w:rPr>
                <w:sz w:val="22"/>
                <w:szCs w:val="22"/>
                <w:lang w:val="en-US"/>
              </w:rPr>
              <w:t>Rash</w:t>
            </w:r>
          </w:p>
        </w:tc>
      </w:tr>
      <w:tr w:rsidR="00072084" w:rsidRPr="00D83DBF" w:rsidTr="00072084">
        <w:trPr>
          <w:trHeight w:val="757"/>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Hepato-biliary disorders</w:t>
            </w:r>
          </w:p>
        </w:tc>
        <w:tc>
          <w:tcPr>
            <w:tcW w:w="177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80"/>
              <w:rPr>
                <w:sz w:val="22"/>
                <w:szCs w:val="22"/>
                <w:lang w:val="en-US"/>
              </w:rPr>
            </w:pPr>
            <w:r w:rsidRPr="00D83DBF">
              <w:rPr>
                <w:sz w:val="22"/>
                <w:szCs w:val="22"/>
                <w:lang w:val="en-US"/>
              </w:rPr>
              <w:t>Abnormal liver function tests</w:t>
            </w:r>
          </w:p>
        </w:tc>
        <w:tc>
          <w:tcPr>
            <w:tcW w:w="1843"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3"/>
              <w:rPr>
                <w:sz w:val="22"/>
                <w:szCs w:val="22"/>
                <w:lang w:val="en-US"/>
              </w:rPr>
            </w:pPr>
          </w:p>
        </w:tc>
        <w:tc>
          <w:tcPr>
            <w:tcW w:w="1557" w:type="dxa"/>
            <w:tcBorders>
              <w:top w:val="single" w:sz="4" w:space="0" w:color="000000"/>
              <w:left w:val="single" w:sz="4" w:space="0" w:color="000000"/>
              <w:bottom w:val="single" w:sz="4" w:space="0" w:color="000000"/>
              <w:right w:val="single" w:sz="4" w:space="0" w:color="000000"/>
            </w:tcBorders>
          </w:tcPr>
          <w:p w:rsidR="00072084" w:rsidRPr="00D83DBF" w:rsidRDefault="00072084" w:rsidP="00D83DBF">
            <w:pPr>
              <w:ind w:left="146"/>
              <w:rPr>
                <w:sz w:val="22"/>
                <w:szCs w:val="22"/>
                <w:lang w:val="en-US"/>
              </w:rPr>
            </w:pPr>
          </w:p>
        </w:tc>
        <w:tc>
          <w:tcPr>
            <w:tcW w:w="1808"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5"/>
              <w:rPr>
                <w:sz w:val="22"/>
                <w:szCs w:val="22"/>
                <w:lang w:val="en-US"/>
              </w:rPr>
            </w:pPr>
            <w:r w:rsidRPr="00D83DBF">
              <w:rPr>
                <w:sz w:val="22"/>
                <w:szCs w:val="22"/>
                <w:lang w:val="en-US"/>
              </w:rPr>
              <w:t>Hepatitis</w:t>
            </w:r>
          </w:p>
        </w:tc>
      </w:tr>
      <w:tr w:rsidR="00072084" w:rsidRPr="00D83DBF" w:rsidTr="00072084">
        <w:trPr>
          <w:trHeight w:val="1267"/>
        </w:trPr>
        <w:tc>
          <w:tcPr>
            <w:tcW w:w="197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8024F0">
            <w:pPr>
              <w:ind w:left="66"/>
              <w:rPr>
                <w:b/>
                <w:sz w:val="22"/>
                <w:szCs w:val="22"/>
                <w:lang w:val="en-US"/>
              </w:rPr>
            </w:pPr>
            <w:r w:rsidRPr="00D83DBF">
              <w:rPr>
                <w:b/>
                <w:sz w:val="22"/>
                <w:szCs w:val="22"/>
                <w:lang w:val="en-US"/>
              </w:rPr>
              <w:t>General disorders and administration site conditions</w:t>
            </w:r>
          </w:p>
        </w:tc>
        <w:tc>
          <w:tcPr>
            <w:tcW w:w="1777"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80"/>
              <w:rPr>
                <w:sz w:val="22"/>
                <w:szCs w:val="22"/>
                <w:lang w:val="en-US"/>
              </w:rPr>
            </w:pPr>
            <w:r w:rsidRPr="00D83DBF">
              <w:rPr>
                <w:sz w:val="22"/>
                <w:szCs w:val="22"/>
                <w:lang w:val="en-US"/>
              </w:rPr>
              <w:t>Asthenia</w:t>
            </w:r>
          </w:p>
        </w:tc>
        <w:tc>
          <w:tcPr>
            <w:tcW w:w="1843" w:type="dxa"/>
            <w:tcBorders>
              <w:top w:val="single" w:sz="4" w:space="0" w:color="000000"/>
              <w:left w:val="single" w:sz="4" w:space="0" w:color="000000"/>
              <w:bottom w:val="single" w:sz="4" w:space="0" w:color="000000"/>
              <w:right w:val="single" w:sz="4" w:space="0" w:color="000000"/>
            </w:tcBorders>
            <w:hideMark/>
          </w:tcPr>
          <w:p w:rsidR="00072084" w:rsidRPr="00D83DBF" w:rsidRDefault="00072084" w:rsidP="00E07F55">
            <w:pPr>
              <w:ind w:left="143"/>
              <w:rPr>
                <w:sz w:val="22"/>
                <w:szCs w:val="22"/>
                <w:lang w:val="en-US"/>
              </w:rPr>
            </w:pPr>
            <w:r w:rsidRPr="00D83DBF">
              <w:rPr>
                <w:sz w:val="22"/>
                <w:szCs w:val="22"/>
                <w:lang w:val="en-US"/>
              </w:rPr>
              <w:t>Pain</w:t>
            </w:r>
          </w:p>
        </w:tc>
        <w:tc>
          <w:tcPr>
            <w:tcW w:w="1557" w:type="dxa"/>
            <w:tcBorders>
              <w:top w:val="single" w:sz="4" w:space="0" w:color="000000"/>
              <w:left w:val="single" w:sz="4" w:space="0" w:color="000000"/>
              <w:bottom w:val="single" w:sz="4" w:space="0" w:color="000000"/>
              <w:right w:val="single" w:sz="4" w:space="0" w:color="000000"/>
            </w:tcBorders>
          </w:tcPr>
          <w:p w:rsidR="00072084" w:rsidRPr="00D83DBF" w:rsidRDefault="00072084" w:rsidP="00D83DBF">
            <w:pPr>
              <w:ind w:left="146"/>
              <w:rPr>
                <w:sz w:val="22"/>
                <w:szCs w:val="22"/>
                <w:lang w:val="en-US"/>
              </w:rPr>
            </w:pPr>
          </w:p>
        </w:tc>
        <w:tc>
          <w:tcPr>
            <w:tcW w:w="1808" w:type="dxa"/>
            <w:tcBorders>
              <w:top w:val="single" w:sz="4" w:space="0" w:color="000000"/>
              <w:left w:val="single" w:sz="4" w:space="0" w:color="000000"/>
              <w:bottom w:val="single" w:sz="4" w:space="0" w:color="000000"/>
              <w:right w:val="single" w:sz="4" w:space="0" w:color="000000"/>
            </w:tcBorders>
          </w:tcPr>
          <w:p w:rsidR="00072084" w:rsidRPr="00D83DBF" w:rsidRDefault="00072084" w:rsidP="00E07F55">
            <w:pPr>
              <w:ind w:left="145"/>
              <w:rPr>
                <w:sz w:val="22"/>
                <w:szCs w:val="22"/>
                <w:lang w:val="en-US"/>
              </w:rPr>
            </w:pPr>
          </w:p>
        </w:tc>
      </w:tr>
    </w:tbl>
    <w:p w:rsidR="00072084" w:rsidRPr="00072084" w:rsidRDefault="00072084" w:rsidP="00072084">
      <w:pPr>
        <w:tabs>
          <w:tab w:val="left" w:pos="851"/>
        </w:tabs>
        <w:ind w:left="851"/>
        <w:rPr>
          <w:sz w:val="24"/>
          <w:szCs w:val="24"/>
          <w:u w:val="single"/>
          <w:lang w:val="en-US"/>
        </w:rPr>
      </w:pPr>
    </w:p>
    <w:p w:rsidR="00072084" w:rsidRPr="00072084" w:rsidRDefault="00072084" w:rsidP="00072084">
      <w:pPr>
        <w:tabs>
          <w:tab w:val="left" w:pos="851"/>
        </w:tabs>
        <w:ind w:left="851"/>
        <w:rPr>
          <w:sz w:val="24"/>
          <w:szCs w:val="24"/>
          <w:lang w:val="en-US"/>
        </w:rPr>
      </w:pPr>
      <w:r w:rsidRPr="00072084">
        <w:rPr>
          <w:sz w:val="24"/>
          <w:szCs w:val="24"/>
          <w:u w:val="single"/>
          <w:lang w:val="en-US"/>
        </w:rPr>
        <w:t>Description of selected adverse reactions</w:t>
      </w:r>
    </w:p>
    <w:p w:rsidR="008024F0" w:rsidRDefault="008024F0" w:rsidP="00072084">
      <w:pPr>
        <w:tabs>
          <w:tab w:val="left" w:pos="851"/>
        </w:tabs>
        <w:ind w:left="851"/>
        <w:rPr>
          <w:i/>
          <w:sz w:val="24"/>
          <w:szCs w:val="24"/>
          <w:lang w:val="en-US"/>
        </w:rPr>
      </w:pPr>
    </w:p>
    <w:p w:rsidR="00072084" w:rsidRPr="00072084" w:rsidRDefault="00072084" w:rsidP="00072084">
      <w:pPr>
        <w:tabs>
          <w:tab w:val="left" w:pos="851"/>
        </w:tabs>
        <w:ind w:left="851"/>
        <w:rPr>
          <w:i/>
          <w:sz w:val="24"/>
          <w:szCs w:val="24"/>
          <w:lang w:val="en-US"/>
        </w:rPr>
      </w:pPr>
      <w:r w:rsidRPr="00072084">
        <w:rPr>
          <w:i/>
          <w:sz w:val="24"/>
          <w:szCs w:val="24"/>
          <w:lang w:val="en-US"/>
        </w:rPr>
        <w:t>Hepato-biliary disorders</w:t>
      </w:r>
    </w:p>
    <w:p w:rsidR="00072084" w:rsidRPr="00072084" w:rsidRDefault="00072084" w:rsidP="00072084">
      <w:pPr>
        <w:tabs>
          <w:tab w:val="left" w:pos="851"/>
        </w:tabs>
        <w:ind w:left="851"/>
        <w:rPr>
          <w:sz w:val="24"/>
          <w:szCs w:val="24"/>
          <w:lang w:val="en-US"/>
        </w:rPr>
      </w:pPr>
      <w:r w:rsidRPr="00072084">
        <w:rPr>
          <w:sz w:val="24"/>
          <w:szCs w:val="24"/>
          <w:lang w:val="en-US"/>
        </w:rPr>
        <w:t xml:space="preserve">Increased alanine aminotransferase usually appeared within 3 months after the start of therapy with </w:t>
      </w:r>
      <w:proofErr w:type="spellStart"/>
      <w:r w:rsidRPr="00072084">
        <w:rPr>
          <w:sz w:val="24"/>
          <w:szCs w:val="24"/>
          <w:lang w:val="en-US"/>
        </w:rPr>
        <w:t>riluzole</w:t>
      </w:r>
      <w:proofErr w:type="spellEnd"/>
      <w:r w:rsidRPr="00072084">
        <w:rPr>
          <w:sz w:val="24"/>
          <w:szCs w:val="24"/>
          <w:lang w:val="en-US"/>
        </w:rPr>
        <w:t>; they were usually transient and levels returned to below twice the ULN after 2 to 6 months while treatment was continued. These increases could be associated with jaundice. In patients (n=20) from clinical studies with increases in ALT to more than 5 times the ULN, treatment was discontinued and the levels returned to less than 2 times the ULN within 2 to 4 months in most cases (see section 4.4). Study data indicate that Asian patients may be more susceptible to liver function test abnormalities - 3.2</w:t>
      </w:r>
      <w:r w:rsidR="00785979">
        <w:rPr>
          <w:sz w:val="24"/>
          <w:szCs w:val="24"/>
          <w:lang w:val="en-US"/>
        </w:rPr>
        <w:t xml:space="preserve"> %</w:t>
      </w:r>
      <w:r w:rsidRPr="00072084">
        <w:rPr>
          <w:sz w:val="24"/>
          <w:szCs w:val="24"/>
          <w:lang w:val="en-US"/>
        </w:rPr>
        <w:t xml:space="preserve"> (194/5995) of Asian patients and 1.8</w:t>
      </w:r>
      <w:r w:rsidR="00785979">
        <w:rPr>
          <w:sz w:val="24"/>
          <w:szCs w:val="24"/>
          <w:lang w:val="en-US"/>
        </w:rPr>
        <w:t xml:space="preserve"> %</w:t>
      </w:r>
      <w:r w:rsidRPr="00072084">
        <w:rPr>
          <w:sz w:val="24"/>
          <w:szCs w:val="24"/>
          <w:lang w:val="en-US"/>
        </w:rPr>
        <w:t xml:space="preserve"> (100/5641) of Caucasian patients.</w:t>
      </w:r>
    </w:p>
    <w:p w:rsidR="00072084" w:rsidRPr="00072084" w:rsidRDefault="00072084" w:rsidP="00072084">
      <w:pPr>
        <w:tabs>
          <w:tab w:val="left" w:pos="851"/>
        </w:tabs>
        <w:ind w:left="851"/>
        <w:rPr>
          <w:sz w:val="24"/>
          <w:szCs w:val="24"/>
          <w:lang w:val="en-US"/>
        </w:rPr>
      </w:pPr>
    </w:p>
    <w:p w:rsidR="00072084" w:rsidRPr="00072084" w:rsidRDefault="00072084" w:rsidP="00072084">
      <w:pPr>
        <w:tabs>
          <w:tab w:val="left" w:pos="851"/>
        </w:tabs>
        <w:ind w:left="851"/>
        <w:rPr>
          <w:sz w:val="24"/>
          <w:szCs w:val="24"/>
          <w:lang w:val="en-US"/>
        </w:rPr>
      </w:pPr>
      <w:r w:rsidRPr="00072084">
        <w:rPr>
          <w:sz w:val="24"/>
          <w:szCs w:val="24"/>
          <w:u w:val="single"/>
          <w:lang w:val="en-US"/>
        </w:rPr>
        <w:t>Reporting of suspected adverse reactions</w:t>
      </w:r>
    </w:p>
    <w:p w:rsidR="002819FF" w:rsidRDefault="00072084" w:rsidP="00072084">
      <w:pPr>
        <w:tabs>
          <w:tab w:val="left" w:pos="851"/>
        </w:tabs>
        <w:ind w:left="851"/>
        <w:rPr>
          <w:sz w:val="24"/>
          <w:szCs w:val="24"/>
          <w:lang w:val="en-US"/>
        </w:rPr>
      </w:pPr>
      <w:r w:rsidRPr="00072084">
        <w:rPr>
          <w:sz w:val="24"/>
          <w:szCs w:val="24"/>
          <w:lang w:val="en-US"/>
        </w:rPr>
        <w:t xml:space="preserve">Reporting suspected adverse reactions after </w:t>
      </w:r>
      <w:proofErr w:type="spellStart"/>
      <w:r w:rsidRPr="00072084">
        <w:rPr>
          <w:sz w:val="24"/>
          <w:szCs w:val="24"/>
          <w:lang w:val="en-US"/>
        </w:rPr>
        <w:t>authorisation</w:t>
      </w:r>
      <w:proofErr w:type="spellEnd"/>
      <w:r w:rsidRPr="00072084">
        <w:rPr>
          <w:sz w:val="24"/>
          <w:szCs w:val="24"/>
          <w:lang w:val="en-US"/>
        </w:rPr>
        <w:t xml:space="preserve"> of the medicinal product is important. It allows continued monitoring of the benefit/risk balance of the medicinal product. Healthcare professionals are asked to report any suspected adverse reactions via</w:t>
      </w:r>
      <w:r w:rsidR="002819FF">
        <w:rPr>
          <w:sz w:val="24"/>
          <w:szCs w:val="24"/>
          <w:lang w:val="en-US"/>
        </w:rPr>
        <w:t>:</w:t>
      </w:r>
    </w:p>
    <w:p w:rsidR="002819FF" w:rsidRDefault="002819FF" w:rsidP="00072084">
      <w:pPr>
        <w:tabs>
          <w:tab w:val="left" w:pos="851"/>
        </w:tabs>
        <w:ind w:left="851"/>
        <w:rPr>
          <w:sz w:val="24"/>
          <w:szCs w:val="24"/>
          <w:lang w:val="en-US"/>
        </w:rPr>
      </w:pPr>
    </w:p>
    <w:p w:rsidR="002819FF" w:rsidRDefault="002819FF" w:rsidP="002819FF">
      <w:pPr>
        <w:ind w:left="851"/>
        <w:rPr>
          <w:sz w:val="24"/>
          <w:szCs w:val="24"/>
        </w:rPr>
      </w:pPr>
      <w:bookmarkStart w:id="14" w:name="_Hlk117501544"/>
      <w:bookmarkStart w:id="15" w:name="_Hlk112664459"/>
      <w:r>
        <w:rPr>
          <w:sz w:val="24"/>
          <w:szCs w:val="24"/>
        </w:rPr>
        <w:t>Lægemiddelstyrelsen</w:t>
      </w:r>
    </w:p>
    <w:p w:rsidR="002819FF" w:rsidRDefault="002819FF" w:rsidP="002819FF">
      <w:pPr>
        <w:ind w:left="851"/>
        <w:rPr>
          <w:sz w:val="24"/>
          <w:szCs w:val="24"/>
        </w:rPr>
      </w:pPr>
      <w:bookmarkStart w:id="16" w:name="_Hlk117501524"/>
      <w:bookmarkEnd w:id="14"/>
      <w:r>
        <w:rPr>
          <w:sz w:val="24"/>
          <w:szCs w:val="24"/>
        </w:rPr>
        <w:t>Axel Heides Gade 1</w:t>
      </w:r>
    </w:p>
    <w:p w:rsidR="002819FF" w:rsidRDefault="002819FF" w:rsidP="002819FF">
      <w:pPr>
        <w:ind w:left="851"/>
        <w:rPr>
          <w:sz w:val="24"/>
          <w:szCs w:val="24"/>
        </w:rPr>
      </w:pPr>
      <w:r>
        <w:rPr>
          <w:sz w:val="24"/>
          <w:szCs w:val="24"/>
        </w:rPr>
        <w:t>DK-2300 København S</w:t>
      </w:r>
    </w:p>
    <w:p w:rsidR="002819FF" w:rsidRPr="002819FF" w:rsidRDefault="002819FF" w:rsidP="002819FF">
      <w:pPr>
        <w:ind w:left="851"/>
        <w:rPr>
          <w:sz w:val="24"/>
          <w:szCs w:val="24"/>
          <w:lang w:val="en-US"/>
        </w:rPr>
      </w:pPr>
      <w:r w:rsidRPr="002819FF">
        <w:rPr>
          <w:sz w:val="24"/>
          <w:szCs w:val="24"/>
          <w:lang w:val="en-US"/>
        </w:rPr>
        <w:t xml:space="preserve">Website: </w:t>
      </w:r>
      <w:r w:rsidRPr="002819FF">
        <w:rPr>
          <w:sz w:val="24"/>
          <w:lang w:val="en-US"/>
        </w:rPr>
        <w:t>www.meldenbivirkning.dk</w:t>
      </w:r>
      <w:bookmarkEnd w:id="15"/>
      <w:bookmarkEnd w:id="16"/>
    </w:p>
    <w:p w:rsidR="007C5D2A" w:rsidRPr="00072084" w:rsidRDefault="007C5D2A" w:rsidP="007A4CC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946A36" w:rsidRPr="00946A36" w:rsidRDefault="00946A36" w:rsidP="00946A36">
      <w:pPr>
        <w:tabs>
          <w:tab w:val="left" w:pos="851"/>
        </w:tabs>
        <w:ind w:left="851"/>
        <w:rPr>
          <w:sz w:val="24"/>
          <w:szCs w:val="24"/>
          <w:lang w:val="en-US"/>
        </w:rPr>
      </w:pPr>
      <w:r w:rsidRPr="00946A36">
        <w:rPr>
          <w:sz w:val="24"/>
          <w:szCs w:val="24"/>
          <w:lang w:val="en-US"/>
        </w:rPr>
        <w:t xml:space="preserve">Neurological and psychiatric symptoms, acute toxic encephalopathy with stupor, coma, and </w:t>
      </w:r>
      <w:proofErr w:type="spellStart"/>
      <w:r w:rsidRPr="00946A36">
        <w:rPr>
          <w:sz w:val="24"/>
          <w:szCs w:val="24"/>
          <w:lang w:val="en-US"/>
        </w:rPr>
        <w:t>methaemoglobinaemia</w:t>
      </w:r>
      <w:proofErr w:type="spellEnd"/>
      <w:r w:rsidRPr="00946A36">
        <w:rPr>
          <w:sz w:val="24"/>
          <w:szCs w:val="24"/>
          <w:lang w:val="en-US"/>
        </w:rPr>
        <w:t xml:space="preserve"> have been observed in isolated cases.</w:t>
      </w:r>
    </w:p>
    <w:p w:rsidR="00946A36" w:rsidRPr="00946A36" w:rsidRDefault="00946A36" w:rsidP="00946A36">
      <w:pPr>
        <w:tabs>
          <w:tab w:val="left" w:pos="851"/>
        </w:tabs>
        <w:ind w:left="851"/>
        <w:rPr>
          <w:sz w:val="24"/>
          <w:szCs w:val="24"/>
          <w:lang w:val="en-US"/>
        </w:rPr>
      </w:pPr>
    </w:p>
    <w:p w:rsidR="00946A36" w:rsidRPr="00946A36" w:rsidRDefault="00946A36" w:rsidP="00946A36">
      <w:pPr>
        <w:tabs>
          <w:tab w:val="left" w:pos="851"/>
        </w:tabs>
        <w:ind w:left="851"/>
        <w:rPr>
          <w:sz w:val="24"/>
          <w:szCs w:val="24"/>
          <w:lang w:val="en-US"/>
        </w:rPr>
      </w:pPr>
      <w:r w:rsidRPr="00946A36">
        <w:rPr>
          <w:sz w:val="24"/>
          <w:szCs w:val="24"/>
          <w:lang w:val="en-US"/>
        </w:rPr>
        <w:t>In case of overdose, treatment is symptomatic and supportive.</w:t>
      </w:r>
    </w:p>
    <w:p w:rsidR="007C5D2A" w:rsidRPr="00946A36" w:rsidRDefault="007C5D2A" w:rsidP="003E0341">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946A36" w:rsidP="00AD2E36">
      <w:pPr>
        <w:tabs>
          <w:tab w:val="left" w:pos="851"/>
        </w:tabs>
        <w:ind w:left="851"/>
        <w:rPr>
          <w:sz w:val="24"/>
          <w:szCs w:val="24"/>
          <w:lang w:val="en-GB"/>
        </w:rPr>
      </w:pPr>
      <w:r>
        <w:rPr>
          <w:sz w:val="24"/>
          <w:szCs w:val="24"/>
          <w:lang w:val="en-GB"/>
        </w:rPr>
        <w:t>A</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C61C88" w:rsidRDefault="00783B75" w:rsidP="00783B75">
      <w:pPr>
        <w:tabs>
          <w:tab w:val="left" w:pos="851"/>
        </w:tabs>
        <w:ind w:left="851"/>
        <w:rPr>
          <w:sz w:val="24"/>
          <w:szCs w:val="24"/>
          <w:lang w:val="en-US"/>
        </w:rPr>
      </w:pPr>
      <w:r w:rsidRPr="00783B75">
        <w:rPr>
          <w:sz w:val="24"/>
          <w:szCs w:val="24"/>
          <w:lang w:val="en-US"/>
        </w:rPr>
        <w:t xml:space="preserve">Pharmacotherapeutic group: </w:t>
      </w:r>
      <w:r w:rsidR="00C61C88">
        <w:rPr>
          <w:sz w:val="24"/>
          <w:szCs w:val="24"/>
          <w:lang w:val="en-US"/>
        </w:rPr>
        <w:t>O</w:t>
      </w:r>
      <w:r w:rsidRPr="00783B75">
        <w:rPr>
          <w:sz w:val="24"/>
          <w:szCs w:val="24"/>
          <w:lang w:val="en-US"/>
        </w:rPr>
        <w:t>ther nervous system drugs, ATC code: N07XX02.</w:t>
      </w:r>
    </w:p>
    <w:p w:rsidR="00C61C88" w:rsidRDefault="00C61C88" w:rsidP="00783B75">
      <w:pPr>
        <w:tabs>
          <w:tab w:val="left" w:pos="851"/>
        </w:tabs>
        <w:ind w:left="851"/>
        <w:rPr>
          <w:sz w:val="24"/>
          <w:szCs w:val="24"/>
          <w:u w:val="single"/>
          <w:lang w:val="en-US"/>
        </w:rPr>
      </w:pPr>
    </w:p>
    <w:p w:rsidR="00783B75" w:rsidRPr="00783B75" w:rsidRDefault="00783B75" w:rsidP="00783B75">
      <w:pPr>
        <w:tabs>
          <w:tab w:val="left" w:pos="851"/>
        </w:tabs>
        <w:ind w:left="851"/>
        <w:rPr>
          <w:sz w:val="24"/>
          <w:szCs w:val="24"/>
          <w:lang w:val="en-US"/>
        </w:rPr>
      </w:pPr>
      <w:r w:rsidRPr="00783B75">
        <w:rPr>
          <w:sz w:val="24"/>
          <w:szCs w:val="24"/>
          <w:u w:val="single"/>
          <w:lang w:val="en-US"/>
        </w:rPr>
        <w:t>Mechanism of action</w:t>
      </w:r>
    </w:p>
    <w:p w:rsidR="00783B75" w:rsidRPr="00783B75" w:rsidRDefault="00783B75" w:rsidP="00783B75">
      <w:pPr>
        <w:tabs>
          <w:tab w:val="left" w:pos="851"/>
        </w:tabs>
        <w:ind w:left="851"/>
        <w:rPr>
          <w:sz w:val="24"/>
          <w:szCs w:val="24"/>
          <w:lang w:val="en-US"/>
        </w:rPr>
      </w:pPr>
      <w:r w:rsidRPr="00783B75">
        <w:rPr>
          <w:sz w:val="24"/>
          <w:szCs w:val="24"/>
          <w:lang w:val="en-US"/>
        </w:rPr>
        <w:t>Although the pathogenesis of ALS is not completely elucidated, it is suggested that glutamate (the primary excitatory neurotransmitter in the central nervous system) plays a role for cell death in the disease.</w:t>
      </w:r>
    </w:p>
    <w:p w:rsidR="00C61C88" w:rsidRDefault="00783B75" w:rsidP="00783B75">
      <w:pPr>
        <w:tabs>
          <w:tab w:val="left" w:pos="851"/>
        </w:tabs>
        <w:ind w:left="851"/>
        <w:rPr>
          <w:sz w:val="24"/>
          <w:szCs w:val="24"/>
          <w:lang w:val="en-US"/>
        </w:rPr>
      </w:pPr>
      <w:proofErr w:type="spellStart"/>
      <w:r w:rsidRPr="00783B75">
        <w:rPr>
          <w:sz w:val="24"/>
          <w:szCs w:val="24"/>
          <w:lang w:val="en-US"/>
        </w:rPr>
        <w:t>Riluzole</w:t>
      </w:r>
      <w:proofErr w:type="spellEnd"/>
      <w:r w:rsidRPr="00783B75">
        <w:rPr>
          <w:sz w:val="24"/>
          <w:szCs w:val="24"/>
          <w:lang w:val="en-US"/>
        </w:rPr>
        <w:t xml:space="preserve"> is proposed to act by inhibiting glutamate processes. The mode of action is unclear.</w:t>
      </w:r>
    </w:p>
    <w:p w:rsidR="00C61C88" w:rsidRDefault="00C61C88" w:rsidP="00783B75">
      <w:pPr>
        <w:tabs>
          <w:tab w:val="left" w:pos="851"/>
        </w:tabs>
        <w:ind w:left="851"/>
        <w:rPr>
          <w:sz w:val="24"/>
          <w:szCs w:val="24"/>
          <w:u w:val="single"/>
          <w:lang w:val="en-US"/>
        </w:rPr>
      </w:pPr>
    </w:p>
    <w:p w:rsidR="00783B75" w:rsidRPr="00783B75" w:rsidRDefault="00783B75" w:rsidP="00783B75">
      <w:pPr>
        <w:tabs>
          <w:tab w:val="left" w:pos="851"/>
        </w:tabs>
        <w:ind w:left="851"/>
        <w:rPr>
          <w:sz w:val="24"/>
          <w:szCs w:val="24"/>
          <w:lang w:val="en-US"/>
        </w:rPr>
      </w:pPr>
      <w:r w:rsidRPr="00783B75">
        <w:rPr>
          <w:sz w:val="24"/>
          <w:szCs w:val="24"/>
          <w:u w:val="single"/>
          <w:lang w:val="en-US"/>
        </w:rPr>
        <w:t>Clinical efficacy and safety</w:t>
      </w:r>
    </w:p>
    <w:p w:rsidR="00783B75" w:rsidRPr="00783B75" w:rsidRDefault="00783B75" w:rsidP="00783B75">
      <w:pPr>
        <w:tabs>
          <w:tab w:val="left" w:pos="851"/>
        </w:tabs>
        <w:ind w:left="851"/>
        <w:rPr>
          <w:sz w:val="24"/>
          <w:szCs w:val="24"/>
          <w:lang w:val="en-US"/>
        </w:rPr>
      </w:pPr>
      <w:r w:rsidRPr="00783B75">
        <w:rPr>
          <w:sz w:val="24"/>
          <w:szCs w:val="24"/>
          <w:lang w:val="en-US"/>
        </w:rPr>
        <w:t xml:space="preserve">In a trial, 155 patients were </w:t>
      </w:r>
      <w:proofErr w:type="spellStart"/>
      <w:r w:rsidRPr="00783B75">
        <w:rPr>
          <w:sz w:val="24"/>
          <w:szCs w:val="24"/>
          <w:lang w:val="en-US"/>
        </w:rPr>
        <w:t>randomised</w:t>
      </w:r>
      <w:proofErr w:type="spellEnd"/>
      <w:r w:rsidRPr="00783B75">
        <w:rPr>
          <w:sz w:val="24"/>
          <w:szCs w:val="24"/>
          <w:lang w:val="en-US"/>
        </w:rPr>
        <w:t xml:space="preserve"> to </w:t>
      </w:r>
      <w:proofErr w:type="spellStart"/>
      <w:r w:rsidRPr="00783B75">
        <w:rPr>
          <w:sz w:val="24"/>
          <w:szCs w:val="24"/>
          <w:lang w:val="en-US"/>
        </w:rPr>
        <w:t>riluzole</w:t>
      </w:r>
      <w:proofErr w:type="spellEnd"/>
      <w:r w:rsidRPr="00783B75">
        <w:rPr>
          <w:sz w:val="24"/>
          <w:szCs w:val="24"/>
          <w:lang w:val="en-US"/>
        </w:rPr>
        <w:t xml:space="preserve"> 100 mg/day (50 mg twice daily) or placebo and were followed-up for 12 to 21 months. Survival, </w:t>
      </w:r>
      <w:r w:rsidRPr="00783B75">
        <w:rPr>
          <w:sz w:val="24"/>
          <w:szCs w:val="24"/>
          <w:u w:val="single"/>
          <w:lang w:val="en-US"/>
        </w:rPr>
        <w:t>defined as patients who were alive, not intubated for mechanical ventilation and tracheotomy-free</w:t>
      </w:r>
      <w:r w:rsidRPr="00783B75">
        <w:rPr>
          <w:sz w:val="24"/>
          <w:szCs w:val="24"/>
          <w:lang w:val="en-US"/>
        </w:rPr>
        <w:t xml:space="preserve">, was significantly extended for patients who received </w:t>
      </w:r>
      <w:proofErr w:type="spellStart"/>
      <w:r w:rsidRPr="00783B75">
        <w:rPr>
          <w:sz w:val="24"/>
          <w:szCs w:val="24"/>
          <w:lang w:val="en-US"/>
        </w:rPr>
        <w:t>riluzole</w:t>
      </w:r>
      <w:proofErr w:type="spellEnd"/>
      <w:r w:rsidRPr="00783B75">
        <w:rPr>
          <w:sz w:val="24"/>
          <w:szCs w:val="24"/>
          <w:lang w:val="en-US"/>
        </w:rPr>
        <w:t xml:space="preserve"> as compared to patients who received </w:t>
      </w:r>
      <w:bookmarkStart w:id="17" w:name="5.2_Pharmacokinetic_properties"/>
      <w:bookmarkStart w:id="18" w:name="_bookmark4"/>
      <w:bookmarkEnd w:id="17"/>
      <w:bookmarkEnd w:id="18"/>
      <w:r w:rsidRPr="00783B75">
        <w:rPr>
          <w:sz w:val="24"/>
          <w:szCs w:val="24"/>
          <w:lang w:val="en-US"/>
        </w:rPr>
        <w:t xml:space="preserve">placebo. The median survival time was 17.7 months versus 14.9 months for </w:t>
      </w:r>
      <w:proofErr w:type="spellStart"/>
      <w:r w:rsidRPr="00783B75">
        <w:rPr>
          <w:sz w:val="24"/>
          <w:szCs w:val="24"/>
          <w:lang w:val="en-US"/>
        </w:rPr>
        <w:t>riluzole</w:t>
      </w:r>
      <w:proofErr w:type="spellEnd"/>
      <w:r w:rsidRPr="00783B75">
        <w:rPr>
          <w:sz w:val="24"/>
          <w:szCs w:val="24"/>
          <w:lang w:val="en-US"/>
        </w:rPr>
        <w:t xml:space="preserve"> and placebo, respectively.</w:t>
      </w:r>
    </w:p>
    <w:p w:rsidR="00783B75" w:rsidRPr="00783B75" w:rsidRDefault="00783B75" w:rsidP="00783B75">
      <w:pPr>
        <w:tabs>
          <w:tab w:val="left" w:pos="851"/>
        </w:tabs>
        <w:ind w:left="851"/>
        <w:rPr>
          <w:sz w:val="24"/>
          <w:szCs w:val="24"/>
          <w:lang w:val="en-US"/>
        </w:rPr>
      </w:pPr>
    </w:p>
    <w:p w:rsidR="00783B75" w:rsidRPr="00783B75" w:rsidRDefault="00783B75" w:rsidP="00783B75">
      <w:pPr>
        <w:tabs>
          <w:tab w:val="left" w:pos="851"/>
        </w:tabs>
        <w:ind w:left="851"/>
        <w:rPr>
          <w:sz w:val="24"/>
          <w:szCs w:val="24"/>
          <w:lang w:val="en-US"/>
        </w:rPr>
      </w:pPr>
      <w:r w:rsidRPr="00783B75">
        <w:rPr>
          <w:sz w:val="24"/>
          <w:szCs w:val="24"/>
          <w:lang w:val="en-US"/>
        </w:rPr>
        <w:t xml:space="preserve">In a dose-ranging trial, 959 patients with ALS were </w:t>
      </w:r>
      <w:proofErr w:type="spellStart"/>
      <w:r w:rsidRPr="00783B75">
        <w:rPr>
          <w:sz w:val="24"/>
          <w:szCs w:val="24"/>
          <w:lang w:val="en-US"/>
        </w:rPr>
        <w:t>randomised</w:t>
      </w:r>
      <w:proofErr w:type="spellEnd"/>
      <w:r w:rsidRPr="00783B75">
        <w:rPr>
          <w:sz w:val="24"/>
          <w:szCs w:val="24"/>
          <w:lang w:val="en-US"/>
        </w:rPr>
        <w:t xml:space="preserve"> to one of four treatment groups: </w:t>
      </w:r>
      <w:proofErr w:type="spellStart"/>
      <w:r w:rsidR="000A6D52">
        <w:rPr>
          <w:sz w:val="24"/>
          <w:szCs w:val="24"/>
          <w:lang w:val="en-US"/>
        </w:rPr>
        <w:t>R</w:t>
      </w:r>
      <w:r w:rsidRPr="00783B75">
        <w:rPr>
          <w:sz w:val="24"/>
          <w:szCs w:val="24"/>
          <w:lang w:val="en-US"/>
        </w:rPr>
        <w:t>iluzole</w:t>
      </w:r>
      <w:proofErr w:type="spellEnd"/>
      <w:r w:rsidRPr="00783B75">
        <w:rPr>
          <w:sz w:val="24"/>
          <w:szCs w:val="24"/>
          <w:lang w:val="en-US"/>
        </w:rPr>
        <w:t xml:space="preserve"> 50, 100, 200 mg/day, or placebo and were followed-up for 18 months. In patients treated with </w:t>
      </w:r>
      <w:proofErr w:type="spellStart"/>
      <w:r w:rsidRPr="00783B75">
        <w:rPr>
          <w:sz w:val="24"/>
          <w:szCs w:val="24"/>
          <w:lang w:val="en-US"/>
        </w:rPr>
        <w:t>riluzole</w:t>
      </w:r>
      <w:proofErr w:type="spellEnd"/>
      <w:r w:rsidRPr="00783B75">
        <w:rPr>
          <w:sz w:val="24"/>
          <w:szCs w:val="24"/>
          <w:lang w:val="en-US"/>
        </w:rPr>
        <w:t xml:space="preserve"> 100 mg/day, survival was significantly higher compared to patients who received placebo. The effect of </w:t>
      </w:r>
      <w:proofErr w:type="spellStart"/>
      <w:r w:rsidRPr="00783B75">
        <w:rPr>
          <w:sz w:val="24"/>
          <w:szCs w:val="24"/>
          <w:lang w:val="en-US"/>
        </w:rPr>
        <w:t>riluzole</w:t>
      </w:r>
      <w:proofErr w:type="spellEnd"/>
      <w:r w:rsidRPr="00783B75">
        <w:rPr>
          <w:sz w:val="24"/>
          <w:szCs w:val="24"/>
          <w:lang w:val="en-US"/>
        </w:rPr>
        <w:t xml:space="preserve"> 50 mg/day was not statistically significant compared to placebo and the effect of 200 mg/day was essentially comparable to that of 100 mg/day. The median survival time approached 16.5 months versus 13.5 months for </w:t>
      </w:r>
      <w:proofErr w:type="spellStart"/>
      <w:r w:rsidRPr="00783B75">
        <w:rPr>
          <w:sz w:val="24"/>
          <w:szCs w:val="24"/>
          <w:lang w:val="en-US"/>
        </w:rPr>
        <w:t>riluzole</w:t>
      </w:r>
      <w:proofErr w:type="spellEnd"/>
      <w:r w:rsidRPr="00783B75">
        <w:rPr>
          <w:sz w:val="24"/>
          <w:szCs w:val="24"/>
          <w:lang w:val="en-US"/>
        </w:rPr>
        <w:t xml:space="preserve"> 100 mg/day and placebo, respectively.</w:t>
      </w:r>
    </w:p>
    <w:p w:rsidR="00783B75" w:rsidRPr="00783B75" w:rsidRDefault="00783B75" w:rsidP="00783B75">
      <w:pPr>
        <w:tabs>
          <w:tab w:val="left" w:pos="851"/>
        </w:tabs>
        <w:ind w:left="851"/>
        <w:rPr>
          <w:sz w:val="24"/>
          <w:szCs w:val="24"/>
          <w:lang w:val="en-US"/>
        </w:rPr>
      </w:pPr>
    </w:p>
    <w:p w:rsidR="00783B75" w:rsidRPr="00783B75" w:rsidRDefault="00783B75" w:rsidP="00783B75">
      <w:pPr>
        <w:tabs>
          <w:tab w:val="left" w:pos="851"/>
        </w:tabs>
        <w:ind w:left="851"/>
        <w:rPr>
          <w:sz w:val="24"/>
          <w:szCs w:val="24"/>
          <w:lang w:val="en-US"/>
        </w:rPr>
      </w:pPr>
      <w:r w:rsidRPr="00783B75">
        <w:rPr>
          <w:sz w:val="24"/>
          <w:szCs w:val="24"/>
          <w:lang w:val="en-US"/>
        </w:rPr>
        <w:t xml:space="preserve">In a parallel group study designed to assess the efficacy and safety of </w:t>
      </w:r>
      <w:proofErr w:type="spellStart"/>
      <w:r w:rsidRPr="00783B75">
        <w:rPr>
          <w:sz w:val="24"/>
          <w:szCs w:val="24"/>
          <w:lang w:val="en-US"/>
        </w:rPr>
        <w:t>riluzole</w:t>
      </w:r>
      <w:proofErr w:type="spellEnd"/>
      <w:r w:rsidRPr="00783B75">
        <w:rPr>
          <w:sz w:val="24"/>
          <w:szCs w:val="24"/>
          <w:lang w:val="en-US"/>
        </w:rPr>
        <w:t xml:space="preserve"> in patients at a late stage of the disease, survival time and motor function under </w:t>
      </w:r>
      <w:proofErr w:type="spellStart"/>
      <w:r w:rsidRPr="00783B75">
        <w:rPr>
          <w:sz w:val="24"/>
          <w:szCs w:val="24"/>
          <w:lang w:val="en-US"/>
        </w:rPr>
        <w:t>riluzole</w:t>
      </w:r>
      <w:proofErr w:type="spellEnd"/>
      <w:r w:rsidRPr="00783B75">
        <w:rPr>
          <w:sz w:val="24"/>
          <w:szCs w:val="24"/>
          <w:lang w:val="en-US"/>
        </w:rPr>
        <w:t xml:space="preserve"> did not differ significantly from that of placebo. In this study the majority of patients had a vital capacity less than 60</w:t>
      </w:r>
      <w:r w:rsidR="00785979">
        <w:rPr>
          <w:sz w:val="24"/>
          <w:szCs w:val="24"/>
          <w:lang w:val="en-US"/>
        </w:rPr>
        <w:t xml:space="preserve"> %</w:t>
      </w:r>
      <w:r w:rsidRPr="00783B75">
        <w:rPr>
          <w:sz w:val="24"/>
          <w:szCs w:val="24"/>
          <w:lang w:val="en-US"/>
        </w:rPr>
        <w:t>.</w:t>
      </w:r>
    </w:p>
    <w:p w:rsidR="00783B75" w:rsidRPr="00783B75" w:rsidRDefault="00783B75" w:rsidP="00783B75">
      <w:pPr>
        <w:tabs>
          <w:tab w:val="left" w:pos="851"/>
        </w:tabs>
        <w:ind w:left="851"/>
        <w:rPr>
          <w:sz w:val="24"/>
          <w:szCs w:val="24"/>
          <w:lang w:val="en-US"/>
        </w:rPr>
      </w:pPr>
    </w:p>
    <w:p w:rsidR="00783B75" w:rsidRPr="00783B75" w:rsidRDefault="00783B75" w:rsidP="00783B75">
      <w:pPr>
        <w:tabs>
          <w:tab w:val="left" w:pos="851"/>
        </w:tabs>
        <w:ind w:left="851"/>
        <w:rPr>
          <w:sz w:val="24"/>
          <w:szCs w:val="24"/>
          <w:lang w:val="en-US"/>
        </w:rPr>
      </w:pPr>
      <w:r w:rsidRPr="00783B75">
        <w:rPr>
          <w:sz w:val="24"/>
          <w:szCs w:val="24"/>
          <w:lang w:val="en-US"/>
        </w:rPr>
        <w:t xml:space="preserve">In a double-blind placebo-controlled trial designed to assess the efficacy and safety of </w:t>
      </w:r>
      <w:proofErr w:type="spellStart"/>
      <w:r w:rsidRPr="00783B75">
        <w:rPr>
          <w:sz w:val="24"/>
          <w:szCs w:val="24"/>
          <w:lang w:val="en-US"/>
        </w:rPr>
        <w:t>riluzole</w:t>
      </w:r>
      <w:proofErr w:type="spellEnd"/>
      <w:r w:rsidRPr="00783B75">
        <w:rPr>
          <w:sz w:val="24"/>
          <w:szCs w:val="24"/>
          <w:lang w:val="en-US"/>
        </w:rPr>
        <w:t xml:space="preserve"> in Japanese patients, 204 patients were </w:t>
      </w:r>
      <w:proofErr w:type="spellStart"/>
      <w:r w:rsidRPr="00783B75">
        <w:rPr>
          <w:sz w:val="24"/>
          <w:szCs w:val="24"/>
          <w:lang w:val="en-US"/>
        </w:rPr>
        <w:t>randomised</w:t>
      </w:r>
      <w:proofErr w:type="spellEnd"/>
      <w:r w:rsidRPr="00783B75">
        <w:rPr>
          <w:sz w:val="24"/>
          <w:szCs w:val="24"/>
          <w:lang w:val="en-US"/>
        </w:rPr>
        <w:t xml:space="preserve"> to </w:t>
      </w:r>
      <w:proofErr w:type="spellStart"/>
      <w:r w:rsidRPr="00783B75">
        <w:rPr>
          <w:sz w:val="24"/>
          <w:szCs w:val="24"/>
          <w:lang w:val="en-US"/>
        </w:rPr>
        <w:t>riluzole</w:t>
      </w:r>
      <w:proofErr w:type="spellEnd"/>
      <w:r w:rsidRPr="00783B75">
        <w:rPr>
          <w:sz w:val="24"/>
          <w:szCs w:val="24"/>
          <w:lang w:val="en-US"/>
        </w:rPr>
        <w:t xml:space="preserve"> 100 mg/day (50 mg </w:t>
      </w:r>
      <w:r w:rsidRPr="00783B75">
        <w:rPr>
          <w:sz w:val="24"/>
          <w:szCs w:val="24"/>
          <w:lang w:val="en-US"/>
        </w:rPr>
        <w:lastRenderedPageBreak/>
        <w:t xml:space="preserve">twice daily) or placebo and were followed-up for 18 months. In this study, the efficacy was assessed on inability to walk alone, loss of upper limb function, tracheostomy, need for artificial ventilation, gastric tube feeding or death. Tracheostomy-free survival in patients treated with </w:t>
      </w:r>
      <w:proofErr w:type="spellStart"/>
      <w:r w:rsidRPr="00783B75">
        <w:rPr>
          <w:sz w:val="24"/>
          <w:szCs w:val="24"/>
          <w:lang w:val="en-US"/>
        </w:rPr>
        <w:t>riluzole</w:t>
      </w:r>
      <w:proofErr w:type="spellEnd"/>
      <w:r w:rsidRPr="00783B75">
        <w:rPr>
          <w:sz w:val="24"/>
          <w:szCs w:val="24"/>
          <w:lang w:val="en-US"/>
        </w:rPr>
        <w:t xml:space="preserve"> did not differ significantly from placebo. However, the power of this study to detect differences between treatment groups was low. Meta-analysis including this study and those described above showed a less striking effect on survival for </w:t>
      </w:r>
      <w:proofErr w:type="spellStart"/>
      <w:r w:rsidRPr="00783B75">
        <w:rPr>
          <w:sz w:val="24"/>
          <w:szCs w:val="24"/>
          <w:lang w:val="en-US"/>
        </w:rPr>
        <w:t>riluzole</w:t>
      </w:r>
      <w:proofErr w:type="spellEnd"/>
      <w:r w:rsidRPr="00783B75">
        <w:rPr>
          <w:sz w:val="24"/>
          <w:szCs w:val="24"/>
          <w:lang w:val="en-US"/>
        </w:rPr>
        <w:t xml:space="preserve"> as compared to placebo although the differences remained statistically significant.</w:t>
      </w:r>
    </w:p>
    <w:p w:rsidR="007C5D2A" w:rsidRPr="00783B75"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C61C88" w:rsidRPr="00C61C88" w:rsidRDefault="00C61C88" w:rsidP="00C61C88">
      <w:pPr>
        <w:tabs>
          <w:tab w:val="left" w:pos="851"/>
        </w:tabs>
        <w:ind w:left="851"/>
        <w:rPr>
          <w:sz w:val="24"/>
          <w:szCs w:val="24"/>
          <w:lang w:val="en-US"/>
        </w:rPr>
      </w:pPr>
      <w:r w:rsidRPr="00C61C88">
        <w:rPr>
          <w:sz w:val="24"/>
          <w:szCs w:val="24"/>
          <w:lang w:val="en-US"/>
        </w:rPr>
        <w:t xml:space="preserve">The pharmacokinetics of </w:t>
      </w:r>
      <w:proofErr w:type="spellStart"/>
      <w:r w:rsidRPr="00C61C88">
        <w:rPr>
          <w:sz w:val="24"/>
          <w:szCs w:val="24"/>
          <w:lang w:val="en-US"/>
        </w:rPr>
        <w:t>riluzole</w:t>
      </w:r>
      <w:proofErr w:type="spellEnd"/>
      <w:r w:rsidRPr="00C61C88">
        <w:rPr>
          <w:sz w:val="24"/>
          <w:szCs w:val="24"/>
          <w:lang w:val="en-US"/>
        </w:rPr>
        <w:t xml:space="preserve"> have been evaluated in healthy male volunteers after single oral administration of 25 to 300 mg and after multiple-dose oral administration of 25 to 100 mg bid. Plasma levels increase linearly with the dose and the pharmacokinetic profile is dose-independent. With multiple dose administration (10 day-treatment at 50 mg </w:t>
      </w:r>
      <w:proofErr w:type="spellStart"/>
      <w:r w:rsidRPr="00C61C88">
        <w:rPr>
          <w:sz w:val="24"/>
          <w:szCs w:val="24"/>
          <w:lang w:val="en-US"/>
        </w:rPr>
        <w:t>riluzole</w:t>
      </w:r>
      <w:proofErr w:type="spellEnd"/>
      <w:r w:rsidRPr="00C61C88">
        <w:rPr>
          <w:sz w:val="24"/>
          <w:szCs w:val="24"/>
          <w:lang w:val="en-US"/>
        </w:rPr>
        <w:t xml:space="preserve"> bid), unchanged </w:t>
      </w:r>
      <w:proofErr w:type="spellStart"/>
      <w:r w:rsidRPr="00C61C88">
        <w:rPr>
          <w:sz w:val="24"/>
          <w:szCs w:val="24"/>
          <w:lang w:val="en-US"/>
        </w:rPr>
        <w:t>riluzole</w:t>
      </w:r>
      <w:proofErr w:type="spellEnd"/>
      <w:r w:rsidRPr="00C61C88">
        <w:rPr>
          <w:sz w:val="24"/>
          <w:szCs w:val="24"/>
          <w:lang w:val="en-US"/>
        </w:rPr>
        <w:t xml:space="preserve"> accumulates in plasma by about </w:t>
      </w:r>
      <w:proofErr w:type="gramStart"/>
      <w:r w:rsidRPr="00C61C88">
        <w:rPr>
          <w:sz w:val="24"/>
          <w:szCs w:val="24"/>
          <w:lang w:val="en-US"/>
        </w:rPr>
        <w:t>2 fold</w:t>
      </w:r>
      <w:proofErr w:type="gramEnd"/>
      <w:r w:rsidRPr="00C61C88">
        <w:rPr>
          <w:sz w:val="24"/>
          <w:szCs w:val="24"/>
          <w:lang w:val="en-US"/>
        </w:rPr>
        <w:t xml:space="preserve"> and steady-state is reached in less than 5 days.</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u w:val="single"/>
          <w:lang w:val="en-US"/>
        </w:rPr>
        <w:t>Absorption</w:t>
      </w:r>
    </w:p>
    <w:p w:rsidR="00C61C88" w:rsidRPr="00C61C88" w:rsidRDefault="00C61C88" w:rsidP="00C61C88">
      <w:pPr>
        <w:tabs>
          <w:tab w:val="left" w:pos="851"/>
        </w:tabs>
        <w:ind w:left="851"/>
        <w:rPr>
          <w:sz w:val="24"/>
          <w:szCs w:val="24"/>
          <w:lang w:val="en-US"/>
        </w:rPr>
      </w:pPr>
      <w:proofErr w:type="spellStart"/>
      <w:r w:rsidRPr="00C61C88">
        <w:rPr>
          <w:sz w:val="24"/>
          <w:szCs w:val="24"/>
          <w:lang w:val="en-US"/>
        </w:rPr>
        <w:t>Riluzole</w:t>
      </w:r>
      <w:proofErr w:type="spellEnd"/>
      <w:r w:rsidRPr="00C61C88">
        <w:rPr>
          <w:sz w:val="24"/>
          <w:szCs w:val="24"/>
          <w:lang w:val="en-US"/>
        </w:rPr>
        <w:t xml:space="preserve"> is rapidly absorbed after oral administration with maximal plasma concentrations occurring within 60 to 90 minutes (</w:t>
      </w:r>
      <w:proofErr w:type="spellStart"/>
      <w:r w:rsidRPr="00C61C88">
        <w:rPr>
          <w:sz w:val="24"/>
          <w:szCs w:val="24"/>
          <w:lang w:val="en-US"/>
        </w:rPr>
        <w:t>Cmax</w:t>
      </w:r>
      <w:proofErr w:type="spellEnd"/>
      <w:r w:rsidRPr="00C61C88">
        <w:rPr>
          <w:sz w:val="24"/>
          <w:szCs w:val="24"/>
          <w:lang w:val="en-US"/>
        </w:rPr>
        <w:t>=173 ± 72 (</w:t>
      </w:r>
      <w:proofErr w:type="spellStart"/>
      <w:r w:rsidRPr="00C61C88">
        <w:rPr>
          <w:sz w:val="24"/>
          <w:szCs w:val="24"/>
          <w:lang w:val="en-US"/>
        </w:rPr>
        <w:t>sd</w:t>
      </w:r>
      <w:proofErr w:type="spellEnd"/>
      <w:r w:rsidRPr="00C61C88">
        <w:rPr>
          <w:sz w:val="24"/>
          <w:szCs w:val="24"/>
          <w:lang w:val="en-US"/>
        </w:rPr>
        <w:t>) ng/ml). About 90</w:t>
      </w:r>
      <w:r w:rsidR="00785979">
        <w:rPr>
          <w:sz w:val="24"/>
          <w:szCs w:val="24"/>
          <w:lang w:val="en-US"/>
        </w:rPr>
        <w:t xml:space="preserve"> %</w:t>
      </w:r>
      <w:r w:rsidRPr="00C61C88">
        <w:rPr>
          <w:sz w:val="24"/>
          <w:szCs w:val="24"/>
          <w:lang w:val="en-US"/>
        </w:rPr>
        <w:t xml:space="preserve"> of the dose is absorbed and the absolute bioavailability is 60 ± 18</w:t>
      </w:r>
      <w:r w:rsidR="00785979">
        <w:rPr>
          <w:sz w:val="24"/>
          <w:szCs w:val="24"/>
          <w:lang w:val="en-US"/>
        </w:rPr>
        <w:t xml:space="preserve"> %</w:t>
      </w:r>
      <w:r w:rsidRPr="00C61C88">
        <w:rPr>
          <w:sz w:val="24"/>
          <w:szCs w:val="24"/>
          <w:lang w:val="en-US"/>
        </w:rPr>
        <w:t>.</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lang w:val="en-US"/>
        </w:rPr>
        <w:t xml:space="preserve">The rate and extent of absorption is reduced when </w:t>
      </w:r>
      <w:proofErr w:type="spellStart"/>
      <w:r w:rsidRPr="00C61C88">
        <w:rPr>
          <w:sz w:val="24"/>
          <w:szCs w:val="24"/>
          <w:lang w:val="en-US"/>
        </w:rPr>
        <w:t>riluzole</w:t>
      </w:r>
      <w:proofErr w:type="spellEnd"/>
      <w:r w:rsidRPr="00C61C88">
        <w:rPr>
          <w:sz w:val="24"/>
          <w:szCs w:val="24"/>
          <w:lang w:val="en-US"/>
        </w:rPr>
        <w:t xml:space="preserve"> is administered with high-fat meals (decrease in </w:t>
      </w:r>
      <w:proofErr w:type="spellStart"/>
      <w:r w:rsidRPr="00C61C88">
        <w:rPr>
          <w:sz w:val="24"/>
          <w:szCs w:val="24"/>
          <w:lang w:val="en-US"/>
        </w:rPr>
        <w:t>Cmax</w:t>
      </w:r>
      <w:proofErr w:type="spellEnd"/>
      <w:r w:rsidRPr="00C61C88">
        <w:rPr>
          <w:sz w:val="24"/>
          <w:szCs w:val="24"/>
          <w:lang w:val="en-US"/>
        </w:rPr>
        <w:t xml:space="preserve"> of 44</w:t>
      </w:r>
      <w:r w:rsidR="00785979">
        <w:rPr>
          <w:sz w:val="24"/>
          <w:szCs w:val="24"/>
          <w:lang w:val="en-US"/>
        </w:rPr>
        <w:t xml:space="preserve"> %</w:t>
      </w:r>
      <w:r w:rsidRPr="00C61C88">
        <w:rPr>
          <w:sz w:val="24"/>
          <w:szCs w:val="24"/>
          <w:lang w:val="en-US"/>
        </w:rPr>
        <w:t>, decrease in AUC of 17</w:t>
      </w:r>
      <w:r w:rsidR="00785979">
        <w:rPr>
          <w:sz w:val="24"/>
          <w:szCs w:val="24"/>
          <w:lang w:val="en-US"/>
        </w:rPr>
        <w:t xml:space="preserve"> %</w:t>
      </w:r>
      <w:r w:rsidRPr="00C61C88">
        <w:rPr>
          <w:sz w:val="24"/>
          <w:szCs w:val="24"/>
          <w:lang w:val="en-US"/>
        </w:rPr>
        <w:t>).</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lang w:val="en-US"/>
        </w:rPr>
        <w:t xml:space="preserve">In a bioequivalence study the total exposure of </w:t>
      </w:r>
      <w:proofErr w:type="spellStart"/>
      <w:r w:rsidRPr="00C61C88">
        <w:rPr>
          <w:sz w:val="24"/>
          <w:szCs w:val="24"/>
          <w:lang w:val="en-US"/>
        </w:rPr>
        <w:t>riluzole</w:t>
      </w:r>
      <w:proofErr w:type="spellEnd"/>
      <w:r w:rsidRPr="00C61C88">
        <w:rPr>
          <w:sz w:val="24"/>
          <w:szCs w:val="24"/>
          <w:lang w:val="en-US"/>
        </w:rPr>
        <w:t xml:space="preserve"> 50 mg tablets and </w:t>
      </w:r>
      <w:proofErr w:type="spellStart"/>
      <w:r w:rsidRPr="00C61C88">
        <w:rPr>
          <w:sz w:val="24"/>
          <w:szCs w:val="24"/>
          <w:lang w:val="en-US"/>
        </w:rPr>
        <w:t>riluzole</w:t>
      </w:r>
      <w:proofErr w:type="spellEnd"/>
      <w:r w:rsidRPr="00C61C88">
        <w:rPr>
          <w:sz w:val="24"/>
          <w:szCs w:val="24"/>
          <w:lang w:val="en-US"/>
        </w:rPr>
        <w:t xml:space="preserve"> 50 mg </w:t>
      </w:r>
      <w:proofErr w:type="spellStart"/>
      <w:r w:rsidRPr="00C61C88">
        <w:rPr>
          <w:sz w:val="24"/>
          <w:szCs w:val="24"/>
          <w:lang w:val="en-US"/>
        </w:rPr>
        <w:t>orodispersible</w:t>
      </w:r>
      <w:proofErr w:type="spellEnd"/>
      <w:r w:rsidRPr="00C61C88">
        <w:rPr>
          <w:sz w:val="24"/>
          <w:szCs w:val="24"/>
          <w:lang w:val="en-US"/>
        </w:rPr>
        <w:t xml:space="preserve"> film were equivalent (</w:t>
      </w:r>
      <w:proofErr w:type="spellStart"/>
      <w:r w:rsidRPr="00C61C88">
        <w:rPr>
          <w:sz w:val="24"/>
          <w:szCs w:val="24"/>
          <w:lang w:val="en-US"/>
        </w:rPr>
        <w:t>Cmax</w:t>
      </w:r>
      <w:proofErr w:type="spellEnd"/>
      <w:r w:rsidRPr="00C61C88">
        <w:rPr>
          <w:sz w:val="24"/>
          <w:szCs w:val="24"/>
          <w:lang w:val="en-US"/>
        </w:rPr>
        <w:t xml:space="preserve"> Ratio: 117.05</w:t>
      </w:r>
      <w:r w:rsidR="00785979">
        <w:rPr>
          <w:sz w:val="24"/>
          <w:szCs w:val="24"/>
          <w:lang w:val="en-US"/>
        </w:rPr>
        <w:t xml:space="preserve"> %</w:t>
      </w:r>
      <w:r w:rsidRPr="00C61C88">
        <w:rPr>
          <w:sz w:val="24"/>
          <w:szCs w:val="24"/>
          <w:lang w:val="en-US"/>
        </w:rPr>
        <w:t>; 90</w:t>
      </w:r>
      <w:r w:rsidR="00785979">
        <w:rPr>
          <w:sz w:val="24"/>
          <w:szCs w:val="24"/>
          <w:lang w:val="en-US"/>
        </w:rPr>
        <w:t xml:space="preserve"> %</w:t>
      </w:r>
      <w:r w:rsidRPr="00C61C88">
        <w:rPr>
          <w:sz w:val="24"/>
          <w:szCs w:val="24"/>
          <w:lang w:val="en-US"/>
        </w:rPr>
        <w:t xml:space="preserve"> CI: 110.43-124.06</w:t>
      </w:r>
      <w:r w:rsidR="00785979">
        <w:rPr>
          <w:sz w:val="24"/>
          <w:szCs w:val="24"/>
          <w:lang w:val="en-US"/>
        </w:rPr>
        <w:t xml:space="preserve"> %</w:t>
      </w:r>
      <w:r w:rsidRPr="00C61C88">
        <w:rPr>
          <w:sz w:val="24"/>
          <w:szCs w:val="24"/>
          <w:lang w:val="en-US"/>
        </w:rPr>
        <w:t xml:space="preserve">; </w:t>
      </w:r>
      <w:r w:rsidRPr="00C61C88">
        <w:rPr>
          <w:sz w:val="24"/>
          <w:szCs w:val="24"/>
          <w:u w:val="single"/>
          <w:lang w:val="en-US"/>
        </w:rPr>
        <w:t>AUC</w:t>
      </w:r>
      <w:r w:rsidRPr="00C61C88">
        <w:rPr>
          <w:sz w:val="24"/>
          <w:szCs w:val="24"/>
          <w:u w:val="single"/>
          <w:vertAlign w:val="subscript"/>
          <w:lang w:val="en-US"/>
        </w:rPr>
        <w:t>0-</w:t>
      </w:r>
      <w:proofErr w:type="gramStart"/>
      <w:r w:rsidRPr="00C61C88">
        <w:rPr>
          <w:sz w:val="24"/>
          <w:szCs w:val="24"/>
          <w:u w:val="single"/>
          <w:vertAlign w:val="subscript"/>
          <w:lang w:val="en-US"/>
        </w:rPr>
        <w:t>t</w:t>
      </w:r>
      <w:r w:rsidRPr="00C61C88">
        <w:rPr>
          <w:b/>
          <w:bCs/>
          <w:sz w:val="24"/>
          <w:szCs w:val="24"/>
          <w:u w:val="single"/>
          <w:vertAlign w:val="subscript"/>
          <w:lang w:val="en-US"/>
        </w:rPr>
        <w:t xml:space="preserve">  </w:t>
      </w:r>
      <w:r w:rsidRPr="00C61C88">
        <w:rPr>
          <w:sz w:val="24"/>
          <w:szCs w:val="24"/>
          <w:lang w:val="en-US"/>
        </w:rPr>
        <w:t>Ratio</w:t>
      </w:r>
      <w:proofErr w:type="gramEnd"/>
      <w:r w:rsidRPr="00C61C88">
        <w:rPr>
          <w:sz w:val="24"/>
          <w:szCs w:val="24"/>
          <w:lang w:val="en-US"/>
        </w:rPr>
        <w:t>: 111.82; 90</w:t>
      </w:r>
      <w:r w:rsidR="00785979">
        <w:rPr>
          <w:sz w:val="24"/>
          <w:szCs w:val="24"/>
          <w:lang w:val="en-US"/>
        </w:rPr>
        <w:t xml:space="preserve"> %</w:t>
      </w:r>
      <w:r w:rsidRPr="00C61C88">
        <w:rPr>
          <w:sz w:val="24"/>
          <w:szCs w:val="24"/>
          <w:lang w:val="en-US"/>
        </w:rPr>
        <w:t xml:space="preserve"> CI: 108.25-115.50;</w:t>
      </w:r>
      <w:r w:rsidRPr="00C61C88">
        <w:rPr>
          <w:b/>
          <w:bCs/>
          <w:sz w:val="24"/>
          <w:szCs w:val="24"/>
          <w:u w:val="single"/>
          <w:lang w:val="en-US"/>
        </w:rPr>
        <w:t xml:space="preserve"> </w:t>
      </w:r>
      <w:r w:rsidRPr="00C61C88">
        <w:rPr>
          <w:sz w:val="24"/>
          <w:szCs w:val="24"/>
          <w:u w:val="single"/>
          <w:lang w:val="en-US"/>
        </w:rPr>
        <w:t>AUC</w:t>
      </w:r>
      <w:r w:rsidRPr="00C61C88">
        <w:rPr>
          <w:sz w:val="24"/>
          <w:szCs w:val="24"/>
          <w:u w:val="single"/>
          <w:vertAlign w:val="subscript"/>
          <w:lang w:val="en-US"/>
        </w:rPr>
        <w:t xml:space="preserve">0-inf </w:t>
      </w:r>
      <w:r w:rsidRPr="00C61C88">
        <w:rPr>
          <w:sz w:val="24"/>
          <w:szCs w:val="24"/>
          <w:u w:val="single"/>
          <w:lang w:val="en-US"/>
        </w:rPr>
        <w:t xml:space="preserve">Ratio: 111.83; </w:t>
      </w:r>
      <w:r w:rsidRPr="00C61C88">
        <w:rPr>
          <w:sz w:val="24"/>
          <w:szCs w:val="24"/>
          <w:lang w:val="en-US"/>
        </w:rPr>
        <w:t>90</w:t>
      </w:r>
      <w:r w:rsidR="00785979">
        <w:rPr>
          <w:sz w:val="24"/>
          <w:szCs w:val="24"/>
          <w:lang w:val="en-US"/>
        </w:rPr>
        <w:t xml:space="preserve"> %</w:t>
      </w:r>
      <w:r w:rsidRPr="00C61C88">
        <w:rPr>
          <w:sz w:val="24"/>
          <w:szCs w:val="24"/>
          <w:lang w:val="en-US"/>
        </w:rPr>
        <w:t xml:space="preserve"> </w:t>
      </w:r>
      <w:r w:rsidRPr="00C61C88">
        <w:rPr>
          <w:sz w:val="24"/>
          <w:szCs w:val="24"/>
          <w:u w:val="single"/>
          <w:lang w:val="en-US"/>
        </w:rPr>
        <w:t>CI: 108.19-115.59</w:t>
      </w:r>
      <w:r w:rsidRPr="00C61C88">
        <w:rPr>
          <w:sz w:val="24"/>
          <w:szCs w:val="24"/>
          <w:lang w:val="en-US"/>
        </w:rPr>
        <w:t xml:space="preserve">). </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u w:val="single"/>
          <w:lang w:val="en-US"/>
        </w:rPr>
        <w:t>Distribution</w:t>
      </w:r>
    </w:p>
    <w:p w:rsidR="00C61C88" w:rsidRPr="00C61C88" w:rsidRDefault="00C61C88" w:rsidP="00C61C88">
      <w:pPr>
        <w:tabs>
          <w:tab w:val="left" w:pos="851"/>
        </w:tabs>
        <w:ind w:left="851"/>
        <w:rPr>
          <w:sz w:val="24"/>
          <w:szCs w:val="24"/>
          <w:lang w:val="en-US"/>
        </w:rPr>
      </w:pPr>
      <w:proofErr w:type="spellStart"/>
      <w:r w:rsidRPr="00C61C88">
        <w:rPr>
          <w:sz w:val="24"/>
          <w:szCs w:val="24"/>
          <w:lang w:val="en-US"/>
        </w:rPr>
        <w:t>Riluzole</w:t>
      </w:r>
      <w:proofErr w:type="spellEnd"/>
      <w:r w:rsidRPr="00C61C88">
        <w:rPr>
          <w:sz w:val="24"/>
          <w:szCs w:val="24"/>
          <w:lang w:val="en-US"/>
        </w:rPr>
        <w:t xml:space="preserve"> is extensively distributed throughout the body and has been shown to cross the blood brain barrier. The volume of distribution of </w:t>
      </w:r>
      <w:proofErr w:type="spellStart"/>
      <w:r w:rsidRPr="00C61C88">
        <w:rPr>
          <w:sz w:val="24"/>
          <w:szCs w:val="24"/>
          <w:lang w:val="en-US"/>
        </w:rPr>
        <w:t>riluzole</w:t>
      </w:r>
      <w:proofErr w:type="spellEnd"/>
      <w:r w:rsidRPr="00C61C88">
        <w:rPr>
          <w:sz w:val="24"/>
          <w:szCs w:val="24"/>
          <w:lang w:val="en-US"/>
        </w:rPr>
        <w:t xml:space="preserve"> is about 245 ± 69 L (3.4 L/kg). </w:t>
      </w:r>
      <w:proofErr w:type="spellStart"/>
      <w:r w:rsidRPr="00C61C88">
        <w:rPr>
          <w:sz w:val="24"/>
          <w:szCs w:val="24"/>
          <w:lang w:val="en-US"/>
        </w:rPr>
        <w:t>Riluzole</w:t>
      </w:r>
      <w:proofErr w:type="spellEnd"/>
      <w:r w:rsidRPr="00C61C88">
        <w:rPr>
          <w:sz w:val="24"/>
          <w:szCs w:val="24"/>
          <w:lang w:val="en-US"/>
        </w:rPr>
        <w:t xml:space="preserve"> is about 97</w:t>
      </w:r>
      <w:r w:rsidR="00785979">
        <w:rPr>
          <w:sz w:val="24"/>
          <w:szCs w:val="24"/>
          <w:lang w:val="en-US"/>
        </w:rPr>
        <w:t xml:space="preserve"> %</w:t>
      </w:r>
      <w:r w:rsidRPr="00C61C88">
        <w:rPr>
          <w:sz w:val="24"/>
          <w:szCs w:val="24"/>
          <w:lang w:val="en-US"/>
        </w:rPr>
        <w:t xml:space="preserve"> protein bound and it binds mainly to serum albumin and to lipoproteins.</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u w:val="single"/>
          <w:lang w:val="en-US"/>
        </w:rPr>
        <w:t>Biotransformation</w:t>
      </w:r>
    </w:p>
    <w:p w:rsidR="00C61C88" w:rsidRPr="00C61C88" w:rsidRDefault="00C61C88" w:rsidP="00C61C88">
      <w:pPr>
        <w:tabs>
          <w:tab w:val="left" w:pos="851"/>
        </w:tabs>
        <w:ind w:left="851"/>
        <w:rPr>
          <w:sz w:val="24"/>
          <w:szCs w:val="24"/>
          <w:lang w:val="en-US"/>
        </w:rPr>
      </w:pPr>
      <w:r w:rsidRPr="00C61C88">
        <w:rPr>
          <w:sz w:val="24"/>
          <w:szCs w:val="24"/>
          <w:lang w:val="en-US"/>
        </w:rPr>
        <w:t xml:space="preserve">Unchanged </w:t>
      </w:r>
      <w:proofErr w:type="spellStart"/>
      <w:r w:rsidRPr="00C61C88">
        <w:rPr>
          <w:sz w:val="24"/>
          <w:szCs w:val="24"/>
          <w:lang w:val="en-US"/>
        </w:rPr>
        <w:t>riluzole</w:t>
      </w:r>
      <w:proofErr w:type="spellEnd"/>
      <w:r w:rsidRPr="00C61C88">
        <w:rPr>
          <w:sz w:val="24"/>
          <w:szCs w:val="24"/>
          <w:lang w:val="en-US"/>
        </w:rPr>
        <w:t xml:space="preserve"> is the main component in plasma and is extensively </w:t>
      </w:r>
      <w:proofErr w:type="spellStart"/>
      <w:r w:rsidRPr="00C61C88">
        <w:rPr>
          <w:sz w:val="24"/>
          <w:szCs w:val="24"/>
          <w:lang w:val="en-US"/>
        </w:rPr>
        <w:t>metabolised</w:t>
      </w:r>
      <w:proofErr w:type="spellEnd"/>
      <w:r w:rsidRPr="00C61C88">
        <w:rPr>
          <w:sz w:val="24"/>
          <w:szCs w:val="24"/>
          <w:lang w:val="en-US"/>
        </w:rPr>
        <w:t xml:space="preserve"> by cytochrome P450 and subsequent glucuronidation. In vitro studies using human liver preparations demonstrated that cytochrome P450 1A2 is the principal isoenzyme involved in the metabolism of </w:t>
      </w:r>
      <w:proofErr w:type="spellStart"/>
      <w:r w:rsidRPr="00C61C88">
        <w:rPr>
          <w:sz w:val="24"/>
          <w:szCs w:val="24"/>
          <w:lang w:val="en-US"/>
        </w:rPr>
        <w:t>riluzole</w:t>
      </w:r>
      <w:proofErr w:type="spellEnd"/>
      <w:r w:rsidRPr="00C61C88">
        <w:rPr>
          <w:sz w:val="24"/>
          <w:szCs w:val="24"/>
          <w:lang w:val="en-US"/>
        </w:rPr>
        <w:t xml:space="preserve">. The metabolites identified in urine are three phenolic derivatives, one </w:t>
      </w:r>
      <w:proofErr w:type="spellStart"/>
      <w:r w:rsidRPr="00C61C88">
        <w:rPr>
          <w:sz w:val="24"/>
          <w:szCs w:val="24"/>
          <w:lang w:val="en-US"/>
        </w:rPr>
        <w:t>ureido</w:t>
      </w:r>
      <w:proofErr w:type="spellEnd"/>
      <w:r w:rsidRPr="00C61C88">
        <w:rPr>
          <w:sz w:val="24"/>
          <w:szCs w:val="24"/>
          <w:lang w:val="en-US"/>
        </w:rPr>
        <w:t xml:space="preserve">-derivative and unchanged </w:t>
      </w:r>
      <w:proofErr w:type="spellStart"/>
      <w:r w:rsidRPr="00C61C88">
        <w:rPr>
          <w:sz w:val="24"/>
          <w:szCs w:val="24"/>
          <w:lang w:val="en-US"/>
        </w:rPr>
        <w:t>riluzole</w:t>
      </w:r>
      <w:proofErr w:type="spellEnd"/>
      <w:r w:rsidRPr="00C61C88">
        <w:rPr>
          <w:sz w:val="24"/>
          <w:szCs w:val="24"/>
          <w:lang w:val="en-US"/>
        </w:rPr>
        <w:t>.</w:t>
      </w:r>
    </w:p>
    <w:p w:rsidR="00C61C88" w:rsidRPr="00C61C88" w:rsidRDefault="00C61C88" w:rsidP="00C61C88">
      <w:pPr>
        <w:tabs>
          <w:tab w:val="left" w:pos="851"/>
        </w:tabs>
        <w:ind w:left="851"/>
        <w:rPr>
          <w:sz w:val="24"/>
          <w:szCs w:val="24"/>
          <w:lang w:val="en-US"/>
        </w:rPr>
      </w:pPr>
      <w:r w:rsidRPr="00C61C88">
        <w:rPr>
          <w:sz w:val="24"/>
          <w:szCs w:val="24"/>
          <w:lang w:val="en-US"/>
        </w:rPr>
        <w:t xml:space="preserve">The primary metabolic pathway for </w:t>
      </w:r>
      <w:proofErr w:type="spellStart"/>
      <w:r w:rsidRPr="00C61C88">
        <w:rPr>
          <w:sz w:val="24"/>
          <w:szCs w:val="24"/>
          <w:lang w:val="en-US"/>
        </w:rPr>
        <w:t>riluzole</w:t>
      </w:r>
      <w:proofErr w:type="spellEnd"/>
      <w:r w:rsidRPr="00C61C88">
        <w:rPr>
          <w:sz w:val="24"/>
          <w:szCs w:val="24"/>
          <w:lang w:val="en-US"/>
        </w:rPr>
        <w:t xml:space="preserve"> is initial oxidation by cytochrome P450 1A2 producing N-hydroxy-</w:t>
      </w:r>
      <w:proofErr w:type="spellStart"/>
      <w:r w:rsidRPr="00C61C88">
        <w:rPr>
          <w:sz w:val="24"/>
          <w:szCs w:val="24"/>
          <w:lang w:val="en-US"/>
        </w:rPr>
        <w:t>riluzole</w:t>
      </w:r>
      <w:proofErr w:type="spellEnd"/>
      <w:r w:rsidRPr="00C61C88">
        <w:rPr>
          <w:sz w:val="24"/>
          <w:szCs w:val="24"/>
          <w:lang w:val="en-US"/>
        </w:rPr>
        <w:t xml:space="preserve"> (RPR112512), the major active metabolite of </w:t>
      </w:r>
      <w:proofErr w:type="spellStart"/>
      <w:r w:rsidRPr="00C61C88">
        <w:rPr>
          <w:sz w:val="24"/>
          <w:szCs w:val="24"/>
          <w:lang w:val="en-US"/>
        </w:rPr>
        <w:t>riluzole</w:t>
      </w:r>
      <w:proofErr w:type="spellEnd"/>
      <w:r w:rsidRPr="00C61C88">
        <w:rPr>
          <w:sz w:val="24"/>
          <w:szCs w:val="24"/>
          <w:lang w:val="en-US"/>
        </w:rPr>
        <w:t>. This metabolite is rapidly</w:t>
      </w:r>
      <w:r>
        <w:rPr>
          <w:sz w:val="24"/>
          <w:szCs w:val="24"/>
          <w:lang w:val="en-US"/>
        </w:rPr>
        <w:t xml:space="preserve"> </w:t>
      </w:r>
      <w:bookmarkStart w:id="19" w:name="5.3_Preclinical_safety_data"/>
      <w:bookmarkStart w:id="20" w:name="_bookmark5"/>
      <w:bookmarkEnd w:id="19"/>
      <w:bookmarkEnd w:id="20"/>
      <w:proofErr w:type="spellStart"/>
      <w:r w:rsidRPr="00C61C88">
        <w:rPr>
          <w:sz w:val="24"/>
          <w:szCs w:val="24"/>
          <w:lang w:val="en-US"/>
        </w:rPr>
        <w:t>glucuronoconjugated</w:t>
      </w:r>
      <w:proofErr w:type="spellEnd"/>
      <w:r w:rsidRPr="00C61C88">
        <w:rPr>
          <w:sz w:val="24"/>
          <w:szCs w:val="24"/>
          <w:lang w:val="en-US"/>
        </w:rPr>
        <w:t xml:space="preserve"> to O- and N-glucuronides.</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u w:val="single"/>
          <w:lang w:val="en-US"/>
        </w:rPr>
        <w:t>Elimination</w:t>
      </w:r>
    </w:p>
    <w:p w:rsidR="00C61C88" w:rsidRPr="00C61C88" w:rsidRDefault="00C61C88" w:rsidP="00C61C88">
      <w:pPr>
        <w:tabs>
          <w:tab w:val="left" w:pos="851"/>
        </w:tabs>
        <w:ind w:left="851"/>
        <w:rPr>
          <w:sz w:val="24"/>
          <w:szCs w:val="24"/>
          <w:lang w:val="en-US"/>
        </w:rPr>
      </w:pPr>
      <w:r w:rsidRPr="00C61C88">
        <w:rPr>
          <w:sz w:val="24"/>
          <w:szCs w:val="24"/>
          <w:lang w:val="en-US"/>
        </w:rPr>
        <w:t xml:space="preserve">The elimination half-life ranges from 9 to 15 hours. </w:t>
      </w:r>
      <w:proofErr w:type="spellStart"/>
      <w:r w:rsidRPr="00C61C88">
        <w:rPr>
          <w:sz w:val="24"/>
          <w:szCs w:val="24"/>
          <w:lang w:val="en-US"/>
        </w:rPr>
        <w:t>Riluzole</w:t>
      </w:r>
      <w:proofErr w:type="spellEnd"/>
      <w:r w:rsidRPr="00C61C88">
        <w:rPr>
          <w:sz w:val="24"/>
          <w:szCs w:val="24"/>
          <w:lang w:val="en-US"/>
        </w:rPr>
        <w:t xml:space="preserve"> is eliminated mainly in the urine.</w:t>
      </w:r>
    </w:p>
    <w:p w:rsidR="00C61C88" w:rsidRPr="00C61C88" w:rsidRDefault="00C61C88" w:rsidP="00C61C88">
      <w:pPr>
        <w:tabs>
          <w:tab w:val="left" w:pos="851"/>
        </w:tabs>
        <w:ind w:left="851"/>
        <w:rPr>
          <w:sz w:val="24"/>
          <w:szCs w:val="24"/>
          <w:lang w:val="en-US"/>
        </w:rPr>
      </w:pPr>
      <w:r w:rsidRPr="00C61C88">
        <w:rPr>
          <w:sz w:val="24"/>
          <w:szCs w:val="24"/>
          <w:lang w:val="en-US"/>
        </w:rPr>
        <w:t>The overall urinary excretion accounts for about 90</w:t>
      </w:r>
      <w:r w:rsidR="00785979">
        <w:rPr>
          <w:sz w:val="24"/>
          <w:szCs w:val="24"/>
          <w:lang w:val="en-US"/>
        </w:rPr>
        <w:t xml:space="preserve"> %</w:t>
      </w:r>
      <w:r w:rsidRPr="00C61C88">
        <w:rPr>
          <w:sz w:val="24"/>
          <w:szCs w:val="24"/>
          <w:lang w:val="en-US"/>
        </w:rPr>
        <w:t xml:space="preserve"> of the dose. Glucuronides accounted for more than 85</w:t>
      </w:r>
      <w:r w:rsidR="00785979">
        <w:rPr>
          <w:sz w:val="24"/>
          <w:szCs w:val="24"/>
          <w:lang w:val="en-US"/>
        </w:rPr>
        <w:t xml:space="preserve"> %</w:t>
      </w:r>
      <w:r w:rsidRPr="00C61C88">
        <w:rPr>
          <w:sz w:val="24"/>
          <w:szCs w:val="24"/>
          <w:lang w:val="en-US"/>
        </w:rPr>
        <w:t xml:space="preserve"> of the metabolites in the urine. Only 2</w:t>
      </w:r>
      <w:r w:rsidR="00785979">
        <w:rPr>
          <w:sz w:val="24"/>
          <w:szCs w:val="24"/>
          <w:lang w:val="en-US"/>
        </w:rPr>
        <w:t xml:space="preserve"> %</w:t>
      </w:r>
      <w:r w:rsidRPr="00C61C88">
        <w:rPr>
          <w:sz w:val="24"/>
          <w:szCs w:val="24"/>
          <w:lang w:val="en-US"/>
        </w:rPr>
        <w:t xml:space="preserve"> of a </w:t>
      </w:r>
      <w:proofErr w:type="spellStart"/>
      <w:r w:rsidRPr="00C61C88">
        <w:rPr>
          <w:sz w:val="24"/>
          <w:szCs w:val="24"/>
          <w:lang w:val="en-US"/>
        </w:rPr>
        <w:t>riluzole</w:t>
      </w:r>
      <w:proofErr w:type="spellEnd"/>
      <w:r w:rsidRPr="00C61C88">
        <w:rPr>
          <w:sz w:val="24"/>
          <w:szCs w:val="24"/>
          <w:lang w:val="en-US"/>
        </w:rPr>
        <w:t xml:space="preserve"> dose was recovered unchanged in the urine.</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sz w:val="24"/>
          <w:szCs w:val="24"/>
          <w:lang w:val="en-US"/>
        </w:rPr>
      </w:pPr>
      <w:r w:rsidRPr="00C61C88">
        <w:rPr>
          <w:sz w:val="24"/>
          <w:szCs w:val="24"/>
          <w:u w:val="single"/>
          <w:lang w:val="en-US"/>
        </w:rPr>
        <w:t>Special populations</w:t>
      </w:r>
    </w:p>
    <w:p w:rsidR="00C61C88" w:rsidRDefault="00C61C88" w:rsidP="00C61C88">
      <w:pPr>
        <w:tabs>
          <w:tab w:val="left" w:pos="851"/>
        </w:tabs>
        <w:ind w:left="851"/>
        <w:rPr>
          <w:i/>
          <w:sz w:val="24"/>
          <w:szCs w:val="24"/>
          <w:lang w:val="en-US"/>
        </w:rPr>
      </w:pPr>
    </w:p>
    <w:p w:rsidR="00C61C88" w:rsidRPr="00C61C88" w:rsidRDefault="00C61C88" w:rsidP="00C61C88">
      <w:pPr>
        <w:tabs>
          <w:tab w:val="left" w:pos="851"/>
        </w:tabs>
        <w:ind w:left="851"/>
        <w:rPr>
          <w:i/>
          <w:sz w:val="24"/>
          <w:szCs w:val="24"/>
          <w:lang w:val="en-US"/>
        </w:rPr>
      </w:pPr>
      <w:r w:rsidRPr="00C61C88">
        <w:rPr>
          <w:i/>
          <w:sz w:val="24"/>
          <w:szCs w:val="24"/>
          <w:lang w:val="en-US"/>
        </w:rPr>
        <w:t>Impaired renal function</w:t>
      </w:r>
    </w:p>
    <w:p w:rsidR="00C61C88" w:rsidRPr="00C61C88" w:rsidRDefault="00C61C88" w:rsidP="00C61C88">
      <w:pPr>
        <w:tabs>
          <w:tab w:val="left" w:pos="851"/>
        </w:tabs>
        <w:ind w:left="851"/>
        <w:rPr>
          <w:sz w:val="24"/>
          <w:szCs w:val="24"/>
          <w:lang w:val="en-US"/>
        </w:rPr>
      </w:pPr>
      <w:r w:rsidRPr="00C61C88">
        <w:rPr>
          <w:sz w:val="24"/>
          <w:szCs w:val="24"/>
          <w:lang w:val="en-US"/>
        </w:rPr>
        <w:t xml:space="preserve">There is no significant difference in pharmacokinetic parameters between patients with moderate or severe chronic renal insufficiency (creatinine clearance between 10 and 50 ml.min-1) and healthy volunteers after a single oral dose of 50 mg </w:t>
      </w:r>
      <w:proofErr w:type="spellStart"/>
      <w:r w:rsidRPr="00C61C88">
        <w:rPr>
          <w:sz w:val="24"/>
          <w:szCs w:val="24"/>
          <w:lang w:val="en-US"/>
        </w:rPr>
        <w:t>riluzole</w:t>
      </w:r>
      <w:proofErr w:type="spellEnd"/>
      <w:r w:rsidRPr="00C61C88">
        <w:rPr>
          <w:sz w:val="24"/>
          <w:szCs w:val="24"/>
          <w:lang w:val="en-US"/>
        </w:rPr>
        <w:t>.</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i/>
          <w:sz w:val="24"/>
          <w:szCs w:val="24"/>
          <w:lang w:val="en-US"/>
        </w:rPr>
      </w:pPr>
      <w:r w:rsidRPr="00C61C88">
        <w:rPr>
          <w:i/>
          <w:sz w:val="24"/>
          <w:szCs w:val="24"/>
          <w:lang w:val="en-US"/>
        </w:rPr>
        <w:t>Older people</w:t>
      </w:r>
    </w:p>
    <w:p w:rsidR="00C61C88" w:rsidRPr="00C61C88" w:rsidRDefault="00C61C88" w:rsidP="00C61C88">
      <w:pPr>
        <w:tabs>
          <w:tab w:val="left" w:pos="851"/>
        </w:tabs>
        <w:ind w:left="851"/>
        <w:rPr>
          <w:sz w:val="24"/>
          <w:szCs w:val="24"/>
          <w:lang w:val="en-US"/>
        </w:rPr>
      </w:pPr>
      <w:r w:rsidRPr="00C61C88">
        <w:rPr>
          <w:sz w:val="24"/>
          <w:szCs w:val="24"/>
          <w:lang w:val="en-US"/>
        </w:rPr>
        <w:t xml:space="preserve">The pharmacokinetic parameters of </w:t>
      </w:r>
      <w:proofErr w:type="spellStart"/>
      <w:r w:rsidRPr="00C61C88">
        <w:rPr>
          <w:sz w:val="24"/>
          <w:szCs w:val="24"/>
          <w:lang w:val="en-US"/>
        </w:rPr>
        <w:t>riluzole</w:t>
      </w:r>
      <w:proofErr w:type="spellEnd"/>
      <w:r w:rsidRPr="00C61C88">
        <w:rPr>
          <w:sz w:val="24"/>
          <w:szCs w:val="24"/>
          <w:lang w:val="en-US"/>
        </w:rPr>
        <w:t xml:space="preserve"> after multiple dose administration (4.5 days of treatment at 50 mg </w:t>
      </w:r>
      <w:proofErr w:type="spellStart"/>
      <w:r w:rsidRPr="00C61C88">
        <w:rPr>
          <w:sz w:val="24"/>
          <w:szCs w:val="24"/>
          <w:lang w:val="en-US"/>
        </w:rPr>
        <w:t>riluzole</w:t>
      </w:r>
      <w:proofErr w:type="spellEnd"/>
      <w:r w:rsidRPr="00C61C88">
        <w:rPr>
          <w:sz w:val="24"/>
          <w:szCs w:val="24"/>
          <w:lang w:val="en-US"/>
        </w:rPr>
        <w:t xml:space="preserve"> bid) are not affected in the older people (&gt;70 years).</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i/>
          <w:sz w:val="24"/>
          <w:szCs w:val="24"/>
          <w:lang w:val="en-US"/>
        </w:rPr>
      </w:pPr>
      <w:r w:rsidRPr="00C61C88">
        <w:rPr>
          <w:i/>
          <w:sz w:val="24"/>
          <w:szCs w:val="24"/>
          <w:lang w:val="en-US"/>
        </w:rPr>
        <w:t>Impaired hepatic function</w:t>
      </w:r>
    </w:p>
    <w:p w:rsidR="00C61C88" w:rsidRPr="00C61C88" w:rsidRDefault="00C61C88" w:rsidP="00C61C88">
      <w:pPr>
        <w:tabs>
          <w:tab w:val="left" w:pos="851"/>
        </w:tabs>
        <w:ind w:left="851"/>
        <w:rPr>
          <w:sz w:val="24"/>
          <w:szCs w:val="24"/>
          <w:lang w:val="en-US"/>
        </w:rPr>
      </w:pPr>
      <w:r w:rsidRPr="00C61C88">
        <w:rPr>
          <w:sz w:val="24"/>
          <w:szCs w:val="24"/>
          <w:lang w:val="en-US"/>
        </w:rPr>
        <w:t xml:space="preserve">The AUC of </w:t>
      </w:r>
      <w:proofErr w:type="spellStart"/>
      <w:r w:rsidRPr="00C61C88">
        <w:rPr>
          <w:sz w:val="24"/>
          <w:szCs w:val="24"/>
          <w:lang w:val="en-US"/>
        </w:rPr>
        <w:t>riluzole</w:t>
      </w:r>
      <w:proofErr w:type="spellEnd"/>
      <w:r w:rsidRPr="00C61C88">
        <w:rPr>
          <w:sz w:val="24"/>
          <w:szCs w:val="24"/>
          <w:lang w:val="en-US"/>
        </w:rPr>
        <w:t xml:space="preserve"> after a single oral dose of 50 mg increases by about </w:t>
      </w:r>
      <w:proofErr w:type="gramStart"/>
      <w:r w:rsidRPr="00C61C88">
        <w:rPr>
          <w:sz w:val="24"/>
          <w:szCs w:val="24"/>
          <w:lang w:val="en-US"/>
        </w:rPr>
        <w:t>1.7 fold</w:t>
      </w:r>
      <w:proofErr w:type="gramEnd"/>
      <w:r w:rsidRPr="00C61C88">
        <w:rPr>
          <w:sz w:val="24"/>
          <w:szCs w:val="24"/>
          <w:lang w:val="en-US"/>
        </w:rPr>
        <w:t xml:space="preserve"> in patients with mild chronic liver insufficiency and by about 3 fold in patients with moderate chronic liver insufficiency.</w:t>
      </w:r>
    </w:p>
    <w:p w:rsidR="00C61C88" w:rsidRPr="00C61C88" w:rsidRDefault="00C61C88" w:rsidP="00C61C88">
      <w:pPr>
        <w:tabs>
          <w:tab w:val="left" w:pos="851"/>
        </w:tabs>
        <w:ind w:left="851"/>
        <w:rPr>
          <w:sz w:val="24"/>
          <w:szCs w:val="24"/>
          <w:lang w:val="en-US"/>
        </w:rPr>
      </w:pPr>
    </w:p>
    <w:p w:rsidR="00C61C88" w:rsidRPr="00C61C88" w:rsidRDefault="00C61C88" w:rsidP="00C61C88">
      <w:pPr>
        <w:tabs>
          <w:tab w:val="left" w:pos="851"/>
        </w:tabs>
        <w:ind w:left="851"/>
        <w:rPr>
          <w:i/>
          <w:sz w:val="24"/>
          <w:szCs w:val="24"/>
          <w:lang w:val="en-US"/>
        </w:rPr>
      </w:pPr>
      <w:r w:rsidRPr="00C61C88">
        <w:rPr>
          <w:i/>
          <w:sz w:val="24"/>
          <w:szCs w:val="24"/>
          <w:lang w:val="en-US"/>
        </w:rPr>
        <w:t>Race</w:t>
      </w:r>
    </w:p>
    <w:p w:rsidR="00C61C88" w:rsidRPr="00C61C88" w:rsidRDefault="00C61C88" w:rsidP="00C61C88">
      <w:pPr>
        <w:tabs>
          <w:tab w:val="left" w:pos="851"/>
        </w:tabs>
        <w:ind w:left="851"/>
        <w:rPr>
          <w:sz w:val="24"/>
          <w:szCs w:val="24"/>
          <w:lang w:val="en-US"/>
        </w:rPr>
      </w:pPr>
      <w:r w:rsidRPr="00C61C88">
        <w:rPr>
          <w:sz w:val="24"/>
          <w:szCs w:val="24"/>
          <w:lang w:val="en-US"/>
        </w:rPr>
        <w:t xml:space="preserve">A clinical study conducted to evaluate the pharmacokinetics of </w:t>
      </w:r>
      <w:proofErr w:type="spellStart"/>
      <w:r w:rsidRPr="00C61C88">
        <w:rPr>
          <w:sz w:val="24"/>
          <w:szCs w:val="24"/>
          <w:lang w:val="en-US"/>
        </w:rPr>
        <w:t>riluzole</w:t>
      </w:r>
      <w:proofErr w:type="spellEnd"/>
      <w:r w:rsidRPr="00C61C88">
        <w:rPr>
          <w:sz w:val="24"/>
          <w:szCs w:val="24"/>
          <w:lang w:val="en-US"/>
        </w:rPr>
        <w:t xml:space="preserve"> and its metabolite</w:t>
      </w:r>
    </w:p>
    <w:p w:rsidR="00C61C88" w:rsidRPr="00C61C88" w:rsidRDefault="00C61C88" w:rsidP="00C61C88">
      <w:pPr>
        <w:tabs>
          <w:tab w:val="left" w:pos="851"/>
        </w:tabs>
        <w:ind w:left="851"/>
        <w:rPr>
          <w:sz w:val="24"/>
          <w:szCs w:val="24"/>
          <w:lang w:val="en-US"/>
        </w:rPr>
      </w:pPr>
      <w:r w:rsidRPr="00C61C88">
        <w:rPr>
          <w:sz w:val="24"/>
          <w:szCs w:val="24"/>
          <w:lang w:val="en-US"/>
        </w:rPr>
        <w:t>N-</w:t>
      </w:r>
      <w:proofErr w:type="spellStart"/>
      <w:r w:rsidRPr="00C61C88">
        <w:rPr>
          <w:sz w:val="24"/>
          <w:szCs w:val="24"/>
          <w:lang w:val="en-US"/>
        </w:rPr>
        <w:t>hydroxyriluzole</w:t>
      </w:r>
      <w:proofErr w:type="spellEnd"/>
      <w:r w:rsidRPr="00C61C88">
        <w:rPr>
          <w:sz w:val="24"/>
          <w:szCs w:val="24"/>
          <w:lang w:val="en-US"/>
        </w:rPr>
        <w:t xml:space="preserve"> following repeated oral administration twice daily for 8 days in 16 healthy Japanese and 16 Caucasian adult males showed in the Japanese group a lower exposure of </w:t>
      </w:r>
      <w:proofErr w:type="spellStart"/>
      <w:r w:rsidRPr="00C61C88">
        <w:rPr>
          <w:sz w:val="24"/>
          <w:szCs w:val="24"/>
          <w:lang w:val="en-US"/>
        </w:rPr>
        <w:t>riluzole</w:t>
      </w:r>
      <w:proofErr w:type="spellEnd"/>
      <w:r w:rsidRPr="00C61C88">
        <w:rPr>
          <w:sz w:val="24"/>
          <w:szCs w:val="24"/>
          <w:lang w:val="en-US"/>
        </w:rPr>
        <w:t xml:space="preserve"> (</w:t>
      </w:r>
      <w:proofErr w:type="spellStart"/>
      <w:r w:rsidRPr="00C61C88">
        <w:rPr>
          <w:sz w:val="24"/>
          <w:szCs w:val="24"/>
          <w:lang w:val="en-US"/>
        </w:rPr>
        <w:t>Cmax</w:t>
      </w:r>
      <w:proofErr w:type="spellEnd"/>
      <w:r w:rsidRPr="00C61C88">
        <w:rPr>
          <w:sz w:val="24"/>
          <w:szCs w:val="24"/>
          <w:lang w:val="en-US"/>
        </w:rPr>
        <w:t xml:space="preserve"> 0.85 [90</w:t>
      </w:r>
      <w:r w:rsidR="00785979">
        <w:rPr>
          <w:sz w:val="24"/>
          <w:szCs w:val="24"/>
          <w:lang w:val="en-US"/>
        </w:rPr>
        <w:t xml:space="preserve"> %</w:t>
      </w:r>
      <w:r w:rsidRPr="00C61C88">
        <w:rPr>
          <w:sz w:val="24"/>
          <w:szCs w:val="24"/>
          <w:lang w:val="en-US"/>
        </w:rPr>
        <w:t xml:space="preserve"> CI 0.68-1.08] and AUC inf. 0.88 [90</w:t>
      </w:r>
      <w:r w:rsidR="00785979">
        <w:rPr>
          <w:sz w:val="24"/>
          <w:szCs w:val="24"/>
          <w:lang w:val="en-US"/>
        </w:rPr>
        <w:t xml:space="preserve"> %</w:t>
      </w:r>
      <w:r w:rsidRPr="00C61C88">
        <w:rPr>
          <w:sz w:val="24"/>
          <w:szCs w:val="24"/>
          <w:lang w:val="en-US"/>
        </w:rPr>
        <w:t xml:space="preserve"> CI 0.69-1.13]) and similar exposure to the metabolite. The clinical significance of these results is not known.</w:t>
      </w:r>
    </w:p>
    <w:p w:rsidR="007C5D2A" w:rsidRPr="00303008" w:rsidRDefault="007C5D2A" w:rsidP="003E0341">
      <w:pPr>
        <w:tabs>
          <w:tab w:val="left" w:pos="851"/>
        </w:tabs>
        <w:ind w:left="851"/>
        <w:rPr>
          <w:sz w:val="24"/>
          <w:szCs w:val="24"/>
          <w:lang w:val="en-GB"/>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B9450C" w:rsidRPr="00B9450C" w:rsidRDefault="00B9450C" w:rsidP="00B9450C">
      <w:pPr>
        <w:tabs>
          <w:tab w:val="left" w:pos="851"/>
        </w:tabs>
        <w:ind w:left="851"/>
        <w:rPr>
          <w:sz w:val="24"/>
          <w:szCs w:val="24"/>
          <w:lang w:val="en-US"/>
        </w:rPr>
      </w:pPr>
      <w:proofErr w:type="spellStart"/>
      <w:r w:rsidRPr="00B9450C">
        <w:rPr>
          <w:sz w:val="24"/>
          <w:szCs w:val="24"/>
          <w:lang w:val="en-US"/>
        </w:rPr>
        <w:t>Riluzole</w:t>
      </w:r>
      <w:proofErr w:type="spellEnd"/>
      <w:r w:rsidRPr="00B9450C">
        <w:rPr>
          <w:sz w:val="24"/>
          <w:szCs w:val="24"/>
          <w:lang w:val="en-US"/>
        </w:rPr>
        <w:t xml:space="preserve"> did not show any carcinogenicity potential in either rats or mice.</w:t>
      </w:r>
    </w:p>
    <w:p w:rsidR="00B9450C" w:rsidRPr="00B9450C" w:rsidRDefault="00B9450C" w:rsidP="00B9450C">
      <w:pPr>
        <w:tabs>
          <w:tab w:val="left" w:pos="851"/>
        </w:tabs>
        <w:ind w:left="851"/>
        <w:rPr>
          <w:sz w:val="24"/>
          <w:szCs w:val="24"/>
          <w:lang w:val="en-US"/>
        </w:rPr>
      </w:pPr>
    </w:p>
    <w:p w:rsidR="00B9450C" w:rsidRPr="00B9450C" w:rsidRDefault="00B9450C" w:rsidP="00B9450C">
      <w:pPr>
        <w:tabs>
          <w:tab w:val="left" w:pos="851"/>
        </w:tabs>
        <w:ind w:left="851"/>
        <w:rPr>
          <w:sz w:val="24"/>
          <w:szCs w:val="24"/>
          <w:lang w:val="en-US"/>
        </w:rPr>
      </w:pPr>
      <w:r w:rsidRPr="00B9450C">
        <w:rPr>
          <w:sz w:val="24"/>
          <w:szCs w:val="24"/>
          <w:lang w:val="en-US"/>
        </w:rPr>
        <w:t xml:space="preserve">Standard tests for genotoxicity performed with </w:t>
      </w:r>
      <w:proofErr w:type="spellStart"/>
      <w:r w:rsidRPr="00B9450C">
        <w:rPr>
          <w:sz w:val="24"/>
          <w:szCs w:val="24"/>
          <w:lang w:val="en-US"/>
        </w:rPr>
        <w:t>riluzole</w:t>
      </w:r>
      <w:proofErr w:type="spellEnd"/>
      <w:r w:rsidRPr="00B9450C">
        <w:rPr>
          <w:sz w:val="24"/>
          <w:szCs w:val="24"/>
          <w:lang w:val="en-US"/>
        </w:rPr>
        <w:t xml:space="preserve"> were negative. Tests on the major active metabolite of </w:t>
      </w:r>
      <w:proofErr w:type="spellStart"/>
      <w:r w:rsidRPr="00B9450C">
        <w:rPr>
          <w:sz w:val="24"/>
          <w:szCs w:val="24"/>
          <w:lang w:val="en-US"/>
        </w:rPr>
        <w:t>riluzole</w:t>
      </w:r>
      <w:proofErr w:type="spellEnd"/>
      <w:r w:rsidRPr="00B9450C">
        <w:rPr>
          <w:sz w:val="24"/>
          <w:szCs w:val="24"/>
          <w:lang w:val="en-US"/>
        </w:rPr>
        <w:t xml:space="preserve"> gave positive results in two in vitro tests. Intensive testing in seven other standard </w:t>
      </w:r>
      <w:r w:rsidRPr="00B9450C">
        <w:rPr>
          <w:i/>
          <w:sz w:val="24"/>
          <w:szCs w:val="24"/>
          <w:lang w:val="en-US"/>
        </w:rPr>
        <w:t xml:space="preserve">in vitro </w:t>
      </w:r>
      <w:r w:rsidRPr="00B9450C">
        <w:rPr>
          <w:sz w:val="24"/>
          <w:szCs w:val="24"/>
          <w:lang w:val="en-US"/>
        </w:rPr>
        <w:t xml:space="preserve">or </w:t>
      </w:r>
      <w:r w:rsidRPr="00B9450C">
        <w:rPr>
          <w:i/>
          <w:sz w:val="24"/>
          <w:szCs w:val="24"/>
          <w:lang w:val="en-US"/>
        </w:rPr>
        <w:t xml:space="preserve">in vivo </w:t>
      </w:r>
      <w:r w:rsidRPr="00B9450C">
        <w:rPr>
          <w:sz w:val="24"/>
          <w:szCs w:val="24"/>
          <w:lang w:val="en-US"/>
        </w:rPr>
        <w:t xml:space="preserve">assays did not show any genotoxic potential of the metabolite. On the basis of these data and taking into consideration the negative studies on the carcinogenesis of </w:t>
      </w:r>
      <w:proofErr w:type="spellStart"/>
      <w:r w:rsidRPr="00B9450C">
        <w:rPr>
          <w:sz w:val="24"/>
          <w:szCs w:val="24"/>
          <w:lang w:val="en-US"/>
        </w:rPr>
        <w:t>riluzole</w:t>
      </w:r>
      <w:proofErr w:type="spellEnd"/>
      <w:r w:rsidRPr="00B9450C">
        <w:rPr>
          <w:sz w:val="24"/>
          <w:szCs w:val="24"/>
          <w:lang w:val="en-US"/>
        </w:rPr>
        <w:t xml:space="preserve"> in the mouse and rat, the genotoxic effect of this metabolite is not considered to be of relevance in humans.</w:t>
      </w:r>
    </w:p>
    <w:p w:rsidR="00B9450C" w:rsidRPr="00B9450C" w:rsidRDefault="00B9450C" w:rsidP="00B9450C">
      <w:pPr>
        <w:tabs>
          <w:tab w:val="left" w:pos="851"/>
        </w:tabs>
        <w:ind w:left="851"/>
        <w:rPr>
          <w:sz w:val="24"/>
          <w:szCs w:val="24"/>
          <w:lang w:val="en-US"/>
        </w:rPr>
      </w:pPr>
    </w:p>
    <w:p w:rsidR="00B9450C" w:rsidRPr="00B9450C" w:rsidRDefault="00B9450C" w:rsidP="00B9450C">
      <w:pPr>
        <w:tabs>
          <w:tab w:val="left" w:pos="851"/>
        </w:tabs>
        <w:ind w:left="851"/>
        <w:rPr>
          <w:sz w:val="24"/>
          <w:szCs w:val="24"/>
          <w:lang w:val="en-US"/>
        </w:rPr>
      </w:pPr>
      <w:r w:rsidRPr="00B9450C">
        <w:rPr>
          <w:sz w:val="24"/>
          <w:szCs w:val="24"/>
          <w:lang w:val="en-US"/>
        </w:rPr>
        <w:t xml:space="preserve">Reductions in red blood cell parameters and/or alterations in liver parameters were noted inconsistently in subacute and chronic toxicity studies in rats and monkeys. In dogs, </w:t>
      </w:r>
      <w:proofErr w:type="spellStart"/>
      <w:r w:rsidRPr="00B9450C">
        <w:rPr>
          <w:sz w:val="24"/>
          <w:szCs w:val="24"/>
          <w:lang w:val="en-US"/>
        </w:rPr>
        <w:t>haemolytic</w:t>
      </w:r>
      <w:proofErr w:type="spellEnd"/>
      <w:r w:rsidRPr="00B9450C">
        <w:rPr>
          <w:sz w:val="24"/>
          <w:szCs w:val="24"/>
          <w:lang w:val="en-US"/>
        </w:rPr>
        <w:t xml:space="preserve"> </w:t>
      </w:r>
      <w:proofErr w:type="spellStart"/>
      <w:r w:rsidRPr="00B9450C">
        <w:rPr>
          <w:sz w:val="24"/>
          <w:szCs w:val="24"/>
          <w:lang w:val="en-US"/>
        </w:rPr>
        <w:t>anaemia</w:t>
      </w:r>
      <w:proofErr w:type="spellEnd"/>
      <w:r w:rsidRPr="00B9450C">
        <w:rPr>
          <w:sz w:val="24"/>
          <w:szCs w:val="24"/>
          <w:lang w:val="en-US"/>
        </w:rPr>
        <w:t xml:space="preserve"> was observed.</w:t>
      </w:r>
    </w:p>
    <w:p w:rsidR="00B9450C" w:rsidRPr="00B9450C" w:rsidRDefault="00B9450C" w:rsidP="00B9450C">
      <w:pPr>
        <w:tabs>
          <w:tab w:val="left" w:pos="851"/>
        </w:tabs>
        <w:ind w:left="851"/>
        <w:rPr>
          <w:sz w:val="24"/>
          <w:szCs w:val="24"/>
          <w:lang w:val="en-US"/>
        </w:rPr>
      </w:pPr>
      <w:r w:rsidRPr="00B9450C">
        <w:rPr>
          <w:sz w:val="24"/>
          <w:szCs w:val="24"/>
          <w:lang w:val="en-US"/>
        </w:rPr>
        <w:t>In a single toxicity study, the absence of corpora lutea was noted at a higher incidence in the ovary of treated compared to control female rats. This isolated finding was not noted in any other study or species.</w:t>
      </w:r>
    </w:p>
    <w:p w:rsidR="00B9450C" w:rsidRPr="00B9450C" w:rsidRDefault="00B9450C" w:rsidP="00B9450C">
      <w:pPr>
        <w:tabs>
          <w:tab w:val="left" w:pos="851"/>
        </w:tabs>
        <w:ind w:left="851"/>
        <w:rPr>
          <w:sz w:val="24"/>
          <w:szCs w:val="24"/>
          <w:lang w:val="en-US"/>
        </w:rPr>
      </w:pPr>
    </w:p>
    <w:p w:rsidR="00B9450C" w:rsidRPr="00B9450C" w:rsidRDefault="00B9450C" w:rsidP="00B9450C">
      <w:pPr>
        <w:tabs>
          <w:tab w:val="left" w:pos="851"/>
        </w:tabs>
        <w:ind w:left="851"/>
        <w:rPr>
          <w:sz w:val="24"/>
          <w:szCs w:val="24"/>
          <w:lang w:val="en-US"/>
        </w:rPr>
      </w:pPr>
      <w:r w:rsidRPr="00B9450C">
        <w:rPr>
          <w:sz w:val="24"/>
          <w:szCs w:val="24"/>
          <w:lang w:val="en-US"/>
        </w:rPr>
        <w:t>All these findings were noted at doses which were 2-10 times higher than the human dose of 100 mg/day.</w:t>
      </w:r>
    </w:p>
    <w:p w:rsidR="00B9450C" w:rsidRPr="00B9450C" w:rsidRDefault="00B9450C" w:rsidP="00B9450C">
      <w:pPr>
        <w:tabs>
          <w:tab w:val="left" w:pos="851"/>
        </w:tabs>
        <w:ind w:left="851"/>
        <w:rPr>
          <w:sz w:val="24"/>
          <w:szCs w:val="24"/>
          <w:lang w:val="en-US"/>
        </w:rPr>
      </w:pPr>
    </w:p>
    <w:p w:rsidR="00B9450C" w:rsidRPr="00B9450C" w:rsidRDefault="00B9450C" w:rsidP="00B9450C">
      <w:pPr>
        <w:tabs>
          <w:tab w:val="left" w:pos="851"/>
        </w:tabs>
        <w:ind w:left="851"/>
        <w:rPr>
          <w:sz w:val="24"/>
          <w:szCs w:val="24"/>
          <w:lang w:val="en-US"/>
        </w:rPr>
      </w:pPr>
      <w:r w:rsidRPr="00B9450C">
        <w:rPr>
          <w:sz w:val="24"/>
          <w:szCs w:val="24"/>
          <w:lang w:val="en-US"/>
        </w:rPr>
        <w:t xml:space="preserve">In the pregnant rat, the transfer of 14C-riluzole across the placenta to the </w:t>
      </w:r>
      <w:proofErr w:type="spellStart"/>
      <w:r w:rsidRPr="00B9450C">
        <w:rPr>
          <w:sz w:val="24"/>
          <w:szCs w:val="24"/>
          <w:lang w:val="en-US"/>
        </w:rPr>
        <w:t>foetus</w:t>
      </w:r>
      <w:proofErr w:type="spellEnd"/>
      <w:r w:rsidRPr="00B9450C">
        <w:rPr>
          <w:sz w:val="24"/>
          <w:szCs w:val="24"/>
          <w:lang w:val="en-US"/>
        </w:rPr>
        <w:t xml:space="preserve"> has been detected. In rats, </w:t>
      </w:r>
      <w:proofErr w:type="spellStart"/>
      <w:r w:rsidRPr="00B9450C">
        <w:rPr>
          <w:sz w:val="24"/>
          <w:szCs w:val="24"/>
          <w:lang w:val="en-US"/>
        </w:rPr>
        <w:t>riluzole</w:t>
      </w:r>
      <w:proofErr w:type="spellEnd"/>
      <w:r w:rsidRPr="00B9450C">
        <w:rPr>
          <w:sz w:val="24"/>
          <w:szCs w:val="24"/>
          <w:lang w:val="en-US"/>
        </w:rPr>
        <w:t xml:space="preserve"> decreased the pregnancy rate and the number of implantations at exposure levels at least twice the systemic exposure of humans given clinical therapy. No malformations were seen in animal reproductive studies.</w:t>
      </w:r>
    </w:p>
    <w:p w:rsidR="00B9450C" w:rsidRPr="00B9450C" w:rsidRDefault="00B9450C" w:rsidP="00B9450C">
      <w:pPr>
        <w:tabs>
          <w:tab w:val="left" w:pos="851"/>
        </w:tabs>
        <w:ind w:left="851"/>
        <w:rPr>
          <w:sz w:val="24"/>
          <w:szCs w:val="24"/>
          <w:lang w:val="en-US"/>
        </w:rPr>
      </w:pPr>
      <w:r w:rsidRPr="00B9450C">
        <w:rPr>
          <w:sz w:val="24"/>
          <w:szCs w:val="24"/>
          <w:lang w:val="en-US"/>
        </w:rPr>
        <w:t>In lactating rats, 14C-riluzole was detected in milk.</w:t>
      </w:r>
    </w:p>
    <w:p w:rsidR="007C5D2A" w:rsidRPr="00B9450C" w:rsidRDefault="007C5D2A" w:rsidP="003E0341">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B9450C" w:rsidRPr="00B9450C" w:rsidRDefault="00B9450C" w:rsidP="00B9450C">
      <w:pPr>
        <w:tabs>
          <w:tab w:val="left" w:pos="851"/>
        </w:tabs>
        <w:ind w:left="851"/>
        <w:rPr>
          <w:b/>
          <w:sz w:val="24"/>
          <w:szCs w:val="24"/>
          <w:lang w:val="en-US"/>
        </w:rPr>
      </w:pPr>
    </w:p>
    <w:p w:rsidR="00B9450C" w:rsidRPr="00B9450C" w:rsidRDefault="00B9450C" w:rsidP="00B9450C">
      <w:pPr>
        <w:tabs>
          <w:tab w:val="left" w:pos="851"/>
        </w:tabs>
        <w:ind w:left="851"/>
        <w:rPr>
          <w:sz w:val="24"/>
          <w:szCs w:val="24"/>
          <w:u w:val="single"/>
          <w:lang w:val="it-IT"/>
        </w:rPr>
      </w:pPr>
      <w:r w:rsidRPr="00B9450C">
        <w:rPr>
          <w:sz w:val="24"/>
          <w:szCs w:val="24"/>
          <w:u w:val="single"/>
          <w:lang w:val="it-IT"/>
        </w:rPr>
        <w:t>Orodispersible film</w:t>
      </w:r>
    </w:p>
    <w:p w:rsidR="00B9450C" w:rsidRDefault="00B9450C" w:rsidP="00B9450C">
      <w:pPr>
        <w:tabs>
          <w:tab w:val="left" w:pos="851"/>
        </w:tabs>
        <w:ind w:left="851"/>
        <w:rPr>
          <w:sz w:val="24"/>
          <w:szCs w:val="24"/>
          <w:lang w:val="it-IT"/>
        </w:rPr>
      </w:pPr>
      <w:r w:rsidRPr="00B9450C">
        <w:rPr>
          <w:sz w:val="24"/>
          <w:szCs w:val="24"/>
          <w:lang w:val="it-IT"/>
        </w:rPr>
        <w:t>Polacrilex resin</w:t>
      </w:r>
    </w:p>
    <w:p w:rsidR="00B9450C" w:rsidRDefault="00B9450C" w:rsidP="00B9450C">
      <w:pPr>
        <w:tabs>
          <w:tab w:val="left" w:pos="851"/>
        </w:tabs>
        <w:ind w:left="851"/>
        <w:rPr>
          <w:sz w:val="24"/>
          <w:szCs w:val="24"/>
          <w:lang w:val="it-IT"/>
        </w:rPr>
      </w:pPr>
      <w:r w:rsidRPr="00B9450C">
        <w:rPr>
          <w:sz w:val="24"/>
          <w:szCs w:val="24"/>
          <w:lang w:val="it-IT"/>
        </w:rPr>
        <w:t>Pullulan (E1204)</w:t>
      </w:r>
    </w:p>
    <w:p w:rsidR="00B9450C" w:rsidRPr="00B9450C" w:rsidRDefault="00B9450C" w:rsidP="00B9450C">
      <w:pPr>
        <w:tabs>
          <w:tab w:val="left" w:pos="851"/>
        </w:tabs>
        <w:ind w:left="851"/>
        <w:rPr>
          <w:sz w:val="24"/>
          <w:szCs w:val="24"/>
          <w:lang w:val="it-IT"/>
        </w:rPr>
      </w:pPr>
      <w:r w:rsidRPr="00B9450C">
        <w:rPr>
          <w:sz w:val="24"/>
          <w:szCs w:val="24"/>
          <w:lang w:val="it-IT"/>
        </w:rPr>
        <w:t>Xylitol (E967)</w:t>
      </w:r>
    </w:p>
    <w:p w:rsidR="00B9450C" w:rsidRPr="00B9450C" w:rsidRDefault="00B9450C" w:rsidP="00B9450C">
      <w:pPr>
        <w:tabs>
          <w:tab w:val="left" w:pos="851"/>
        </w:tabs>
        <w:ind w:left="851"/>
        <w:rPr>
          <w:sz w:val="24"/>
          <w:szCs w:val="24"/>
          <w:lang w:val="it-IT"/>
        </w:rPr>
      </w:pPr>
      <w:r w:rsidRPr="00B9450C">
        <w:rPr>
          <w:sz w:val="24"/>
          <w:szCs w:val="24"/>
          <w:lang w:val="it-IT"/>
        </w:rPr>
        <w:t xml:space="preserve">Hypromellose (E464) </w:t>
      </w:r>
    </w:p>
    <w:p w:rsidR="00B9450C" w:rsidRPr="00B9450C" w:rsidRDefault="00B9450C" w:rsidP="00B9450C">
      <w:pPr>
        <w:tabs>
          <w:tab w:val="left" w:pos="851"/>
        </w:tabs>
        <w:ind w:left="851"/>
        <w:rPr>
          <w:sz w:val="24"/>
          <w:szCs w:val="24"/>
          <w:lang w:val="it-IT"/>
        </w:rPr>
      </w:pPr>
      <w:r w:rsidRPr="00B9450C">
        <w:rPr>
          <w:sz w:val="24"/>
          <w:szCs w:val="24"/>
          <w:lang w:val="it-IT"/>
        </w:rPr>
        <w:t>Glycerol (E422)</w:t>
      </w:r>
    </w:p>
    <w:p w:rsidR="00653281" w:rsidRDefault="00B9450C" w:rsidP="00B9450C">
      <w:pPr>
        <w:tabs>
          <w:tab w:val="left" w:pos="851"/>
        </w:tabs>
        <w:ind w:left="851"/>
        <w:rPr>
          <w:sz w:val="24"/>
          <w:szCs w:val="24"/>
          <w:lang w:val="it-IT"/>
        </w:rPr>
      </w:pPr>
      <w:r w:rsidRPr="00B9450C">
        <w:rPr>
          <w:sz w:val="24"/>
          <w:szCs w:val="24"/>
          <w:lang w:val="it-IT"/>
        </w:rPr>
        <w:t>Glycerol mono-oleate</w:t>
      </w:r>
    </w:p>
    <w:p w:rsidR="00B9450C" w:rsidRPr="00B9450C" w:rsidRDefault="00B9450C" w:rsidP="00B9450C">
      <w:pPr>
        <w:tabs>
          <w:tab w:val="left" w:pos="851"/>
        </w:tabs>
        <w:ind w:left="851"/>
        <w:rPr>
          <w:sz w:val="24"/>
          <w:szCs w:val="24"/>
          <w:lang w:val="it-IT"/>
        </w:rPr>
      </w:pPr>
      <w:r w:rsidRPr="00B9450C">
        <w:rPr>
          <w:sz w:val="24"/>
          <w:szCs w:val="24"/>
          <w:lang w:val="it-IT"/>
        </w:rPr>
        <w:t>Sucralose (E955)</w:t>
      </w:r>
    </w:p>
    <w:p w:rsidR="00B9450C" w:rsidRPr="00B9450C" w:rsidRDefault="00B9450C" w:rsidP="00B9450C">
      <w:pPr>
        <w:tabs>
          <w:tab w:val="left" w:pos="851"/>
        </w:tabs>
        <w:ind w:left="851"/>
        <w:rPr>
          <w:sz w:val="24"/>
          <w:szCs w:val="24"/>
          <w:lang w:val="en-US"/>
        </w:rPr>
      </w:pPr>
      <w:r w:rsidRPr="00B9450C">
        <w:rPr>
          <w:sz w:val="24"/>
          <w:szCs w:val="24"/>
          <w:lang w:val="en-US"/>
        </w:rPr>
        <w:t>Fructose</w:t>
      </w:r>
    </w:p>
    <w:p w:rsidR="00B9450C" w:rsidRPr="00B9450C" w:rsidRDefault="00B9450C" w:rsidP="00B9450C">
      <w:pPr>
        <w:tabs>
          <w:tab w:val="left" w:pos="851"/>
        </w:tabs>
        <w:ind w:left="851"/>
        <w:rPr>
          <w:sz w:val="24"/>
          <w:szCs w:val="24"/>
          <w:lang w:val="en-US"/>
        </w:rPr>
      </w:pPr>
      <w:r w:rsidRPr="00B9450C">
        <w:rPr>
          <w:sz w:val="24"/>
          <w:szCs w:val="24"/>
          <w:lang w:val="en-US"/>
        </w:rPr>
        <w:t>Macrogol</w:t>
      </w:r>
    </w:p>
    <w:p w:rsidR="00653281" w:rsidRDefault="00B9450C" w:rsidP="00B9450C">
      <w:pPr>
        <w:tabs>
          <w:tab w:val="left" w:pos="851"/>
        </w:tabs>
        <w:ind w:left="851"/>
        <w:rPr>
          <w:sz w:val="24"/>
          <w:szCs w:val="24"/>
          <w:lang w:val="en-US"/>
        </w:rPr>
      </w:pPr>
      <w:r w:rsidRPr="00B9450C">
        <w:rPr>
          <w:sz w:val="24"/>
          <w:szCs w:val="24"/>
          <w:lang w:val="en-US"/>
        </w:rPr>
        <w:t>Flavor honey</w:t>
      </w:r>
    </w:p>
    <w:p w:rsidR="00653281" w:rsidRDefault="00B9450C" w:rsidP="00B9450C">
      <w:pPr>
        <w:tabs>
          <w:tab w:val="left" w:pos="851"/>
        </w:tabs>
        <w:ind w:left="851"/>
        <w:rPr>
          <w:sz w:val="24"/>
          <w:szCs w:val="24"/>
          <w:lang w:val="en-US"/>
        </w:rPr>
      </w:pPr>
      <w:proofErr w:type="spellStart"/>
      <w:r w:rsidRPr="00B9450C">
        <w:rPr>
          <w:sz w:val="24"/>
          <w:szCs w:val="24"/>
          <w:lang w:val="en-US"/>
        </w:rPr>
        <w:t>Xhanthan</w:t>
      </w:r>
      <w:proofErr w:type="spellEnd"/>
      <w:r w:rsidRPr="00B9450C">
        <w:rPr>
          <w:sz w:val="24"/>
          <w:szCs w:val="24"/>
          <w:lang w:val="en-US"/>
        </w:rPr>
        <w:t xml:space="preserve"> gum</w:t>
      </w:r>
    </w:p>
    <w:p w:rsidR="00B9450C" w:rsidRPr="00B9450C" w:rsidRDefault="00B9450C" w:rsidP="00B9450C">
      <w:pPr>
        <w:tabs>
          <w:tab w:val="left" w:pos="851"/>
        </w:tabs>
        <w:ind w:left="851"/>
        <w:rPr>
          <w:sz w:val="24"/>
          <w:szCs w:val="24"/>
          <w:lang w:val="en-US"/>
        </w:rPr>
      </w:pPr>
      <w:r w:rsidRPr="00B9450C">
        <w:rPr>
          <w:sz w:val="24"/>
          <w:szCs w:val="24"/>
          <w:lang w:val="en-US"/>
        </w:rPr>
        <w:t>Flavor lemon</w:t>
      </w:r>
    </w:p>
    <w:p w:rsidR="00B9450C" w:rsidRPr="00B9450C" w:rsidRDefault="00B9450C" w:rsidP="00B9450C">
      <w:pPr>
        <w:tabs>
          <w:tab w:val="left" w:pos="851"/>
        </w:tabs>
        <w:ind w:left="851"/>
        <w:rPr>
          <w:sz w:val="24"/>
          <w:szCs w:val="24"/>
          <w:lang w:val="en-US"/>
        </w:rPr>
      </w:pPr>
      <w:r w:rsidRPr="00B9450C">
        <w:rPr>
          <w:sz w:val="24"/>
          <w:szCs w:val="24"/>
          <w:lang w:val="en-US"/>
        </w:rPr>
        <w:t>Sunset yellow FCF (E110)</w:t>
      </w:r>
    </w:p>
    <w:p w:rsidR="00B9450C" w:rsidRPr="00B9450C" w:rsidRDefault="00B9450C" w:rsidP="00B9450C">
      <w:pPr>
        <w:tabs>
          <w:tab w:val="left" w:pos="851"/>
        </w:tabs>
        <w:ind w:left="851"/>
        <w:rPr>
          <w:sz w:val="24"/>
          <w:szCs w:val="24"/>
          <w:lang w:val="en-US"/>
        </w:rPr>
      </w:pPr>
    </w:p>
    <w:p w:rsidR="00653281" w:rsidRDefault="00B9450C" w:rsidP="00B9450C">
      <w:pPr>
        <w:tabs>
          <w:tab w:val="left" w:pos="851"/>
        </w:tabs>
        <w:ind w:left="851"/>
        <w:rPr>
          <w:sz w:val="24"/>
          <w:szCs w:val="24"/>
          <w:u w:val="single"/>
          <w:lang w:val="en-US"/>
        </w:rPr>
      </w:pPr>
      <w:r w:rsidRPr="00B9450C">
        <w:rPr>
          <w:sz w:val="24"/>
          <w:szCs w:val="24"/>
          <w:u w:val="single"/>
          <w:lang w:val="en-US"/>
        </w:rPr>
        <w:t>White ink</w:t>
      </w:r>
    </w:p>
    <w:p w:rsidR="00B9450C" w:rsidRPr="00B9450C" w:rsidRDefault="00653281" w:rsidP="00B9450C">
      <w:pPr>
        <w:tabs>
          <w:tab w:val="left" w:pos="851"/>
        </w:tabs>
        <w:ind w:left="851"/>
        <w:rPr>
          <w:sz w:val="24"/>
          <w:szCs w:val="24"/>
          <w:lang w:val="en-US"/>
        </w:rPr>
      </w:pPr>
      <w:r>
        <w:rPr>
          <w:sz w:val="24"/>
          <w:szCs w:val="24"/>
          <w:lang w:val="en-US"/>
        </w:rPr>
        <w:t>P</w:t>
      </w:r>
      <w:r w:rsidR="00B9450C" w:rsidRPr="00B9450C">
        <w:rPr>
          <w:sz w:val="24"/>
          <w:szCs w:val="24"/>
          <w:lang w:val="en-US"/>
        </w:rPr>
        <w:t xml:space="preserve">urified water, </w:t>
      </w:r>
      <w:r>
        <w:rPr>
          <w:sz w:val="24"/>
          <w:szCs w:val="24"/>
          <w:lang w:val="en-US"/>
        </w:rPr>
        <w:t>t</w:t>
      </w:r>
      <w:r w:rsidR="00B9450C" w:rsidRPr="00B9450C">
        <w:rPr>
          <w:sz w:val="24"/>
          <w:szCs w:val="24"/>
          <w:lang w:val="en-US"/>
        </w:rPr>
        <w:t xml:space="preserve">itanium dioxide (E171), </w:t>
      </w:r>
      <w:r>
        <w:rPr>
          <w:sz w:val="24"/>
          <w:szCs w:val="24"/>
          <w:lang w:val="en-US"/>
        </w:rPr>
        <w:t>p</w:t>
      </w:r>
      <w:r w:rsidR="00B9450C" w:rsidRPr="00B9450C">
        <w:rPr>
          <w:sz w:val="24"/>
          <w:szCs w:val="24"/>
          <w:lang w:val="en-US"/>
        </w:rPr>
        <w:t xml:space="preserve">ropylene glycol (E1520), </w:t>
      </w:r>
      <w:proofErr w:type="spellStart"/>
      <w:r>
        <w:rPr>
          <w:sz w:val="24"/>
          <w:szCs w:val="24"/>
          <w:lang w:val="en-US"/>
        </w:rPr>
        <w:t>h</w:t>
      </w:r>
      <w:r w:rsidR="00B9450C" w:rsidRPr="00B9450C">
        <w:rPr>
          <w:sz w:val="24"/>
          <w:szCs w:val="24"/>
          <w:lang w:val="en-US"/>
        </w:rPr>
        <w:t>ypromellose</w:t>
      </w:r>
      <w:proofErr w:type="spellEnd"/>
      <w:r w:rsidR="00B9450C" w:rsidRPr="00B9450C">
        <w:rPr>
          <w:sz w:val="24"/>
          <w:szCs w:val="24"/>
          <w:lang w:val="en-US"/>
        </w:rPr>
        <w:t xml:space="preserve"> (E464), </w:t>
      </w:r>
      <w:r w:rsidR="001C7A02">
        <w:rPr>
          <w:sz w:val="24"/>
          <w:szCs w:val="24"/>
          <w:lang w:val="en-US"/>
        </w:rPr>
        <w:t>i</w:t>
      </w:r>
      <w:r w:rsidR="00B9450C" w:rsidRPr="00B9450C">
        <w:rPr>
          <w:sz w:val="24"/>
          <w:szCs w:val="24"/>
          <w:lang w:val="en-US"/>
        </w:rPr>
        <w:t>sopropyl alcohol, SDA 3A alcohol (ethanol and methanol).</w:t>
      </w:r>
    </w:p>
    <w:p w:rsidR="00B9450C" w:rsidRPr="00B9450C" w:rsidRDefault="00B9450C" w:rsidP="00B9450C">
      <w:pPr>
        <w:tabs>
          <w:tab w:val="left" w:pos="851"/>
        </w:tabs>
        <w:ind w:left="851"/>
        <w:rPr>
          <w:sz w:val="24"/>
          <w:szCs w:val="24"/>
          <w:lang w:val="en-US"/>
        </w:rPr>
      </w:pPr>
    </w:p>
    <w:p w:rsidR="00B9450C" w:rsidRPr="00B9450C" w:rsidRDefault="00B9450C" w:rsidP="00B9450C">
      <w:pPr>
        <w:tabs>
          <w:tab w:val="left" w:pos="851"/>
        </w:tabs>
        <w:ind w:left="851"/>
        <w:rPr>
          <w:sz w:val="24"/>
          <w:szCs w:val="24"/>
          <w:lang w:val="en-US"/>
        </w:rPr>
      </w:pPr>
      <w:bookmarkStart w:id="21" w:name="_Hlk115251850"/>
      <w:r w:rsidRPr="00B9450C">
        <w:rPr>
          <w:iCs/>
          <w:sz w:val="24"/>
          <w:szCs w:val="24"/>
          <w:lang w:val="en-US"/>
        </w:rPr>
        <w:t>Presence of trace levels of the antioxidant butylated hydroxytoluene (BHT, E321).</w:t>
      </w:r>
      <w:bookmarkEnd w:id="21"/>
    </w:p>
    <w:p w:rsidR="007C5D2A" w:rsidRPr="00B9450C" w:rsidRDefault="007C5D2A" w:rsidP="003D727E">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1C7A02" w:rsidRPr="001C7A02" w:rsidRDefault="001C7A02" w:rsidP="001C7A02">
      <w:pPr>
        <w:tabs>
          <w:tab w:val="left" w:pos="851"/>
        </w:tabs>
        <w:ind w:left="851"/>
        <w:rPr>
          <w:sz w:val="24"/>
          <w:szCs w:val="24"/>
          <w:lang w:val="en-US"/>
        </w:rPr>
      </w:pPr>
      <w:r w:rsidRPr="001C7A02">
        <w:rPr>
          <w:sz w:val="24"/>
          <w:szCs w:val="24"/>
          <w:lang w:val="en-US"/>
        </w:rPr>
        <w:t>Not applicable.</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7C5D2A" w:rsidRPr="00303008" w:rsidRDefault="006B7527" w:rsidP="00A85D26">
      <w:pPr>
        <w:tabs>
          <w:tab w:val="left" w:pos="851"/>
        </w:tabs>
        <w:ind w:left="851"/>
        <w:rPr>
          <w:sz w:val="24"/>
          <w:szCs w:val="24"/>
          <w:lang w:val="en-GB"/>
        </w:rPr>
      </w:pPr>
      <w:r>
        <w:rPr>
          <w:sz w:val="24"/>
          <w:szCs w:val="24"/>
          <w:lang w:val="en-GB"/>
        </w:rPr>
        <w:t>3</w:t>
      </w:r>
      <w:bookmarkStart w:id="22" w:name="_GoBack"/>
      <w:bookmarkEnd w:id="22"/>
      <w:r w:rsidR="001C7A02">
        <w:rPr>
          <w:sz w:val="24"/>
          <w:szCs w:val="24"/>
          <w:lang w:val="en-GB"/>
        </w:rPr>
        <w:t xml:space="preserve">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1C7A02" w:rsidRPr="001C7A02" w:rsidRDefault="001C7A02" w:rsidP="001C7A02">
      <w:pPr>
        <w:tabs>
          <w:tab w:val="left" w:pos="851"/>
        </w:tabs>
        <w:ind w:left="851"/>
        <w:rPr>
          <w:sz w:val="24"/>
          <w:szCs w:val="24"/>
          <w:lang w:val="en-US"/>
        </w:rPr>
      </w:pPr>
      <w:bookmarkStart w:id="23" w:name="_Hlk115252214"/>
      <w:r w:rsidRPr="001C7A02">
        <w:rPr>
          <w:sz w:val="24"/>
          <w:szCs w:val="24"/>
          <w:lang w:val="en-US"/>
        </w:rPr>
        <w:t>Store below 30</w:t>
      </w:r>
      <w:r>
        <w:rPr>
          <w:sz w:val="24"/>
          <w:szCs w:val="24"/>
          <w:lang w:val="en-US"/>
        </w:rPr>
        <w:t xml:space="preserve"> </w:t>
      </w:r>
      <w:r w:rsidRPr="001C7A02">
        <w:rPr>
          <w:sz w:val="24"/>
          <w:szCs w:val="24"/>
          <w:lang w:val="en-US"/>
        </w:rPr>
        <w:t>°C.</w:t>
      </w:r>
      <w:bookmarkEnd w:id="23"/>
    </w:p>
    <w:p w:rsidR="007C5D2A" w:rsidRPr="001C7A02"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1C7A02" w:rsidRPr="001C7A02" w:rsidRDefault="001C7A02" w:rsidP="001C7A02">
      <w:pPr>
        <w:tabs>
          <w:tab w:val="left" w:pos="851"/>
        </w:tabs>
        <w:ind w:left="851"/>
        <w:rPr>
          <w:sz w:val="24"/>
          <w:szCs w:val="24"/>
          <w:lang w:val="en-US"/>
        </w:rPr>
      </w:pPr>
      <w:r w:rsidRPr="001C7A02">
        <w:rPr>
          <w:sz w:val="24"/>
          <w:szCs w:val="24"/>
          <w:lang w:val="en-US"/>
        </w:rPr>
        <w:t>The primary packaging material is a sachet, which will be opened and removed before</w:t>
      </w:r>
    </w:p>
    <w:p w:rsidR="00385FD9" w:rsidRDefault="001C7A02" w:rsidP="001C7A02">
      <w:pPr>
        <w:tabs>
          <w:tab w:val="left" w:pos="851"/>
        </w:tabs>
        <w:ind w:left="851"/>
        <w:rPr>
          <w:sz w:val="24"/>
          <w:szCs w:val="24"/>
          <w:lang w:val="en-US"/>
        </w:rPr>
      </w:pPr>
      <w:r w:rsidRPr="001C7A02">
        <w:rPr>
          <w:sz w:val="24"/>
          <w:szCs w:val="24"/>
          <w:lang w:val="en-US"/>
        </w:rPr>
        <w:t>application.</w:t>
      </w:r>
    </w:p>
    <w:p w:rsidR="00385FD9" w:rsidRDefault="001C7A02" w:rsidP="001C7A02">
      <w:pPr>
        <w:tabs>
          <w:tab w:val="left" w:pos="851"/>
        </w:tabs>
        <w:ind w:left="851"/>
        <w:rPr>
          <w:sz w:val="24"/>
          <w:szCs w:val="24"/>
          <w:lang w:val="en-US"/>
        </w:rPr>
      </w:pPr>
      <w:r w:rsidRPr="001C7A02">
        <w:rPr>
          <w:sz w:val="24"/>
          <w:szCs w:val="24"/>
          <w:lang w:val="en-US"/>
        </w:rPr>
        <w:t xml:space="preserve">The sachet material is composed by two identical layers of a polyester/foil laminate foil. </w:t>
      </w:r>
    </w:p>
    <w:p w:rsidR="00385FD9" w:rsidRDefault="00385FD9" w:rsidP="001C7A02">
      <w:pPr>
        <w:tabs>
          <w:tab w:val="left" w:pos="851"/>
        </w:tabs>
        <w:ind w:left="851"/>
        <w:rPr>
          <w:sz w:val="24"/>
          <w:szCs w:val="24"/>
          <w:lang w:val="en-US"/>
        </w:rPr>
      </w:pPr>
    </w:p>
    <w:p w:rsidR="00385FD9" w:rsidRPr="00385FD9" w:rsidRDefault="00385FD9" w:rsidP="001C7A02">
      <w:pPr>
        <w:tabs>
          <w:tab w:val="left" w:pos="851"/>
        </w:tabs>
        <w:ind w:left="851"/>
        <w:rPr>
          <w:sz w:val="24"/>
          <w:szCs w:val="24"/>
          <w:u w:val="single"/>
          <w:lang w:val="en-US"/>
        </w:rPr>
      </w:pPr>
      <w:r w:rsidRPr="00385FD9">
        <w:rPr>
          <w:sz w:val="24"/>
          <w:szCs w:val="24"/>
          <w:u w:val="single"/>
          <w:lang w:val="en-US"/>
        </w:rPr>
        <w:t>Pack sizes</w:t>
      </w:r>
    </w:p>
    <w:p w:rsidR="001C7A02" w:rsidRDefault="001C7A02" w:rsidP="001C7A02">
      <w:pPr>
        <w:tabs>
          <w:tab w:val="left" w:pos="851"/>
        </w:tabs>
        <w:ind w:left="851"/>
        <w:rPr>
          <w:sz w:val="24"/>
          <w:szCs w:val="24"/>
          <w:lang w:val="en-US"/>
        </w:rPr>
      </w:pPr>
      <w:r w:rsidRPr="001C7A02">
        <w:rPr>
          <w:sz w:val="24"/>
          <w:szCs w:val="24"/>
          <w:lang w:val="en-US"/>
        </w:rPr>
        <w:t xml:space="preserve">14, 28, 56, </w:t>
      </w:r>
      <w:r w:rsidR="008B541B">
        <w:rPr>
          <w:sz w:val="24"/>
          <w:szCs w:val="24"/>
          <w:lang w:val="en-US"/>
        </w:rPr>
        <w:t xml:space="preserve">98, </w:t>
      </w:r>
      <w:r w:rsidRPr="001C7A02">
        <w:rPr>
          <w:sz w:val="24"/>
          <w:szCs w:val="24"/>
          <w:lang w:val="en-US"/>
        </w:rPr>
        <w:t>112</w:t>
      </w:r>
      <w:r w:rsidR="00385FD9">
        <w:rPr>
          <w:sz w:val="24"/>
          <w:szCs w:val="24"/>
          <w:lang w:val="en-US"/>
        </w:rPr>
        <w:t xml:space="preserve"> and</w:t>
      </w:r>
      <w:r w:rsidRPr="001C7A02">
        <w:rPr>
          <w:sz w:val="24"/>
          <w:szCs w:val="24"/>
          <w:lang w:val="en-US"/>
        </w:rPr>
        <w:t xml:space="preserve"> 140 sachets</w:t>
      </w:r>
      <w:r w:rsidR="00385FD9">
        <w:rPr>
          <w:sz w:val="24"/>
          <w:szCs w:val="24"/>
          <w:lang w:val="en-US"/>
        </w:rPr>
        <w:t>, in carton box</w:t>
      </w:r>
      <w:r w:rsidRPr="001C7A02">
        <w:rPr>
          <w:sz w:val="24"/>
          <w:szCs w:val="24"/>
          <w:lang w:val="en-US"/>
        </w:rPr>
        <w:t>.</w:t>
      </w:r>
    </w:p>
    <w:p w:rsidR="00385FD9" w:rsidRPr="001C7A02" w:rsidRDefault="00385FD9" w:rsidP="001C7A02">
      <w:pPr>
        <w:tabs>
          <w:tab w:val="left" w:pos="851"/>
        </w:tabs>
        <w:ind w:left="851"/>
        <w:rPr>
          <w:sz w:val="24"/>
          <w:szCs w:val="24"/>
          <w:lang w:val="en-US"/>
        </w:rPr>
      </w:pPr>
    </w:p>
    <w:p w:rsidR="001C7A02" w:rsidRPr="001C7A02" w:rsidRDefault="001C7A02" w:rsidP="001C7A02">
      <w:pPr>
        <w:tabs>
          <w:tab w:val="left" w:pos="851"/>
        </w:tabs>
        <w:ind w:left="851"/>
        <w:rPr>
          <w:sz w:val="24"/>
          <w:szCs w:val="24"/>
          <w:lang w:val="en-US"/>
        </w:rPr>
      </w:pPr>
      <w:r w:rsidRPr="001C7A02">
        <w:rPr>
          <w:sz w:val="24"/>
          <w:szCs w:val="24"/>
          <w:lang w:val="en-US"/>
        </w:rPr>
        <w:t>Not all pack sizes may be marketed.</w:t>
      </w:r>
    </w:p>
    <w:p w:rsidR="007C5D2A" w:rsidRPr="001C7A02"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803E52" w:rsidRPr="00803E52" w:rsidRDefault="00803E52" w:rsidP="00803E52">
      <w:pPr>
        <w:tabs>
          <w:tab w:val="left" w:pos="851"/>
        </w:tabs>
        <w:ind w:left="851"/>
        <w:rPr>
          <w:sz w:val="24"/>
          <w:szCs w:val="24"/>
          <w:lang w:val="en-US"/>
        </w:rPr>
      </w:pPr>
      <w:r w:rsidRPr="00803E52">
        <w:rPr>
          <w:sz w:val="24"/>
          <w:szCs w:val="24"/>
          <w:lang w:val="en-US"/>
        </w:rPr>
        <w:t>No special requirements.</w:t>
      </w:r>
    </w:p>
    <w:p w:rsidR="00803E52" w:rsidRPr="00803E52" w:rsidRDefault="00803E52" w:rsidP="00803E52">
      <w:pPr>
        <w:tabs>
          <w:tab w:val="left" w:pos="851"/>
        </w:tabs>
        <w:ind w:left="851"/>
        <w:rPr>
          <w:sz w:val="24"/>
          <w:szCs w:val="24"/>
          <w:lang w:val="en-US"/>
        </w:rPr>
      </w:pPr>
      <w:r w:rsidRPr="00803E52">
        <w:rPr>
          <w:sz w:val="24"/>
          <w:szCs w:val="24"/>
          <w:lang w:val="en-US"/>
        </w:rPr>
        <w:t>Any unused product or waste material should be disposed of in accordance with local requirements.</w:t>
      </w:r>
    </w:p>
    <w:p w:rsidR="00112A1E" w:rsidRDefault="00112A1E">
      <w:pPr>
        <w:rPr>
          <w:sz w:val="24"/>
          <w:szCs w:val="24"/>
          <w:lang w:val="en-US"/>
        </w:rPr>
      </w:pPr>
      <w:r>
        <w:rPr>
          <w:sz w:val="24"/>
          <w:szCs w:val="24"/>
          <w:lang w:val="en-US"/>
        </w:rPr>
        <w:br w:type="page"/>
      </w:r>
    </w:p>
    <w:p w:rsidR="007C5D2A" w:rsidRPr="00803E52"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341829" w:rsidRPr="00785979" w:rsidRDefault="00341829" w:rsidP="00341829">
      <w:pPr>
        <w:tabs>
          <w:tab w:val="left" w:pos="851"/>
        </w:tabs>
        <w:ind w:left="851"/>
        <w:jc w:val="both"/>
        <w:rPr>
          <w:sz w:val="24"/>
          <w:szCs w:val="24"/>
          <w:lang w:val="en-US"/>
        </w:rPr>
      </w:pPr>
      <w:proofErr w:type="spellStart"/>
      <w:r w:rsidRPr="00785979">
        <w:rPr>
          <w:sz w:val="24"/>
          <w:szCs w:val="24"/>
          <w:lang w:val="en-US"/>
        </w:rPr>
        <w:t>Zambon</w:t>
      </w:r>
      <w:proofErr w:type="spellEnd"/>
      <w:r w:rsidRPr="00785979">
        <w:rPr>
          <w:sz w:val="24"/>
          <w:szCs w:val="24"/>
          <w:lang w:val="en-US"/>
        </w:rPr>
        <w:t xml:space="preserve"> S.p.A.</w:t>
      </w:r>
    </w:p>
    <w:p w:rsidR="00341829" w:rsidRDefault="00341829" w:rsidP="00341829">
      <w:pPr>
        <w:tabs>
          <w:tab w:val="left" w:pos="851"/>
        </w:tabs>
        <w:ind w:left="851"/>
        <w:jc w:val="both"/>
        <w:rPr>
          <w:sz w:val="24"/>
          <w:szCs w:val="24"/>
          <w:lang w:val="it-IT"/>
        </w:rPr>
      </w:pPr>
      <w:r w:rsidRPr="00341829">
        <w:rPr>
          <w:sz w:val="24"/>
          <w:szCs w:val="24"/>
          <w:lang w:val="it-IT"/>
        </w:rPr>
        <w:t>Via Lillo del Duca 10</w:t>
      </w:r>
    </w:p>
    <w:p w:rsidR="00341829" w:rsidRDefault="00341829" w:rsidP="00341829">
      <w:pPr>
        <w:tabs>
          <w:tab w:val="left" w:pos="851"/>
        </w:tabs>
        <w:ind w:left="851"/>
        <w:jc w:val="both"/>
        <w:rPr>
          <w:sz w:val="24"/>
          <w:szCs w:val="24"/>
          <w:lang w:val="it-IT"/>
        </w:rPr>
      </w:pPr>
      <w:r w:rsidRPr="00341829">
        <w:rPr>
          <w:sz w:val="24"/>
          <w:szCs w:val="24"/>
          <w:lang w:val="it-IT"/>
        </w:rPr>
        <w:t>20091 Bresso (MI)</w:t>
      </w:r>
    </w:p>
    <w:p w:rsidR="007C5D2A" w:rsidRPr="00341829" w:rsidRDefault="00341829" w:rsidP="00341829">
      <w:pPr>
        <w:tabs>
          <w:tab w:val="left" w:pos="851"/>
        </w:tabs>
        <w:ind w:left="851"/>
        <w:jc w:val="both"/>
        <w:rPr>
          <w:sz w:val="24"/>
          <w:szCs w:val="24"/>
          <w:lang w:val="en-US"/>
        </w:rPr>
      </w:pPr>
      <w:r w:rsidRPr="00341829">
        <w:rPr>
          <w:sz w:val="24"/>
          <w:szCs w:val="24"/>
          <w:lang w:val="it-IT"/>
        </w:rPr>
        <w:t>Italy</w:t>
      </w:r>
    </w:p>
    <w:p w:rsidR="008A24F6" w:rsidRDefault="008A24F6" w:rsidP="003E0341">
      <w:pPr>
        <w:tabs>
          <w:tab w:val="left" w:pos="851"/>
        </w:tabs>
        <w:ind w:left="851"/>
        <w:jc w:val="both"/>
        <w:rPr>
          <w:b/>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341829" w:rsidP="00A85D26">
      <w:pPr>
        <w:tabs>
          <w:tab w:val="left" w:pos="851"/>
        </w:tabs>
        <w:ind w:left="851"/>
        <w:jc w:val="both"/>
        <w:rPr>
          <w:sz w:val="24"/>
          <w:szCs w:val="24"/>
          <w:lang w:val="en-GB"/>
        </w:rPr>
      </w:pPr>
      <w:r>
        <w:rPr>
          <w:sz w:val="24"/>
          <w:szCs w:val="24"/>
          <w:lang w:val="en-GB"/>
        </w:rPr>
        <w:t>66787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7F3EBE" w:rsidP="00A85D26">
      <w:pPr>
        <w:ind w:left="851"/>
        <w:jc w:val="both"/>
        <w:rPr>
          <w:sz w:val="24"/>
          <w:szCs w:val="24"/>
          <w:lang w:val="en-GB"/>
        </w:rPr>
      </w:pPr>
      <w:r>
        <w:rPr>
          <w:sz w:val="24"/>
          <w:szCs w:val="24"/>
          <w:lang w:val="en-GB"/>
        </w:rPr>
        <w:t>12</w:t>
      </w:r>
      <w:r w:rsidR="00990EAC">
        <w:rPr>
          <w:sz w:val="24"/>
          <w:szCs w:val="24"/>
          <w:lang w:val="en-GB"/>
        </w:rPr>
        <w:t xml:space="preserve"> June</w:t>
      </w:r>
      <w:r>
        <w:rPr>
          <w:sz w:val="24"/>
          <w:szCs w:val="24"/>
          <w:lang w:val="en-GB"/>
        </w:rPr>
        <w:t xml:space="preserve"> 2023</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8B541B" w:rsidP="003E0341">
      <w:pPr>
        <w:tabs>
          <w:tab w:val="left" w:pos="851"/>
        </w:tabs>
        <w:ind w:left="851"/>
        <w:jc w:val="both"/>
        <w:rPr>
          <w:sz w:val="24"/>
          <w:szCs w:val="24"/>
          <w:lang w:val="en-GB"/>
        </w:rPr>
      </w:pPr>
      <w:r>
        <w:rPr>
          <w:sz w:val="24"/>
          <w:szCs w:val="24"/>
          <w:lang w:val="en-GB"/>
        </w:rPr>
        <w:t>15 January 2024</w:t>
      </w:r>
    </w:p>
    <w:sectPr w:rsidR="007C5D2A" w:rsidRPr="00303008" w:rsidSect="004A3BF4">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226" w:rsidRDefault="00347226">
      <w:r>
        <w:separator/>
      </w:r>
    </w:p>
  </w:endnote>
  <w:endnote w:type="continuationSeparator" w:id="0">
    <w:p w:rsidR="00347226" w:rsidRDefault="0034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pPr>
  </w:p>
  <w:p w:rsidR="00864538" w:rsidRDefault="00864538">
    <w:pPr>
      <w:pStyle w:val="Sidefod"/>
      <w:tabs>
        <w:tab w:val="clear" w:pos="4819"/>
        <w:tab w:val="left" w:pos="8647"/>
      </w:tabs>
      <w:rPr>
        <w:i/>
        <w:snapToGrid w:val="0"/>
        <w:sz w:val="18"/>
      </w:rPr>
    </w:pPr>
  </w:p>
  <w:p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6270F">
      <w:rPr>
        <w:i/>
        <w:noProof/>
        <w:snapToGrid w:val="0"/>
        <w:sz w:val="18"/>
      </w:rPr>
      <w:t>Emylif, smeltefilm 50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864538">
    <w:pPr>
      <w:pStyle w:val="Sidefod"/>
      <w:pBdr>
        <w:bottom w:val="single" w:sz="6" w:space="1" w:color="auto"/>
      </w:pBdr>
      <w:tabs>
        <w:tab w:val="clear" w:pos="4819"/>
        <w:tab w:val="left" w:pos="8789"/>
      </w:tabs>
      <w:rPr>
        <w:i/>
        <w:snapToGrid w:val="0"/>
        <w:sz w:val="18"/>
      </w:rPr>
    </w:pPr>
  </w:p>
  <w:p w:rsidR="00864538" w:rsidRDefault="00864538">
    <w:pPr>
      <w:pStyle w:val="Sidefod"/>
      <w:tabs>
        <w:tab w:val="clear" w:pos="4819"/>
        <w:tab w:val="left" w:pos="8789"/>
      </w:tabs>
      <w:rPr>
        <w:i/>
        <w:snapToGrid w:val="0"/>
        <w:sz w:val="18"/>
      </w:rPr>
    </w:pPr>
  </w:p>
  <w:p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06270F">
      <w:rPr>
        <w:i/>
        <w:noProof/>
        <w:snapToGrid w:val="0"/>
        <w:sz w:val="18"/>
      </w:rPr>
      <w:t>Emylif, smeltefilm 50 mg</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226" w:rsidRDefault="00347226">
      <w:r>
        <w:separator/>
      </w:r>
    </w:p>
  </w:footnote>
  <w:footnote w:type="continuationSeparator" w:id="0">
    <w:p w:rsidR="00347226" w:rsidRDefault="0034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D505F82"/>
    <w:multiLevelType w:val="hybridMultilevel"/>
    <w:tmpl w:val="7924BE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CC2CB9"/>
    <w:multiLevelType w:val="hybridMultilevel"/>
    <w:tmpl w:val="DAB86232"/>
    <w:lvl w:ilvl="0" w:tplc="04100001">
      <w:start w:val="1"/>
      <w:numFmt w:val="bullet"/>
      <w:lvlText w:val=""/>
      <w:lvlJc w:val="left"/>
      <w:pPr>
        <w:ind w:left="958" w:hanging="360"/>
      </w:pPr>
      <w:rPr>
        <w:rFonts w:ascii="Symbol" w:hAnsi="Symbol" w:hint="default"/>
      </w:rPr>
    </w:lvl>
    <w:lvl w:ilvl="1" w:tplc="04100003">
      <w:start w:val="1"/>
      <w:numFmt w:val="bullet"/>
      <w:lvlText w:val="o"/>
      <w:lvlJc w:val="left"/>
      <w:pPr>
        <w:ind w:left="1678" w:hanging="360"/>
      </w:pPr>
      <w:rPr>
        <w:rFonts w:ascii="Courier New" w:hAnsi="Courier New" w:cs="Courier New" w:hint="default"/>
      </w:rPr>
    </w:lvl>
    <w:lvl w:ilvl="2" w:tplc="04100005">
      <w:start w:val="1"/>
      <w:numFmt w:val="bullet"/>
      <w:lvlText w:val=""/>
      <w:lvlJc w:val="left"/>
      <w:pPr>
        <w:ind w:left="2398" w:hanging="360"/>
      </w:pPr>
      <w:rPr>
        <w:rFonts w:ascii="Wingdings" w:hAnsi="Wingdings" w:hint="default"/>
      </w:rPr>
    </w:lvl>
    <w:lvl w:ilvl="3" w:tplc="04100001">
      <w:start w:val="1"/>
      <w:numFmt w:val="bullet"/>
      <w:lvlText w:val=""/>
      <w:lvlJc w:val="left"/>
      <w:pPr>
        <w:ind w:left="3118" w:hanging="360"/>
      </w:pPr>
      <w:rPr>
        <w:rFonts w:ascii="Symbol" w:hAnsi="Symbol" w:hint="default"/>
      </w:rPr>
    </w:lvl>
    <w:lvl w:ilvl="4" w:tplc="04100003">
      <w:start w:val="1"/>
      <w:numFmt w:val="bullet"/>
      <w:lvlText w:val="o"/>
      <w:lvlJc w:val="left"/>
      <w:pPr>
        <w:ind w:left="3838" w:hanging="360"/>
      </w:pPr>
      <w:rPr>
        <w:rFonts w:ascii="Courier New" w:hAnsi="Courier New" w:cs="Courier New" w:hint="default"/>
      </w:rPr>
    </w:lvl>
    <w:lvl w:ilvl="5" w:tplc="04100005">
      <w:start w:val="1"/>
      <w:numFmt w:val="bullet"/>
      <w:lvlText w:val=""/>
      <w:lvlJc w:val="left"/>
      <w:pPr>
        <w:ind w:left="4558" w:hanging="360"/>
      </w:pPr>
      <w:rPr>
        <w:rFonts w:ascii="Wingdings" w:hAnsi="Wingdings" w:hint="default"/>
      </w:rPr>
    </w:lvl>
    <w:lvl w:ilvl="6" w:tplc="04100001">
      <w:start w:val="1"/>
      <w:numFmt w:val="bullet"/>
      <w:lvlText w:val=""/>
      <w:lvlJc w:val="left"/>
      <w:pPr>
        <w:ind w:left="5278" w:hanging="360"/>
      </w:pPr>
      <w:rPr>
        <w:rFonts w:ascii="Symbol" w:hAnsi="Symbol" w:hint="default"/>
      </w:rPr>
    </w:lvl>
    <w:lvl w:ilvl="7" w:tplc="04100003">
      <w:start w:val="1"/>
      <w:numFmt w:val="bullet"/>
      <w:lvlText w:val="o"/>
      <w:lvlJc w:val="left"/>
      <w:pPr>
        <w:ind w:left="5998" w:hanging="360"/>
      </w:pPr>
      <w:rPr>
        <w:rFonts w:ascii="Courier New" w:hAnsi="Courier New" w:cs="Courier New" w:hint="default"/>
      </w:rPr>
    </w:lvl>
    <w:lvl w:ilvl="8" w:tplc="04100005">
      <w:start w:val="1"/>
      <w:numFmt w:val="bullet"/>
      <w:lvlText w:val=""/>
      <w:lvlJc w:val="left"/>
      <w:pPr>
        <w:ind w:left="6718"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26"/>
    <w:rsid w:val="00056601"/>
    <w:rsid w:val="0006270F"/>
    <w:rsid w:val="00072084"/>
    <w:rsid w:val="000A2F23"/>
    <w:rsid w:val="000A6D52"/>
    <w:rsid w:val="000C3846"/>
    <w:rsid w:val="000C6218"/>
    <w:rsid w:val="000D3C9D"/>
    <w:rsid w:val="000F0D47"/>
    <w:rsid w:val="000F1C1C"/>
    <w:rsid w:val="000F71DE"/>
    <w:rsid w:val="00110366"/>
    <w:rsid w:val="00112A1E"/>
    <w:rsid w:val="001242DE"/>
    <w:rsid w:val="00180A12"/>
    <w:rsid w:val="001C7A02"/>
    <w:rsid w:val="00214331"/>
    <w:rsid w:val="00214CF4"/>
    <w:rsid w:val="002819FF"/>
    <w:rsid w:val="00281F03"/>
    <w:rsid w:val="0029458A"/>
    <w:rsid w:val="002A1587"/>
    <w:rsid w:val="002B27C5"/>
    <w:rsid w:val="002B6C6D"/>
    <w:rsid w:val="002F6D9C"/>
    <w:rsid w:val="00303008"/>
    <w:rsid w:val="00341829"/>
    <w:rsid w:val="00347226"/>
    <w:rsid w:val="00373B55"/>
    <w:rsid w:val="00385FD9"/>
    <w:rsid w:val="003D727E"/>
    <w:rsid w:val="003E0341"/>
    <w:rsid w:val="003E3402"/>
    <w:rsid w:val="003F4736"/>
    <w:rsid w:val="00401B49"/>
    <w:rsid w:val="0042292D"/>
    <w:rsid w:val="00437D5B"/>
    <w:rsid w:val="00440254"/>
    <w:rsid w:val="004860D3"/>
    <w:rsid w:val="004A3BF4"/>
    <w:rsid w:val="004A5DB3"/>
    <w:rsid w:val="004B2515"/>
    <w:rsid w:val="005152D9"/>
    <w:rsid w:val="00533AD4"/>
    <w:rsid w:val="00534849"/>
    <w:rsid w:val="00560102"/>
    <w:rsid w:val="00562EA1"/>
    <w:rsid w:val="005A498B"/>
    <w:rsid w:val="00617BB8"/>
    <w:rsid w:val="006207FF"/>
    <w:rsid w:val="006305F7"/>
    <w:rsid w:val="00632517"/>
    <w:rsid w:val="00653281"/>
    <w:rsid w:val="00680052"/>
    <w:rsid w:val="00683267"/>
    <w:rsid w:val="006844E9"/>
    <w:rsid w:val="006B3847"/>
    <w:rsid w:val="006B7527"/>
    <w:rsid w:val="0075453D"/>
    <w:rsid w:val="00783B75"/>
    <w:rsid w:val="00785979"/>
    <w:rsid w:val="007A4CC6"/>
    <w:rsid w:val="007C3623"/>
    <w:rsid w:val="007C5D2A"/>
    <w:rsid w:val="007F1E00"/>
    <w:rsid w:val="007F3EBE"/>
    <w:rsid w:val="008024F0"/>
    <w:rsid w:val="00803E52"/>
    <w:rsid w:val="00827444"/>
    <w:rsid w:val="008400E3"/>
    <w:rsid w:val="00864538"/>
    <w:rsid w:val="00873B4F"/>
    <w:rsid w:val="008A24F6"/>
    <w:rsid w:val="008B541B"/>
    <w:rsid w:val="008E51AE"/>
    <w:rsid w:val="008F2F8C"/>
    <w:rsid w:val="00946A36"/>
    <w:rsid w:val="00990EAC"/>
    <w:rsid w:val="009925C9"/>
    <w:rsid w:val="009D55BA"/>
    <w:rsid w:val="00A179D0"/>
    <w:rsid w:val="00A358A3"/>
    <w:rsid w:val="00A46747"/>
    <w:rsid w:val="00A80446"/>
    <w:rsid w:val="00A85D26"/>
    <w:rsid w:val="00A9153A"/>
    <w:rsid w:val="00AB4376"/>
    <w:rsid w:val="00AC033C"/>
    <w:rsid w:val="00AD2E36"/>
    <w:rsid w:val="00B45DC5"/>
    <w:rsid w:val="00B8254E"/>
    <w:rsid w:val="00B9450C"/>
    <w:rsid w:val="00BD3490"/>
    <w:rsid w:val="00C26226"/>
    <w:rsid w:val="00C3571D"/>
    <w:rsid w:val="00C54F0B"/>
    <w:rsid w:val="00C61C88"/>
    <w:rsid w:val="00C82621"/>
    <w:rsid w:val="00CB1423"/>
    <w:rsid w:val="00D02508"/>
    <w:rsid w:val="00D778CC"/>
    <w:rsid w:val="00D82FE9"/>
    <w:rsid w:val="00D83DBF"/>
    <w:rsid w:val="00D97B77"/>
    <w:rsid w:val="00DB6A85"/>
    <w:rsid w:val="00E06B32"/>
    <w:rsid w:val="00E07F55"/>
    <w:rsid w:val="00E11FDB"/>
    <w:rsid w:val="00E1290F"/>
    <w:rsid w:val="00E36080"/>
    <w:rsid w:val="00E36A80"/>
    <w:rsid w:val="00EB21D7"/>
    <w:rsid w:val="00EE3EB7"/>
    <w:rsid w:val="00F32ECF"/>
    <w:rsid w:val="00F57E16"/>
    <w:rsid w:val="00F60336"/>
    <w:rsid w:val="00F8230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F8D93"/>
  <w15:chartTrackingRefBased/>
  <w15:docId w15:val="{31415089-C49C-49E8-BE97-B8D3BE6F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2B6C6D"/>
    <w:rPr>
      <w:color w:val="0563C1" w:themeColor="hyperlink"/>
      <w:u w:val="single"/>
    </w:rPr>
  </w:style>
  <w:style w:type="character" w:styleId="Ulstomtale">
    <w:name w:val="Unresolved Mention"/>
    <w:basedOn w:val="Standardskrifttypeiafsnit"/>
    <w:uiPriority w:val="99"/>
    <w:semiHidden/>
    <w:unhideWhenUsed/>
    <w:rsid w:val="002B6C6D"/>
    <w:rPr>
      <w:color w:val="605E5C"/>
      <w:shd w:val="clear" w:color="auto" w:fill="E1DFDD"/>
    </w:rPr>
  </w:style>
  <w:style w:type="paragraph" w:styleId="Brdtekst">
    <w:name w:val="Body Text"/>
    <w:basedOn w:val="Normal"/>
    <w:link w:val="BrdtekstTegn"/>
    <w:uiPriority w:val="1"/>
    <w:semiHidden/>
    <w:unhideWhenUsed/>
    <w:qFormat/>
    <w:rsid w:val="0006270F"/>
    <w:pPr>
      <w:widowControl w:val="0"/>
      <w:autoSpaceDE w:val="0"/>
      <w:autoSpaceDN w:val="0"/>
    </w:pPr>
    <w:rPr>
      <w:sz w:val="22"/>
      <w:szCs w:val="22"/>
      <w:lang w:val="en-US" w:eastAsia="en-US"/>
    </w:rPr>
  </w:style>
  <w:style w:type="character" w:customStyle="1" w:styleId="BrdtekstTegn">
    <w:name w:val="Brødtekst Tegn"/>
    <w:basedOn w:val="Standardskrifttypeiafsnit"/>
    <w:link w:val="Brdtekst"/>
    <w:uiPriority w:val="1"/>
    <w:semiHidden/>
    <w:rsid w:val="0006270F"/>
    <w:rPr>
      <w:sz w:val="22"/>
      <w:szCs w:val="22"/>
      <w:lang w:val="en-US" w:eastAsia="en-US"/>
    </w:rPr>
  </w:style>
  <w:style w:type="paragraph" w:styleId="Listeafsnit">
    <w:name w:val="List Paragraph"/>
    <w:basedOn w:val="Normal"/>
    <w:uiPriority w:val="34"/>
    <w:qFormat/>
    <w:rsid w:val="00110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1119">
      <w:bodyDiv w:val="1"/>
      <w:marLeft w:val="0"/>
      <w:marRight w:val="0"/>
      <w:marTop w:val="0"/>
      <w:marBottom w:val="0"/>
      <w:divBdr>
        <w:top w:val="none" w:sz="0" w:space="0" w:color="auto"/>
        <w:left w:val="none" w:sz="0" w:space="0" w:color="auto"/>
        <w:bottom w:val="none" w:sz="0" w:space="0" w:color="auto"/>
        <w:right w:val="none" w:sz="0" w:space="0" w:color="auto"/>
      </w:divBdr>
    </w:div>
    <w:div w:id="40790848">
      <w:bodyDiv w:val="1"/>
      <w:marLeft w:val="0"/>
      <w:marRight w:val="0"/>
      <w:marTop w:val="0"/>
      <w:marBottom w:val="0"/>
      <w:divBdr>
        <w:top w:val="none" w:sz="0" w:space="0" w:color="auto"/>
        <w:left w:val="none" w:sz="0" w:space="0" w:color="auto"/>
        <w:bottom w:val="none" w:sz="0" w:space="0" w:color="auto"/>
        <w:right w:val="none" w:sz="0" w:space="0" w:color="auto"/>
      </w:divBdr>
    </w:div>
    <w:div w:id="72969985">
      <w:bodyDiv w:val="1"/>
      <w:marLeft w:val="0"/>
      <w:marRight w:val="0"/>
      <w:marTop w:val="0"/>
      <w:marBottom w:val="0"/>
      <w:divBdr>
        <w:top w:val="none" w:sz="0" w:space="0" w:color="auto"/>
        <w:left w:val="none" w:sz="0" w:space="0" w:color="auto"/>
        <w:bottom w:val="none" w:sz="0" w:space="0" w:color="auto"/>
        <w:right w:val="none" w:sz="0" w:space="0" w:color="auto"/>
      </w:divBdr>
    </w:div>
    <w:div w:id="116486470">
      <w:bodyDiv w:val="1"/>
      <w:marLeft w:val="0"/>
      <w:marRight w:val="0"/>
      <w:marTop w:val="0"/>
      <w:marBottom w:val="0"/>
      <w:divBdr>
        <w:top w:val="none" w:sz="0" w:space="0" w:color="auto"/>
        <w:left w:val="none" w:sz="0" w:space="0" w:color="auto"/>
        <w:bottom w:val="none" w:sz="0" w:space="0" w:color="auto"/>
        <w:right w:val="none" w:sz="0" w:space="0" w:color="auto"/>
      </w:divBdr>
    </w:div>
    <w:div w:id="157618101">
      <w:bodyDiv w:val="1"/>
      <w:marLeft w:val="0"/>
      <w:marRight w:val="0"/>
      <w:marTop w:val="0"/>
      <w:marBottom w:val="0"/>
      <w:divBdr>
        <w:top w:val="none" w:sz="0" w:space="0" w:color="auto"/>
        <w:left w:val="none" w:sz="0" w:space="0" w:color="auto"/>
        <w:bottom w:val="none" w:sz="0" w:space="0" w:color="auto"/>
        <w:right w:val="none" w:sz="0" w:space="0" w:color="auto"/>
      </w:divBdr>
    </w:div>
    <w:div w:id="179852586">
      <w:bodyDiv w:val="1"/>
      <w:marLeft w:val="0"/>
      <w:marRight w:val="0"/>
      <w:marTop w:val="0"/>
      <w:marBottom w:val="0"/>
      <w:divBdr>
        <w:top w:val="none" w:sz="0" w:space="0" w:color="auto"/>
        <w:left w:val="none" w:sz="0" w:space="0" w:color="auto"/>
        <w:bottom w:val="none" w:sz="0" w:space="0" w:color="auto"/>
        <w:right w:val="none" w:sz="0" w:space="0" w:color="auto"/>
      </w:divBdr>
    </w:div>
    <w:div w:id="188683820">
      <w:bodyDiv w:val="1"/>
      <w:marLeft w:val="0"/>
      <w:marRight w:val="0"/>
      <w:marTop w:val="0"/>
      <w:marBottom w:val="0"/>
      <w:divBdr>
        <w:top w:val="none" w:sz="0" w:space="0" w:color="auto"/>
        <w:left w:val="none" w:sz="0" w:space="0" w:color="auto"/>
        <w:bottom w:val="none" w:sz="0" w:space="0" w:color="auto"/>
        <w:right w:val="none" w:sz="0" w:space="0" w:color="auto"/>
      </w:divBdr>
    </w:div>
    <w:div w:id="194849418">
      <w:bodyDiv w:val="1"/>
      <w:marLeft w:val="0"/>
      <w:marRight w:val="0"/>
      <w:marTop w:val="0"/>
      <w:marBottom w:val="0"/>
      <w:divBdr>
        <w:top w:val="none" w:sz="0" w:space="0" w:color="auto"/>
        <w:left w:val="none" w:sz="0" w:space="0" w:color="auto"/>
        <w:bottom w:val="none" w:sz="0" w:space="0" w:color="auto"/>
        <w:right w:val="none" w:sz="0" w:space="0" w:color="auto"/>
      </w:divBdr>
    </w:div>
    <w:div w:id="196282588">
      <w:bodyDiv w:val="1"/>
      <w:marLeft w:val="0"/>
      <w:marRight w:val="0"/>
      <w:marTop w:val="0"/>
      <w:marBottom w:val="0"/>
      <w:divBdr>
        <w:top w:val="none" w:sz="0" w:space="0" w:color="auto"/>
        <w:left w:val="none" w:sz="0" w:space="0" w:color="auto"/>
        <w:bottom w:val="none" w:sz="0" w:space="0" w:color="auto"/>
        <w:right w:val="none" w:sz="0" w:space="0" w:color="auto"/>
      </w:divBdr>
    </w:div>
    <w:div w:id="349189049">
      <w:bodyDiv w:val="1"/>
      <w:marLeft w:val="0"/>
      <w:marRight w:val="0"/>
      <w:marTop w:val="0"/>
      <w:marBottom w:val="0"/>
      <w:divBdr>
        <w:top w:val="none" w:sz="0" w:space="0" w:color="auto"/>
        <w:left w:val="none" w:sz="0" w:space="0" w:color="auto"/>
        <w:bottom w:val="none" w:sz="0" w:space="0" w:color="auto"/>
        <w:right w:val="none" w:sz="0" w:space="0" w:color="auto"/>
      </w:divBdr>
    </w:div>
    <w:div w:id="401758553">
      <w:bodyDiv w:val="1"/>
      <w:marLeft w:val="0"/>
      <w:marRight w:val="0"/>
      <w:marTop w:val="0"/>
      <w:marBottom w:val="0"/>
      <w:divBdr>
        <w:top w:val="none" w:sz="0" w:space="0" w:color="auto"/>
        <w:left w:val="none" w:sz="0" w:space="0" w:color="auto"/>
        <w:bottom w:val="none" w:sz="0" w:space="0" w:color="auto"/>
        <w:right w:val="none" w:sz="0" w:space="0" w:color="auto"/>
      </w:divBdr>
    </w:div>
    <w:div w:id="496730063">
      <w:bodyDiv w:val="1"/>
      <w:marLeft w:val="0"/>
      <w:marRight w:val="0"/>
      <w:marTop w:val="0"/>
      <w:marBottom w:val="0"/>
      <w:divBdr>
        <w:top w:val="none" w:sz="0" w:space="0" w:color="auto"/>
        <w:left w:val="none" w:sz="0" w:space="0" w:color="auto"/>
        <w:bottom w:val="none" w:sz="0" w:space="0" w:color="auto"/>
        <w:right w:val="none" w:sz="0" w:space="0" w:color="auto"/>
      </w:divBdr>
    </w:div>
    <w:div w:id="518128899">
      <w:bodyDiv w:val="1"/>
      <w:marLeft w:val="0"/>
      <w:marRight w:val="0"/>
      <w:marTop w:val="0"/>
      <w:marBottom w:val="0"/>
      <w:divBdr>
        <w:top w:val="none" w:sz="0" w:space="0" w:color="auto"/>
        <w:left w:val="none" w:sz="0" w:space="0" w:color="auto"/>
        <w:bottom w:val="none" w:sz="0" w:space="0" w:color="auto"/>
        <w:right w:val="none" w:sz="0" w:space="0" w:color="auto"/>
      </w:divBdr>
    </w:div>
    <w:div w:id="522207255">
      <w:bodyDiv w:val="1"/>
      <w:marLeft w:val="0"/>
      <w:marRight w:val="0"/>
      <w:marTop w:val="0"/>
      <w:marBottom w:val="0"/>
      <w:divBdr>
        <w:top w:val="none" w:sz="0" w:space="0" w:color="auto"/>
        <w:left w:val="none" w:sz="0" w:space="0" w:color="auto"/>
        <w:bottom w:val="none" w:sz="0" w:space="0" w:color="auto"/>
        <w:right w:val="none" w:sz="0" w:space="0" w:color="auto"/>
      </w:divBdr>
    </w:div>
    <w:div w:id="577178784">
      <w:bodyDiv w:val="1"/>
      <w:marLeft w:val="0"/>
      <w:marRight w:val="0"/>
      <w:marTop w:val="0"/>
      <w:marBottom w:val="0"/>
      <w:divBdr>
        <w:top w:val="none" w:sz="0" w:space="0" w:color="auto"/>
        <w:left w:val="none" w:sz="0" w:space="0" w:color="auto"/>
        <w:bottom w:val="none" w:sz="0" w:space="0" w:color="auto"/>
        <w:right w:val="none" w:sz="0" w:space="0" w:color="auto"/>
      </w:divBdr>
    </w:div>
    <w:div w:id="584848904">
      <w:bodyDiv w:val="1"/>
      <w:marLeft w:val="0"/>
      <w:marRight w:val="0"/>
      <w:marTop w:val="0"/>
      <w:marBottom w:val="0"/>
      <w:divBdr>
        <w:top w:val="none" w:sz="0" w:space="0" w:color="auto"/>
        <w:left w:val="none" w:sz="0" w:space="0" w:color="auto"/>
        <w:bottom w:val="none" w:sz="0" w:space="0" w:color="auto"/>
        <w:right w:val="none" w:sz="0" w:space="0" w:color="auto"/>
      </w:divBdr>
    </w:div>
    <w:div w:id="594478207">
      <w:bodyDiv w:val="1"/>
      <w:marLeft w:val="0"/>
      <w:marRight w:val="0"/>
      <w:marTop w:val="0"/>
      <w:marBottom w:val="0"/>
      <w:divBdr>
        <w:top w:val="none" w:sz="0" w:space="0" w:color="auto"/>
        <w:left w:val="none" w:sz="0" w:space="0" w:color="auto"/>
        <w:bottom w:val="none" w:sz="0" w:space="0" w:color="auto"/>
        <w:right w:val="none" w:sz="0" w:space="0" w:color="auto"/>
      </w:divBdr>
    </w:div>
    <w:div w:id="640155890">
      <w:bodyDiv w:val="1"/>
      <w:marLeft w:val="0"/>
      <w:marRight w:val="0"/>
      <w:marTop w:val="0"/>
      <w:marBottom w:val="0"/>
      <w:divBdr>
        <w:top w:val="none" w:sz="0" w:space="0" w:color="auto"/>
        <w:left w:val="none" w:sz="0" w:space="0" w:color="auto"/>
        <w:bottom w:val="none" w:sz="0" w:space="0" w:color="auto"/>
        <w:right w:val="none" w:sz="0" w:space="0" w:color="auto"/>
      </w:divBdr>
    </w:div>
    <w:div w:id="650058769">
      <w:bodyDiv w:val="1"/>
      <w:marLeft w:val="0"/>
      <w:marRight w:val="0"/>
      <w:marTop w:val="0"/>
      <w:marBottom w:val="0"/>
      <w:divBdr>
        <w:top w:val="none" w:sz="0" w:space="0" w:color="auto"/>
        <w:left w:val="none" w:sz="0" w:space="0" w:color="auto"/>
        <w:bottom w:val="none" w:sz="0" w:space="0" w:color="auto"/>
        <w:right w:val="none" w:sz="0" w:space="0" w:color="auto"/>
      </w:divBdr>
    </w:div>
    <w:div w:id="716710464">
      <w:bodyDiv w:val="1"/>
      <w:marLeft w:val="0"/>
      <w:marRight w:val="0"/>
      <w:marTop w:val="0"/>
      <w:marBottom w:val="0"/>
      <w:divBdr>
        <w:top w:val="none" w:sz="0" w:space="0" w:color="auto"/>
        <w:left w:val="none" w:sz="0" w:space="0" w:color="auto"/>
        <w:bottom w:val="none" w:sz="0" w:space="0" w:color="auto"/>
        <w:right w:val="none" w:sz="0" w:space="0" w:color="auto"/>
      </w:divBdr>
    </w:div>
    <w:div w:id="728000664">
      <w:bodyDiv w:val="1"/>
      <w:marLeft w:val="0"/>
      <w:marRight w:val="0"/>
      <w:marTop w:val="0"/>
      <w:marBottom w:val="0"/>
      <w:divBdr>
        <w:top w:val="none" w:sz="0" w:space="0" w:color="auto"/>
        <w:left w:val="none" w:sz="0" w:space="0" w:color="auto"/>
        <w:bottom w:val="none" w:sz="0" w:space="0" w:color="auto"/>
        <w:right w:val="none" w:sz="0" w:space="0" w:color="auto"/>
      </w:divBdr>
    </w:div>
    <w:div w:id="784471314">
      <w:bodyDiv w:val="1"/>
      <w:marLeft w:val="0"/>
      <w:marRight w:val="0"/>
      <w:marTop w:val="0"/>
      <w:marBottom w:val="0"/>
      <w:divBdr>
        <w:top w:val="none" w:sz="0" w:space="0" w:color="auto"/>
        <w:left w:val="none" w:sz="0" w:space="0" w:color="auto"/>
        <w:bottom w:val="none" w:sz="0" w:space="0" w:color="auto"/>
        <w:right w:val="none" w:sz="0" w:space="0" w:color="auto"/>
      </w:divBdr>
    </w:div>
    <w:div w:id="1113860105">
      <w:bodyDiv w:val="1"/>
      <w:marLeft w:val="0"/>
      <w:marRight w:val="0"/>
      <w:marTop w:val="0"/>
      <w:marBottom w:val="0"/>
      <w:divBdr>
        <w:top w:val="none" w:sz="0" w:space="0" w:color="auto"/>
        <w:left w:val="none" w:sz="0" w:space="0" w:color="auto"/>
        <w:bottom w:val="none" w:sz="0" w:space="0" w:color="auto"/>
        <w:right w:val="none" w:sz="0" w:space="0" w:color="auto"/>
      </w:divBdr>
    </w:div>
    <w:div w:id="1324892598">
      <w:bodyDiv w:val="1"/>
      <w:marLeft w:val="0"/>
      <w:marRight w:val="0"/>
      <w:marTop w:val="0"/>
      <w:marBottom w:val="0"/>
      <w:divBdr>
        <w:top w:val="none" w:sz="0" w:space="0" w:color="auto"/>
        <w:left w:val="none" w:sz="0" w:space="0" w:color="auto"/>
        <w:bottom w:val="none" w:sz="0" w:space="0" w:color="auto"/>
        <w:right w:val="none" w:sz="0" w:space="0" w:color="auto"/>
      </w:divBdr>
    </w:div>
    <w:div w:id="1346400792">
      <w:bodyDiv w:val="1"/>
      <w:marLeft w:val="0"/>
      <w:marRight w:val="0"/>
      <w:marTop w:val="0"/>
      <w:marBottom w:val="0"/>
      <w:divBdr>
        <w:top w:val="none" w:sz="0" w:space="0" w:color="auto"/>
        <w:left w:val="none" w:sz="0" w:space="0" w:color="auto"/>
        <w:bottom w:val="none" w:sz="0" w:space="0" w:color="auto"/>
        <w:right w:val="none" w:sz="0" w:space="0" w:color="auto"/>
      </w:divBdr>
    </w:div>
    <w:div w:id="1350571947">
      <w:bodyDiv w:val="1"/>
      <w:marLeft w:val="0"/>
      <w:marRight w:val="0"/>
      <w:marTop w:val="0"/>
      <w:marBottom w:val="0"/>
      <w:divBdr>
        <w:top w:val="none" w:sz="0" w:space="0" w:color="auto"/>
        <w:left w:val="none" w:sz="0" w:space="0" w:color="auto"/>
        <w:bottom w:val="none" w:sz="0" w:space="0" w:color="auto"/>
        <w:right w:val="none" w:sz="0" w:space="0" w:color="auto"/>
      </w:divBdr>
    </w:div>
    <w:div w:id="1425613063">
      <w:bodyDiv w:val="1"/>
      <w:marLeft w:val="0"/>
      <w:marRight w:val="0"/>
      <w:marTop w:val="0"/>
      <w:marBottom w:val="0"/>
      <w:divBdr>
        <w:top w:val="none" w:sz="0" w:space="0" w:color="auto"/>
        <w:left w:val="none" w:sz="0" w:space="0" w:color="auto"/>
        <w:bottom w:val="none" w:sz="0" w:space="0" w:color="auto"/>
        <w:right w:val="none" w:sz="0" w:space="0" w:color="auto"/>
      </w:divBdr>
    </w:div>
    <w:div w:id="1537815867">
      <w:bodyDiv w:val="1"/>
      <w:marLeft w:val="0"/>
      <w:marRight w:val="0"/>
      <w:marTop w:val="0"/>
      <w:marBottom w:val="0"/>
      <w:divBdr>
        <w:top w:val="none" w:sz="0" w:space="0" w:color="auto"/>
        <w:left w:val="none" w:sz="0" w:space="0" w:color="auto"/>
        <w:bottom w:val="none" w:sz="0" w:space="0" w:color="auto"/>
        <w:right w:val="none" w:sz="0" w:space="0" w:color="auto"/>
      </w:divBdr>
    </w:div>
    <w:div w:id="1606690894">
      <w:bodyDiv w:val="1"/>
      <w:marLeft w:val="0"/>
      <w:marRight w:val="0"/>
      <w:marTop w:val="0"/>
      <w:marBottom w:val="0"/>
      <w:divBdr>
        <w:top w:val="none" w:sz="0" w:space="0" w:color="auto"/>
        <w:left w:val="none" w:sz="0" w:space="0" w:color="auto"/>
        <w:bottom w:val="none" w:sz="0" w:space="0" w:color="auto"/>
        <w:right w:val="none" w:sz="0" w:space="0" w:color="auto"/>
      </w:divBdr>
    </w:div>
    <w:div w:id="1607928168">
      <w:bodyDiv w:val="1"/>
      <w:marLeft w:val="0"/>
      <w:marRight w:val="0"/>
      <w:marTop w:val="0"/>
      <w:marBottom w:val="0"/>
      <w:divBdr>
        <w:top w:val="none" w:sz="0" w:space="0" w:color="auto"/>
        <w:left w:val="none" w:sz="0" w:space="0" w:color="auto"/>
        <w:bottom w:val="none" w:sz="0" w:space="0" w:color="auto"/>
        <w:right w:val="none" w:sz="0" w:space="0" w:color="auto"/>
      </w:divBdr>
    </w:div>
    <w:div w:id="1629093904">
      <w:bodyDiv w:val="1"/>
      <w:marLeft w:val="0"/>
      <w:marRight w:val="0"/>
      <w:marTop w:val="0"/>
      <w:marBottom w:val="0"/>
      <w:divBdr>
        <w:top w:val="none" w:sz="0" w:space="0" w:color="auto"/>
        <w:left w:val="none" w:sz="0" w:space="0" w:color="auto"/>
        <w:bottom w:val="none" w:sz="0" w:space="0" w:color="auto"/>
        <w:right w:val="none" w:sz="0" w:space="0" w:color="auto"/>
      </w:divBdr>
    </w:div>
    <w:div w:id="1738629976">
      <w:bodyDiv w:val="1"/>
      <w:marLeft w:val="0"/>
      <w:marRight w:val="0"/>
      <w:marTop w:val="0"/>
      <w:marBottom w:val="0"/>
      <w:divBdr>
        <w:top w:val="none" w:sz="0" w:space="0" w:color="auto"/>
        <w:left w:val="none" w:sz="0" w:space="0" w:color="auto"/>
        <w:bottom w:val="none" w:sz="0" w:space="0" w:color="auto"/>
        <w:right w:val="none" w:sz="0" w:space="0" w:color="auto"/>
      </w:divBdr>
    </w:div>
    <w:div w:id="1759788574">
      <w:bodyDiv w:val="1"/>
      <w:marLeft w:val="0"/>
      <w:marRight w:val="0"/>
      <w:marTop w:val="0"/>
      <w:marBottom w:val="0"/>
      <w:divBdr>
        <w:top w:val="none" w:sz="0" w:space="0" w:color="auto"/>
        <w:left w:val="none" w:sz="0" w:space="0" w:color="auto"/>
        <w:bottom w:val="none" w:sz="0" w:space="0" w:color="auto"/>
        <w:right w:val="none" w:sz="0" w:space="0" w:color="auto"/>
      </w:divBdr>
    </w:div>
    <w:div w:id="1761176267">
      <w:bodyDiv w:val="1"/>
      <w:marLeft w:val="0"/>
      <w:marRight w:val="0"/>
      <w:marTop w:val="0"/>
      <w:marBottom w:val="0"/>
      <w:divBdr>
        <w:top w:val="none" w:sz="0" w:space="0" w:color="auto"/>
        <w:left w:val="none" w:sz="0" w:space="0" w:color="auto"/>
        <w:bottom w:val="none" w:sz="0" w:space="0" w:color="auto"/>
        <w:right w:val="none" w:sz="0" w:space="0" w:color="auto"/>
      </w:divBdr>
    </w:div>
    <w:div w:id="1783768544">
      <w:bodyDiv w:val="1"/>
      <w:marLeft w:val="0"/>
      <w:marRight w:val="0"/>
      <w:marTop w:val="0"/>
      <w:marBottom w:val="0"/>
      <w:divBdr>
        <w:top w:val="none" w:sz="0" w:space="0" w:color="auto"/>
        <w:left w:val="none" w:sz="0" w:space="0" w:color="auto"/>
        <w:bottom w:val="none" w:sz="0" w:space="0" w:color="auto"/>
        <w:right w:val="none" w:sz="0" w:space="0" w:color="auto"/>
      </w:divBdr>
    </w:div>
    <w:div w:id="1865634443">
      <w:bodyDiv w:val="1"/>
      <w:marLeft w:val="0"/>
      <w:marRight w:val="0"/>
      <w:marTop w:val="0"/>
      <w:marBottom w:val="0"/>
      <w:divBdr>
        <w:top w:val="none" w:sz="0" w:space="0" w:color="auto"/>
        <w:left w:val="none" w:sz="0" w:space="0" w:color="auto"/>
        <w:bottom w:val="none" w:sz="0" w:space="0" w:color="auto"/>
        <w:right w:val="none" w:sz="0" w:space="0" w:color="auto"/>
      </w:divBdr>
    </w:div>
    <w:div w:id="1892694561">
      <w:bodyDiv w:val="1"/>
      <w:marLeft w:val="0"/>
      <w:marRight w:val="0"/>
      <w:marTop w:val="0"/>
      <w:marBottom w:val="0"/>
      <w:divBdr>
        <w:top w:val="none" w:sz="0" w:space="0" w:color="auto"/>
        <w:left w:val="none" w:sz="0" w:space="0" w:color="auto"/>
        <w:bottom w:val="none" w:sz="0" w:space="0" w:color="auto"/>
        <w:right w:val="none" w:sz="0" w:space="0" w:color="auto"/>
      </w:divBdr>
    </w:div>
    <w:div w:id="1903129552">
      <w:bodyDiv w:val="1"/>
      <w:marLeft w:val="0"/>
      <w:marRight w:val="0"/>
      <w:marTop w:val="0"/>
      <w:marBottom w:val="0"/>
      <w:divBdr>
        <w:top w:val="none" w:sz="0" w:space="0" w:color="auto"/>
        <w:left w:val="none" w:sz="0" w:space="0" w:color="auto"/>
        <w:bottom w:val="none" w:sz="0" w:space="0" w:color="auto"/>
        <w:right w:val="none" w:sz="0" w:space="0" w:color="auto"/>
      </w:divBdr>
    </w:div>
    <w:div w:id="1932153254">
      <w:bodyDiv w:val="1"/>
      <w:marLeft w:val="0"/>
      <w:marRight w:val="0"/>
      <w:marTop w:val="0"/>
      <w:marBottom w:val="0"/>
      <w:divBdr>
        <w:top w:val="none" w:sz="0" w:space="0" w:color="auto"/>
        <w:left w:val="none" w:sz="0" w:space="0" w:color="auto"/>
        <w:bottom w:val="none" w:sz="0" w:space="0" w:color="auto"/>
        <w:right w:val="none" w:sz="0" w:space="0" w:color="auto"/>
      </w:divBdr>
    </w:div>
    <w:div w:id="1968586688">
      <w:bodyDiv w:val="1"/>
      <w:marLeft w:val="0"/>
      <w:marRight w:val="0"/>
      <w:marTop w:val="0"/>
      <w:marBottom w:val="0"/>
      <w:divBdr>
        <w:top w:val="none" w:sz="0" w:space="0" w:color="auto"/>
        <w:left w:val="none" w:sz="0" w:space="0" w:color="auto"/>
        <w:bottom w:val="none" w:sz="0" w:space="0" w:color="auto"/>
        <w:right w:val="none" w:sz="0" w:space="0" w:color="auto"/>
      </w:divBdr>
    </w:div>
    <w:div w:id="2041734342">
      <w:bodyDiv w:val="1"/>
      <w:marLeft w:val="0"/>
      <w:marRight w:val="0"/>
      <w:marTop w:val="0"/>
      <w:marBottom w:val="0"/>
      <w:divBdr>
        <w:top w:val="none" w:sz="0" w:space="0" w:color="auto"/>
        <w:left w:val="none" w:sz="0" w:space="0" w:color="auto"/>
        <w:bottom w:val="none" w:sz="0" w:space="0" w:color="auto"/>
        <w:right w:val="none" w:sz="0" w:space="0" w:color="auto"/>
      </w:divBdr>
    </w:div>
    <w:div w:id="212985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ti\AppData\Local\Microsoft\Windows\INetCache\IE\MMBF0A7Z\131-common-combined_clean%5b1%5d.docx" TargetMode="External"/><Relationship Id="rId13" Type="http://schemas.openxmlformats.org/officeDocument/2006/relationships/hyperlink" Target="file:///C:\Users\hti\AppData\Local\Microsoft\Windows\INetCache\IE\MMBF0A7Z\131-common-combined_clean%5b1%5d.doc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file:///C:\Users\hti\AppData\Local\Microsoft\Windows\INetCache\IE\MMBF0A7Z\131-common-combined_clean%5b1%5d.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hti\AppData\Local\Microsoft\Windows\INetCache\IE\MMBF0A7Z\131-common-combined_clean%5b1%5d.docx"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file:///C:\Users\hti\AppData\Local\Microsoft\Windows\INetCache\IE\MMBF0A7Z\131-common-combined_clean%5b1%5d.docx"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file:///C:\Users\hti\AppData\Local\Microsoft\Windows\INetCache\IE\MMBF0A7Z\131-common-combined_clean%5b1%5d.docx"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TotalTime>
  <Pages>10</Pages>
  <Words>2856</Words>
  <Characters>18071</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2023110790 pkt. 6.5 tilføjet 98 2023110789 pkt. 6.3 ændret fra 2 til 3 år</dc:description>
  <cp:lastModifiedBy>Helle Søndersted</cp:lastModifiedBy>
  <cp:revision>3</cp:revision>
  <cp:lastPrinted>2006-02-24T09:31:00Z</cp:lastPrinted>
  <dcterms:created xsi:type="dcterms:W3CDTF">2024-01-15T10:48:00Z</dcterms:created>
  <dcterms:modified xsi:type="dcterms:W3CDTF">2024-01-15T12:04:00Z</dcterms:modified>
</cp:coreProperties>
</file>