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CE4BB6">
        <w:rPr>
          <w:szCs w:val="24"/>
        </w:rPr>
        <w:t>22</w:t>
      </w:r>
      <w:r w:rsidR="00391F2B">
        <w:rPr>
          <w:szCs w:val="24"/>
        </w:rPr>
        <w:t xml:space="preserve">. </w:t>
      </w:r>
      <w:r w:rsidR="00CE4BB6">
        <w:rPr>
          <w:szCs w:val="24"/>
        </w:rPr>
        <w:t>november</w:t>
      </w:r>
      <w:r w:rsidR="00391F2B">
        <w:rPr>
          <w:szCs w:val="24"/>
        </w:rPr>
        <w:t xml:space="preserve"> 202</w:t>
      </w:r>
      <w:r w:rsidR="00CE4BB6">
        <w:rPr>
          <w:szCs w:val="24"/>
        </w:rPr>
        <w:t>4</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bookmarkStart w:id="0" w:name="_GoBack"/>
      <w:bookmarkEnd w:id="0"/>
    </w:p>
    <w:p w:rsidR="009260DE" w:rsidRPr="00FB1875" w:rsidRDefault="009260DE" w:rsidP="009260DE">
      <w:pPr>
        <w:jc w:val="center"/>
        <w:rPr>
          <w:b/>
          <w:sz w:val="24"/>
          <w:szCs w:val="24"/>
        </w:rPr>
      </w:pPr>
      <w:r w:rsidRPr="00FB1875">
        <w:rPr>
          <w:b/>
          <w:sz w:val="24"/>
          <w:szCs w:val="24"/>
        </w:rPr>
        <w:t>for</w:t>
      </w:r>
    </w:p>
    <w:p w:rsidR="000B058C" w:rsidRPr="00FB1875" w:rsidRDefault="000B058C" w:rsidP="009260DE">
      <w:pPr>
        <w:jc w:val="center"/>
        <w:rPr>
          <w:b/>
          <w:sz w:val="24"/>
          <w:szCs w:val="24"/>
        </w:rPr>
      </w:pPr>
    </w:p>
    <w:p w:rsidR="009260DE" w:rsidRPr="00FB1875" w:rsidRDefault="008C7141" w:rsidP="009260DE">
      <w:pPr>
        <w:jc w:val="center"/>
        <w:rPr>
          <w:b/>
          <w:sz w:val="24"/>
          <w:szCs w:val="24"/>
        </w:rPr>
      </w:pPr>
      <w:proofErr w:type="spellStart"/>
      <w:r w:rsidRPr="00FB1875">
        <w:rPr>
          <w:b/>
          <w:sz w:val="24"/>
          <w:szCs w:val="24"/>
        </w:rPr>
        <w:t>Enalapril</w:t>
      </w:r>
      <w:proofErr w:type="spellEnd"/>
      <w:r w:rsidRPr="00FB1875">
        <w:rPr>
          <w:b/>
          <w:sz w:val="24"/>
          <w:szCs w:val="24"/>
        </w:rPr>
        <w:t xml:space="preserve"> "</w:t>
      </w:r>
      <w:proofErr w:type="spellStart"/>
      <w:r w:rsidRPr="00FB1875">
        <w:rPr>
          <w:b/>
          <w:sz w:val="24"/>
          <w:szCs w:val="24"/>
        </w:rPr>
        <w:t>Accord</w:t>
      </w:r>
      <w:proofErr w:type="spellEnd"/>
      <w:r w:rsidRPr="00FB1875">
        <w:rPr>
          <w:b/>
          <w:sz w:val="24"/>
          <w:szCs w:val="24"/>
        </w:rPr>
        <w:t>", tabletter</w:t>
      </w:r>
    </w:p>
    <w:p w:rsidR="009260DE" w:rsidRPr="00FB1875" w:rsidRDefault="009260DE" w:rsidP="009260DE">
      <w:pPr>
        <w:jc w:val="both"/>
        <w:rPr>
          <w:sz w:val="24"/>
          <w:szCs w:val="24"/>
        </w:rPr>
      </w:pPr>
    </w:p>
    <w:p w:rsidR="009260DE" w:rsidRPr="00FB1875" w:rsidRDefault="009260DE" w:rsidP="009260DE">
      <w:pPr>
        <w:jc w:val="both"/>
        <w:rPr>
          <w:sz w:val="24"/>
          <w:szCs w:val="24"/>
        </w:rPr>
      </w:pPr>
    </w:p>
    <w:p w:rsidR="009260DE" w:rsidRPr="00FB1875" w:rsidRDefault="009260DE" w:rsidP="009260DE">
      <w:pPr>
        <w:tabs>
          <w:tab w:val="left" w:pos="851"/>
        </w:tabs>
        <w:ind w:left="851" w:hanging="851"/>
        <w:rPr>
          <w:b/>
          <w:sz w:val="24"/>
          <w:szCs w:val="24"/>
        </w:rPr>
      </w:pPr>
      <w:r w:rsidRPr="00FB1875">
        <w:rPr>
          <w:b/>
          <w:sz w:val="24"/>
          <w:szCs w:val="24"/>
        </w:rPr>
        <w:t>0.</w:t>
      </w:r>
      <w:r w:rsidRPr="00FB1875">
        <w:rPr>
          <w:b/>
          <w:sz w:val="24"/>
          <w:szCs w:val="24"/>
        </w:rPr>
        <w:tab/>
        <w:t>D.SP.NR.</w:t>
      </w:r>
    </w:p>
    <w:p w:rsidR="009260DE" w:rsidRPr="00C84483" w:rsidRDefault="00E81E1B" w:rsidP="009260DE">
      <w:pPr>
        <w:tabs>
          <w:tab w:val="left" w:pos="851"/>
        </w:tabs>
        <w:ind w:left="851"/>
        <w:rPr>
          <w:sz w:val="24"/>
          <w:szCs w:val="24"/>
        </w:rPr>
      </w:pPr>
      <w:r>
        <w:rPr>
          <w:sz w:val="24"/>
          <w:szCs w:val="24"/>
        </w:rPr>
        <w:t>3</w:t>
      </w:r>
      <w:r w:rsidR="00391F2B">
        <w:rPr>
          <w:sz w:val="24"/>
          <w:szCs w:val="24"/>
        </w:rPr>
        <w:t>1</w:t>
      </w:r>
      <w:r>
        <w:rPr>
          <w:sz w:val="24"/>
          <w:szCs w:val="24"/>
        </w:rPr>
        <w:t>910</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E81E1B" w:rsidP="009260DE">
      <w:pPr>
        <w:tabs>
          <w:tab w:val="left" w:pos="851"/>
        </w:tabs>
        <w:ind w:left="851"/>
        <w:rPr>
          <w:sz w:val="24"/>
          <w:szCs w:val="24"/>
        </w:rPr>
      </w:pPr>
      <w:proofErr w:type="spellStart"/>
      <w:r>
        <w:rPr>
          <w:sz w:val="24"/>
          <w:szCs w:val="24"/>
        </w:rPr>
        <w:t>Enalapril</w:t>
      </w:r>
      <w:proofErr w:type="spellEnd"/>
      <w:r>
        <w:rPr>
          <w:sz w:val="24"/>
          <w:szCs w:val="24"/>
        </w:rPr>
        <w:t xml:space="preserve"> "</w:t>
      </w:r>
      <w:proofErr w:type="spellStart"/>
      <w:r>
        <w:rPr>
          <w:sz w:val="24"/>
          <w:szCs w:val="24"/>
        </w:rPr>
        <w:t>Accord</w:t>
      </w:r>
      <w:proofErr w:type="spellEnd"/>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A77D12" w:rsidRDefault="00A77D12" w:rsidP="00A77D12">
      <w:pPr>
        <w:ind w:left="851"/>
        <w:rPr>
          <w:color w:val="000000"/>
          <w:sz w:val="24"/>
          <w:szCs w:val="24"/>
        </w:rPr>
      </w:pPr>
      <w:r>
        <w:rPr>
          <w:sz w:val="24"/>
          <w:szCs w:val="24"/>
        </w:rPr>
        <w:t xml:space="preserve">Hver </w:t>
      </w:r>
      <w:r>
        <w:rPr>
          <w:color w:val="000000"/>
          <w:sz w:val="24"/>
          <w:szCs w:val="24"/>
        </w:rPr>
        <w:t>tablet indeholder 2,5 mg</w:t>
      </w:r>
      <w:r>
        <w:rPr>
          <w:sz w:val="24"/>
          <w:szCs w:val="24"/>
        </w:rPr>
        <w:t xml:space="preserve"> </w:t>
      </w:r>
      <w:proofErr w:type="spellStart"/>
      <w:r>
        <w:rPr>
          <w:sz w:val="24"/>
          <w:szCs w:val="24"/>
        </w:rPr>
        <w:t>enalaprilmaleat</w:t>
      </w:r>
      <w:proofErr w:type="spellEnd"/>
      <w:r>
        <w:rPr>
          <w:sz w:val="24"/>
          <w:szCs w:val="24"/>
        </w:rPr>
        <w:t>.</w:t>
      </w:r>
    </w:p>
    <w:p w:rsidR="00A77D12" w:rsidRDefault="00A77D12" w:rsidP="00A77D12">
      <w:pPr>
        <w:ind w:left="851"/>
        <w:rPr>
          <w:color w:val="000000"/>
          <w:sz w:val="24"/>
          <w:szCs w:val="24"/>
        </w:rPr>
      </w:pPr>
      <w:r>
        <w:rPr>
          <w:sz w:val="24"/>
          <w:szCs w:val="24"/>
        </w:rPr>
        <w:t xml:space="preserve">Hver </w:t>
      </w:r>
      <w:r>
        <w:rPr>
          <w:color w:val="000000"/>
          <w:sz w:val="24"/>
          <w:szCs w:val="24"/>
        </w:rPr>
        <w:t>tablet indeholder 5 mg</w:t>
      </w:r>
      <w:r>
        <w:rPr>
          <w:sz w:val="24"/>
          <w:szCs w:val="24"/>
        </w:rPr>
        <w:t xml:space="preserve"> </w:t>
      </w:r>
      <w:proofErr w:type="spellStart"/>
      <w:r>
        <w:rPr>
          <w:sz w:val="24"/>
          <w:szCs w:val="24"/>
        </w:rPr>
        <w:t>enalaprilmaleat</w:t>
      </w:r>
      <w:proofErr w:type="spellEnd"/>
      <w:r>
        <w:rPr>
          <w:color w:val="000000"/>
          <w:sz w:val="24"/>
          <w:szCs w:val="24"/>
        </w:rPr>
        <w:t>.</w:t>
      </w:r>
    </w:p>
    <w:p w:rsidR="00A77D12" w:rsidRDefault="00A77D12" w:rsidP="00A77D12">
      <w:pPr>
        <w:ind w:left="851"/>
        <w:rPr>
          <w:color w:val="000000"/>
          <w:sz w:val="24"/>
          <w:szCs w:val="24"/>
        </w:rPr>
      </w:pPr>
      <w:r>
        <w:rPr>
          <w:sz w:val="24"/>
          <w:szCs w:val="24"/>
        </w:rPr>
        <w:t xml:space="preserve">Hver </w:t>
      </w:r>
      <w:r>
        <w:rPr>
          <w:color w:val="000000"/>
          <w:sz w:val="24"/>
          <w:szCs w:val="24"/>
        </w:rPr>
        <w:t>tablet indeholder 10 mg</w:t>
      </w:r>
      <w:r>
        <w:rPr>
          <w:sz w:val="24"/>
          <w:szCs w:val="24"/>
        </w:rPr>
        <w:t xml:space="preserve"> </w:t>
      </w:r>
      <w:proofErr w:type="spellStart"/>
      <w:r>
        <w:rPr>
          <w:sz w:val="24"/>
          <w:szCs w:val="24"/>
        </w:rPr>
        <w:t>enalaprilmaleat</w:t>
      </w:r>
      <w:proofErr w:type="spellEnd"/>
      <w:r>
        <w:rPr>
          <w:color w:val="000000"/>
          <w:sz w:val="24"/>
          <w:szCs w:val="24"/>
        </w:rPr>
        <w:t>.</w:t>
      </w:r>
    </w:p>
    <w:p w:rsidR="00A77D12" w:rsidRDefault="00A77D12" w:rsidP="00A77D12">
      <w:pPr>
        <w:ind w:left="851"/>
        <w:rPr>
          <w:color w:val="000000"/>
          <w:sz w:val="24"/>
          <w:szCs w:val="24"/>
        </w:rPr>
      </w:pPr>
      <w:r>
        <w:rPr>
          <w:sz w:val="24"/>
          <w:szCs w:val="24"/>
        </w:rPr>
        <w:t xml:space="preserve">Hver </w:t>
      </w:r>
      <w:r>
        <w:rPr>
          <w:color w:val="000000"/>
          <w:sz w:val="24"/>
          <w:szCs w:val="24"/>
        </w:rPr>
        <w:t>tablet indeholder 20 mg</w:t>
      </w:r>
      <w:r>
        <w:rPr>
          <w:sz w:val="24"/>
          <w:szCs w:val="24"/>
        </w:rPr>
        <w:t xml:space="preserve"> </w:t>
      </w:r>
      <w:proofErr w:type="spellStart"/>
      <w:r>
        <w:rPr>
          <w:sz w:val="24"/>
          <w:szCs w:val="24"/>
        </w:rPr>
        <w:t>enalaprilmaleat</w:t>
      </w:r>
      <w:proofErr w:type="spellEnd"/>
      <w:r>
        <w:rPr>
          <w:sz w:val="24"/>
          <w:szCs w:val="24"/>
        </w:rPr>
        <w:t>.</w:t>
      </w:r>
    </w:p>
    <w:p w:rsidR="00A77D12" w:rsidRDefault="00A77D12" w:rsidP="00A77D12">
      <w:pPr>
        <w:ind w:left="851"/>
        <w:rPr>
          <w:color w:val="000000"/>
          <w:sz w:val="24"/>
          <w:szCs w:val="24"/>
        </w:rPr>
      </w:pPr>
    </w:p>
    <w:p w:rsidR="00A77D12" w:rsidRDefault="00A77D12" w:rsidP="00A77D12">
      <w:pPr>
        <w:ind w:left="851"/>
        <w:rPr>
          <w:color w:val="000000"/>
          <w:sz w:val="24"/>
          <w:szCs w:val="24"/>
          <w:u w:val="single"/>
        </w:rPr>
      </w:pPr>
      <w:r>
        <w:rPr>
          <w:color w:val="000000"/>
          <w:sz w:val="24"/>
          <w:szCs w:val="24"/>
          <w:u w:val="single"/>
        </w:rPr>
        <w:t>Hjælpestof, som behandleren skal være opmærksom på</w:t>
      </w:r>
    </w:p>
    <w:p w:rsidR="00D278FC" w:rsidRDefault="00D278FC" w:rsidP="00A77D12">
      <w:pPr>
        <w:ind w:left="851"/>
        <w:rPr>
          <w:color w:val="000000"/>
          <w:sz w:val="24"/>
          <w:szCs w:val="24"/>
        </w:rPr>
      </w:pPr>
    </w:p>
    <w:p w:rsidR="00A77D12" w:rsidRPr="00D278FC" w:rsidRDefault="00D278FC" w:rsidP="00A77D12">
      <w:pPr>
        <w:ind w:left="851"/>
        <w:rPr>
          <w:i/>
          <w:color w:val="000000"/>
          <w:sz w:val="24"/>
          <w:szCs w:val="24"/>
        </w:rPr>
      </w:pPr>
      <w:r w:rsidRPr="00D278FC">
        <w:rPr>
          <w:i/>
          <w:color w:val="000000"/>
          <w:sz w:val="24"/>
          <w:szCs w:val="24"/>
        </w:rPr>
        <w:t>2,5 mg</w:t>
      </w:r>
    </w:p>
    <w:p w:rsidR="00A77D12" w:rsidRDefault="00A77D12" w:rsidP="00A77D12">
      <w:pPr>
        <w:autoSpaceDE w:val="0"/>
        <w:autoSpaceDN w:val="0"/>
        <w:adjustRightInd w:val="0"/>
        <w:ind w:left="851"/>
        <w:rPr>
          <w:color w:val="000000"/>
          <w:sz w:val="24"/>
          <w:szCs w:val="24"/>
        </w:rPr>
      </w:pPr>
      <w:r>
        <w:rPr>
          <w:color w:val="000000"/>
          <w:sz w:val="24"/>
          <w:szCs w:val="24"/>
        </w:rPr>
        <w:t xml:space="preserve">Dette lægemiddel indeholder 29,88-31,52 mg </w:t>
      </w:r>
      <w:proofErr w:type="spellStart"/>
      <w:r>
        <w:rPr>
          <w:color w:val="000000"/>
          <w:sz w:val="24"/>
          <w:szCs w:val="24"/>
        </w:rPr>
        <w:t>lactosemonohydrat</w:t>
      </w:r>
      <w:proofErr w:type="spellEnd"/>
      <w:r>
        <w:rPr>
          <w:color w:val="000000"/>
          <w:sz w:val="24"/>
          <w:szCs w:val="24"/>
        </w:rPr>
        <w:t xml:space="preserve"> pr. tablet.</w:t>
      </w:r>
    </w:p>
    <w:p w:rsidR="00A77D12" w:rsidRDefault="00A77D12" w:rsidP="00A77D12">
      <w:pPr>
        <w:ind w:left="851"/>
        <w:rPr>
          <w:rFonts w:eastAsia="Calibri"/>
          <w:color w:val="000000"/>
          <w:sz w:val="24"/>
          <w:szCs w:val="24"/>
        </w:rPr>
      </w:pPr>
    </w:p>
    <w:p w:rsidR="00A77D12" w:rsidRPr="00D278FC" w:rsidRDefault="00D278FC" w:rsidP="00A77D12">
      <w:pPr>
        <w:ind w:left="851"/>
        <w:rPr>
          <w:i/>
          <w:color w:val="000000"/>
          <w:sz w:val="24"/>
          <w:szCs w:val="24"/>
        </w:rPr>
      </w:pPr>
      <w:r w:rsidRPr="00D278FC">
        <w:rPr>
          <w:i/>
          <w:color w:val="000000"/>
          <w:sz w:val="24"/>
          <w:szCs w:val="24"/>
        </w:rPr>
        <w:t>5 mg</w:t>
      </w:r>
    </w:p>
    <w:p w:rsidR="00A77D12" w:rsidRDefault="00A77D12" w:rsidP="00A77D12">
      <w:pPr>
        <w:autoSpaceDE w:val="0"/>
        <w:autoSpaceDN w:val="0"/>
        <w:adjustRightInd w:val="0"/>
        <w:ind w:left="851"/>
        <w:rPr>
          <w:color w:val="000000"/>
          <w:sz w:val="24"/>
          <w:szCs w:val="24"/>
        </w:rPr>
      </w:pPr>
      <w:r>
        <w:rPr>
          <w:color w:val="000000"/>
          <w:sz w:val="24"/>
          <w:szCs w:val="24"/>
        </w:rPr>
        <w:t xml:space="preserve">Dette lægemiddel indeholder 59,77-63,04 mg </w:t>
      </w:r>
      <w:proofErr w:type="spellStart"/>
      <w:r>
        <w:rPr>
          <w:color w:val="000000"/>
          <w:sz w:val="24"/>
          <w:szCs w:val="24"/>
        </w:rPr>
        <w:t>lactosemonohydrat</w:t>
      </w:r>
      <w:proofErr w:type="spellEnd"/>
      <w:r>
        <w:rPr>
          <w:color w:val="000000"/>
          <w:sz w:val="24"/>
          <w:szCs w:val="24"/>
        </w:rPr>
        <w:t xml:space="preserve"> pr. tablet.</w:t>
      </w:r>
    </w:p>
    <w:p w:rsidR="00A77D12" w:rsidRDefault="00A77D12" w:rsidP="00A77D12">
      <w:pPr>
        <w:ind w:left="851"/>
        <w:rPr>
          <w:rFonts w:eastAsia="Calibri"/>
          <w:color w:val="000000"/>
          <w:sz w:val="24"/>
          <w:szCs w:val="24"/>
        </w:rPr>
      </w:pPr>
    </w:p>
    <w:p w:rsidR="00A77D12" w:rsidRPr="00D278FC" w:rsidRDefault="00D278FC" w:rsidP="00A77D12">
      <w:pPr>
        <w:ind w:left="851"/>
        <w:rPr>
          <w:i/>
          <w:color w:val="000000"/>
          <w:sz w:val="24"/>
          <w:szCs w:val="24"/>
        </w:rPr>
      </w:pPr>
      <w:r w:rsidRPr="00D278FC">
        <w:rPr>
          <w:i/>
          <w:color w:val="000000"/>
          <w:sz w:val="24"/>
          <w:szCs w:val="24"/>
        </w:rPr>
        <w:t>10 mg</w:t>
      </w:r>
    </w:p>
    <w:p w:rsidR="00A77D12" w:rsidRDefault="00A77D12" w:rsidP="00A77D12">
      <w:pPr>
        <w:autoSpaceDE w:val="0"/>
        <w:autoSpaceDN w:val="0"/>
        <w:adjustRightInd w:val="0"/>
        <w:ind w:left="851"/>
        <w:rPr>
          <w:color w:val="000000"/>
          <w:sz w:val="24"/>
          <w:szCs w:val="24"/>
        </w:rPr>
      </w:pPr>
      <w:r>
        <w:rPr>
          <w:color w:val="000000"/>
          <w:sz w:val="24"/>
          <w:szCs w:val="24"/>
        </w:rPr>
        <w:t xml:space="preserve">Dette lægemiddel indeholder 57,35-60,49 mg </w:t>
      </w:r>
      <w:proofErr w:type="spellStart"/>
      <w:r>
        <w:rPr>
          <w:color w:val="000000"/>
          <w:sz w:val="24"/>
          <w:szCs w:val="24"/>
        </w:rPr>
        <w:t>lactosemonohydrat</w:t>
      </w:r>
      <w:proofErr w:type="spellEnd"/>
      <w:r>
        <w:rPr>
          <w:color w:val="000000"/>
          <w:sz w:val="24"/>
          <w:szCs w:val="24"/>
        </w:rPr>
        <w:t xml:space="preserve"> pr. tablet.</w:t>
      </w:r>
    </w:p>
    <w:p w:rsidR="00A77D12" w:rsidRDefault="00A77D12" w:rsidP="00A77D12">
      <w:pPr>
        <w:ind w:left="851"/>
        <w:rPr>
          <w:rFonts w:eastAsia="Calibri"/>
          <w:color w:val="000000"/>
          <w:sz w:val="24"/>
          <w:szCs w:val="24"/>
        </w:rPr>
      </w:pPr>
    </w:p>
    <w:p w:rsidR="00A77D12" w:rsidRPr="00D278FC" w:rsidRDefault="00D278FC" w:rsidP="00A77D12">
      <w:pPr>
        <w:ind w:left="851"/>
        <w:rPr>
          <w:i/>
          <w:color w:val="000000"/>
          <w:sz w:val="24"/>
          <w:szCs w:val="24"/>
        </w:rPr>
      </w:pPr>
      <w:r w:rsidRPr="00D278FC">
        <w:rPr>
          <w:i/>
          <w:color w:val="000000"/>
          <w:sz w:val="24"/>
          <w:szCs w:val="24"/>
        </w:rPr>
        <w:t>20 mg</w:t>
      </w:r>
    </w:p>
    <w:p w:rsidR="00A77D12" w:rsidRDefault="00A77D12" w:rsidP="00A77D12">
      <w:pPr>
        <w:autoSpaceDE w:val="0"/>
        <w:autoSpaceDN w:val="0"/>
        <w:adjustRightInd w:val="0"/>
        <w:ind w:left="851"/>
        <w:rPr>
          <w:color w:val="000000"/>
          <w:sz w:val="24"/>
          <w:szCs w:val="24"/>
        </w:rPr>
      </w:pPr>
      <w:r>
        <w:rPr>
          <w:color w:val="000000"/>
          <w:sz w:val="24"/>
          <w:szCs w:val="24"/>
        </w:rPr>
        <w:t xml:space="preserve">Dette lægemiddel indeholder 114,70-120,98 mg </w:t>
      </w:r>
      <w:proofErr w:type="spellStart"/>
      <w:r>
        <w:rPr>
          <w:color w:val="000000"/>
          <w:sz w:val="24"/>
          <w:szCs w:val="24"/>
        </w:rPr>
        <w:t>lactosemonohydrat</w:t>
      </w:r>
      <w:proofErr w:type="spellEnd"/>
      <w:r>
        <w:rPr>
          <w:color w:val="000000"/>
          <w:sz w:val="24"/>
          <w:szCs w:val="24"/>
        </w:rPr>
        <w:t xml:space="preserve"> pr. tablet.</w:t>
      </w:r>
    </w:p>
    <w:p w:rsidR="00A77D12" w:rsidRDefault="00A77D12" w:rsidP="00A77D12">
      <w:pPr>
        <w:ind w:left="851"/>
        <w:rPr>
          <w:rFonts w:eastAsia="Calibri"/>
          <w:color w:val="000000"/>
          <w:sz w:val="24"/>
          <w:szCs w:val="24"/>
        </w:rPr>
      </w:pPr>
    </w:p>
    <w:p w:rsidR="00A77D12" w:rsidRDefault="00A77D12" w:rsidP="00A77D12">
      <w:pPr>
        <w:ind w:left="851"/>
        <w:rPr>
          <w:color w:val="000000"/>
          <w:sz w:val="24"/>
          <w:szCs w:val="24"/>
        </w:rPr>
      </w:pPr>
      <w:r>
        <w:rPr>
          <w:color w:val="000000"/>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D278FC" w:rsidRPr="00D278FC" w:rsidRDefault="00D278FC" w:rsidP="00D278FC">
      <w:pPr>
        <w:tabs>
          <w:tab w:val="left" w:pos="851"/>
        </w:tabs>
        <w:ind w:left="851"/>
        <w:rPr>
          <w:sz w:val="24"/>
          <w:szCs w:val="24"/>
        </w:rPr>
      </w:pPr>
      <w:r w:rsidRPr="00D278FC">
        <w:rPr>
          <w:sz w:val="24"/>
          <w:szCs w:val="24"/>
        </w:rPr>
        <w:t>Tablet</w:t>
      </w:r>
      <w:r w:rsidR="00081405">
        <w:rPr>
          <w:sz w:val="24"/>
          <w:szCs w:val="24"/>
        </w:rPr>
        <w:t>ter</w:t>
      </w:r>
    </w:p>
    <w:p w:rsidR="00D278FC" w:rsidRPr="00D278FC" w:rsidRDefault="00D278FC" w:rsidP="00D278FC">
      <w:pPr>
        <w:tabs>
          <w:tab w:val="left" w:pos="851"/>
        </w:tabs>
        <w:ind w:left="851"/>
        <w:rPr>
          <w:sz w:val="24"/>
          <w:szCs w:val="24"/>
        </w:rPr>
      </w:pPr>
    </w:p>
    <w:p w:rsidR="00D278FC" w:rsidRPr="00081405" w:rsidRDefault="00081405" w:rsidP="00D278FC">
      <w:pPr>
        <w:tabs>
          <w:tab w:val="left" w:pos="851"/>
        </w:tabs>
        <w:ind w:left="851"/>
        <w:rPr>
          <w:sz w:val="24"/>
          <w:szCs w:val="24"/>
          <w:u w:val="single"/>
        </w:rPr>
      </w:pPr>
      <w:r>
        <w:rPr>
          <w:sz w:val="24"/>
          <w:szCs w:val="24"/>
          <w:u w:val="single"/>
        </w:rPr>
        <w:t>2,5 mg</w:t>
      </w:r>
    </w:p>
    <w:p w:rsidR="00D278FC" w:rsidRPr="00D278FC" w:rsidRDefault="00D278FC" w:rsidP="00D278FC">
      <w:pPr>
        <w:tabs>
          <w:tab w:val="left" w:pos="851"/>
        </w:tabs>
        <w:ind w:left="851"/>
        <w:rPr>
          <w:sz w:val="24"/>
          <w:szCs w:val="24"/>
        </w:rPr>
      </w:pPr>
      <w:r w:rsidRPr="00D278FC">
        <w:rPr>
          <w:sz w:val="24"/>
          <w:szCs w:val="24"/>
        </w:rPr>
        <w:t xml:space="preserve">Hvide til råhvide, runde (5,0 mm i diameter), </w:t>
      </w:r>
      <w:proofErr w:type="spellStart"/>
      <w:r w:rsidRPr="00D278FC">
        <w:rPr>
          <w:sz w:val="24"/>
          <w:szCs w:val="24"/>
        </w:rPr>
        <w:t>bikonvekse</w:t>
      </w:r>
      <w:proofErr w:type="spellEnd"/>
      <w:r w:rsidRPr="00D278FC">
        <w:rPr>
          <w:sz w:val="24"/>
          <w:szCs w:val="24"/>
        </w:rPr>
        <w:t xml:space="preserve"> tabletter uden filmovertræk, præget med ”ISI” på den ene side og glatte på den anden side.</w:t>
      </w:r>
    </w:p>
    <w:p w:rsidR="00D278FC" w:rsidRPr="00D278FC" w:rsidRDefault="00D278FC" w:rsidP="00D278FC">
      <w:pPr>
        <w:tabs>
          <w:tab w:val="left" w:pos="851"/>
        </w:tabs>
        <w:ind w:left="851"/>
        <w:rPr>
          <w:sz w:val="24"/>
          <w:szCs w:val="24"/>
        </w:rPr>
      </w:pPr>
    </w:p>
    <w:p w:rsidR="00D278FC" w:rsidRPr="00081405" w:rsidRDefault="00081405" w:rsidP="00D278FC">
      <w:pPr>
        <w:tabs>
          <w:tab w:val="left" w:pos="851"/>
        </w:tabs>
        <w:ind w:left="851"/>
        <w:rPr>
          <w:sz w:val="24"/>
          <w:szCs w:val="24"/>
          <w:u w:val="single"/>
        </w:rPr>
      </w:pPr>
      <w:r w:rsidRPr="00081405">
        <w:rPr>
          <w:sz w:val="24"/>
          <w:szCs w:val="24"/>
          <w:u w:val="single"/>
        </w:rPr>
        <w:t>5 mg</w:t>
      </w:r>
    </w:p>
    <w:p w:rsidR="00D278FC" w:rsidRPr="00081405" w:rsidRDefault="00D278FC" w:rsidP="00D278FC">
      <w:pPr>
        <w:tabs>
          <w:tab w:val="left" w:pos="851"/>
        </w:tabs>
        <w:ind w:left="851"/>
        <w:rPr>
          <w:sz w:val="24"/>
          <w:szCs w:val="24"/>
        </w:rPr>
      </w:pPr>
      <w:r w:rsidRPr="00D278FC">
        <w:rPr>
          <w:sz w:val="24"/>
          <w:szCs w:val="24"/>
        </w:rPr>
        <w:t xml:space="preserve">Hvide til råhvide, trekantede (6,5 mm i diameter), </w:t>
      </w:r>
      <w:proofErr w:type="spellStart"/>
      <w:r w:rsidRPr="00D278FC">
        <w:rPr>
          <w:sz w:val="24"/>
          <w:szCs w:val="24"/>
        </w:rPr>
        <w:t>bikonvekse</w:t>
      </w:r>
      <w:proofErr w:type="spellEnd"/>
      <w:r w:rsidRPr="00D278FC">
        <w:rPr>
          <w:sz w:val="24"/>
          <w:szCs w:val="24"/>
        </w:rPr>
        <w:t xml:space="preserve"> tabletter uden filmovertræk, </w:t>
      </w:r>
      <w:r w:rsidRPr="00081405">
        <w:rPr>
          <w:sz w:val="24"/>
          <w:szCs w:val="24"/>
        </w:rPr>
        <w:t xml:space="preserve">præget med ”IS2” på den ene side og delekærv på den anden side.  </w:t>
      </w:r>
    </w:p>
    <w:p w:rsidR="00D278FC" w:rsidRPr="00081405" w:rsidRDefault="00D278FC" w:rsidP="00D278FC">
      <w:pPr>
        <w:tabs>
          <w:tab w:val="left" w:pos="851"/>
        </w:tabs>
        <w:ind w:left="851"/>
        <w:rPr>
          <w:sz w:val="24"/>
          <w:szCs w:val="24"/>
        </w:rPr>
      </w:pPr>
    </w:p>
    <w:p w:rsidR="00D278FC" w:rsidRPr="00081405" w:rsidRDefault="00081405" w:rsidP="00D278FC">
      <w:pPr>
        <w:tabs>
          <w:tab w:val="left" w:pos="851"/>
        </w:tabs>
        <w:ind w:left="851"/>
        <w:rPr>
          <w:sz w:val="24"/>
          <w:szCs w:val="24"/>
          <w:u w:val="single"/>
        </w:rPr>
      </w:pPr>
      <w:r w:rsidRPr="00081405">
        <w:rPr>
          <w:sz w:val="24"/>
          <w:szCs w:val="24"/>
          <w:u w:val="single"/>
        </w:rPr>
        <w:t>10 mg</w:t>
      </w:r>
    </w:p>
    <w:p w:rsidR="00D278FC" w:rsidRPr="00081405" w:rsidRDefault="00D278FC" w:rsidP="00D278FC">
      <w:pPr>
        <w:tabs>
          <w:tab w:val="left" w:pos="851"/>
        </w:tabs>
        <w:ind w:left="851"/>
        <w:rPr>
          <w:sz w:val="24"/>
          <w:szCs w:val="24"/>
        </w:rPr>
      </w:pPr>
      <w:r w:rsidRPr="00081405">
        <w:rPr>
          <w:sz w:val="24"/>
          <w:szCs w:val="24"/>
        </w:rPr>
        <w:t xml:space="preserve">Lyserøde, trekantede (6,5 mm i diameter), </w:t>
      </w:r>
      <w:proofErr w:type="spellStart"/>
      <w:r w:rsidRPr="00081405">
        <w:rPr>
          <w:sz w:val="24"/>
          <w:szCs w:val="24"/>
        </w:rPr>
        <w:t>bikonvekse</w:t>
      </w:r>
      <w:proofErr w:type="spellEnd"/>
      <w:r w:rsidRPr="00081405">
        <w:rPr>
          <w:sz w:val="24"/>
          <w:szCs w:val="24"/>
        </w:rPr>
        <w:t xml:space="preserve"> tabletter uden filmovertræk med meleret udseende, præget med ”IS3” på den ene side og delekærv på den anden side.</w:t>
      </w:r>
    </w:p>
    <w:p w:rsidR="00D278FC" w:rsidRPr="00081405" w:rsidRDefault="00D278FC" w:rsidP="00D278FC">
      <w:pPr>
        <w:tabs>
          <w:tab w:val="left" w:pos="851"/>
        </w:tabs>
        <w:ind w:left="851"/>
        <w:rPr>
          <w:sz w:val="24"/>
          <w:szCs w:val="24"/>
        </w:rPr>
      </w:pPr>
    </w:p>
    <w:p w:rsidR="00D278FC" w:rsidRPr="00081405" w:rsidRDefault="00081405" w:rsidP="00D278FC">
      <w:pPr>
        <w:tabs>
          <w:tab w:val="left" w:pos="851"/>
        </w:tabs>
        <w:ind w:left="851"/>
        <w:rPr>
          <w:sz w:val="24"/>
          <w:szCs w:val="24"/>
          <w:u w:val="single"/>
        </w:rPr>
      </w:pPr>
      <w:r w:rsidRPr="00081405">
        <w:rPr>
          <w:sz w:val="24"/>
          <w:szCs w:val="24"/>
          <w:u w:val="single"/>
        </w:rPr>
        <w:t>20 mg</w:t>
      </w:r>
    </w:p>
    <w:p w:rsidR="00D278FC" w:rsidRPr="00081405" w:rsidRDefault="00D278FC" w:rsidP="00D278FC">
      <w:pPr>
        <w:tabs>
          <w:tab w:val="left" w:pos="851"/>
        </w:tabs>
        <w:ind w:left="851"/>
        <w:rPr>
          <w:sz w:val="24"/>
          <w:szCs w:val="24"/>
        </w:rPr>
      </w:pPr>
      <w:r w:rsidRPr="00081405">
        <w:rPr>
          <w:sz w:val="24"/>
          <w:szCs w:val="24"/>
        </w:rPr>
        <w:t xml:space="preserve">Lyserøde, trekantede (8,80 mm i diameter), </w:t>
      </w:r>
      <w:proofErr w:type="spellStart"/>
      <w:r w:rsidRPr="00081405">
        <w:rPr>
          <w:sz w:val="24"/>
          <w:szCs w:val="24"/>
        </w:rPr>
        <w:t>bikonvekse</w:t>
      </w:r>
      <w:proofErr w:type="spellEnd"/>
      <w:r w:rsidRPr="00081405">
        <w:rPr>
          <w:sz w:val="24"/>
          <w:szCs w:val="24"/>
        </w:rPr>
        <w:t xml:space="preserve"> tabletter uden filmovertræk med meleret udseende, præget med ”IS5” på den ene side og delekærv på den anden side.</w:t>
      </w:r>
    </w:p>
    <w:p w:rsidR="00D278FC" w:rsidRPr="00D278FC" w:rsidRDefault="00D278FC" w:rsidP="00D278FC">
      <w:pPr>
        <w:tabs>
          <w:tab w:val="left" w:pos="851"/>
        </w:tabs>
        <w:ind w:left="851"/>
        <w:rPr>
          <w:sz w:val="24"/>
          <w:szCs w:val="24"/>
        </w:rPr>
      </w:pPr>
    </w:p>
    <w:p w:rsidR="00D278FC" w:rsidRPr="00D278FC" w:rsidRDefault="00D278FC" w:rsidP="00D278FC">
      <w:pPr>
        <w:tabs>
          <w:tab w:val="left" w:pos="851"/>
        </w:tabs>
        <w:ind w:left="851"/>
        <w:rPr>
          <w:sz w:val="24"/>
          <w:szCs w:val="24"/>
        </w:rPr>
      </w:pPr>
      <w:r w:rsidRPr="00D278FC">
        <w:rPr>
          <w:sz w:val="24"/>
          <w:szCs w:val="24"/>
        </w:rPr>
        <w:t>Tabletten har kun delekærv for at muliggøre deling af tabletten, så den er nemmere at synke. Tabletten kan ikke deles i to lige store doser.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CE4BB6" w:rsidRDefault="00CE4BB6" w:rsidP="00CE4BB6">
      <w:pPr>
        <w:pStyle w:val="Listeafsnit"/>
        <w:numPr>
          <w:ilvl w:val="0"/>
          <w:numId w:val="9"/>
        </w:numPr>
        <w:ind w:left="1418" w:hanging="567"/>
        <w:rPr>
          <w:color w:val="000000"/>
          <w:sz w:val="24"/>
          <w:szCs w:val="24"/>
        </w:rPr>
      </w:pPr>
      <w:r w:rsidRPr="001F068A">
        <w:rPr>
          <w:color w:val="000000"/>
          <w:sz w:val="24"/>
          <w:szCs w:val="24"/>
        </w:rPr>
        <w:t>Behandling af hypertension.</w:t>
      </w:r>
    </w:p>
    <w:p w:rsidR="00CE4BB6" w:rsidRDefault="00CE4BB6" w:rsidP="00CE4BB6">
      <w:pPr>
        <w:pStyle w:val="Listeafsnit"/>
        <w:numPr>
          <w:ilvl w:val="0"/>
          <w:numId w:val="9"/>
        </w:numPr>
        <w:ind w:left="1418" w:hanging="567"/>
        <w:rPr>
          <w:color w:val="000000"/>
          <w:sz w:val="24"/>
          <w:szCs w:val="24"/>
        </w:rPr>
      </w:pPr>
      <w:r w:rsidRPr="006C6A34">
        <w:rPr>
          <w:color w:val="000000"/>
          <w:sz w:val="24"/>
          <w:szCs w:val="24"/>
        </w:rPr>
        <w:t>Behandling af symptomatisk hjerteinsufficiens</w:t>
      </w:r>
      <w:r>
        <w:rPr>
          <w:color w:val="000000"/>
          <w:sz w:val="24"/>
          <w:szCs w:val="24"/>
        </w:rPr>
        <w:t>.</w:t>
      </w:r>
    </w:p>
    <w:p w:rsidR="00CE4BB6" w:rsidRPr="001F068A" w:rsidRDefault="00CE4BB6" w:rsidP="00CE4BB6">
      <w:pPr>
        <w:pStyle w:val="Listeafsnit"/>
        <w:numPr>
          <w:ilvl w:val="0"/>
          <w:numId w:val="9"/>
        </w:numPr>
        <w:ind w:left="1418" w:hanging="567"/>
        <w:rPr>
          <w:color w:val="000000"/>
          <w:sz w:val="24"/>
          <w:szCs w:val="24"/>
        </w:rPr>
      </w:pPr>
      <w:r w:rsidRPr="006C6A34">
        <w:rPr>
          <w:color w:val="000000"/>
          <w:sz w:val="24"/>
          <w:szCs w:val="24"/>
        </w:rPr>
        <w:t>Forebyggelse af symptomatisk hjerteinsufficiens hos patienter med asymptomatisk venstre ventrikeldysfunktion (uddrivningsfraktion ≤ 35 %) (se pkt. 5.1).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391F2B">
        <w:rPr>
          <w:b/>
          <w:sz w:val="24"/>
          <w:szCs w:val="24"/>
        </w:rPr>
        <w:t>administration</w:t>
      </w:r>
    </w:p>
    <w:p w:rsidR="00BA36D6" w:rsidRDefault="00BA36D6" w:rsidP="00BA36D6">
      <w:pPr>
        <w:ind w:left="851"/>
        <w:rPr>
          <w:color w:val="000000"/>
          <w:sz w:val="24"/>
          <w:szCs w:val="24"/>
          <w:u w:val="single"/>
        </w:rPr>
      </w:pPr>
    </w:p>
    <w:p w:rsidR="00BA36D6" w:rsidRDefault="00BA36D6" w:rsidP="00BA36D6">
      <w:pPr>
        <w:ind w:left="851"/>
        <w:rPr>
          <w:color w:val="000000"/>
          <w:sz w:val="24"/>
          <w:szCs w:val="24"/>
          <w:u w:val="single"/>
        </w:rPr>
      </w:pPr>
      <w:r>
        <w:rPr>
          <w:color w:val="000000"/>
          <w:sz w:val="24"/>
          <w:szCs w:val="24"/>
          <w:u w:val="single"/>
        </w:rPr>
        <w:t>Dosering</w:t>
      </w:r>
    </w:p>
    <w:p w:rsidR="00BA36D6" w:rsidRDefault="00BA36D6" w:rsidP="00BA36D6">
      <w:pPr>
        <w:ind w:left="851"/>
        <w:rPr>
          <w:color w:val="000000"/>
          <w:sz w:val="24"/>
          <w:szCs w:val="24"/>
        </w:rPr>
      </w:pPr>
      <w:r>
        <w:rPr>
          <w:color w:val="000000"/>
          <w:sz w:val="24"/>
          <w:szCs w:val="24"/>
        </w:rPr>
        <w:t>Dosis bør tilpasses den enkelte patient og blodtryksrespons (se pkt. 4.4).</w:t>
      </w:r>
    </w:p>
    <w:p w:rsidR="00BA36D6" w:rsidRDefault="00BA36D6" w:rsidP="00BA36D6">
      <w:pPr>
        <w:ind w:left="851"/>
        <w:rPr>
          <w:rFonts w:eastAsia="Calibri"/>
          <w:i/>
          <w:iCs/>
          <w:sz w:val="24"/>
          <w:szCs w:val="24"/>
        </w:rPr>
      </w:pPr>
    </w:p>
    <w:p w:rsidR="00BA36D6" w:rsidRDefault="00BA36D6" w:rsidP="00BA36D6">
      <w:pPr>
        <w:ind w:left="851"/>
        <w:rPr>
          <w:i/>
          <w:color w:val="000000"/>
          <w:sz w:val="24"/>
          <w:szCs w:val="24"/>
        </w:rPr>
      </w:pPr>
      <w:r>
        <w:rPr>
          <w:i/>
          <w:color w:val="000000"/>
          <w:sz w:val="24"/>
          <w:szCs w:val="24"/>
        </w:rPr>
        <w:t>Hypertension</w:t>
      </w:r>
    </w:p>
    <w:p w:rsidR="00BA36D6" w:rsidRDefault="00BA36D6" w:rsidP="00BA36D6">
      <w:pPr>
        <w:ind w:left="851"/>
        <w:rPr>
          <w:color w:val="000000"/>
          <w:sz w:val="24"/>
          <w:szCs w:val="24"/>
        </w:rPr>
      </w:pPr>
      <w:r>
        <w:rPr>
          <w:color w:val="000000"/>
          <w:sz w:val="24"/>
          <w:szCs w:val="24"/>
        </w:rPr>
        <w:t xml:space="preserve">Initialdosis er 5 mg til maksimalt 20 mg afhængigt af graden af hypertension og patientens tilstand (se nedenfor). </w:t>
      </w:r>
      <w:proofErr w:type="spellStart"/>
      <w:r>
        <w:rPr>
          <w:color w:val="000000"/>
          <w:sz w:val="24"/>
          <w:szCs w:val="24"/>
        </w:rPr>
        <w:t>Enalapril</w:t>
      </w:r>
      <w:proofErr w:type="spellEnd"/>
      <w:r>
        <w:rPr>
          <w:color w:val="000000"/>
          <w:sz w:val="24"/>
          <w:szCs w:val="24"/>
        </w:rPr>
        <w:t xml:space="preserve"> "</w:t>
      </w:r>
      <w:proofErr w:type="spellStart"/>
      <w:r>
        <w:rPr>
          <w:color w:val="000000"/>
          <w:sz w:val="24"/>
          <w:szCs w:val="24"/>
        </w:rPr>
        <w:t>Accord</w:t>
      </w:r>
      <w:proofErr w:type="spellEnd"/>
      <w:r>
        <w:rPr>
          <w:color w:val="000000"/>
          <w:sz w:val="24"/>
          <w:szCs w:val="24"/>
        </w:rPr>
        <w:t xml:space="preserve">" administreres én gang daglig. Ved mild hypertension er den anbefalede initialdosis 5 mg til 10 mg. Patienter med stærkt aktiveret </w:t>
      </w:r>
      <w:proofErr w:type="spellStart"/>
      <w:r>
        <w:rPr>
          <w:color w:val="000000"/>
          <w:sz w:val="24"/>
          <w:szCs w:val="24"/>
        </w:rPr>
        <w:t>renin-angiotensin-aldosteronsystem</w:t>
      </w:r>
      <w:proofErr w:type="spellEnd"/>
      <w:r>
        <w:rPr>
          <w:color w:val="000000"/>
          <w:sz w:val="24"/>
          <w:szCs w:val="24"/>
        </w:rPr>
        <w:t xml:space="preserve"> (fx </w:t>
      </w:r>
      <w:proofErr w:type="spellStart"/>
      <w:r>
        <w:rPr>
          <w:color w:val="000000"/>
          <w:sz w:val="24"/>
          <w:szCs w:val="24"/>
        </w:rPr>
        <w:t>renovaskulær</w:t>
      </w:r>
      <w:proofErr w:type="spellEnd"/>
      <w:r>
        <w:rPr>
          <w:color w:val="000000"/>
          <w:sz w:val="24"/>
          <w:szCs w:val="24"/>
        </w:rPr>
        <w:t xml:space="preserve"> hypertension, salt- og/eller </w:t>
      </w:r>
      <w:proofErr w:type="spellStart"/>
      <w:r>
        <w:rPr>
          <w:color w:val="000000"/>
          <w:sz w:val="24"/>
          <w:szCs w:val="24"/>
        </w:rPr>
        <w:t>volumendepletering</w:t>
      </w:r>
      <w:proofErr w:type="spellEnd"/>
      <w:r>
        <w:rPr>
          <w:color w:val="000000"/>
          <w:sz w:val="24"/>
          <w:szCs w:val="24"/>
        </w:rPr>
        <w:t>, hjerteinsufficiens eller alvorlig hypertension) kan opleve et kraftigt blodtryksfald efter initialdosis. Den anbefalede initialdosis til disse patienter er 5 mg eller mindre, og behandlingen bør initieres under lægekontrol.</w:t>
      </w:r>
    </w:p>
    <w:p w:rsidR="00BA36D6" w:rsidRDefault="00BA36D6" w:rsidP="00BA36D6">
      <w:pPr>
        <w:ind w:left="851"/>
        <w:rPr>
          <w:color w:val="000000"/>
          <w:sz w:val="24"/>
          <w:szCs w:val="24"/>
        </w:rPr>
      </w:pPr>
    </w:p>
    <w:p w:rsidR="00BA36D6" w:rsidRDefault="00BA36D6" w:rsidP="00BA36D6">
      <w:pPr>
        <w:autoSpaceDE w:val="0"/>
        <w:autoSpaceDN w:val="0"/>
        <w:adjustRightInd w:val="0"/>
        <w:ind w:left="851"/>
        <w:rPr>
          <w:color w:val="000000"/>
          <w:sz w:val="24"/>
          <w:szCs w:val="24"/>
        </w:rPr>
      </w:pPr>
      <w:r>
        <w:rPr>
          <w:color w:val="000000"/>
          <w:sz w:val="24"/>
          <w:szCs w:val="24"/>
        </w:rPr>
        <w:t xml:space="preserve">Ved initiering af </w:t>
      </w:r>
      <w:proofErr w:type="spellStart"/>
      <w:r>
        <w:rPr>
          <w:color w:val="000000"/>
          <w:sz w:val="24"/>
          <w:szCs w:val="24"/>
        </w:rPr>
        <w:t>enalaprilbehandling</w:t>
      </w:r>
      <w:proofErr w:type="spellEnd"/>
      <w:r>
        <w:rPr>
          <w:color w:val="000000"/>
          <w:sz w:val="24"/>
          <w:szCs w:val="24"/>
        </w:rPr>
        <w:t xml:space="preserve"> kan tidligere behandling med højdosis </w:t>
      </w:r>
      <w:proofErr w:type="spellStart"/>
      <w:r>
        <w:rPr>
          <w:color w:val="000000"/>
          <w:sz w:val="24"/>
          <w:szCs w:val="24"/>
        </w:rPr>
        <w:t>diuretika</w:t>
      </w:r>
      <w:proofErr w:type="spellEnd"/>
      <w:r>
        <w:rPr>
          <w:color w:val="000000"/>
          <w:sz w:val="24"/>
          <w:szCs w:val="24"/>
        </w:rPr>
        <w:t xml:space="preserve"> resultere i </w:t>
      </w:r>
      <w:proofErr w:type="spellStart"/>
      <w:r>
        <w:rPr>
          <w:color w:val="000000"/>
          <w:sz w:val="24"/>
          <w:szCs w:val="24"/>
        </w:rPr>
        <w:t>volumendepletering</w:t>
      </w:r>
      <w:proofErr w:type="spellEnd"/>
      <w:r>
        <w:rPr>
          <w:color w:val="000000"/>
          <w:sz w:val="24"/>
          <w:szCs w:val="24"/>
        </w:rPr>
        <w:t xml:space="preserve"> samt risiko for hypotension. Den anbefalede initialdosis til disse patienter er 5 mg eller mindre. Om muligt bør </w:t>
      </w:r>
      <w:proofErr w:type="spellStart"/>
      <w:r>
        <w:rPr>
          <w:color w:val="000000"/>
          <w:sz w:val="24"/>
          <w:szCs w:val="24"/>
        </w:rPr>
        <w:t>diuretikabehandlingen</w:t>
      </w:r>
      <w:proofErr w:type="spellEnd"/>
      <w:r>
        <w:rPr>
          <w:color w:val="000000"/>
          <w:sz w:val="24"/>
          <w:szCs w:val="24"/>
        </w:rPr>
        <w:t xml:space="preserve"> afsluttes 2-3 dage, før initiering af behandling med </w:t>
      </w:r>
      <w:proofErr w:type="spellStart"/>
      <w:r>
        <w:rPr>
          <w:color w:val="000000"/>
          <w:sz w:val="24"/>
          <w:szCs w:val="24"/>
        </w:rPr>
        <w:t>Enalapril</w:t>
      </w:r>
      <w:proofErr w:type="spellEnd"/>
      <w:r>
        <w:rPr>
          <w:color w:val="000000"/>
          <w:sz w:val="24"/>
          <w:szCs w:val="24"/>
        </w:rPr>
        <w:t xml:space="preserve"> "</w:t>
      </w:r>
      <w:proofErr w:type="spellStart"/>
      <w:r>
        <w:rPr>
          <w:color w:val="000000"/>
          <w:sz w:val="24"/>
          <w:szCs w:val="24"/>
        </w:rPr>
        <w:t>Accord</w:t>
      </w:r>
      <w:proofErr w:type="spellEnd"/>
      <w:r>
        <w:rPr>
          <w:color w:val="000000"/>
          <w:sz w:val="24"/>
          <w:szCs w:val="24"/>
        </w:rPr>
        <w:t>" påbegyndes. Nyrefunktion samt serumkalium bør monitoreres.</w:t>
      </w:r>
    </w:p>
    <w:p w:rsidR="00BA36D6" w:rsidRDefault="00BA36D6" w:rsidP="00BA36D6">
      <w:pPr>
        <w:autoSpaceDE w:val="0"/>
        <w:autoSpaceDN w:val="0"/>
        <w:adjustRightInd w:val="0"/>
        <w:ind w:left="851"/>
        <w:rPr>
          <w:color w:val="000000"/>
          <w:sz w:val="24"/>
          <w:szCs w:val="24"/>
        </w:rPr>
      </w:pPr>
    </w:p>
    <w:p w:rsidR="00BA36D6" w:rsidRDefault="00BA36D6" w:rsidP="00BA36D6">
      <w:pPr>
        <w:autoSpaceDE w:val="0"/>
        <w:autoSpaceDN w:val="0"/>
        <w:adjustRightInd w:val="0"/>
        <w:ind w:left="851"/>
        <w:rPr>
          <w:color w:val="000000"/>
          <w:sz w:val="24"/>
          <w:szCs w:val="24"/>
        </w:rPr>
      </w:pPr>
      <w:r>
        <w:rPr>
          <w:color w:val="000000"/>
          <w:sz w:val="24"/>
          <w:szCs w:val="24"/>
        </w:rPr>
        <w:t xml:space="preserve">Sædvanlig vedligeholdelsesdosis er 20 mg daglig. Maksimal vedligeholdelsesdosis er 40 mg </w:t>
      </w:r>
      <w:r w:rsidR="001D32C6">
        <w:rPr>
          <w:color w:val="000000"/>
          <w:sz w:val="24"/>
          <w:szCs w:val="24"/>
        </w:rPr>
        <w:t>daglig</w:t>
      </w:r>
      <w:r>
        <w:rPr>
          <w:color w:val="000000"/>
          <w:sz w:val="24"/>
          <w:szCs w:val="24"/>
        </w:rPr>
        <w:t>.</w:t>
      </w:r>
    </w:p>
    <w:p w:rsidR="00BA36D6" w:rsidRDefault="00BA36D6" w:rsidP="00BA36D6">
      <w:pPr>
        <w:autoSpaceDE w:val="0"/>
        <w:autoSpaceDN w:val="0"/>
        <w:adjustRightInd w:val="0"/>
        <w:ind w:left="851"/>
        <w:rPr>
          <w:color w:val="000000"/>
          <w:sz w:val="24"/>
          <w:szCs w:val="24"/>
        </w:rPr>
      </w:pPr>
    </w:p>
    <w:p w:rsidR="00BA36D6" w:rsidRDefault="00BA36D6" w:rsidP="00BA36D6">
      <w:pPr>
        <w:autoSpaceDE w:val="0"/>
        <w:autoSpaceDN w:val="0"/>
        <w:adjustRightInd w:val="0"/>
        <w:ind w:left="851"/>
        <w:rPr>
          <w:i/>
          <w:color w:val="000000"/>
          <w:sz w:val="24"/>
          <w:szCs w:val="24"/>
        </w:rPr>
      </w:pPr>
      <w:r>
        <w:rPr>
          <w:i/>
          <w:color w:val="000000"/>
          <w:sz w:val="24"/>
          <w:szCs w:val="24"/>
        </w:rPr>
        <w:t>Hjerteinsufficiens/asymptomatisk venstre ventrikel dysfunktion</w:t>
      </w:r>
    </w:p>
    <w:p w:rsidR="00BA36D6" w:rsidRDefault="00BA36D6" w:rsidP="00BA36D6">
      <w:pPr>
        <w:autoSpaceDE w:val="0"/>
        <w:autoSpaceDN w:val="0"/>
        <w:adjustRightInd w:val="0"/>
        <w:ind w:left="851"/>
        <w:rPr>
          <w:color w:val="000000"/>
          <w:sz w:val="24"/>
          <w:szCs w:val="24"/>
        </w:rPr>
      </w:pPr>
      <w:r>
        <w:rPr>
          <w:color w:val="000000"/>
          <w:sz w:val="24"/>
          <w:szCs w:val="24"/>
        </w:rPr>
        <w:t xml:space="preserve">I behandlingen af symptomatisk hjerteinsufficiens administreres </w:t>
      </w:r>
      <w:proofErr w:type="spellStart"/>
      <w:r>
        <w:rPr>
          <w:color w:val="000000"/>
          <w:sz w:val="24"/>
          <w:szCs w:val="24"/>
        </w:rPr>
        <w:t>Enalapril</w:t>
      </w:r>
      <w:proofErr w:type="spellEnd"/>
      <w:r>
        <w:rPr>
          <w:color w:val="000000"/>
          <w:sz w:val="24"/>
          <w:szCs w:val="24"/>
        </w:rPr>
        <w:t xml:space="preserve"> "</w:t>
      </w:r>
      <w:proofErr w:type="spellStart"/>
      <w:r>
        <w:rPr>
          <w:color w:val="000000"/>
          <w:sz w:val="24"/>
          <w:szCs w:val="24"/>
        </w:rPr>
        <w:t>Accord</w:t>
      </w:r>
      <w:proofErr w:type="spellEnd"/>
      <w:r>
        <w:rPr>
          <w:color w:val="000000"/>
          <w:sz w:val="24"/>
          <w:szCs w:val="24"/>
        </w:rPr>
        <w:t xml:space="preserve">" i kombination med </w:t>
      </w:r>
      <w:proofErr w:type="spellStart"/>
      <w:r>
        <w:rPr>
          <w:color w:val="000000"/>
          <w:sz w:val="24"/>
          <w:szCs w:val="24"/>
        </w:rPr>
        <w:t>diuretika</w:t>
      </w:r>
      <w:proofErr w:type="spellEnd"/>
      <w:r>
        <w:rPr>
          <w:color w:val="000000"/>
          <w:sz w:val="24"/>
          <w:szCs w:val="24"/>
        </w:rPr>
        <w:t xml:space="preserve">, og hvor det skønnes hensigtsmæssigt, i kombination med </w:t>
      </w:r>
      <w:r>
        <w:rPr>
          <w:color w:val="000000"/>
          <w:sz w:val="24"/>
          <w:szCs w:val="24"/>
        </w:rPr>
        <w:lastRenderedPageBreak/>
        <w:t>digitalis eller β-</w:t>
      </w:r>
      <w:proofErr w:type="spellStart"/>
      <w:r>
        <w:rPr>
          <w:color w:val="000000"/>
          <w:sz w:val="24"/>
          <w:szCs w:val="24"/>
        </w:rPr>
        <w:t>blokkere</w:t>
      </w:r>
      <w:proofErr w:type="spellEnd"/>
      <w:r>
        <w:rPr>
          <w:color w:val="000000"/>
          <w:sz w:val="24"/>
          <w:szCs w:val="24"/>
        </w:rPr>
        <w:t xml:space="preserve">. Initialdosis af </w:t>
      </w:r>
      <w:proofErr w:type="spellStart"/>
      <w:r>
        <w:rPr>
          <w:color w:val="000000"/>
          <w:sz w:val="24"/>
          <w:szCs w:val="24"/>
        </w:rPr>
        <w:t>Enalapril</w:t>
      </w:r>
      <w:proofErr w:type="spellEnd"/>
      <w:r>
        <w:rPr>
          <w:color w:val="000000"/>
          <w:sz w:val="24"/>
          <w:szCs w:val="24"/>
        </w:rPr>
        <w:t xml:space="preserve"> "</w:t>
      </w:r>
      <w:proofErr w:type="spellStart"/>
      <w:r>
        <w:rPr>
          <w:color w:val="000000"/>
          <w:sz w:val="24"/>
          <w:szCs w:val="24"/>
        </w:rPr>
        <w:t>Accord</w:t>
      </w:r>
      <w:proofErr w:type="spellEnd"/>
      <w:r>
        <w:rPr>
          <w:color w:val="000000"/>
          <w:sz w:val="24"/>
          <w:szCs w:val="24"/>
        </w:rPr>
        <w:t xml:space="preserve">" til behandling af patienter med symptomatisk hjerteinsufficiens eller asymptomatisk venstre ventrikel dysfunktion er 2,5 mg, og dosis bør administreres under omhyggelig lægekontrol med henblik på at kunne afgøre den initiale virkning på blodtrykket. Hvis der ikke er symptomatisk hypotension, eller hvis symptomatisk hypotension er effektivt kontrolleret efter initiering af </w:t>
      </w:r>
      <w:proofErr w:type="spellStart"/>
      <w:r>
        <w:rPr>
          <w:color w:val="000000"/>
          <w:sz w:val="24"/>
          <w:szCs w:val="24"/>
        </w:rPr>
        <w:t>Enalapril</w:t>
      </w:r>
      <w:proofErr w:type="spellEnd"/>
      <w:r>
        <w:rPr>
          <w:color w:val="000000"/>
          <w:sz w:val="24"/>
          <w:szCs w:val="24"/>
        </w:rPr>
        <w:t xml:space="preserve"> "</w:t>
      </w:r>
      <w:proofErr w:type="spellStart"/>
      <w:r>
        <w:rPr>
          <w:color w:val="000000"/>
          <w:sz w:val="24"/>
          <w:szCs w:val="24"/>
        </w:rPr>
        <w:t>Accord</w:t>
      </w:r>
      <w:proofErr w:type="spellEnd"/>
      <w:r>
        <w:rPr>
          <w:color w:val="000000"/>
          <w:sz w:val="24"/>
          <w:szCs w:val="24"/>
        </w:rPr>
        <w:t xml:space="preserve">" til behandling af hjerteinsufficiens, bør dosis gradvist øges til sædvanlig, daglig vedligeholdelsesdosis på 20 mg, enten som enkeltdosis eller fordelt på to daglige doser, alt efter patientens tolerance. Dosistitrering anbefales at foregå over en periode på 2-4 uger. Den maksimale dosis er 40 mg </w:t>
      </w:r>
      <w:r w:rsidR="001D32C6">
        <w:rPr>
          <w:color w:val="000000"/>
          <w:sz w:val="24"/>
          <w:szCs w:val="24"/>
        </w:rPr>
        <w:t>daglig</w:t>
      </w:r>
      <w:r>
        <w:rPr>
          <w:color w:val="000000"/>
          <w:sz w:val="24"/>
          <w:szCs w:val="24"/>
        </w:rPr>
        <w:t xml:space="preserve"> fordelt på to doser.</w:t>
      </w:r>
    </w:p>
    <w:p w:rsidR="00BA36D6" w:rsidRDefault="00BA36D6" w:rsidP="00BA36D6">
      <w:pPr>
        <w:autoSpaceDE w:val="0"/>
        <w:autoSpaceDN w:val="0"/>
        <w:adjustRightInd w:val="0"/>
        <w:ind w:left="851"/>
        <w:rPr>
          <w:color w:val="000000"/>
          <w:sz w:val="24"/>
          <w:szCs w:val="24"/>
        </w:rPr>
      </w:pPr>
    </w:p>
    <w:p w:rsidR="00BA36D6" w:rsidRPr="001D32C6" w:rsidRDefault="00BA36D6" w:rsidP="00BA36D6">
      <w:pPr>
        <w:autoSpaceDE w:val="0"/>
        <w:autoSpaceDN w:val="0"/>
        <w:adjustRightInd w:val="0"/>
        <w:ind w:left="851"/>
        <w:rPr>
          <w:color w:val="000000"/>
          <w:sz w:val="24"/>
          <w:szCs w:val="24"/>
          <w:u w:val="single"/>
        </w:rPr>
      </w:pPr>
      <w:r w:rsidRPr="001D32C6">
        <w:rPr>
          <w:bCs/>
          <w:color w:val="000000"/>
          <w:sz w:val="24"/>
          <w:szCs w:val="24"/>
          <w:u w:val="single"/>
        </w:rPr>
        <w:t>Tabel 1:</w:t>
      </w:r>
      <w:r w:rsidRPr="001D32C6">
        <w:rPr>
          <w:color w:val="000000"/>
          <w:sz w:val="24"/>
          <w:szCs w:val="24"/>
          <w:u w:val="single"/>
        </w:rPr>
        <w:t xml:space="preserve"> Foreslået dosistitrering af </w:t>
      </w:r>
      <w:proofErr w:type="spellStart"/>
      <w:r w:rsidRPr="001D32C6">
        <w:rPr>
          <w:color w:val="000000"/>
          <w:sz w:val="24"/>
          <w:szCs w:val="24"/>
          <w:u w:val="single"/>
        </w:rPr>
        <w:t>Enalapril</w:t>
      </w:r>
      <w:proofErr w:type="spellEnd"/>
      <w:r w:rsidRPr="001D32C6">
        <w:rPr>
          <w:color w:val="000000"/>
          <w:sz w:val="24"/>
          <w:szCs w:val="24"/>
          <w:u w:val="single"/>
        </w:rPr>
        <w:t xml:space="preserve"> "</w:t>
      </w:r>
      <w:proofErr w:type="spellStart"/>
      <w:r w:rsidRPr="001D32C6">
        <w:rPr>
          <w:color w:val="000000"/>
          <w:sz w:val="24"/>
          <w:szCs w:val="24"/>
          <w:u w:val="single"/>
        </w:rPr>
        <w:t>Accord</w:t>
      </w:r>
      <w:proofErr w:type="spellEnd"/>
      <w:r w:rsidRPr="001D32C6">
        <w:rPr>
          <w:color w:val="000000"/>
          <w:sz w:val="24"/>
          <w:szCs w:val="24"/>
          <w:u w:val="single"/>
        </w:rPr>
        <w:t>" til patienter med hjerteinsufficiens/asymptomatisk venstre ventrikel dysfunktion.</w:t>
      </w:r>
    </w:p>
    <w:p w:rsidR="001D32C6" w:rsidRDefault="001D32C6" w:rsidP="00BA36D6">
      <w:pPr>
        <w:autoSpaceDE w:val="0"/>
        <w:autoSpaceDN w:val="0"/>
        <w:adjustRightInd w:val="0"/>
        <w:ind w:left="851"/>
        <w:rPr>
          <w:color w:val="000000"/>
          <w:sz w:val="24"/>
          <w:szCs w:val="24"/>
        </w:rPr>
      </w:pPr>
    </w:p>
    <w:tbl>
      <w:tblPr>
        <w:tblW w:w="884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6959"/>
      </w:tblGrid>
      <w:tr w:rsidR="00BA36D6" w:rsidRPr="001D32C6" w:rsidTr="001D32C6">
        <w:tc>
          <w:tcPr>
            <w:tcW w:w="1890" w:type="dxa"/>
            <w:tcBorders>
              <w:top w:val="single" w:sz="4" w:space="0" w:color="auto"/>
              <w:left w:val="single" w:sz="4" w:space="0" w:color="auto"/>
              <w:bottom w:val="single" w:sz="4" w:space="0" w:color="auto"/>
              <w:right w:val="single" w:sz="4" w:space="0" w:color="auto"/>
            </w:tcBorders>
            <w:hideMark/>
          </w:tcPr>
          <w:p w:rsidR="00BA36D6" w:rsidRPr="001D32C6" w:rsidRDefault="00BA36D6" w:rsidP="001D32C6">
            <w:pPr>
              <w:autoSpaceDE w:val="0"/>
              <w:autoSpaceDN w:val="0"/>
              <w:adjustRightInd w:val="0"/>
              <w:ind w:left="33"/>
              <w:rPr>
                <w:b/>
                <w:bCs/>
                <w:color w:val="000000"/>
                <w:sz w:val="24"/>
                <w:szCs w:val="24"/>
              </w:rPr>
            </w:pPr>
            <w:r w:rsidRPr="001D32C6">
              <w:rPr>
                <w:b/>
                <w:bCs/>
                <w:color w:val="000000"/>
                <w:sz w:val="24"/>
                <w:szCs w:val="24"/>
              </w:rPr>
              <w:t xml:space="preserve">Uge </w:t>
            </w:r>
          </w:p>
        </w:tc>
        <w:tc>
          <w:tcPr>
            <w:tcW w:w="6959" w:type="dxa"/>
            <w:tcBorders>
              <w:top w:val="single" w:sz="4" w:space="0" w:color="auto"/>
              <w:left w:val="single" w:sz="4" w:space="0" w:color="auto"/>
              <w:bottom w:val="single" w:sz="4" w:space="0" w:color="auto"/>
              <w:right w:val="single" w:sz="4" w:space="0" w:color="auto"/>
            </w:tcBorders>
            <w:hideMark/>
          </w:tcPr>
          <w:p w:rsidR="00BA36D6" w:rsidRPr="001D32C6" w:rsidRDefault="00BA36D6" w:rsidP="001D32C6">
            <w:pPr>
              <w:autoSpaceDE w:val="0"/>
              <w:autoSpaceDN w:val="0"/>
              <w:adjustRightInd w:val="0"/>
              <w:ind w:left="127"/>
              <w:rPr>
                <w:b/>
                <w:bCs/>
                <w:color w:val="000000"/>
                <w:sz w:val="24"/>
                <w:szCs w:val="24"/>
              </w:rPr>
            </w:pPr>
            <w:r w:rsidRPr="001D32C6">
              <w:rPr>
                <w:b/>
                <w:bCs/>
                <w:color w:val="000000"/>
                <w:sz w:val="24"/>
                <w:szCs w:val="24"/>
              </w:rPr>
              <w:t>Dosis mg/dag</w:t>
            </w:r>
          </w:p>
        </w:tc>
      </w:tr>
      <w:tr w:rsidR="00BA36D6" w:rsidTr="001D32C6">
        <w:tc>
          <w:tcPr>
            <w:tcW w:w="1890" w:type="dxa"/>
            <w:tcBorders>
              <w:top w:val="single" w:sz="4" w:space="0" w:color="auto"/>
              <w:left w:val="single" w:sz="4" w:space="0" w:color="auto"/>
              <w:bottom w:val="single" w:sz="4" w:space="0" w:color="auto"/>
              <w:right w:val="single" w:sz="4" w:space="0" w:color="auto"/>
            </w:tcBorders>
            <w:hideMark/>
          </w:tcPr>
          <w:p w:rsidR="00BA36D6" w:rsidRDefault="00BA36D6" w:rsidP="001D32C6">
            <w:pPr>
              <w:autoSpaceDE w:val="0"/>
              <w:autoSpaceDN w:val="0"/>
              <w:adjustRightInd w:val="0"/>
              <w:ind w:left="33"/>
              <w:rPr>
                <w:color w:val="000000"/>
                <w:sz w:val="24"/>
                <w:szCs w:val="24"/>
              </w:rPr>
            </w:pPr>
            <w:r>
              <w:rPr>
                <w:color w:val="000000"/>
                <w:sz w:val="24"/>
                <w:szCs w:val="24"/>
              </w:rPr>
              <w:t>Uge 1</w:t>
            </w:r>
          </w:p>
        </w:tc>
        <w:tc>
          <w:tcPr>
            <w:tcW w:w="6959" w:type="dxa"/>
            <w:tcBorders>
              <w:top w:val="single" w:sz="4" w:space="0" w:color="auto"/>
              <w:left w:val="single" w:sz="4" w:space="0" w:color="auto"/>
              <w:bottom w:val="single" w:sz="4" w:space="0" w:color="auto"/>
              <w:right w:val="single" w:sz="4" w:space="0" w:color="auto"/>
            </w:tcBorders>
            <w:hideMark/>
          </w:tcPr>
          <w:p w:rsidR="00BA36D6" w:rsidRDefault="00BA36D6" w:rsidP="001D32C6">
            <w:pPr>
              <w:autoSpaceDE w:val="0"/>
              <w:autoSpaceDN w:val="0"/>
              <w:adjustRightInd w:val="0"/>
              <w:ind w:left="127"/>
              <w:rPr>
                <w:bCs/>
                <w:color w:val="000000"/>
                <w:sz w:val="24"/>
                <w:szCs w:val="24"/>
              </w:rPr>
            </w:pPr>
            <w:r>
              <w:rPr>
                <w:bCs/>
                <w:color w:val="000000"/>
                <w:sz w:val="24"/>
                <w:szCs w:val="24"/>
              </w:rPr>
              <w:t>Dag 1-3: 2,5 mg/dag* som enkeltdosis</w:t>
            </w:r>
          </w:p>
          <w:p w:rsidR="00BA36D6" w:rsidRDefault="00BA36D6" w:rsidP="001D32C6">
            <w:pPr>
              <w:autoSpaceDE w:val="0"/>
              <w:autoSpaceDN w:val="0"/>
              <w:adjustRightInd w:val="0"/>
              <w:ind w:left="127"/>
              <w:rPr>
                <w:color w:val="000000"/>
                <w:sz w:val="24"/>
                <w:szCs w:val="24"/>
              </w:rPr>
            </w:pPr>
            <w:r>
              <w:rPr>
                <w:bCs/>
                <w:color w:val="000000"/>
                <w:sz w:val="24"/>
                <w:szCs w:val="24"/>
              </w:rPr>
              <w:t>Dag 4-7: 5 mg/</w:t>
            </w:r>
            <w:r>
              <w:rPr>
                <w:color w:val="000000"/>
                <w:sz w:val="24"/>
                <w:szCs w:val="24"/>
              </w:rPr>
              <w:t>dag fordelt på to doser</w:t>
            </w:r>
          </w:p>
        </w:tc>
      </w:tr>
      <w:tr w:rsidR="00BA36D6" w:rsidTr="001D32C6">
        <w:tc>
          <w:tcPr>
            <w:tcW w:w="1890" w:type="dxa"/>
            <w:tcBorders>
              <w:top w:val="single" w:sz="4" w:space="0" w:color="auto"/>
              <w:left w:val="single" w:sz="4" w:space="0" w:color="auto"/>
              <w:bottom w:val="single" w:sz="4" w:space="0" w:color="auto"/>
              <w:right w:val="single" w:sz="4" w:space="0" w:color="auto"/>
            </w:tcBorders>
            <w:hideMark/>
          </w:tcPr>
          <w:p w:rsidR="00BA36D6" w:rsidRDefault="00BA36D6" w:rsidP="001D32C6">
            <w:pPr>
              <w:autoSpaceDE w:val="0"/>
              <w:autoSpaceDN w:val="0"/>
              <w:adjustRightInd w:val="0"/>
              <w:ind w:left="33"/>
              <w:rPr>
                <w:color w:val="000000"/>
                <w:sz w:val="24"/>
                <w:szCs w:val="24"/>
              </w:rPr>
            </w:pPr>
            <w:r>
              <w:rPr>
                <w:color w:val="000000"/>
                <w:sz w:val="24"/>
                <w:szCs w:val="24"/>
              </w:rPr>
              <w:t>Uge 2</w:t>
            </w:r>
          </w:p>
        </w:tc>
        <w:tc>
          <w:tcPr>
            <w:tcW w:w="6959" w:type="dxa"/>
            <w:tcBorders>
              <w:top w:val="single" w:sz="4" w:space="0" w:color="auto"/>
              <w:left w:val="single" w:sz="4" w:space="0" w:color="auto"/>
              <w:bottom w:val="single" w:sz="4" w:space="0" w:color="auto"/>
              <w:right w:val="single" w:sz="4" w:space="0" w:color="auto"/>
            </w:tcBorders>
            <w:hideMark/>
          </w:tcPr>
          <w:p w:rsidR="00BA36D6" w:rsidRDefault="00BA36D6" w:rsidP="001D32C6">
            <w:pPr>
              <w:autoSpaceDE w:val="0"/>
              <w:autoSpaceDN w:val="0"/>
              <w:adjustRightInd w:val="0"/>
              <w:ind w:left="127"/>
              <w:rPr>
                <w:color w:val="000000"/>
                <w:sz w:val="24"/>
                <w:szCs w:val="24"/>
              </w:rPr>
            </w:pPr>
            <w:r>
              <w:rPr>
                <w:color w:val="000000"/>
                <w:sz w:val="24"/>
                <w:szCs w:val="24"/>
              </w:rPr>
              <w:t>10 mg/dag som enkeltdosis eller fordelt på to doser</w:t>
            </w:r>
          </w:p>
        </w:tc>
      </w:tr>
      <w:tr w:rsidR="00BA36D6" w:rsidTr="001D32C6">
        <w:tc>
          <w:tcPr>
            <w:tcW w:w="1890" w:type="dxa"/>
            <w:tcBorders>
              <w:top w:val="single" w:sz="4" w:space="0" w:color="auto"/>
              <w:left w:val="single" w:sz="4" w:space="0" w:color="auto"/>
              <w:bottom w:val="single" w:sz="4" w:space="0" w:color="auto"/>
              <w:right w:val="single" w:sz="4" w:space="0" w:color="auto"/>
            </w:tcBorders>
            <w:hideMark/>
          </w:tcPr>
          <w:p w:rsidR="00BA36D6" w:rsidRDefault="00BA36D6" w:rsidP="001D32C6">
            <w:pPr>
              <w:autoSpaceDE w:val="0"/>
              <w:autoSpaceDN w:val="0"/>
              <w:adjustRightInd w:val="0"/>
              <w:ind w:left="33"/>
              <w:rPr>
                <w:color w:val="000000"/>
                <w:sz w:val="24"/>
                <w:szCs w:val="24"/>
              </w:rPr>
            </w:pPr>
            <w:r>
              <w:rPr>
                <w:color w:val="000000"/>
                <w:sz w:val="24"/>
                <w:szCs w:val="24"/>
              </w:rPr>
              <w:t>Uge 3 og 4</w:t>
            </w:r>
          </w:p>
        </w:tc>
        <w:tc>
          <w:tcPr>
            <w:tcW w:w="6959" w:type="dxa"/>
            <w:tcBorders>
              <w:top w:val="single" w:sz="4" w:space="0" w:color="auto"/>
              <w:left w:val="single" w:sz="4" w:space="0" w:color="auto"/>
              <w:bottom w:val="single" w:sz="4" w:space="0" w:color="auto"/>
              <w:right w:val="single" w:sz="4" w:space="0" w:color="auto"/>
            </w:tcBorders>
            <w:hideMark/>
          </w:tcPr>
          <w:p w:rsidR="00BA36D6" w:rsidRDefault="00BA36D6" w:rsidP="001D32C6">
            <w:pPr>
              <w:autoSpaceDE w:val="0"/>
              <w:autoSpaceDN w:val="0"/>
              <w:adjustRightInd w:val="0"/>
              <w:ind w:left="127"/>
              <w:rPr>
                <w:color w:val="000000"/>
                <w:sz w:val="24"/>
                <w:szCs w:val="24"/>
              </w:rPr>
            </w:pPr>
            <w:r>
              <w:rPr>
                <w:color w:val="000000"/>
                <w:sz w:val="24"/>
                <w:szCs w:val="24"/>
              </w:rPr>
              <w:t>20 mg/dag som enkeltdosis eller fordelt på to doser</w:t>
            </w:r>
          </w:p>
        </w:tc>
      </w:tr>
    </w:tbl>
    <w:p w:rsidR="00BA36D6" w:rsidRDefault="00BA36D6" w:rsidP="00BA36D6">
      <w:pPr>
        <w:ind w:left="851"/>
        <w:rPr>
          <w:color w:val="000000"/>
          <w:sz w:val="24"/>
          <w:szCs w:val="24"/>
        </w:rPr>
      </w:pPr>
      <w:r>
        <w:rPr>
          <w:color w:val="000000"/>
          <w:sz w:val="24"/>
          <w:szCs w:val="24"/>
        </w:rPr>
        <w:t xml:space="preserve">* Der bør tages særlige forholdsregler hos patienter med nyreinsufficiens samt hos patienter i </w:t>
      </w:r>
      <w:proofErr w:type="spellStart"/>
      <w:r>
        <w:rPr>
          <w:color w:val="000000"/>
          <w:sz w:val="24"/>
          <w:szCs w:val="24"/>
        </w:rPr>
        <w:t>diuretikabehandling</w:t>
      </w:r>
      <w:proofErr w:type="spellEnd"/>
      <w:r>
        <w:rPr>
          <w:color w:val="000000"/>
          <w:sz w:val="24"/>
          <w:szCs w:val="24"/>
        </w:rPr>
        <w:t xml:space="preserve"> (se pkt. 4.4).</w:t>
      </w:r>
    </w:p>
    <w:p w:rsidR="00BA36D6" w:rsidRDefault="00BA36D6" w:rsidP="00BA36D6">
      <w:pPr>
        <w:ind w:left="851"/>
        <w:rPr>
          <w:color w:val="000000"/>
          <w:sz w:val="24"/>
          <w:szCs w:val="24"/>
        </w:rPr>
      </w:pPr>
    </w:p>
    <w:p w:rsidR="00BA36D6" w:rsidRDefault="00BA36D6" w:rsidP="00BA36D6">
      <w:pPr>
        <w:autoSpaceDE w:val="0"/>
        <w:autoSpaceDN w:val="0"/>
        <w:adjustRightInd w:val="0"/>
        <w:ind w:left="851"/>
        <w:rPr>
          <w:color w:val="000000"/>
          <w:sz w:val="24"/>
          <w:szCs w:val="24"/>
        </w:rPr>
      </w:pPr>
      <w:r>
        <w:rPr>
          <w:color w:val="000000"/>
          <w:sz w:val="24"/>
          <w:szCs w:val="24"/>
        </w:rPr>
        <w:t xml:space="preserve">Blodtryk og nyrefunktion bør monitoreres omhyggeligt både før og efter behandlingsstart med </w:t>
      </w:r>
      <w:proofErr w:type="spellStart"/>
      <w:r>
        <w:rPr>
          <w:color w:val="000000"/>
          <w:sz w:val="24"/>
          <w:szCs w:val="24"/>
        </w:rPr>
        <w:t>Enalapril</w:t>
      </w:r>
      <w:proofErr w:type="spellEnd"/>
      <w:r>
        <w:rPr>
          <w:color w:val="000000"/>
          <w:sz w:val="24"/>
          <w:szCs w:val="24"/>
        </w:rPr>
        <w:t xml:space="preserve"> "</w:t>
      </w:r>
      <w:proofErr w:type="spellStart"/>
      <w:r>
        <w:rPr>
          <w:color w:val="000000"/>
          <w:sz w:val="24"/>
          <w:szCs w:val="24"/>
        </w:rPr>
        <w:t>Accord</w:t>
      </w:r>
      <w:proofErr w:type="spellEnd"/>
      <w:r>
        <w:rPr>
          <w:color w:val="000000"/>
          <w:sz w:val="24"/>
          <w:szCs w:val="24"/>
        </w:rPr>
        <w:t xml:space="preserve">" (se pkt.4.4), da hypotension og (sjældnere) deraf følgende nyreinsufficiens er indberettet. Hos patienter behandlet med </w:t>
      </w:r>
      <w:proofErr w:type="spellStart"/>
      <w:r>
        <w:rPr>
          <w:color w:val="000000"/>
          <w:sz w:val="24"/>
          <w:szCs w:val="24"/>
        </w:rPr>
        <w:t>diuretika</w:t>
      </w:r>
      <w:proofErr w:type="spellEnd"/>
      <w:r>
        <w:rPr>
          <w:color w:val="000000"/>
          <w:sz w:val="24"/>
          <w:szCs w:val="24"/>
        </w:rPr>
        <w:t xml:space="preserve"> bør dosis om muligt nedsættes før start af behandling med </w:t>
      </w:r>
      <w:proofErr w:type="spellStart"/>
      <w:r>
        <w:rPr>
          <w:color w:val="000000"/>
          <w:sz w:val="24"/>
          <w:szCs w:val="24"/>
        </w:rPr>
        <w:t>Enalapril</w:t>
      </w:r>
      <w:proofErr w:type="spellEnd"/>
      <w:r>
        <w:rPr>
          <w:color w:val="000000"/>
          <w:sz w:val="24"/>
          <w:szCs w:val="24"/>
        </w:rPr>
        <w:t xml:space="preserve"> "</w:t>
      </w:r>
      <w:proofErr w:type="spellStart"/>
      <w:r>
        <w:rPr>
          <w:color w:val="000000"/>
          <w:sz w:val="24"/>
          <w:szCs w:val="24"/>
        </w:rPr>
        <w:t>Accord</w:t>
      </w:r>
      <w:proofErr w:type="spellEnd"/>
      <w:r>
        <w:rPr>
          <w:color w:val="000000"/>
          <w:sz w:val="24"/>
          <w:szCs w:val="24"/>
        </w:rPr>
        <w:t xml:space="preserve">". Forekomst af hypotension efter initialdosis af </w:t>
      </w:r>
      <w:proofErr w:type="spellStart"/>
      <w:r>
        <w:rPr>
          <w:color w:val="000000"/>
          <w:sz w:val="24"/>
          <w:szCs w:val="24"/>
        </w:rPr>
        <w:t>Enalapril</w:t>
      </w:r>
      <w:proofErr w:type="spellEnd"/>
      <w:r>
        <w:rPr>
          <w:color w:val="000000"/>
          <w:sz w:val="24"/>
          <w:szCs w:val="24"/>
        </w:rPr>
        <w:t xml:space="preserve"> "</w:t>
      </w:r>
      <w:proofErr w:type="spellStart"/>
      <w:r>
        <w:rPr>
          <w:color w:val="000000"/>
          <w:sz w:val="24"/>
          <w:szCs w:val="24"/>
        </w:rPr>
        <w:t>Accord</w:t>
      </w:r>
      <w:proofErr w:type="spellEnd"/>
      <w:r>
        <w:rPr>
          <w:color w:val="000000"/>
          <w:sz w:val="24"/>
          <w:szCs w:val="24"/>
        </w:rPr>
        <w:t xml:space="preserve">" er ikke ensbetydende med, at hypotension vil genopstå under kronisk behandling med </w:t>
      </w:r>
      <w:proofErr w:type="spellStart"/>
      <w:r>
        <w:rPr>
          <w:color w:val="000000"/>
          <w:sz w:val="24"/>
          <w:szCs w:val="24"/>
        </w:rPr>
        <w:t>Enalapril</w:t>
      </w:r>
      <w:proofErr w:type="spellEnd"/>
      <w:r>
        <w:rPr>
          <w:color w:val="000000"/>
          <w:sz w:val="24"/>
          <w:szCs w:val="24"/>
        </w:rPr>
        <w:t xml:space="preserve"> "</w:t>
      </w:r>
      <w:proofErr w:type="spellStart"/>
      <w:r>
        <w:rPr>
          <w:color w:val="000000"/>
          <w:sz w:val="24"/>
          <w:szCs w:val="24"/>
        </w:rPr>
        <w:t>Accord</w:t>
      </w:r>
      <w:proofErr w:type="spellEnd"/>
      <w:r>
        <w:rPr>
          <w:color w:val="000000"/>
          <w:sz w:val="24"/>
          <w:szCs w:val="24"/>
        </w:rPr>
        <w:t>" og udelukker ikke fortsat brug af lægemidlet. Serumkaliumniveauet og nyrefunktion bør også monitoreres.</w:t>
      </w:r>
    </w:p>
    <w:p w:rsidR="00BA36D6" w:rsidRDefault="00BA36D6" w:rsidP="00BA36D6">
      <w:pPr>
        <w:autoSpaceDE w:val="0"/>
        <w:autoSpaceDN w:val="0"/>
        <w:adjustRightInd w:val="0"/>
        <w:ind w:left="851"/>
        <w:rPr>
          <w:color w:val="000000"/>
          <w:sz w:val="24"/>
          <w:szCs w:val="24"/>
        </w:rPr>
      </w:pPr>
    </w:p>
    <w:p w:rsidR="00BA36D6" w:rsidRDefault="00BA36D6" w:rsidP="00BA36D6">
      <w:pPr>
        <w:autoSpaceDE w:val="0"/>
        <w:autoSpaceDN w:val="0"/>
        <w:adjustRightInd w:val="0"/>
        <w:ind w:left="851"/>
        <w:rPr>
          <w:color w:val="000000"/>
          <w:sz w:val="24"/>
          <w:szCs w:val="24"/>
        </w:rPr>
      </w:pPr>
      <w:r>
        <w:rPr>
          <w:color w:val="000000"/>
          <w:sz w:val="24"/>
          <w:szCs w:val="24"/>
        </w:rPr>
        <w:t>Dosis ved nyreinsufficiens:</w:t>
      </w:r>
    </w:p>
    <w:p w:rsidR="00BA36D6" w:rsidRDefault="00BA36D6" w:rsidP="00BA36D6">
      <w:pPr>
        <w:autoSpaceDE w:val="0"/>
        <w:autoSpaceDN w:val="0"/>
        <w:adjustRightInd w:val="0"/>
        <w:ind w:left="851"/>
        <w:rPr>
          <w:color w:val="000000"/>
          <w:sz w:val="24"/>
          <w:szCs w:val="24"/>
        </w:rPr>
      </w:pPr>
      <w:r>
        <w:rPr>
          <w:color w:val="000000"/>
          <w:sz w:val="24"/>
          <w:szCs w:val="24"/>
        </w:rPr>
        <w:t xml:space="preserve">Intervaller mellem </w:t>
      </w:r>
      <w:proofErr w:type="spellStart"/>
      <w:r>
        <w:rPr>
          <w:color w:val="000000"/>
          <w:sz w:val="24"/>
          <w:szCs w:val="24"/>
        </w:rPr>
        <w:t>enalapriladministration</w:t>
      </w:r>
      <w:proofErr w:type="spellEnd"/>
      <w:r>
        <w:rPr>
          <w:color w:val="000000"/>
          <w:sz w:val="24"/>
          <w:szCs w:val="24"/>
        </w:rPr>
        <w:t xml:space="preserve"> bør generelt forlænges og/eller dosis reduceres.</w:t>
      </w:r>
    </w:p>
    <w:p w:rsidR="00BA36D6" w:rsidRDefault="00BA36D6" w:rsidP="00BA36D6">
      <w:pPr>
        <w:autoSpaceDE w:val="0"/>
        <w:autoSpaceDN w:val="0"/>
        <w:adjustRightInd w:val="0"/>
        <w:ind w:left="851"/>
        <w:rPr>
          <w:color w:val="000000"/>
          <w:sz w:val="24"/>
          <w:szCs w:val="24"/>
        </w:rPr>
      </w:pPr>
    </w:p>
    <w:p w:rsidR="00BA36D6" w:rsidRPr="001D32C6" w:rsidRDefault="00BA36D6" w:rsidP="00BA36D6">
      <w:pPr>
        <w:ind w:left="851"/>
        <w:rPr>
          <w:color w:val="000000"/>
          <w:sz w:val="24"/>
          <w:szCs w:val="24"/>
          <w:u w:val="single"/>
        </w:rPr>
      </w:pPr>
      <w:r w:rsidRPr="001D32C6">
        <w:rPr>
          <w:color w:val="000000"/>
          <w:sz w:val="24"/>
          <w:szCs w:val="24"/>
          <w:u w:val="single"/>
        </w:rPr>
        <w:t>Tabel 2: Dosis ved nyreinsufficiens</w:t>
      </w:r>
    </w:p>
    <w:p w:rsidR="001D32C6" w:rsidRDefault="001D32C6" w:rsidP="00BA36D6">
      <w:pPr>
        <w:ind w:left="851"/>
        <w:rPr>
          <w:color w:val="000000"/>
          <w:sz w:val="24"/>
          <w:szCs w:val="24"/>
        </w:rPr>
      </w:pPr>
    </w:p>
    <w:tbl>
      <w:tblPr>
        <w:tblW w:w="884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0"/>
        <w:gridCol w:w="4479"/>
      </w:tblGrid>
      <w:tr w:rsidR="00BA36D6" w:rsidRPr="001D32C6" w:rsidTr="001D32C6">
        <w:tc>
          <w:tcPr>
            <w:tcW w:w="4370" w:type="dxa"/>
            <w:tcBorders>
              <w:top w:val="single" w:sz="4" w:space="0" w:color="auto"/>
              <w:left w:val="single" w:sz="4" w:space="0" w:color="auto"/>
              <w:bottom w:val="single" w:sz="4" w:space="0" w:color="auto"/>
              <w:right w:val="single" w:sz="4" w:space="0" w:color="auto"/>
            </w:tcBorders>
            <w:hideMark/>
          </w:tcPr>
          <w:p w:rsidR="00BA36D6" w:rsidRPr="001D32C6" w:rsidRDefault="00BA36D6" w:rsidP="001D32C6">
            <w:pPr>
              <w:ind w:left="33"/>
              <w:rPr>
                <w:b/>
                <w:bCs/>
                <w:color w:val="000000"/>
                <w:sz w:val="24"/>
                <w:szCs w:val="24"/>
              </w:rPr>
            </w:pPr>
            <w:proofErr w:type="spellStart"/>
            <w:r w:rsidRPr="001D32C6">
              <w:rPr>
                <w:b/>
                <w:bCs/>
                <w:color w:val="000000"/>
                <w:sz w:val="24"/>
                <w:szCs w:val="24"/>
              </w:rPr>
              <w:t>Kreatininclearance</w:t>
            </w:r>
            <w:proofErr w:type="spellEnd"/>
            <w:r w:rsidRPr="001D32C6">
              <w:rPr>
                <w:b/>
                <w:bCs/>
                <w:color w:val="000000"/>
                <w:sz w:val="24"/>
                <w:szCs w:val="24"/>
              </w:rPr>
              <w:t xml:space="preserve"> (</w:t>
            </w:r>
            <w:proofErr w:type="spellStart"/>
            <w:r w:rsidRPr="001D32C6">
              <w:rPr>
                <w:b/>
                <w:bCs/>
                <w:color w:val="000000"/>
                <w:sz w:val="24"/>
                <w:szCs w:val="24"/>
              </w:rPr>
              <w:t>CrCL</w:t>
            </w:r>
            <w:proofErr w:type="spellEnd"/>
            <w:r w:rsidRPr="001D32C6">
              <w:rPr>
                <w:b/>
                <w:bCs/>
                <w:color w:val="000000"/>
                <w:sz w:val="24"/>
                <w:szCs w:val="24"/>
              </w:rPr>
              <w:t>) ml/min</w:t>
            </w:r>
          </w:p>
        </w:tc>
        <w:tc>
          <w:tcPr>
            <w:tcW w:w="4479" w:type="dxa"/>
            <w:tcBorders>
              <w:top w:val="single" w:sz="4" w:space="0" w:color="auto"/>
              <w:left w:val="single" w:sz="4" w:space="0" w:color="auto"/>
              <w:bottom w:val="single" w:sz="4" w:space="0" w:color="auto"/>
              <w:right w:val="single" w:sz="4" w:space="0" w:color="auto"/>
            </w:tcBorders>
            <w:hideMark/>
          </w:tcPr>
          <w:p w:rsidR="00BA36D6" w:rsidRPr="001D32C6" w:rsidRDefault="00BA36D6" w:rsidP="001D32C6">
            <w:pPr>
              <w:ind w:left="57"/>
              <w:rPr>
                <w:b/>
                <w:bCs/>
                <w:color w:val="000000"/>
                <w:sz w:val="24"/>
                <w:szCs w:val="24"/>
              </w:rPr>
            </w:pPr>
            <w:r w:rsidRPr="001D32C6">
              <w:rPr>
                <w:b/>
                <w:bCs/>
                <w:color w:val="000000"/>
                <w:sz w:val="24"/>
                <w:szCs w:val="24"/>
              </w:rPr>
              <w:t>Initialdosis mg/dag</w:t>
            </w:r>
          </w:p>
        </w:tc>
      </w:tr>
      <w:tr w:rsidR="00BA36D6" w:rsidTr="001D32C6">
        <w:tc>
          <w:tcPr>
            <w:tcW w:w="4370" w:type="dxa"/>
            <w:tcBorders>
              <w:top w:val="single" w:sz="4" w:space="0" w:color="auto"/>
              <w:left w:val="single" w:sz="4" w:space="0" w:color="auto"/>
              <w:bottom w:val="single" w:sz="4" w:space="0" w:color="auto"/>
              <w:right w:val="single" w:sz="4" w:space="0" w:color="auto"/>
            </w:tcBorders>
            <w:hideMark/>
          </w:tcPr>
          <w:p w:rsidR="00BA36D6" w:rsidRDefault="00BA36D6" w:rsidP="001D32C6">
            <w:pPr>
              <w:autoSpaceDE w:val="0"/>
              <w:autoSpaceDN w:val="0"/>
              <w:adjustRightInd w:val="0"/>
              <w:ind w:left="33"/>
              <w:rPr>
                <w:color w:val="000000"/>
                <w:sz w:val="24"/>
                <w:szCs w:val="24"/>
              </w:rPr>
            </w:pPr>
            <w:r>
              <w:rPr>
                <w:color w:val="000000"/>
                <w:sz w:val="24"/>
                <w:szCs w:val="24"/>
              </w:rPr>
              <w:t xml:space="preserve">30 &lt; </w:t>
            </w:r>
            <w:proofErr w:type="spellStart"/>
            <w:r>
              <w:rPr>
                <w:color w:val="000000"/>
                <w:sz w:val="24"/>
                <w:szCs w:val="24"/>
              </w:rPr>
              <w:t>CrCL</w:t>
            </w:r>
            <w:proofErr w:type="spellEnd"/>
            <w:r>
              <w:rPr>
                <w:color w:val="000000"/>
                <w:sz w:val="24"/>
                <w:szCs w:val="24"/>
              </w:rPr>
              <w:t xml:space="preserve"> &lt; 80 ml/min.</w:t>
            </w:r>
          </w:p>
        </w:tc>
        <w:tc>
          <w:tcPr>
            <w:tcW w:w="4479" w:type="dxa"/>
            <w:tcBorders>
              <w:top w:val="single" w:sz="4" w:space="0" w:color="auto"/>
              <w:left w:val="single" w:sz="4" w:space="0" w:color="auto"/>
              <w:bottom w:val="single" w:sz="4" w:space="0" w:color="auto"/>
              <w:right w:val="single" w:sz="4" w:space="0" w:color="auto"/>
            </w:tcBorders>
            <w:hideMark/>
          </w:tcPr>
          <w:p w:rsidR="00BA36D6" w:rsidRDefault="00BA36D6" w:rsidP="001D32C6">
            <w:pPr>
              <w:autoSpaceDE w:val="0"/>
              <w:autoSpaceDN w:val="0"/>
              <w:adjustRightInd w:val="0"/>
              <w:ind w:left="57"/>
              <w:rPr>
                <w:color w:val="000000"/>
                <w:sz w:val="24"/>
                <w:szCs w:val="24"/>
              </w:rPr>
            </w:pPr>
            <w:r>
              <w:rPr>
                <w:color w:val="000000"/>
                <w:sz w:val="24"/>
                <w:szCs w:val="24"/>
              </w:rPr>
              <w:t>5-10 mg</w:t>
            </w:r>
          </w:p>
        </w:tc>
      </w:tr>
      <w:tr w:rsidR="00BA36D6" w:rsidTr="001D32C6">
        <w:tc>
          <w:tcPr>
            <w:tcW w:w="4370" w:type="dxa"/>
            <w:tcBorders>
              <w:top w:val="single" w:sz="4" w:space="0" w:color="auto"/>
              <w:left w:val="single" w:sz="4" w:space="0" w:color="auto"/>
              <w:bottom w:val="single" w:sz="4" w:space="0" w:color="auto"/>
              <w:right w:val="single" w:sz="4" w:space="0" w:color="auto"/>
            </w:tcBorders>
            <w:hideMark/>
          </w:tcPr>
          <w:p w:rsidR="00BA36D6" w:rsidRDefault="00BA36D6" w:rsidP="001D32C6">
            <w:pPr>
              <w:autoSpaceDE w:val="0"/>
              <w:autoSpaceDN w:val="0"/>
              <w:adjustRightInd w:val="0"/>
              <w:ind w:left="33"/>
              <w:rPr>
                <w:color w:val="000000"/>
                <w:sz w:val="24"/>
                <w:szCs w:val="24"/>
              </w:rPr>
            </w:pPr>
            <w:r>
              <w:rPr>
                <w:color w:val="000000"/>
                <w:sz w:val="24"/>
                <w:szCs w:val="24"/>
              </w:rPr>
              <w:t xml:space="preserve">10 &lt; </w:t>
            </w:r>
            <w:proofErr w:type="spellStart"/>
            <w:r>
              <w:rPr>
                <w:color w:val="000000"/>
                <w:sz w:val="24"/>
                <w:szCs w:val="24"/>
              </w:rPr>
              <w:t>CrCL</w:t>
            </w:r>
            <w:proofErr w:type="spellEnd"/>
            <w:r>
              <w:rPr>
                <w:color w:val="000000"/>
                <w:sz w:val="24"/>
                <w:szCs w:val="24"/>
              </w:rPr>
              <w:t xml:space="preserve"> ≤ 30 ml/min.</w:t>
            </w:r>
          </w:p>
        </w:tc>
        <w:tc>
          <w:tcPr>
            <w:tcW w:w="4479" w:type="dxa"/>
            <w:tcBorders>
              <w:top w:val="single" w:sz="4" w:space="0" w:color="auto"/>
              <w:left w:val="single" w:sz="4" w:space="0" w:color="auto"/>
              <w:bottom w:val="single" w:sz="4" w:space="0" w:color="auto"/>
              <w:right w:val="single" w:sz="4" w:space="0" w:color="auto"/>
            </w:tcBorders>
            <w:hideMark/>
          </w:tcPr>
          <w:p w:rsidR="00BA36D6" w:rsidRDefault="00BA36D6" w:rsidP="001D32C6">
            <w:pPr>
              <w:autoSpaceDE w:val="0"/>
              <w:autoSpaceDN w:val="0"/>
              <w:adjustRightInd w:val="0"/>
              <w:ind w:left="57"/>
              <w:rPr>
                <w:color w:val="000000"/>
                <w:sz w:val="24"/>
                <w:szCs w:val="24"/>
              </w:rPr>
            </w:pPr>
            <w:r>
              <w:rPr>
                <w:color w:val="000000"/>
                <w:sz w:val="24"/>
                <w:szCs w:val="24"/>
              </w:rPr>
              <w:t>2,5 mg</w:t>
            </w:r>
          </w:p>
        </w:tc>
      </w:tr>
      <w:tr w:rsidR="00BA36D6" w:rsidTr="001D32C6">
        <w:tc>
          <w:tcPr>
            <w:tcW w:w="4370" w:type="dxa"/>
            <w:tcBorders>
              <w:top w:val="single" w:sz="4" w:space="0" w:color="auto"/>
              <w:left w:val="single" w:sz="4" w:space="0" w:color="auto"/>
              <w:bottom w:val="single" w:sz="4" w:space="0" w:color="auto"/>
              <w:right w:val="single" w:sz="4" w:space="0" w:color="auto"/>
            </w:tcBorders>
            <w:hideMark/>
          </w:tcPr>
          <w:p w:rsidR="00BA36D6" w:rsidRDefault="00BA36D6" w:rsidP="001D32C6">
            <w:pPr>
              <w:autoSpaceDE w:val="0"/>
              <w:autoSpaceDN w:val="0"/>
              <w:adjustRightInd w:val="0"/>
              <w:ind w:left="33"/>
              <w:rPr>
                <w:color w:val="000000"/>
                <w:sz w:val="24"/>
                <w:szCs w:val="24"/>
              </w:rPr>
            </w:pPr>
            <w:proofErr w:type="spellStart"/>
            <w:r>
              <w:rPr>
                <w:color w:val="000000"/>
                <w:sz w:val="24"/>
                <w:szCs w:val="24"/>
              </w:rPr>
              <w:t>CrCL</w:t>
            </w:r>
            <w:proofErr w:type="spellEnd"/>
            <w:r>
              <w:rPr>
                <w:color w:val="000000"/>
                <w:sz w:val="24"/>
                <w:szCs w:val="24"/>
              </w:rPr>
              <w:t xml:space="preserve"> ≤ 10 ml/min.</w:t>
            </w:r>
          </w:p>
        </w:tc>
        <w:tc>
          <w:tcPr>
            <w:tcW w:w="4479" w:type="dxa"/>
            <w:tcBorders>
              <w:top w:val="single" w:sz="4" w:space="0" w:color="auto"/>
              <w:left w:val="single" w:sz="4" w:space="0" w:color="auto"/>
              <w:bottom w:val="single" w:sz="4" w:space="0" w:color="auto"/>
              <w:right w:val="single" w:sz="4" w:space="0" w:color="auto"/>
            </w:tcBorders>
            <w:hideMark/>
          </w:tcPr>
          <w:p w:rsidR="00BA36D6" w:rsidRDefault="00BA36D6" w:rsidP="001D32C6">
            <w:pPr>
              <w:autoSpaceDE w:val="0"/>
              <w:autoSpaceDN w:val="0"/>
              <w:adjustRightInd w:val="0"/>
              <w:ind w:left="57"/>
              <w:rPr>
                <w:color w:val="000000"/>
                <w:sz w:val="24"/>
                <w:szCs w:val="24"/>
              </w:rPr>
            </w:pPr>
            <w:r>
              <w:rPr>
                <w:color w:val="000000"/>
                <w:sz w:val="24"/>
                <w:szCs w:val="24"/>
              </w:rPr>
              <w:t>2,5 mg på dage med dialyse*</w:t>
            </w:r>
          </w:p>
        </w:tc>
      </w:tr>
    </w:tbl>
    <w:p w:rsidR="00BA36D6" w:rsidRDefault="00BA36D6" w:rsidP="00BA36D6">
      <w:pPr>
        <w:autoSpaceDE w:val="0"/>
        <w:autoSpaceDN w:val="0"/>
        <w:adjustRightInd w:val="0"/>
        <w:ind w:left="851"/>
        <w:rPr>
          <w:color w:val="000000"/>
          <w:sz w:val="24"/>
          <w:szCs w:val="24"/>
        </w:rPr>
      </w:pPr>
      <w:r>
        <w:rPr>
          <w:color w:val="000000"/>
          <w:sz w:val="24"/>
          <w:szCs w:val="24"/>
        </w:rPr>
        <w:t xml:space="preserve">* Se pkt. 4.4. </w:t>
      </w:r>
      <w:proofErr w:type="spellStart"/>
      <w:r>
        <w:rPr>
          <w:color w:val="000000"/>
          <w:sz w:val="24"/>
          <w:szCs w:val="24"/>
        </w:rPr>
        <w:t>Enalaprilat</w:t>
      </w:r>
      <w:proofErr w:type="spellEnd"/>
      <w:r>
        <w:rPr>
          <w:color w:val="000000"/>
          <w:sz w:val="24"/>
          <w:szCs w:val="24"/>
        </w:rPr>
        <w:t xml:space="preserve"> er dialysebart. På dage hvor patienten ikke er i dialyse, bør dosis afpasses blodtryksrespons.</w:t>
      </w:r>
    </w:p>
    <w:p w:rsidR="00BA36D6" w:rsidRDefault="00BA36D6" w:rsidP="00BA36D6">
      <w:pPr>
        <w:ind w:left="851"/>
        <w:rPr>
          <w:i/>
          <w:color w:val="000000"/>
          <w:sz w:val="24"/>
          <w:szCs w:val="24"/>
        </w:rPr>
      </w:pPr>
    </w:p>
    <w:p w:rsidR="00BA36D6" w:rsidRDefault="00BA36D6" w:rsidP="00BA36D6">
      <w:pPr>
        <w:autoSpaceDE w:val="0"/>
        <w:autoSpaceDN w:val="0"/>
        <w:adjustRightInd w:val="0"/>
        <w:ind w:left="851"/>
        <w:rPr>
          <w:i/>
          <w:color w:val="000000"/>
          <w:sz w:val="24"/>
          <w:szCs w:val="24"/>
        </w:rPr>
      </w:pPr>
      <w:r>
        <w:rPr>
          <w:i/>
          <w:color w:val="000000"/>
          <w:sz w:val="24"/>
          <w:szCs w:val="24"/>
        </w:rPr>
        <w:t>Ældre</w:t>
      </w:r>
    </w:p>
    <w:p w:rsidR="00BA36D6" w:rsidRDefault="00BA36D6" w:rsidP="00BA36D6">
      <w:pPr>
        <w:ind w:left="851"/>
        <w:rPr>
          <w:color w:val="000000"/>
          <w:sz w:val="24"/>
          <w:szCs w:val="24"/>
        </w:rPr>
      </w:pPr>
      <w:r>
        <w:rPr>
          <w:color w:val="000000"/>
          <w:sz w:val="24"/>
          <w:szCs w:val="24"/>
        </w:rPr>
        <w:t>Dosis bør afstemmes i forhold til den ældre patients nyrefunktion (se pkt. 4.4).</w:t>
      </w:r>
    </w:p>
    <w:p w:rsidR="00BA36D6" w:rsidRDefault="00BA36D6" w:rsidP="00BA36D6">
      <w:pPr>
        <w:ind w:left="851"/>
        <w:rPr>
          <w:color w:val="000000"/>
          <w:sz w:val="24"/>
          <w:szCs w:val="24"/>
          <w:u w:val="single"/>
        </w:rPr>
      </w:pPr>
    </w:p>
    <w:p w:rsidR="00BA36D6" w:rsidRDefault="00BA36D6" w:rsidP="00BA36D6">
      <w:pPr>
        <w:ind w:left="851"/>
        <w:rPr>
          <w:i/>
          <w:color w:val="000000"/>
          <w:sz w:val="24"/>
          <w:szCs w:val="24"/>
        </w:rPr>
      </w:pPr>
      <w:r>
        <w:rPr>
          <w:i/>
          <w:color w:val="000000"/>
          <w:sz w:val="24"/>
          <w:szCs w:val="24"/>
        </w:rPr>
        <w:t>Pædiatrisk population</w:t>
      </w:r>
    </w:p>
    <w:p w:rsidR="00BA36D6" w:rsidRDefault="00BA36D6" w:rsidP="00BA36D6">
      <w:pPr>
        <w:ind w:left="851"/>
        <w:rPr>
          <w:color w:val="000000"/>
          <w:sz w:val="24"/>
          <w:szCs w:val="24"/>
        </w:rPr>
      </w:pPr>
      <w:r>
        <w:rPr>
          <w:color w:val="000000"/>
          <w:sz w:val="24"/>
          <w:szCs w:val="24"/>
        </w:rPr>
        <w:t xml:space="preserve">Der er begrænsede erfaringer fra kliniske undersøgelser med brug af </w:t>
      </w:r>
      <w:proofErr w:type="spellStart"/>
      <w:r>
        <w:rPr>
          <w:color w:val="000000"/>
          <w:sz w:val="24"/>
          <w:szCs w:val="24"/>
        </w:rPr>
        <w:t>enalapril</w:t>
      </w:r>
      <w:proofErr w:type="spellEnd"/>
      <w:r>
        <w:rPr>
          <w:color w:val="000000"/>
          <w:sz w:val="24"/>
          <w:szCs w:val="24"/>
        </w:rPr>
        <w:t xml:space="preserve"> til </w:t>
      </w:r>
      <w:proofErr w:type="spellStart"/>
      <w:r>
        <w:rPr>
          <w:color w:val="000000"/>
          <w:sz w:val="24"/>
          <w:szCs w:val="24"/>
        </w:rPr>
        <w:t>hypertensive</w:t>
      </w:r>
      <w:proofErr w:type="spellEnd"/>
      <w:r>
        <w:rPr>
          <w:color w:val="000000"/>
          <w:sz w:val="24"/>
          <w:szCs w:val="24"/>
        </w:rPr>
        <w:t>, pædiatriske patienter (se pkt. 4.4, 5.1 og 5.2).</w:t>
      </w:r>
    </w:p>
    <w:p w:rsidR="00BA36D6" w:rsidRDefault="00BA36D6" w:rsidP="00BA36D6">
      <w:pPr>
        <w:autoSpaceDE w:val="0"/>
        <w:autoSpaceDN w:val="0"/>
        <w:adjustRightInd w:val="0"/>
        <w:ind w:left="851"/>
        <w:rPr>
          <w:color w:val="000000"/>
          <w:sz w:val="24"/>
          <w:szCs w:val="24"/>
        </w:rPr>
      </w:pPr>
    </w:p>
    <w:p w:rsidR="00CE4BB6" w:rsidRDefault="00CE4BB6" w:rsidP="00BA36D6">
      <w:pPr>
        <w:autoSpaceDE w:val="0"/>
        <w:autoSpaceDN w:val="0"/>
        <w:adjustRightInd w:val="0"/>
        <w:ind w:left="851"/>
        <w:rPr>
          <w:color w:val="000000"/>
          <w:sz w:val="24"/>
          <w:szCs w:val="24"/>
        </w:rPr>
      </w:pPr>
    </w:p>
    <w:p w:rsidR="00CE4BB6" w:rsidRDefault="00CE4BB6" w:rsidP="00BA36D6">
      <w:pPr>
        <w:autoSpaceDE w:val="0"/>
        <w:autoSpaceDN w:val="0"/>
        <w:adjustRightInd w:val="0"/>
        <w:ind w:left="851"/>
        <w:rPr>
          <w:color w:val="000000"/>
          <w:sz w:val="24"/>
          <w:szCs w:val="24"/>
        </w:rPr>
      </w:pPr>
    </w:p>
    <w:p w:rsidR="00CE4BB6" w:rsidRDefault="00CE4BB6" w:rsidP="00BA36D6">
      <w:pPr>
        <w:autoSpaceDE w:val="0"/>
        <w:autoSpaceDN w:val="0"/>
        <w:adjustRightInd w:val="0"/>
        <w:ind w:left="851"/>
        <w:rPr>
          <w:color w:val="000000"/>
          <w:sz w:val="24"/>
          <w:szCs w:val="24"/>
        </w:rPr>
      </w:pPr>
    </w:p>
    <w:p w:rsidR="00CE4BB6" w:rsidRPr="00CE4BB6" w:rsidRDefault="00CE4BB6" w:rsidP="00CE4BB6">
      <w:pPr>
        <w:autoSpaceDE w:val="0"/>
        <w:autoSpaceDN w:val="0"/>
        <w:adjustRightInd w:val="0"/>
        <w:ind w:left="851"/>
        <w:rPr>
          <w:i/>
          <w:color w:val="000000"/>
          <w:sz w:val="24"/>
          <w:szCs w:val="24"/>
        </w:rPr>
      </w:pPr>
      <w:r>
        <w:rPr>
          <w:i/>
          <w:color w:val="000000"/>
          <w:sz w:val="24"/>
          <w:szCs w:val="24"/>
        </w:rPr>
        <w:lastRenderedPageBreak/>
        <w:t>Anvendelse</w:t>
      </w:r>
      <w:r w:rsidRPr="001F068A">
        <w:rPr>
          <w:i/>
          <w:color w:val="000000"/>
          <w:sz w:val="24"/>
          <w:szCs w:val="24"/>
        </w:rPr>
        <w:t xml:space="preserve"> til pædiatriske patienter</w:t>
      </w:r>
    </w:p>
    <w:p w:rsidR="00BA36D6" w:rsidRDefault="00BA36D6" w:rsidP="00BA36D6">
      <w:pPr>
        <w:autoSpaceDE w:val="0"/>
        <w:autoSpaceDN w:val="0"/>
        <w:adjustRightInd w:val="0"/>
        <w:ind w:left="851"/>
        <w:rPr>
          <w:color w:val="000000"/>
          <w:sz w:val="24"/>
          <w:szCs w:val="24"/>
        </w:rPr>
      </w:pPr>
      <w:r>
        <w:rPr>
          <w:color w:val="000000"/>
          <w:sz w:val="24"/>
          <w:szCs w:val="24"/>
        </w:rPr>
        <w:t xml:space="preserve">Til patienter, der kan synke tabletter, bør dosis tilpasses individuelt i forhold til patientprofil og blodtryksrespons. </w:t>
      </w:r>
    </w:p>
    <w:p w:rsidR="00BA36D6" w:rsidRDefault="00BA36D6" w:rsidP="00BA36D6">
      <w:pPr>
        <w:autoSpaceDE w:val="0"/>
        <w:autoSpaceDN w:val="0"/>
        <w:adjustRightInd w:val="0"/>
        <w:ind w:left="851"/>
        <w:rPr>
          <w:color w:val="000000"/>
          <w:sz w:val="24"/>
          <w:szCs w:val="24"/>
        </w:rPr>
      </w:pPr>
      <w:r>
        <w:rPr>
          <w:color w:val="000000"/>
          <w:sz w:val="24"/>
          <w:szCs w:val="24"/>
        </w:rPr>
        <w:t xml:space="preserve">Anbefalet initialdosis er 2,5 mg til patienter, der vejer 20 til &lt;50 kg og 5 mg til patienter, der vejer ≥50 kg. </w:t>
      </w:r>
      <w:proofErr w:type="spellStart"/>
      <w:r>
        <w:rPr>
          <w:color w:val="000000"/>
          <w:sz w:val="24"/>
          <w:szCs w:val="24"/>
        </w:rPr>
        <w:t>Enalapril</w:t>
      </w:r>
      <w:proofErr w:type="spellEnd"/>
      <w:r>
        <w:rPr>
          <w:color w:val="000000"/>
          <w:sz w:val="24"/>
          <w:szCs w:val="24"/>
        </w:rPr>
        <w:t xml:space="preserve"> "</w:t>
      </w:r>
      <w:proofErr w:type="spellStart"/>
      <w:r>
        <w:rPr>
          <w:color w:val="000000"/>
          <w:sz w:val="24"/>
          <w:szCs w:val="24"/>
        </w:rPr>
        <w:t>Accord</w:t>
      </w:r>
      <w:proofErr w:type="spellEnd"/>
      <w:r>
        <w:rPr>
          <w:color w:val="000000"/>
          <w:sz w:val="24"/>
          <w:szCs w:val="24"/>
        </w:rPr>
        <w:t xml:space="preserve">" administreres én gang </w:t>
      </w:r>
      <w:r w:rsidR="001D32C6">
        <w:rPr>
          <w:color w:val="000000"/>
          <w:sz w:val="24"/>
          <w:szCs w:val="24"/>
        </w:rPr>
        <w:t>daglig</w:t>
      </w:r>
      <w:r>
        <w:rPr>
          <w:color w:val="000000"/>
          <w:sz w:val="24"/>
          <w:szCs w:val="24"/>
        </w:rPr>
        <w:t xml:space="preserve">. Dosis bør justeres under hensyntagen til den enkelte patients behov, dog maksimalt 20 mg </w:t>
      </w:r>
      <w:r w:rsidR="001D32C6">
        <w:rPr>
          <w:color w:val="000000"/>
          <w:sz w:val="24"/>
          <w:szCs w:val="24"/>
        </w:rPr>
        <w:t>daglig</w:t>
      </w:r>
      <w:r>
        <w:rPr>
          <w:color w:val="000000"/>
          <w:sz w:val="24"/>
          <w:szCs w:val="24"/>
        </w:rPr>
        <w:t xml:space="preserve"> til patienter, der vejer 20 til &lt;50 kg og 40 mg til patienter, der vejer ≥50 kg (se pkt. 4.4).</w:t>
      </w:r>
    </w:p>
    <w:p w:rsidR="00BA36D6" w:rsidRDefault="00BA36D6" w:rsidP="00BA36D6">
      <w:pPr>
        <w:autoSpaceDE w:val="0"/>
        <w:autoSpaceDN w:val="0"/>
        <w:adjustRightInd w:val="0"/>
        <w:ind w:left="851"/>
        <w:rPr>
          <w:color w:val="000000"/>
          <w:sz w:val="24"/>
          <w:szCs w:val="24"/>
        </w:rPr>
      </w:pPr>
    </w:p>
    <w:p w:rsidR="00BA36D6" w:rsidRDefault="00BA36D6" w:rsidP="00BA36D6">
      <w:pPr>
        <w:autoSpaceDE w:val="0"/>
        <w:autoSpaceDN w:val="0"/>
        <w:adjustRightInd w:val="0"/>
        <w:ind w:left="851"/>
        <w:rPr>
          <w:color w:val="000000"/>
          <w:sz w:val="24"/>
          <w:szCs w:val="24"/>
        </w:rPr>
      </w:pPr>
      <w:proofErr w:type="spellStart"/>
      <w:r>
        <w:rPr>
          <w:color w:val="000000"/>
          <w:sz w:val="24"/>
          <w:szCs w:val="24"/>
        </w:rPr>
        <w:t>Enalapril</w:t>
      </w:r>
      <w:proofErr w:type="spellEnd"/>
      <w:r>
        <w:rPr>
          <w:color w:val="000000"/>
          <w:sz w:val="24"/>
          <w:szCs w:val="24"/>
        </w:rPr>
        <w:t xml:space="preserve"> "</w:t>
      </w:r>
      <w:proofErr w:type="spellStart"/>
      <w:r>
        <w:rPr>
          <w:color w:val="000000"/>
          <w:sz w:val="24"/>
          <w:szCs w:val="24"/>
        </w:rPr>
        <w:t>Accord</w:t>
      </w:r>
      <w:proofErr w:type="spellEnd"/>
      <w:r>
        <w:rPr>
          <w:color w:val="000000"/>
          <w:sz w:val="24"/>
          <w:szCs w:val="24"/>
        </w:rPr>
        <w:t xml:space="preserve">" anbefales ikke til nyfødte eller til pædiatriske patienter med </w:t>
      </w:r>
      <w:proofErr w:type="spellStart"/>
      <w:r>
        <w:rPr>
          <w:color w:val="000000"/>
          <w:sz w:val="24"/>
          <w:szCs w:val="24"/>
        </w:rPr>
        <w:t>glomerulær</w:t>
      </w:r>
      <w:proofErr w:type="spellEnd"/>
      <w:r>
        <w:rPr>
          <w:color w:val="000000"/>
          <w:sz w:val="24"/>
          <w:szCs w:val="24"/>
        </w:rPr>
        <w:t xml:space="preserve"> filtreringshastighed &lt;30 ml/min/1,73 m², da der ikke foreligger data.</w:t>
      </w:r>
    </w:p>
    <w:p w:rsidR="00BA36D6" w:rsidRDefault="00BA36D6" w:rsidP="00BA36D6">
      <w:pPr>
        <w:autoSpaceDE w:val="0"/>
        <w:autoSpaceDN w:val="0"/>
        <w:adjustRightInd w:val="0"/>
        <w:ind w:left="851"/>
        <w:rPr>
          <w:color w:val="000000"/>
          <w:sz w:val="24"/>
          <w:szCs w:val="24"/>
        </w:rPr>
      </w:pPr>
    </w:p>
    <w:p w:rsidR="00BA36D6" w:rsidRDefault="00BA36D6" w:rsidP="00BA36D6">
      <w:pPr>
        <w:autoSpaceDE w:val="0"/>
        <w:autoSpaceDN w:val="0"/>
        <w:adjustRightInd w:val="0"/>
        <w:ind w:left="851"/>
        <w:rPr>
          <w:color w:val="000000"/>
          <w:sz w:val="24"/>
          <w:szCs w:val="24"/>
          <w:u w:val="single"/>
        </w:rPr>
      </w:pPr>
      <w:r>
        <w:rPr>
          <w:color w:val="000000"/>
          <w:sz w:val="24"/>
          <w:szCs w:val="24"/>
          <w:u w:val="single"/>
        </w:rPr>
        <w:t>Administration</w:t>
      </w:r>
    </w:p>
    <w:p w:rsidR="00BA36D6" w:rsidRDefault="00BA36D6" w:rsidP="00BA36D6">
      <w:pPr>
        <w:autoSpaceDE w:val="0"/>
        <w:autoSpaceDN w:val="0"/>
        <w:adjustRightInd w:val="0"/>
        <w:ind w:left="851"/>
        <w:rPr>
          <w:color w:val="000000"/>
          <w:sz w:val="24"/>
          <w:szCs w:val="24"/>
        </w:rPr>
      </w:pPr>
      <w:r>
        <w:rPr>
          <w:color w:val="000000"/>
          <w:sz w:val="24"/>
          <w:szCs w:val="24"/>
        </w:rPr>
        <w:t>Oral anvendelse.</w:t>
      </w:r>
    </w:p>
    <w:p w:rsidR="00BA36D6" w:rsidRDefault="00BA36D6" w:rsidP="00BA36D6">
      <w:pPr>
        <w:autoSpaceDE w:val="0"/>
        <w:autoSpaceDN w:val="0"/>
        <w:adjustRightInd w:val="0"/>
        <w:ind w:left="851"/>
        <w:rPr>
          <w:color w:val="000000"/>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CE4BB6" w:rsidRPr="001F068A" w:rsidRDefault="00CE4BB6" w:rsidP="00CE4BB6">
      <w:pPr>
        <w:pStyle w:val="Listeafsnit"/>
        <w:numPr>
          <w:ilvl w:val="0"/>
          <w:numId w:val="10"/>
        </w:numPr>
        <w:ind w:left="1418" w:hanging="567"/>
        <w:rPr>
          <w:sz w:val="24"/>
          <w:szCs w:val="24"/>
        </w:rPr>
      </w:pPr>
      <w:r w:rsidRPr="001F068A">
        <w:rPr>
          <w:sz w:val="24"/>
          <w:szCs w:val="24"/>
        </w:rPr>
        <w:t>Overfølsomhed over for det aktive stof, andre ACE-</w:t>
      </w:r>
      <w:proofErr w:type="spellStart"/>
      <w:r w:rsidRPr="001F068A">
        <w:rPr>
          <w:sz w:val="24"/>
          <w:szCs w:val="24"/>
        </w:rPr>
        <w:t>hæmmere</w:t>
      </w:r>
      <w:proofErr w:type="spellEnd"/>
      <w:r w:rsidRPr="001F068A">
        <w:rPr>
          <w:sz w:val="24"/>
          <w:szCs w:val="24"/>
        </w:rPr>
        <w:t xml:space="preserve"> eller over for et eller flere af hjælpestofferne anført i pkt. 6.1.</w:t>
      </w:r>
    </w:p>
    <w:p w:rsidR="00CE4BB6" w:rsidRPr="001F068A" w:rsidRDefault="00CE4BB6" w:rsidP="00CE4BB6">
      <w:pPr>
        <w:pStyle w:val="Listeafsnit"/>
        <w:numPr>
          <w:ilvl w:val="0"/>
          <w:numId w:val="10"/>
        </w:numPr>
        <w:ind w:left="1418" w:hanging="567"/>
        <w:rPr>
          <w:sz w:val="24"/>
          <w:szCs w:val="24"/>
        </w:rPr>
      </w:pPr>
      <w:proofErr w:type="spellStart"/>
      <w:r w:rsidRPr="001F068A">
        <w:rPr>
          <w:sz w:val="24"/>
          <w:szCs w:val="24"/>
        </w:rPr>
        <w:t>Angioneurotisk</w:t>
      </w:r>
      <w:proofErr w:type="spellEnd"/>
      <w:r w:rsidRPr="001F068A">
        <w:rPr>
          <w:sz w:val="24"/>
          <w:szCs w:val="24"/>
        </w:rPr>
        <w:t xml:space="preserve"> ødem i forbindelse med tidligere ACE-</w:t>
      </w:r>
      <w:proofErr w:type="spellStart"/>
      <w:r w:rsidRPr="001F068A">
        <w:rPr>
          <w:sz w:val="24"/>
          <w:szCs w:val="24"/>
        </w:rPr>
        <w:t>hæmmerbehandling</w:t>
      </w:r>
      <w:proofErr w:type="spellEnd"/>
      <w:r w:rsidRPr="001F068A">
        <w:rPr>
          <w:sz w:val="24"/>
          <w:szCs w:val="24"/>
        </w:rPr>
        <w:t xml:space="preserve"> i anamnesen.</w:t>
      </w:r>
    </w:p>
    <w:p w:rsidR="00CE4BB6" w:rsidRPr="001F068A" w:rsidRDefault="00CE4BB6" w:rsidP="00CE4BB6">
      <w:pPr>
        <w:pStyle w:val="Listeafsnit"/>
        <w:numPr>
          <w:ilvl w:val="0"/>
          <w:numId w:val="10"/>
        </w:numPr>
        <w:ind w:left="1418" w:hanging="567"/>
        <w:rPr>
          <w:sz w:val="24"/>
          <w:szCs w:val="24"/>
        </w:rPr>
      </w:pPr>
      <w:r w:rsidRPr="001F068A">
        <w:rPr>
          <w:sz w:val="24"/>
          <w:szCs w:val="24"/>
        </w:rPr>
        <w:t xml:space="preserve">Arveligt eller idiopatisk </w:t>
      </w:r>
      <w:proofErr w:type="spellStart"/>
      <w:r w:rsidRPr="001F068A">
        <w:rPr>
          <w:sz w:val="24"/>
          <w:szCs w:val="24"/>
        </w:rPr>
        <w:t>angioneurotisk</w:t>
      </w:r>
      <w:proofErr w:type="spellEnd"/>
      <w:r w:rsidRPr="001F068A">
        <w:rPr>
          <w:sz w:val="24"/>
          <w:szCs w:val="24"/>
        </w:rPr>
        <w:t xml:space="preserve"> ødem.</w:t>
      </w:r>
    </w:p>
    <w:p w:rsidR="00CE4BB6" w:rsidRPr="001F068A" w:rsidRDefault="00CE4BB6" w:rsidP="00CE4BB6">
      <w:pPr>
        <w:pStyle w:val="Listeafsnit"/>
        <w:numPr>
          <w:ilvl w:val="0"/>
          <w:numId w:val="10"/>
        </w:numPr>
        <w:ind w:left="1418" w:hanging="567"/>
        <w:rPr>
          <w:sz w:val="24"/>
          <w:szCs w:val="24"/>
        </w:rPr>
      </w:pPr>
      <w:r w:rsidRPr="001F068A">
        <w:rPr>
          <w:sz w:val="24"/>
          <w:szCs w:val="24"/>
        </w:rPr>
        <w:t>Graviditetens andet og tredje trimester (se pkt. 4.4 og 4.6).</w:t>
      </w:r>
    </w:p>
    <w:p w:rsidR="00CE4BB6" w:rsidRPr="001F068A" w:rsidRDefault="00CE4BB6" w:rsidP="00CE4BB6">
      <w:pPr>
        <w:pStyle w:val="Listeafsnit"/>
        <w:numPr>
          <w:ilvl w:val="0"/>
          <w:numId w:val="10"/>
        </w:numPr>
        <w:ind w:left="1418" w:hanging="567"/>
        <w:rPr>
          <w:sz w:val="24"/>
          <w:szCs w:val="24"/>
        </w:rPr>
      </w:pPr>
      <w:r w:rsidRPr="001F068A">
        <w:rPr>
          <w:sz w:val="24"/>
          <w:szCs w:val="24"/>
        </w:rPr>
        <w:t xml:space="preserve">Samtidig brug af </w:t>
      </w:r>
      <w:proofErr w:type="spellStart"/>
      <w:r w:rsidRPr="001F068A">
        <w:rPr>
          <w:sz w:val="24"/>
          <w:szCs w:val="24"/>
        </w:rPr>
        <w:t>Enalapril</w:t>
      </w:r>
      <w:proofErr w:type="spellEnd"/>
      <w:r w:rsidRPr="001F068A">
        <w:rPr>
          <w:sz w:val="24"/>
          <w:szCs w:val="24"/>
        </w:rPr>
        <w:t xml:space="preserve"> "</w:t>
      </w:r>
      <w:proofErr w:type="spellStart"/>
      <w:r w:rsidRPr="001F068A">
        <w:rPr>
          <w:sz w:val="24"/>
          <w:szCs w:val="24"/>
        </w:rPr>
        <w:t>Accord</w:t>
      </w:r>
      <w:proofErr w:type="spellEnd"/>
      <w:r w:rsidRPr="001F068A">
        <w:rPr>
          <w:sz w:val="24"/>
          <w:szCs w:val="24"/>
        </w:rPr>
        <w:t xml:space="preserve">" og lægemidler med </w:t>
      </w:r>
      <w:proofErr w:type="spellStart"/>
      <w:r w:rsidRPr="001F068A">
        <w:rPr>
          <w:sz w:val="24"/>
          <w:szCs w:val="24"/>
        </w:rPr>
        <w:t>aliskiren</w:t>
      </w:r>
      <w:proofErr w:type="spellEnd"/>
      <w:r w:rsidRPr="001F068A">
        <w:rPr>
          <w:sz w:val="24"/>
          <w:szCs w:val="24"/>
        </w:rPr>
        <w:t xml:space="preserve"> er kontraindiceret hos patienter med diabetes mellitus eller nedsat nyrefunktion (GFR &lt;60 ml/min/1,73 m</w:t>
      </w:r>
      <w:r w:rsidRPr="001F068A">
        <w:rPr>
          <w:sz w:val="24"/>
          <w:szCs w:val="24"/>
          <w:vertAlign w:val="superscript"/>
        </w:rPr>
        <w:t>2</w:t>
      </w:r>
      <w:r w:rsidRPr="001F068A">
        <w:rPr>
          <w:sz w:val="24"/>
          <w:szCs w:val="24"/>
        </w:rPr>
        <w:t>) (se pkt. 4.5 og 5.1).</w:t>
      </w:r>
    </w:p>
    <w:p w:rsidR="00CE4BB6" w:rsidRPr="001F068A" w:rsidRDefault="00CE4BB6" w:rsidP="00CE4BB6">
      <w:pPr>
        <w:pStyle w:val="Listeafsnit"/>
        <w:numPr>
          <w:ilvl w:val="0"/>
          <w:numId w:val="10"/>
        </w:numPr>
        <w:ind w:left="1418" w:hanging="567"/>
        <w:rPr>
          <w:sz w:val="24"/>
          <w:szCs w:val="24"/>
        </w:rPr>
      </w:pPr>
      <w:r w:rsidRPr="001F068A">
        <w:rPr>
          <w:sz w:val="24"/>
          <w:szCs w:val="24"/>
        </w:rPr>
        <w:t xml:space="preserve">Samtidig brug med </w:t>
      </w:r>
      <w:proofErr w:type="spellStart"/>
      <w:r w:rsidRPr="001F068A">
        <w:rPr>
          <w:sz w:val="24"/>
          <w:szCs w:val="24"/>
        </w:rPr>
        <w:t>sacubitril</w:t>
      </w:r>
      <w:proofErr w:type="spellEnd"/>
      <w:r w:rsidRPr="001F068A">
        <w:rPr>
          <w:sz w:val="24"/>
          <w:szCs w:val="24"/>
        </w:rPr>
        <w:t>/</w:t>
      </w:r>
      <w:proofErr w:type="spellStart"/>
      <w:r w:rsidRPr="001F068A">
        <w:rPr>
          <w:sz w:val="24"/>
          <w:szCs w:val="24"/>
        </w:rPr>
        <w:t>valsartan</w:t>
      </w:r>
      <w:proofErr w:type="spellEnd"/>
      <w:r w:rsidRPr="001F068A">
        <w:rPr>
          <w:sz w:val="24"/>
          <w:szCs w:val="24"/>
        </w:rPr>
        <w:t xml:space="preserve">-behandling. </w:t>
      </w:r>
      <w:proofErr w:type="spellStart"/>
      <w:r w:rsidRPr="001F068A">
        <w:rPr>
          <w:sz w:val="24"/>
          <w:szCs w:val="24"/>
        </w:rPr>
        <w:t>Enalapril</w:t>
      </w:r>
      <w:proofErr w:type="spellEnd"/>
      <w:r w:rsidRPr="001F068A">
        <w:rPr>
          <w:sz w:val="24"/>
          <w:szCs w:val="24"/>
        </w:rPr>
        <w:t xml:space="preserve"> "</w:t>
      </w:r>
      <w:proofErr w:type="spellStart"/>
      <w:r w:rsidRPr="001F068A">
        <w:rPr>
          <w:sz w:val="24"/>
          <w:szCs w:val="24"/>
        </w:rPr>
        <w:t>Accord</w:t>
      </w:r>
      <w:proofErr w:type="spellEnd"/>
      <w:r w:rsidRPr="001F068A">
        <w:rPr>
          <w:sz w:val="24"/>
          <w:szCs w:val="24"/>
        </w:rPr>
        <w:t xml:space="preserve">" må ikke initieres tidligere end 36 timer efter den sidste dosis </w:t>
      </w:r>
      <w:proofErr w:type="spellStart"/>
      <w:r w:rsidRPr="001F068A">
        <w:rPr>
          <w:sz w:val="24"/>
          <w:szCs w:val="24"/>
        </w:rPr>
        <w:t>sacubitril</w:t>
      </w:r>
      <w:proofErr w:type="spellEnd"/>
      <w:r w:rsidRPr="001F068A">
        <w:rPr>
          <w:sz w:val="24"/>
          <w:szCs w:val="24"/>
        </w:rPr>
        <w:t>/</w:t>
      </w:r>
      <w:proofErr w:type="spellStart"/>
      <w:r w:rsidRPr="001F068A">
        <w:rPr>
          <w:sz w:val="24"/>
          <w:szCs w:val="24"/>
        </w:rPr>
        <w:t>valsartan</w:t>
      </w:r>
      <w:proofErr w:type="spellEnd"/>
      <w:r w:rsidRPr="001F068A">
        <w:rPr>
          <w:sz w:val="24"/>
          <w:szCs w:val="24"/>
        </w:rPr>
        <w:t xml:space="preserve"> (se pkt. 4.4 og 4.5).</w:t>
      </w:r>
    </w:p>
    <w:p w:rsidR="009260DE" w:rsidRPr="00C84483" w:rsidRDefault="009260DE" w:rsidP="004C64B9">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012739" w:rsidRPr="00012739" w:rsidRDefault="00012739" w:rsidP="00012739">
      <w:pPr>
        <w:ind w:left="851"/>
        <w:rPr>
          <w:color w:val="000000"/>
          <w:sz w:val="24"/>
          <w:szCs w:val="24"/>
          <w:u w:val="single"/>
        </w:rPr>
      </w:pPr>
    </w:p>
    <w:p w:rsidR="00012739" w:rsidRPr="00012739" w:rsidRDefault="00012739" w:rsidP="00012739">
      <w:pPr>
        <w:ind w:left="851"/>
        <w:rPr>
          <w:color w:val="000000"/>
          <w:sz w:val="24"/>
          <w:szCs w:val="24"/>
          <w:u w:val="single"/>
        </w:rPr>
      </w:pPr>
      <w:r w:rsidRPr="00012739">
        <w:rPr>
          <w:color w:val="000000"/>
          <w:sz w:val="24"/>
          <w:szCs w:val="24"/>
          <w:u w:val="single"/>
        </w:rPr>
        <w:t>Symptomatisk hypotension</w:t>
      </w:r>
    </w:p>
    <w:p w:rsidR="00012739" w:rsidRPr="00012739" w:rsidRDefault="00012739" w:rsidP="00012739">
      <w:pPr>
        <w:autoSpaceDE w:val="0"/>
        <w:autoSpaceDN w:val="0"/>
        <w:adjustRightInd w:val="0"/>
        <w:ind w:left="851"/>
        <w:rPr>
          <w:color w:val="000000"/>
          <w:sz w:val="24"/>
          <w:szCs w:val="24"/>
        </w:rPr>
      </w:pPr>
      <w:r w:rsidRPr="00012739">
        <w:rPr>
          <w:color w:val="000000"/>
          <w:sz w:val="24"/>
          <w:szCs w:val="24"/>
        </w:rPr>
        <w:t xml:space="preserve">Symptomatisk hypotension ses sjældent hos ukomplicerede </w:t>
      </w:r>
      <w:proofErr w:type="spellStart"/>
      <w:r w:rsidRPr="00012739">
        <w:rPr>
          <w:color w:val="000000"/>
          <w:sz w:val="24"/>
          <w:szCs w:val="24"/>
        </w:rPr>
        <w:t>hypertensive</w:t>
      </w:r>
      <w:proofErr w:type="spellEnd"/>
      <w:r w:rsidRPr="00012739">
        <w:rPr>
          <w:color w:val="000000"/>
          <w:sz w:val="24"/>
          <w:szCs w:val="24"/>
        </w:rPr>
        <w:t xml:space="preserve"> patienter. Blandt </w:t>
      </w:r>
      <w:proofErr w:type="spellStart"/>
      <w:r w:rsidRPr="00012739">
        <w:rPr>
          <w:color w:val="000000"/>
          <w:sz w:val="24"/>
          <w:szCs w:val="24"/>
        </w:rPr>
        <w:t>hypertensive</w:t>
      </w:r>
      <w:proofErr w:type="spellEnd"/>
      <w:r w:rsidRPr="00012739">
        <w:rPr>
          <w:color w:val="000000"/>
          <w:sz w:val="24"/>
          <w:szCs w:val="24"/>
        </w:rPr>
        <w:t xml:space="preserve"> patienter, der behandles med </w:t>
      </w:r>
      <w:proofErr w:type="spellStart"/>
      <w:r w:rsidRPr="00012739">
        <w:rPr>
          <w:color w:val="000000"/>
          <w:sz w:val="24"/>
          <w:szCs w:val="24"/>
        </w:rPr>
        <w:t>Enalapril</w:t>
      </w:r>
      <w:proofErr w:type="spellEnd"/>
      <w:r w:rsidRPr="00012739">
        <w:rPr>
          <w:color w:val="000000"/>
          <w:sz w:val="24"/>
          <w:szCs w:val="24"/>
        </w:rPr>
        <w:t xml:space="preserve"> "</w:t>
      </w:r>
      <w:proofErr w:type="spellStart"/>
      <w:r w:rsidRPr="00012739">
        <w:rPr>
          <w:color w:val="000000"/>
          <w:sz w:val="24"/>
          <w:szCs w:val="24"/>
        </w:rPr>
        <w:t>Accord</w:t>
      </w:r>
      <w:proofErr w:type="spellEnd"/>
      <w:r w:rsidRPr="00012739">
        <w:rPr>
          <w:color w:val="000000"/>
          <w:sz w:val="24"/>
          <w:szCs w:val="24"/>
        </w:rPr>
        <w:t xml:space="preserve">", er symptomatisk hypotension mere sandsynlig, hvis patienten er </w:t>
      </w:r>
      <w:proofErr w:type="spellStart"/>
      <w:r w:rsidRPr="00012739">
        <w:rPr>
          <w:color w:val="000000"/>
          <w:sz w:val="24"/>
          <w:szCs w:val="24"/>
        </w:rPr>
        <w:t>volumendepleteret</w:t>
      </w:r>
      <w:proofErr w:type="spellEnd"/>
      <w:r w:rsidRPr="00012739">
        <w:rPr>
          <w:color w:val="000000"/>
          <w:sz w:val="24"/>
          <w:szCs w:val="24"/>
        </w:rPr>
        <w:t xml:space="preserve">, for eksempel som følge af behandling med </w:t>
      </w:r>
      <w:proofErr w:type="spellStart"/>
      <w:r w:rsidRPr="00012739">
        <w:rPr>
          <w:color w:val="000000"/>
          <w:sz w:val="24"/>
          <w:szCs w:val="24"/>
        </w:rPr>
        <w:t>diuretika</w:t>
      </w:r>
      <w:proofErr w:type="spellEnd"/>
      <w:r w:rsidRPr="00012739">
        <w:rPr>
          <w:color w:val="000000"/>
          <w:sz w:val="24"/>
          <w:szCs w:val="24"/>
        </w:rPr>
        <w:t>, saltfattig diæt, dialyse, diarré eller opkastninger (se pkt. 4.5 og 4.8). Hos patienter med hjerteinsufficiens, med eller uden nyreinsufficiens, er der observeret symptomatisk hypotension. Hypotension forekommer oftest hos patienter med sværere grader af hjerteinsufficiens, afspejlende anvendelsen af høje doser loop-</w:t>
      </w:r>
      <w:proofErr w:type="spellStart"/>
      <w:r w:rsidRPr="00012739">
        <w:rPr>
          <w:color w:val="000000"/>
          <w:sz w:val="24"/>
          <w:szCs w:val="24"/>
        </w:rPr>
        <w:t>diuretika</w:t>
      </w:r>
      <w:proofErr w:type="spellEnd"/>
      <w:r w:rsidRPr="00012739">
        <w:rPr>
          <w:color w:val="000000"/>
          <w:sz w:val="24"/>
          <w:szCs w:val="24"/>
        </w:rPr>
        <w:t xml:space="preserve">, </w:t>
      </w:r>
      <w:proofErr w:type="spellStart"/>
      <w:r w:rsidRPr="00012739">
        <w:rPr>
          <w:color w:val="000000"/>
          <w:sz w:val="24"/>
          <w:szCs w:val="24"/>
        </w:rPr>
        <w:t>hyponatriæmi</w:t>
      </w:r>
      <w:proofErr w:type="spellEnd"/>
      <w:r w:rsidRPr="00012739">
        <w:rPr>
          <w:color w:val="000000"/>
          <w:sz w:val="24"/>
          <w:szCs w:val="24"/>
        </w:rPr>
        <w:t xml:space="preserve"> eller nedsat nyrefunktion.</w:t>
      </w:r>
    </w:p>
    <w:p w:rsidR="00012739" w:rsidRPr="00012739" w:rsidRDefault="00012739" w:rsidP="00012739">
      <w:pPr>
        <w:autoSpaceDE w:val="0"/>
        <w:autoSpaceDN w:val="0"/>
        <w:adjustRightInd w:val="0"/>
        <w:ind w:left="851"/>
        <w:rPr>
          <w:color w:val="000000"/>
          <w:sz w:val="24"/>
          <w:szCs w:val="24"/>
        </w:rPr>
      </w:pPr>
      <w:r w:rsidRPr="00012739">
        <w:rPr>
          <w:color w:val="000000"/>
          <w:sz w:val="24"/>
          <w:szCs w:val="24"/>
        </w:rPr>
        <w:t xml:space="preserve">Hos disse patienter bør behandling initieres under lægetilsyn, og patienterne bør følges nøje, når dosis af </w:t>
      </w:r>
      <w:proofErr w:type="spellStart"/>
      <w:r w:rsidRPr="00012739">
        <w:rPr>
          <w:color w:val="000000"/>
          <w:sz w:val="24"/>
          <w:szCs w:val="24"/>
        </w:rPr>
        <w:t>Enalapril</w:t>
      </w:r>
      <w:proofErr w:type="spellEnd"/>
      <w:r w:rsidRPr="00012739">
        <w:rPr>
          <w:color w:val="000000"/>
          <w:sz w:val="24"/>
          <w:szCs w:val="24"/>
        </w:rPr>
        <w:t xml:space="preserve"> "</w:t>
      </w:r>
      <w:proofErr w:type="spellStart"/>
      <w:r w:rsidRPr="00012739">
        <w:rPr>
          <w:color w:val="000000"/>
          <w:sz w:val="24"/>
          <w:szCs w:val="24"/>
        </w:rPr>
        <w:t>Accord</w:t>
      </w:r>
      <w:proofErr w:type="spellEnd"/>
      <w:r w:rsidRPr="00012739">
        <w:rPr>
          <w:color w:val="000000"/>
          <w:sz w:val="24"/>
          <w:szCs w:val="24"/>
        </w:rPr>
        <w:t xml:space="preserve">" og/eller </w:t>
      </w:r>
      <w:proofErr w:type="spellStart"/>
      <w:r w:rsidRPr="00012739">
        <w:rPr>
          <w:color w:val="000000"/>
          <w:sz w:val="24"/>
          <w:szCs w:val="24"/>
        </w:rPr>
        <w:t>diuretikum</w:t>
      </w:r>
      <w:proofErr w:type="spellEnd"/>
      <w:r w:rsidRPr="00012739">
        <w:rPr>
          <w:color w:val="000000"/>
          <w:sz w:val="24"/>
          <w:szCs w:val="24"/>
        </w:rPr>
        <w:t xml:space="preserve"> justeres. Der bør tages lignende forholdsregler ved behandling af patienter med iskæmisk hjertesygdom eller </w:t>
      </w:r>
      <w:proofErr w:type="spellStart"/>
      <w:r w:rsidRPr="00012739">
        <w:rPr>
          <w:color w:val="000000"/>
          <w:sz w:val="24"/>
          <w:szCs w:val="24"/>
        </w:rPr>
        <w:t>cerebrovaskulær</w:t>
      </w:r>
      <w:proofErr w:type="spellEnd"/>
      <w:r w:rsidRPr="00012739">
        <w:rPr>
          <w:color w:val="000000"/>
          <w:sz w:val="24"/>
          <w:szCs w:val="24"/>
        </w:rPr>
        <w:t xml:space="preserve"> lidelse, da drastisk blodtryksfald kan afstedkomme myokardieinfarkt eller </w:t>
      </w:r>
      <w:proofErr w:type="spellStart"/>
      <w:r w:rsidRPr="00012739">
        <w:rPr>
          <w:color w:val="000000"/>
          <w:sz w:val="24"/>
          <w:szCs w:val="24"/>
        </w:rPr>
        <w:t>cerebrovaskulært</w:t>
      </w:r>
      <w:proofErr w:type="spellEnd"/>
      <w:r w:rsidRPr="00012739">
        <w:rPr>
          <w:color w:val="000000"/>
          <w:sz w:val="24"/>
          <w:szCs w:val="24"/>
        </w:rPr>
        <w:t xml:space="preserve"> tilfælde.</w:t>
      </w:r>
    </w:p>
    <w:p w:rsidR="00012739" w:rsidRPr="00012739" w:rsidRDefault="00012739" w:rsidP="00012739">
      <w:pPr>
        <w:autoSpaceDE w:val="0"/>
        <w:autoSpaceDN w:val="0"/>
        <w:adjustRightInd w:val="0"/>
        <w:ind w:left="851"/>
        <w:rPr>
          <w:color w:val="000000"/>
          <w:sz w:val="24"/>
          <w:szCs w:val="24"/>
        </w:rPr>
      </w:pPr>
    </w:p>
    <w:p w:rsidR="00012739" w:rsidRPr="00012739" w:rsidRDefault="00012739" w:rsidP="00012739">
      <w:pPr>
        <w:autoSpaceDE w:val="0"/>
        <w:autoSpaceDN w:val="0"/>
        <w:adjustRightInd w:val="0"/>
        <w:ind w:left="851"/>
        <w:rPr>
          <w:color w:val="000000"/>
          <w:sz w:val="24"/>
          <w:szCs w:val="24"/>
        </w:rPr>
      </w:pPr>
      <w:r w:rsidRPr="00012739">
        <w:rPr>
          <w:color w:val="000000"/>
          <w:sz w:val="24"/>
          <w:szCs w:val="24"/>
        </w:rPr>
        <w:t>Hvis der udvikles hypotension, bør patienten placeres liggende på ryggen og om nødvendigt tilføres intravenøst isotonisk saltvandsopløsning. Forbigående hypotension er ikke kontraindikation for fortsat behandling, der sædvanligvis kan genoptages uden vanskelighed, når blodtrykket er øget efter volumenekspansion.</w:t>
      </w:r>
    </w:p>
    <w:p w:rsidR="00012739" w:rsidRPr="00012739" w:rsidRDefault="00012739" w:rsidP="00012739">
      <w:pPr>
        <w:autoSpaceDE w:val="0"/>
        <w:autoSpaceDN w:val="0"/>
        <w:adjustRightInd w:val="0"/>
        <w:ind w:left="851"/>
        <w:rPr>
          <w:color w:val="000000"/>
          <w:sz w:val="24"/>
          <w:szCs w:val="24"/>
        </w:rPr>
      </w:pPr>
    </w:p>
    <w:p w:rsidR="00012739" w:rsidRPr="00012739" w:rsidRDefault="00012739" w:rsidP="00012739">
      <w:pPr>
        <w:autoSpaceDE w:val="0"/>
        <w:autoSpaceDN w:val="0"/>
        <w:adjustRightInd w:val="0"/>
        <w:ind w:left="851"/>
        <w:rPr>
          <w:color w:val="000000"/>
          <w:sz w:val="24"/>
          <w:szCs w:val="24"/>
        </w:rPr>
      </w:pPr>
      <w:r w:rsidRPr="00012739">
        <w:rPr>
          <w:color w:val="000000"/>
          <w:sz w:val="24"/>
          <w:szCs w:val="24"/>
        </w:rPr>
        <w:lastRenderedPageBreak/>
        <w:t xml:space="preserve">Hos nogle patienter med hjerteinsufficiens, og med normalt eller lavt blodtryk, kan der under behandling med </w:t>
      </w:r>
      <w:proofErr w:type="spellStart"/>
      <w:r w:rsidRPr="00012739">
        <w:rPr>
          <w:color w:val="000000"/>
          <w:sz w:val="24"/>
          <w:szCs w:val="24"/>
        </w:rPr>
        <w:t>Enalapril</w:t>
      </w:r>
      <w:proofErr w:type="spellEnd"/>
      <w:r w:rsidRPr="00012739">
        <w:rPr>
          <w:color w:val="000000"/>
          <w:sz w:val="24"/>
          <w:szCs w:val="24"/>
        </w:rPr>
        <w:t xml:space="preserve"> "</w:t>
      </w:r>
      <w:proofErr w:type="spellStart"/>
      <w:r w:rsidRPr="00012739">
        <w:rPr>
          <w:color w:val="000000"/>
          <w:sz w:val="24"/>
          <w:szCs w:val="24"/>
        </w:rPr>
        <w:t>Accord</w:t>
      </w:r>
      <w:proofErr w:type="spellEnd"/>
      <w:r w:rsidRPr="00012739">
        <w:rPr>
          <w:color w:val="000000"/>
          <w:sz w:val="24"/>
          <w:szCs w:val="24"/>
        </w:rPr>
        <w:t xml:space="preserve">" opstå yderligere sænkning af det systemiske blodtryk. Denne virkning er forudsigelig og sædvanligvis ikke årsag til </w:t>
      </w:r>
      <w:proofErr w:type="spellStart"/>
      <w:r w:rsidRPr="00012739">
        <w:rPr>
          <w:color w:val="000000"/>
          <w:sz w:val="24"/>
          <w:szCs w:val="24"/>
        </w:rPr>
        <w:t>seponering</w:t>
      </w:r>
      <w:proofErr w:type="spellEnd"/>
      <w:r w:rsidRPr="00012739">
        <w:rPr>
          <w:color w:val="000000"/>
          <w:sz w:val="24"/>
          <w:szCs w:val="24"/>
        </w:rPr>
        <w:t xml:space="preserve"> af behandlingen. Hvis hypotensionen bliver symptomgivende, kan reduktion af dosis og/eller </w:t>
      </w:r>
      <w:proofErr w:type="spellStart"/>
      <w:r w:rsidRPr="00012739">
        <w:rPr>
          <w:color w:val="000000"/>
          <w:sz w:val="24"/>
          <w:szCs w:val="24"/>
        </w:rPr>
        <w:t>seponering</w:t>
      </w:r>
      <w:proofErr w:type="spellEnd"/>
      <w:r w:rsidRPr="00012739">
        <w:rPr>
          <w:color w:val="000000"/>
          <w:sz w:val="24"/>
          <w:szCs w:val="24"/>
        </w:rPr>
        <w:t xml:space="preserve"> af behandling med </w:t>
      </w:r>
      <w:proofErr w:type="spellStart"/>
      <w:r w:rsidRPr="00012739">
        <w:rPr>
          <w:color w:val="000000"/>
          <w:sz w:val="24"/>
          <w:szCs w:val="24"/>
        </w:rPr>
        <w:t>diuretika</w:t>
      </w:r>
      <w:proofErr w:type="spellEnd"/>
      <w:r w:rsidRPr="00012739">
        <w:rPr>
          <w:color w:val="000000"/>
          <w:sz w:val="24"/>
          <w:szCs w:val="24"/>
        </w:rPr>
        <w:t xml:space="preserve"> og/eller </w:t>
      </w:r>
      <w:proofErr w:type="spellStart"/>
      <w:r w:rsidRPr="00012739">
        <w:rPr>
          <w:color w:val="000000"/>
          <w:sz w:val="24"/>
          <w:szCs w:val="24"/>
        </w:rPr>
        <w:t>Enalapril</w:t>
      </w:r>
      <w:proofErr w:type="spellEnd"/>
      <w:r w:rsidRPr="00012739">
        <w:rPr>
          <w:color w:val="000000"/>
          <w:sz w:val="24"/>
          <w:szCs w:val="24"/>
        </w:rPr>
        <w:t xml:space="preserve"> "</w:t>
      </w:r>
      <w:proofErr w:type="spellStart"/>
      <w:r w:rsidRPr="00012739">
        <w:rPr>
          <w:color w:val="000000"/>
          <w:sz w:val="24"/>
          <w:szCs w:val="24"/>
        </w:rPr>
        <w:t>Accord</w:t>
      </w:r>
      <w:proofErr w:type="spellEnd"/>
      <w:r w:rsidRPr="00012739">
        <w:rPr>
          <w:color w:val="000000"/>
          <w:sz w:val="24"/>
          <w:szCs w:val="24"/>
        </w:rPr>
        <w:t>" være nødvendig.</w:t>
      </w:r>
    </w:p>
    <w:p w:rsidR="00012739" w:rsidRPr="00012739" w:rsidRDefault="00012739" w:rsidP="00012739">
      <w:pPr>
        <w:autoSpaceDE w:val="0"/>
        <w:autoSpaceDN w:val="0"/>
        <w:adjustRightInd w:val="0"/>
        <w:ind w:left="851"/>
        <w:rPr>
          <w:color w:val="000000"/>
          <w:sz w:val="24"/>
          <w:szCs w:val="24"/>
        </w:rPr>
      </w:pPr>
    </w:p>
    <w:p w:rsidR="00012739" w:rsidRPr="00012739" w:rsidRDefault="00012739" w:rsidP="00012739">
      <w:pPr>
        <w:autoSpaceDE w:val="0"/>
        <w:autoSpaceDN w:val="0"/>
        <w:adjustRightInd w:val="0"/>
        <w:ind w:left="851"/>
        <w:rPr>
          <w:color w:val="000000"/>
          <w:sz w:val="24"/>
          <w:szCs w:val="24"/>
          <w:u w:val="single"/>
        </w:rPr>
      </w:pPr>
      <w:r w:rsidRPr="00012739">
        <w:rPr>
          <w:color w:val="000000"/>
          <w:sz w:val="24"/>
          <w:szCs w:val="24"/>
          <w:u w:val="single"/>
        </w:rPr>
        <w:t xml:space="preserve">Aorta- eller </w:t>
      </w:r>
      <w:proofErr w:type="spellStart"/>
      <w:r w:rsidRPr="00012739">
        <w:rPr>
          <w:color w:val="000000"/>
          <w:sz w:val="24"/>
          <w:szCs w:val="24"/>
          <w:u w:val="single"/>
        </w:rPr>
        <w:t>mitralklapstenose</w:t>
      </w:r>
      <w:proofErr w:type="spellEnd"/>
      <w:r w:rsidRPr="00012739">
        <w:rPr>
          <w:color w:val="000000"/>
          <w:sz w:val="24"/>
          <w:szCs w:val="24"/>
          <w:u w:val="single"/>
        </w:rPr>
        <w:t>/</w:t>
      </w:r>
      <w:proofErr w:type="spellStart"/>
      <w:r w:rsidRPr="00012739">
        <w:rPr>
          <w:color w:val="000000"/>
          <w:sz w:val="24"/>
          <w:szCs w:val="24"/>
          <w:u w:val="single"/>
        </w:rPr>
        <w:t>hypertrofisk</w:t>
      </w:r>
      <w:proofErr w:type="spellEnd"/>
      <w:r w:rsidRPr="00012739">
        <w:rPr>
          <w:color w:val="000000"/>
          <w:sz w:val="24"/>
          <w:szCs w:val="24"/>
          <w:u w:val="single"/>
        </w:rPr>
        <w:t xml:space="preserve"> </w:t>
      </w:r>
      <w:proofErr w:type="spellStart"/>
      <w:r w:rsidRPr="00012739">
        <w:rPr>
          <w:color w:val="000000"/>
          <w:sz w:val="24"/>
          <w:szCs w:val="24"/>
          <w:u w:val="single"/>
        </w:rPr>
        <w:t>kardiomyopati</w:t>
      </w:r>
      <w:proofErr w:type="spellEnd"/>
    </w:p>
    <w:p w:rsidR="00012739" w:rsidRPr="00012739" w:rsidRDefault="00012739" w:rsidP="00012739">
      <w:pPr>
        <w:autoSpaceDE w:val="0"/>
        <w:autoSpaceDN w:val="0"/>
        <w:adjustRightInd w:val="0"/>
        <w:ind w:left="851"/>
        <w:rPr>
          <w:color w:val="000000"/>
          <w:sz w:val="24"/>
          <w:szCs w:val="24"/>
        </w:rPr>
      </w:pPr>
      <w:r w:rsidRPr="00012739">
        <w:rPr>
          <w:color w:val="000000"/>
          <w:sz w:val="24"/>
          <w:szCs w:val="24"/>
        </w:rPr>
        <w:t xml:space="preserve">Som med alle </w:t>
      </w:r>
      <w:proofErr w:type="spellStart"/>
      <w:r w:rsidRPr="00012739">
        <w:rPr>
          <w:color w:val="000000"/>
          <w:sz w:val="24"/>
          <w:szCs w:val="24"/>
        </w:rPr>
        <w:t>vasodilatorer</w:t>
      </w:r>
      <w:proofErr w:type="spellEnd"/>
      <w:r w:rsidRPr="00012739">
        <w:rPr>
          <w:color w:val="000000"/>
          <w:sz w:val="24"/>
          <w:szCs w:val="24"/>
        </w:rPr>
        <w:t xml:space="preserve"> bør ACE-</w:t>
      </w:r>
      <w:proofErr w:type="spellStart"/>
      <w:r w:rsidRPr="00012739">
        <w:rPr>
          <w:color w:val="000000"/>
          <w:sz w:val="24"/>
          <w:szCs w:val="24"/>
        </w:rPr>
        <w:t>hæmmere</w:t>
      </w:r>
      <w:proofErr w:type="spellEnd"/>
      <w:r w:rsidRPr="00012739">
        <w:rPr>
          <w:color w:val="000000"/>
          <w:sz w:val="24"/>
          <w:szCs w:val="24"/>
        </w:rPr>
        <w:t xml:space="preserve"> gives med forsigtighed til patienter med venstre ventrikelklap- og udløbsobstruktion samt undgås i tilfælde af </w:t>
      </w:r>
      <w:proofErr w:type="spellStart"/>
      <w:r w:rsidRPr="00012739">
        <w:rPr>
          <w:color w:val="000000"/>
          <w:sz w:val="24"/>
          <w:szCs w:val="24"/>
        </w:rPr>
        <w:t>kardiogent</w:t>
      </w:r>
      <w:proofErr w:type="spellEnd"/>
      <w:r w:rsidRPr="00012739">
        <w:rPr>
          <w:color w:val="000000"/>
          <w:sz w:val="24"/>
          <w:szCs w:val="24"/>
        </w:rPr>
        <w:t xml:space="preserve"> </w:t>
      </w:r>
      <w:proofErr w:type="spellStart"/>
      <w:r w:rsidRPr="00012739">
        <w:rPr>
          <w:color w:val="000000"/>
          <w:sz w:val="24"/>
          <w:szCs w:val="24"/>
        </w:rPr>
        <w:t>shock</w:t>
      </w:r>
      <w:proofErr w:type="spellEnd"/>
      <w:r w:rsidRPr="00012739">
        <w:rPr>
          <w:color w:val="000000"/>
          <w:sz w:val="24"/>
          <w:szCs w:val="24"/>
        </w:rPr>
        <w:t xml:space="preserve"> og </w:t>
      </w:r>
      <w:proofErr w:type="spellStart"/>
      <w:r w:rsidRPr="00012739">
        <w:rPr>
          <w:color w:val="000000"/>
          <w:sz w:val="24"/>
          <w:szCs w:val="24"/>
        </w:rPr>
        <w:t>hæmodynamisk</w:t>
      </w:r>
      <w:proofErr w:type="spellEnd"/>
      <w:r w:rsidRPr="00012739">
        <w:rPr>
          <w:color w:val="000000"/>
          <w:sz w:val="24"/>
          <w:szCs w:val="24"/>
        </w:rPr>
        <w:t xml:space="preserve"> signifikant obstruktion.</w:t>
      </w:r>
    </w:p>
    <w:p w:rsidR="00012739" w:rsidRPr="00012739" w:rsidRDefault="00012739" w:rsidP="00012739">
      <w:pPr>
        <w:autoSpaceDE w:val="0"/>
        <w:autoSpaceDN w:val="0"/>
        <w:adjustRightInd w:val="0"/>
        <w:ind w:left="851"/>
        <w:rPr>
          <w:color w:val="000000"/>
          <w:sz w:val="24"/>
          <w:szCs w:val="24"/>
        </w:rPr>
      </w:pPr>
    </w:p>
    <w:p w:rsidR="00012739" w:rsidRPr="00012739" w:rsidRDefault="00012739" w:rsidP="00012739">
      <w:pPr>
        <w:autoSpaceDE w:val="0"/>
        <w:autoSpaceDN w:val="0"/>
        <w:adjustRightInd w:val="0"/>
        <w:ind w:left="851"/>
        <w:rPr>
          <w:color w:val="000000"/>
          <w:sz w:val="24"/>
          <w:szCs w:val="24"/>
          <w:u w:val="single"/>
        </w:rPr>
      </w:pPr>
      <w:r w:rsidRPr="00012739">
        <w:rPr>
          <w:color w:val="000000"/>
          <w:sz w:val="24"/>
          <w:szCs w:val="24"/>
          <w:u w:val="single"/>
        </w:rPr>
        <w:t>Nedsat nyrefunktion</w:t>
      </w:r>
    </w:p>
    <w:p w:rsidR="00012739" w:rsidRPr="00012739" w:rsidRDefault="00012739" w:rsidP="00012739">
      <w:pPr>
        <w:autoSpaceDE w:val="0"/>
        <w:autoSpaceDN w:val="0"/>
        <w:adjustRightInd w:val="0"/>
        <w:ind w:left="851"/>
        <w:rPr>
          <w:color w:val="000000"/>
          <w:sz w:val="24"/>
          <w:szCs w:val="24"/>
        </w:rPr>
      </w:pPr>
      <w:r w:rsidRPr="00012739">
        <w:rPr>
          <w:color w:val="000000"/>
          <w:sz w:val="24"/>
          <w:szCs w:val="24"/>
        </w:rPr>
        <w:t>I tilfælde af nedsat nyrefunktion (</w:t>
      </w:r>
      <w:proofErr w:type="spellStart"/>
      <w:r w:rsidRPr="00012739">
        <w:rPr>
          <w:color w:val="000000"/>
          <w:sz w:val="24"/>
          <w:szCs w:val="24"/>
        </w:rPr>
        <w:t>kreatininclearance</w:t>
      </w:r>
      <w:proofErr w:type="spellEnd"/>
      <w:r w:rsidRPr="00012739">
        <w:rPr>
          <w:color w:val="000000"/>
          <w:sz w:val="24"/>
          <w:szCs w:val="24"/>
        </w:rPr>
        <w:t xml:space="preserve"> &lt;80 ml/min) bør initialdosis af </w:t>
      </w:r>
      <w:proofErr w:type="spellStart"/>
      <w:r w:rsidRPr="00012739">
        <w:rPr>
          <w:color w:val="000000"/>
          <w:sz w:val="24"/>
          <w:szCs w:val="24"/>
        </w:rPr>
        <w:t>enalapril</w:t>
      </w:r>
      <w:proofErr w:type="spellEnd"/>
      <w:r w:rsidRPr="00012739">
        <w:rPr>
          <w:color w:val="000000"/>
          <w:sz w:val="24"/>
          <w:szCs w:val="24"/>
        </w:rPr>
        <w:t xml:space="preserve"> justeres i overensstemmelse med patientens </w:t>
      </w:r>
      <w:proofErr w:type="spellStart"/>
      <w:r w:rsidRPr="00012739">
        <w:rPr>
          <w:color w:val="000000"/>
          <w:sz w:val="24"/>
          <w:szCs w:val="24"/>
        </w:rPr>
        <w:t>kreatininclearance</w:t>
      </w:r>
      <w:proofErr w:type="spellEnd"/>
      <w:r w:rsidRPr="00012739">
        <w:rPr>
          <w:color w:val="000000"/>
          <w:sz w:val="24"/>
          <w:szCs w:val="24"/>
        </w:rPr>
        <w:t xml:space="preserve"> (se pkt. 4.2) og derefter som en funktion af patientens respons på behandlingen. Rutinemæssig monitorering af kalium og </w:t>
      </w:r>
      <w:proofErr w:type="spellStart"/>
      <w:r w:rsidRPr="00012739">
        <w:rPr>
          <w:color w:val="000000"/>
          <w:sz w:val="24"/>
          <w:szCs w:val="24"/>
        </w:rPr>
        <w:t>kreatinin</w:t>
      </w:r>
      <w:proofErr w:type="spellEnd"/>
      <w:r w:rsidRPr="00012739">
        <w:rPr>
          <w:color w:val="000000"/>
          <w:sz w:val="24"/>
          <w:szCs w:val="24"/>
        </w:rPr>
        <w:t xml:space="preserve"> bør være normal praksis i relation til disse patienter.</w:t>
      </w:r>
    </w:p>
    <w:p w:rsidR="00012739" w:rsidRPr="00012739" w:rsidRDefault="00012739" w:rsidP="00012739">
      <w:pPr>
        <w:autoSpaceDE w:val="0"/>
        <w:autoSpaceDN w:val="0"/>
        <w:adjustRightInd w:val="0"/>
        <w:ind w:left="851"/>
        <w:rPr>
          <w:color w:val="000000"/>
          <w:sz w:val="24"/>
          <w:szCs w:val="24"/>
        </w:rPr>
      </w:pPr>
    </w:p>
    <w:p w:rsidR="00012739" w:rsidRPr="00012739" w:rsidRDefault="00012739" w:rsidP="00012739">
      <w:pPr>
        <w:autoSpaceDE w:val="0"/>
        <w:autoSpaceDN w:val="0"/>
        <w:adjustRightInd w:val="0"/>
        <w:ind w:left="851"/>
        <w:rPr>
          <w:color w:val="000000"/>
          <w:sz w:val="24"/>
          <w:szCs w:val="24"/>
        </w:rPr>
      </w:pPr>
      <w:r w:rsidRPr="00012739">
        <w:rPr>
          <w:color w:val="000000"/>
          <w:sz w:val="24"/>
          <w:szCs w:val="24"/>
        </w:rPr>
        <w:t xml:space="preserve">Der er set nyreinsufficiens i forbindelse med </w:t>
      </w:r>
      <w:proofErr w:type="spellStart"/>
      <w:r w:rsidRPr="00012739">
        <w:rPr>
          <w:color w:val="000000"/>
          <w:sz w:val="24"/>
          <w:szCs w:val="24"/>
        </w:rPr>
        <w:t>enalaprilbehandling</w:t>
      </w:r>
      <w:proofErr w:type="spellEnd"/>
      <w:r w:rsidRPr="00012739">
        <w:rPr>
          <w:color w:val="000000"/>
          <w:sz w:val="24"/>
          <w:szCs w:val="24"/>
        </w:rPr>
        <w:t xml:space="preserve">. Dette har hovedsageligt været hos patienter med svær hjerteinsufficiens eller underliggende nyrelidelse, inklusive nyrearteriestenose. Hvis det erkendes og behandles straks, er nyreinsufficiens i forbindelse med </w:t>
      </w:r>
      <w:proofErr w:type="spellStart"/>
      <w:r w:rsidRPr="00012739">
        <w:rPr>
          <w:color w:val="000000"/>
          <w:sz w:val="24"/>
          <w:szCs w:val="24"/>
        </w:rPr>
        <w:t>enalaprilbehandling</w:t>
      </w:r>
      <w:proofErr w:type="spellEnd"/>
      <w:r w:rsidRPr="00012739">
        <w:rPr>
          <w:color w:val="000000"/>
          <w:sz w:val="24"/>
          <w:szCs w:val="24"/>
        </w:rPr>
        <w:t xml:space="preserve"> sædvanligvis reversibel.</w:t>
      </w:r>
    </w:p>
    <w:p w:rsidR="00012739" w:rsidRPr="00012739" w:rsidRDefault="00012739" w:rsidP="00012739">
      <w:pPr>
        <w:autoSpaceDE w:val="0"/>
        <w:autoSpaceDN w:val="0"/>
        <w:adjustRightInd w:val="0"/>
        <w:ind w:left="851"/>
        <w:rPr>
          <w:color w:val="000000"/>
          <w:sz w:val="24"/>
          <w:szCs w:val="24"/>
        </w:rPr>
      </w:pPr>
    </w:p>
    <w:p w:rsidR="00012739" w:rsidRPr="00012739" w:rsidRDefault="00012739" w:rsidP="00012739">
      <w:pPr>
        <w:autoSpaceDE w:val="0"/>
        <w:autoSpaceDN w:val="0"/>
        <w:adjustRightInd w:val="0"/>
        <w:ind w:left="851"/>
        <w:rPr>
          <w:color w:val="000000"/>
          <w:sz w:val="24"/>
          <w:szCs w:val="24"/>
        </w:rPr>
      </w:pPr>
      <w:r w:rsidRPr="00012739">
        <w:rPr>
          <w:color w:val="000000"/>
          <w:sz w:val="24"/>
          <w:szCs w:val="24"/>
        </w:rPr>
        <w:t xml:space="preserve">Nogle </w:t>
      </w:r>
      <w:proofErr w:type="spellStart"/>
      <w:r w:rsidRPr="00012739">
        <w:rPr>
          <w:color w:val="000000"/>
          <w:sz w:val="24"/>
          <w:szCs w:val="24"/>
        </w:rPr>
        <w:t>hypertensive</w:t>
      </w:r>
      <w:proofErr w:type="spellEnd"/>
      <w:r w:rsidRPr="00012739">
        <w:rPr>
          <w:color w:val="000000"/>
          <w:sz w:val="24"/>
          <w:szCs w:val="24"/>
        </w:rPr>
        <w:t xml:space="preserve"> patienter, tilsyneladende uden allerede eksisterende nyresygdom, har udviklet forhøjelser i </w:t>
      </w:r>
      <w:proofErr w:type="spellStart"/>
      <w:r w:rsidRPr="00012739">
        <w:rPr>
          <w:color w:val="000000"/>
          <w:sz w:val="24"/>
          <w:szCs w:val="24"/>
        </w:rPr>
        <w:t>serumcarbamid</w:t>
      </w:r>
      <w:proofErr w:type="spellEnd"/>
      <w:r w:rsidRPr="00012739">
        <w:rPr>
          <w:color w:val="000000"/>
          <w:sz w:val="24"/>
          <w:szCs w:val="24"/>
        </w:rPr>
        <w:t xml:space="preserve"> og -</w:t>
      </w:r>
      <w:proofErr w:type="spellStart"/>
      <w:r w:rsidRPr="00012739">
        <w:rPr>
          <w:color w:val="000000"/>
          <w:sz w:val="24"/>
          <w:szCs w:val="24"/>
        </w:rPr>
        <w:t>kreatinin</w:t>
      </w:r>
      <w:proofErr w:type="spellEnd"/>
      <w:r w:rsidRPr="00012739">
        <w:rPr>
          <w:color w:val="000000"/>
          <w:sz w:val="24"/>
          <w:szCs w:val="24"/>
        </w:rPr>
        <w:t xml:space="preserve">, når </w:t>
      </w:r>
      <w:proofErr w:type="spellStart"/>
      <w:r w:rsidRPr="00012739">
        <w:rPr>
          <w:color w:val="000000"/>
          <w:sz w:val="24"/>
          <w:szCs w:val="24"/>
        </w:rPr>
        <w:t>enalapril</w:t>
      </w:r>
      <w:proofErr w:type="spellEnd"/>
      <w:r w:rsidRPr="00012739">
        <w:rPr>
          <w:color w:val="000000"/>
          <w:sz w:val="24"/>
          <w:szCs w:val="24"/>
        </w:rPr>
        <w:t xml:space="preserve"> blev givet samtidigt med et </w:t>
      </w:r>
      <w:proofErr w:type="spellStart"/>
      <w:r w:rsidRPr="00012739">
        <w:rPr>
          <w:color w:val="000000"/>
          <w:sz w:val="24"/>
          <w:szCs w:val="24"/>
        </w:rPr>
        <w:t>diuretikum</w:t>
      </w:r>
      <w:proofErr w:type="spellEnd"/>
      <w:r w:rsidRPr="00012739">
        <w:rPr>
          <w:color w:val="000000"/>
          <w:sz w:val="24"/>
          <w:szCs w:val="24"/>
        </w:rPr>
        <w:t xml:space="preserve">. Reduktion af </w:t>
      </w:r>
      <w:proofErr w:type="spellStart"/>
      <w:r w:rsidRPr="00012739">
        <w:rPr>
          <w:color w:val="000000"/>
          <w:sz w:val="24"/>
          <w:szCs w:val="24"/>
        </w:rPr>
        <w:t>enalaprildosis</w:t>
      </w:r>
      <w:proofErr w:type="spellEnd"/>
      <w:r w:rsidRPr="00012739">
        <w:rPr>
          <w:color w:val="000000"/>
          <w:sz w:val="24"/>
          <w:szCs w:val="24"/>
        </w:rPr>
        <w:t xml:space="preserve"> og/eller </w:t>
      </w:r>
      <w:proofErr w:type="spellStart"/>
      <w:r w:rsidRPr="00012739">
        <w:rPr>
          <w:color w:val="000000"/>
          <w:sz w:val="24"/>
          <w:szCs w:val="24"/>
        </w:rPr>
        <w:t>seponering</w:t>
      </w:r>
      <w:proofErr w:type="spellEnd"/>
      <w:r w:rsidRPr="00012739">
        <w:rPr>
          <w:color w:val="000000"/>
          <w:sz w:val="24"/>
          <w:szCs w:val="24"/>
        </w:rPr>
        <w:t xml:space="preserve"> af </w:t>
      </w:r>
      <w:proofErr w:type="spellStart"/>
      <w:r w:rsidRPr="00012739">
        <w:rPr>
          <w:color w:val="000000"/>
          <w:sz w:val="24"/>
          <w:szCs w:val="24"/>
        </w:rPr>
        <w:t>diuretikum</w:t>
      </w:r>
      <w:proofErr w:type="spellEnd"/>
      <w:r w:rsidRPr="00012739">
        <w:rPr>
          <w:color w:val="000000"/>
          <w:sz w:val="24"/>
          <w:szCs w:val="24"/>
        </w:rPr>
        <w:t xml:space="preserve"> kan være nødvendig. Denne situation bør vække mistanke om en underliggende nyrearteriestenose (se pkt. 4.4 – </w:t>
      </w:r>
      <w:proofErr w:type="spellStart"/>
      <w:r w:rsidRPr="00012739">
        <w:rPr>
          <w:color w:val="000000"/>
          <w:sz w:val="24"/>
          <w:szCs w:val="24"/>
        </w:rPr>
        <w:t>Renovaskulær</w:t>
      </w:r>
      <w:proofErr w:type="spellEnd"/>
      <w:r w:rsidRPr="00012739">
        <w:rPr>
          <w:color w:val="000000"/>
          <w:sz w:val="24"/>
          <w:szCs w:val="24"/>
        </w:rPr>
        <w:t xml:space="preserve"> hypertension).</w:t>
      </w:r>
    </w:p>
    <w:p w:rsidR="00012739" w:rsidRPr="00012739" w:rsidRDefault="00012739" w:rsidP="00012739">
      <w:pPr>
        <w:autoSpaceDE w:val="0"/>
        <w:autoSpaceDN w:val="0"/>
        <w:adjustRightInd w:val="0"/>
        <w:ind w:left="851"/>
        <w:rPr>
          <w:color w:val="000000"/>
          <w:sz w:val="24"/>
          <w:szCs w:val="24"/>
        </w:rPr>
      </w:pPr>
    </w:p>
    <w:p w:rsidR="00012739" w:rsidRPr="00012739" w:rsidRDefault="00012739" w:rsidP="00012739">
      <w:pPr>
        <w:autoSpaceDE w:val="0"/>
        <w:autoSpaceDN w:val="0"/>
        <w:adjustRightInd w:val="0"/>
        <w:ind w:left="851"/>
        <w:rPr>
          <w:color w:val="000000"/>
          <w:sz w:val="24"/>
          <w:szCs w:val="24"/>
          <w:u w:val="single"/>
        </w:rPr>
      </w:pPr>
      <w:proofErr w:type="spellStart"/>
      <w:r w:rsidRPr="00012739">
        <w:rPr>
          <w:color w:val="000000"/>
          <w:sz w:val="24"/>
          <w:szCs w:val="24"/>
          <w:u w:val="single"/>
        </w:rPr>
        <w:t>Renovaskulær</w:t>
      </w:r>
      <w:proofErr w:type="spellEnd"/>
      <w:r w:rsidRPr="00012739">
        <w:rPr>
          <w:color w:val="000000"/>
          <w:sz w:val="24"/>
          <w:szCs w:val="24"/>
          <w:u w:val="single"/>
        </w:rPr>
        <w:t xml:space="preserve"> hypertension</w:t>
      </w:r>
    </w:p>
    <w:p w:rsidR="00012739" w:rsidRPr="00012739" w:rsidRDefault="00012739" w:rsidP="00012739">
      <w:pPr>
        <w:autoSpaceDE w:val="0"/>
        <w:autoSpaceDN w:val="0"/>
        <w:adjustRightInd w:val="0"/>
        <w:ind w:left="851"/>
        <w:rPr>
          <w:color w:val="000000"/>
          <w:sz w:val="24"/>
          <w:szCs w:val="24"/>
        </w:rPr>
      </w:pPr>
      <w:r w:rsidRPr="00012739">
        <w:rPr>
          <w:color w:val="000000"/>
          <w:sz w:val="24"/>
          <w:szCs w:val="24"/>
        </w:rPr>
        <w:t>Der er øget risiko for hypotension og nyreinsufficiens, når patienter med uni- eller bilateral nyrearteriestenose behandles med ACE-</w:t>
      </w:r>
      <w:proofErr w:type="spellStart"/>
      <w:r w:rsidRPr="00012739">
        <w:rPr>
          <w:color w:val="000000"/>
          <w:sz w:val="24"/>
          <w:szCs w:val="24"/>
        </w:rPr>
        <w:t>hæmmere</w:t>
      </w:r>
      <w:proofErr w:type="spellEnd"/>
      <w:r w:rsidRPr="00012739">
        <w:rPr>
          <w:color w:val="000000"/>
          <w:sz w:val="24"/>
          <w:szCs w:val="24"/>
        </w:rPr>
        <w:t xml:space="preserve">. Tab af nyrefunktion kan opstå med kun små ændringer i </w:t>
      </w:r>
      <w:proofErr w:type="spellStart"/>
      <w:r w:rsidRPr="00012739">
        <w:rPr>
          <w:color w:val="000000"/>
          <w:sz w:val="24"/>
          <w:szCs w:val="24"/>
        </w:rPr>
        <w:t>serumkreatinin</w:t>
      </w:r>
      <w:proofErr w:type="spellEnd"/>
      <w:r w:rsidRPr="00012739">
        <w:rPr>
          <w:color w:val="000000"/>
          <w:sz w:val="24"/>
          <w:szCs w:val="24"/>
        </w:rPr>
        <w:t>. Behandling af disse patienter bør initieres under tæt lægetilsyn med lave doser, omhyggelig titrering og kontrol af nyrefunktion.</w:t>
      </w:r>
    </w:p>
    <w:p w:rsidR="00012739" w:rsidRPr="00012739" w:rsidRDefault="00012739" w:rsidP="00012739">
      <w:pPr>
        <w:autoSpaceDE w:val="0"/>
        <w:autoSpaceDN w:val="0"/>
        <w:adjustRightInd w:val="0"/>
        <w:ind w:left="851"/>
        <w:rPr>
          <w:color w:val="000000"/>
          <w:sz w:val="24"/>
          <w:szCs w:val="24"/>
        </w:rPr>
      </w:pPr>
    </w:p>
    <w:p w:rsidR="00012739" w:rsidRPr="00012739" w:rsidRDefault="00012739" w:rsidP="00012739">
      <w:pPr>
        <w:autoSpaceDE w:val="0"/>
        <w:autoSpaceDN w:val="0"/>
        <w:adjustRightInd w:val="0"/>
        <w:ind w:left="851"/>
        <w:rPr>
          <w:color w:val="000000"/>
          <w:sz w:val="24"/>
          <w:szCs w:val="24"/>
          <w:u w:val="single"/>
        </w:rPr>
      </w:pPr>
      <w:r w:rsidRPr="00012739">
        <w:rPr>
          <w:color w:val="000000"/>
          <w:sz w:val="24"/>
          <w:szCs w:val="24"/>
          <w:u w:val="single"/>
        </w:rPr>
        <w:t>Nyretransplantation</w:t>
      </w:r>
    </w:p>
    <w:p w:rsidR="00012739" w:rsidRPr="00012739" w:rsidRDefault="00012739" w:rsidP="00012739">
      <w:pPr>
        <w:autoSpaceDE w:val="0"/>
        <w:autoSpaceDN w:val="0"/>
        <w:adjustRightInd w:val="0"/>
        <w:ind w:left="851"/>
        <w:rPr>
          <w:color w:val="000000"/>
          <w:sz w:val="24"/>
          <w:szCs w:val="24"/>
        </w:rPr>
      </w:pPr>
      <w:r w:rsidRPr="00012739">
        <w:rPr>
          <w:color w:val="000000"/>
          <w:sz w:val="24"/>
          <w:szCs w:val="24"/>
        </w:rPr>
        <w:t xml:space="preserve">Der er ingen erfaring med administration af </w:t>
      </w:r>
      <w:proofErr w:type="spellStart"/>
      <w:r w:rsidRPr="00012739">
        <w:rPr>
          <w:color w:val="000000"/>
          <w:sz w:val="24"/>
          <w:szCs w:val="24"/>
        </w:rPr>
        <w:t>Enalapril</w:t>
      </w:r>
      <w:proofErr w:type="spellEnd"/>
      <w:r w:rsidRPr="00012739">
        <w:rPr>
          <w:color w:val="000000"/>
          <w:sz w:val="24"/>
          <w:szCs w:val="24"/>
        </w:rPr>
        <w:t xml:space="preserve"> "</w:t>
      </w:r>
      <w:proofErr w:type="spellStart"/>
      <w:r w:rsidRPr="00012739">
        <w:rPr>
          <w:color w:val="000000"/>
          <w:sz w:val="24"/>
          <w:szCs w:val="24"/>
        </w:rPr>
        <w:t>Accord</w:t>
      </w:r>
      <w:proofErr w:type="spellEnd"/>
      <w:r w:rsidRPr="00012739">
        <w:rPr>
          <w:color w:val="000000"/>
          <w:sz w:val="24"/>
          <w:szCs w:val="24"/>
        </w:rPr>
        <w:t xml:space="preserve">" til nyligt nyretransplanterede patienter. Behandling med </w:t>
      </w:r>
      <w:proofErr w:type="spellStart"/>
      <w:r w:rsidRPr="00012739">
        <w:rPr>
          <w:color w:val="000000"/>
          <w:sz w:val="24"/>
          <w:szCs w:val="24"/>
        </w:rPr>
        <w:t>Enalapril</w:t>
      </w:r>
      <w:proofErr w:type="spellEnd"/>
      <w:r w:rsidRPr="00012739">
        <w:rPr>
          <w:color w:val="000000"/>
          <w:sz w:val="24"/>
          <w:szCs w:val="24"/>
        </w:rPr>
        <w:t xml:space="preserve"> "</w:t>
      </w:r>
      <w:proofErr w:type="spellStart"/>
      <w:r w:rsidRPr="00012739">
        <w:rPr>
          <w:color w:val="000000"/>
          <w:sz w:val="24"/>
          <w:szCs w:val="24"/>
        </w:rPr>
        <w:t>Accord</w:t>
      </w:r>
      <w:proofErr w:type="spellEnd"/>
      <w:r w:rsidRPr="00012739">
        <w:rPr>
          <w:color w:val="000000"/>
          <w:sz w:val="24"/>
          <w:szCs w:val="24"/>
        </w:rPr>
        <w:t>" anbefales derfor ikke.</w:t>
      </w:r>
    </w:p>
    <w:p w:rsidR="00012739" w:rsidRPr="00012739" w:rsidRDefault="00012739" w:rsidP="00012739">
      <w:pPr>
        <w:autoSpaceDE w:val="0"/>
        <w:autoSpaceDN w:val="0"/>
        <w:adjustRightInd w:val="0"/>
        <w:ind w:left="851"/>
        <w:rPr>
          <w:color w:val="000000"/>
          <w:sz w:val="24"/>
          <w:szCs w:val="24"/>
        </w:rPr>
      </w:pPr>
    </w:p>
    <w:p w:rsidR="00012739" w:rsidRPr="00012739" w:rsidRDefault="00012739" w:rsidP="00012739">
      <w:pPr>
        <w:autoSpaceDE w:val="0"/>
        <w:autoSpaceDN w:val="0"/>
        <w:adjustRightInd w:val="0"/>
        <w:ind w:left="851"/>
        <w:rPr>
          <w:color w:val="000000"/>
          <w:sz w:val="24"/>
          <w:szCs w:val="24"/>
          <w:u w:val="single"/>
        </w:rPr>
      </w:pPr>
      <w:r w:rsidRPr="00012739">
        <w:rPr>
          <w:color w:val="000000"/>
          <w:sz w:val="24"/>
          <w:szCs w:val="24"/>
          <w:u w:val="single"/>
        </w:rPr>
        <w:t>Leversvigt</w:t>
      </w:r>
    </w:p>
    <w:p w:rsidR="00012739" w:rsidRPr="00012739" w:rsidRDefault="00012739" w:rsidP="00012739">
      <w:pPr>
        <w:autoSpaceDE w:val="0"/>
        <w:autoSpaceDN w:val="0"/>
        <w:adjustRightInd w:val="0"/>
        <w:ind w:left="851"/>
        <w:rPr>
          <w:color w:val="000000"/>
          <w:sz w:val="24"/>
          <w:szCs w:val="24"/>
        </w:rPr>
      </w:pPr>
      <w:r w:rsidRPr="00012739">
        <w:rPr>
          <w:color w:val="000000"/>
          <w:sz w:val="24"/>
          <w:szCs w:val="24"/>
        </w:rPr>
        <w:t>ACE-</w:t>
      </w:r>
      <w:proofErr w:type="spellStart"/>
      <w:r w:rsidRPr="00012739">
        <w:rPr>
          <w:color w:val="000000"/>
          <w:sz w:val="24"/>
          <w:szCs w:val="24"/>
        </w:rPr>
        <w:t>hæmmere</w:t>
      </w:r>
      <w:proofErr w:type="spellEnd"/>
      <w:r w:rsidRPr="00012739">
        <w:rPr>
          <w:color w:val="000000"/>
          <w:sz w:val="24"/>
          <w:szCs w:val="24"/>
        </w:rPr>
        <w:t xml:space="preserve"> er i sjældne tilfælde blevet forbundet med et syndrom, der begynder med </w:t>
      </w:r>
      <w:proofErr w:type="spellStart"/>
      <w:r w:rsidRPr="00012739">
        <w:rPr>
          <w:color w:val="000000"/>
          <w:sz w:val="24"/>
          <w:szCs w:val="24"/>
        </w:rPr>
        <w:t>cholestatisk</w:t>
      </w:r>
      <w:proofErr w:type="spellEnd"/>
      <w:r w:rsidRPr="00012739">
        <w:rPr>
          <w:color w:val="000000"/>
          <w:sz w:val="24"/>
          <w:szCs w:val="24"/>
        </w:rPr>
        <w:t xml:space="preserve"> </w:t>
      </w:r>
      <w:proofErr w:type="spellStart"/>
      <w:r w:rsidRPr="00012739">
        <w:rPr>
          <w:color w:val="000000"/>
          <w:sz w:val="24"/>
          <w:szCs w:val="24"/>
        </w:rPr>
        <w:t>icterus</w:t>
      </w:r>
      <w:proofErr w:type="spellEnd"/>
      <w:r w:rsidRPr="00012739">
        <w:rPr>
          <w:color w:val="000000"/>
          <w:sz w:val="24"/>
          <w:szCs w:val="24"/>
        </w:rPr>
        <w:t xml:space="preserve"> eller hepatitis og progredierer over i fulminant levernekrose og (undertiden) død. Dette syndroms mekanisme er ikke forstået. Patienter, der behandles med ACE-</w:t>
      </w:r>
      <w:proofErr w:type="spellStart"/>
      <w:r w:rsidRPr="00012739">
        <w:rPr>
          <w:color w:val="000000"/>
          <w:sz w:val="24"/>
          <w:szCs w:val="24"/>
        </w:rPr>
        <w:t>hæmmere</w:t>
      </w:r>
      <w:proofErr w:type="spellEnd"/>
      <w:r w:rsidRPr="00012739">
        <w:rPr>
          <w:color w:val="000000"/>
          <w:sz w:val="24"/>
          <w:szCs w:val="24"/>
        </w:rPr>
        <w:t xml:space="preserve"> og udvikler </w:t>
      </w:r>
      <w:proofErr w:type="spellStart"/>
      <w:r w:rsidRPr="00012739">
        <w:rPr>
          <w:color w:val="000000"/>
          <w:sz w:val="24"/>
          <w:szCs w:val="24"/>
        </w:rPr>
        <w:t>icterus</w:t>
      </w:r>
      <w:proofErr w:type="spellEnd"/>
      <w:r w:rsidRPr="00012739">
        <w:rPr>
          <w:color w:val="000000"/>
          <w:sz w:val="24"/>
          <w:szCs w:val="24"/>
        </w:rPr>
        <w:t xml:space="preserve"> eller markante forhøjelser af leverenzymer, bør ophøre med ACE-</w:t>
      </w:r>
      <w:proofErr w:type="spellStart"/>
      <w:r w:rsidRPr="00012739">
        <w:rPr>
          <w:color w:val="000000"/>
          <w:sz w:val="24"/>
          <w:szCs w:val="24"/>
        </w:rPr>
        <w:t>hæmmerbehandling</w:t>
      </w:r>
      <w:proofErr w:type="spellEnd"/>
      <w:r w:rsidRPr="00012739">
        <w:rPr>
          <w:color w:val="000000"/>
          <w:sz w:val="24"/>
          <w:szCs w:val="24"/>
        </w:rPr>
        <w:t xml:space="preserve"> og modtage passende medicinsk opfølgning.</w:t>
      </w:r>
    </w:p>
    <w:p w:rsidR="00012739" w:rsidRPr="00012739" w:rsidRDefault="00012739" w:rsidP="00012739">
      <w:pPr>
        <w:autoSpaceDE w:val="0"/>
        <w:autoSpaceDN w:val="0"/>
        <w:adjustRightInd w:val="0"/>
        <w:ind w:left="851"/>
        <w:rPr>
          <w:color w:val="000000"/>
          <w:sz w:val="24"/>
          <w:szCs w:val="24"/>
        </w:rPr>
      </w:pPr>
    </w:p>
    <w:p w:rsidR="00012739" w:rsidRPr="00012739" w:rsidRDefault="00012739" w:rsidP="00012739">
      <w:pPr>
        <w:autoSpaceDE w:val="0"/>
        <w:autoSpaceDN w:val="0"/>
        <w:adjustRightInd w:val="0"/>
        <w:ind w:left="851"/>
        <w:rPr>
          <w:color w:val="000000"/>
          <w:sz w:val="24"/>
          <w:szCs w:val="24"/>
          <w:u w:val="single"/>
        </w:rPr>
      </w:pPr>
      <w:proofErr w:type="spellStart"/>
      <w:r w:rsidRPr="00012739">
        <w:rPr>
          <w:color w:val="000000"/>
          <w:sz w:val="24"/>
          <w:szCs w:val="24"/>
          <w:u w:val="single"/>
        </w:rPr>
        <w:t>Neutropeni</w:t>
      </w:r>
      <w:proofErr w:type="spellEnd"/>
      <w:r w:rsidRPr="00012739">
        <w:rPr>
          <w:color w:val="000000"/>
          <w:sz w:val="24"/>
          <w:szCs w:val="24"/>
          <w:u w:val="single"/>
        </w:rPr>
        <w:t>/</w:t>
      </w:r>
      <w:proofErr w:type="spellStart"/>
      <w:r w:rsidRPr="00012739">
        <w:rPr>
          <w:color w:val="000000"/>
          <w:sz w:val="24"/>
          <w:szCs w:val="24"/>
          <w:u w:val="single"/>
        </w:rPr>
        <w:t>agranulocytose</w:t>
      </w:r>
      <w:proofErr w:type="spellEnd"/>
    </w:p>
    <w:p w:rsidR="00012739" w:rsidRPr="00012739" w:rsidRDefault="00012739" w:rsidP="00012739">
      <w:pPr>
        <w:autoSpaceDE w:val="0"/>
        <w:autoSpaceDN w:val="0"/>
        <w:adjustRightInd w:val="0"/>
        <w:ind w:left="851"/>
        <w:rPr>
          <w:color w:val="000000"/>
          <w:sz w:val="24"/>
          <w:szCs w:val="24"/>
        </w:rPr>
      </w:pPr>
      <w:r w:rsidRPr="00012739">
        <w:rPr>
          <w:color w:val="000000"/>
          <w:sz w:val="24"/>
          <w:szCs w:val="24"/>
        </w:rPr>
        <w:t xml:space="preserve">Der er indberettet </w:t>
      </w:r>
      <w:proofErr w:type="spellStart"/>
      <w:r w:rsidRPr="00012739">
        <w:rPr>
          <w:color w:val="000000"/>
          <w:sz w:val="24"/>
          <w:szCs w:val="24"/>
        </w:rPr>
        <w:t>neutropeni</w:t>
      </w:r>
      <w:proofErr w:type="spellEnd"/>
      <w:r w:rsidRPr="00012739">
        <w:rPr>
          <w:color w:val="000000"/>
          <w:sz w:val="24"/>
          <w:szCs w:val="24"/>
        </w:rPr>
        <w:t>/</w:t>
      </w:r>
      <w:proofErr w:type="spellStart"/>
      <w:r w:rsidRPr="00012739">
        <w:rPr>
          <w:color w:val="000000"/>
          <w:sz w:val="24"/>
          <w:szCs w:val="24"/>
        </w:rPr>
        <w:t>agranulocytose</w:t>
      </w:r>
      <w:proofErr w:type="spellEnd"/>
      <w:r w:rsidRPr="00012739">
        <w:rPr>
          <w:color w:val="000000"/>
          <w:sz w:val="24"/>
          <w:szCs w:val="24"/>
        </w:rPr>
        <w:t xml:space="preserve">, </w:t>
      </w:r>
      <w:proofErr w:type="spellStart"/>
      <w:r w:rsidRPr="00012739">
        <w:rPr>
          <w:color w:val="000000"/>
          <w:sz w:val="24"/>
          <w:szCs w:val="24"/>
        </w:rPr>
        <w:t>thrombocytopeni</w:t>
      </w:r>
      <w:proofErr w:type="spellEnd"/>
      <w:r w:rsidRPr="00012739">
        <w:rPr>
          <w:color w:val="000000"/>
          <w:sz w:val="24"/>
          <w:szCs w:val="24"/>
        </w:rPr>
        <w:t xml:space="preserve"> og anæmi hos patienter, der er i ACE-</w:t>
      </w:r>
      <w:proofErr w:type="spellStart"/>
      <w:r w:rsidRPr="00012739">
        <w:rPr>
          <w:color w:val="000000"/>
          <w:sz w:val="24"/>
          <w:szCs w:val="24"/>
        </w:rPr>
        <w:t>hæmmerbehandling</w:t>
      </w:r>
      <w:proofErr w:type="spellEnd"/>
      <w:r w:rsidRPr="00012739">
        <w:rPr>
          <w:color w:val="000000"/>
          <w:sz w:val="24"/>
          <w:szCs w:val="24"/>
        </w:rPr>
        <w:t xml:space="preserve">. Hos patienter med normal nyrefunktion og uden komplicerende faktorer opstår </w:t>
      </w:r>
      <w:proofErr w:type="spellStart"/>
      <w:r w:rsidRPr="00012739">
        <w:rPr>
          <w:color w:val="000000"/>
          <w:sz w:val="24"/>
          <w:szCs w:val="24"/>
        </w:rPr>
        <w:t>neutropeni</w:t>
      </w:r>
      <w:proofErr w:type="spellEnd"/>
      <w:r w:rsidRPr="00012739">
        <w:rPr>
          <w:color w:val="000000"/>
          <w:sz w:val="24"/>
          <w:szCs w:val="24"/>
        </w:rPr>
        <w:t xml:space="preserve"> sjældent. </w:t>
      </w:r>
      <w:proofErr w:type="spellStart"/>
      <w:r w:rsidRPr="00012739">
        <w:rPr>
          <w:color w:val="000000"/>
          <w:sz w:val="24"/>
          <w:szCs w:val="24"/>
        </w:rPr>
        <w:t>Enalapril</w:t>
      </w:r>
      <w:proofErr w:type="spellEnd"/>
      <w:r w:rsidRPr="00012739">
        <w:rPr>
          <w:color w:val="000000"/>
          <w:sz w:val="24"/>
          <w:szCs w:val="24"/>
        </w:rPr>
        <w:t xml:space="preserve"> bør bruges med ekstrem forsigtighed til patienter med collagen </w:t>
      </w:r>
      <w:proofErr w:type="spellStart"/>
      <w:r w:rsidRPr="00012739">
        <w:rPr>
          <w:color w:val="000000"/>
          <w:sz w:val="24"/>
          <w:szCs w:val="24"/>
        </w:rPr>
        <w:t>vaskulær</w:t>
      </w:r>
      <w:proofErr w:type="spellEnd"/>
      <w:r w:rsidRPr="00012739">
        <w:rPr>
          <w:color w:val="000000"/>
          <w:sz w:val="24"/>
          <w:szCs w:val="24"/>
        </w:rPr>
        <w:t xml:space="preserve"> sygdom, </w:t>
      </w:r>
      <w:proofErr w:type="spellStart"/>
      <w:r w:rsidRPr="00012739">
        <w:rPr>
          <w:color w:val="000000"/>
          <w:sz w:val="24"/>
          <w:szCs w:val="24"/>
        </w:rPr>
        <w:t>immunosuppressiv</w:t>
      </w:r>
      <w:proofErr w:type="spellEnd"/>
      <w:r w:rsidRPr="00012739">
        <w:rPr>
          <w:color w:val="000000"/>
          <w:sz w:val="24"/>
          <w:szCs w:val="24"/>
        </w:rPr>
        <w:t xml:space="preserve"> behandling, behandling med </w:t>
      </w:r>
      <w:proofErr w:type="spellStart"/>
      <w:r w:rsidRPr="00012739">
        <w:rPr>
          <w:color w:val="000000"/>
          <w:sz w:val="24"/>
          <w:szCs w:val="24"/>
        </w:rPr>
        <w:t>allopurinol</w:t>
      </w:r>
      <w:proofErr w:type="spellEnd"/>
      <w:r w:rsidRPr="00012739">
        <w:rPr>
          <w:color w:val="000000"/>
          <w:sz w:val="24"/>
          <w:szCs w:val="24"/>
        </w:rPr>
        <w:t xml:space="preserve"> eller </w:t>
      </w:r>
      <w:proofErr w:type="spellStart"/>
      <w:r w:rsidRPr="00012739">
        <w:rPr>
          <w:color w:val="000000"/>
          <w:sz w:val="24"/>
          <w:szCs w:val="24"/>
        </w:rPr>
        <w:t>procainamid</w:t>
      </w:r>
      <w:proofErr w:type="spellEnd"/>
      <w:r w:rsidRPr="00012739">
        <w:rPr>
          <w:color w:val="000000"/>
          <w:sz w:val="24"/>
          <w:szCs w:val="24"/>
        </w:rPr>
        <w:t xml:space="preserve"> eller en kombination af disse komplicerende </w:t>
      </w:r>
      <w:r w:rsidRPr="00012739">
        <w:rPr>
          <w:color w:val="000000"/>
          <w:sz w:val="24"/>
          <w:szCs w:val="24"/>
        </w:rPr>
        <w:lastRenderedPageBreak/>
        <w:t xml:space="preserve">faktorer, især hvis der allerede forekommer nedsat nyrefunktion. Nogle af disse patienter udviklede alvorlige infektioner, der i nogle få tilfælde ikke responderede på intensiv antibiotisk behandling. Hvis </w:t>
      </w:r>
      <w:proofErr w:type="spellStart"/>
      <w:r w:rsidRPr="00012739">
        <w:rPr>
          <w:color w:val="000000"/>
          <w:sz w:val="24"/>
          <w:szCs w:val="24"/>
        </w:rPr>
        <w:t>enalapril</w:t>
      </w:r>
      <w:proofErr w:type="spellEnd"/>
      <w:r w:rsidRPr="00012739">
        <w:rPr>
          <w:color w:val="000000"/>
          <w:sz w:val="24"/>
          <w:szCs w:val="24"/>
        </w:rPr>
        <w:t xml:space="preserve"> anvendes til disse patienter, tilrådes periodisk kontrol af hvide blodlegemer, og patienterne bør vejledes om at indberette ethvert tegn på infektion.</w:t>
      </w:r>
    </w:p>
    <w:p w:rsidR="00012739" w:rsidRPr="00012739" w:rsidRDefault="00012739" w:rsidP="00012739">
      <w:pPr>
        <w:autoSpaceDE w:val="0"/>
        <w:autoSpaceDN w:val="0"/>
        <w:adjustRightInd w:val="0"/>
        <w:ind w:left="851"/>
        <w:rPr>
          <w:color w:val="000000"/>
          <w:sz w:val="24"/>
          <w:szCs w:val="24"/>
        </w:rPr>
      </w:pPr>
    </w:p>
    <w:p w:rsidR="00012739" w:rsidRPr="00012739" w:rsidRDefault="00012739" w:rsidP="00012739">
      <w:pPr>
        <w:autoSpaceDE w:val="0"/>
        <w:autoSpaceDN w:val="0"/>
        <w:adjustRightInd w:val="0"/>
        <w:ind w:left="851"/>
        <w:rPr>
          <w:color w:val="000000"/>
          <w:sz w:val="24"/>
          <w:szCs w:val="24"/>
          <w:u w:val="single"/>
        </w:rPr>
      </w:pPr>
      <w:r w:rsidRPr="00012739">
        <w:rPr>
          <w:color w:val="000000"/>
          <w:sz w:val="24"/>
          <w:szCs w:val="24"/>
          <w:u w:val="single"/>
        </w:rPr>
        <w:t>Hypersensibilitet/</w:t>
      </w:r>
      <w:proofErr w:type="spellStart"/>
      <w:r w:rsidRPr="00012739">
        <w:rPr>
          <w:color w:val="000000"/>
          <w:sz w:val="24"/>
          <w:szCs w:val="24"/>
          <w:u w:val="single"/>
        </w:rPr>
        <w:t>angioødem</w:t>
      </w:r>
      <w:proofErr w:type="spellEnd"/>
    </w:p>
    <w:p w:rsidR="00012739" w:rsidRPr="00012739" w:rsidRDefault="00012739" w:rsidP="00012739">
      <w:pPr>
        <w:autoSpaceDE w:val="0"/>
        <w:autoSpaceDN w:val="0"/>
        <w:adjustRightInd w:val="0"/>
        <w:ind w:left="851"/>
        <w:rPr>
          <w:color w:val="000000"/>
          <w:sz w:val="24"/>
          <w:szCs w:val="24"/>
        </w:rPr>
      </w:pPr>
      <w:proofErr w:type="spellStart"/>
      <w:r w:rsidRPr="00012739">
        <w:rPr>
          <w:color w:val="000000"/>
          <w:sz w:val="24"/>
          <w:szCs w:val="24"/>
        </w:rPr>
        <w:t>Angioødem</w:t>
      </w:r>
      <w:proofErr w:type="spellEnd"/>
      <w:r w:rsidRPr="00012739">
        <w:rPr>
          <w:color w:val="000000"/>
          <w:sz w:val="24"/>
          <w:szCs w:val="24"/>
        </w:rPr>
        <w:t xml:space="preserve"> omfattende ansigt, ekstremiteter, læber, tunge, </w:t>
      </w:r>
      <w:proofErr w:type="spellStart"/>
      <w:r w:rsidRPr="00012739">
        <w:rPr>
          <w:color w:val="000000"/>
          <w:sz w:val="24"/>
          <w:szCs w:val="24"/>
        </w:rPr>
        <w:t>glottis</w:t>
      </w:r>
      <w:proofErr w:type="spellEnd"/>
      <w:r w:rsidRPr="00012739">
        <w:rPr>
          <w:color w:val="000000"/>
          <w:sz w:val="24"/>
          <w:szCs w:val="24"/>
        </w:rPr>
        <w:t xml:space="preserve"> og/eller </w:t>
      </w:r>
      <w:proofErr w:type="spellStart"/>
      <w:r w:rsidRPr="00012739">
        <w:rPr>
          <w:color w:val="000000"/>
          <w:sz w:val="24"/>
          <w:szCs w:val="24"/>
        </w:rPr>
        <w:t>larynx</w:t>
      </w:r>
      <w:proofErr w:type="spellEnd"/>
      <w:r w:rsidRPr="00012739">
        <w:rPr>
          <w:color w:val="000000"/>
          <w:sz w:val="24"/>
          <w:szCs w:val="24"/>
        </w:rPr>
        <w:t xml:space="preserve"> er indberettet hos patienter behandlet med ACE-</w:t>
      </w:r>
      <w:proofErr w:type="spellStart"/>
      <w:r w:rsidRPr="00012739">
        <w:rPr>
          <w:color w:val="000000"/>
          <w:sz w:val="24"/>
          <w:szCs w:val="24"/>
        </w:rPr>
        <w:t>hæmmere</w:t>
      </w:r>
      <w:proofErr w:type="spellEnd"/>
      <w:r w:rsidRPr="00012739">
        <w:rPr>
          <w:color w:val="000000"/>
          <w:sz w:val="24"/>
          <w:szCs w:val="24"/>
        </w:rPr>
        <w:t xml:space="preserve">, inklusive </w:t>
      </w:r>
      <w:proofErr w:type="spellStart"/>
      <w:r w:rsidRPr="00012739">
        <w:rPr>
          <w:color w:val="000000"/>
          <w:sz w:val="24"/>
          <w:szCs w:val="24"/>
        </w:rPr>
        <w:t>Enalapril</w:t>
      </w:r>
      <w:proofErr w:type="spellEnd"/>
      <w:r w:rsidRPr="00012739">
        <w:rPr>
          <w:color w:val="000000"/>
          <w:sz w:val="24"/>
          <w:szCs w:val="24"/>
        </w:rPr>
        <w:t xml:space="preserve"> "</w:t>
      </w:r>
      <w:proofErr w:type="spellStart"/>
      <w:r w:rsidRPr="00012739">
        <w:rPr>
          <w:color w:val="000000"/>
          <w:sz w:val="24"/>
          <w:szCs w:val="24"/>
        </w:rPr>
        <w:t>Accord</w:t>
      </w:r>
      <w:proofErr w:type="spellEnd"/>
      <w:r w:rsidRPr="00012739">
        <w:rPr>
          <w:color w:val="000000"/>
          <w:sz w:val="24"/>
          <w:szCs w:val="24"/>
        </w:rPr>
        <w:t xml:space="preserve">". Dette kan forekomme på ethvert tidspunkt under behandlingen. I sådanne tilfælde skal </w:t>
      </w:r>
      <w:proofErr w:type="spellStart"/>
      <w:r w:rsidRPr="00012739">
        <w:rPr>
          <w:color w:val="000000"/>
          <w:sz w:val="24"/>
          <w:szCs w:val="24"/>
        </w:rPr>
        <w:t>Enalapril</w:t>
      </w:r>
      <w:proofErr w:type="spellEnd"/>
      <w:r w:rsidRPr="00012739">
        <w:rPr>
          <w:color w:val="000000"/>
          <w:sz w:val="24"/>
          <w:szCs w:val="24"/>
        </w:rPr>
        <w:t xml:space="preserve"> "</w:t>
      </w:r>
      <w:proofErr w:type="spellStart"/>
      <w:r w:rsidRPr="00012739">
        <w:rPr>
          <w:color w:val="000000"/>
          <w:sz w:val="24"/>
          <w:szCs w:val="24"/>
        </w:rPr>
        <w:t>Accord</w:t>
      </w:r>
      <w:proofErr w:type="spellEnd"/>
      <w:r w:rsidRPr="00012739">
        <w:rPr>
          <w:color w:val="000000"/>
          <w:sz w:val="24"/>
          <w:szCs w:val="24"/>
        </w:rPr>
        <w:t xml:space="preserve">" seponeres øjeblikkeligt og patienten observeres omhyggeligt for at sikre fuldstændig ophør af symptomer, før patienten afsluttes. Selv i tilfælde, hvor hævelsen er begrænset til tungen uden respirationsdepression, kan det være nødvendigt med fortsat patientovervågning, idet behandling med antihistaminer og </w:t>
      </w:r>
      <w:proofErr w:type="spellStart"/>
      <w:r w:rsidRPr="00012739">
        <w:rPr>
          <w:color w:val="000000"/>
          <w:sz w:val="24"/>
          <w:szCs w:val="24"/>
        </w:rPr>
        <w:t>kortikosteroider</w:t>
      </w:r>
      <w:proofErr w:type="spellEnd"/>
      <w:r w:rsidRPr="00012739">
        <w:rPr>
          <w:color w:val="000000"/>
          <w:sz w:val="24"/>
          <w:szCs w:val="24"/>
        </w:rPr>
        <w:t xml:space="preserve"> ikke altid er tilstrækkelig.</w:t>
      </w:r>
    </w:p>
    <w:p w:rsidR="00012739" w:rsidRPr="00012739" w:rsidRDefault="00012739" w:rsidP="00012739">
      <w:pPr>
        <w:autoSpaceDE w:val="0"/>
        <w:autoSpaceDN w:val="0"/>
        <w:adjustRightInd w:val="0"/>
        <w:ind w:left="851"/>
        <w:rPr>
          <w:color w:val="000000"/>
          <w:sz w:val="24"/>
          <w:szCs w:val="24"/>
        </w:rPr>
      </w:pPr>
    </w:p>
    <w:p w:rsidR="00012739" w:rsidRPr="00012739" w:rsidRDefault="00012739" w:rsidP="00012739">
      <w:pPr>
        <w:autoSpaceDE w:val="0"/>
        <w:autoSpaceDN w:val="0"/>
        <w:adjustRightInd w:val="0"/>
        <w:ind w:left="851"/>
        <w:rPr>
          <w:color w:val="000000"/>
          <w:sz w:val="24"/>
          <w:szCs w:val="24"/>
        </w:rPr>
      </w:pPr>
      <w:r w:rsidRPr="00012739">
        <w:rPr>
          <w:color w:val="000000"/>
          <w:sz w:val="24"/>
          <w:szCs w:val="24"/>
        </w:rPr>
        <w:t xml:space="preserve">Der er i meget sjældne tilfælde blevet indberettet dødsfald på grund af </w:t>
      </w:r>
      <w:proofErr w:type="spellStart"/>
      <w:r w:rsidRPr="00012739">
        <w:rPr>
          <w:color w:val="000000"/>
          <w:sz w:val="24"/>
          <w:szCs w:val="24"/>
        </w:rPr>
        <w:t>angioødem</w:t>
      </w:r>
      <w:proofErr w:type="spellEnd"/>
      <w:r w:rsidRPr="00012739">
        <w:rPr>
          <w:color w:val="000000"/>
          <w:sz w:val="24"/>
          <w:szCs w:val="24"/>
        </w:rPr>
        <w:t xml:space="preserve"> forbundet med </w:t>
      </w:r>
      <w:proofErr w:type="spellStart"/>
      <w:r w:rsidRPr="00012739">
        <w:rPr>
          <w:color w:val="000000"/>
          <w:sz w:val="24"/>
          <w:szCs w:val="24"/>
        </w:rPr>
        <w:t>larynx</w:t>
      </w:r>
      <w:proofErr w:type="spellEnd"/>
      <w:r w:rsidRPr="00012739">
        <w:rPr>
          <w:color w:val="000000"/>
          <w:sz w:val="24"/>
          <w:szCs w:val="24"/>
        </w:rPr>
        <w:t xml:space="preserve">- eller tungeødem. Hos patienter, hvor tungen, </w:t>
      </w:r>
      <w:proofErr w:type="spellStart"/>
      <w:r w:rsidRPr="00012739">
        <w:rPr>
          <w:color w:val="000000"/>
          <w:sz w:val="24"/>
          <w:szCs w:val="24"/>
        </w:rPr>
        <w:t>glottis</w:t>
      </w:r>
      <w:proofErr w:type="spellEnd"/>
      <w:r w:rsidRPr="00012739">
        <w:rPr>
          <w:color w:val="000000"/>
          <w:sz w:val="24"/>
          <w:szCs w:val="24"/>
        </w:rPr>
        <w:t xml:space="preserve"> eller </w:t>
      </w:r>
      <w:proofErr w:type="spellStart"/>
      <w:r w:rsidRPr="00012739">
        <w:rPr>
          <w:color w:val="000000"/>
          <w:sz w:val="24"/>
          <w:szCs w:val="24"/>
        </w:rPr>
        <w:t>larynx</w:t>
      </w:r>
      <w:proofErr w:type="spellEnd"/>
      <w:r w:rsidRPr="00012739">
        <w:rPr>
          <w:color w:val="000000"/>
          <w:sz w:val="24"/>
          <w:szCs w:val="24"/>
        </w:rPr>
        <w:t xml:space="preserve"> er påvirket, er der sandsynlighed for luftvejsobstruktion, særligt hos patienter med respirationskirurgi i anamnesen. I tilfælde, der omfatter tungen, </w:t>
      </w:r>
      <w:proofErr w:type="spellStart"/>
      <w:r w:rsidRPr="00012739">
        <w:rPr>
          <w:color w:val="000000"/>
          <w:sz w:val="24"/>
          <w:szCs w:val="24"/>
        </w:rPr>
        <w:t>glottis</w:t>
      </w:r>
      <w:proofErr w:type="spellEnd"/>
      <w:r w:rsidRPr="00012739">
        <w:rPr>
          <w:color w:val="000000"/>
          <w:sz w:val="24"/>
          <w:szCs w:val="24"/>
        </w:rPr>
        <w:t xml:space="preserve"> eller </w:t>
      </w:r>
      <w:proofErr w:type="spellStart"/>
      <w:r w:rsidRPr="00012739">
        <w:rPr>
          <w:color w:val="000000"/>
          <w:sz w:val="24"/>
          <w:szCs w:val="24"/>
        </w:rPr>
        <w:t>larynx</w:t>
      </w:r>
      <w:proofErr w:type="spellEnd"/>
      <w:r w:rsidRPr="00012739">
        <w:rPr>
          <w:color w:val="000000"/>
          <w:sz w:val="24"/>
          <w:szCs w:val="24"/>
        </w:rPr>
        <w:t>, og hvor der er sandsynlighed for tillukning af luftvejene, skal der straks igangsættes passende behandling, der kan inkludere subkutan adrenalinopløsning 1:1000 (0,3-0,5 ml) og/eller forholdsregler med henblik på at sikre tilstrækkelig lufttilførsel.</w:t>
      </w:r>
    </w:p>
    <w:p w:rsidR="00012739" w:rsidRPr="00012739" w:rsidRDefault="00012739" w:rsidP="00012739">
      <w:pPr>
        <w:autoSpaceDE w:val="0"/>
        <w:autoSpaceDN w:val="0"/>
        <w:adjustRightInd w:val="0"/>
        <w:ind w:left="851"/>
        <w:rPr>
          <w:color w:val="000000"/>
          <w:sz w:val="24"/>
          <w:szCs w:val="24"/>
        </w:rPr>
      </w:pPr>
    </w:p>
    <w:p w:rsidR="00012739" w:rsidRPr="00012739" w:rsidRDefault="00012739" w:rsidP="00012739">
      <w:pPr>
        <w:autoSpaceDE w:val="0"/>
        <w:autoSpaceDN w:val="0"/>
        <w:adjustRightInd w:val="0"/>
        <w:ind w:left="851"/>
        <w:rPr>
          <w:color w:val="000000"/>
          <w:sz w:val="24"/>
          <w:szCs w:val="24"/>
        </w:rPr>
      </w:pPr>
      <w:r w:rsidRPr="00012739">
        <w:rPr>
          <w:color w:val="000000"/>
          <w:sz w:val="24"/>
          <w:szCs w:val="24"/>
        </w:rPr>
        <w:t>Det er indberettet, at negroide patienter i behandling med ACE-</w:t>
      </w:r>
      <w:proofErr w:type="spellStart"/>
      <w:r w:rsidRPr="00012739">
        <w:rPr>
          <w:color w:val="000000"/>
          <w:sz w:val="24"/>
          <w:szCs w:val="24"/>
        </w:rPr>
        <w:t>hæmmere</w:t>
      </w:r>
      <w:proofErr w:type="spellEnd"/>
      <w:r w:rsidRPr="00012739">
        <w:rPr>
          <w:color w:val="000000"/>
          <w:sz w:val="24"/>
          <w:szCs w:val="24"/>
        </w:rPr>
        <w:t xml:space="preserve"> har højere </w:t>
      </w:r>
      <w:proofErr w:type="spellStart"/>
      <w:r w:rsidRPr="00012739">
        <w:rPr>
          <w:color w:val="000000"/>
          <w:sz w:val="24"/>
          <w:szCs w:val="24"/>
        </w:rPr>
        <w:t>incidens</w:t>
      </w:r>
      <w:proofErr w:type="spellEnd"/>
      <w:r w:rsidRPr="00012739">
        <w:rPr>
          <w:color w:val="000000"/>
          <w:sz w:val="24"/>
          <w:szCs w:val="24"/>
        </w:rPr>
        <w:t xml:space="preserve"> af </w:t>
      </w:r>
      <w:proofErr w:type="spellStart"/>
      <w:r w:rsidRPr="00012739">
        <w:rPr>
          <w:color w:val="000000"/>
          <w:sz w:val="24"/>
          <w:szCs w:val="24"/>
        </w:rPr>
        <w:t>angioødem</w:t>
      </w:r>
      <w:proofErr w:type="spellEnd"/>
      <w:r w:rsidRPr="00012739">
        <w:rPr>
          <w:color w:val="000000"/>
          <w:sz w:val="24"/>
          <w:szCs w:val="24"/>
        </w:rPr>
        <w:t xml:space="preserve"> sammenlignet med ikke-negroide patienter.</w:t>
      </w:r>
    </w:p>
    <w:p w:rsidR="00012739" w:rsidRPr="00012739" w:rsidRDefault="00012739" w:rsidP="00012739">
      <w:pPr>
        <w:autoSpaceDE w:val="0"/>
        <w:autoSpaceDN w:val="0"/>
        <w:adjustRightInd w:val="0"/>
        <w:ind w:left="851"/>
        <w:rPr>
          <w:color w:val="000000"/>
          <w:sz w:val="24"/>
          <w:szCs w:val="24"/>
        </w:rPr>
      </w:pPr>
    </w:p>
    <w:p w:rsidR="00012739" w:rsidRPr="00012739" w:rsidRDefault="00012739" w:rsidP="00012739">
      <w:pPr>
        <w:autoSpaceDE w:val="0"/>
        <w:autoSpaceDN w:val="0"/>
        <w:adjustRightInd w:val="0"/>
        <w:ind w:left="851"/>
        <w:rPr>
          <w:color w:val="000000"/>
          <w:sz w:val="24"/>
          <w:szCs w:val="24"/>
        </w:rPr>
      </w:pPr>
      <w:r w:rsidRPr="00012739">
        <w:rPr>
          <w:color w:val="000000"/>
          <w:sz w:val="24"/>
          <w:szCs w:val="24"/>
        </w:rPr>
        <w:t xml:space="preserve">Patienter med tidligere tilfælde af </w:t>
      </w:r>
      <w:proofErr w:type="spellStart"/>
      <w:r w:rsidRPr="00012739">
        <w:rPr>
          <w:color w:val="000000"/>
          <w:sz w:val="24"/>
          <w:szCs w:val="24"/>
        </w:rPr>
        <w:t>angioødem</w:t>
      </w:r>
      <w:proofErr w:type="spellEnd"/>
      <w:r w:rsidRPr="00012739">
        <w:rPr>
          <w:color w:val="000000"/>
          <w:sz w:val="24"/>
          <w:szCs w:val="24"/>
        </w:rPr>
        <w:t xml:space="preserve"> uden relation til behandling med ACE-</w:t>
      </w:r>
      <w:proofErr w:type="spellStart"/>
      <w:r w:rsidRPr="00012739">
        <w:rPr>
          <w:color w:val="000000"/>
          <w:sz w:val="24"/>
          <w:szCs w:val="24"/>
        </w:rPr>
        <w:t>hæmmere</w:t>
      </w:r>
      <w:proofErr w:type="spellEnd"/>
      <w:r w:rsidRPr="00012739">
        <w:rPr>
          <w:color w:val="000000"/>
          <w:sz w:val="24"/>
          <w:szCs w:val="24"/>
        </w:rPr>
        <w:t xml:space="preserve">, kan have øget risiko for udvikling af </w:t>
      </w:r>
      <w:proofErr w:type="spellStart"/>
      <w:r w:rsidRPr="00012739">
        <w:rPr>
          <w:color w:val="000000"/>
          <w:sz w:val="24"/>
          <w:szCs w:val="24"/>
        </w:rPr>
        <w:t>angioødem</w:t>
      </w:r>
      <w:proofErr w:type="spellEnd"/>
      <w:r w:rsidRPr="00012739">
        <w:rPr>
          <w:color w:val="000000"/>
          <w:sz w:val="24"/>
          <w:szCs w:val="24"/>
        </w:rPr>
        <w:t xml:space="preserve"> under ACE-</w:t>
      </w:r>
      <w:proofErr w:type="spellStart"/>
      <w:r w:rsidRPr="00012739">
        <w:rPr>
          <w:color w:val="000000"/>
          <w:sz w:val="24"/>
          <w:szCs w:val="24"/>
        </w:rPr>
        <w:t>hæmmerbehandling</w:t>
      </w:r>
      <w:proofErr w:type="spellEnd"/>
      <w:r w:rsidRPr="00012739">
        <w:rPr>
          <w:color w:val="000000"/>
          <w:sz w:val="24"/>
          <w:szCs w:val="24"/>
        </w:rPr>
        <w:t xml:space="preserve"> (se pkt. 4.3).</w:t>
      </w:r>
    </w:p>
    <w:p w:rsidR="00012739" w:rsidRPr="00012739" w:rsidRDefault="00012739" w:rsidP="00012739">
      <w:pPr>
        <w:autoSpaceDE w:val="0"/>
        <w:autoSpaceDN w:val="0"/>
        <w:adjustRightInd w:val="0"/>
        <w:ind w:left="851"/>
        <w:rPr>
          <w:color w:val="000000"/>
          <w:sz w:val="24"/>
          <w:szCs w:val="24"/>
        </w:rPr>
      </w:pPr>
    </w:p>
    <w:p w:rsidR="00CE4BB6" w:rsidRPr="004C30E9" w:rsidRDefault="00CE4BB6" w:rsidP="00CE4BB6">
      <w:pPr>
        <w:autoSpaceDE w:val="0"/>
        <w:autoSpaceDN w:val="0"/>
        <w:adjustRightInd w:val="0"/>
        <w:ind w:left="851"/>
        <w:rPr>
          <w:color w:val="000000"/>
          <w:sz w:val="24"/>
          <w:szCs w:val="24"/>
        </w:rPr>
      </w:pPr>
      <w:r>
        <w:rPr>
          <w:color w:val="000000"/>
          <w:sz w:val="24"/>
          <w:szCs w:val="24"/>
        </w:rPr>
        <w:t xml:space="preserve">Samtidig brug af </w:t>
      </w:r>
      <w:r w:rsidRPr="00012739">
        <w:rPr>
          <w:color w:val="000000"/>
          <w:sz w:val="24"/>
          <w:szCs w:val="24"/>
        </w:rPr>
        <w:t>ACE-</w:t>
      </w:r>
      <w:proofErr w:type="spellStart"/>
      <w:r w:rsidRPr="00012739">
        <w:rPr>
          <w:color w:val="000000"/>
          <w:sz w:val="24"/>
          <w:szCs w:val="24"/>
        </w:rPr>
        <w:t>hæmmere</w:t>
      </w:r>
      <w:proofErr w:type="spellEnd"/>
      <w:r w:rsidRPr="00012739">
        <w:rPr>
          <w:color w:val="000000"/>
          <w:sz w:val="24"/>
          <w:szCs w:val="24"/>
        </w:rPr>
        <w:t xml:space="preserve"> </w:t>
      </w:r>
      <w:r>
        <w:rPr>
          <w:color w:val="000000"/>
          <w:sz w:val="24"/>
          <w:szCs w:val="24"/>
        </w:rPr>
        <w:t>med</w:t>
      </w:r>
      <w:r w:rsidRPr="00012739">
        <w:rPr>
          <w:color w:val="000000"/>
          <w:sz w:val="24"/>
          <w:szCs w:val="24"/>
        </w:rPr>
        <w:t xml:space="preserve"> </w:t>
      </w:r>
      <w:proofErr w:type="spellStart"/>
      <w:r>
        <w:rPr>
          <w:color w:val="000000"/>
          <w:sz w:val="24"/>
          <w:szCs w:val="24"/>
        </w:rPr>
        <w:t>racecadotril</w:t>
      </w:r>
      <w:proofErr w:type="spellEnd"/>
      <w:r>
        <w:rPr>
          <w:color w:val="000000"/>
          <w:sz w:val="24"/>
          <w:szCs w:val="24"/>
        </w:rPr>
        <w:t xml:space="preserve">, </w:t>
      </w:r>
      <w:proofErr w:type="spellStart"/>
      <w:r w:rsidRPr="00012739">
        <w:rPr>
          <w:color w:val="000000"/>
          <w:sz w:val="24"/>
          <w:szCs w:val="24"/>
        </w:rPr>
        <w:t>mTOR-hæmmere</w:t>
      </w:r>
      <w:proofErr w:type="spellEnd"/>
      <w:r w:rsidRPr="00012739">
        <w:rPr>
          <w:color w:val="000000"/>
          <w:sz w:val="24"/>
          <w:szCs w:val="24"/>
        </w:rPr>
        <w:t xml:space="preserve"> (fx </w:t>
      </w:r>
      <w:proofErr w:type="spellStart"/>
      <w:r w:rsidRPr="00012739">
        <w:rPr>
          <w:color w:val="000000"/>
          <w:sz w:val="24"/>
          <w:szCs w:val="24"/>
        </w:rPr>
        <w:t>temsirolimus</w:t>
      </w:r>
      <w:proofErr w:type="spellEnd"/>
      <w:r w:rsidRPr="00012739">
        <w:rPr>
          <w:color w:val="000000"/>
          <w:sz w:val="24"/>
          <w:szCs w:val="24"/>
        </w:rPr>
        <w:t xml:space="preserve">, </w:t>
      </w:r>
      <w:proofErr w:type="spellStart"/>
      <w:r w:rsidRPr="00012739">
        <w:rPr>
          <w:color w:val="000000"/>
          <w:sz w:val="24"/>
          <w:szCs w:val="24"/>
        </w:rPr>
        <w:t>sirolimus</w:t>
      </w:r>
      <w:proofErr w:type="spellEnd"/>
      <w:r w:rsidRPr="00012739">
        <w:rPr>
          <w:color w:val="000000"/>
          <w:sz w:val="24"/>
          <w:szCs w:val="24"/>
        </w:rPr>
        <w:t xml:space="preserve">, </w:t>
      </w:r>
      <w:proofErr w:type="spellStart"/>
      <w:r w:rsidRPr="00012739">
        <w:rPr>
          <w:color w:val="000000"/>
          <w:sz w:val="24"/>
          <w:szCs w:val="24"/>
        </w:rPr>
        <w:t>everolimus</w:t>
      </w:r>
      <w:proofErr w:type="spellEnd"/>
      <w:r w:rsidRPr="00012739">
        <w:rPr>
          <w:color w:val="000000"/>
          <w:sz w:val="24"/>
          <w:szCs w:val="24"/>
        </w:rPr>
        <w:t xml:space="preserve">) </w:t>
      </w:r>
      <w:r>
        <w:rPr>
          <w:color w:val="000000"/>
          <w:sz w:val="24"/>
          <w:szCs w:val="24"/>
        </w:rPr>
        <w:t xml:space="preserve">og </w:t>
      </w:r>
      <w:proofErr w:type="spellStart"/>
      <w:r>
        <w:rPr>
          <w:color w:val="000000"/>
          <w:sz w:val="24"/>
          <w:szCs w:val="24"/>
        </w:rPr>
        <w:t>vildagliptin</w:t>
      </w:r>
      <w:proofErr w:type="spellEnd"/>
      <w:r>
        <w:rPr>
          <w:color w:val="000000"/>
          <w:sz w:val="24"/>
          <w:szCs w:val="24"/>
        </w:rPr>
        <w:t xml:space="preserve"> </w:t>
      </w:r>
      <w:r w:rsidRPr="00012739">
        <w:rPr>
          <w:color w:val="000000"/>
          <w:sz w:val="24"/>
          <w:szCs w:val="24"/>
        </w:rPr>
        <w:t xml:space="preserve">kan </w:t>
      </w:r>
      <w:r>
        <w:rPr>
          <w:color w:val="000000"/>
          <w:sz w:val="24"/>
          <w:szCs w:val="24"/>
        </w:rPr>
        <w:t>føre til</w:t>
      </w:r>
      <w:r w:rsidRPr="00012739">
        <w:rPr>
          <w:color w:val="000000"/>
          <w:sz w:val="24"/>
          <w:szCs w:val="24"/>
        </w:rPr>
        <w:t xml:space="preserve"> øget risiko for </w:t>
      </w:r>
      <w:proofErr w:type="spellStart"/>
      <w:r w:rsidRPr="00012739">
        <w:rPr>
          <w:color w:val="000000"/>
          <w:sz w:val="24"/>
          <w:szCs w:val="24"/>
        </w:rPr>
        <w:t>angioødem</w:t>
      </w:r>
      <w:proofErr w:type="spellEnd"/>
      <w:r>
        <w:rPr>
          <w:color w:val="000000"/>
          <w:sz w:val="24"/>
          <w:szCs w:val="24"/>
        </w:rPr>
        <w:t xml:space="preserve"> (fx hævelse af luftveje eller tunge med eller uden respirationshæmning (se pkt. 4.5)</w:t>
      </w:r>
      <w:r w:rsidRPr="00012739">
        <w:rPr>
          <w:color w:val="000000"/>
          <w:sz w:val="24"/>
          <w:szCs w:val="24"/>
        </w:rPr>
        <w:t>.</w:t>
      </w:r>
      <w:r>
        <w:rPr>
          <w:color w:val="000000"/>
        </w:rPr>
        <w:t xml:space="preserve"> </w:t>
      </w:r>
      <w:r w:rsidRPr="001F068A">
        <w:rPr>
          <w:color w:val="000000"/>
          <w:sz w:val="24"/>
          <w:szCs w:val="24"/>
        </w:rPr>
        <w:t xml:space="preserve">Der skal udvises forsigtighed, når </w:t>
      </w:r>
      <w:proofErr w:type="spellStart"/>
      <w:r w:rsidRPr="001F068A">
        <w:rPr>
          <w:color w:val="000000"/>
          <w:sz w:val="24"/>
          <w:szCs w:val="24"/>
        </w:rPr>
        <w:t>racecadotril</w:t>
      </w:r>
      <w:proofErr w:type="spellEnd"/>
      <w:r w:rsidRPr="001F068A">
        <w:rPr>
          <w:color w:val="000000"/>
          <w:sz w:val="24"/>
          <w:szCs w:val="24"/>
        </w:rPr>
        <w:t xml:space="preserve">, </w:t>
      </w:r>
      <w:proofErr w:type="spellStart"/>
      <w:r w:rsidRPr="001F068A">
        <w:rPr>
          <w:color w:val="000000"/>
          <w:sz w:val="24"/>
          <w:szCs w:val="24"/>
        </w:rPr>
        <w:t>mTOR-hæmmere</w:t>
      </w:r>
      <w:proofErr w:type="spellEnd"/>
      <w:r w:rsidRPr="001F068A">
        <w:rPr>
          <w:color w:val="000000"/>
          <w:sz w:val="24"/>
          <w:szCs w:val="24"/>
        </w:rPr>
        <w:t xml:space="preserve"> (fx </w:t>
      </w:r>
      <w:proofErr w:type="spellStart"/>
      <w:r w:rsidRPr="001F068A">
        <w:rPr>
          <w:color w:val="000000"/>
          <w:sz w:val="24"/>
          <w:szCs w:val="24"/>
        </w:rPr>
        <w:t>sirolimus</w:t>
      </w:r>
      <w:proofErr w:type="spellEnd"/>
      <w:r w:rsidRPr="001F068A">
        <w:rPr>
          <w:color w:val="000000"/>
          <w:sz w:val="24"/>
          <w:szCs w:val="24"/>
        </w:rPr>
        <w:t xml:space="preserve">, </w:t>
      </w:r>
      <w:proofErr w:type="spellStart"/>
      <w:r w:rsidRPr="001F068A">
        <w:rPr>
          <w:color w:val="000000"/>
          <w:sz w:val="24"/>
          <w:szCs w:val="24"/>
        </w:rPr>
        <w:t>everolimus</w:t>
      </w:r>
      <w:proofErr w:type="spellEnd"/>
      <w:r w:rsidRPr="001F068A">
        <w:rPr>
          <w:color w:val="000000"/>
          <w:sz w:val="24"/>
          <w:szCs w:val="24"/>
        </w:rPr>
        <w:t xml:space="preserve">, </w:t>
      </w:r>
      <w:proofErr w:type="spellStart"/>
      <w:r w:rsidRPr="001F068A">
        <w:rPr>
          <w:color w:val="000000"/>
          <w:sz w:val="24"/>
          <w:szCs w:val="24"/>
        </w:rPr>
        <w:t>temsirolimus</w:t>
      </w:r>
      <w:proofErr w:type="spellEnd"/>
      <w:r w:rsidRPr="001F068A">
        <w:rPr>
          <w:color w:val="000000"/>
          <w:sz w:val="24"/>
          <w:szCs w:val="24"/>
        </w:rPr>
        <w:t xml:space="preserve">) og </w:t>
      </w:r>
      <w:proofErr w:type="spellStart"/>
      <w:r w:rsidRPr="001F068A">
        <w:rPr>
          <w:color w:val="000000"/>
          <w:sz w:val="24"/>
          <w:szCs w:val="24"/>
        </w:rPr>
        <w:t>vildagliptin</w:t>
      </w:r>
      <w:proofErr w:type="spellEnd"/>
      <w:r w:rsidRPr="001F068A">
        <w:rPr>
          <w:color w:val="000000"/>
          <w:sz w:val="24"/>
          <w:szCs w:val="24"/>
        </w:rPr>
        <w:t xml:space="preserve"> initieres hos en patient, som allerede tager en ACE-hæmmer.</w:t>
      </w:r>
    </w:p>
    <w:p w:rsidR="00CE4BB6" w:rsidRPr="00B932CC" w:rsidRDefault="00CE4BB6" w:rsidP="00CE4BB6">
      <w:pPr>
        <w:autoSpaceDE w:val="0"/>
        <w:autoSpaceDN w:val="0"/>
        <w:adjustRightInd w:val="0"/>
        <w:ind w:left="851"/>
        <w:rPr>
          <w:color w:val="000000"/>
          <w:sz w:val="24"/>
          <w:szCs w:val="24"/>
        </w:rPr>
      </w:pPr>
    </w:p>
    <w:p w:rsidR="00CE4BB6" w:rsidRPr="00012739" w:rsidRDefault="00CE4BB6" w:rsidP="00CE4BB6">
      <w:pPr>
        <w:autoSpaceDE w:val="0"/>
        <w:autoSpaceDN w:val="0"/>
        <w:adjustRightInd w:val="0"/>
        <w:ind w:left="851"/>
        <w:rPr>
          <w:color w:val="000000"/>
          <w:sz w:val="24"/>
          <w:szCs w:val="24"/>
        </w:rPr>
      </w:pPr>
      <w:r>
        <w:rPr>
          <w:color w:val="000000"/>
          <w:sz w:val="24"/>
          <w:szCs w:val="24"/>
        </w:rPr>
        <w:t>Samtidig brug af ACE-</w:t>
      </w:r>
      <w:proofErr w:type="spellStart"/>
      <w:r>
        <w:rPr>
          <w:color w:val="000000"/>
          <w:sz w:val="24"/>
          <w:szCs w:val="24"/>
        </w:rPr>
        <w:t>hæmmere</w:t>
      </w:r>
      <w:proofErr w:type="spellEnd"/>
      <w:r>
        <w:rPr>
          <w:color w:val="000000"/>
          <w:sz w:val="24"/>
          <w:szCs w:val="24"/>
        </w:rPr>
        <w:t xml:space="preserve"> med </w:t>
      </w:r>
      <w:proofErr w:type="spellStart"/>
      <w:r w:rsidRPr="00012739">
        <w:rPr>
          <w:color w:val="000000"/>
          <w:sz w:val="24"/>
          <w:szCs w:val="24"/>
        </w:rPr>
        <w:t>sacubitril</w:t>
      </w:r>
      <w:proofErr w:type="spellEnd"/>
      <w:r w:rsidRPr="00012739">
        <w:rPr>
          <w:color w:val="000000"/>
          <w:sz w:val="24"/>
          <w:szCs w:val="24"/>
        </w:rPr>
        <w:t>/</w:t>
      </w:r>
      <w:proofErr w:type="spellStart"/>
      <w:r w:rsidRPr="00012739">
        <w:rPr>
          <w:color w:val="000000"/>
          <w:sz w:val="24"/>
          <w:szCs w:val="24"/>
        </w:rPr>
        <w:t>valsartan</w:t>
      </w:r>
      <w:proofErr w:type="spellEnd"/>
      <w:r w:rsidRPr="00012739">
        <w:rPr>
          <w:color w:val="000000"/>
          <w:sz w:val="24"/>
          <w:szCs w:val="24"/>
        </w:rPr>
        <w:t xml:space="preserve"> er kontraindiceret på grund af den øgede risiko for </w:t>
      </w:r>
      <w:proofErr w:type="spellStart"/>
      <w:r w:rsidRPr="00012739">
        <w:rPr>
          <w:color w:val="000000"/>
          <w:sz w:val="24"/>
          <w:szCs w:val="24"/>
        </w:rPr>
        <w:t>angioødem</w:t>
      </w:r>
      <w:proofErr w:type="spellEnd"/>
      <w:r w:rsidRPr="00012739">
        <w:rPr>
          <w:color w:val="000000"/>
          <w:sz w:val="24"/>
          <w:szCs w:val="24"/>
        </w:rPr>
        <w:t xml:space="preserve">. Behandling med </w:t>
      </w:r>
      <w:proofErr w:type="spellStart"/>
      <w:r w:rsidRPr="00012739">
        <w:rPr>
          <w:color w:val="000000"/>
          <w:sz w:val="24"/>
          <w:szCs w:val="24"/>
        </w:rPr>
        <w:t>sacubitril</w:t>
      </w:r>
      <w:proofErr w:type="spellEnd"/>
      <w:r w:rsidRPr="00012739">
        <w:rPr>
          <w:color w:val="000000"/>
          <w:sz w:val="24"/>
          <w:szCs w:val="24"/>
        </w:rPr>
        <w:t>/</w:t>
      </w:r>
      <w:proofErr w:type="spellStart"/>
      <w:r w:rsidRPr="00012739">
        <w:rPr>
          <w:color w:val="000000"/>
          <w:sz w:val="24"/>
          <w:szCs w:val="24"/>
        </w:rPr>
        <w:t>valsartan</w:t>
      </w:r>
      <w:proofErr w:type="spellEnd"/>
      <w:r w:rsidRPr="00012739">
        <w:rPr>
          <w:color w:val="000000"/>
          <w:sz w:val="24"/>
          <w:szCs w:val="24"/>
        </w:rPr>
        <w:t xml:space="preserve"> må ikke initieres tidligere end 36 timer efter sidste dosis af </w:t>
      </w:r>
      <w:proofErr w:type="spellStart"/>
      <w:r w:rsidRPr="00012739">
        <w:rPr>
          <w:color w:val="000000"/>
          <w:sz w:val="24"/>
          <w:szCs w:val="24"/>
        </w:rPr>
        <w:t>Enalapril</w:t>
      </w:r>
      <w:proofErr w:type="spellEnd"/>
      <w:r w:rsidRPr="00012739">
        <w:rPr>
          <w:color w:val="000000"/>
          <w:sz w:val="24"/>
          <w:szCs w:val="24"/>
        </w:rPr>
        <w:t xml:space="preserve"> "</w:t>
      </w:r>
      <w:proofErr w:type="spellStart"/>
      <w:r w:rsidRPr="00012739">
        <w:rPr>
          <w:color w:val="000000"/>
          <w:sz w:val="24"/>
          <w:szCs w:val="24"/>
        </w:rPr>
        <w:t>Accord</w:t>
      </w:r>
      <w:proofErr w:type="spellEnd"/>
      <w:r w:rsidRPr="00012739">
        <w:rPr>
          <w:color w:val="000000"/>
          <w:sz w:val="24"/>
          <w:szCs w:val="24"/>
        </w:rPr>
        <w:t xml:space="preserve">". </w:t>
      </w:r>
      <w:r>
        <w:rPr>
          <w:color w:val="000000"/>
          <w:sz w:val="24"/>
          <w:szCs w:val="24"/>
        </w:rPr>
        <w:t>B</w:t>
      </w:r>
      <w:r w:rsidRPr="00012739">
        <w:rPr>
          <w:color w:val="000000"/>
          <w:sz w:val="24"/>
          <w:szCs w:val="24"/>
        </w:rPr>
        <w:t xml:space="preserve">ehandling med </w:t>
      </w:r>
      <w:proofErr w:type="spellStart"/>
      <w:r w:rsidRPr="00012739">
        <w:rPr>
          <w:color w:val="000000"/>
          <w:sz w:val="24"/>
          <w:szCs w:val="24"/>
        </w:rPr>
        <w:t>Enalapril</w:t>
      </w:r>
      <w:proofErr w:type="spellEnd"/>
      <w:r w:rsidRPr="00012739">
        <w:rPr>
          <w:color w:val="000000"/>
          <w:sz w:val="24"/>
          <w:szCs w:val="24"/>
        </w:rPr>
        <w:t xml:space="preserve"> "</w:t>
      </w:r>
      <w:proofErr w:type="spellStart"/>
      <w:r w:rsidRPr="00012739">
        <w:rPr>
          <w:color w:val="000000"/>
          <w:sz w:val="24"/>
          <w:szCs w:val="24"/>
        </w:rPr>
        <w:t>Accord</w:t>
      </w:r>
      <w:proofErr w:type="spellEnd"/>
      <w:r w:rsidRPr="00012739">
        <w:rPr>
          <w:color w:val="000000"/>
          <w:sz w:val="24"/>
          <w:szCs w:val="24"/>
        </w:rPr>
        <w:t xml:space="preserve">" må ikke initieres </w:t>
      </w:r>
      <w:r>
        <w:rPr>
          <w:color w:val="000000"/>
          <w:sz w:val="24"/>
          <w:szCs w:val="24"/>
        </w:rPr>
        <w:t>tidligere end</w:t>
      </w:r>
      <w:r w:rsidRPr="00012739">
        <w:rPr>
          <w:color w:val="000000"/>
          <w:sz w:val="24"/>
          <w:szCs w:val="24"/>
        </w:rPr>
        <w:t xml:space="preserve"> 36 timer efter sidste dosis af </w:t>
      </w:r>
      <w:proofErr w:type="spellStart"/>
      <w:r w:rsidRPr="00012739">
        <w:rPr>
          <w:color w:val="000000"/>
          <w:sz w:val="24"/>
          <w:szCs w:val="24"/>
        </w:rPr>
        <w:t>sacubitril</w:t>
      </w:r>
      <w:proofErr w:type="spellEnd"/>
      <w:r w:rsidRPr="00012739">
        <w:rPr>
          <w:color w:val="000000"/>
          <w:sz w:val="24"/>
          <w:szCs w:val="24"/>
        </w:rPr>
        <w:t>/</w:t>
      </w:r>
      <w:proofErr w:type="spellStart"/>
      <w:r w:rsidRPr="00012739">
        <w:rPr>
          <w:color w:val="000000"/>
          <w:sz w:val="24"/>
          <w:szCs w:val="24"/>
        </w:rPr>
        <w:t>valsartan</w:t>
      </w:r>
      <w:proofErr w:type="spellEnd"/>
      <w:r w:rsidRPr="00012739">
        <w:rPr>
          <w:color w:val="000000"/>
          <w:sz w:val="24"/>
          <w:szCs w:val="24"/>
        </w:rPr>
        <w:t xml:space="preserve"> (se pkt. 4.3 og 4.5).</w:t>
      </w:r>
    </w:p>
    <w:p w:rsidR="00012739" w:rsidRPr="00012739" w:rsidRDefault="00012739" w:rsidP="00012739">
      <w:pPr>
        <w:autoSpaceDE w:val="0"/>
        <w:autoSpaceDN w:val="0"/>
        <w:adjustRightInd w:val="0"/>
        <w:ind w:left="851"/>
        <w:rPr>
          <w:color w:val="000000"/>
          <w:sz w:val="24"/>
          <w:szCs w:val="24"/>
        </w:rPr>
      </w:pPr>
    </w:p>
    <w:p w:rsidR="00012739" w:rsidRPr="00012739" w:rsidRDefault="00012739" w:rsidP="00012739">
      <w:pPr>
        <w:autoSpaceDE w:val="0"/>
        <w:autoSpaceDN w:val="0"/>
        <w:adjustRightInd w:val="0"/>
        <w:ind w:left="851"/>
        <w:rPr>
          <w:color w:val="000000"/>
          <w:sz w:val="24"/>
          <w:szCs w:val="24"/>
          <w:u w:val="single"/>
        </w:rPr>
      </w:pPr>
      <w:proofErr w:type="spellStart"/>
      <w:r w:rsidRPr="00012739">
        <w:rPr>
          <w:color w:val="000000"/>
          <w:sz w:val="24"/>
          <w:szCs w:val="24"/>
          <w:u w:val="single"/>
        </w:rPr>
        <w:t>Anafylaktiske</w:t>
      </w:r>
      <w:proofErr w:type="spellEnd"/>
      <w:r w:rsidRPr="00012739">
        <w:rPr>
          <w:color w:val="000000"/>
          <w:sz w:val="24"/>
          <w:szCs w:val="24"/>
          <w:u w:val="single"/>
        </w:rPr>
        <w:t xml:space="preserve"> reaktioner under </w:t>
      </w:r>
      <w:proofErr w:type="spellStart"/>
      <w:r w:rsidRPr="00012739">
        <w:rPr>
          <w:color w:val="000000"/>
          <w:sz w:val="24"/>
          <w:szCs w:val="24"/>
          <w:u w:val="single"/>
        </w:rPr>
        <w:t>hymenoptera-desensibilisering</w:t>
      </w:r>
      <w:proofErr w:type="spellEnd"/>
    </w:p>
    <w:p w:rsidR="00012739" w:rsidRPr="00012739" w:rsidRDefault="00012739" w:rsidP="00012739">
      <w:pPr>
        <w:autoSpaceDE w:val="0"/>
        <w:autoSpaceDN w:val="0"/>
        <w:adjustRightInd w:val="0"/>
        <w:ind w:left="851"/>
        <w:rPr>
          <w:color w:val="000000"/>
          <w:sz w:val="24"/>
          <w:szCs w:val="24"/>
        </w:rPr>
      </w:pPr>
      <w:r w:rsidRPr="00012739">
        <w:rPr>
          <w:color w:val="000000"/>
          <w:sz w:val="24"/>
          <w:szCs w:val="24"/>
        </w:rPr>
        <w:t xml:space="preserve">I sjældne tilfælde har patienter, der fik ACE-hæmmer under </w:t>
      </w:r>
      <w:proofErr w:type="spellStart"/>
      <w:r w:rsidRPr="00012739">
        <w:rPr>
          <w:color w:val="000000"/>
          <w:sz w:val="24"/>
          <w:szCs w:val="24"/>
        </w:rPr>
        <w:t>desensibilisering</w:t>
      </w:r>
      <w:proofErr w:type="spellEnd"/>
      <w:r w:rsidRPr="00012739">
        <w:rPr>
          <w:color w:val="000000"/>
          <w:sz w:val="24"/>
          <w:szCs w:val="24"/>
        </w:rPr>
        <w:t xml:space="preserve"> med </w:t>
      </w:r>
      <w:proofErr w:type="spellStart"/>
      <w:r w:rsidRPr="00012739">
        <w:rPr>
          <w:color w:val="000000"/>
          <w:sz w:val="24"/>
          <w:szCs w:val="24"/>
        </w:rPr>
        <w:t>hymenopteravenom</w:t>
      </w:r>
      <w:proofErr w:type="spellEnd"/>
      <w:r w:rsidRPr="00012739">
        <w:rPr>
          <w:color w:val="000000"/>
          <w:sz w:val="24"/>
          <w:szCs w:val="24"/>
        </w:rPr>
        <w:t xml:space="preserve">, oplevet livstruende </w:t>
      </w:r>
      <w:proofErr w:type="spellStart"/>
      <w:r w:rsidRPr="00012739">
        <w:rPr>
          <w:color w:val="000000"/>
          <w:sz w:val="24"/>
          <w:szCs w:val="24"/>
        </w:rPr>
        <w:t>anafylaktiske</w:t>
      </w:r>
      <w:proofErr w:type="spellEnd"/>
      <w:r w:rsidRPr="00012739">
        <w:rPr>
          <w:color w:val="000000"/>
          <w:sz w:val="24"/>
          <w:szCs w:val="24"/>
        </w:rPr>
        <w:t xml:space="preserve"> reaktioner. Disse reaktioner kan undgås ved midlertidigt ophør af ACE-</w:t>
      </w:r>
      <w:proofErr w:type="spellStart"/>
      <w:r w:rsidRPr="00012739">
        <w:rPr>
          <w:color w:val="000000"/>
          <w:sz w:val="24"/>
          <w:szCs w:val="24"/>
        </w:rPr>
        <w:t>hæmmerbehandling</w:t>
      </w:r>
      <w:proofErr w:type="spellEnd"/>
      <w:r w:rsidRPr="00012739">
        <w:rPr>
          <w:color w:val="000000"/>
          <w:sz w:val="24"/>
          <w:szCs w:val="24"/>
        </w:rPr>
        <w:t xml:space="preserve"> forud for hver </w:t>
      </w:r>
      <w:proofErr w:type="spellStart"/>
      <w:r w:rsidRPr="00012739">
        <w:rPr>
          <w:color w:val="000000"/>
          <w:sz w:val="24"/>
          <w:szCs w:val="24"/>
        </w:rPr>
        <w:t>desensibilisering</w:t>
      </w:r>
      <w:proofErr w:type="spellEnd"/>
      <w:r w:rsidRPr="00012739">
        <w:rPr>
          <w:color w:val="000000"/>
          <w:sz w:val="24"/>
          <w:szCs w:val="24"/>
        </w:rPr>
        <w:t>.</w:t>
      </w:r>
    </w:p>
    <w:p w:rsidR="00012739" w:rsidRDefault="00012739" w:rsidP="00012739">
      <w:pPr>
        <w:autoSpaceDE w:val="0"/>
        <w:autoSpaceDN w:val="0"/>
        <w:adjustRightInd w:val="0"/>
        <w:ind w:left="851"/>
        <w:rPr>
          <w:color w:val="000000"/>
          <w:sz w:val="24"/>
          <w:szCs w:val="24"/>
          <w:u w:val="single"/>
        </w:rPr>
      </w:pPr>
    </w:p>
    <w:p w:rsidR="00CE4BB6" w:rsidRDefault="00CE4BB6" w:rsidP="00012739">
      <w:pPr>
        <w:autoSpaceDE w:val="0"/>
        <w:autoSpaceDN w:val="0"/>
        <w:adjustRightInd w:val="0"/>
        <w:ind w:left="851"/>
        <w:rPr>
          <w:color w:val="000000"/>
          <w:sz w:val="24"/>
          <w:szCs w:val="24"/>
          <w:u w:val="single"/>
        </w:rPr>
      </w:pPr>
    </w:p>
    <w:p w:rsidR="00CE4BB6" w:rsidRPr="00012739" w:rsidRDefault="00CE4BB6" w:rsidP="00012739">
      <w:pPr>
        <w:autoSpaceDE w:val="0"/>
        <w:autoSpaceDN w:val="0"/>
        <w:adjustRightInd w:val="0"/>
        <w:ind w:left="851"/>
        <w:rPr>
          <w:color w:val="000000"/>
          <w:sz w:val="24"/>
          <w:szCs w:val="24"/>
          <w:u w:val="single"/>
        </w:rPr>
      </w:pPr>
    </w:p>
    <w:p w:rsidR="00012739" w:rsidRPr="00012739" w:rsidRDefault="00012739" w:rsidP="00012739">
      <w:pPr>
        <w:autoSpaceDE w:val="0"/>
        <w:autoSpaceDN w:val="0"/>
        <w:adjustRightInd w:val="0"/>
        <w:ind w:left="851"/>
        <w:rPr>
          <w:color w:val="000000"/>
          <w:sz w:val="24"/>
          <w:szCs w:val="24"/>
          <w:u w:val="single"/>
        </w:rPr>
      </w:pPr>
      <w:proofErr w:type="spellStart"/>
      <w:r w:rsidRPr="00012739">
        <w:rPr>
          <w:color w:val="000000"/>
          <w:sz w:val="24"/>
          <w:szCs w:val="24"/>
          <w:u w:val="single"/>
        </w:rPr>
        <w:lastRenderedPageBreak/>
        <w:t>Anafylaktiske</w:t>
      </w:r>
      <w:proofErr w:type="spellEnd"/>
      <w:r w:rsidRPr="00012739">
        <w:rPr>
          <w:color w:val="000000"/>
          <w:sz w:val="24"/>
          <w:szCs w:val="24"/>
          <w:u w:val="single"/>
        </w:rPr>
        <w:t xml:space="preserve"> reaktioner under LDL-</w:t>
      </w:r>
      <w:proofErr w:type="spellStart"/>
      <w:r w:rsidRPr="00012739">
        <w:rPr>
          <w:color w:val="000000"/>
          <w:sz w:val="24"/>
          <w:szCs w:val="24"/>
          <w:u w:val="single"/>
        </w:rPr>
        <w:t>aferese</w:t>
      </w:r>
      <w:proofErr w:type="spellEnd"/>
    </w:p>
    <w:p w:rsidR="00012739" w:rsidRPr="00012739" w:rsidRDefault="00012739" w:rsidP="00012739">
      <w:pPr>
        <w:autoSpaceDE w:val="0"/>
        <w:autoSpaceDN w:val="0"/>
        <w:adjustRightInd w:val="0"/>
        <w:ind w:left="851"/>
        <w:rPr>
          <w:color w:val="000000"/>
          <w:sz w:val="24"/>
          <w:szCs w:val="24"/>
        </w:rPr>
      </w:pPr>
      <w:r w:rsidRPr="00012739">
        <w:rPr>
          <w:color w:val="000000"/>
          <w:sz w:val="24"/>
          <w:szCs w:val="24"/>
        </w:rPr>
        <w:t>I sjældne tilfælde har patienter, der fik ACE-hæmmer under LDL-</w:t>
      </w:r>
      <w:proofErr w:type="spellStart"/>
      <w:r w:rsidRPr="00012739">
        <w:rPr>
          <w:color w:val="000000"/>
          <w:sz w:val="24"/>
          <w:szCs w:val="24"/>
        </w:rPr>
        <w:t>aferese</w:t>
      </w:r>
      <w:proofErr w:type="spellEnd"/>
      <w:r w:rsidRPr="00012739">
        <w:rPr>
          <w:color w:val="000000"/>
          <w:sz w:val="24"/>
          <w:szCs w:val="24"/>
        </w:rPr>
        <w:t xml:space="preserve"> med </w:t>
      </w:r>
      <w:proofErr w:type="spellStart"/>
      <w:r w:rsidRPr="00012739">
        <w:rPr>
          <w:color w:val="000000"/>
          <w:sz w:val="24"/>
          <w:szCs w:val="24"/>
        </w:rPr>
        <w:t>dextransulfat</w:t>
      </w:r>
      <w:proofErr w:type="spellEnd"/>
      <w:r w:rsidRPr="00012739">
        <w:rPr>
          <w:color w:val="000000"/>
          <w:sz w:val="24"/>
          <w:szCs w:val="24"/>
        </w:rPr>
        <w:t xml:space="preserve">, oplevet livstruende </w:t>
      </w:r>
      <w:proofErr w:type="spellStart"/>
      <w:r w:rsidRPr="00012739">
        <w:rPr>
          <w:color w:val="000000"/>
          <w:sz w:val="24"/>
          <w:szCs w:val="24"/>
        </w:rPr>
        <w:t>anafylaktiske</w:t>
      </w:r>
      <w:proofErr w:type="spellEnd"/>
      <w:r w:rsidRPr="00012739">
        <w:rPr>
          <w:color w:val="000000"/>
          <w:sz w:val="24"/>
          <w:szCs w:val="24"/>
        </w:rPr>
        <w:t xml:space="preserve"> reaktioner. Disse reaktioner kan undgås ved midlertidigt ophør af ACE-</w:t>
      </w:r>
      <w:proofErr w:type="spellStart"/>
      <w:r w:rsidRPr="00012739">
        <w:rPr>
          <w:color w:val="000000"/>
          <w:sz w:val="24"/>
          <w:szCs w:val="24"/>
        </w:rPr>
        <w:t>hæmmerbehandling</w:t>
      </w:r>
      <w:proofErr w:type="spellEnd"/>
      <w:r w:rsidRPr="00012739">
        <w:rPr>
          <w:color w:val="000000"/>
          <w:sz w:val="24"/>
          <w:szCs w:val="24"/>
        </w:rPr>
        <w:t xml:space="preserve"> forud for hver </w:t>
      </w:r>
      <w:proofErr w:type="spellStart"/>
      <w:r w:rsidRPr="00012739">
        <w:rPr>
          <w:color w:val="000000"/>
          <w:sz w:val="24"/>
          <w:szCs w:val="24"/>
        </w:rPr>
        <w:t>aferese</w:t>
      </w:r>
      <w:proofErr w:type="spellEnd"/>
      <w:r w:rsidRPr="00012739">
        <w:rPr>
          <w:color w:val="000000"/>
          <w:sz w:val="24"/>
          <w:szCs w:val="24"/>
        </w:rPr>
        <w:t>.</w:t>
      </w:r>
    </w:p>
    <w:p w:rsidR="00012739" w:rsidRPr="00012739" w:rsidRDefault="00012739" w:rsidP="00012739">
      <w:pPr>
        <w:autoSpaceDE w:val="0"/>
        <w:autoSpaceDN w:val="0"/>
        <w:adjustRightInd w:val="0"/>
        <w:ind w:left="851"/>
        <w:rPr>
          <w:color w:val="000000"/>
          <w:sz w:val="24"/>
          <w:szCs w:val="24"/>
        </w:rPr>
      </w:pPr>
    </w:p>
    <w:p w:rsidR="00012739" w:rsidRPr="00012739" w:rsidRDefault="00012739" w:rsidP="00012739">
      <w:pPr>
        <w:ind w:left="851"/>
        <w:rPr>
          <w:color w:val="000000"/>
          <w:sz w:val="24"/>
          <w:szCs w:val="24"/>
          <w:u w:val="single"/>
        </w:rPr>
      </w:pPr>
      <w:r w:rsidRPr="00012739">
        <w:rPr>
          <w:color w:val="000000"/>
          <w:sz w:val="24"/>
          <w:szCs w:val="24"/>
          <w:u w:val="single"/>
        </w:rPr>
        <w:t>Patienter i hæmodialyse</w:t>
      </w:r>
    </w:p>
    <w:p w:rsidR="00012739" w:rsidRPr="00012739" w:rsidRDefault="00012739" w:rsidP="00012739">
      <w:pPr>
        <w:ind w:left="851"/>
        <w:rPr>
          <w:color w:val="000000"/>
          <w:sz w:val="24"/>
          <w:szCs w:val="24"/>
        </w:rPr>
      </w:pPr>
      <w:proofErr w:type="spellStart"/>
      <w:r w:rsidRPr="00012739">
        <w:rPr>
          <w:color w:val="000000"/>
          <w:sz w:val="24"/>
          <w:szCs w:val="24"/>
        </w:rPr>
        <w:t>Anafylaktiske</w:t>
      </w:r>
      <w:proofErr w:type="spellEnd"/>
      <w:r w:rsidRPr="00012739">
        <w:rPr>
          <w:color w:val="000000"/>
          <w:sz w:val="24"/>
          <w:szCs w:val="24"/>
        </w:rPr>
        <w:t xml:space="preserve"> reaktioner er indberettet hos patienter i dialysebehandling med high-flux membraner (fx AN 69®) og samtidig ACE-</w:t>
      </w:r>
      <w:proofErr w:type="spellStart"/>
      <w:r w:rsidRPr="00012739">
        <w:rPr>
          <w:color w:val="000000"/>
          <w:sz w:val="24"/>
          <w:szCs w:val="24"/>
        </w:rPr>
        <w:t>hæmmerbehandling</w:t>
      </w:r>
      <w:proofErr w:type="spellEnd"/>
      <w:r w:rsidRPr="00012739">
        <w:rPr>
          <w:color w:val="000000"/>
          <w:sz w:val="24"/>
          <w:szCs w:val="24"/>
        </w:rPr>
        <w:t xml:space="preserve">. Hos disse patienter bør det overvejes at bruge en anden type dialysemembran eller en anden klasse af </w:t>
      </w:r>
      <w:proofErr w:type="spellStart"/>
      <w:r w:rsidRPr="00012739">
        <w:rPr>
          <w:color w:val="000000"/>
          <w:sz w:val="24"/>
          <w:szCs w:val="24"/>
        </w:rPr>
        <w:t>antihypertensiva</w:t>
      </w:r>
      <w:proofErr w:type="spellEnd"/>
      <w:r w:rsidRPr="00012739">
        <w:rPr>
          <w:color w:val="000000"/>
          <w:sz w:val="24"/>
          <w:szCs w:val="24"/>
        </w:rPr>
        <w:t>.</w:t>
      </w:r>
    </w:p>
    <w:p w:rsidR="00012739" w:rsidRPr="00012739" w:rsidRDefault="00012739" w:rsidP="00012739">
      <w:pPr>
        <w:ind w:left="851"/>
        <w:rPr>
          <w:color w:val="000000"/>
          <w:sz w:val="24"/>
          <w:szCs w:val="24"/>
        </w:rPr>
      </w:pPr>
    </w:p>
    <w:p w:rsidR="00012739" w:rsidRPr="00012739" w:rsidRDefault="00012739" w:rsidP="00012739">
      <w:pPr>
        <w:autoSpaceDE w:val="0"/>
        <w:autoSpaceDN w:val="0"/>
        <w:adjustRightInd w:val="0"/>
        <w:ind w:left="851"/>
        <w:rPr>
          <w:color w:val="000000"/>
          <w:sz w:val="24"/>
          <w:szCs w:val="24"/>
          <w:u w:val="single"/>
        </w:rPr>
      </w:pPr>
      <w:r w:rsidRPr="00012739">
        <w:rPr>
          <w:color w:val="000000"/>
          <w:sz w:val="24"/>
          <w:szCs w:val="24"/>
          <w:u w:val="single"/>
        </w:rPr>
        <w:t>Hypoglykæmi</w:t>
      </w:r>
    </w:p>
    <w:p w:rsidR="00012739" w:rsidRPr="00012739" w:rsidRDefault="00012739" w:rsidP="00012739">
      <w:pPr>
        <w:autoSpaceDE w:val="0"/>
        <w:autoSpaceDN w:val="0"/>
        <w:adjustRightInd w:val="0"/>
        <w:ind w:left="851"/>
        <w:rPr>
          <w:color w:val="000000"/>
          <w:sz w:val="24"/>
          <w:szCs w:val="24"/>
        </w:rPr>
      </w:pPr>
      <w:r w:rsidRPr="00012739">
        <w:rPr>
          <w:color w:val="000000"/>
          <w:sz w:val="24"/>
          <w:szCs w:val="24"/>
        </w:rPr>
        <w:t xml:space="preserve">Diabetespatienter, der bliver behandlet med orale </w:t>
      </w:r>
      <w:proofErr w:type="spellStart"/>
      <w:r w:rsidRPr="00012739">
        <w:rPr>
          <w:color w:val="000000"/>
          <w:sz w:val="24"/>
          <w:szCs w:val="24"/>
        </w:rPr>
        <w:t>antidiabetika</w:t>
      </w:r>
      <w:proofErr w:type="spellEnd"/>
      <w:r w:rsidRPr="00012739">
        <w:rPr>
          <w:color w:val="000000"/>
          <w:sz w:val="24"/>
          <w:szCs w:val="24"/>
        </w:rPr>
        <w:t xml:space="preserve"> eller insulin og skal starte behandling med ACE-</w:t>
      </w:r>
      <w:proofErr w:type="spellStart"/>
      <w:r w:rsidRPr="00012739">
        <w:rPr>
          <w:color w:val="000000"/>
          <w:sz w:val="24"/>
          <w:szCs w:val="24"/>
        </w:rPr>
        <w:t>hæmmere</w:t>
      </w:r>
      <w:proofErr w:type="spellEnd"/>
      <w:r w:rsidRPr="00012739">
        <w:rPr>
          <w:color w:val="000000"/>
          <w:sz w:val="24"/>
          <w:szCs w:val="24"/>
        </w:rPr>
        <w:t>, skal instrueres i at overvåge blodsukkeret grundigt, særligt i den første måned med samtidig brug (se pkt. 4.5).</w:t>
      </w:r>
    </w:p>
    <w:p w:rsidR="00012739" w:rsidRPr="00012739" w:rsidRDefault="00012739" w:rsidP="00012739">
      <w:pPr>
        <w:ind w:left="851"/>
        <w:rPr>
          <w:sz w:val="24"/>
          <w:szCs w:val="24"/>
        </w:rPr>
      </w:pPr>
    </w:p>
    <w:p w:rsidR="00012739" w:rsidRPr="00012739" w:rsidRDefault="00012739" w:rsidP="00012739">
      <w:pPr>
        <w:ind w:left="851"/>
        <w:rPr>
          <w:color w:val="000000"/>
          <w:sz w:val="24"/>
          <w:szCs w:val="24"/>
          <w:u w:val="single"/>
        </w:rPr>
      </w:pPr>
      <w:r w:rsidRPr="00012739">
        <w:rPr>
          <w:color w:val="000000"/>
          <w:sz w:val="24"/>
          <w:szCs w:val="24"/>
          <w:u w:val="single"/>
        </w:rPr>
        <w:t>Hoste</w:t>
      </w:r>
    </w:p>
    <w:p w:rsidR="00012739" w:rsidRPr="00012739" w:rsidRDefault="00012739" w:rsidP="00012739">
      <w:pPr>
        <w:ind w:left="851"/>
        <w:rPr>
          <w:color w:val="000000"/>
          <w:sz w:val="24"/>
          <w:szCs w:val="24"/>
        </w:rPr>
      </w:pPr>
      <w:r w:rsidRPr="00012739">
        <w:rPr>
          <w:color w:val="000000"/>
          <w:sz w:val="24"/>
          <w:szCs w:val="24"/>
        </w:rPr>
        <w:t>Der er indberettet hoste ved brug af ACE-</w:t>
      </w:r>
      <w:proofErr w:type="spellStart"/>
      <w:r w:rsidRPr="00012739">
        <w:rPr>
          <w:color w:val="000000"/>
          <w:sz w:val="24"/>
          <w:szCs w:val="24"/>
        </w:rPr>
        <w:t>hæmmere</w:t>
      </w:r>
      <w:proofErr w:type="spellEnd"/>
      <w:r w:rsidRPr="00012739">
        <w:rPr>
          <w:color w:val="000000"/>
          <w:sz w:val="24"/>
          <w:szCs w:val="24"/>
        </w:rPr>
        <w:t xml:space="preserve">. Det er karakteristisk for hosten, at den er non-produktiv, vedvarende og forsvinder efter </w:t>
      </w:r>
      <w:proofErr w:type="spellStart"/>
      <w:r w:rsidRPr="00012739">
        <w:rPr>
          <w:color w:val="000000"/>
          <w:sz w:val="24"/>
          <w:szCs w:val="24"/>
        </w:rPr>
        <w:t>seponering</w:t>
      </w:r>
      <w:proofErr w:type="spellEnd"/>
      <w:r w:rsidRPr="00012739">
        <w:rPr>
          <w:color w:val="000000"/>
          <w:sz w:val="24"/>
          <w:szCs w:val="24"/>
        </w:rPr>
        <w:t xml:space="preserve"> af behandling. ACE-hæmmer-induceret hoste bør betragtes som en differentialdiagnose ved hoste.</w:t>
      </w:r>
    </w:p>
    <w:p w:rsidR="00012739" w:rsidRPr="00012739" w:rsidRDefault="00012739" w:rsidP="00012739">
      <w:pPr>
        <w:ind w:left="851"/>
        <w:rPr>
          <w:color w:val="000000"/>
          <w:sz w:val="24"/>
          <w:szCs w:val="24"/>
        </w:rPr>
      </w:pPr>
    </w:p>
    <w:p w:rsidR="00012739" w:rsidRPr="00012739" w:rsidRDefault="00012739" w:rsidP="00012739">
      <w:pPr>
        <w:autoSpaceDE w:val="0"/>
        <w:autoSpaceDN w:val="0"/>
        <w:adjustRightInd w:val="0"/>
        <w:ind w:left="851"/>
        <w:rPr>
          <w:color w:val="000000"/>
          <w:sz w:val="24"/>
          <w:szCs w:val="24"/>
          <w:u w:val="single"/>
        </w:rPr>
      </w:pPr>
      <w:r w:rsidRPr="00012739">
        <w:rPr>
          <w:color w:val="000000"/>
          <w:sz w:val="24"/>
          <w:szCs w:val="24"/>
          <w:u w:val="single"/>
        </w:rPr>
        <w:t>Operation/anæstesi</w:t>
      </w:r>
    </w:p>
    <w:p w:rsidR="00012739" w:rsidRPr="00012739" w:rsidRDefault="00012739" w:rsidP="00012739">
      <w:pPr>
        <w:autoSpaceDE w:val="0"/>
        <w:autoSpaceDN w:val="0"/>
        <w:adjustRightInd w:val="0"/>
        <w:ind w:left="851"/>
        <w:rPr>
          <w:color w:val="000000"/>
          <w:sz w:val="24"/>
          <w:szCs w:val="24"/>
        </w:rPr>
      </w:pPr>
      <w:r w:rsidRPr="00012739">
        <w:rPr>
          <w:color w:val="000000"/>
          <w:sz w:val="24"/>
          <w:szCs w:val="24"/>
        </w:rPr>
        <w:t xml:space="preserve">Hos patienter, der gennemgår større operation eller er i anæstesi med stoffer, der forårsager hypotension, blokerer </w:t>
      </w:r>
      <w:proofErr w:type="spellStart"/>
      <w:r w:rsidRPr="00012739">
        <w:rPr>
          <w:color w:val="000000"/>
          <w:sz w:val="24"/>
          <w:szCs w:val="24"/>
        </w:rPr>
        <w:t>enalapril</w:t>
      </w:r>
      <w:proofErr w:type="spellEnd"/>
      <w:r w:rsidRPr="00012739">
        <w:rPr>
          <w:color w:val="000000"/>
          <w:sz w:val="24"/>
          <w:szCs w:val="24"/>
        </w:rPr>
        <w:t xml:space="preserve"> dannelsen af </w:t>
      </w:r>
      <w:proofErr w:type="spellStart"/>
      <w:r w:rsidRPr="00012739">
        <w:rPr>
          <w:color w:val="000000"/>
          <w:sz w:val="24"/>
          <w:szCs w:val="24"/>
        </w:rPr>
        <w:t>angiotensin</w:t>
      </w:r>
      <w:proofErr w:type="spellEnd"/>
      <w:r w:rsidRPr="00012739">
        <w:rPr>
          <w:color w:val="000000"/>
          <w:sz w:val="24"/>
          <w:szCs w:val="24"/>
        </w:rPr>
        <w:t xml:space="preserve"> II og derved patientens kompensatoriske </w:t>
      </w:r>
      <w:proofErr w:type="spellStart"/>
      <w:r w:rsidRPr="00012739">
        <w:rPr>
          <w:color w:val="000000"/>
          <w:sz w:val="24"/>
          <w:szCs w:val="24"/>
        </w:rPr>
        <w:t>reninfrigørelse</w:t>
      </w:r>
      <w:proofErr w:type="spellEnd"/>
      <w:r w:rsidRPr="00012739">
        <w:rPr>
          <w:color w:val="000000"/>
          <w:sz w:val="24"/>
          <w:szCs w:val="24"/>
        </w:rPr>
        <w:t>. Hvis der opstår hypotension som følge af denne mekanisme, kan den korrigeres med volumenekspansion.</w:t>
      </w:r>
    </w:p>
    <w:p w:rsidR="00012739" w:rsidRPr="00012739" w:rsidRDefault="00012739" w:rsidP="00012739">
      <w:pPr>
        <w:ind w:left="851"/>
        <w:rPr>
          <w:color w:val="000000"/>
          <w:sz w:val="24"/>
          <w:szCs w:val="24"/>
          <w:u w:val="single"/>
        </w:rPr>
      </w:pPr>
    </w:p>
    <w:p w:rsidR="00012739" w:rsidRPr="00012739" w:rsidRDefault="00012739" w:rsidP="00012739">
      <w:pPr>
        <w:ind w:left="851"/>
        <w:rPr>
          <w:color w:val="000000"/>
          <w:sz w:val="24"/>
          <w:szCs w:val="24"/>
          <w:u w:val="single"/>
        </w:rPr>
      </w:pPr>
      <w:proofErr w:type="spellStart"/>
      <w:r w:rsidRPr="00012739">
        <w:rPr>
          <w:color w:val="000000"/>
          <w:sz w:val="24"/>
          <w:szCs w:val="24"/>
          <w:u w:val="single"/>
        </w:rPr>
        <w:t>Hyperkaliæmi</w:t>
      </w:r>
      <w:proofErr w:type="spellEnd"/>
    </w:p>
    <w:p w:rsidR="00CE4BB6" w:rsidRPr="008C4E67" w:rsidRDefault="00CE4BB6" w:rsidP="00CE4BB6">
      <w:pPr>
        <w:ind w:left="851"/>
        <w:rPr>
          <w:color w:val="000000"/>
          <w:sz w:val="24"/>
          <w:szCs w:val="24"/>
        </w:rPr>
      </w:pPr>
      <w:r w:rsidRPr="001F068A">
        <w:rPr>
          <w:color w:val="000000"/>
          <w:sz w:val="24"/>
          <w:szCs w:val="24"/>
        </w:rPr>
        <w:t>ACE-</w:t>
      </w:r>
      <w:proofErr w:type="spellStart"/>
      <w:r w:rsidRPr="001F068A">
        <w:rPr>
          <w:color w:val="000000"/>
          <w:sz w:val="24"/>
          <w:szCs w:val="24"/>
        </w:rPr>
        <w:t>hæmmere</w:t>
      </w:r>
      <w:proofErr w:type="spellEnd"/>
      <w:r w:rsidRPr="001F068A">
        <w:rPr>
          <w:color w:val="000000"/>
          <w:sz w:val="24"/>
          <w:szCs w:val="24"/>
        </w:rPr>
        <w:t xml:space="preserve"> kan forårsage </w:t>
      </w:r>
      <w:proofErr w:type="spellStart"/>
      <w:r w:rsidRPr="001F068A">
        <w:rPr>
          <w:color w:val="000000"/>
          <w:sz w:val="24"/>
          <w:szCs w:val="24"/>
        </w:rPr>
        <w:t>hyperkaliæmi</w:t>
      </w:r>
      <w:proofErr w:type="spellEnd"/>
      <w:r w:rsidRPr="001F068A">
        <w:rPr>
          <w:color w:val="000000"/>
          <w:sz w:val="24"/>
          <w:szCs w:val="24"/>
        </w:rPr>
        <w:t xml:space="preserve">, fordi de hæmmer frigivelsen af </w:t>
      </w:r>
      <w:proofErr w:type="spellStart"/>
      <w:r w:rsidRPr="001F068A">
        <w:rPr>
          <w:color w:val="000000"/>
          <w:sz w:val="24"/>
          <w:szCs w:val="24"/>
        </w:rPr>
        <w:t>aldosteron</w:t>
      </w:r>
      <w:proofErr w:type="spellEnd"/>
      <w:r w:rsidRPr="001F068A">
        <w:rPr>
          <w:color w:val="000000"/>
          <w:sz w:val="24"/>
          <w:szCs w:val="24"/>
        </w:rPr>
        <w:t xml:space="preserve">. Virkningen er sædvanligvis ikke signifikant hos patienter med normal nyrefunktion. Der kan forekomme </w:t>
      </w:r>
      <w:proofErr w:type="spellStart"/>
      <w:r w:rsidRPr="001F068A">
        <w:rPr>
          <w:color w:val="000000"/>
          <w:sz w:val="24"/>
          <w:szCs w:val="24"/>
        </w:rPr>
        <w:t>hyperkaliæmi</w:t>
      </w:r>
      <w:proofErr w:type="spellEnd"/>
      <w:r w:rsidRPr="001F068A">
        <w:rPr>
          <w:color w:val="000000"/>
          <w:sz w:val="24"/>
          <w:szCs w:val="24"/>
        </w:rPr>
        <w:t xml:space="preserve"> hos patienter med nedsat nyrefunktion og/eller hos patienter, som tager kaliumtilskud (inklusive salterstatninger), kaliumbesparende </w:t>
      </w:r>
      <w:proofErr w:type="spellStart"/>
      <w:r w:rsidRPr="001F068A">
        <w:rPr>
          <w:color w:val="000000"/>
          <w:sz w:val="24"/>
          <w:szCs w:val="24"/>
        </w:rPr>
        <w:t>diuretika</w:t>
      </w:r>
      <w:proofErr w:type="spellEnd"/>
      <w:r w:rsidRPr="001F068A">
        <w:rPr>
          <w:color w:val="000000"/>
          <w:sz w:val="24"/>
          <w:szCs w:val="24"/>
        </w:rPr>
        <w:t xml:space="preserve">, </w:t>
      </w:r>
      <w:proofErr w:type="spellStart"/>
      <w:r w:rsidRPr="001F068A">
        <w:rPr>
          <w:color w:val="000000"/>
          <w:sz w:val="24"/>
          <w:szCs w:val="24"/>
        </w:rPr>
        <w:t>trimethoprim</w:t>
      </w:r>
      <w:proofErr w:type="spellEnd"/>
      <w:r w:rsidRPr="001F068A">
        <w:rPr>
          <w:color w:val="000000"/>
          <w:sz w:val="24"/>
          <w:szCs w:val="24"/>
        </w:rPr>
        <w:t xml:space="preserve"> eller </w:t>
      </w:r>
      <w:proofErr w:type="spellStart"/>
      <w:r w:rsidRPr="001F068A">
        <w:rPr>
          <w:color w:val="000000"/>
          <w:sz w:val="24"/>
          <w:szCs w:val="24"/>
        </w:rPr>
        <w:t>co-trimoxazol</w:t>
      </w:r>
      <w:proofErr w:type="spellEnd"/>
      <w:r w:rsidRPr="001F068A">
        <w:rPr>
          <w:color w:val="000000"/>
          <w:sz w:val="24"/>
          <w:szCs w:val="24"/>
        </w:rPr>
        <w:t xml:space="preserve">, også kaldet </w:t>
      </w:r>
      <w:proofErr w:type="spellStart"/>
      <w:r w:rsidRPr="001F068A">
        <w:rPr>
          <w:color w:val="000000"/>
          <w:sz w:val="24"/>
          <w:szCs w:val="24"/>
        </w:rPr>
        <w:t>trimethoprim</w:t>
      </w:r>
      <w:proofErr w:type="spellEnd"/>
      <w:r w:rsidRPr="001F068A">
        <w:rPr>
          <w:color w:val="000000"/>
          <w:sz w:val="24"/>
          <w:szCs w:val="24"/>
        </w:rPr>
        <w:t>/</w:t>
      </w:r>
      <w:proofErr w:type="spellStart"/>
      <w:r w:rsidRPr="001F068A">
        <w:rPr>
          <w:color w:val="000000"/>
          <w:sz w:val="24"/>
          <w:szCs w:val="24"/>
        </w:rPr>
        <w:t>sulfamethoxazol</w:t>
      </w:r>
      <w:proofErr w:type="spellEnd"/>
      <w:r w:rsidRPr="001F068A">
        <w:rPr>
          <w:color w:val="000000"/>
          <w:sz w:val="24"/>
          <w:szCs w:val="24"/>
        </w:rPr>
        <w:t xml:space="preserve">, og især </w:t>
      </w:r>
      <w:proofErr w:type="spellStart"/>
      <w:r w:rsidRPr="001F068A">
        <w:rPr>
          <w:color w:val="000000"/>
          <w:sz w:val="24"/>
          <w:szCs w:val="24"/>
        </w:rPr>
        <w:t>aldosteronantagonister</w:t>
      </w:r>
      <w:proofErr w:type="spellEnd"/>
      <w:r w:rsidRPr="001F068A">
        <w:rPr>
          <w:color w:val="000000"/>
          <w:sz w:val="24"/>
          <w:szCs w:val="24"/>
        </w:rPr>
        <w:t xml:space="preserve"> eller </w:t>
      </w:r>
      <w:proofErr w:type="spellStart"/>
      <w:r w:rsidRPr="001F068A">
        <w:rPr>
          <w:color w:val="000000"/>
          <w:sz w:val="24"/>
          <w:szCs w:val="24"/>
        </w:rPr>
        <w:t>angiotensinreceptorblokkere</w:t>
      </w:r>
      <w:proofErr w:type="spellEnd"/>
      <w:r w:rsidRPr="001F068A">
        <w:rPr>
          <w:color w:val="000000"/>
          <w:sz w:val="24"/>
          <w:szCs w:val="24"/>
        </w:rPr>
        <w:t xml:space="preserve">. Kaliumbesparende </w:t>
      </w:r>
      <w:proofErr w:type="spellStart"/>
      <w:r w:rsidRPr="001F068A">
        <w:rPr>
          <w:color w:val="000000"/>
          <w:sz w:val="24"/>
          <w:szCs w:val="24"/>
        </w:rPr>
        <w:t>diuretika</w:t>
      </w:r>
      <w:proofErr w:type="spellEnd"/>
      <w:r w:rsidRPr="001F068A">
        <w:rPr>
          <w:color w:val="000000"/>
          <w:sz w:val="24"/>
          <w:szCs w:val="24"/>
        </w:rPr>
        <w:t xml:space="preserve"> og </w:t>
      </w:r>
      <w:proofErr w:type="spellStart"/>
      <w:r w:rsidRPr="001F068A">
        <w:rPr>
          <w:color w:val="000000"/>
          <w:sz w:val="24"/>
          <w:szCs w:val="24"/>
        </w:rPr>
        <w:t>angiotensinreceptorblokkere</w:t>
      </w:r>
      <w:proofErr w:type="spellEnd"/>
      <w:r w:rsidRPr="001F068A">
        <w:rPr>
          <w:color w:val="000000"/>
          <w:sz w:val="24"/>
          <w:szCs w:val="24"/>
        </w:rPr>
        <w:t xml:space="preserve"> skal anvendes med forsigtighed hos patienter, som får ACE-</w:t>
      </w:r>
      <w:proofErr w:type="spellStart"/>
      <w:r w:rsidRPr="001F068A">
        <w:rPr>
          <w:color w:val="000000"/>
          <w:sz w:val="24"/>
          <w:szCs w:val="24"/>
        </w:rPr>
        <w:t>hæmmere</w:t>
      </w:r>
      <w:proofErr w:type="spellEnd"/>
      <w:r w:rsidRPr="001F068A">
        <w:rPr>
          <w:color w:val="000000"/>
          <w:sz w:val="24"/>
          <w:szCs w:val="24"/>
        </w:rPr>
        <w:t>, og serumkalium samt nyrefunktion skal monitoreres</w:t>
      </w:r>
      <w:r w:rsidRPr="000F29B8">
        <w:rPr>
          <w:color w:val="000000"/>
          <w:sz w:val="24"/>
          <w:szCs w:val="24"/>
        </w:rPr>
        <w:t xml:space="preserve"> (se pkt. 4.5).</w:t>
      </w:r>
    </w:p>
    <w:p w:rsidR="00012739" w:rsidRPr="00012739" w:rsidRDefault="00012739" w:rsidP="00012739">
      <w:pPr>
        <w:ind w:left="851"/>
        <w:rPr>
          <w:color w:val="000000"/>
          <w:sz w:val="24"/>
          <w:szCs w:val="24"/>
          <w:u w:val="single"/>
        </w:rPr>
      </w:pPr>
    </w:p>
    <w:p w:rsidR="00012739" w:rsidRPr="00012739" w:rsidRDefault="00012739" w:rsidP="00012739">
      <w:pPr>
        <w:ind w:left="851"/>
        <w:rPr>
          <w:color w:val="000000"/>
          <w:sz w:val="24"/>
          <w:szCs w:val="24"/>
          <w:u w:val="single"/>
        </w:rPr>
      </w:pPr>
      <w:proofErr w:type="spellStart"/>
      <w:r w:rsidRPr="00012739">
        <w:rPr>
          <w:color w:val="000000"/>
          <w:sz w:val="24"/>
          <w:szCs w:val="24"/>
          <w:u w:val="single"/>
        </w:rPr>
        <w:t>Lithium</w:t>
      </w:r>
      <w:proofErr w:type="spellEnd"/>
    </w:p>
    <w:p w:rsidR="00012739" w:rsidRPr="00012739" w:rsidRDefault="00012739" w:rsidP="00012739">
      <w:pPr>
        <w:ind w:left="851"/>
        <w:rPr>
          <w:color w:val="000000"/>
          <w:sz w:val="24"/>
          <w:szCs w:val="24"/>
        </w:rPr>
      </w:pPr>
      <w:r w:rsidRPr="00012739">
        <w:rPr>
          <w:color w:val="000000"/>
          <w:sz w:val="24"/>
          <w:szCs w:val="24"/>
        </w:rPr>
        <w:t xml:space="preserve">Kombinationen af </w:t>
      </w:r>
      <w:proofErr w:type="spellStart"/>
      <w:r w:rsidRPr="00012739">
        <w:rPr>
          <w:color w:val="000000"/>
          <w:sz w:val="24"/>
          <w:szCs w:val="24"/>
        </w:rPr>
        <w:t>lithium</w:t>
      </w:r>
      <w:proofErr w:type="spellEnd"/>
      <w:r w:rsidRPr="00012739">
        <w:rPr>
          <w:color w:val="000000"/>
          <w:sz w:val="24"/>
          <w:szCs w:val="24"/>
        </w:rPr>
        <w:t xml:space="preserve"> og </w:t>
      </w:r>
      <w:proofErr w:type="spellStart"/>
      <w:r w:rsidRPr="00012739">
        <w:rPr>
          <w:color w:val="000000"/>
          <w:sz w:val="24"/>
          <w:szCs w:val="24"/>
        </w:rPr>
        <w:t>enalapril</w:t>
      </w:r>
      <w:proofErr w:type="spellEnd"/>
      <w:r w:rsidRPr="00012739">
        <w:rPr>
          <w:color w:val="000000"/>
          <w:sz w:val="24"/>
          <w:szCs w:val="24"/>
        </w:rPr>
        <w:t xml:space="preserve"> anbefales generelt ikke (se pkt. 4.5).</w:t>
      </w:r>
    </w:p>
    <w:p w:rsidR="00012739" w:rsidRPr="00012739" w:rsidRDefault="00012739" w:rsidP="00012739">
      <w:pPr>
        <w:ind w:left="851"/>
        <w:rPr>
          <w:color w:val="000000"/>
          <w:sz w:val="24"/>
          <w:szCs w:val="24"/>
          <w:u w:val="single"/>
        </w:rPr>
      </w:pPr>
    </w:p>
    <w:p w:rsidR="00012739" w:rsidRPr="00012739" w:rsidRDefault="00012739" w:rsidP="00012739">
      <w:pPr>
        <w:ind w:left="851"/>
        <w:rPr>
          <w:color w:val="000000"/>
          <w:sz w:val="24"/>
          <w:szCs w:val="24"/>
          <w:u w:val="single"/>
        </w:rPr>
      </w:pPr>
      <w:r w:rsidRPr="00012739">
        <w:rPr>
          <w:color w:val="000000"/>
          <w:sz w:val="24"/>
          <w:szCs w:val="24"/>
          <w:u w:val="single"/>
        </w:rPr>
        <w:t xml:space="preserve">Dobbelthæmning af </w:t>
      </w:r>
      <w:proofErr w:type="spellStart"/>
      <w:r w:rsidRPr="00012739">
        <w:rPr>
          <w:color w:val="000000"/>
          <w:sz w:val="24"/>
          <w:szCs w:val="24"/>
          <w:u w:val="single"/>
        </w:rPr>
        <w:t>renin-angiotensin-aldosteronsystemet</w:t>
      </w:r>
      <w:proofErr w:type="spellEnd"/>
      <w:r w:rsidRPr="00012739">
        <w:rPr>
          <w:color w:val="000000"/>
          <w:sz w:val="24"/>
          <w:szCs w:val="24"/>
          <w:u w:val="single"/>
        </w:rPr>
        <w:t xml:space="preserve"> (RAAS)</w:t>
      </w:r>
    </w:p>
    <w:p w:rsidR="00012739" w:rsidRPr="00012739" w:rsidRDefault="00012739" w:rsidP="00012739">
      <w:pPr>
        <w:ind w:left="851"/>
        <w:rPr>
          <w:color w:val="000000"/>
          <w:sz w:val="24"/>
          <w:szCs w:val="24"/>
        </w:rPr>
      </w:pPr>
      <w:r w:rsidRPr="00012739">
        <w:rPr>
          <w:color w:val="000000"/>
          <w:sz w:val="24"/>
          <w:szCs w:val="24"/>
        </w:rPr>
        <w:t>Der er tegn på, at samtidig brug af ACE-</w:t>
      </w:r>
      <w:proofErr w:type="spellStart"/>
      <w:r w:rsidRPr="00012739">
        <w:rPr>
          <w:color w:val="000000"/>
          <w:sz w:val="24"/>
          <w:szCs w:val="24"/>
        </w:rPr>
        <w:t>hæmmere</w:t>
      </w:r>
      <w:proofErr w:type="spellEnd"/>
      <w:r w:rsidRPr="00012739">
        <w:rPr>
          <w:color w:val="000000"/>
          <w:sz w:val="24"/>
          <w:szCs w:val="24"/>
        </w:rPr>
        <w:t xml:space="preserve"> og </w:t>
      </w:r>
      <w:proofErr w:type="spellStart"/>
      <w:r w:rsidRPr="00012739">
        <w:rPr>
          <w:color w:val="000000"/>
          <w:sz w:val="24"/>
          <w:szCs w:val="24"/>
        </w:rPr>
        <w:t>angiotensin</w:t>
      </w:r>
      <w:proofErr w:type="spellEnd"/>
      <w:r w:rsidRPr="00012739">
        <w:rPr>
          <w:color w:val="000000"/>
          <w:sz w:val="24"/>
          <w:szCs w:val="24"/>
        </w:rPr>
        <w:t xml:space="preserve"> II-receptorantagonister eller </w:t>
      </w:r>
      <w:proofErr w:type="spellStart"/>
      <w:r w:rsidRPr="00012739">
        <w:rPr>
          <w:color w:val="000000"/>
          <w:sz w:val="24"/>
          <w:szCs w:val="24"/>
        </w:rPr>
        <w:t>aliskiren</w:t>
      </w:r>
      <w:proofErr w:type="spellEnd"/>
      <w:r w:rsidRPr="00012739">
        <w:rPr>
          <w:color w:val="000000"/>
          <w:sz w:val="24"/>
          <w:szCs w:val="24"/>
        </w:rPr>
        <w:t xml:space="preserve"> øger risikoen for hypotension, </w:t>
      </w:r>
      <w:proofErr w:type="spellStart"/>
      <w:r w:rsidRPr="00012739">
        <w:rPr>
          <w:color w:val="000000"/>
          <w:sz w:val="24"/>
          <w:szCs w:val="24"/>
        </w:rPr>
        <w:t>hyperkaliæmi</w:t>
      </w:r>
      <w:proofErr w:type="spellEnd"/>
      <w:r w:rsidRPr="00012739">
        <w:rPr>
          <w:color w:val="000000"/>
          <w:sz w:val="24"/>
          <w:szCs w:val="24"/>
        </w:rPr>
        <w:t xml:space="preserve"> og nedsat nyrefunktion (inklusive akut nyresvigt). Dobbelthæmning af RAAS ved kombination af ACE-</w:t>
      </w:r>
      <w:proofErr w:type="spellStart"/>
      <w:r w:rsidRPr="00012739">
        <w:rPr>
          <w:color w:val="000000"/>
          <w:sz w:val="24"/>
          <w:szCs w:val="24"/>
        </w:rPr>
        <w:t>hæmmere</w:t>
      </w:r>
      <w:proofErr w:type="spellEnd"/>
      <w:r w:rsidRPr="00012739">
        <w:rPr>
          <w:color w:val="000000"/>
          <w:sz w:val="24"/>
          <w:szCs w:val="24"/>
        </w:rPr>
        <w:t xml:space="preserve"> med </w:t>
      </w:r>
      <w:proofErr w:type="spellStart"/>
      <w:r w:rsidRPr="00012739">
        <w:rPr>
          <w:color w:val="000000"/>
          <w:sz w:val="24"/>
          <w:szCs w:val="24"/>
        </w:rPr>
        <w:t>angiotensin</w:t>
      </w:r>
      <w:proofErr w:type="spellEnd"/>
      <w:r w:rsidRPr="00012739">
        <w:rPr>
          <w:color w:val="000000"/>
          <w:sz w:val="24"/>
          <w:szCs w:val="24"/>
        </w:rPr>
        <w:t xml:space="preserve"> II-receptorantagonister eller </w:t>
      </w:r>
      <w:proofErr w:type="spellStart"/>
      <w:r w:rsidRPr="00012739">
        <w:rPr>
          <w:color w:val="000000"/>
          <w:sz w:val="24"/>
          <w:szCs w:val="24"/>
        </w:rPr>
        <w:t>aliskiren</w:t>
      </w:r>
      <w:proofErr w:type="spellEnd"/>
      <w:r w:rsidRPr="00012739">
        <w:rPr>
          <w:color w:val="000000"/>
          <w:sz w:val="24"/>
          <w:szCs w:val="24"/>
        </w:rPr>
        <w:t xml:space="preserve"> frarådes derfor (se pkt. 4.5 og 5.1).</w:t>
      </w:r>
    </w:p>
    <w:p w:rsidR="00012739" w:rsidRPr="00012739" w:rsidRDefault="00012739" w:rsidP="00012739">
      <w:pPr>
        <w:ind w:left="851"/>
        <w:rPr>
          <w:color w:val="000000"/>
          <w:sz w:val="24"/>
          <w:szCs w:val="24"/>
          <w:u w:val="single"/>
        </w:rPr>
      </w:pPr>
    </w:p>
    <w:p w:rsidR="00012739" w:rsidRPr="00012739" w:rsidRDefault="00012739" w:rsidP="00012739">
      <w:pPr>
        <w:autoSpaceDE w:val="0"/>
        <w:autoSpaceDN w:val="0"/>
        <w:adjustRightInd w:val="0"/>
        <w:ind w:left="851"/>
        <w:rPr>
          <w:color w:val="000000"/>
          <w:sz w:val="24"/>
          <w:szCs w:val="24"/>
        </w:rPr>
      </w:pPr>
      <w:r w:rsidRPr="00012739">
        <w:rPr>
          <w:color w:val="000000"/>
          <w:sz w:val="24"/>
          <w:szCs w:val="24"/>
        </w:rPr>
        <w:t>Hvis dobbelthæmmende behandling anses for absolut nødvendig, bør dette kun ske under supervision af en speciallæge og under tæt monitorering af patientens nyrefunktion, elektrolytter og blodtryk.</w:t>
      </w:r>
    </w:p>
    <w:p w:rsidR="00012739" w:rsidRPr="00012739" w:rsidRDefault="00012739" w:rsidP="00012739">
      <w:pPr>
        <w:ind w:left="851"/>
        <w:rPr>
          <w:color w:val="000000"/>
          <w:sz w:val="24"/>
          <w:szCs w:val="24"/>
          <w:u w:val="single"/>
        </w:rPr>
      </w:pPr>
    </w:p>
    <w:p w:rsidR="00012739" w:rsidRPr="00012739" w:rsidRDefault="00012739" w:rsidP="00012739">
      <w:pPr>
        <w:ind w:left="851"/>
        <w:rPr>
          <w:color w:val="000000"/>
          <w:sz w:val="24"/>
          <w:szCs w:val="24"/>
        </w:rPr>
      </w:pPr>
      <w:r w:rsidRPr="00012739">
        <w:rPr>
          <w:color w:val="000000"/>
          <w:sz w:val="24"/>
          <w:szCs w:val="24"/>
        </w:rPr>
        <w:lastRenderedPageBreak/>
        <w:t>ACE-</w:t>
      </w:r>
      <w:proofErr w:type="spellStart"/>
      <w:r w:rsidRPr="00012739">
        <w:rPr>
          <w:color w:val="000000"/>
          <w:sz w:val="24"/>
          <w:szCs w:val="24"/>
        </w:rPr>
        <w:t>hæmmere</w:t>
      </w:r>
      <w:proofErr w:type="spellEnd"/>
      <w:r w:rsidRPr="00012739">
        <w:rPr>
          <w:color w:val="000000"/>
          <w:sz w:val="24"/>
          <w:szCs w:val="24"/>
        </w:rPr>
        <w:t xml:space="preserve"> og </w:t>
      </w:r>
      <w:proofErr w:type="spellStart"/>
      <w:r w:rsidRPr="00012739">
        <w:rPr>
          <w:color w:val="000000"/>
          <w:sz w:val="24"/>
          <w:szCs w:val="24"/>
        </w:rPr>
        <w:t>angiotensin</w:t>
      </w:r>
      <w:proofErr w:type="spellEnd"/>
      <w:r w:rsidRPr="00012739">
        <w:rPr>
          <w:color w:val="000000"/>
          <w:sz w:val="24"/>
          <w:szCs w:val="24"/>
        </w:rPr>
        <w:t xml:space="preserve"> II-receptorantagonister bør ikke anvendes samtidigt hos patienter med diabetisk </w:t>
      </w:r>
      <w:proofErr w:type="spellStart"/>
      <w:r w:rsidRPr="00012739">
        <w:rPr>
          <w:color w:val="000000"/>
          <w:sz w:val="24"/>
          <w:szCs w:val="24"/>
        </w:rPr>
        <w:t>nefropati</w:t>
      </w:r>
      <w:proofErr w:type="spellEnd"/>
      <w:r w:rsidRPr="00012739">
        <w:rPr>
          <w:color w:val="000000"/>
          <w:sz w:val="24"/>
          <w:szCs w:val="24"/>
        </w:rPr>
        <w:t>.</w:t>
      </w:r>
    </w:p>
    <w:p w:rsidR="00012739" w:rsidRPr="00012739" w:rsidRDefault="00012739" w:rsidP="00012739">
      <w:pPr>
        <w:ind w:left="851"/>
        <w:rPr>
          <w:color w:val="000000"/>
          <w:sz w:val="24"/>
          <w:szCs w:val="24"/>
          <w:u w:val="single"/>
        </w:rPr>
      </w:pPr>
    </w:p>
    <w:p w:rsidR="00012739" w:rsidRPr="00012739" w:rsidRDefault="00012739" w:rsidP="00012739">
      <w:pPr>
        <w:ind w:left="851"/>
        <w:rPr>
          <w:color w:val="000000"/>
          <w:sz w:val="24"/>
          <w:szCs w:val="24"/>
          <w:u w:val="single"/>
        </w:rPr>
      </w:pPr>
      <w:r w:rsidRPr="00012739">
        <w:rPr>
          <w:color w:val="000000"/>
          <w:sz w:val="24"/>
          <w:szCs w:val="24"/>
          <w:u w:val="single"/>
        </w:rPr>
        <w:t>Pædiatrisk population</w:t>
      </w:r>
    </w:p>
    <w:p w:rsidR="00012739" w:rsidRPr="00012739" w:rsidRDefault="00012739" w:rsidP="00012739">
      <w:pPr>
        <w:ind w:left="851"/>
        <w:rPr>
          <w:color w:val="000000"/>
          <w:sz w:val="24"/>
          <w:szCs w:val="24"/>
        </w:rPr>
      </w:pPr>
      <w:r w:rsidRPr="00012739">
        <w:rPr>
          <w:color w:val="000000"/>
          <w:sz w:val="24"/>
          <w:szCs w:val="24"/>
        </w:rPr>
        <w:t xml:space="preserve">Der er begrænset erfaring med virkning og sikkerhed hos </w:t>
      </w:r>
      <w:proofErr w:type="spellStart"/>
      <w:r w:rsidRPr="00012739">
        <w:rPr>
          <w:color w:val="000000"/>
          <w:sz w:val="24"/>
          <w:szCs w:val="24"/>
        </w:rPr>
        <w:t>hypertensive</w:t>
      </w:r>
      <w:proofErr w:type="spellEnd"/>
      <w:r w:rsidRPr="00012739">
        <w:rPr>
          <w:color w:val="000000"/>
          <w:sz w:val="24"/>
          <w:szCs w:val="24"/>
        </w:rPr>
        <w:t xml:space="preserve"> børn &gt;6 år, men ingen erfaring med andre indikationer. Der er begrænsede </w:t>
      </w:r>
      <w:proofErr w:type="spellStart"/>
      <w:r w:rsidRPr="00012739">
        <w:rPr>
          <w:color w:val="000000"/>
          <w:sz w:val="24"/>
          <w:szCs w:val="24"/>
        </w:rPr>
        <w:t>farmakokinetiske</w:t>
      </w:r>
      <w:proofErr w:type="spellEnd"/>
      <w:r w:rsidRPr="00012739">
        <w:rPr>
          <w:color w:val="000000"/>
          <w:sz w:val="24"/>
          <w:szCs w:val="24"/>
        </w:rPr>
        <w:t xml:space="preserve"> data tilgængelige for børn ældre end 2 måneder (se pkt. 4.2, 5.1 og 5.2). </w:t>
      </w:r>
      <w:proofErr w:type="spellStart"/>
      <w:r w:rsidRPr="00012739">
        <w:rPr>
          <w:color w:val="000000"/>
          <w:sz w:val="24"/>
          <w:szCs w:val="24"/>
        </w:rPr>
        <w:t>Enalapril</w:t>
      </w:r>
      <w:proofErr w:type="spellEnd"/>
      <w:r w:rsidRPr="00012739">
        <w:rPr>
          <w:color w:val="000000"/>
          <w:sz w:val="24"/>
          <w:szCs w:val="24"/>
        </w:rPr>
        <w:t xml:space="preserve"> "</w:t>
      </w:r>
      <w:proofErr w:type="spellStart"/>
      <w:r w:rsidRPr="00012739">
        <w:rPr>
          <w:color w:val="000000"/>
          <w:sz w:val="24"/>
          <w:szCs w:val="24"/>
        </w:rPr>
        <w:t>Accord</w:t>
      </w:r>
      <w:proofErr w:type="spellEnd"/>
      <w:r w:rsidRPr="00012739">
        <w:rPr>
          <w:color w:val="000000"/>
          <w:sz w:val="24"/>
          <w:szCs w:val="24"/>
        </w:rPr>
        <w:t>" anbefales ikke til børn med andre indikationer end hypertension.</w:t>
      </w:r>
    </w:p>
    <w:p w:rsidR="00012739" w:rsidRPr="00012739" w:rsidRDefault="00012739" w:rsidP="00012739">
      <w:pPr>
        <w:ind w:left="851"/>
        <w:rPr>
          <w:color w:val="000000"/>
          <w:sz w:val="24"/>
          <w:szCs w:val="24"/>
        </w:rPr>
      </w:pPr>
    </w:p>
    <w:p w:rsidR="00012739" w:rsidRPr="00012739" w:rsidRDefault="00012739" w:rsidP="00012739">
      <w:pPr>
        <w:ind w:left="851"/>
        <w:rPr>
          <w:color w:val="000000"/>
          <w:sz w:val="24"/>
          <w:szCs w:val="24"/>
        </w:rPr>
      </w:pPr>
      <w:proofErr w:type="spellStart"/>
      <w:r w:rsidRPr="00012739">
        <w:rPr>
          <w:color w:val="000000"/>
          <w:sz w:val="24"/>
          <w:szCs w:val="24"/>
        </w:rPr>
        <w:t>Enalapril</w:t>
      </w:r>
      <w:proofErr w:type="spellEnd"/>
      <w:r w:rsidRPr="00012739">
        <w:rPr>
          <w:color w:val="000000"/>
          <w:sz w:val="24"/>
          <w:szCs w:val="24"/>
        </w:rPr>
        <w:t xml:space="preserve"> "</w:t>
      </w:r>
      <w:proofErr w:type="spellStart"/>
      <w:r w:rsidRPr="00012739">
        <w:rPr>
          <w:color w:val="000000"/>
          <w:sz w:val="24"/>
          <w:szCs w:val="24"/>
        </w:rPr>
        <w:t>Accord</w:t>
      </w:r>
      <w:proofErr w:type="spellEnd"/>
      <w:r w:rsidRPr="00012739">
        <w:rPr>
          <w:color w:val="000000"/>
          <w:sz w:val="24"/>
          <w:szCs w:val="24"/>
        </w:rPr>
        <w:t xml:space="preserve">" anbefales ikke til nyfødte eller til pædiatriske patienter med </w:t>
      </w:r>
      <w:proofErr w:type="spellStart"/>
      <w:r w:rsidRPr="00012739">
        <w:rPr>
          <w:color w:val="000000"/>
          <w:sz w:val="24"/>
          <w:szCs w:val="24"/>
        </w:rPr>
        <w:t>glomerulær</w:t>
      </w:r>
      <w:proofErr w:type="spellEnd"/>
      <w:r w:rsidRPr="00012739">
        <w:rPr>
          <w:color w:val="000000"/>
          <w:sz w:val="24"/>
          <w:szCs w:val="24"/>
        </w:rPr>
        <w:t xml:space="preserve"> filtreringshastighed &lt;30 ml/min/1,73 m², da der ikke foreligger data (se pkt. 4.2).</w:t>
      </w:r>
    </w:p>
    <w:p w:rsidR="00012739" w:rsidRPr="00012739" w:rsidRDefault="00012739" w:rsidP="00012739">
      <w:pPr>
        <w:ind w:left="851"/>
        <w:rPr>
          <w:color w:val="000000"/>
          <w:sz w:val="24"/>
          <w:szCs w:val="24"/>
          <w:u w:val="single"/>
        </w:rPr>
      </w:pPr>
    </w:p>
    <w:p w:rsidR="00012739" w:rsidRPr="00012739" w:rsidRDefault="00012739" w:rsidP="00012739">
      <w:pPr>
        <w:ind w:left="851"/>
        <w:rPr>
          <w:color w:val="000000"/>
          <w:sz w:val="24"/>
          <w:szCs w:val="24"/>
          <w:u w:val="single"/>
        </w:rPr>
      </w:pPr>
      <w:r w:rsidRPr="00012739">
        <w:rPr>
          <w:color w:val="000000"/>
          <w:sz w:val="24"/>
          <w:szCs w:val="24"/>
          <w:u w:val="single"/>
        </w:rPr>
        <w:t>Graviditet</w:t>
      </w:r>
    </w:p>
    <w:p w:rsidR="00012739" w:rsidRPr="00012739" w:rsidRDefault="00012739" w:rsidP="00012739">
      <w:pPr>
        <w:ind w:left="851"/>
        <w:rPr>
          <w:color w:val="000000"/>
          <w:sz w:val="24"/>
          <w:szCs w:val="24"/>
        </w:rPr>
      </w:pPr>
      <w:r w:rsidRPr="00012739">
        <w:rPr>
          <w:color w:val="000000"/>
          <w:sz w:val="24"/>
          <w:szCs w:val="24"/>
        </w:rPr>
        <w:t>Behandling med ACE-</w:t>
      </w:r>
      <w:proofErr w:type="spellStart"/>
      <w:r w:rsidRPr="00012739">
        <w:rPr>
          <w:color w:val="000000"/>
          <w:sz w:val="24"/>
          <w:szCs w:val="24"/>
        </w:rPr>
        <w:t>hæmmere</w:t>
      </w:r>
      <w:proofErr w:type="spellEnd"/>
      <w:r w:rsidRPr="00012739">
        <w:rPr>
          <w:color w:val="000000"/>
          <w:sz w:val="24"/>
          <w:szCs w:val="24"/>
        </w:rPr>
        <w:t xml:space="preserve"> bør ikke påbegyndes under graviditet. Ved planlægning af graviditet bør patienten overgå til alternativ </w:t>
      </w:r>
      <w:proofErr w:type="spellStart"/>
      <w:r w:rsidRPr="00012739">
        <w:rPr>
          <w:color w:val="000000"/>
          <w:sz w:val="24"/>
          <w:szCs w:val="24"/>
        </w:rPr>
        <w:t>antihypertensiv</w:t>
      </w:r>
      <w:proofErr w:type="spellEnd"/>
      <w:r w:rsidRPr="00012739">
        <w:rPr>
          <w:color w:val="000000"/>
          <w:sz w:val="24"/>
          <w:szCs w:val="24"/>
        </w:rPr>
        <w:t xml:space="preserve"> behandling med en kendt sikkerhedsprofil vedrørende brug under graviditet, medmindre fortsat behandling med ACE-</w:t>
      </w:r>
      <w:proofErr w:type="spellStart"/>
      <w:r w:rsidRPr="00012739">
        <w:rPr>
          <w:color w:val="000000"/>
          <w:sz w:val="24"/>
          <w:szCs w:val="24"/>
        </w:rPr>
        <w:t>hæmmere</w:t>
      </w:r>
      <w:proofErr w:type="spellEnd"/>
      <w:r w:rsidRPr="00012739">
        <w:rPr>
          <w:color w:val="000000"/>
          <w:sz w:val="24"/>
          <w:szCs w:val="24"/>
        </w:rPr>
        <w:t xml:space="preserve"> vurderes at være nødvendig. Ved påvist graviditet bør behandling med ACE-</w:t>
      </w:r>
      <w:proofErr w:type="spellStart"/>
      <w:r w:rsidRPr="00012739">
        <w:rPr>
          <w:color w:val="000000"/>
          <w:sz w:val="24"/>
          <w:szCs w:val="24"/>
        </w:rPr>
        <w:t>hæmmere</w:t>
      </w:r>
      <w:proofErr w:type="spellEnd"/>
      <w:r w:rsidRPr="00012739">
        <w:rPr>
          <w:color w:val="000000"/>
          <w:sz w:val="24"/>
          <w:szCs w:val="24"/>
        </w:rPr>
        <w:t xml:space="preserve"> seponeres omgående, og alternativ </w:t>
      </w:r>
      <w:proofErr w:type="spellStart"/>
      <w:r w:rsidRPr="00012739">
        <w:rPr>
          <w:color w:val="000000"/>
          <w:sz w:val="24"/>
          <w:szCs w:val="24"/>
        </w:rPr>
        <w:t>antihypertensiv</w:t>
      </w:r>
      <w:proofErr w:type="spellEnd"/>
      <w:r w:rsidRPr="00012739">
        <w:rPr>
          <w:color w:val="000000"/>
          <w:sz w:val="24"/>
          <w:szCs w:val="24"/>
        </w:rPr>
        <w:t xml:space="preserve"> behandling eventuelt indledes (se pkt. 4.3 og 4.6).</w:t>
      </w:r>
    </w:p>
    <w:p w:rsidR="00012739" w:rsidRPr="00012739" w:rsidRDefault="00012739" w:rsidP="00012739">
      <w:pPr>
        <w:ind w:left="851"/>
        <w:rPr>
          <w:color w:val="000000"/>
          <w:sz w:val="24"/>
          <w:szCs w:val="24"/>
          <w:u w:val="single"/>
        </w:rPr>
      </w:pPr>
    </w:p>
    <w:p w:rsidR="00012739" w:rsidRPr="00012739" w:rsidRDefault="00012739" w:rsidP="00012739">
      <w:pPr>
        <w:ind w:left="851"/>
        <w:rPr>
          <w:color w:val="000000"/>
          <w:sz w:val="24"/>
          <w:szCs w:val="24"/>
          <w:u w:val="single"/>
        </w:rPr>
      </w:pPr>
      <w:r w:rsidRPr="00012739">
        <w:rPr>
          <w:color w:val="000000"/>
          <w:sz w:val="24"/>
          <w:szCs w:val="24"/>
          <w:u w:val="single"/>
        </w:rPr>
        <w:t>Etniske forskelle</w:t>
      </w:r>
    </w:p>
    <w:p w:rsidR="00012739" w:rsidRPr="00012739" w:rsidRDefault="00012739" w:rsidP="00012739">
      <w:pPr>
        <w:ind w:left="851"/>
        <w:rPr>
          <w:color w:val="000000"/>
          <w:sz w:val="24"/>
          <w:szCs w:val="24"/>
        </w:rPr>
      </w:pPr>
      <w:r w:rsidRPr="00012739">
        <w:rPr>
          <w:color w:val="000000"/>
          <w:sz w:val="24"/>
          <w:szCs w:val="24"/>
        </w:rPr>
        <w:t>Som med andre ACE-</w:t>
      </w:r>
      <w:proofErr w:type="spellStart"/>
      <w:r w:rsidRPr="00012739">
        <w:rPr>
          <w:color w:val="000000"/>
          <w:sz w:val="24"/>
          <w:szCs w:val="24"/>
        </w:rPr>
        <w:t>hæmmere</w:t>
      </w:r>
      <w:proofErr w:type="spellEnd"/>
      <w:r w:rsidRPr="00012739">
        <w:rPr>
          <w:color w:val="000000"/>
          <w:sz w:val="24"/>
          <w:szCs w:val="24"/>
        </w:rPr>
        <w:t xml:space="preserve"> er </w:t>
      </w:r>
      <w:proofErr w:type="spellStart"/>
      <w:r w:rsidRPr="00012739">
        <w:rPr>
          <w:color w:val="000000"/>
          <w:sz w:val="24"/>
          <w:szCs w:val="24"/>
        </w:rPr>
        <w:t>enalapril</w:t>
      </w:r>
      <w:proofErr w:type="spellEnd"/>
      <w:r w:rsidRPr="00012739">
        <w:rPr>
          <w:color w:val="000000"/>
          <w:sz w:val="24"/>
          <w:szCs w:val="24"/>
        </w:rPr>
        <w:t xml:space="preserve"> tilsyneladende mindre effektiv til nedsættelse af blodtrykket i den negroide population end i den ikke-negroide population, muligvis på grund af en højere prævalens af </w:t>
      </w:r>
      <w:proofErr w:type="spellStart"/>
      <w:r w:rsidRPr="00012739">
        <w:rPr>
          <w:color w:val="000000"/>
          <w:sz w:val="24"/>
          <w:szCs w:val="24"/>
        </w:rPr>
        <w:t>lavreninstatus</w:t>
      </w:r>
      <w:proofErr w:type="spellEnd"/>
      <w:r w:rsidRPr="00012739">
        <w:rPr>
          <w:color w:val="000000"/>
          <w:sz w:val="24"/>
          <w:szCs w:val="24"/>
        </w:rPr>
        <w:t xml:space="preserve"> i den negroide </w:t>
      </w:r>
      <w:proofErr w:type="spellStart"/>
      <w:r w:rsidRPr="00012739">
        <w:rPr>
          <w:color w:val="000000"/>
          <w:sz w:val="24"/>
          <w:szCs w:val="24"/>
        </w:rPr>
        <w:t>hypertensive</w:t>
      </w:r>
      <w:proofErr w:type="spellEnd"/>
      <w:r w:rsidRPr="00012739">
        <w:rPr>
          <w:color w:val="000000"/>
          <w:sz w:val="24"/>
          <w:szCs w:val="24"/>
        </w:rPr>
        <w:t xml:space="preserve"> population.</w:t>
      </w:r>
    </w:p>
    <w:p w:rsidR="00012739" w:rsidRPr="00012739" w:rsidRDefault="00012739" w:rsidP="00012739">
      <w:pPr>
        <w:ind w:left="851"/>
        <w:rPr>
          <w:color w:val="000000"/>
          <w:sz w:val="24"/>
          <w:szCs w:val="24"/>
        </w:rPr>
      </w:pPr>
    </w:p>
    <w:p w:rsidR="00012739" w:rsidRPr="00012739" w:rsidRDefault="00012739" w:rsidP="00012739">
      <w:pPr>
        <w:ind w:left="851"/>
        <w:rPr>
          <w:color w:val="000000"/>
          <w:sz w:val="24"/>
          <w:szCs w:val="24"/>
          <w:u w:val="single"/>
        </w:rPr>
      </w:pPr>
      <w:r w:rsidRPr="00012739">
        <w:rPr>
          <w:color w:val="000000"/>
          <w:sz w:val="24"/>
          <w:szCs w:val="24"/>
          <w:u w:val="single"/>
        </w:rPr>
        <w:t>Hjælpestoffer</w:t>
      </w:r>
    </w:p>
    <w:p w:rsidR="00CE4BB6" w:rsidRDefault="00CE4BB6" w:rsidP="00CE4BB6">
      <w:pPr>
        <w:ind w:left="851"/>
        <w:rPr>
          <w:color w:val="000000"/>
          <w:sz w:val="24"/>
          <w:szCs w:val="24"/>
        </w:rPr>
      </w:pPr>
      <w:r w:rsidRPr="00012739">
        <w:rPr>
          <w:color w:val="000000"/>
          <w:sz w:val="24"/>
          <w:szCs w:val="24"/>
        </w:rPr>
        <w:t xml:space="preserve">Tabletterne indeholder </w:t>
      </w:r>
      <w:proofErr w:type="spellStart"/>
      <w:r w:rsidRPr="00012739">
        <w:rPr>
          <w:color w:val="000000"/>
          <w:sz w:val="24"/>
          <w:szCs w:val="24"/>
        </w:rPr>
        <w:t>lactose</w:t>
      </w:r>
      <w:proofErr w:type="spellEnd"/>
      <w:r w:rsidRPr="00012739">
        <w:rPr>
          <w:color w:val="000000"/>
          <w:sz w:val="24"/>
          <w:szCs w:val="24"/>
        </w:rPr>
        <w:t xml:space="preserve">. Bør ikke anvendes til patienter med hereditær </w:t>
      </w:r>
      <w:proofErr w:type="spellStart"/>
      <w:r w:rsidRPr="00012739">
        <w:rPr>
          <w:color w:val="000000"/>
          <w:sz w:val="24"/>
          <w:szCs w:val="24"/>
        </w:rPr>
        <w:t>galactoseintolerans</w:t>
      </w:r>
      <w:proofErr w:type="spellEnd"/>
      <w:r w:rsidRPr="00012739">
        <w:rPr>
          <w:color w:val="000000"/>
          <w:sz w:val="24"/>
          <w:szCs w:val="24"/>
        </w:rPr>
        <w:t xml:space="preserve">, total </w:t>
      </w:r>
      <w:proofErr w:type="spellStart"/>
      <w:r w:rsidRPr="00012739">
        <w:rPr>
          <w:color w:val="000000"/>
          <w:sz w:val="24"/>
          <w:szCs w:val="24"/>
        </w:rPr>
        <w:t>lactasemangel</w:t>
      </w:r>
      <w:proofErr w:type="spellEnd"/>
      <w:r w:rsidRPr="00012739">
        <w:rPr>
          <w:color w:val="000000"/>
          <w:sz w:val="24"/>
          <w:szCs w:val="24"/>
        </w:rPr>
        <w:t xml:space="preserve"> eller </w:t>
      </w:r>
      <w:proofErr w:type="spellStart"/>
      <w:r w:rsidRPr="00012739">
        <w:rPr>
          <w:color w:val="000000"/>
          <w:sz w:val="24"/>
          <w:szCs w:val="24"/>
        </w:rPr>
        <w:t>glucose</w:t>
      </w:r>
      <w:proofErr w:type="spellEnd"/>
      <w:r w:rsidRPr="00012739">
        <w:rPr>
          <w:color w:val="000000"/>
          <w:sz w:val="24"/>
          <w:szCs w:val="24"/>
        </w:rPr>
        <w:t>/</w:t>
      </w:r>
      <w:proofErr w:type="spellStart"/>
      <w:r w:rsidRPr="00012739">
        <w:rPr>
          <w:color w:val="000000"/>
          <w:sz w:val="24"/>
          <w:szCs w:val="24"/>
        </w:rPr>
        <w:t>galactosemalabsorption</w:t>
      </w:r>
      <w:proofErr w:type="spellEnd"/>
      <w:r w:rsidRPr="00012739">
        <w:rPr>
          <w:color w:val="000000"/>
          <w:sz w:val="24"/>
          <w:szCs w:val="24"/>
        </w:rPr>
        <w:t>.</w:t>
      </w:r>
    </w:p>
    <w:p w:rsidR="00CE4BB6" w:rsidRPr="000244C8" w:rsidRDefault="00CE4BB6" w:rsidP="00CE4BB6">
      <w:pPr>
        <w:ind w:left="851"/>
        <w:rPr>
          <w:color w:val="000000"/>
          <w:sz w:val="24"/>
          <w:szCs w:val="24"/>
          <w:u w:val="single"/>
        </w:rPr>
      </w:pPr>
      <w:r w:rsidRPr="00012739">
        <w:rPr>
          <w:color w:val="000000"/>
          <w:sz w:val="24"/>
          <w:szCs w:val="24"/>
        </w:rPr>
        <w:t>Dette lægemiddel indeholder mindre end 1 mmol natrium (23 mg) pr. tablet, dvs. det er i det væsentlige natriumfrit.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2B0BDC" w:rsidRDefault="002B0BDC" w:rsidP="002B0BDC">
      <w:pPr>
        <w:ind w:left="851"/>
        <w:rPr>
          <w:color w:val="000000"/>
          <w:sz w:val="24"/>
          <w:szCs w:val="24"/>
          <w:u w:val="single"/>
        </w:rPr>
      </w:pPr>
    </w:p>
    <w:p w:rsidR="00CE4BB6" w:rsidRPr="001F068A" w:rsidRDefault="00CE4BB6" w:rsidP="00CE4BB6">
      <w:pPr>
        <w:ind w:left="851"/>
        <w:jc w:val="both"/>
        <w:rPr>
          <w:color w:val="000000"/>
          <w:sz w:val="24"/>
          <w:szCs w:val="24"/>
          <w:u w:val="single"/>
        </w:rPr>
      </w:pPr>
      <w:r w:rsidRPr="001F068A">
        <w:rPr>
          <w:color w:val="000000"/>
          <w:sz w:val="24"/>
          <w:szCs w:val="24"/>
          <w:u w:val="single"/>
        </w:rPr>
        <w:t xml:space="preserve">Lægemidler, som øger risikoen for </w:t>
      </w:r>
      <w:proofErr w:type="spellStart"/>
      <w:r w:rsidRPr="001F068A">
        <w:rPr>
          <w:color w:val="000000"/>
          <w:sz w:val="24"/>
          <w:szCs w:val="24"/>
          <w:u w:val="single"/>
        </w:rPr>
        <w:t>angioødem</w:t>
      </w:r>
      <w:proofErr w:type="spellEnd"/>
    </w:p>
    <w:p w:rsidR="00CE4BB6" w:rsidRPr="001F068A" w:rsidRDefault="00CE4BB6" w:rsidP="00CE4BB6">
      <w:pPr>
        <w:ind w:left="851"/>
        <w:rPr>
          <w:color w:val="000000"/>
          <w:sz w:val="24"/>
          <w:szCs w:val="24"/>
        </w:rPr>
      </w:pPr>
      <w:r w:rsidRPr="001F068A">
        <w:rPr>
          <w:color w:val="000000"/>
          <w:sz w:val="24"/>
          <w:szCs w:val="24"/>
        </w:rPr>
        <w:t>Samtidig brug af ACE-</w:t>
      </w:r>
      <w:proofErr w:type="spellStart"/>
      <w:r w:rsidRPr="001F068A">
        <w:rPr>
          <w:color w:val="000000"/>
          <w:sz w:val="24"/>
          <w:szCs w:val="24"/>
        </w:rPr>
        <w:t>hæmmere</w:t>
      </w:r>
      <w:proofErr w:type="spellEnd"/>
      <w:r w:rsidRPr="001F068A">
        <w:rPr>
          <w:color w:val="000000"/>
          <w:sz w:val="24"/>
          <w:szCs w:val="24"/>
        </w:rPr>
        <w:t xml:space="preserve"> med </w:t>
      </w:r>
      <w:proofErr w:type="spellStart"/>
      <w:r w:rsidRPr="001F068A">
        <w:rPr>
          <w:color w:val="000000"/>
          <w:sz w:val="24"/>
          <w:szCs w:val="24"/>
        </w:rPr>
        <w:t>sacubitril</w:t>
      </w:r>
      <w:proofErr w:type="spellEnd"/>
      <w:r w:rsidRPr="001F068A">
        <w:rPr>
          <w:color w:val="000000"/>
          <w:sz w:val="24"/>
          <w:szCs w:val="24"/>
        </w:rPr>
        <w:t>/</w:t>
      </w:r>
      <w:proofErr w:type="spellStart"/>
      <w:r w:rsidRPr="001F068A">
        <w:rPr>
          <w:color w:val="000000"/>
          <w:sz w:val="24"/>
          <w:szCs w:val="24"/>
        </w:rPr>
        <w:t>valsartan</w:t>
      </w:r>
      <w:proofErr w:type="spellEnd"/>
      <w:r w:rsidRPr="001F068A">
        <w:rPr>
          <w:color w:val="000000"/>
          <w:sz w:val="24"/>
          <w:szCs w:val="24"/>
        </w:rPr>
        <w:t xml:space="preserve"> er kontraindiceret, da det øger risikoen for </w:t>
      </w:r>
      <w:proofErr w:type="spellStart"/>
      <w:r w:rsidRPr="001F068A">
        <w:rPr>
          <w:color w:val="000000"/>
          <w:sz w:val="24"/>
          <w:szCs w:val="24"/>
        </w:rPr>
        <w:t>angioødem</w:t>
      </w:r>
      <w:proofErr w:type="spellEnd"/>
      <w:r w:rsidRPr="001F068A">
        <w:rPr>
          <w:color w:val="000000"/>
          <w:sz w:val="24"/>
          <w:szCs w:val="24"/>
        </w:rPr>
        <w:t xml:space="preserve"> (se pkt. 4.3 og 4.4).</w:t>
      </w:r>
    </w:p>
    <w:p w:rsidR="00CE4BB6" w:rsidRPr="001F068A" w:rsidRDefault="00CE4BB6" w:rsidP="00CE4BB6">
      <w:pPr>
        <w:rPr>
          <w:color w:val="000000"/>
          <w:sz w:val="24"/>
          <w:szCs w:val="24"/>
        </w:rPr>
      </w:pPr>
    </w:p>
    <w:p w:rsidR="00CE4BB6" w:rsidRPr="001F068A" w:rsidRDefault="00CE4BB6" w:rsidP="00CE4BB6">
      <w:pPr>
        <w:ind w:left="851"/>
        <w:rPr>
          <w:color w:val="000000"/>
          <w:sz w:val="24"/>
          <w:szCs w:val="24"/>
        </w:rPr>
      </w:pPr>
      <w:r w:rsidRPr="001F068A">
        <w:rPr>
          <w:color w:val="000000"/>
          <w:sz w:val="24"/>
          <w:szCs w:val="24"/>
        </w:rPr>
        <w:t>Samtidig brug af ACE-</w:t>
      </w:r>
      <w:proofErr w:type="spellStart"/>
      <w:r w:rsidRPr="001F068A">
        <w:rPr>
          <w:color w:val="000000"/>
          <w:sz w:val="24"/>
          <w:szCs w:val="24"/>
        </w:rPr>
        <w:t>hæmmere</w:t>
      </w:r>
      <w:proofErr w:type="spellEnd"/>
      <w:r w:rsidRPr="001F068A">
        <w:rPr>
          <w:color w:val="000000"/>
          <w:sz w:val="24"/>
          <w:szCs w:val="24"/>
        </w:rPr>
        <w:t xml:space="preserve"> med </w:t>
      </w:r>
      <w:proofErr w:type="spellStart"/>
      <w:r w:rsidRPr="001F068A">
        <w:rPr>
          <w:color w:val="000000"/>
          <w:sz w:val="24"/>
          <w:szCs w:val="24"/>
        </w:rPr>
        <w:t>racecadotril</w:t>
      </w:r>
      <w:proofErr w:type="spellEnd"/>
      <w:r w:rsidRPr="001F068A">
        <w:rPr>
          <w:color w:val="000000"/>
          <w:sz w:val="24"/>
          <w:szCs w:val="24"/>
        </w:rPr>
        <w:t xml:space="preserve">, </w:t>
      </w:r>
      <w:proofErr w:type="spellStart"/>
      <w:r w:rsidRPr="001F068A">
        <w:rPr>
          <w:color w:val="000000"/>
          <w:sz w:val="24"/>
          <w:szCs w:val="24"/>
        </w:rPr>
        <w:t>mTOR-hæmmere</w:t>
      </w:r>
      <w:proofErr w:type="spellEnd"/>
      <w:r w:rsidRPr="001F068A">
        <w:rPr>
          <w:color w:val="000000"/>
          <w:sz w:val="24"/>
          <w:szCs w:val="24"/>
        </w:rPr>
        <w:t xml:space="preserve"> (fx </w:t>
      </w:r>
      <w:proofErr w:type="spellStart"/>
      <w:r w:rsidRPr="001F068A">
        <w:rPr>
          <w:color w:val="000000"/>
          <w:sz w:val="24"/>
          <w:szCs w:val="24"/>
        </w:rPr>
        <w:t>sirolimus</w:t>
      </w:r>
      <w:proofErr w:type="spellEnd"/>
      <w:r w:rsidRPr="001F068A">
        <w:rPr>
          <w:color w:val="000000"/>
          <w:sz w:val="24"/>
          <w:szCs w:val="24"/>
        </w:rPr>
        <w:t xml:space="preserve">, </w:t>
      </w:r>
      <w:proofErr w:type="spellStart"/>
      <w:r w:rsidRPr="001F068A">
        <w:rPr>
          <w:color w:val="000000"/>
          <w:sz w:val="24"/>
          <w:szCs w:val="24"/>
        </w:rPr>
        <w:t>everolimus</w:t>
      </w:r>
      <w:proofErr w:type="spellEnd"/>
      <w:r w:rsidRPr="001F068A">
        <w:rPr>
          <w:color w:val="000000"/>
          <w:sz w:val="24"/>
          <w:szCs w:val="24"/>
        </w:rPr>
        <w:t xml:space="preserve">, </w:t>
      </w:r>
      <w:proofErr w:type="spellStart"/>
      <w:r w:rsidRPr="001F068A">
        <w:rPr>
          <w:color w:val="000000"/>
          <w:sz w:val="24"/>
          <w:szCs w:val="24"/>
        </w:rPr>
        <w:t>temsirolimus</w:t>
      </w:r>
      <w:proofErr w:type="spellEnd"/>
      <w:r w:rsidRPr="001F068A">
        <w:rPr>
          <w:color w:val="000000"/>
          <w:sz w:val="24"/>
          <w:szCs w:val="24"/>
        </w:rPr>
        <w:t xml:space="preserve">) og </w:t>
      </w:r>
      <w:proofErr w:type="spellStart"/>
      <w:r w:rsidRPr="001F068A">
        <w:rPr>
          <w:color w:val="000000"/>
          <w:sz w:val="24"/>
          <w:szCs w:val="24"/>
        </w:rPr>
        <w:t>vildagliptin</w:t>
      </w:r>
      <w:proofErr w:type="spellEnd"/>
      <w:r w:rsidRPr="001F068A">
        <w:rPr>
          <w:color w:val="000000"/>
          <w:sz w:val="24"/>
          <w:szCs w:val="24"/>
        </w:rPr>
        <w:t xml:space="preserve"> kan føre til øget risiko for </w:t>
      </w:r>
      <w:proofErr w:type="spellStart"/>
      <w:r w:rsidRPr="001F068A">
        <w:rPr>
          <w:color w:val="000000"/>
          <w:sz w:val="24"/>
          <w:szCs w:val="24"/>
        </w:rPr>
        <w:t>angioødem</w:t>
      </w:r>
      <w:proofErr w:type="spellEnd"/>
      <w:r w:rsidRPr="001F068A">
        <w:rPr>
          <w:color w:val="000000"/>
          <w:sz w:val="24"/>
          <w:szCs w:val="24"/>
        </w:rPr>
        <w:t xml:space="preserve"> (se pkt. 4.4).</w:t>
      </w:r>
    </w:p>
    <w:p w:rsidR="00CE4BB6" w:rsidRDefault="00CE4BB6" w:rsidP="002B0BDC">
      <w:pPr>
        <w:ind w:left="851"/>
        <w:rPr>
          <w:color w:val="000000"/>
          <w:sz w:val="24"/>
          <w:szCs w:val="24"/>
          <w:u w:val="single"/>
        </w:rPr>
      </w:pPr>
    </w:p>
    <w:p w:rsidR="002B0BDC" w:rsidRDefault="002B0BDC" w:rsidP="002B0BDC">
      <w:pPr>
        <w:ind w:left="851"/>
        <w:rPr>
          <w:color w:val="000000"/>
          <w:sz w:val="24"/>
          <w:szCs w:val="24"/>
          <w:u w:val="single"/>
        </w:rPr>
      </w:pPr>
      <w:r>
        <w:rPr>
          <w:color w:val="000000"/>
          <w:sz w:val="24"/>
          <w:szCs w:val="24"/>
          <w:u w:val="single"/>
        </w:rPr>
        <w:t xml:space="preserve">Dobbelthæmning af </w:t>
      </w:r>
      <w:proofErr w:type="spellStart"/>
      <w:r>
        <w:rPr>
          <w:color w:val="000000"/>
          <w:sz w:val="24"/>
          <w:szCs w:val="24"/>
          <w:u w:val="single"/>
        </w:rPr>
        <w:t>renin-angiotensin-aldosteronsystemet</w:t>
      </w:r>
      <w:proofErr w:type="spellEnd"/>
      <w:r>
        <w:rPr>
          <w:color w:val="000000"/>
          <w:sz w:val="24"/>
          <w:szCs w:val="24"/>
          <w:u w:val="single"/>
        </w:rPr>
        <w:t xml:space="preserve"> (RAAS)</w:t>
      </w:r>
    </w:p>
    <w:p w:rsidR="002B0BDC" w:rsidRDefault="002B0BDC" w:rsidP="002B0BDC">
      <w:pPr>
        <w:ind w:left="851"/>
        <w:rPr>
          <w:color w:val="000000"/>
          <w:sz w:val="24"/>
          <w:szCs w:val="24"/>
        </w:rPr>
      </w:pPr>
      <w:r>
        <w:rPr>
          <w:color w:val="000000"/>
          <w:sz w:val="24"/>
          <w:szCs w:val="24"/>
        </w:rPr>
        <w:t xml:space="preserve">Data fra kliniske studier har vist, at dobbelthæmning af </w:t>
      </w:r>
      <w:proofErr w:type="spellStart"/>
      <w:r>
        <w:rPr>
          <w:color w:val="000000"/>
          <w:sz w:val="24"/>
          <w:szCs w:val="24"/>
        </w:rPr>
        <w:t>renin-angiotensin-aldosteronsystemet</w:t>
      </w:r>
      <w:proofErr w:type="spellEnd"/>
      <w:r>
        <w:rPr>
          <w:color w:val="000000"/>
          <w:sz w:val="24"/>
          <w:szCs w:val="24"/>
        </w:rPr>
        <w:t xml:space="preserve"> (RAAS) gennem kombinationsbehandling med ACE-</w:t>
      </w:r>
      <w:proofErr w:type="spellStart"/>
      <w:r>
        <w:rPr>
          <w:color w:val="000000"/>
          <w:sz w:val="24"/>
          <w:szCs w:val="24"/>
        </w:rPr>
        <w:t>hæmmere</w:t>
      </w:r>
      <w:proofErr w:type="spellEnd"/>
      <w:r>
        <w:rPr>
          <w:color w:val="000000"/>
          <w:sz w:val="24"/>
          <w:szCs w:val="24"/>
        </w:rPr>
        <w:t xml:space="preserve">, </w:t>
      </w:r>
      <w:proofErr w:type="spellStart"/>
      <w:r>
        <w:rPr>
          <w:color w:val="000000"/>
          <w:sz w:val="24"/>
          <w:szCs w:val="24"/>
        </w:rPr>
        <w:t>angiotensin</w:t>
      </w:r>
      <w:proofErr w:type="spellEnd"/>
      <w:r>
        <w:rPr>
          <w:color w:val="000000"/>
          <w:sz w:val="24"/>
          <w:szCs w:val="24"/>
        </w:rPr>
        <w:t xml:space="preserve"> II-receptorantagonister eller </w:t>
      </w:r>
      <w:proofErr w:type="spellStart"/>
      <w:r>
        <w:rPr>
          <w:color w:val="000000"/>
          <w:sz w:val="24"/>
          <w:szCs w:val="24"/>
        </w:rPr>
        <w:t>aliskiren</w:t>
      </w:r>
      <w:proofErr w:type="spellEnd"/>
      <w:r>
        <w:rPr>
          <w:color w:val="000000"/>
          <w:sz w:val="24"/>
          <w:szCs w:val="24"/>
        </w:rPr>
        <w:t xml:space="preserve"> er forbundet med en højere hyppighed af bivirkninger såsom hypotension, </w:t>
      </w:r>
      <w:proofErr w:type="spellStart"/>
      <w:r>
        <w:rPr>
          <w:color w:val="000000"/>
          <w:sz w:val="24"/>
          <w:szCs w:val="24"/>
        </w:rPr>
        <w:t>hyperkaliæmi</w:t>
      </w:r>
      <w:proofErr w:type="spellEnd"/>
      <w:r>
        <w:rPr>
          <w:color w:val="000000"/>
          <w:sz w:val="24"/>
          <w:szCs w:val="24"/>
        </w:rPr>
        <w:t xml:space="preserve"> og nedsat nyrefunktion (inklusive akut nyresvigt) sammenlignet med brug af et enkelt RAAS-virkende lægemiddel (se pkt. 4.3, 4.4 og 5.1).</w:t>
      </w:r>
    </w:p>
    <w:p w:rsidR="002B0BDC" w:rsidRDefault="002B0BDC" w:rsidP="002B0BDC">
      <w:pPr>
        <w:ind w:left="851"/>
        <w:rPr>
          <w:color w:val="000000"/>
          <w:sz w:val="24"/>
          <w:szCs w:val="24"/>
          <w:u w:val="single"/>
        </w:rPr>
      </w:pPr>
    </w:p>
    <w:p w:rsidR="00CE4BB6" w:rsidRDefault="00CE4BB6" w:rsidP="00CE4BB6">
      <w:pPr>
        <w:autoSpaceDE w:val="0"/>
        <w:autoSpaceDN w:val="0"/>
        <w:adjustRightInd w:val="0"/>
        <w:ind w:left="851"/>
        <w:rPr>
          <w:color w:val="000000"/>
          <w:sz w:val="24"/>
          <w:szCs w:val="24"/>
          <w:u w:val="single"/>
        </w:rPr>
      </w:pPr>
      <w:r>
        <w:rPr>
          <w:color w:val="000000"/>
          <w:sz w:val="24"/>
          <w:szCs w:val="24"/>
          <w:u w:val="single"/>
        </w:rPr>
        <w:t xml:space="preserve">Kaliumbesparende </w:t>
      </w:r>
      <w:proofErr w:type="spellStart"/>
      <w:r>
        <w:rPr>
          <w:color w:val="000000"/>
          <w:sz w:val="24"/>
          <w:szCs w:val="24"/>
          <w:u w:val="single"/>
        </w:rPr>
        <w:t>diuretika</w:t>
      </w:r>
      <w:proofErr w:type="spellEnd"/>
      <w:r>
        <w:rPr>
          <w:color w:val="000000"/>
          <w:sz w:val="24"/>
          <w:szCs w:val="24"/>
          <w:u w:val="single"/>
        </w:rPr>
        <w:t>, kaliumtilskud eller øvrige lægemidler, der kan øge serumkalium</w:t>
      </w:r>
    </w:p>
    <w:p w:rsidR="00CE4BB6" w:rsidRDefault="00CE4BB6" w:rsidP="00CE4BB6">
      <w:pPr>
        <w:autoSpaceDE w:val="0"/>
        <w:autoSpaceDN w:val="0"/>
        <w:adjustRightInd w:val="0"/>
        <w:ind w:left="851"/>
        <w:rPr>
          <w:color w:val="000000"/>
          <w:sz w:val="24"/>
          <w:szCs w:val="24"/>
        </w:rPr>
      </w:pPr>
      <w:r w:rsidRPr="001F068A">
        <w:rPr>
          <w:color w:val="000000"/>
          <w:sz w:val="24"/>
          <w:szCs w:val="24"/>
        </w:rPr>
        <w:lastRenderedPageBreak/>
        <w:t xml:space="preserve">Selvom serumkalium normalt forbliver inden for normalområdet, kan der forekomme </w:t>
      </w:r>
      <w:proofErr w:type="spellStart"/>
      <w:r w:rsidRPr="001F068A">
        <w:rPr>
          <w:color w:val="000000"/>
          <w:sz w:val="24"/>
          <w:szCs w:val="24"/>
        </w:rPr>
        <w:t>hyperkaliæmi</w:t>
      </w:r>
      <w:proofErr w:type="spellEnd"/>
      <w:r w:rsidRPr="001F068A">
        <w:rPr>
          <w:color w:val="000000"/>
          <w:sz w:val="24"/>
          <w:szCs w:val="24"/>
        </w:rPr>
        <w:t xml:space="preserve"> hos nogle patienter, som er i behandling med </w:t>
      </w:r>
      <w:proofErr w:type="spellStart"/>
      <w:r w:rsidRPr="004C30E9">
        <w:rPr>
          <w:color w:val="000000"/>
          <w:sz w:val="24"/>
          <w:szCs w:val="24"/>
        </w:rPr>
        <w:t>Enalapril</w:t>
      </w:r>
      <w:proofErr w:type="spellEnd"/>
      <w:r w:rsidRPr="004C30E9">
        <w:rPr>
          <w:color w:val="000000"/>
          <w:sz w:val="24"/>
          <w:szCs w:val="24"/>
        </w:rPr>
        <w:t xml:space="preserve"> "</w:t>
      </w:r>
      <w:proofErr w:type="spellStart"/>
      <w:r w:rsidRPr="004C30E9">
        <w:rPr>
          <w:color w:val="000000"/>
          <w:sz w:val="24"/>
          <w:szCs w:val="24"/>
        </w:rPr>
        <w:t>Accord</w:t>
      </w:r>
      <w:proofErr w:type="spellEnd"/>
      <w:r w:rsidRPr="004C30E9">
        <w:rPr>
          <w:color w:val="000000"/>
          <w:sz w:val="24"/>
          <w:szCs w:val="24"/>
        </w:rPr>
        <w:t>"</w:t>
      </w:r>
      <w:r w:rsidRPr="00370DB6">
        <w:rPr>
          <w:color w:val="000000"/>
          <w:sz w:val="24"/>
          <w:szCs w:val="24"/>
        </w:rPr>
        <w:t xml:space="preserve">. </w:t>
      </w:r>
      <w:r>
        <w:rPr>
          <w:color w:val="000000"/>
          <w:sz w:val="24"/>
          <w:szCs w:val="24"/>
        </w:rPr>
        <w:t xml:space="preserve">Kaliumbesparende </w:t>
      </w:r>
      <w:proofErr w:type="spellStart"/>
      <w:r>
        <w:rPr>
          <w:color w:val="000000"/>
          <w:sz w:val="24"/>
          <w:szCs w:val="24"/>
        </w:rPr>
        <w:t>diuretika</w:t>
      </w:r>
      <w:proofErr w:type="spellEnd"/>
      <w:r>
        <w:rPr>
          <w:color w:val="000000"/>
          <w:sz w:val="24"/>
          <w:szCs w:val="24"/>
        </w:rPr>
        <w:t xml:space="preserve"> (fx </w:t>
      </w:r>
      <w:proofErr w:type="spellStart"/>
      <w:r>
        <w:rPr>
          <w:color w:val="000000"/>
          <w:sz w:val="24"/>
          <w:szCs w:val="24"/>
        </w:rPr>
        <w:t>spironolacton</w:t>
      </w:r>
      <w:proofErr w:type="spellEnd"/>
      <w:r>
        <w:rPr>
          <w:color w:val="000000"/>
          <w:sz w:val="24"/>
          <w:szCs w:val="24"/>
        </w:rPr>
        <w:t xml:space="preserve">, </w:t>
      </w:r>
      <w:proofErr w:type="spellStart"/>
      <w:r>
        <w:rPr>
          <w:color w:val="000000"/>
          <w:sz w:val="24"/>
          <w:szCs w:val="24"/>
        </w:rPr>
        <w:t>triamteren</w:t>
      </w:r>
      <w:proofErr w:type="spellEnd"/>
      <w:r>
        <w:rPr>
          <w:color w:val="000000"/>
          <w:sz w:val="24"/>
          <w:szCs w:val="24"/>
        </w:rPr>
        <w:t xml:space="preserve"> eller </w:t>
      </w:r>
      <w:proofErr w:type="spellStart"/>
      <w:r>
        <w:rPr>
          <w:color w:val="000000"/>
          <w:sz w:val="24"/>
          <w:szCs w:val="24"/>
        </w:rPr>
        <w:t>amilorid</w:t>
      </w:r>
      <w:proofErr w:type="spellEnd"/>
      <w:r>
        <w:rPr>
          <w:color w:val="000000"/>
          <w:sz w:val="24"/>
          <w:szCs w:val="24"/>
        </w:rPr>
        <w:t>), kaliumtilskud eller kaliumholdige salterstatninger kan føre til betydelige stigninger i serumkalium.</w:t>
      </w:r>
      <w:r w:rsidRPr="005C08AF">
        <w:rPr>
          <w:sz w:val="24"/>
          <w:szCs w:val="24"/>
        </w:rPr>
        <w:t xml:space="preserve"> Der skal også udvises forsigtighed, når </w:t>
      </w:r>
      <w:proofErr w:type="spellStart"/>
      <w:r>
        <w:rPr>
          <w:sz w:val="24"/>
          <w:szCs w:val="24"/>
        </w:rPr>
        <w:t>E</w:t>
      </w:r>
      <w:r w:rsidRPr="005C08AF">
        <w:rPr>
          <w:sz w:val="24"/>
          <w:szCs w:val="24"/>
        </w:rPr>
        <w:t>nalapril</w:t>
      </w:r>
      <w:proofErr w:type="spellEnd"/>
      <w:r>
        <w:rPr>
          <w:sz w:val="24"/>
          <w:szCs w:val="24"/>
        </w:rPr>
        <w:t xml:space="preserve"> </w:t>
      </w:r>
      <w:r w:rsidRPr="004A4DB6">
        <w:rPr>
          <w:color w:val="000000"/>
          <w:sz w:val="24"/>
          <w:szCs w:val="24"/>
        </w:rPr>
        <w:t>”</w:t>
      </w:r>
      <w:proofErr w:type="spellStart"/>
      <w:r w:rsidRPr="004A4DB6">
        <w:rPr>
          <w:color w:val="000000"/>
          <w:sz w:val="24"/>
          <w:szCs w:val="24"/>
        </w:rPr>
        <w:t>Accord</w:t>
      </w:r>
      <w:proofErr w:type="spellEnd"/>
      <w:r w:rsidRPr="004A4DB6">
        <w:rPr>
          <w:color w:val="000000"/>
          <w:sz w:val="24"/>
          <w:szCs w:val="24"/>
        </w:rPr>
        <w:t>”</w:t>
      </w:r>
      <w:r w:rsidRPr="005C08AF">
        <w:rPr>
          <w:sz w:val="24"/>
          <w:szCs w:val="24"/>
        </w:rPr>
        <w:t xml:space="preserve"> bliver administreret samtidig med andre midler, der øger serum kalium, såsom </w:t>
      </w:r>
      <w:proofErr w:type="spellStart"/>
      <w:r w:rsidRPr="005C08AF">
        <w:rPr>
          <w:sz w:val="24"/>
          <w:szCs w:val="24"/>
        </w:rPr>
        <w:t>trimethoprim</w:t>
      </w:r>
      <w:proofErr w:type="spellEnd"/>
      <w:r w:rsidRPr="005C08AF">
        <w:rPr>
          <w:sz w:val="24"/>
          <w:szCs w:val="24"/>
        </w:rPr>
        <w:t xml:space="preserve"> og </w:t>
      </w:r>
      <w:proofErr w:type="spellStart"/>
      <w:r w:rsidRPr="005C08AF">
        <w:rPr>
          <w:sz w:val="24"/>
          <w:szCs w:val="24"/>
        </w:rPr>
        <w:t>co-trimoxazol</w:t>
      </w:r>
      <w:proofErr w:type="spellEnd"/>
      <w:r w:rsidRPr="005C08AF">
        <w:rPr>
          <w:sz w:val="24"/>
          <w:szCs w:val="24"/>
        </w:rPr>
        <w:t xml:space="preserve"> (</w:t>
      </w:r>
      <w:proofErr w:type="spellStart"/>
      <w:r w:rsidRPr="005C08AF">
        <w:rPr>
          <w:sz w:val="24"/>
          <w:szCs w:val="24"/>
        </w:rPr>
        <w:t>trimethoprim</w:t>
      </w:r>
      <w:proofErr w:type="spellEnd"/>
      <w:r w:rsidRPr="005C08AF">
        <w:rPr>
          <w:sz w:val="24"/>
          <w:szCs w:val="24"/>
        </w:rPr>
        <w:t>/</w:t>
      </w:r>
      <w:proofErr w:type="spellStart"/>
      <w:r w:rsidRPr="005C08AF">
        <w:rPr>
          <w:sz w:val="24"/>
          <w:szCs w:val="24"/>
        </w:rPr>
        <w:t>sulfamethoxazol</w:t>
      </w:r>
      <w:proofErr w:type="spellEnd"/>
      <w:r w:rsidRPr="005C08AF">
        <w:rPr>
          <w:sz w:val="24"/>
          <w:szCs w:val="24"/>
        </w:rPr>
        <w:t xml:space="preserve">), da </w:t>
      </w:r>
      <w:proofErr w:type="spellStart"/>
      <w:r w:rsidRPr="005C08AF">
        <w:rPr>
          <w:sz w:val="24"/>
          <w:szCs w:val="24"/>
        </w:rPr>
        <w:t>trimethoprim</w:t>
      </w:r>
      <w:proofErr w:type="spellEnd"/>
      <w:r w:rsidRPr="005C08AF">
        <w:rPr>
          <w:sz w:val="24"/>
          <w:szCs w:val="24"/>
        </w:rPr>
        <w:t xml:space="preserve"> er kendt for at virke som et kaliumbesparende </w:t>
      </w:r>
      <w:proofErr w:type="spellStart"/>
      <w:r w:rsidRPr="005C08AF">
        <w:rPr>
          <w:sz w:val="24"/>
          <w:szCs w:val="24"/>
        </w:rPr>
        <w:t>diuretikum</w:t>
      </w:r>
      <w:proofErr w:type="spellEnd"/>
      <w:r w:rsidRPr="005C08AF">
        <w:rPr>
          <w:sz w:val="24"/>
          <w:szCs w:val="24"/>
        </w:rPr>
        <w:t xml:space="preserve">, som </w:t>
      </w:r>
      <w:proofErr w:type="spellStart"/>
      <w:r w:rsidRPr="005C08AF">
        <w:rPr>
          <w:sz w:val="24"/>
          <w:szCs w:val="24"/>
        </w:rPr>
        <w:t>amilorid</w:t>
      </w:r>
      <w:proofErr w:type="spellEnd"/>
      <w:r>
        <w:rPr>
          <w:color w:val="000000"/>
          <w:sz w:val="24"/>
          <w:szCs w:val="24"/>
        </w:rPr>
        <w:t xml:space="preserve"> </w:t>
      </w:r>
      <w:r w:rsidRPr="001F068A">
        <w:rPr>
          <w:color w:val="000000"/>
          <w:sz w:val="24"/>
          <w:szCs w:val="24"/>
        </w:rPr>
        <w:t xml:space="preserve">Derfor </w:t>
      </w:r>
      <w:r>
        <w:rPr>
          <w:color w:val="000000"/>
          <w:sz w:val="24"/>
          <w:szCs w:val="24"/>
        </w:rPr>
        <w:t>frarådes</w:t>
      </w:r>
      <w:r w:rsidRPr="001F068A">
        <w:rPr>
          <w:color w:val="000000"/>
          <w:sz w:val="24"/>
          <w:szCs w:val="24"/>
        </w:rPr>
        <w:t xml:space="preserve"> kombination af </w:t>
      </w:r>
      <w:proofErr w:type="spellStart"/>
      <w:r w:rsidRPr="001F068A">
        <w:rPr>
          <w:color w:val="000000"/>
          <w:sz w:val="24"/>
          <w:szCs w:val="24"/>
        </w:rPr>
        <w:t>Enalapril</w:t>
      </w:r>
      <w:proofErr w:type="spellEnd"/>
      <w:r w:rsidRPr="001F068A">
        <w:rPr>
          <w:color w:val="000000"/>
          <w:sz w:val="24"/>
          <w:szCs w:val="24"/>
        </w:rPr>
        <w:t xml:space="preserve"> ”</w:t>
      </w:r>
      <w:proofErr w:type="spellStart"/>
      <w:r w:rsidRPr="001F068A">
        <w:rPr>
          <w:color w:val="000000"/>
          <w:sz w:val="24"/>
          <w:szCs w:val="24"/>
        </w:rPr>
        <w:t>Accord</w:t>
      </w:r>
      <w:proofErr w:type="spellEnd"/>
      <w:r w:rsidRPr="001F068A">
        <w:rPr>
          <w:color w:val="000000"/>
          <w:sz w:val="24"/>
          <w:szCs w:val="24"/>
        </w:rPr>
        <w:t>” og ovennævnte lægemidler.</w:t>
      </w:r>
      <w:r>
        <w:rPr>
          <w:color w:val="000000"/>
        </w:rPr>
        <w:t xml:space="preserve"> </w:t>
      </w:r>
      <w:r>
        <w:rPr>
          <w:color w:val="000000"/>
          <w:sz w:val="24"/>
          <w:szCs w:val="24"/>
        </w:rPr>
        <w:t xml:space="preserve">Hvis samtidig brug af </w:t>
      </w:r>
      <w:proofErr w:type="spellStart"/>
      <w:r>
        <w:rPr>
          <w:color w:val="000000"/>
          <w:sz w:val="24"/>
          <w:szCs w:val="24"/>
        </w:rPr>
        <w:t>Enalapril</w:t>
      </w:r>
      <w:proofErr w:type="spellEnd"/>
      <w:r>
        <w:rPr>
          <w:color w:val="000000"/>
          <w:sz w:val="24"/>
          <w:szCs w:val="24"/>
        </w:rPr>
        <w:t xml:space="preserve"> </w:t>
      </w:r>
      <w:r w:rsidRPr="004A4DB6">
        <w:rPr>
          <w:color w:val="000000"/>
          <w:sz w:val="24"/>
          <w:szCs w:val="24"/>
        </w:rPr>
        <w:t>”</w:t>
      </w:r>
      <w:proofErr w:type="spellStart"/>
      <w:r w:rsidRPr="004A4DB6">
        <w:rPr>
          <w:color w:val="000000"/>
          <w:sz w:val="24"/>
          <w:szCs w:val="24"/>
        </w:rPr>
        <w:t>Accord</w:t>
      </w:r>
      <w:proofErr w:type="spellEnd"/>
      <w:r w:rsidRPr="004A4DB6">
        <w:rPr>
          <w:color w:val="000000"/>
          <w:sz w:val="24"/>
          <w:szCs w:val="24"/>
        </w:rPr>
        <w:t>”</w:t>
      </w:r>
      <w:r>
        <w:rPr>
          <w:color w:val="000000"/>
          <w:sz w:val="24"/>
          <w:szCs w:val="24"/>
        </w:rPr>
        <w:t xml:space="preserve"> og et af de ovenfor nævnte stoffer vurderes nødvendig, skal de anvendes med forsigtighed, og serumkalium og nyrefunktion skal kontrolleres hyppigt (se pkt. 4.4).</w:t>
      </w:r>
    </w:p>
    <w:p w:rsidR="00CE4BB6" w:rsidRDefault="00CE4BB6" w:rsidP="00CE4BB6">
      <w:pPr>
        <w:ind w:left="851"/>
        <w:rPr>
          <w:color w:val="000000"/>
          <w:sz w:val="24"/>
          <w:szCs w:val="24"/>
          <w:u w:val="single"/>
        </w:rPr>
      </w:pPr>
    </w:p>
    <w:p w:rsidR="00CE4BB6" w:rsidRPr="001F068A" w:rsidRDefault="00CE4BB6" w:rsidP="00CE4BB6">
      <w:pPr>
        <w:ind w:left="851"/>
        <w:rPr>
          <w:color w:val="000000"/>
          <w:sz w:val="24"/>
          <w:szCs w:val="24"/>
          <w:u w:val="single"/>
        </w:rPr>
      </w:pPr>
      <w:proofErr w:type="spellStart"/>
      <w:r w:rsidRPr="001F068A">
        <w:rPr>
          <w:color w:val="000000"/>
          <w:sz w:val="24"/>
          <w:szCs w:val="24"/>
          <w:u w:val="single"/>
        </w:rPr>
        <w:t>Ciclosporin</w:t>
      </w:r>
      <w:proofErr w:type="spellEnd"/>
      <w:r w:rsidRPr="001F068A">
        <w:rPr>
          <w:color w:val="000000"/>
          <w:sz w:val="24"/>
          <w:szCs w:val="24"/>
          <w:u w:val="single"/>
        </w:rPr>
        <w:t xml:space="preserve"> </w:t>
      </w:r>
    </w:p>
    <w:p w:rsidR="00CE4BB6" w:rsidRPr="001F068A" w:rsidRDefault="00CE4BB6" w:rsidP="00CE4BB6">
      <w:pPr>
        <w:ind w:left="851"/>
        <w:rPr>
          <w:color w:val="000000"/>
          <w:sz w:val="24"/>
          <w:szCs w:val="24"/>
        </w:rPr>
      </w:pPr>
      <w:proofErr w:type="spellStart"/>
      <w:r w:rsidRPr="001F068A">
        <w:rPr>
          <w:color w:val="000000"/>
          <w:sz w:val="24"/>
          <w:szCs w:val="24"/>
        </w:rPr>
        <w:t>Hyperkaliæmi</w:t>
      </w:r>
      <w:proofErr w:type="spellEnd"/>
      <w:r w:rsidRPr="001F068A">
        <w:rPr>
          <w:color w:val="000000"/>
          <w:sz w:val="24"/>
          <w:szCs w:val="24"/>
        </w:rPr>
        <w:t xml:space="preserve"> kan forekomme under samtidig brug af ACE-</w:t>
      </w:r>
      <w:proofErr w:type="spellStart"/>
      <w:r w:rsidRPr="001F068A">
        <w:rPr>
          <w:color w:val="000000"/>
          <w:sz w:val="24"/>
          <w:szCs w:val="24"/>
        </w:rPr>
        <w:t>hæmmere</w:t>
      </w:r>
      <w:proofErr w:type="spellEnd"/>
      <w:r w:rsidRPr="001F068A">
        <w:rPr>
          <w:color w:val="000000"/>
          <w:sz w:val="24"/>
          <w:szCs w:val="24"/>
        </w:rPr>
        <w:t xml:space="preserve"> og </w:t>
      </w:r>
      <w:proofErr w:type="spellStart"/>
      <w:r w:rsidRPr="001F068A">
        <w:rPr>
          <w:color w:val="000000"/>
          <w:sz w:val="24"/>
          <w:szCs w:val="24"/>
        </w:rPr>
        <w:t>ciclosporin</w:t>
      </w:r>
      <w:proofErr w:type="spellEnd"/>
      <w:r w:rsidRPr="001F068A">
        <w:rPr>
          <w:color w:val="000000"/>
          <w:sz w:val="24"/>
          <w:szCs w:val="24"/>
        </w:rPr>
        <w:t>. Monitorering af serumkalium anbefales.</w:t>
      </w:r>
    </w:p>
    <w:p w:rsidR="00CE4BB6" w:rsidRPr="001F068A" w:rsidRDefault="00CE4BB6" w:rsidP="00CE4BB6">
      <w:pPr>
        <w:rPr>
          <w:color w:val="000000"/>
          <w:sz w:val="24"/>
          <w:szCs w:val="24"/>
          <w:u w:val="single"/>
        </w:rPr>
      </w:pPr>
    </w:p>
    <w:p w:rsidR="00CE4BB6" w:rsidRPr="001F068A" w:rsidRDefault="00CE4BB6" w:rsidP="00CE4BB6">
      <w:pPr>
        <w:ind w:left="851"/>
        <w:rPr>
          <w:color w:val="000000"/>
          <w:sz w:val="24"/>
          <w:szCs w:val="24"/>
          <w:u w:val="single"/>
        </w:rPr>
      </w:pPr>
      <w:proofErr w:type="spellStart"/>
      <w:r w:rsidRPr="001F068A">
        <w:rPr>
          <w:color w:val="000000"/>
          <w:sz w:val="24"/>
          <w:szCs w:val="24"/>
          <w:u w:val="single"/>
        </w:rPr>
        <w:t>Heparin</w:t>
      </w:r>
      <w:proofErr w:type="spellEnd"/>
    </w:p>
    <w:p w:rsidR="00CE4BB6" w:rsidRPr="001F068A" w:rsidRDefault="00CE4BB6" w:rsidP="00CE4BB6">
      <w:pPr>
        <w:ind w:left="851"/>
        <w:rPr>
          <w:color w:val="000000"/>
          <w:sz w:val="24"/>
          <w:szCs w:val="24"/>
        </w:rPr>
      </w:pPr>
      <w:proofErr w:type="spellStart"/>
      <w:r w:rsidRPr="001F068A">
        <w:rPr>
          <w:color w:val="000000"/>
          <w:sz w:val="24"/>
          <w:szCs w:val="24"/>
        </w:rPr>
        <w:t>Hyperkaliæmi</w:t>
      </w:r>
      <w:proofErr w:type="spellEnd"/>
      <w:r w:rsidRPr="001F068A">
        <w:rPr>
          <w:color w:val="000000"/>
          <w:sz w:val="24"/>
          <w:szCs w:val="24"/>
        </w:rPr>
        <w:t xml:space="preserve"> kan forekomme under samtidig brug af ACE-</w:t>
      </w:r>
      <w:proofErr w:type="spellStart"/>
      <w:r w:rsidRPr="001F068A">
        <w:rPr>
          <w:color w:val="000000"/>
          <w:sz w:val="24"/>
          <w:szCs w:val="24"/>
        </w:rPr>
        <w:t>hæmmere</w:t>
      </w:r>
      <w:proofErr w:type="spellEnd"/>
      <w:r w:rsidRPr="001F068A">
        <w:rPr>
          <w:color w:val="000000"/>
          <w:sz w:val="24"/>
          <w:szCs w:val="24"/>
        </w:rPr>
        <w:t xml:space="preserve"> og </w:t>
      </w:r>
      <w:proofErr w:type="spellStart"/>
      <w:r w:rsidRPr="001F068A">
        <w:rPr>
          <w:color w:val="000000"/>
          <w:sz w:val="24"/>
          <w:szCs w:val="24"/>
        </w:rPr>
        <w:t>heparin</w:t>
      </w:r>
      <w:proofErr w:type="spellEnd"/>
      <w:r w:rsidRPr="001F068A">
        <w:rPr>
          <w:color w:val="000000"/>
          <w:sz w:val="24"/>
          <w:szCs w:val="24"/>
        </w:rPr>
        <w:t>. Monitorering af serumkalium anbefales.</w:t>
      </w:r>
    </w:p>
    <w:p w:rsidR="002B0BDC" w:rsidRDefault="002B0BDC" w:rsidP="002B0BDC">
      <w:pPr>
        <w:ind w:left="851"/>
        <w:rPr>
          <w:color w:val="000000"/>
          <w:sz w:val="24"/>
          <w:szCs w:val="24"/>
          <w:u w:val="single"/>
        </w:rPr>
      </w:pPr>
    </w:p>
    <w:p w:rsidR="002B0BDC" w:rsidRDefault="002B0BDC" w:rsidP="002B0BDC">
      <w:pPr>
        <w:ind w:left="851"/>
        <w:rPr>
          <w:color w:val="000000"/>
          <w:sz w:val="24"/>
          <w:szCs w:val="24"/>
          <w:u w:val="single"/>
        </w:rPr>
      </w:pPr>
      <w:proofErr w:type="spellStart"/>
      <w:r>
        <w:rPr>
          <w:color w:val="000000"/>
          <w:sz w:val="24"/>
          <w:szCs w:val="24"/>
          <w:u w:val="single"/>
        </w:rPr>
        <w:t>Diuretika</w:t>
      </w:r>
      <w:proofErr w:type="spellEnd"/>
      <w:r>
        <w:rPr>
          <w:color w:val="000000"/>
          <w:sz w:val="24"/>
          <w:szCs w:val="24"/>
          <w:u w:val="single"/>
        </w:rPr>
        <w:t xml:space="preserve"> (</w:t>
      </w:r>
      <w:proofErr w:type="spellStart"/>
      <w:r>
        <w:rPr>
          <w:color w:val="000000"/>
          <w:sz w:val="24"/>
          <w:szCs w:val="24"/>
          <w:u w:val="single"/>
        </w:rPr>
        <w:t>thiazid</w:t>
      </w:r>
      <w:proofErr w:type="spellEnd"/>
      <w:r>
        <w:rPr>
          <w:color w:val="000000"/>
          <w:sz w:val="24"/>
          <w:szCs w:val="24"/>
          <w:u w:val="single"/>
        </w:rPr>
        <w:t>- eller loop-</w:t>
      </w:r>
      <w:proofErr w:type="spellStart"/>
      <w:r>
        <w:rPr>
          <w:color w:val="000000"/>
          <w:sz w:val="24"/>
          <w:szCs w:val="24"/>
          <w:u w:val="single"/>
        </w:rPr>
        <w:t>diuretika</w:t>
      </w:r>
      <w:proofErr w:type="spellEnd"/>
      <w:r>
        <w:rPr>
          <w:color w:val="000000"/>
          <w:sz w:val="24"/>
          <w:szCs w:val="24"/>
          <w:u w:val="single"/>
        </w:rPr>
        <w:t>)</w:t>
      </w:r>
    </w:p>
    <w:p w:rsidR="002B0BDC" w:rsidRDefault="002B0BDC" w:rsidP="002B0BDC">
      <w:pPr>
        <w:ind w:left="851"/>
        <w:rPr>
          <w:color w:val="000000"/>
          <w:sz w:val="24"/>
          <w:szCs w:val="24"/>
        </w:rPr>
      </w:pPr>
      <w:r>
        <w:rPr>
          <w:color w:val="000000"/>
          <w:sz w:val="24"/>
          <w:szCs w:val="24"/>
        </w:rPr>
        <w:t xml:space="preserve">Tidligere behandling med højdosis </w:t>
      </w:r>
      <w:proofErr w:type="spellStart"/>
      <w:r>
        <w:rPr>
          <w:color w:val="000000"/>
          <w:sz w:val="24"/>
          <w:szCs w:val="24"/>
        </w:rPr>
        <w:t>diuretika</w:t>
      </w:r>
      <w:proofErr w:type="spellEnd"/>
      <w:r>
        <w:rPr>
          <w:color w:val="000000"/>
          <w:sz w:val="24"/>
          <w:szCs w:val="24"/>
        </w:rPr>
        <w:t xml:space="preserve"> kan resultere i </w:t>
      </w:r>
      <w:proofErr w:type="spellStart"/>
      <w:r>
        <w:rPr>
          <w:color w:val="000000"/>
          <w:sz w:val="24"/>
          <w:szCs w:val="24"/>
        </w:rPr>
        <w:t>volumendepletering</w:t>
      </w:r>
      <w:proofErr w:type="spellEnd"/>
      <w:r>
        <w:rPr>
          <w:color w:val="000000"/>
          <w:sz w:val="24"/>
          <w:szCs w:val="24"/>
        </w:rPr>
        <w:t xml:space="preserve"> og risiko for hypotension, når </w:t>
      </w:r>
      <w:proofErr w:type="spellStart"/>
      <w:r>
        <w:rPr>
          <w:color w:val="000000"/>
          <w:sz w:val="24"/>
          <w:szCs w:val="24"/>
        </w:rPr>
        <w:t>enalaprilbehandling</w:t>
      </w:r>
      <w:proofErr w:type="spellEnd"/>
      <w:r>
        <w:rPr>
          <w:color w:val="000000"/>
          <w:sz w:val="24"/>
          <w:szCs w:val="24"/>
        </w:rPr>
        <w:t xml:space="preserve"> initieres (se pkt. 4.4). Den </w:t>
      </w:r>
      <w:proofErr w:type="spellStart"/>
      <w:r>
        <w:rPr>
          <w:color w:val="000000"/>
          <w:sz w:val="24"/>
          <w:szCs w:val="24"/>
        </w:rPr>
        <w:t>hypotensive</w:t>
      </w:r>
      <w:proofErr w:type="spellEnd"/>
      <w:r>
        <w:rPr>
          <w:color w:val="000000"/>
          <w:sz w:val="24"/>
          <w:szCs w:val="24"/>
        </w:rPr>
        <w:t xml:space="preserve"> virkning kan nedsættes ved </w:t>
      </w:r>
      <w:proofErr w:type="spellStart"/>
      <w:r>
        <w:rPr>
          <w:color w:val="000000"/>
          <w:sz w:val="24"/>
          <w:szCs w:val="24"/>
        </w:rPr>
        <w:t>seponering</w:t>
      </w:r>
      <w:proofErr w:type="spellEnd"/>
      <w:r>
        <w:rPr>
          <w:color w:val="000000"/>
          <w:sz w:val="24"/>
          <w:szCs w:val="24"/>
        </w:rPr>
        <w:t xml:space="preserve"> af </w:t>
      </w:r>
      <w:proofErr w:type="spellStart"/>
      <w:r>
        <w:rPr>
          <w:color w:val="000000"/>
          <w:sz w:val="24"/>
          <w:szCs w:val="24"/>
        </w:rPr>
        <w:t>diuretika</w:t>
      </w:r>
      <w:proofErr w:type="spellEnd"/>
      <w:r>
        <w:rPr>
          <w:color w:val="000000"/>
          <w:sz w:val="24"/>
          <w:szCs w:val="24"/>
        </w:rPr>
        <w:t xml:space="preserve">, ved at øge væske- eller saltindtaget eller ved at initiere behandling med en lav dosis af </w:t>
      </w:r>
      <w:proofErr w:type="spellStart"/>
      <w:r>
        <w:rPr>
          <w:color w:val="000000"/>
          <w:sz w:val="24"/>
          <w:szCs w:val="24"/>
        </w:rPr>
        <w:t>enalapril</w:t>
      </w:r>
      <w:proofErr w:type="spellEnd"/>
      <w:r>
        <w:rPr>
          <w:color w:val="000000"/>
          <w:sz w:val="24"/>
          <w:szCs w:val="24"/>
        </w:rPr>
        <w:t>.</w:t>
      </w:r>
    </w:p>
    <w:p w:rsidR="002B0BDC" w:rsidRDefault="002B0BDC" w:rsidP="002B0BDC">
      <w:pPr>
        <w:ind w:left="851"/>
        <w:rPr>
          <w:color w:val="000000"/>
          <w:sz w:val="24"/>
          <w:szCs w:val="24"/>
          <w:u w:val="single"/>
        </w:rPr>
      </w:pPr>
    </w:p>
    <w:p w:rsidR="002B0BDC" w:rsidRDefault="002B0BDC" w:rsidP="002B0BDC">
      <w:pPr>
        <w:autoSpaceDE w:val="0"/>
        <w:autoSpaceDN w:val="0"/>
        <w:adjustRightInd w:val="0"/>
        <w:ind w:left="851"/>
        <w:rPr>
          <w:color w:val="000000"/>
          <w:sz w:val="24"/>
          <w:szCs w:val="24"/>
          <w:u w:val="single"/>
        </w:rPr>
      </w:pPr>
      <w:r>
        <w:rPr>
          <w:color w:val="000000"/>
          <w:sz w:val="24"/>
          <w:szCs w:val="24"/>
          <w:u w:val="single"/>
        </w:rPr>
        <w:t xml:space="preserve">Andre </w:t>
      </w:r>
      <w:proofErr w:type="spellStart"/>
      <w:r>
        <w:rPr>
          <w:color w:val="000000"/>
          <w:sz w:val="24"/>
          <w:szCs w:val="24"/>
          <w:u w:val="single"/>
        </w:rPr>
        <w:t>antihypertensive</w:t>
      </w:r>
      <w:proofErr w:type="spellEnd"/>
      <w:r>
        <w:rPr>
          <w:color w:val="000000"/>
          <w:sz w:val="24"/>
          <w:szCs w:val="24"/>
          <w:u w:val="single"/>
        </w:rPr>
        <w:t xml:space="preserve"> lægemidler</w:t>
      </w:r>
    </w:p>
    <w:p w:rsidR="002B0BDC" w:rsidRDefault="002B0BDC" w:rsidP="002B0BDC">
      <w:pPr>
        <w:autoSpaceDE w:val="0"/>
        <w:autoSpaceDN w:val="0"/>
        <w:adjustRightInd w:val="0"/>
        <w:ind w:left="851"/>
        <w:rPr>
          <w:color w:val="000000"/>
          <w:sz w:val="24"/>
          <w:szCs w:val="24"/>
        </w:rPr>
      </w:pPr>
      <w:r>
        <w:rPr>
          <w:color w:val="000000"/>
          <w:sz w:val="24"/>
          <w:szCs w:val="24"/>
        </w:rPr>
        <w:t xml:space="preserve">Samtidig brug af disse lægemidler kan øge </w:t>
      </w:r>
      <w:proofErr w:type="spellStart"/>
      <w:r>
        <w:rPr>
          <w:color w:val="000000"/>
          <w:sz w:val="24"/>
          <w:szCs w:val="24"/>
        </w:rPr>
        <w:t>enalaprils</w:t>
      </w:r>
      <w:proofErr w:type="spellEnd"/>
      <w:r>
        <w:rPr>
          <w:color w:val="000000"/>
          <w:sz w:val="24"/>
          <w:szCs w:val="24"/>
        </w:rPr>
        <w:t xml:space="preserve"> </w:t>
      </w:r>
      <w:proofErr w:type="spellStart"/>
      <w:r>
        <w:rPr>
          <w:color w:val="000000"/>
          <w:sz w:val="24"/>
          <w:szCs w:val="24"/>
        </w:rPr>
        <w:t>hypotensive</w:t>
      </w:r>
      <w:proofErr w:type="spellEnd"/>
      <w:r>
        <w:rPr>
          <w:color w:val="000000"/>
          <w:sz w:val="24"/>
          <w:szCs w:val="24"/>
        </w:rPr>
        <w:t xml:space="preserve"> virkning. Samtidig brug af nitroglycerin og andre nitrater eller andre </w:t>
      </w:r>
      <w:proofErr w:type="spellStart"/>
      <w:r>
        <w:rPr>
          <w:color w:val="000000"/>
          <w:sz w:val="24"/>
          <w:szCs w:val="24"/>
        </w:rPr>
        <w:t>vasodilatorer</w:t>
      </w:r>
      <w:proofErr w:type="spellEnd"/>
      <w:r>
        <w:rPr>
          <w:color w:val="000000"/>
          <w:sz w:val="24"/>
          <w:szCs w:val="24"/>
        </w:rPr>
        <w:t xml:space="preserve"> kan nedsætte blodtrykket yderligere.</w:t>
      </w:r>
    </w:p>
    <w:p w:rsidR="002B0BDC" w:rsidRDefault="002B0BDC" w:rsidP="002B0BDC">
      <w:pPr>
        <w:autoSpaceDE w:val="0"/>
        <w:autoSpaceDN w:val="0"/>
        <w:adjustRightInd w:val="0"/>
        <w:ind w:left="851"/>
        <w:rPr>
          <w:color w:val="000000"/>
          <w:sz w:val="24"/>
          <w:szCs w:val="24"/>
          <w:u w:val="single"/>
        </w:rPr>
      </w:pPr>
    </w:p>
    <w:p w:rsidR="002B0BDC" w:rsidRDefault="002B0BDC" w:rsidP="002B0BDC">
      <w:pPr>
        <w:autoSpaceDE w:val="0"/>
        <w:autoSpaceDN w:val="0"/>
        <w:adjustRightInd w:val="0"/>
        <w:ind w:left="851"/>
        <w:rPr>
          <w:color w:val="000000"/>
          <w:sz w:val="24"/>
          <w:szCs w:val="24"/>
          <w:u w:val="single"/>
        </w:rPr>
      </w:pPr>
      <w:proofErr w:type="spellStart"/>
      <w:r>
        <w:rPr>
          <w:color w:val="000000"/>
          <w:sz w:val="24"/>
          <w:szCs w:val="24"/>
          <w:u w:val="single"/>
        </w:rPr>
        <w:t>Lithium</w:t>
      </w:r>
      <w:proofErr w:type="spellEnd"/>
    </w:p>
    <w:p w:rsidR="002B0BDC" w:rsidRDefault="002B0BDC" w:rsidP="002B0BDC">
      <w:pPr>
        <w:autoSpaceDE w:val="0"/>
        <w:autoSpaceDN w:val="0"/>
        <w:adjustRightInd w:val="0"/>
        <w:ind w:left="851"/>
        <w:rPr>
          <w:color w:val="000000"/>
          <w:sz w:val="24"/>
          <w:szCs w:val="24"/>
        </w:rPr>
      </w:pPr>
      <w:r>
        <w:rPr>
          <w:color w:val="000000"/>
          <w:sz w:val="24"/>
          <w:szCs w:val="24"/>
        </w:rPr>
        <w:t xml:space="preserve">Der er indberettet reversible forhøjelser af </w:t>
      </w:r>
      <w:proofErr w:type="spellStart"/>
      <w:r>
        <w:rPr>
          <w:color w:val="000000"/>
          <w:sz w:val="24"/>
          <w:szCs w:val="24"/>
        </w:rPr>
        <w:t>serumlithiumkoncentrationen</w:t>
      </w:r>
      <w:proofErr w:type="spellEnd"/>
      <w:r>
        <w:rPr>
          <w:color w:val="000000"/>
          <w:sz w:val="24"/>
          <w:szCs w:val="24"/>
        </w:rPr>
        <w:t xml:space="preserve"> og -toksicitet ved samtidig brug af </w:t>
      </w:r>
      <w:proofErr w:type="spellStart"/>
      <w:r>
        <w:rPr>
          <w:color w:val="000000"/>
          <w:sz w:val="24"/>
          <w:szCs w:val="24"/>
        </w:rPr>
        <w:t>lithium</w:t>
      </w:r>
      <w:proofErr w:type="spellEnd"/>
      <w:r>
        <w:rPr>
          <w:color w:val="000000"/>
          <w:sz w:val="24"/>
          <w:szCs w:val="24"/>
        </w:rPr>
        <w:t xml:space="preserve"> og ACE-</w:t>
      </w:r>
      <w:proofErr w:type="spellStart"/>
      <w:r>
        <w:rPr>
          <w:color w:val="000000"/>
          <w:sz w:val="24"/>
          <w:szCs w:val="24"/>
        </w:rPr>
        <w:t>hæmmere</w:t>
      </w:r>
      <w:proofErr w:type="spellEnd"/>
      <w:r>
        <w:rPr>
          <w:color w:val="000000"/>
          <w:sz w:val="24"/>
          <w:szCs w:val="24"/>
        </w:rPr>
        <w:t xml:space="preserve">. Samtidig brug af </w:t>
      </w:r>
      <w:proofErr w:type="spellStart"/>
      <w:r>
        <w:rPr>
          <w:color w:val="000000"/>
          <w:sz w:val="24"/>
          <w:szCs w:val="24"/>
        </w:rPr>
        <w:t>thiazid-diuretika</w:t>
      </w:r>
      <w:proofErr w:type="spellEnd"/>
      <w:r>
        <w:rPr>
          <w:color w:val="000000"/>
          <w:sz w:val="24"/>
          <w:szCs w:val="24"/>
        </w:rPr>
        <w:t xml:space="preserve"> kan yderligere øge </w:t>
      </w:r>
      <w:proofErr w:type="spellStart"/>
      <w:r>
        <w:rPr>
          <w:color w:val="000000"/>
          <w:sz w:val="24"/>
          <w:szCs w:val="24"/>
        </w:rPr>
        <w:t>lithiumkoncentrationen</w:t>
      </w:r>
      <w:proofErr w:type="spellEnd"/>
      <w:r>
        <w:rPr>
          <w:color w:val="000000"/>
          <w:sz w:val="24"/>
          <w:szCs w:val="24"/>
        </w:rPr>
        <w:t xml:space="preserve"> og forøge risikoen for </w:t>
      </w:r>
      <w:proofErr w:type="spellStart"/>
      <w:r>
        <w:rPr>
          <w:color w:val="000000"/>
          <w:sz w:val="24"/>
          <w:szCs w:val="24"/>
        </w:rPr>
        <w:t>lithiumtoksicitet</w:t>
      </w:r>
      <w:proofErr w:type="spellEnd"/>
      <w:r>
        <w:rPr>
          <w:color w:val="000000"/>
          <w:sz w:val="24"/>
          <w:szCs w:val="24"/>
        </w:rPr>
        <w:t xml:space="preserve"> ved anvendelse af ACE-</w:t>
      </w:r>
      <w:proofErr w:type="spellStart"/>
      <w:r>
        <w:rPr>
          <w:color w:val="000000"/>
          <w:sz w:val="24"/>
          <w:szCs w:val="24"/>
        </w:rPr>
        <w:t>hæmmere</w:t>
      </w:r>
      <w:proofErr w:type="spellEnd"/>
      <w:r>
        <w:rPr>
          <w:color w:val="000000"/>
          <w:sz w:val="24"/>
          <w:szCs w:val="24"/>
        </w:rPr>
        <w:t xml:space="preserve">. Brug af </w:t>
      </w:r>
      <w:proofErr w:type="spellStart"/>
      <w:r>
        <w:rPr>
          <w:color w:val="000000"/>
          <w:sz w:val="24"/>
          <w:szCs w:val="24"/>
        </w:rPr>
        <w:t>enalapril</w:t>
      </w:r>
      <w:proofErr w:type="spellEnd"/>
      <w:r>
        <w:rPr>
          <w:color w:val="000000"/>
          <w:sz w:val="24"/>
          <w:szCs w:val="24"/>
        </w:rPr>
        <w:t xml:space="preserve"> sammen med </w:t>
      </w:r>
      <w:proofErr w:type="spellStart"/>
      <w:r>
        <w:rPr>
          <w:color w:val="000000"/>
          <w:sz w:val="24"/>
          <w:szCs w:val="24"/>
        </w:rPr>
        <w:t>lithium</w:t>
      </w:r>
      <w:proofErr w:type="spellEnd"/>
      <w:r>
        <w:rPr>
          <w:color w:val="000000"/>
          <w:sz w:val="24"/>
          <w:szCs w:val="24"/>
        </w:rPr>
        <w:t xml:space="preserve"> anbefales ikke, men hvis kombinationen skønnes nødvendig, bør der udføres omhyggelig kontrol af </w:t>
      </w:r>
      <w:proofErr w:type="spellStart"/>
      <w:r>
        <w:rPr>
          <w:color w:val="000000"/>
          <w:sz w:val="24"/>
          <w:szCs w:val="24"/>
        </w:rPr>
        <w:t>serumlithiumkoncentrationen</w:t>
      </w:r>
      <w:proofErr w:type="spellEnd"/>
      <w:r>
        <w:rPr>
          <w:color w:val="000000"/>
          <w:sz w:val="24"/>
          <w:szCs w:val="24"/>
        </w:rPr>
        <w:t xml:space="preserve"> (se pkt. 4.4).</w:t>
      </w:r>
    </w:p>
    <w:p w:rsidR="002B0BDC" w:rsidRDefault="002B0BDC" w:rsidP="002B0BDC">
      <w:pPr>
        <w:ind w:left="851"/>
        <w:rPr>
          <w:color w:val="000000"/>
          <w:sz w:val="24"/>
          <w:szCs w:val="24"/>
          <w:u w:val="single"/>
        </w:rPr>
      </w:pPr>
    </w:p>
    <w:p w:rsidR="002B0BDC" w:rsidRDefault="002B0BDC" w:rsidP="002B0BDC">
      <w:pPr>
        <w:ind w:left="851"/>
        <w:rPr>
          <w:color w:val="000000"/>
          <w:sz w:val="24"/>
          <w:szCs w:val="24"/>
          <w:u w:val="single"/>
        </w:rPr>
      </w:pPr>
      <w:r>
        <w:rPr>
          <w:color w:val="000000"/>
          <w:sz w:val="24"/>
          <w:szCs w:val="24"/>
          <w:u w:val="single"/>
        </w:rPr>
        <w:t xml:space="preserve">Tricykliske </w:t>
      </w:r>
      <w:proofErr w:type="spellStart"/>
      <w:r>
        <w:rPr>
          <w:color w:val="000000"/>
          <w:sz w:val="24"/>
          <w:szCs w:val="24"/>
          <w:u w:val="single"/>
        </w:rPr>
        <w:t>antidepressiva</w:t>
      </w:r>
      <w:proofErr w:type="spellEnd"/>
      <w:r>
        <w:rPr>
          <w:color w:val="000000"/>
          <w:sz w:val="24"/>
          <w:szCs w:val="24"/>
          <w:u w:val="single"/>
        </w:rPr>
        <w:t>/antipsykotika/</w:t>
      </w:r>
      <w:proofErr w:type="spellStart"/>
      <w:r>
        <w:rPr>
          <w:color w:val="000000"/>
          <w:sz w:val="24"/>
          <w:szCs w:val="24"/>
          <w:u w:val="single"/>
        </w:rPr>
        <w:t>anæstetika</w:t>
      </w:r>
      <w:proofErr w:type="spellEnd"/>
      <w:r>
        <w:rPr>
          <w:color w:val="000000"/>
          <w:sz w:val="24"/>
          <w:szCs w:val="24"/>
          <w:u w:val="single"/>
        </w:rPr>
        <w:t>/narkotika</w:t>
      </w:r>
    </w:p>
    <w:p w:rsidR="002B0BDC" w:rsidRDefault="002B0BDC" w:rsidP="002B0BDC">
      <w:pPr>
        <w:ind w:left="851"/>
        <w:rPr>
          <w:color w:val="000000"/>
          <w:sz w:val="24"/>
          <w:szCs w:val="24"/>
        </w:rPr>
      </w:pPr>
      <w:r>
        <w:rPr>
          <w:color w:val="000000"/>
          <w:sz w:val="24"/>
          <w:szCs w:val="24"/>
        </w:rPr>
        <w:t xml:space="preserve">Samtidig brug af visse anæstesipræparater, tricykliske </w:t>
      </w:r>
      <w:proofErr w:type="spellStart"/>
      <w:r>
        <w:rPr>
          <w:color w:val="000000"/>
          <w:sz w:val="24"/>
          <w:szCs w:val="24"/>
        </w:rPr>
        <w:t>antidepressiva</w:t>
      </w:r>
      <w:proofErr w:type="spellEnd"/>
      <w:r>
        <w:rPr>
          <w:color w:val="000000"/>
          <w:sz w:val="24"/>
          <w:szCs w:val="24"/>
        </w:rPr>
        <w:t xml:space="preserve"> og antipsykotika med ACE-</w:t>
      </w:r>
      <w:proofErr w:type="spellStart"/>
      <w:r>
        <w:rPr>
          <w:color w:val="000000"/>
          <w:sz w:val="24"/>
          <w:szCs w:val="24"/>
        </w:rPr>
        <w:t>hæmmere</w:t>
      </w:r>
      <w:proofErr w:type="spellEnd"/>
      <w:r>
        <w:rPr>
          <w:color w:val="000000"/>
          <w:sz w:val="24"/>
          <w:szCs w:val="24"/>
        </w:rPr>
        <w:t xml:space="preserve"> kan resultere i yderligere reduktion af blodtrykket (se pkt. 4.4).</w:t>
      </w:r>
    </w:p>
    <w:p w:rsidR="002B0BDC" w:rsidRDefault="002B0BDC" w:rsidP="002B0BDC">
      <w:pPr>
        <w:ind w:left="851"/>
        <w:rPr>
          <w:color w:val="000000"/>
          <w:sz w:val="24"/>
          <w:szCs w:val="24"/>
          <w:u w:val="single"/>
        </w:rPr>
      </w:pPr>
    </w:p>
    <w:p w:rsidR="002B0BDC" w:rsidRDefault="002B0BDC" w:rsidP="002B0BDC">
      <w:pPr>
        <w:ind w:left="851"/>
        <w:rPr>
          <w:color w:val="000000"/>
          <w:sz w:val="24"/>
          <w:szCs w:val="24"/>
          <w:u w:val="single"/>
        </w:rPr>
      </w:pPr>
      <w:r>
        <w:rPr>
          <w:color w:val="000000"/>
          <w:sz w:val="24"/>
          <w:szCs w:val="24"/>
          <w:u w:val="single"/>
        </w:rPr>
        <w:t>Non-</w:t>
      </w:r>
      <w:proofErr w:type="spellStart"/>
      <w:r>
        <w:rPr>
          <w:color w:val="000000"/>
          <w:sz w:val="24"/>
          <w:szCs w:val="24"/>
          <w:u w:val="single"/>
        </w:rPr>
        <w:t>steroide</w:t>
      </w:r>
      <w:proofErr w:type="spellEnd"/>
      <w:r>
        <w:rPr>
          <w:color w:val="000000"/>
          <w:sz w:val="24"/>
          <w:szCs w:val="24"/>
          <w:u w:val="single"/>
        </w:rPr>
        <w:t xml:space="preserve"> anti-inflammatoriske lægemidler (NSAID) herunder selektive cyclooxygenase-2- (COX-2) </w:t>
      </w:r>
      <w:proofErr w:type="spellStart"/>
      <w:r>
        <w:rPr>
          <w:color w:val="000000"/>
          <w:sz w:val="24"/>
          <w:szCs w:val="24"/>
          <w:u w:val="single"/>
        </w:rPr>
        <w:t>hæmmere</w:t>
      </w:r>
      <w:proofErr w:type="spellEnd"/>
    </w:p>
    <w:p w:rsidR="002B0BDC" w:rsidRDefault="002B0BDC" w:rsidP="002B0BDC">
      <w:pPr>
        <w:ind w:left="851"/>
        <w:rPr>
          <w:color w:val="000000"/>
          <w:sz w:val="24"/>
          <w:szCs w:val="24"/>
        </w:rPr>
      </w:pPr>
      <w:r>
        <w:rPr>
          <w:color w:val="000000"/>
          <w:sz w:val="24"/>
          <w:szCs w:val="24"/>
        </w:rPr>
        <w:t xml:space="preserve">Administration af NSAID-præparater herunder selektive cyclooxygenase-2 (COX-2) </w:t>
      </w:r>
      <w:proofErr w:type="spellStart"/>
      <w:r>
        <w:rPr>
          <w:color w:val="000000"/>
          <w:sz w:val="24"/>
          <w:szCs w:val="24"/>
        </w:rPr>
        <w:t>hæmmere</w:t>
      </w:r>
      <w:proofErr w:type="spellEnd"/>
      <w:r>
        <w:rPr>
          <w:color w:val="000000"/>
          <w:sz w:val="24"/>
          <w:szCs w:val="24"/>
        </w:rPr>
        <w:t xml:space="preserve"> kan reducere den </w:t>
      </w:r>
      <w:proofErr w:type="spellStart"/>
      <w:r>
        <w:rPr>
          <w:color w:val="000000"/>
          <w:sz w:val="24"/>
          <w:szCs w:val="24"/>
        </w:rPr>
        <w:t>antihypertensive</w:t>
      </w:r>
      <w:proofErr w:type="spellEnd"/>
      <w:r>
        <w:rPr>
          <w:color w:val="000000"/>
          <w:sz w:val="24"/>
          <w:szCs w:val="24"/>
        </w:rPr>
        <w:t xml:space="preserve"> virkning af </w:t>
      </w:r>
      <w:proofErr w:type="spellStart"/>
      <w:r>
        <w:rPr>
          <w:color w:val="000000"/>
          <w:sz w:val="24"/>
          <w:szCs w:val="24"/>
        </w:rPr>
        <w:t>diuretika</w:t>
      </w:r>
      <w:proofErr w:type="spellEnd"/>
      <w:r>
        <w:rPr>
          <w:color w:val="000000"/>
          <w:sz w:val="24"/>
          <w:szCs w:val="24"/>
        </w:rPr>
        <w:t xml:space="preserve"> og andre lægemidler til behandling af hypertension. Derfor kan den </w:t>
      </w:r>
      <w:proofErr w:type="spellStart"/>
      <w:r>
        <w:rPr>
          <w:color w:val="000000"/>
          <w:sz w:val="24"/>
          <w:szCs w:val="24"/>
        </w:rPr>
        <w:t>antihypertensive</w:t>
      </w:r>
      <w:proofErr w:type="spellEnd"/>
      <w:r>
        <w:rPr>
          <w:color w:val="000000"/>
          <w:sz w:val="24"/>
          <w:szCs w:val="24"/>
        </w:rPr>
        <w:t xml:space="preserve"> virkning af </w:t>
      </w:r>
      <w:proofErr w:type="spellStart"/>
      <w:r>
        <w:rPr>
          <w:color w:val="000000"/>
          <w:sz w:val="24"/>
          <w:szCs w:val="24"/>
        </w:rPr>
        <w:t>angiotensin</w:t>
      </w:r>
      <w:proofErr w:type="spellEnd"/>
      <w:r>
        <w:rPr>
          <w:color w:val="000000"/>
          <w:sz w:val="24"/>
          <w:szCs w:val="24"/>
        </w:rPr>
        <w:t xml:space="preserve"> II-receptorantagonister eller ACE-</w:t>
      </w:r>
      <w:proofErr w:type="spellStart"/>
      <w:r>
        <w:rPr>
          <w:color w:val="000000"/>
          <w:sz w:val="24"/>
          <w:szCs w:val="24"/>
        </w:rPr>
        <w:t>hæmmere</w:t>
      </w:r>
      <w:proofErr w:type="spellEnd"/>
      <w:r>
        <w:rPr>
          <w:color w:val="000000"/>
          <w:sz w:val="24"/>
          <w:szCs w:val="24"/>
        </w:rPr>
        <w:t xml:space="preserve"> dæmpes af NSAID-præparater, herunder selektive COX-2-hæmmere).</w:t>
      </w:r>
    </w:p>
    <w:p w:rsidR="002B0BDC" w:rsidRDefault="002B0BDC" w:rsidP="002B0BDC">
      <w:pPr>
        <w:ind w:left="851"/>
        <w:rPr>
          <w:color w:val="000000"/>
          <w:sz w:val="24"/>
          <w:szCs w:val="24"/>
          <w:u w:val="single"/>
        </w:rPr>
      </w:pPr>
    </w:p>
    <w:p w:rsidR="002B0BDC" w:rsidRDefault="002B0BDC" w:rsidP="002B0BDC">
      <w:pPr>
        <w:ind w:left="851"/>
        <w:rPr>
          <w:color w:val="000000"/>
          <w:sz w:val="24"/>
          <w:szCs w:val="24"/>
        </w:rPr>
      </w:pPr>
      <w:r>
        <w:rPr>
          <w:color w:val="000000"/>
          <w:sz w:val="24"/>
          <w:szCs w:val="24"/>
        </w:rPr>
        <w:lastRenderedPageBreak/>
        <w:t xml:space="preserve">Samtidig administration af NSAID-præparater (herunder COX-2-hæmmere) og </w:t>
      </w:r>
      <w:proofErr w:type="spellStart"/>
      <w:r>
        <w:rPr>
          <w:color w:val="000000"/>
          <w:sz w:val="24"/>
          <w:szCs w:val="24"/>
        </w:rPr>
        <w:t>angiotensin</w:t>
      </w:r>
      <w:proofErr w:type="spellEnd"/>
      <w:r>
        <w:rPr>
          <w:color w:val="000000"/>
          <w:sz w:val="24"/>
          <w:szCs w:val="24"/>
        </w:rPr>
        <w:t xml:space="preserve"> II-receptorantagonister eller ACE-</w:t>
      </w:r>
      <w:proofErr w:type="spellStart"/>
      <w:r>
        <w:rPr>
          <w:color w:val="000000"/>
          <w:sz w:val="24"/>
          <w:szCs w:val="24"/>
        </w:rPr>
        <w:t>hæmmere</w:t>
      </w:r>
      <w:proofErr w:type="spellEnd"/>
      <w:r>
        <w:rPr>
          <w:color w:val="000000"/>
          <w:sz w:val="24"/>
          <w:szCs w:val="24"/>
        </w:rPr>
        <w:t xml:space="preserve"> udøver en </w:t>
      </w:r>
      <w:proofErr w:type="gramStart"/>
      <w:r>
        <w:rPr>
          <w:color w:val="000000"/>
          <w:sz w:val="24"/>
          <w:szCs w:val="24"/>
        </w:rPr>
        <w:t>additiv virkning</w:t>
      </w:r>
      <w:proofErr w:type="gramEnd"/>
      <w:r>
        <w:rPr>
          <w:color w:val="000000"/>
          <w:sz w:val="24"/>
          <w:szCs w:val="24"/>
        </w:rPr>
        <w:t xml:space="preserve"> på øgningen af serumkalium og kan resultere i forringelse af nyrefunktionen. Dette er sædvanligvis reversibelt. I sjældne tilfælde opstår akut nyreinsufficiens, især hos patienter med kompromitteret nyrefunktion (fx ældre eller </w:t>
      </w:r>
      <w:proofErr w:type="spellStart"/>
      <w:r>
        <w:rPr>
          <w:color w:val="000000"/>
          <w:sz w:val="24"/>
          <w:szCs w:val="24"/>
        </w:rPr>
        <w:t>volumendepleterede</w:t>
      </w:r>
      <w:proofErr w:type="spellEnd"/>
      <w:r>
        <w:rPr>
          <w:color w:val="000000"/>
          <w:sz w:val="24"/>
          <w:szCs w:val="24"/>
        </w:rPr>
        <w:t xml:space="preserve"> patienter, herunder patienter i </w:t>
      </w:r>
      <w:proofErr w:type="spellStart"/>
      <w:r>
        <w:rPr>
          <w:color w:val="000000"/>
          <w:sz w:val="24"/>
          <w:szCs w:val="24"/>
        </w:rPr>
        <w:t>diuretikabehandling</w:t>
      </w:r>
      <w:proofErr w:type="spellEnd"/>
      <w:r>
        <w:rPr>
          <w:color w:val="000000"/>
          <w:sz w:val="24"/>
          <w:szCs w:val="24"/>
        </w:rPr>
        <w:t>). Kombinationen skal derfor administreres med forsigtighed hos patienter med kompromitteret nyrefunktion. Patienterne skal være tilstrækkeligt hydrerede, og nyrefunktionen skal overvåges efter iværksættelse af samtidig behandling og periodisk derefter.</w:t>
      </w:r>
    </w:p>
    <w:p w:rsidR="002B0BDC" w:rsidRDefault="002B0BDC" w:rsidP="002B0BDC">
      <w:pPr>
        <w:ind w:left="851"/>
        <w:rPr>
          <w:color w:val="000000"/>
          <w:sz w:val="24"/>
          <w:szCs w:val="24"/>
          <w:u w:val="single"/>
        </w:rPr>
      </w:pPr>
    </w:p>
    <w:p w:rsidR="002B0BDC" w:rsidRDefault="002B0BDC" w:rsidP="002B0BDC">
      <w:pPr>
        <w:ind w:left="851"/>
        <w:rPr>
          <w:color w:val="000000"/>
          <w:sz w:val="24"/>
          <w:szCs w:val="24"/>
          <w:u w:val="single"/>
        </w:rPr>
      </w:pPr>
      <w:r>
        <w:rPr>
          <w:color w:val="000000"/>
          <w:sz w:val="24"/>
          <w:szCs w:val="24"/>
          <w:u w:val="single"/>
        </w:rPr>
        <w:t>Guld</w:t>
      </w:r>
    </w:p>
    <w:p w:rsidR="002B0BDC" w:rsidRDefault="002B0BDC" w:rsidP="002B0BDC">
      <w:pPr>
        <w:ind w:left="851"/>
        <w:rPr>
          <w:color w:val="000000"/>
          <w:sz w:val="24"/>
          <w:szCs w:val="24"/>
        </w:rPr>
      </w:pPr>
      <w:r>
        <w:rPr>
          <w:color w:val="000000"/>
          <w:sz w:val="24"/>
          <w:szCs w:val="24"/>
        </w:rPr>
        <w:t xml:space="preserve">Der er indberettet sjældne tilfælde af </w:t>
      </w:r>
      <w:proofErr w:type="spellStart"/>
      <w:r>
        <w:rPr>
          <w:color w:val="000000"/>
          <w:sz w:val="24"/>
          <w:szCs w:val="24"/>
        </w:rPr>
        <w:t>nitritoide</w:t>
      </w:r>
      <w:proofErr w:type="spellEnd"/>
      <w:r>
        <w:rPr>
          <w:color w:val="000000"/>
          <w:sz w:val="24"/>
          <w:szCs w:val="24"/>
        </w:rPr>
        <w:t xml:space="preserve"> reaktioner (med symptomer såsom ansigtsrødmen, kvalme, opkastning og hypotension) hos patienter, der fik samtidig behandling med </w:t>
      </w:r>
      <w:proofErr w:type="spellStart"/>
      <w:r>
        <w:rPr>
          <w:color w:val="000000"/>
          <w:sz w:val="24"/>
          <w:szCs w:val="24"/>
        </w:rPr>
        <w:t>injicerbar</w:t>
      </w:r>
      <w:proofErr w:type="spellEnd"/>
      <w:r>
        <w:rPr>
          <w:color w:val="000000"/>
          <w:sz w:val="24"/>
          <w:szCs w:val="24"/>
        </w:rPr>
        <w:t xml:space="preserve"> guld (</w:t>
      </w:r>
      <w:proofErr w:type="spellStart"/>
      <w:r>
        <w:rPr>
          <w:color w:val="000000"/>
          <w:sz w:val="24"/>
          <w:szCs w:val="24"/>
        </w:rPr>
        <w:t>natriumaurothiomalat</w:t>
      </w:r>
      <w:proofErr w:type="spellEnd"/>
      <w:r>
        <w:rPr>
          <w:color w:val="000000"/>
          <w:sz w:val="24"/>
          <w:szCs w:val="24"/>
        </w:rPr>
        <w:t>) og ACE-</w:t>
      </w:r>
      <w:proofErr w:type="spellStart"/>
      <w:r>
        <w:rPr>
          <w:color w:val="000000"/>
          <w:sz w:val="24"/>
          <w:szCs w:val="24"/>
        </w:rPr>
        <w:t>hæmmere</w:t>
      </w:r>
      <w:proofErr w:type="spellEnd"/>
      <w:r>
        <w:rPr>
          <w:color w:val="000000"/>
          <w:sz w:val="24"/>
          <w:szCs w:val="24"/>
        </w:rPr>
        <w:t xml:space="preserve">, herunder </w:t>
      </w:r>
      <w:proofErr w:type="spellStart"/>
      <w:r>
        <w:rPr>
          <w:color w:val="000000"/>
          <w:sz w:val="24"/>
          <w:szCs w:val="24"/>
        </w:rPr>
        <w:t>enalapril</w:t>
      </w:r>
      <w:proofErr w:type="spellEnd"/>
      <w:r>
        <w:rPr>
          <w:color w:val="000000"/>
          <w:sz w:val="24"/>
          <w:szCs w:val="24"/>
        </w:rPr>
        <w:t>.</w:t>
      </w:r>
    </w:p>
    <w:p w:rsidR="002B0BDC" w:rsidRDefault="002B0BDC" w:rsidP="002B0BDC">
      <w:pPr>
        <w:ind w:left="851"/>
        <w:rPr>
          <w:color w:val="000000"/>
          <w:sz w:val="24"/>
          <w:szCs w:val="24"/>
          <w:u w:val="single"/>
        </w:rPr>
      </w:pPr>
    </w:p>
    <w:p w:rsidR="002B0BDC" w:rsidRDefault="002B0BDC" w:rsidP="002B0BDC">
      <w:pPr>
        <w:ind w:left="851"/>
        <w:rPr>
          <w:color w:val="000000"/>
          <w:sz w:val="24"/>
          <w:szCs w:val="24"/>
          <w:u w:val="single"/>
        </w:rPr>
      </w:pPr>
      <w:proofErr w:type="spellStart"/>
      <w:r>
        <w:rPr>
          <w:color w:val="000000"/>
          <w:sz w:val="24"/>
          <w:szCs w:val="24"/>
          <w:u w:val="single"/>
        </w:rPr>
        <w:t>Sympatomimetika</w:t>
      </w:r>
      <w:proofErr w:type="spellEnd"/>
    </w:p>
    <w:p w:rsidR="002B0BDC" w:rsidRDefault="002B0BDC" w:rsidP="002B0BDC">
      <w:pPr>
        <w:ind w:left="851"/>
        <w:rPr>
          <w:color w:val="000000"/>
          <w:sz w:val="24"/>
          <w:szCs w:val="24"/>
        </w:rPr>
      </w:pPr>
      <w:proofErr w:type="spellStart"/>
      <w:r>
        <w:rPr>
          <w:color w:val="000000"/>
          <w:sz w:val="24"/>
          <w:szCs w:val="24"/>
        </w:rPr>
        <w:t>Sympatomimetika</w:t>
      </w:r>
      <w:proofErr w:type="spellEnd"/>
      <w:r>
        <w:rPr>
          <w:color w:val="000000"/>
          <w:sz w:val="24"/>
          <w:szCs w:val="24"/>
        </w:rPr>
        <w:t xml:space="preserve"> kan nedsætte ACE-</w:t>
      </w:r>
      <w:proofErr w:type="spellStart"/>
      <w:r>
        <w:rPr>
          <w:color w:val="000000"/>
          <w:sz w:val="24"/>
          <w:szCs w:val="24"/>
        </w:rPr>
        <w:t>hæmmeres</w:t>
      </w:r>
      <w:proofErr w:type="spellEnd"/>
      <w:r>
        <w:rPr>
          <w:color w:val="000000"/>
          <w:sz w:val="24"/>
          <w:szCs w:val="24"/>
        </w:rPr>
        <w:t xml:space="preserve"> </w:t>
      </w:r>
      <w:proofErr w:type="spellStart"/>
      <w:r>
        <w:rPr>
          <w:color w:val="000000"/>
          <w:sz w:val="24"/>
          <w:szCs w:val="24"/>
        </w:rPr>
        <w:t>antihypertensive</w:t>
      </w:r>
      <w:proofErr w:type="spellEnd"/>
      <w:r>
        <w:rPr>
          <w:color w:val="000000"/>
          <w:sz w:val="24"/>
          <w:szCs w:val="24"/>
        </w:rPr>
        <w:t xml:space="preserve"> virkning.</w:t>
      </w:r>
    </w:p>
    <w:p w:rsidR="002B0BDC" w:rsidRDefault="002B0BDC" w:rsidP="002B0BDC">
      <w:pPr>
        <w:ind w:left="851"/>
        <w:rPr>
          <w:color w:val="000000"/>
          <w:sz w:val="24"/>
          <w:szCs w:val="24"/>
          <w:u w:val="single"/>
        </w:rPr>
      </w:pPr>
    </w:p>
    <w:p w:rsidR="002B0BDC" w:rsidRDefault="002B0BDC" w:rsidP="002B0BDC">
      <w:pPr>
        <w:ind w:left="851"/>
        <w:rPr>
          <w:color w:val="000000"/>
          <w:sz w:val="24"/>
          <w:szCs w:val="24"/>
          <w:u w:val="single"/>
        </w:rPr>
      </w:pPr>
      <w:proofErr w:type="spellStart"/>
      <w:r>
        <w:rPr>
          <w:color w:val="000000"/>
          <w:sz w:val="24"/>
          <w:szCs w:val="24"/>
          <w:u w:val="single"/>
        </w:rPr>
        <w:t>Antidiabetika</w:t>
      </w:r>
      <w:proofErr w:type="spellEnd"/>
    </w:p>
    <w:p w:rsidR="002B0BDC" w:rsidRDefault="002B0BDC" w:rsidP="002B0BDC">
      <w:pPr>
        <w:ind w:left="851"/>
        <w:rPr>
          <w:color w:val="000000"/>
          <w:sz w:val="24"/>
          <w:szCs w:val="24"/>
        </w:rPr>
      </w:pPr>
      <w:r>
        <w:rPr>
          <w:color w:val="000000"/>
          <w:sz w:val="24"/>
          <w:szCs w:val="24"/>
        </w:rPr>
        <w:t>Epidemiologiske undersøgelser antyder, at samtidig administration af ACE-</w:t>
      </w:r>
      <w:proofErr w:type="spellStart"/>
      <w:r>
        <w:rPr>
          <w:color w:val="000000"/>
          <w:sz w:val="24"/>
          <w:szCs w:val="24"/>
        </w:rPr>
        <w:t>hæmmere</w:t>
      </w:r>
      <w:proofErr w:type="spellEnd"/>
      <w:r>
        <w:rPr>
          <w:color w:val="000000"/>
          <w:sz w:val="24"/>
          <w:szCs w:val="24"/>
        </w:rPr>
        <w:t xml:space="preserve"> og </w:t>
      </w:r>
      <w:proofErr w:type="spellStart"/>
      <w:r>
        <w:rPr>
          <w:color w:val="000000"/>
          <w:sz w:val="24"/>
          <w:szCs w:val="24"/>
        </w:rPr>
        <w:t>antidiabetika</w:t>
      </w:r>
      <w:proofErr w:type="spellEnd"/>
      <w:r>
        <w:rPr>
          <w:color w:val="000000"/>
          <w:sz w:val="24"/>
          <w:szCs w:val="24"/>
        </w:rPr>
        <w:t xml:space="preserve"> (insulin, orale hypoglykæmiske stoffer) kan give en øget blodsukkersænkende virkning med risiko for hypoglykæmi. Dette fænomen synes mest sandsynligt i de første uger af en kombinationsbehandling og hos patienter med nedsat nyrefunktion (se pkt. 4.4 og pkt. 4.8).</w:t>
      </w:r>
    </w:p>
    <w:p w:rsidR="002B0BDC" w:rsidRDefault="002B0BDC" w:rsidP="002B0BDC">
      <w:pPr>
        <w:ind w:left="851"/>
        <w:rPr>
          <w:color w:val="000000"/>
          <w:sz w:val="24"/>
          <w:szCs w:val="24"/>
        </w:rPr>
      </w:pPr>
    </w:p>
    <w:p w:rsidR="002B0BDC" w:rsidRDefault="002B0BDC" w:rsidP="002B0BDC">
      <w:pPr>
        <w:ind w:left="851"/>
        <w:rPr>
          <w:color w:val="000000"/>
          <w:sz w:val="24"/>
          <w:szCs w:val="24"/>
          <w:u w:val="single"/>
        </w:rPr>
      </w:pPr>
      <w:r>
        <w:rPr>
          <w:color w:val="000000"/>
          <w:sz w:val="24"/>
          <w:szCs w:val="24"/>
          <w:u w:val="single"/>
        </w:rPr>
        <w:t>Alkohol</w:t>
      </w:r>
    </w:p>
    <w:p w:rsidR="002B0BDC" w:rsidRDefault="002B0BDC" w:rsidP="002B0BDC">
      <w:pPr>
        <w:ind w:left="851"/>
        <w:rPr>
          <w:color w:val="000000"/>
          <w:sz w:val="24"/>
          <w:szCs w:val="24"/>
        </w:rPr>
      </w:pPr>
      <w:r>
        <w:rPr>
          <w:color w:val="000000"/>
          <w:sz w:val="24"/>
          <w:szCs w:val="24"/>
        </w:rPr>
        <w:t>Alkohol forstærker ACE-</w:t>
      </w:r>
      <w:proofErr w:type="spellStart"/>
      <w:r>
        <w:rPr>
          <w:color w:val="000000"/>
          <w:sz w:val="24"/>
          <w:szCs w:val="24"/>
        </w:rPr>
        <w:t>hæmmeres</w:t>
      </w:r>
      <w:proofErr w:type="spellEnd"/>
      <w:r>
        <w:rPr>
          <w:color w:val="000000"/>
          <w:sz w:val="24"/>
          <w:szCs w:val="24"/>
        </w:rPr>
        <w:t xml:space="preserve"> </w:t>
      </w:r>
      <w:proofErr w:type="spellStart"/>
      <w:r>
        <w:rPr>
          <w:color w:val="000000"/>
          <w:sz w:val="24"/>
          <w:szCs w:val="24"/>
        </w:rPr>
        <w:t>hypotensive</w:t>
      </w:r>
      <w:proofErr w:type="spellEnd"/>
      <w:r>
        <w:rPr>
          <w:color w:val="000000"/>
          <w:sz w:val="24"/>
          <w:szCs w:val="24"/>
        </w:rPr>
        <w:t xml:space="preserve"> virkning.</w:t>
      </w:r>
    </w:p>
    <w:p w:rsidR="002B0BDC" w:rsidRDefault="002B0BDC" w:rsidP="002B0BDC">
      <w:pPr>
        <w:ind w:left="851"/>
        <w:rPr>
          <w:color w:val="000000"/>
          <w:sz w:val="24"/>
          <w:szCs w:val="24"/>
        </w:rPr>
      </w:pPr>
    </w:p>
    <w:p w:rsidR="002B0BDC" w:rsidRDefault="002B0BDC" w:rsidP="002B0BDC">
      <w:pPr>
        <w:ind w:left="851"/>
        <w:rPr>
          <w:color w:val="000000"/>
          <w:sz w:val="24"/>
          <w:szCs w:val="24"/>
          <w:u w:val="single"/>
        </w:rPr>
      </w:pPr>
      <w:r>
        <w:rPr>
          <w:color w:val="000000"/>
          <w:sz w:val="24"/>
          <w:szCs w:val="24"/>
          <w:u w:val="single"/>
        </w:rPr>
        <w:t xml:space="preserve">Acetylsalicylsyre, </w:t>
      </w:r>
      <w:proofErr w:type="spellStart"/>
      <w:r>
        <w:rPr>
          <w:color w:val="000000"/>
          <w:sz w:val="24"/>
          <w:szCs w:val="24"/>
          <w:u w:val="single"/>
        </w:rPr>
        <w:t>thrombolytika</w:t>
      </w:r>
      <w:proofErr w:type="spellEnd"/>
      <w:r>
        <w:rPr>
          <w:color w:val="000000"/>
          <w:sz w:val="24"/>
          <w:szCs w:val="24"/>
          <w:u w:val="single"/>
        </w:rPr>
        <w:t xml:space="preserve"> og β-</w:t>
      </w:r>
      <w:proofErr w:type="spellStart"/>
      <w:r>
        <w:rPr>
          <w:color w:val="000000"/>
          <w:sz w:val="24"/>
          <w:szCs w:val="24"/>
          <w:u w:val="single"/>
        </w:rPr>
        <w:t>blokkere</w:t>
      </w:r>
      <w:proofErr w:type="spellEnd"/>
    </w:p>
    <w:p w:rsidR="002B0BDC" w:rsidRDefault="002B0BDC" w:rsidP="002B0BDC">
      <w:pPr>
        <w:ind w:left="851"/>
        <w:rPr>
          <w:color w:val="000000"/>
          <w:sz w:val="24"/>
          <w:szCs w:val="24"/>
        </w:rPr>
      </w:pPr>
      <w:proofErr w:type="spellStart"/>
      <w:r>
        <w:rPr>
          <w:color w:val="000000"/>
          <w:sz w:val="24"/>
          <w:szCs w:val="24"/>
        </w:rPr>
        <w:t>Enalapril</w:t>
      </w:r>
      <w:proofErr w:type="spellEnd"/>
      <w:r>
        <w:rPr>
          <w:color w:val="000000"/>
          <w:sz w:val="24"/>
          <w:szCs w:val="24"/>
        </w:rPr>
        <w:t xml:space="preserve"> kan uden risiko administreres samtidigt med acetylsalicylsyre (i kardiologiske doser), </w:t>
      </w:r>
      <w:proofErr w:type="spellStart"/>
      <w:r>
        <w:rPr>
          <w:color w:val="000000"/>
          <w:sz w:val="24"/>
          <w:szCs w:val="24"/>
        </w:rPr>
        <w:t>thrombolytika</w:t>
      </w:r>
      <w:proofErr w:type="spellEnd"/>
      <w:r>
        <w:rPr>
          <w:color w:val="000000"/>
          <w:sz w:val="24"/>
          <w:szCs w:val="24"/>
        </w:rPr>
        <w:t xml:space="preserve"> og β-</w:t>
      </w:r>
      <w:proofErr w:type="spellStart"/>
      <w:r>
        <w:rPr>
          <w:color w:val="000000"/>
          <w:sz w:val="24"/>
          <w:szCs w:val="24"/>
        </w:rPr>
        <w:t>blokkere</w:t>
      </w:r>
      <w:proofErr w:type="spellEnd"/>
      <w:r>
        <w:rPr>
          <w:color w:val="000000"/>
          <w:sz w:val="24"/>
          <w:szCs w:val="24"/>
        </w:rPr>
        <w:t>.</w:t>
      </w:r>
    </w:p>
    <w:p w:rsidR="002B0BDC" w:rsidRDefault="002B0BDC" w:rsidP="002B0BDC">
      <w:pPr>
        <w:ind w:left="851"/>
        <w:rPr>
          <w:color w:val="000000"/>
          <w:sz w:val="24"/>
          <w:szCs w:val="24"/>
          <w:u w:val="single"/>
        </w:rPr>
      </w:pPr>
    </w:p>
    <w:p w:rsidR="002B0BDC" w:rsidRDefault="002B0BDC" w:rsidP="002B0BDC">
      <w:pPr>
        <w:ind w:left="851"/>
        <w:rPr>
          <w:color w:val="000000"/>
          <w:sz w:val="24"/>
          <w:szCs w:val="24"/>
          <w:u w:val="single"/>
        </w:rPr>
      </w:pPr>
      <w:r>
        <w:rPr>
          <w:color w:val="000000"/>
          <w:sz w:val="24"/>
          <w:szCs w:val="24"/>
          <w:u w:val="single"/>
        </w:rPr>
        <w:t>Pædiatrisk population</w:t>
      </w:r>
    </w:p>
    <w:p w:rsidR="002B0BDC" w:rsidRDefault="002B0BDC" w:rsidP="002B0BDC">
      <w:pPr>
        <w:ind w:left="851"/>
        <w:rPr>
          <w:color w:val="000000"/>
          <w:sz w:val="24"/>
          <w:szCs w:val="24"/>
        </w:rPr>
      </w:pPr>
      <w:r>
        <w:rPr>
          <w:color w:val="000000"/>
          <w:sz w:val="24"/>
          <w:szCs w:val="24"/>
        </w:rPr>
        <w:t>Der er kun udført interaktionsstudier hos voksne.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391F2B">
        <w:rPr>
          <w:b/>
          <w:sz w:val="24"/>
          <w:szCs w:val="24"/>
        </w:rPr>
        <w:t>Fertilitet, g</w:t>
      </w:r>
      <w:r w:rsidRPr="00C84483">
        <w:rPr>
          <w:b/>
          <w:sz w:val="24"/>
          <w:szCs w:val="24"/>
        </w:rPr>
        <w:t>raviditet og amning</w:t>
      </w:r>
    </w:p>
    <w:p w:rsidR="00671A47" w:rsidRDefault="00671A47" w:rsidP="00671A47">
      <w:pPr>
        <w:ind w:left="851"/>
        <w:rPr>
          <w:b/>
          <w:color w:val="000000"/>
          <w:sz w:val="24"/>
          <w:szCs w:val="24"/>
        </w:rPr>
      </w:pPr>
    </w:p>
    <w:p w:rsidR="00671A47" w:rsidRDefault="00671A47" w:rsidP="00671A47">
      <w:pPr>
        <w:ind w:left="851"/>
        <w:rPr>
          <w:color w:val="000000"/>
          <w:sz w:val="24"/>
          <w:szCs w:val="24"/>
          <w:u w:val="single"/>
        </w:rPr>
      </w:pPr>
      <w:r>
        <w:rPr>
          <w:color w:val="000000"/>
          <w:sz w:val="24"/>
          <w:szCs w:val="24"/>
          <w:u w:val="single"/>
        </w:rPr>
        <w:t>Graviditet</w:t>
      </w:r>
    </w:p>
    <w:p w:rsidR="00F573B6" w:rsidRDefault="00F573B6" w:rsidP="00671A47">
      <w:pPr>
        <w:ind w:left="851"/>
        <w:rPr>
          <w:color w:val="000000"/>
          <w:sz w:val="24"/>
          <w:szCs w:val="24"/>
        </w:rPr>
      </w:pPr>
    </w:p>
    <w:p w:rsidR="00671A47" w:rsidRPr="00F573B6" w:rsidRDefault="00671A47" w:rsidP="00671A47">
      <w:pPr>
        <w:ind w:left="851"/>
        <w:rPr>
          <w:i/>
          <w:color w:val="000000"/>
          <w:sz w:val="24"/>
          <w:szCs w:val="24"/>
        </w:rPr>
      </w:pPr>
      <w:r w:rsidRPr="00F573B6">
        <w:rPr>
          <w:i/>
          <w:color w:val="000000"/>
          <w:sz w:val="24"/>
          <w:szCs w:val="24"/>
        </w:rPr>
        <w:t>ACE-</w:t>
      </w:r>
      <w:proofErr w:type="spellStart"/>
      <w:r w:rsidRPr="00F573B6">
        <w:rPr>
          <w:i/>
          <w:color w:val="000000"/>
          <w:sz w:val="24"/>
          <w:szCs w:val="24"/>
        </w:rPr>
        <w:t>hæmmere</w:t>
      </w:r>
      <w:proofErr w:type="spellEnd"/>
    </w:p>
    <w:p w:rsidR="00671A47" w:rsidRDefault="00671A47" w:rsidP="00671A47">
      <w:pPr>
        <w:ind w:left="851"/>
        <w:rPr>
          <w:color w:val="000000"/>
          <w:sz w:val="24"/>
          <w:szCs w:val="24"/>
        </w:rPr>
      </w:pPr>
      <w:r>
        <w:rPr>
          <w:color w:val="000000"/>
          <w:sz w:val="24"/>
          <w:szCs w:val="24"/>
        </w:rPr>
        <w:t>ACE-</w:t>
      </w:r>
      <w:proofErr w:type="spellStart"/>
      <w:r>
        <w:rPr>
          <w:color w:val="000000"/>
          <w:sz w:val="24"/>
          <w:szCs w:val="24"/>
        </w:rPr>
        <w:t>hæmmere</w:t>
      </w:r>
      <w:proofErr w:type="spellEnd"/>
      <w:r>
        <w:rPr>
          <w:color w:val="000000"/>
          <w:sz w:val="24"/>
          <w:szCs w:val="24"/>
        </w:rPr>
        <w:t xml:space="preserve"> frarådes under graviditetens første trimester (se pkt. 4.4). ACE-</w:t>
      </w:r>
      <w:proofErr w:type="spellStart"/>
      <w:r>
        <w:rPr>
          <w:color w:val="000000"/>
          <w:sz w:val="24"/>
          <w:szCs w:val="24"/>
        </w:rPr>
        <w:t>hæmmere</w:t>
      </w:r>
      <w:proofErr w:type="spellEnd"/>
      <w:r>
        <w:rPr>
          <w:color w:val="000000"/>
          <w:sz w:val="24"/>
          <w:szCs w:val="24"/>
        </w:rPr>
        <w:t xml:space="preserve"> er kontraindiceret under graviditetens andet og tredje trimester (se pkt. 4.3 og 4.4).</w:t>
      </w:r>
    </w:p>
    <w:p w:rsidR="00671A47" w:rsidRDefault="00671A47" w:rsidP="00671A47">
      <w:pPr>
        <w:ind w:left="851"/>
        <w:rPr>
          <w:b/>
          <w:color w:val="000000"/>
          <w:sz w:val="24"/>
          <w:szCs w:val="24"/>
        </w:rPr>
      </w:pPr>
    </w:p>
    <w:p w:rsidR="00671A47" w:rsidRDefault="00671A47" w:rsidP="00671A47">
      <w:pPr>
        <w:ind w:left="851"/>
        <w:rPr>
          <w:color w:val="000000"/>
          <w:sz w:val="24"/>
          <w:szCs w:val="24"/>
        </w:rPr>
      </w:pPr>
      <w:r>
        <w:rPr>
          <w:color w:val="000000"/>
          <w:sz w:val="24"/>
          <w:szCs w:val="24"/>
        </w:rPr>
        <w:t xml:space="preserve">Epidemiologiske undersøgelser af risikoen for </w:t>
      </w:r>
      <w:proofErr w:type="spellStart"/>
      <w:r>
        <w:rPr>
          <w:color w:val="000000"/>
          <w:sz w:val="24"/>
          <w:szCs w:val="24"/>
        </w:rPr>
        <w:t>teratogenitet</w:t>
      </w:r>
      <w:proofErr w:type="spellEnd"/>
      <w:r>
        <w:rPr>
          <w:color w:val="000000"/>
          <w:sz w:val="24"/>
          <w:szCs w:val="24"/>
        </w:rPr>
        <w:t xml:space="preserve"> ved behandling med ACE-</w:t>
      </w:r>
      <w:proofErr w:type="spellStart"/>
      <w:r>
        <w:rPr>
          <w:color w:val="000000"/>
          <w:sz w:val="24"/>
          <w:szCs w:val="24"/>
        </w:rPr>
        <w:t>hæmmere</w:t>
      </w:r>
      <w:proofErr w:type="spellEnd"/>
      <w:r>
        <w:rPr>
          <w:color w:val="000000"/>
          <w:sz w:val="24"/>
          <w:szCs w:val="24"/>
        </w:rPr>
        <w:t xml:space="preserve"> under graviditetens første trimester er </w:t>
      </w:r>
      <w:proofErr w:type="spellStart"/>
      <w:r>
        <w:rPr>
          <w:color w:val="000000"/>
          <w:sz w:val="24"/>
          <w:szCs w:val="24"/>
        </w:rPr>
        <w:t>inkonklusive</w:t>
      </w:r>
      <w:proofErr w:type="spellEnd"/>
      <w:r>
        <w:rPr>
          <w:color w:val="000000"/>
          <w:sz w:val="24"/>
          <w:szCs w:val="24"/>
        </w:rPr>
        <w:t xml:space="preserve">, men en lille forøget risiko kan ikke udelukkes. Ved planlægning af graviditet bør patienten overgå til alternativ </w:t>
      </w:r>
      <w:proofErr w:type="spellStart"/>
      <w:r>
        <w:rPr>
          <w:color w:val="000000"/>
          <w:sz w:val="24"/>
          <w:szCs w:val="24"/>
        </w:rPr>
        <w:t>antihypertensiv</w:t>
      </w:r>
      <w:proofErr w:type="spellEnd"/>
      <w:r>
        <w:rPr>
          <w:color w:val="000000"/>
          <w:sz w:val="24"/>
          <w:szCs w:val="24"/>
        </w:rPr>
        <w:t xml:space="preserve"> behandling med en kendt sikkerhedsprofil vedrørende brug under graviditet, medmindre fortsat behandling med ACE-</w:t>
      </w:r>
      <w:proofErr w:type="spellStart"/>
      <w:r>
        <w:rPr>
          <w:color w:val="000000"/>
          <w:sz w:val="24"/>
          <w:szCs w:val="24"/>
        </w:rPr>
        <w:t>hæmmere</w:t>
      </w:r>
      <w:proofErr w:type="spellEnd"/>
      <w:r>
        <w:rPr>
          <w:color w:val="000000"/>
          <w:sz w:val="24"/>
          <w:szCs w:val="24"/>
        </w:rPr>
        <w:t xml:space="preserve"> vurderes at være nødvendig.</w:t>
      </w:r>
    </w:p>
    <w:p w:rsidR="00671A47" w:rsidRDefault="00671A47" w:rsidP="00671A47">
      <w:pPr>
        <w:ind w:left="851"/>
        <w:rPr>
          <w:color w:val="000000"/>
          <w:sz w:val="24"/>
          <w:szCs w:val="24"/>
        </w:rPr>
      </w:pPr>
    </w:p>
    <w:p w:rsidR="00671A47" w:rsidRDefault="00671A47" w:rsidP="00671A47">
      <w:pPr>
        <w:ind w:left="851"/>
        <w:rPr>
          <w:b/>
          <w:color w:val="000000"/>
          <w:sz w:val="24"/>
          <w:szCs w:val="24"/>
        </w:rPr>
      </w:pPr>
      <w:r>
        <w:rPr>
          <w:color w:val="000000"/>
          <w:sz w:val="24"/>
          <w:szCs w:val="24"/>
        </w:rPr>
        <w:lastRenderedPageBreak/>
        <w:t>Ved påvist graviditet bør behandling med ACE-</w:t>
      </w:r>
      <w:proofErr w:type="spellStart"/>
      <w:r>
        <w:rPr>
          <w:color w:val="000000"/>
          <w:sz w:val="24"/>
          <w:szCs w:val="24"/>
        </w:rPr>
        <w:t>hæmmere</w:t>
      </w:r>
      <w:proofErr w:type="spellEnd"/>
      <w:r>
        <w:rPr>
          <w:color w:val="000000"/>
          <w:sz w:val="24"/>
          <w:szCs w:val="24"/>
        </w:rPr>
        <w:t xml:space="preserve"> seponeres omgående, og alternativ behandling eventuelt indledes.</w:t>
      </w:r>
    </w:p>
    <w:p w:rsidR="00671A47" w:rsidRDefault="00671A47" w:rsidP="00671A47">
      <w:pPr>
        <w:ind w:left="851"/>
        <w:rPr>
          <w:b/>
          <w:color w:val="000000"/>
          <w:sz w:val="24"/>
          <w:szCs w:val="24"/>
        </w:rPr>
      </w:pPr>
    </w:p>
    <w:p w:rsidR="00671A47" w:rsidRDefault="00671A47" w:rsidP="00671A47">
      <w:pPr>
        <w:ind w:left="851"/>
        <w:rPr>
          <w:color w:val="000000"/>
          <w:sz w:val="24"/>
          <w:szCs w:val="24"/>
        </w:rPr>
      </w:pPr>
      <w:r>
        <w:rPr>
          <w:color w:val="000000"/>
          <w:sz w:val="24"/>
          <w:szCs w:val="24"/>
        </w:rPr>
        <w:t>Det er kendt, at eksponering for ACE-</w:t>
      </w:r>
      <w:proofErr w:type="spellStart"/>
      <w:r>
        <w:rPr>
          <w:color w:val="000000"/>
          <w:sz w:val="24"/>
          <w:szCs w:val="24"/>
        </w:rPr>
        <w:t>hæmmere</w:t>
      </w:r>
      <w:proofErr w:type="spellEnd"/>
      <w:r>
        <w:rPr>
          <w:color w:val="000000"/>
          <w:sz w:val="24"/>
          <w:szCs w:val="24"/>
        </w:rPr>
        <w:t xml:space="preserve"> i graviditetens andet og tredje trimester forårsager human </w:t>
      </w:r>
      <w:proofErr w:type="spellStart"/>
      <w:r>
        <w:rPr>
          <w:color w:val="000000"/>
          <w:sz w:val="24"/>
          <w:szCs w:val="24"/>
        </w:rPr>
        <w:t>føtotoksicitet</w:t>
      </w:r>
      <w:proofErr w:type="spellEnd"/>
      <w:r>
        <w:rPr>
          <w:color w:val="000000"/>
          <w:sz w:val="24"/>
          <w:szCs w:val="24"/>
        </w:rPr>
        <w:t xml:space="preserve"> (nedsat nyrefunktion, </w:t>
      </w:r>
      <w:proofErr w:type="spellStart"/>
      <w:r>
        <w:rPr>
          <w:color w:val="000000"/>
          <w:sz w:val="24"/>
          <w:szCs w:val="24"/>
        </w:rPr>
        <w:t>oligohydramnios</w:t>
      </w:r>
      <w:proofErr w:type="spellEnd"/>
      <w:r>
        <w:rPr>
          <w:color w:val="000000"/>
          <w:sz w:val="24"/>
          <w:szCs w:val="24"/>
        </w:rPr>
        <w:t xml:space="preserve">, forsinket </w:t>
      </w:r>
      <w:proofErr w:type="spellStart"/>
      <w:r>
        <w:rPr>
          <w:color w:val="000000"/>
          <w:sz w:val="24"/>
          <w:szCs w:val="24"/>
        </w:rPr>
        <w:t>ossifikation</w:t>
      </w:r>
      <w:proofErr w:type="spellEnd"/>
      <w:r>
        <w:rPr>
          <w:color w:val="000000"/>
          <w:sz w:val="24"/>
          <w:szCs w:val="24"/>
        </w:rPr>
        <w:t xml:space="preserve"> af kraniet) og neonatal toksicitet (nyreinsufficiens, hypotension, </w:t>
      </w:r>
      <w:proofErr w:type="spellStart"/>
      <w:r>
        <w:rPr>
          <w:color w:val="000000"/>
          <w:sz w:val="24"/>
          <w:szCs w:val="24"/>
        </w:rPr>
        <w:t>hyperkaliæmi</w:t>
      </w:r>
      <w:proofErr w:type="spellEnd"/>
      <w:r>
        <w:rPr>
          <w:color w:val="000000"/>
          <w:sz w:val="24"/>
          <w:szCs w:val="24"/>
        </w:rPr>
        <w:t xml:space="preserve">) (se pkt. 5.3). </w:t>
      </w:r>
      <w:proofErr w:type="spellStart"/>
      <w:r>
        <w:rPr>
          <w:color w:val="000000"/>
          <w:sz w:val="24"/>
          <w:szCs w:val="24"/>
        </w:rPr>
        <w:t>Oligohydramnios</w:t>
      </w:r>
      <w:proofErr w:type="spellEnd"/>
      <w:r>
        <w:rPr>
          <w:color w:val="000000"/>
          <w:sz w:val="24"/>
          <w:szCs w:val="24"/>
        </w:rPr>
        <w:t xml:space="preserve"> hos moderen, der kan vise sig ved nedsat </w:t>
      </w:r>
      <w:proofErr w:type="spellStart"/>
      <w:r>
        <w:rPr>
          <w:color w:val="000000"/>
          <w:sz w:val="24"/>
          <w:szCs w:val="24"/>
        </w:rPr>
        <w:t>føtal</w:t>
      </w:r>
      <w:proofErr w:type="spellEnd"/>
      <w:r>
        <w:rPr>
          <w:color w:val="000000"/>
          <w:sz w:val="24"/>
          <w:szCs w:val="24"/>
        </w:rPr>
        <w:t xml:space="preserve"> nyrefunktion, er forekommet og kan resultere i </w:t>
      </w:r>
      <w:proofErr w:type="spellStart"/>
      <w:r>
        <w:rPr>
          <w:color w:val="000000"/>
          <w:sz w:val="24"/>
          <w:szCs w:val="24"/>
        </w:rPr>
        <w:t>kontraktur</w:t>
      </w:r>
      <w:proofErr w:type="spellEnd"/>
      <w:r>
        <w:rPr>
          <w:color w:val="000000"/>
          <w:sz w:val="24"/>
          <w:szCs w:val="24"/>
        </w:rPr>
        <w:t xml:space="preserve"> af lemmer, </w:t>
      </w:r>
      <w:proofErr w:type="spellStart"/>
      <w:r>
        <w:rPr>
          <w:color w:val="000000"/>
          <w:sz w:val="24"/>
          <w:szCs w:val="24"/>
        </w:rPr>
        <w:t>kraniofaciale</w:t>
      </w:r>
      <w:proofErr w:type="spellEnd"/>
      <w:r>
        <w:rPr>
          <w:color w:val="000000"/>
          <w:sz w:val="24"/>
          <w:szCs w:val="24"/>
        </w:rPr>
        <w:t xml:space="preserve"> misdannelser og </w:t>
      </w:r>
      <w:proofErr w:type="spellStart"/>
      <w:r>
        <w:rPr>
          <w:color w:val="000000"/>
          <w:sz w:val="24"/>
          <w:szCs w:val="24"/>
        </w:rPr>
        <w:t>hypoplastisk</w:t>
      </w:r>
      <w:proofErr w:type="spellEnd"/>
      <w:r>
        <w:rPr>
          <w:color w:val="000000"/>
          <w:sz w:val="24"/>
          <w:szCs w:val="24"/>
        </w:rPr>
        <w:t xml:space="preserve"> lungeudvikling.</w:t>
      </w:r>
    </w:p>
    <w:p w:rsidR="00671A47" w:rsidRDefault="00671A47" w:rsidP="00671A47">
      <w:pPr>
        <w:ind w:left="851"/>
        <w:rPr>
          <w:b/>
          <w:color w:val="000000"/>
          <w:sz w:val="24"/>
          <w:szCs w:val="24"/>
        </w:rPr>
      </w:pPr>
    </w:p>
    <w:p w:rsidR="00671A47" w:rsidRDefault="00671A47" w:rsidP="00671A47">
      <w:pPr>
        <w:ind w:left="851"/>
        <w:rPr>
          <w:color w:val="000000"/>
          <w:sz w:val="24"/>
          <w:szCs w:val="24"/>
        </w:rPr>
      </w:pPr>
      <w:r>
        <w:rPr>
          <w:color w:val="000000"/>
          <w:sz w:val="24"/>
          <w:szCs w:val="24"/>
        </w:rPr>
        <w:t>Ved eksponering for ACE-</w:t>
      </w:r>
      <w:proofErr w:type="spellStart"/>
      <w:r>
        <w:rPr>
          <w:color w:val="000000"/>
          <w:sz w:val="24"/>
          <w:szCs w:val="24"/>
        </w:rPr>
        <w:t>hæmmere</w:t>
      </w:r>
      <w:proofErr w:type="spellEnd"/>
      <w:r>
        <w:rPr>
          <w:color w:val="000000"/>
          <w:sz w:val="24"/>
          <w:szCs w:val="24"/>
        </w:rPr>
        <w:t xml:space="preserve"> i andet eller tredje trimester anbefales ultralydsscanning af fosterets nyrefunktion og kranium.</w:t>
      </w:r>
    </w:p>
    <w:p w:rsidR="00671A47" w:rsidRDefault="00671A47" w:rsidP="00671A47">
      <w:pPr>
        <w:ind w:left="851"/>
        <w:rPr>
          <w:color w:val="000000"/>
          <w:sz w:val="24"/>
          <w:szCs w:val="24"/>
        </w:rPr>
      </w:pPr>
    </w:p>
    <w:p w:rsidR="00671A47" w:rsidRDefault="00671A47" w:rsidP="00671A47">
      <w:pPr>
        <w:ind w:left="851"/>
        <w:rPr>
          <w:color w:val="000000"/>
          <w:sz w:val="24"/>
          <w:szCs w:val="24"/>
        </w:rPr>
      </w:pPr>
      <w:r>
        <w:rPr>
          <w:color w:val="000000"/>
          <w:sz w:val="24"/>
          <w:szCs w:val="24"/>
        </w:rPr>
        <w:t>Spædbørn, hvis mødre har taget ACE-</w:t>
      </w:r>
      <w:proofErr w:type="spellStart"/>
      <w:r>
        <w:rPr>
          <w:color w:val="000000"/>
          <w:sz w:val="24"/>
          <w:szCs w:val="24"/>
        </w:rPr>
        <w:t>hæmmere</w:t>
      </w:r>
      <w:proofErr w:type="spellEnd"/>
      <w:r>
        <w:rPr>
          <w:color w:val="000000"/>
          <w:sz w:val="24"/>
          <w:szCs w:val="24"/>
        </w:rPr>
        <w:t>, bør observeres nøje for hypotension (se pkt. 4.3 og 4.4).</w:t>
      </w:r>
    </w:p>
    <w:p w:rsidR="00671A47" w:rsidRDefault="00671A47" w:rsidP="00671A47">
      <w:pPr>
        <w:ind w:left="851"/>
        <w:rPr>
          <w:b/>
          <w:color w:val="000000"/>
          <w:sz w:val="24"/>
          <w:szCs w:val="24"/>
        </w:rPr>
      </w:pPr>
    </w:p>
    <w:p w:rsidR="00671A47" w:rsidRDefault="00671A47" w:rsidP="00671A47">
      <w:pPr>
        <w:ind w:left="851"/>
        <w:rPr>
          <w:color w:val="000000"/>
          <w:sz w:val="24"/>
          <w:szCs w:val="24"/>
          <w:u w:val="single"/>
        </w:rPr>
      </w:pPr>
      <w:r>
        <w:rPr>
          <w:color w:val="000000"/>
          <w:sz w:val="24"/>
          <w:szCs w:val="24"/>
          <w:u w:val="single"/>
        </w:rPr>
        <w:t>Amning</w:t>
      </w:r>
    </w:p>
    <w:p w:rsidR="00671A47" w:rsidRDefault="00671A47" w:rsidP="00671A47">
      <w:pPr>
        <w:ind w:left="851"/>
        <w:rPr>
          <w:color w:val="000000"/>
          <w:sz w:val="24"/>
          <w:szCs w:val="24"/>
        </w:rPr>
      </w:pPr>
      <w:r>
        <w:rPr>
          <w:color w:val="000000"/>
          <w:sz w:val="24"/>
          <w:szCs w:val="24"/>
        </w:rPr>
        <w:t xml:space="preserve">Begrænsede </w:t>
      </w:r>
      <w:proofErr w:type="spellStart"/>
      <w:r>
        <w:rPr>
          <w:color w:val="000000"/>
          <w:sz w:val="24"/>
          <w:szCs w:val="24"/>
        </w:rPr>
        <w:t>farmakokinetiske</w:t>
      </w:r>
      <w:proofErr w:type="spellEnd"/>
      <w:r>
        <w:rPr>
          <w:color w:val="000000"/>
          <w:sz w:val="24"/>
          <w:szCs w:val="24"/>
        </w:rPr>
        <w:t xml:space="preserve"> data viser, at </w:t>
      </w:r>
      <w:proofErr w:type="spellStart"/>
      <w:r>
        <w:rPr>
          <w:color w:val="000000"/>
          <w:sz w:val="24"/>
          <w:szCs w:val="24"/>
        </w:rPr>
        <w:t>enalapril</w:t>
      </w:r>
      <w:proofErr w:type="spellEnd"/>
      <w:r>
        <w:rPr>
          <w:color w:val="000000"/>
          <w:sz w:val="24"/>
          <w:szCs w:val="24"/>
        </w:rPr>
        <w:t xml:space="preserve"> udskilles i modermælken i meget lave koncentrationer (se pkt. 5.2). Selvom disse koncentrationer synes at være uden klinisk relevans, frarådes det at bruge </w:t>
      </w:r>
      <w:proofErr w:type="spellStart"/>
      <w:r>
        <w:rPr>
          <w:color w:val="000000"/>
          <w:sz w:val="24"/>
          <w:szCs w:val="24"/>
        </w:rPr>
        <w:t>enalapril</w:t>
      </w:r>
      <w:proofErr w:type="spellEnd"/>
      <w:r>
        <w:rPr>
          <w:color w:val="000000"/>
          <w:sz w:val="24"/>
          <w:szCs w:val="24"/>
        </w:rPr>
        <w:t xml:space="preserve"> hos mødre, der ammer et præmaturt barn eller et nyfødt barn i dets første leveuger, da der er en hypotetisk risiko for </w:t>
      </w:r>
      <w:proofErr w:type="spellStart"/>
      <w:r>
        <w:rPr>
          <w:color w:val="000000"/>
          <w:sz w:val="24"/>
          <w:szCs w:val="24"/>
        </w:rPr>
        <w:t>kardiovaskulære</w:t>
      </w:r>
      <w:proofErr w:type="spellEnd"/>
      <w:r>
        <w:rPr>
          <w:color w:val="000000"/>
          <w:sz w:val="24"/>
          <w:szCs w:val="24"/>
        </w:rPr>
        <w:t xml:space="preserve"> og </w:t>
      </w:r>
      <w:proofErr w:type="spellStart"/>
      <w:r>
        <w:rPr>
          <w:color w:val="000000"/>
          <w:sz w:val="24"/>
          <w:szCs w:val="24"/>
        </w:rPr>
        <w:t>renale</w:t>
      </w:r>
      <w:proofErr w:type="spellEnd"/>
      <w:r>
        <w:rPr>
          <w:color w:val="000000"/>
          <w:sz w:val="24"/>
          <w:szCs w:val="24"/>
        </w:rPr>
        <w:t xml:space="preserve"> effekter, og fordi den kliniske erfaring hermed ikke er tilstrækkelig. Hvis der er tale om et ældre spædbarn, kan det overvejes at behandle moderen med </w:t>
      </w:r>
      <w:proofErr w:type="spellStart"/>
      <w:r>
        <w:rPr>
          <w:color w:val="000000"/>
          <w:sz w:val="24"/>
          <w:szCs w:val="24"/>
        </w:rPr>
        <w:t>Enalapril</w:t>
      </w:r>
      <w:proofErr w:type="spellEnd"/>
      <w:r>
        <w:rPr>
          <w:color w:val="000000"/>
          <w:sz w:val="24"/>
          <w:szCs w:val="24"/>
        </w:rPr>
        <w:t xml:space="preserve"> "</w:t>
      </w:r>
      <w:proofErr w:type="spellStart"/>
      <w:r>
        <w:rPr>
          <w:color w:val="000000"/>
          <w:sz w:val="24"/>
          <w:szCs w:val="24"/>
        </w:rPr>
        <w:t>Accord</w:t>
      </w:r>
      <w:proofErr w:type="spellEnd"/>
      <w:r>
        <w:rPr>
          <w:color w:val="000000"/>
          <w:sz w:val="24"/>
          <w:szCs w:val="24"/>
        </w:rPr>
        <w:t>", hvis behandlingen er nødvendig for hende, og hvis barnet overvåges for bivirkninger.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391F2B">
        <w:rPr>
          <w:b/>
          <w:sz w:val="24"/>
          <w:szCs w:val="24"/>
        </w:rPr>
        <w:t>og</w:t>
      </w:r>
      <w:r w:rsidRPr="00C84483">
        <w:rPr>
          <w:b/>
          <w:sz w:val="24"/>
          <w:szCs w:val="24"/>
        </w:rPr>
        <w:t xml:space="preserve"> betjene maskiner</w:t>
      </w:r>
    </w:p>
    <w:p w:rsidR="00F573B6" w:rsidRPr="00F573B6" w:rsidRDefault="00F573B6" w:rsidP="00F573B6">
      <w:pPr>
        <w:ind w:left="851"/>
        <w:rPr>
          <w:color w:val="000000"/>
          <w:sz w:val="24"/>
          <w:szCs w:val="24"/>
        </w:rPr>
      </w:pPr>
      <w:r w:rsidRPr="00F573B6">
        <w:rPr>
          <w:color w:val="000000"/>
          <w:sz w:val="24"/>
          <w:szCs w:val="24"/>
        </w:rPr>
        <w:t>Ikke mærkning</w:t>
      </w:r>
      <w:r>
        <w:rPr>
          <w:color w:val="000000"/>
          <w:sz w:val="24"/>
          <w:szCs w:val="24"/>
        </w:rPr>
        <w:t>.</w:t>
      </w:r>
    </w:p>
    <w:p w:rsidR="00F573B6" w:rsidRPr="00F573B6" w:rsidRDefault="00F573B6" w:rsidP="00F573B6">
      <w:pPr>
        <w:ind w:left="851"/>
        <w:rPr>
          <w:color w:val="000000"/>
          <w:sz w:val="24"/>
          <w:szCs w:val="24"/>
        </w:rPr>
      </w:pPr>
      <w:r w:rsidRPr="00F573B6">
        <w:rPr>
          <w:color w:val="000000"/>
          <w:sz w:val="24"/>
          <w:szCs w:val="24"/>
        </w:rPr>
        <w:t>Når der føres motorkøretøj og betjenes maskiner, bør patienten gøres opmærksom på, at der kan forekomme svimmelhed eller træthed.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9B5F39" w:rsidRPr="009B5F39" w:rsidRDefault="009B5F39" w:rsidP="009B5F39">
      <w:pPr>
        <w:tabs>
          <w:tab w:val="left" w:pos="851"/>
        </w:tabs>
        <w:ind w:left="851"/>
        <w:rPr>
          <w:sz w:val="24"/>
          <w:szCs w:val="24"/>
        </w:rPr>
      </w:pPr>
      <w:r w:rsidRPr="009B5F39">
        <w:rPr>
          <w:sz w:val="24"/>
          <w:szCs w:val="24"/>
        </w:rPr>
        <w:t xml:space="preserve">Følgende bivirkninger er indberettet i forbindelse med brug af </w:t>
      </w:r>
      <w:proofErr w:type="spellStart"/>
      <w:r w:rsidRPr="009B5F39">
        <w:rPr>
          <w:sz w:val="24"/>
          <w:szCs w:val="24"/>
        </w:rPr>
        <w:t>enalapril</w:t>
      </w:r>
      <w:proofErr w:type="spellEnd"/>
      <w:r w:rsidRPr="009B5F39">
        <w:rPr>
          <w:sz w:val="24"/>
          <w:szCs w:val="24"/>
        </w:rPr>
        <w:t xml:space="preserve"> i kliniske studier, samt efter markedsførelsen:</w:t>
      </w:r>
    </w:p>
    <w:p w:rsidR="009B5F39" w:rsidRPr="009B5F39" w:rsidRDefault="009B5F39" w:rsidP="009B5F39">
      <w:pPr>
        <w:tabs>
          <w:tab w:val="left" w:pos="851"/>
        </w:tabs>
        <w:ind w:left="851"/>
        <w:rPr>
          <w:sz w:val="24"/>
          <w:szCs w:val="24"/>
        </w:rPr>
      </w:pPr>
    </w:p>
    <w:p w:rsidR="009B5F39" w:rsidRDefault="009B5F39" w:rsidP="009B5F39">
      <w:pPr>
        <w:tabs>
          <w:tab w:val="left" w:pos="851"/>
        </w:tabs>
        <w:ind w:left="851"/>
        <w:rPr>
          <w:bCs/>
          <w:sz w:val="24"/>
          <w:szCs w:val="24"/>
          <w:u w:val="single"/>
        </w:rPr>
      </w:pPr>
      <w:r w:rsidRPr="009B5F39">
        <w:rPr>
          <w:bCs/>
          <w:sz w:val="24"/>
          <w:szCs w:val="24"/>
          <w:u w:val="single"/>
        </w:rPr>
        <w:t xml:space="preserve">Tabel 3    Bivirkninger som følge af </w:t>
      </w:r>
      <w:proofErr w:type="spellStart"/>
      <w:r w:rsidRPr="009B5F39">
        <w:rPr>
          <w:bCs/>
          <w:sz w:val="24"/>
          <w:szCs w:val="24"/>
          <w:u w:val="single"/>
        </w:rPr>
        <w:t>Enalapril</w:t>
      </w:r>
      <w:proofErr w:type="spellEnd"/>
      <w:r w:rsidRPr="009B5F39">
        <w:rPr>
          <w:bCs/>
          <w:sz w:val="24"/>
          <w:szCs w:val="24"/>
          <w:u w:val="single"/>
        </w:rPr>
        <w:t xml:space="preserve"> "</w:t>
      </w:r>
      <w:proofErr w:type="spellStart"/>
      <w:r w:rsidRPr="009B5F39">
        <w:rPr>
          <w:bCs/>
          <w:sz w:val="24"/>
          <w:szCs w:val="24"/>
          <w:u w:val="single"/>
        </w:rPr>
        <w:t>Accord</w:t>
      </w:r>
      <w:proofErr w:type="spellEnd"/>
      <w:r w:rsidRPr="009B5F39">
        <w:rPr>
          <w:bCs/>
          <w:sz w:val="24"/>
          <w:szCs w:val="24"/>
          <w:u w:val="single"/>
        </w:rPr>
        <w:t>"</w:t>
      </w:r>
    </w:p>
    <w:p w:rsidR="00A45E60" w:rsidRPr="009B5F39" w:rsidRDefault="00A45E60" w:rsidP="009B5F39">
      <w:pPr>
        <w:tabs>
          <w:tab w:val="left" w:pos="851"/>
        </w:tabs>
        <w:ind w:left="851"/>
        <w:rPr>
          <w:bCs/>
          <w:sz w:val="24"/>
          <w:szCs w:val="24"/>
          <w:u w:val="single"/>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1228"/>
        <w:gridCol w:w="1890"/>
        <w:gridCol w:w="1481"/>
        <w:gridCol w:w="1745"/>
        <w:gridCol w:w="1200"/>
        <w:gridCol w:w="1244"/>
      </w:tblGrid>
      <w:tr w:rsidR="00D8551D" w:rsidRPr="003263E9" w:rsidTr="003263E9">
        <w:tc>
          <w:tcPr>
            <w:tcW w:w="1447" w:type="dxa"/>
            <w:tcBorders>
              <w:top w:val="single" w:sz="4" w:space="0" w:color="auto"/>
              <w:left w:val="single" w:sz="4" w:space="0" w:color="auto"/>
              <w:bottom w:val="single" w:sz="4" w:space="0" w:color="auto"/>
              <w:right w:val="single" w:sz="4" w:space="0" w:color="auto"/>
            </w:tcBorders>
            <w:hideMark/>
          </w:tcPr>
          <w:p w:rsidR="009B5F39" w:rsidRPr="003263E9" w:rsidRDefault="009B5F39" w:rsidP="00A45E60">
            <w:pPr>
              <w:rPr>
                <w:b/>
                <w:bCs/>
                <w:iCs/>
                <w:sz w:val="20"/>
              </w:rPr>
            </w:pPr>
            <w:r w:rsidRPr="003263E9">
              <w:rPr>
                <w:b/>
                <w:bCs/>
                <w:iCs/>
                <w:sz w:val="20"/>
              </w:rPr>
              <w:t>Systemorgan-klasse</w:t>
            </w:r>
          </w:p>
        </w:tc>
        <w:tc>
          <w:tcPr>
            <w:tcW w:w="1228" w:type="dxa"/>
            <w:tcBorders>
              <w:top w:val="single" w:sz="4" w:space="0" w:color="auto"/>
              <w:left w:val="single" w:sz="4" w:space="0" w:color="auto"/>
              <w:bottom w:val="single" w:sz="4" w:space="0" w:color="auto"/>
              <w:right w:val="single" w:sz="4" w:space="0" w:color="auto"/>
            </w:tcBorders>
            <w:hideMark/>
          </w:tcPr>
          <w:p w:rsidR="009B5F39" w:rsidRPr="003263E9" w:rsidRDefault="009B5F39" w:rsidP="00A45E60">
            <w:pPr>
              <w:rPr>
                <w:b/>
                <w:bCs/>
                <w:iCs/>
                <w:sz w:val="20"/>
              </w:rPr>
            </w:pPr>
            <w:r w:rsidRPr="003263E9">
              <w:rPr>
                <w:b/>
                <w:bCs/>
                <w:iCs/>
                <w:sz w:val="20"/>
              </w:rPr>
              <w:t>Meget almindelig (≥1/10)</w:t>
            </w:r>
          </w:p>
        </w:tc>
        <w:tc>
          <w:tcPr>
            <w:tcW w:w="1890" w:type="dxa"/>
            <w:tcBorders>
              <w:top w:val="single" w:sz="4" w:space="0" w:color="auto"/>
              <w:left w:val="single" w:sz="4" w:space="0" w:color="auto"/>
              <w:bottom w:val="single" w:sz="4" w:space="0" w:color="auto"/>
              <w:right w:val="single" w:sz="4" w:space="0" w:color="auto"/>
            </w:tcBorders>
            <w:hideMark/>
          </w:tcPr>
          <w:p w:rsidR="009B5F39" w:rsidRPr="003263E9" w:rsidRDefault="009B5F39" w:rsidP="00A45E60">
            <w:pPr>
              <w:rPr>
                <w:b/>
                <w:bCs/>
                <w:iCs/>
                <w:sz w:val="20"/>
              </w:rPr>
            </w:pPr>
            <w:r w:rsidRPr="003263E9">
              <w:rPr>
                <w:b/>
                <w:bCs/>
                <w:iCs/>
                <w:sz w:val="20"/>
              </w:rPr>
              <w:t>Almindelig (≥1/100 til &lt;1/10)</w:t>
            </w:r>
          </w:p>
        </w:tc>
        <w:tc>
          <w:tcPr>
            <w:tcW w:w="1481" w:type="dxa"/>
            <w:tcBorders>
              <w:top w:val="single" w:sz="4" w:space="0" w:color="auto"/>
              <w:left w:val="single" w:sz="4" w:space="0" w:color="auto"/>
              <w:bottom w:val="single" w:sz="4" w:space="0" w:color="auto"/>
              <w:right w:val="single" w:sz="4" w:space="0" w:color="auto"/>
            </w:tcBorders>
            <w:hideMark/>
          </w:tcPr>
          <w:p w:rsidR="009B5F39" w:rsidRPr="003263E9" w:rsidRDefault="009B5F39" w:rsidP="00A45E60">
            <w:pPr>
              <w:ind w:left="-57"/>
              <w:rPr>
                <w:b/>
                <w:bCs/>
                <w:iCs/>
                <w:sz w:val="20"/>
              </w:rPr>
            </w:pPr>
            <w:r w:rsidRPr="003263E9">
              <w:rPr>
                <w:b/>
                <w:bCs/>
                <w:iCs/>
                <w:sz w:val="20"/>
              </w:rPr>
              <w:t>Ikke almindelig (≥1/1.000 til &lt;1/100)</w:t>
            </w:r>
          </w:p>
        </w:tc>
        <w:tc>
          <w:tcPr>
            <w:tcW w:w="1745" w:type="dxa"/>
            <w:tcBorders>
              <w:top w:val="single" w:sz="4" w:space="0" w:color="auto"/>
              <w:left w:val="single" w:sz="4" w:space="0" w:color="auto"/>
              <w:bottom w:val="single" w:sz="4" w:space="0" w:color="auto"/>
              <w:right w:val="single" w:sz="4" w:space="0" w:color="auto"/>
            </w:tcBorders>
            <w:hideMark/>
          </w:tcPr>
          <w:p w:rsidR="009B5F39" w:rsidRPr="003263E9" w:rsidRDefault="009B5F39" w:rsidP="00D8551D">
            <w:pPr>
              <w:ind w:left="-10"/>
              <w:rPr>
                <w:b/>
                <w:bCs/>
                <w:iCs/>
                <w:sz w:val="20"/>
              </w:rPr>
            </w:pPr>
            <w:r w:rsidRPr="003263E9">
              <w:rPr>
                <w:b/>
                <w:bCs/>
                <w:iCs/>
                <w:sz w:val="20"/>
              </w:rPr>
              <w:t>Sjælden (≥1/10.000 til &lt;1/1.000)</w:t>
            </w:r>
          </w:p>
        </w:tc>
        <w:tc>
          <w:tcPr>
            <w:tcW w:w="1200" w:type="dxa"/>
            <w:tcBorders>
              <w:top w:val="single" w:sz="4" w:space="0" w:color="auto"/>
              <w:left w:val="single" w:sz="4" w:space="0" w:color="auto"/>
              <w:bottom w:val="single" w:sz="4" w:space="0" w:color="auto"/>
              <w:right w:val="single" w:sz="4" w:space="0" w:color="auto"/>
            </w:tcBorders>
            <w:hideMark/>
          </w:tcPr>
          <w:p w:rsidR="009B5F39" w:rsidRPr="003263E9" w:rsidRDefault="009B5F39" w:rsidP="00D8551D">
            <w:pPr>
              <w:ind w:left="31"/>
              <w:rPr>
                <w:b/>
                <w:bCs/>
                <w:iCs/>
                <w:sz w:val="20"/>
              </w:rPr>
            </w:pPr>
            <w:r w:rsidRPr="003263E9">
              <w:rPr>
                <w:b/>
                <w:bCs/>
                <w:iCs/>
                <w:sz w:val="20"/>
              </w:rPr>
              <w:t>Meget sjælden (&lt;1/10.000)</w:t>
            </w:r>
          </w:p>
        </w:tc>
        <w:tc>
          <w:tcPr>
            <w:tcW w:w="1244" w:type="dxa"/>
            <w:tcBorders>
              <w:top w:val="single" w:sz="4" w:space="0" w:color="auto"/>
              <w:left w:val="single" w:sz="4" w:space="0" w:color="auto"/>
              <w:bottom w:val="single" w:sz="4" w:space="0" w:color="auto"/>
              <w:right w:val="single" w:sz="4" w:space="0" w:color="auto"/>
            </w:tcBorders>
            <w:hideMark/>
          </w:tcPr>
          <w:p w:rsidR="009B5F39" w:rsidRPr="003263E9" w:rsidRDefault="009B5F39" w:rsidP="00D8551D">
            <w:pPr>
              <w:ind w:left="25"/>
              <w:rPr>
                <w:b/>
                <w:bCs/>
                <w:iCs/>
                <w:sz w:val="20"/>
              </w:rPr>
            </w:pPr>
            <w:r w:rsidRPr="003263E9">
              <w:rPr>
                <w:b/>
                <w:bCs/>
                <w:iCs/>
                <w:sz w:val="20"/>
              </w:rPr>
              <w:t xml:space="preserve">Ikke kendt (kan ikke estimeres ud fra </w:t>
            </w:r>
            <w:proofErr w:type="spellStart"/>
            <w:r w:rsidRPr="003263E9">
              <w:rPr>
                <w:b/>
                <w:bCs/>
                <w:iCs/>
                <w:sz w:val="20"/>
              </w:rPr>
              <w:t>forhånden-værende</w:t>
            </w:r>
            <w:proofErr w:type="spellEnd"/>
            <w:r w:rsidRPr="003263E9">
              <w:rPr>
                <w:b/>
                <w:bCs/>
                <w:iCs/>
                <w:sz w:val="20"/>
              </w:rPr>
              <w:t xml:space="preserve"> data)</w:t>
            </w:r>
          </w:p>
        </w:tc>
      </w:tr>
      <w:tr w:rsidR="00D8551D" w:rsidRPr="003263E9" w:rsidTr="003263E9">
        <w:tc>
          <w:tcPr>
            <w:tcW w:w="1447" w:type="dxa"/>
            <w:tcBorders>
              <w:top w:val="single" w:sz="4" w:space="0" w:color="auto"/>
              <w:left w:val="single" w:sz="4" w:space="0" w:color="auto"/>
              <w:bottom w:val="single" w:sz="4" w:space="0" w:color="auto"/>
              <w:right w:val="single" w:sz="4" w:space="0" w:color="auto"/>
            </w:tcBorders>
            <w:hideMark/>
          </w:tcPr>
          <w:p w:rsidR="009B5F39" w:rsidRPr="003263E9" w:rsidRDefault="009B5F39" w:rsidP="00A45E60">
            <w:pPr>
              <w:rPr>
                <w:bCs/>
                <w:iCs/>
                <w:sz w:val="20"/>
              </w:rPr>
            </w:pPr>
            <w:r w:rsidRPr="003263E9">
              <w:rPr>
                <w:bCs/>
                <w:iCs/>
                <w:sz w:val="20"/>
              </w:rPr>
              <w:t>Blod og lymfesystem</w:t>
            </w:r>
          </w:p>
        </w:tc>
        <w:tc>
          <w:tcPr>
            <w:tcW w:w="1228" w:type="dxa"/>
            <w:tcBorders>
              <w:top w:val="single" w:sz="4" w:space="0" w:color="auto"/>
              <w:left w:val="single" w:sz="4" w:space="0" w:color="auto"/>
              <w:bottom w:val="single" w:sz="4" w:space="0" w:color="auto"/>
              <w:right w:val="single" w:sz="4" w:space="0" w:color="auto"/>
            </w:tcBorders>
          </w:tcPr>
          <w:p w:rsidR="009B5F39" w:rsidRPr="003263E9" w:rsidRDefault="009B5F39" w:rsidP="00A45E60">
            <w:pPr>
              <w:rPr>
                <w:sz w:val="20"/>
              </w:rPr>
            </w:pPr>
          </w:p>
        </w:tc>
        <w:tc>
          <w:tcPr>
            <w:tcW w:w="1890" w:type="dxa"/>
            <w:tcBorders>
              <w:top w:val="single" w:sz="4" w:space="0" w:color="auto"/>
              <w:left w:val="single" w:sz="4" w:space="0" w:color="auto"/>
              <w:bottom w:val="single" w:sz="4" w:space="0" w:color="auto"/>
              <w:right w:val="single" w:sz="4" w:space="0" w:color="auto"/>
            </w:tcBorders>
          </w:tcPr>
          <w:p w:rsidR="009B5F39" w:rsidRPr="003263E9" w:rsidRDefault="009B5F39" w:rsidP="00A45E60">
            <w:pPr>
              <w:rPr>
                <w:sz w:val="20"/>
              </w:rPr>
            </w:pPr>
          </w:p>
        </w:tc>
        <w:tc>
          <w:tcPr>
            <w:tcW w:w="1481" w:type="dxa"/>
            <w:tcBorders>
              <w:top w:val="single" w:sz="4" w:space="0" w:color="auto"/>
              <w:left w:val="single" w:sz="4" w:space="0" w:color="auto"/>
              <w:bottom w:val="single" w:sz="4" w:space="0" w:color="auto"/>
              <w:right w:val="single" w:sz="4" w:space="0" w:color="auto"/>
            </w:tcBorders>
            <w:hideMark/>
          </w:tcPr>
          <w:p w:rsidR="009B5F39" w:rsidRPr="003263E9" w:rsidRDefault="009B5F39" w:rsidP="00A45E60">
            <w:pPr>
              <w:ind w:left="-57"/>
              <w:rPr>
                <w:sz w:val="20"/>
              </w:rPr>
            </w:pPr>
            <w:r w:rsidRPr="003263E9">
              <w:rPr>
                <w:sz w:val="20"/>
              </w:rPr>
              <w:t xml:space="preserve">Anæmi (inklusive </w:t>
            </w:r>
            <w:proofErr w:type="spellStart"/>
            <w:r w:rsidRPr="003263E9">
              <w:rPr>
                <w:sz w:val="20"/>
              </w:rPr>
              <w:t>aplastisk</w:t>
            </w:r>
            <w:proofErr w:type="spellEnd"/>
            <w:r w:rsidRPr="003263E9">
              <w:rPr>
                <w:sz w:val="20"/>
              </w:rPr>
              <w:t xml:space="preserve"> og </w:t>
            </w:r>
            <w:proofErr w:type="spellStart"/>
            <w:r w:rsidRPr="003263E9">
              <w:rPr>
                <w:sz w:val="20"/>
              </w:rPr>
              <w:t>hæmolytisk</w:t>
            </w:r>
            <w:proofErr w:type="spellEnd"/>
            <w:r w:rsidRPr="003263E9">
              <w:rPr>
                <w:sz w:val="20"/>
              </w:rPr>
              <w:t>)</w:t>
            </w:r>
          </w:p>
        </w:tc>
        <w:tc>
          <w:tcPr>
            <w:tcW w:w="1745" w:type="dxa"/>
            <w:tcBorders>
              <w:top w:val="single" w:sz="4" w:space="0" w:color="auto"/>
              <w:left w:val="single" w:sz="4" w:space="0" w:color="auto"/>
              <w:bottom w:val="single" w:sz="4" w:space="0" w:color="auto"/>
              <w:right w:val="single" w:sz="4" w:space="0" w:color="auto"/>
            </w:tcBorders>
            <w:hideMark/>
          </w:tcPr>
          <w:p w:rsidR="009B5F39" w:rsidRPr="003263E9" w:rsidRDefault="009B5F39" w:rsidP="00D8551D">
            <w:pPr>
              <w:ind w:left="-10"/>
              <w:rPr>
                <w:sz w:val="20"/>
              </w:rPr>
            </w:pPr>
            <w:proofErr w:type="spellStart"/>
            <w:r w:rsidRPr="003263E9">
              <w:rPr>
                <w:sz w:val="20"/>
              </w:rPr>
              <w:t>Neutropeni</w:t>
            </w:r>
            <w:proofErr w:type="spellEnd"/>
            <w:r w:rsidRPr="003263E9">
              <w:rPr>
                <w:sz w:val="20"/>
              </w:rPr>
              <w:t xml:space="preserve">, fald i hæmoglobin, fald i hæmatokrit, </w:t>
            </w:r>
            <w:proofErr w:type="spellStart"/>
            <w:r w:rsidRPr="003263E9">
              <w:rPr>
                <w:sz w:val="20"/>
              </w:rPr>
              <w:t>trombocytopeni</w:t>
            </w:r>
            <w:proofErr w:type="spellEnd"/>
            <w:r w:rsidRPr="003263E9">
              <w:rPr>
                <w:sz w:val="20"/>
              </w:rPr>
              <w:t xml:space="preserve">, </w:t>
            </w:r>
            <w:proofErr w:type="spellStart"/>
            <w:r w:rsidRPr="003263E9">
              <w:rPr>
                <w:sz w:val="20"/>
              </w:rPr>
              <w:t>agranulocytose</w:t>
            </w:r>
            <w:proofErr w:type="spellEnd"/>
            <w:r w:rsidRPr="003263E9">
              <w:rPr>
                <w:sz w:val="20"/>
              </w:rPr>
              <w:t xml:space="preserve">, knoglemarvs-depression, </w:t>
            </w:r>
            <w:proofErr w:type="spellStart"/>
            <w:r w:rsidRPr="003263E9">
              <w:rPr>
                <w:sz w:val="20"/>
              </w:rPr>
              <w:t>pancytopeni</w:t>
            </w:r>
            <w:proofErr w:type="spellEnd"/>
            <w:r w:rsidRPr="003263E9">
              <w:rPr>
                <w:sz w:val="20"/>
              </w:rPr>
              <w:t xml:space="preserve">, </w:t>
            </w:r>
            <w:proofErr w:type="spellStart"/>
            <w:r w:rsidRPr="003263E9">
              <w:rPr>
                <w:sz w:val="20"/>
              </w:rPr>
              <w:t>lymfadenopati</w:t>
            </w:r>
            <w:proofErr w:type="spellEnd"/>
            <w:r w:rsidRPr="003263E9">
              <w:rPr>
                <w:sz w:val="20"/>
              </w:rPr>
              <w:t>, autoimmune sygdomme</w:t>
            </w:r>
          </w:p>
        </w:tc>
        <w:tc>
          <w:tcPr>
            <w:tcW w:w="1200" w:type="dxa"/>
            <w:tcBorders>
              <w:top w:val="single" w:sz="4" w:space="0" w:color="auto"/>
              <w:left w:val="single" w:sz="4" w:space="0" w:color="auto"/>
              <w:bottom w:val="single" w:sz="4" w:space="0" w:color="auto"/>
              <w:right w:val="single" w:sz="4" w:space="0" w:color="auto"/>
            </w:tcBorders>
          </w:tcPr>
          <w:p w:rsidR="009B5F39" w:rsidRPr="003263E9" w:rsidRDefault="009B5F39" w:rsidP="00D8551D">
            <w:pPr>
              <w:ind w:left="31"/>
              <w:rPr>
                <w:sz w:val="20"/>
              </w:rPr>
            </w:pPr>
          </w:p>
        </w:tc>
        <w:tc>
          <w:tcPr>
            <w:tcW w:w="1244" w:type="dxa"/>
            <w:tcBorders>
              <w:top w:val="single" w:sz="4" w:space="0" w:color="auto"/>
              <w:left w:val="single" w:sz="4" w:space="0" w:color="auto"/>
              <w:bottom w:val="single" w:sz="4" w:space="0" w:color="auto"/>
              <w:right w:val="single" w:sz="4" w:space="0" w:color="auto"/>
            </w:tcBorders>
          </w:tcPr>
          <w:p w:rsidR="009B5F39" w:rsidRPr="003263E9" w:rsidRDefault="009B5F39" w:rsidP="00D8551D">
            <w:pPr>
              <w:ind w:left="25"/>
              <w:rPr>
                <w:sz w:val="20"/>
              </w:rPr>
            </w:pPr>
          </w:p>
        </w:tc>
      </w:tr>
      <w:tr w:rsidR="00D8551D" w:rsidRPr="003263E9" w:rsidTr="003263E9">
        <w:tc>
          <w:tcPr>
            <w:tcW w:w="1447" w:type="dxa"/>
            <w:tcBorders>
              <w:top w:val="single" w:sz="4" w:space="0" w:color="auto"/>
              <w:left w:val="single" w:sz="4" w:space="0" w:color="auto"/>
              <w:bottom w:val="single" w:sz="4" w:space="0" w:color="auto"/>
              <w:right w:val="single" w:sz="4" w:space="0" w:color="auto"/>
            </w:tcBorders>
            <w:hideMark/>
          </w:tcPr>
          <w:p w:rsidR="009B5F39" w:rsidRPr="003263E9" w:rsidRDefault="009B5F39" w:rsidP="00A45E60">
            <w:pPr>
              <w:rPr>
                <w:bCs/>
                <w:iCs/>
                <w:sz w:val="20"/>
              </w:rPr>
            </w:pPr>
            <w:r w:rsidRPr="003263E9">
              <w:rPr>
                <w:bCs/>
                <w:iCs/>
                <w:sz w:val="20"/>
              </w:rPr>
              <w:lastRenderedPageBreak/>
              <w:t>Det endokrine system</w:t>
            </w:r>
          </w:p>
        </w:tc>
        <w:tc>
          <w:tcPr>
            <w:tcW w:w="1228" w:type="dxa"/>
            <w:tcBorders>
              <w:top w:val="single" w:sz="4" w:space="0" w:color="auto"/>
              <w:left w:val="single" w:sz="4" w:space="0" w:color="auto"/>
              <w:bottom w:val="single" w:sz="4" w:space="0" w:color="auto"/>
              <w:right w:val="single" w:sz="4" w:space="0" w:color="auto"/>
            </w:tcBorders>
          </w:tcPr>
          <w:p w:rsidR="009B5F39" w:rsidRPr="003263E9" w:rsidRDefault="009B5F39" w:rsidP="00A45E60">
            <w:pPr>
              <w:rPr>
                <w:sz w:val="20"/>
              </w:rPr>
            </w:pPr>
          </w:p>
        </w:tc>
        <w:tc>
          <w:tcPr>
            <w:tcW w:w="1890" w:type="dxa"/>
            <w:tcBorders>
              <w:top w:val="single" w:sz="4" w:space="0" w:color="auto"/>
              <w:left w:val="single" w:sz="4" w:space="0" w:color="auto"/>
              <w:bottom w:val="single" w:sz="4" w:space="0" w:color="auto"/>
              <w:right w:val="single" w:sz="4" w:space="0" w:color="auto"/>
            </w:tcBorders>
          </w:tcPr>
          <w:p w:rsidR="009B5F39" w:rsidRPr="003263E9" w:rsidRDefault="009B5F39" w:rsidP="00A45E60">
            <w:pPr>
              <w:rPr>
                <w:sz w:val="20"/>
              </w:rPr>
            </w:pPr>
          </w:p>
        </w:tc>
        <w:tc>
          <w:tcPr>
            <w:tcW w:w="1481" w:type="dxa"/>
            <w:tcBorders>
              <w:top w:val="single" w:sz="4" w:space="0" w:color="auto"/>
              <w:left w:val="single" w:sz="4" w:space="0" w:color="auto"/>
              <w:bottom w:val="single" w:sz="4" w:space="0" w:color="auto"/>
              <w:right w:val="single" w:sz="4" w:space="0" w:color="auto"/>
            </w:tcBorders>
          </w:tcPr>
          <w:p w:rsidR="009B5F39" w:rsidRPr="003263E9" w:rsidRDefault="009B5F39" w:rsidP="00A45E60">
            <w:pPr>
              <w:ind w:left="-57"/>
              <w:rPr>
                <w:sz w:val="20"/>
              </w:rPr>
            </w:pPr>
          </w:p>
        </w:tc>
        <w:tc>
          <w:tcPr>
            <w:tcW w:w="1745" w:type="dxa"/>
            <w:tcBorders>
              <w:top w:val="single" w:sz="4" w:space="0" w:color="auto"/>
              <w:left w:val="single" w:sz="4" w:space="0" w:color="auto"/>
              <w:bottom w:val="single" w:sz="4" w:space="0" w:color="auto"/>
              <w:right w:val="single" w:sz="4" w:space="0" w:color="auto"/>
            </w:tcBorders>
          </w:tcPr>
          <w:p w:rsidR="009B5F39" w:rsidRPr="003263E9" w:rsidRDefault="009B5F39" w:rsidP="00D8551D">
            <w:pPr>
              <w:ind w:left="-10"/>
              <w:rPr>
                <w:sz w:val="20"/>
              </w:rPr>
            </w:pPr>
          </w:p>
        </w:tc>
        <w:tc>
          <w:tcPr>
            <w:tcW w:w="1200" w:type="dxa"/>
            <w:tcBorders>
              <w:top w:val="single" w:sz="4" w:space="0" w:color="auto"/>
              <w:left w:val="single" w:sz="4" w:space="0" w:color="auto"/>
              <w:bottom w:val="single" w:sz="4" w:space="0" w:color="auto"/>
              <w:right w:val="single" w:sz="4" w:space="0" w:color="auto"/>
            </w:tcBorders>
          </w:tcPr>
          <w:p w:rsidR="009B5F39" w:rsidRPr="003263E9" w:rsidRDefault="009B5F39" w:rsidP="00D8551D">
            <w:pPr>
              <w:ind w:left="31"/>
              <w:rPr>
                <w:sz w:val="20"/>
              </w:rPr>
            </w:pPr>
          </w:p>
        </w:tc>
        <w:tc>
          <w:tcPr>
            <w:tcW w:w="1244" w:type="dxa"/>
            <w:tcBorders>
              <w:top w:val="single" w:sz="4" w:space="0" w:color="auto"/>
              <w:left w:val="single" w:sz="4" w:space="0" w:color="auto"/>
              <w:bottom w:val="single" w:sz="4" w:space="0" w:color="auto"/>
              <w:right w:val="single" w:sz="4" w:space="0" w:color="auto"/>
            </w:tcBorders>
            <w:hideMark/>
          </w:tcPr>
          <w:p w:rsidR="009B5F39" w:rsidRPr="003263E9" w:rsidRDefault="009B5F39" w:rsidP="00D8551D">
            <w:pPr>
              <w:ind w:left="25"/>
              <w:rPr>
                <w:sz w:val="20"/>
              </w:rPr>
            </w:pPr>
            <w:r w:rsidRPr="003263E9">
              <w:rPr>
                <w:sz w:val="20"/>
              </w:rPr>
              <w:t xml:space="preserve">Syndrom med </w:t>
            </w:r>
            <w:proofErr w:type="spellStart"/>
            <w:r w:rsidRPr="003263E9">
              <w:rPr>
                <w:sz w:val="20"/>
              </w:rPr>
              <w:t>uhensigts-mæssig</w:t>
            </w:r>
            <w:proofErr w:type="spellEnd"/>
            <w:r w:rsidRPr="003263E9">
              <w:rPr>
                <w:sz w:val="20"/>
              </w:rPr>
              <w:t xml:space="preserve"> sekretion af antidiuretisk hormon (SIADH)</w:t>
            </w:r>
          </w:p>
        </w:tc>
      </w:tr>
      <w:tr w:rsidR="00D8551D" w:rsidRPr="003263E9" w:rsidTr="003263E9">
        <w:tc>
          <w:tcPr>
            <w:tcW w:w="1447" w:type="dxa"/>
            <w:tcBorders>
              <w:top w:val="single" w:sz="4" w:space="0" w:color="auto"/>
              <w:left w:val="single" w:sz="4" w:space="0" w:color="auto"/>
              <w:bottom w:val="single" w:sz="4" w:space="0" w:color="auto"/>
              <w:right w:val="single" w:sz="4" w:space="0" w:color="auto"/>
            </w:tcBorders>
            <w:hideMark/>
          </w:tcPr>
          <w:p w:rsidR="009B5F39" w:rsidRPr="003263E9" w:rsidRDefault="009B5F39" w:rsidP="00A45E60">
            <w:pPr>
              <w:rPr>
                <w:bCs/>
                <w:iCs/>
                <w:sz w:val="20"/>
              </w:rPr>
            </w:pPr>
            <w:r w:rsidRPr="003263E9">
              <w:rPr>
                <w:bCs/>
                <w:iCs/>
                <w:sz w:val="20"/>
              </w:rPr>
              <w:t>Metabolisme og ernæring</w:t>
            </w:r>
          </w:p>
        </w:tc>
        <w:tc>
          <w:tcPr>
            <w:tcW w:w="1228" w:type="dxa"/>
            <w:tcBorders>
              <w:top w:val="single" w:sz="4" w:space="0" w:color="auto"/>
              <w:left w:val="single" w:sz="4" w:space="0" w:color="auto"/>
              <w:bottom w:val="single" w:sz="4" w:space="0" w:color="auto"/>
              <w:right w:val="single" w:sz="4" w:space="0" w:color="auto"/>
            </w:tcBorders>
          </w:tcPr>
          <w:p w:rsidR="009B5F39" w:rsidRPr="003263E9" w:rsidRDefault="009B5F39" w:rsidP="00A45E60">
            <w:pPr>
              <w:rPr>
                <w:sz w:val="20"/>
              </w:rPr>
            </w:pPr>
          </w:p>
        </w:tc>
        <w:tc>
          <w:tcPr>
            <w:tcW w:w="1890" w:type="dxa"/>
            <w:tcBorders>
              <w:top w:val="single" w:sz="4" w:space="0" w:color="auto"/>
              <w:left w:val="single" w:sz="4" w:space="0" w:color="auto"/>
              <w:bottom w:val="single" w:sz="4" w:space="0" w:color="auto"/>
              <w:right w:val="single" w:sz="4" w:space="0" w:color="auto"/>
            </w:tcBorders>
          </w:tcPr>
          <w:p w:rsidR="009B5F39" w:rsidRPr="003263E9" w:rsidRDefault="009B5F39" w:rsidP="00A45E60">
            <w:pPr>
              <w:rPr>
                <w:sz w:val="20"/>
              </w:rPr>
            </w:pPr>
          </w:p>
        </w:tc>
        <w:tc>
          <w:tcPr>
            <w:tcW w:w="1481" w:type="dxa"/>
            <w:tcBorders>
              <w:top w:val="single" w:sz="4" w:space="0" w:color="auto"/>
              <w:left w:val="single" w:sz="4" w:space="0" w:color="auto"/>
              <w:bottom w:val="single" w:sz="4" w:space="0" w:color="auto"/>
              <w:right w:val="single" w:sz="4" w:space="0" w:color="auto"/>
            </w:tcBorders>
            <w:hideMark/>
          </w:tcPr>
          <w:p w:rsidR="009B5F39" w:rsidRPr="003263E9" w:rsidRDefault="009B5F39" w:rsidP="00A45E60">
            <w:pPr>
              <w:ind w:left="-57"/>
              <w:rPr>
                <w:sz w:val="20"/>
              </w:rPr>
            </w:pPr>
            <w:r w:rsidRPr="003263E9">
              <w:rPr>
                <w:sz w:val="20"/>
              </w:rPr>
              <w:t>Hypoglykæmi (se pkt. 4.4)</w:t>
            </w:r>
          </w:p>
        </w:tc>
        <w:tc>
          <w:tcPr>
            <w:tcW w:w="1745" w:type="dxa"/>
            <w:tcBorders>
              <w:top w:val="single" w:sz="4" w:space="0" w:color="auto"/>
              <w:left w:val="single" w:sz="4" w:space="0" w:color="auto"/>
              <w:bottom w:val="single" w:sz="4" w:space="0" w:color="auto"/>
              <w:right w:val="single" w:sz="4" w:space="0" w:color="auto"/>
            </w:tcBorders>
          </w:tcPr>
          <w:p w:rsidR="009B5F39" w:rsidRPr="003263E9" w:rsidRDefault="009B5F39" w:rsidP="00D8551D">
            <w:pPr>
              <w:ind w:left="-10"/>
              <w:rPr>
                <w:sz w:val="20"/>
              </w:rPr>
            </w:pPr>
          </w:p>
        </w:tc>
        <w:tc>
          <w:tcPr>
            <w:tcW w:w="1200" w:type="dxa"/>
            <w:tcBorders>
              <w:top w:val="single" w:sz="4" w:space="0" w:color="auto"/>
              <w:left w:val="single" w:sz="4" w:space="0" w:color="auto"/>
              <w:bottom w:val="single" w:sz="4" w:space="0" w:color="auto"/>
              <w:right w:val="single" w:sz="4" w:space="0" w:color="auto"/>
            </w:tcBorders>
          </w:tcPr>
          <w:p w:rsidR="009B5F39" w:rsidRPr="003263E9" w:rsidRDefault="009B5F39" w:rsidP="00D8551D">
            <w:pPr>
              <w:ind w:left="31"/>
              <w:rPr>
                <w:sz w:val="20"/>
              </w:rPr>
            </w:pPr>
          </w:p>
        </w:tc>
        <w:tc>
          <w:tcPr>
            <w:tcW w:w="1244" w:type="dxa"/>
            <w:tcBorders>
              <w:top w:val="single" w:sz="4" w:space="0" w:color="auto"/>
              <w:left w:val="single" w:sz="4" w:space="0" w:color="auto"/>
              <w:bottom w:val="single" w:sz="4" w:space="0" w:color="auto"/>
              <w:right w:val="single" w:sz="4" w:space="0" w:color="auto"/>
            </w:tcBorders>
          </w:tcPr>
          <w:p w:rsidR="009B5F39" w:rsidRPr="003263E9" w:rsidRDefault="009B5F39" w:rsidP="00D8551D">
            <w:pPr>
              <w:ind w:left="25"/>
              <w:rPr>
                <w:sz w:val="20"/>
              </w:rPr>
            </w:pPr>
          </w:p>
        </w:tc>
      </w:tr>
      <w:tr w:rsidR="00D8551D" w:rsidRPr="003263E9" w:rsidTr="003263E9">
        <w:tc>
          <w:tcPr>
            <w:tcW w:w="1447" w:type="dxa"/>
            <w:tcBorders>
              <w:top w:val="single" w:sz="4" w:space="0" w:color="auto"/>
              <w:left w:val="single" w:sz="4" w:space="0" w:color="auto"/>
              <w:bottom w:val="single" w:sz="4" w:space="0" w:color="auto"/>
              <w:right w:val="single" w:sz="4" w:space="0" w:color="auto"/>
            </w:tcBorders>
            <w:hideMark/>
          </w:tcPr>
          <w:p w:rsidR="009B5F39" w:rsidRPr="003263E9" w:rsidRDefault="009B5F39" w:rsidP="00A45E60">
            <w:pPr>
              <w:rPr>
                <w:bCs/>
                <w:iCs/>
                <w:sz w:val="20"/>
              </w:rPr>
            </w:pPr>
            <w:r w:rsidRPr="003263E9">
              <w:rPr>
                <w:bCs/>
                <w:iCs/>
                <w:sz w:val="20"/>
              </w:rPr>
              <w:t>Psykiske forstyrrelser</w:t>
            </w:r>
          </w:p>
        </w:tc>
        <w:tc>
          <w:tcPr>
            <w:tcW w:w="1228" w:type="dxa"/>
            <w:tcBorders>
              <w:top w:val="single" w:sz="4" w:space="0" w:color="auto"/>
              <w:left w:val="single" w:sz="4" w:space="0" w:color="auto"/>
              <w:bottom w:val="single" w:sz="4" w:space="0" w:color="auto"/>
              <w:right w:val="single" w:sz="4" w:space="0" w:color="auto"/>
            </w:tcBorders>
          </w:tcPr>
          <w:p w:rsidR="009B5F39" w:rsidRPr="003263E9" w:rsidRDefault="009B5F39" w:rsidP="00A45E60">
            <w:pPr>
              <w:rPr>
                <w:sz w:val="20"/>
              </w:rPr>
            </w:pPr>
          </w:p>
        </w:tc>
        <w:tc>
          <w:tcPr>
            <w:tcW w:w="1890" w:type="dxa"/>
            <w:tcBorders>
              <w:top w:val="single" w:sz="4" w:space="0" w:color="auto"/>
              <w:left w:val="single" w:sz="4" w:space="0" w:color="auto"/>
              <w:bottom w:val="single" w:sz="4" w:space="0" w:color="auto"/>
              <w:right w:val="single" w:sz="4" w:space="0" w:color="auto"/>
            </w:tcBorders>
            <w:hideMark/>
          </w:tcPr>
          <w:p w:rsidR="009B5F39" w:rsidRPr="003263E9" w:rsidRDefault="009B5F39" w:rsidP="00A45E60">
            <w:pPr>
              <w:rPr>
                <w:sz w:val="20"/>
              </w:rPr>
            </w:pPr>
            <w:r w:rsidRPr="003263E9">
              <w:rPr>
                <w:sz w:val="20"/>
              </w:rPr>
              <w:t>Depression</w:t>
            </w:r>
          </w:p>
        </w:tc>
        <w:tc>
          <w:tcPr>
            <w:tcW w:w="1481" w:type="dxa"/>
            <w:tcBorders>
              <w:top w:val="single" w:sz="4" w:space="0" w:color="auto"/>
              <w:left w:val="single" w:sz="4" w:space="0" w:color="auto"/>
              <w:bottom w:val="single" w:sz="4" w:space="0" w:color="auto"/>
              <w:right w:val="single" w:sz="4" w:space="0" w:color="auto"/>
            </w:tcBorders>
            <w:hideMark/>
          </w:tcPr>
          <w:p w:rsidR="009B5F39" w:rsidRPr="003263E9" w:rsidRDefault="009B5F39" w:rsidP="00A45E60">
            <w:pPr>
              <w:ind w:left="-57"/>
              <w:rPr>
                <w:sz w:val="20"/>
              </w:rPr>
            </w:pPr>
            <w:r w:rsidRPr="003263E9">
              <w:rPr>
                <w:sz w:val="20"/>
              </w:rPr>
              <w:t xml:space="preserve">Konfusion, nervøsitet, </w:t>
            </w:r>
            <w:proofErr w:type="spellStart"/>
            <w:r w:rsidRPr="003263E9">
              <w:rPr>
                <w:sz w:val="20"/>
              </w:rPr>
              <w:t>insomni</w:t>
            </w:r>
            <w:proofErr w:type="spellEnd"/>
          </w:p>
        </w:tc>
        <w:tc>
          <w:tcPr>
            <w:tcW w:w="1745" w:type="dxa"/>
            <w:tcBorders>
              <w:top w:val="single" w:sz="4" w:space="0" w:color="auto"/>
              <w:left w:val="single" w:sz="4" w:space="0" w:color="auto"/>
              <w:bottom w:val="single" w:sz="4" w:space="0" w:color="auto"/>
              <w:right w:val="single" w:sz="4" w:space="0" w:color="auto"/>
            </w:tcBorders>
            <w:hideMark/>
          </w:tcPr>
          <w:p w:rsidR="009B5F39" w:rsidRPr="003263E9" w:rsidRDefault="009B5F39" w:rsidP="00D8551D">
            <w:pPr>
              <w:ind w:left="-10"/>
              <w:rPr>
                <w:sz w:val="20"/>
              </w:rPr>
            </w:pPr>
            <w:r w:rsidRPr="003263E9">
              <w:rPr>
                <w:sz w:val="20"/>
              </w:rPr>
              <w:t>Abnorme drømme, søvnforstyrrelser</w:t>
            </w:r>
          </w:p>
        </w:tc>
        <w:tc>
          <w:tcPr>
            <w:tcW w:w="1200" w:type="dxa"/>
            <w:tcBorders>
              <w:top w:val="single" w:sz="4" w:space="0" w:color="auto"/>
              <w:left w:val="single" w:sz="4" w:space="0" w:color="auto"/>
              <w:bottom w:val="single" w:sz="4" w:space="0" w:color="auto"/>
              <w:right w:val="single" w:sz="4" w:space="0" w:color="auto"/>
            </w:tcBorders>
          </w:tcPr>
          <w:p w:rsidR="009B5F39" w:rsidRPr="003263E9" w:rsidRDefault="009B5F39" w:rsidP="00D8551D">
            <w:pPr>
              <w:ind w:left="31"/>
              <w:rPr>
                <w:sz w:val="20"/>
              </w:rPr>
            </w:pPr>
          </w:p>
        </w:tc>
        <w:tc>
          <w:tcPr>
            <w:tcW w:w="1244" w:type="dxa"/>
            <w:tcBorders>
              <w:top w:val="single" w:sz="4" w:space="0" w:color="auto"/>
              <w:left w:val="single" w:sz="4" w:space="0" w:color="auto"/>
              <w:bottom w:val="single" w:sz="4" w:space="0" w:color="auto"/>
              <w:right w:val="single" w:sz="4" w:space="0" w:color="auto"/>
            </w:tcBorders>
          </w:tcPr>
          <w:p w:rsidR="009B5F39" w:rsidRPr="003263E9" w:rsidRDefault="009B5F39" w:rsidP="00D8551D">
            <w:pPr>
              <w:ind w:left="25"/>
              <w:rPr>
                <w:sz w:val="20"/>
              </w:rPr>
            </w:pPr>
          </w:p>
        </w:tc>
      </w:tr>
      <w:tr w:rsidR="00D8551D" w:rsidRPr="003263E9" w:rsidTr="003263E9">
        <w:tc>
          <w:tcPr>
            <w:tcW w:w="1447" w:type="dxa"/>
            <w:tcBorders>
              <w:top w:val="single" w:sz="4" w:space="0" w:color="auto"/>
              <w:left w:val="single" w:sz="4" w:space="0" w:color="auto"/>
              <w:bottom w:val="single" w:sz="4" w:space="0" w:color="auto"/>
              <w:right w:val="single" w:sz="4" w:space="0" w:color="auto"/>
            </w:tcBorders>
            <w:hideMark/>
          </w:tcPr>
          <w:p w:rsidR="009B5F39" w:rsidRPr="003263E9" w:rsidRDefault="009B5F39" w:rsidP="00A45E60">
            <w:pPr>
              <w:rPr>
                <w:bCs/>
                <w:iCs/>
                <w:sz w:val="20"/>
              </w:rPr>
            </w:pPr>
            <w:r w:rsidRPr="003263E9">
              <w:rPr>
                <w:bCs/>
                <w:iCs/>
                <w:sz w:val="20"/>
              </w:rPr>
              <w:t>Nervesystemet</w:t>
            </w:r>
          </w:p>
        </w:tc>
        <w:tc>
          <w:tcPr>
            <w:tcW w:w="1228" w:type="dxa"/>
            <w:tcBorders>
              <w:top w:val="single" w:sz="4" w:space="0" w:color="auto"/>
              <w:left w:val="single" w:sz="4" w:space="0" w:color="auto"/>
              <w:bottom w:val="single" w:sz="4" w:space="0" w:color="auto"/>
              <w:right w:val="single" w:sz="4" w:space="0" w:color="auto"/>
            </w:tcBorders>
            <w:hideMark/>
          </w:tcPr>
          <w:p w:rsidR="009B5F39" w:rsidRPr="003263E9" w:rsidRDefault="009B5F39" w:rsidP="00A45E60">
            <w:pPr>
              <w:rPr>
                <w:sz w:val="20"/>
              </w:rPr>
            </w:pPr>
            <w:r w:rsidRPr="003263E9">
              <w:rPr>
                <w:sz w:val="20"/>
              </w:rPr>
              <w:t>Svimmelhed</w:t>
            </w:r>
          </w:p>
        </w:tc>
        <w:tc>
          <w:tcPr>
            <w:tcW w:w="1890" w:type="dxa"/>
            <w:tcBorders>
              <w:top w:val="single" w:sz="4" w:space="0" w:color="auto"/>
              <w:left w:val="single" w:sz="4" w:space="0" w:color="auto"/>
              <w:bottom w:val="single" w:sz="4" w:space="0" w:color="auto"/>
              <w:right w:val="single" w:sz="4" w:space="0" w:color="auto"/>
            </w:tcBorders>
            <w:hideMark/>
          </w:tcPr>
          <w:p w:rsidR="009B5F39" w:rsidRPr="003263E9" w:rsidRDefault="009B5F39" w:rsidP="00A45E60">
            <w:pPr>
              <w:rPr>
                <w:sz w:val="20"/>
              </w:rPr>
            </w:pPr>
            <w:r w:rsidRPr="003263E9">
              <w:rPr>
                <w:sz w:val="20"/>
              </w:rPr>
              <w:t>Hovedpine, synkope, smags-forstyrrelser</w:t>
            </w:r>
          </w:p>
        </w:tc>
        <w:tc>
          <w:tcPr>
            <w:tcW w:w="1481" w:type="dxa"/>
            <w:tcBorders>
              <w:top w:val="single" w:sz="4" w:space="0" w:color="auto"/>
              <w:left w:val="single" w:sz="4" w:space="0" w:color="auto"/>
              <w:bottom w:val="single" w:sz="4" w:space="0" w:color="auto"/>
              <w:right w:val="single" w:sz="4" w:space="0" w:color="auto"/>
            </w:tcBorders>
            <w:hideMark/>
          </w:tcPr>
          <w:p w:rsidR="009B5F39" w:rsidRPr="003263E9" w:rsidRDefault="009B5F39" w:rsidP="00A45E60">
            <w:pPr>
              <w:ind w:left="-57"/>
              <w:rPr>
                <w:sz w:val="20"/>
              </w:rPr>
            </w:pPr>
            <w:proofErr w:type="spellStart"/>
            <w:r w:rsidRPr="003263E9">
              <w:rPr>
                <w:sz w:val="20"/>
              </w:rPr>
              <w:t>Somnolens</w:t>
            </w:r>
            <w:proofErr w:type="spellEnd"/>
            <w:r w:rsidRPr="003263E9">
              <w:rPr>
                <w:sz w:val="20"/>
              </w:rPr>
              <w:t xml:space="preserve">, </w:t>
            </w:r>
            <w:proofErr w:type="spellStart"/>
            <w:r w:rsidRPr="003263E9">
              <w:rPr>
                <w:sz w:val="20"/>
              </w:rPr>
              <w:t>paræstesier</w:t>
            </w:r>
            <w:proofErr w:type="spellEnd"/>
            <w:r w:rsidRPr="003263E9">
              <w:rPr>
                <w:sz w:val="20"/>
              </w:rPr>
              <w:t xml:space="preserve">, </w:t>
            </w:r>
            <w:proofErr w:type="spellStart"/>
            <w:r w:rsidRPr="003263E9">
              <w:rPr>
                <w:sz w:val="20"/>
              </w:rPr>
              <w:t>vertigo</w:t>
            </w:r>
            <w:proofErr w:type="spellEnd"/>
          </w:p>
        </w:tc>
        <w:tc>
          <w:tcPr>
            <w:tcW w:w="1745" w:type="dxa"/>
            <w:tcBorders>
              <w:top w:val="single" w:sz="4" w:space="0" w:color="auto"/>
              <w:left w:val="single" w:sz="4" w:space="0" w:color="auto"/>
              <w:bottom w:val="single" w:sz="4" w:space="0" w:color="auto"/>
              <w:right w:val="single" w:sz="4" w:space="0" w:color="auto"/>
            </w:tcBorders>
          </w:tcPr>
          <w:p w:rsidR="009B5F39" w:rsidRPr="003263E9" w:rsidRDefault="009B5F39" w:rsidP="00D8551D">
            <w:pPr>
              <w:ind w:left="-10"/>
              <w:rPr>
                <w:sz w:val="20"/>
              </w:rPr>
            </w:pPr>
          </w:p>
        </w:tc>
        <w:tc>
          <w:tcPr>
            <w:tcW w:w="1200" w:type="dxa"/>
            <w:tcBorders>
              <w:top w:val="single" w:sz="4" w:space="0" w:color="auto"/>
              <w:left w:val="single" w:sz="4" w:space="0" w:color="auto"/>
              <w:bottom w:val="single" w:sz="4" w:space="0" w:color="auto"/>
              <w:right w:val="single" w:sz="4" w:space="0" w:color="auto"/>
            </w:tcBorders>
          </w:tcPr>
          <w:p w:rsidR="009B5F39" w:rsidRPr="003263E9" w:rsidRDefault="009B5F39" w:rsidP="00D8551D">
            <w:pPr>
              <w:ind w:left="31"/>
              <w:rPr>
                <w:sz w:val="20"/>
              </w:rPr>
            </w:pPr>
          </w:p>
        </w:tc>
        <w:tc>
          <w:tcPr>
            <w:tcW w:w="1244" w:type="dxa"/>
            <w:tcBorders>
              <w:top w:val="single" w:sz="4" w:space="0" w:color="auto"/>
              <w:left w:val="single" w:sz="4" w:space="0" w:color="auto"/>
              <w:bottom w:val="single" w:sz="4" w:space="0" w:color="auto"/>
              <w:right w:val="single" w:sz="4" w:space="0" w:color="auto"/>
            </w:tcBorders>
          </w:tcPr>
          <w:p w:rsidR="009B5F39" w:rsidRPr="003263E9" w:rsidRDefault="009B5F39" w:rsidP="00D8551D">
            <w:pPr>
              <w:ind w:left="25"/>
              <w:rPr>
                <w:sz w:val="20"/>
              </w:rPr>
            </w:pPr>
          </w:p>
        </w:tc>
      </w:tr>
      <w:tr w:rsidR="00D8551D" w:rsidRPr="003263E9" w:rsidTr="003263E9">
        <w:tc>
          <w:tcPr>
            <w:tcW w:w="1447" w:type="dxa"/>
            <w:tcBorders>
              <w:top w:val="single" w:sz="4" w:space="0" w:color="auto"/>
              <w:left w:val="single" w:sz="4" w:space="0" w:color="auto"/>
              <w:bottom w:val="single" w:sz="4" w:space="0" w:color="auto"/>
              <w:right w:val="single" w:sz="4" w:space="0" w:color="auto"/>
            </w:tcBorders>
            <w:hideMark/>
          </w:tcPr>
          <w:p w:rsidR="009B5F39" w:rsidRPr="003263E9" w:rsidRDefault="009B5F39" w:rsidP="00A45E60">
            <w:pPr>
              <w:rPr>
                <w:bCs/>
                <w:iCs/>
                <w:sz w:val="20"/>
              </w:rPr>
            </w:pPr>
            <w:r w:rsidRPr="003263E9">
              <w:rPr>
                <w:bCs/>
                <w:iCs/>
                <w:sz w:val="20"/>
              </w:rPr>
              <w:t>Øjne</w:t>
            </w:r>
          </w:p>
        </w:tc>
        <w:tc>
          <w:tcPr>
            <w:tcW w:w="1228" w:type="dxa"/>
            <w:tcBorders>
              <w:top w:val="single" w:sz="4" w:space="0" w:color="auto"/>
              <w:left w:val="single" w:sz="4" w:space="0" w:color="auto"/>
              <w:bottom w:val="single" w:sz="4" w:space="0" w:color="auto"/>
              <w:right w:val="single" w:sz="4" w:space="0" w:color="auto"/>
            </w:tcBorders>
            <w:hideMark/>
          </w:tcPr>
          <w:p w:rsidR="009B5F39" w:rsidRPr="003263E9" w:rsidRDefault="009B5F39" w:rsidP="00A45E60">
            <w:pPr>
              <w:rPr>
                <w:sz w:val="20"/>
              </w:rPr>
            </w:pPr>
            <w:r w:rsidRPr="003263E9">
              <w:rPr>
                <w:sz w:val="20"/>
              </w:rPr>
              <w:t>Sløret syn</w:t>
            </w:r>
          </w:p>
        </w:tc>
        <w:tc>
          <w:tcPr>
            <w:tcW w:w="1890" w:type="dxa"/>
            <w:tcBorders>
              <w:top w:val="single" w:sz="4" w:space="0" w:color="auto"/>
              <w:left w:val="single" w:sz="4" w:space="0" w:color="auto"/>
              <w:bottom w:val="single" w:sz="4" w:space="0" w:color="auto"/>
              <w:right w:val="single" w:sz="4" w:space="0" w:color="auto"/>
            </w:tcBorders>
          </w:tcPr>
          <w:p w:rsidR="009B5F39" w:rsidRPr="003263E9" w:rsidRDefault="009B5F39" w:rsidP="00A45E60">
            <w:pPr>
              <w:rPr>
                <w:sz w:val="20"/>
              </w:rPr>
            </w:pPr>
          </w:p>
        </w:tc>
        <w:tc>
          <w:tcPr>
            <w:tcW w:w="1481" w:type="dxa"/>
            <w:tcBorders>
              <w:top w:val="single" w:sz="4" w:space="0" w:color="auto"/>
              <w:left w:val="single" w:sz="4" w:space="0" w:color="auto"/>
              <w:bottom w:val="single" w:sz="4" w:space="0" w:color="auto"/>
              <w:right w:val="single" w:sz="4" w:space="0" w:color="auto"/>
            </w:tcBorders>
          </w:tcPr>
          <w:p w:rsidR="009B5F39" w:rsidRPr="003263E9" w:rsidRDefault="009B5F39" w:rsidP="00A45E60">
            <w:pPr>
              <w:ind w:left="-57"/>
              <w:rPr>
                <w:sz w:val="20"/>
              </w:rPr>
            </w:pPr>
          </w:p>
        </w:tc>
        <w:tc>
          <w:tcPr>
            <w:tcW w:w="1745" w:type="dxa"/>
            <w:tcBorders>
              <w:top w:val="single" w:sz="4" w:space="0" w:color="auto"/>
              <w:left w:val="single" w:sz="4" w:space="0" w:color="auto"/>
              <w:bottom w:val="single" w:sz="4" w:space="0" w:color="auto"/>
              <w:right w:val="single" w:sz="4" w:space="0" w:color="auto"/>
            </w:tcBorders>
          </w:tcPr>
          <w:p w:rsidR="009B5F39" w:rsidRPr="003263E9" w:rsidRDefault="009B5F39" w:rsidP="00D8551D">
            <w:pPr>
              <w:ind w:left="-10"/>
              <w:rPr>
                <w:sz w:val="20"/>
              </w:rPr>
            </w:pPr>
          </w:p>
        </w:tc>
        <w:tc>
          <w:tcPr>
            <w:tcW w:w="1200" w:type="dxa"/>
            <w:tcBorders>
              <w:top w:val="single" w:sz="4" w:space="0" w:color="auto"/>
              <w:left w:val="single" w:sz="4" w:space="0" w:color="auto"/>
              <w:bottom w:val="single" w:sz="4" w:space="0" w:color="auto"/>
              <w:right w:val="single" w:sz="4" w:space="0" w:color="auto"/>
            </w:tcBorders>
          </w:tcPr>
          <w:p w:rsidR="009B5F39" w:rsidRPr="003263E9" w:rsidRDefault="009B5F39" w:rsidP="00D8551D">
            <w:pPr>
              <w:ind w:left="31"/>
              <w:rPr>
                <w:sz w:val="20"/>
              </w:rPr>
            </w:pPr>
          </w:p>
        </w:tc>
        <w:tc>
          <w:tcPr>
            <w:tcW w:w="1244" w:type="dxa"/>
            <w:tcBorders>
              <w:top w:val="single" w:sz="4" w:space="0" w:color="auto"/>
              <w:left w:val="single" w:sz="4" w:space="0" w:color="auto"/>
              <w:bottom w:val="single" w:sz="4" w:space="0" w:color="auto"/>
              <w:right w:val="single" w:sz="4" w:space="0" w:color="auto"/>
            </w:tcBorders>
          </w:tcPr>
          <w:p w:rsidR="009B5F39" w:rsidRPr="003263E9" w:rsidRDefault="009B5F39" w:rsidP="00D8551D">
            <w:pPr>
              <w:ind w:left="25"/>
              <w:rPr>
                <w:sz w:val="20"/>
              </w:rPr>
            </w:pPr>
          </w:p>
        </w:tc>
      </w:tr>
      <w:tr w:rsidR="00D8551D" w:rsidRPr="003263E9" w:rsidTr="003263E9">
        <w:tc>
          <w:tcPr>
            <w:tcW w:w="1447" w:type="dxa"/>
            <w:tcBorders>
              <w:top w:val="single" w:sz="4" w:space="0" w:color="auto"/>
              <w:left w:val="single" w:sz="4" w:space="0" w:color="auto"/>
              <w:bottom w:val="single" w:sz="4" w:space="0" w:color="auto"/>
              <w:right w:val="single" w:sz="4" w:space="0" w:color="auto"/>
            </w:tcBorders>
            <w:hideMark/>
          </w:tcPr>
          <w:p w:rsidR="009B5F39" w:rsidRPr="003263E9" w:rsidRDefault="009B5F39" w:rsidP="00A45E60">
            <w:pPr>
              <w:rPr>
                <w:bCs/>
                <w:iCs/>
                <w:sz w:val="20"/>
              </w:rPr>
            </w:pPr>
            <w:r w:rsidRPr="003263E9">
              <w:rPr>
                <w:bCs/>
                <w:iCs/>
                <w:sz w:val="20"/>
              </w:rPr>
              <w:t>Ører og labyrint</w:t>
            </w:r>
          </w:p>
        </w:tc>
        <w:tc>
          <w:tcPr>
            <w:tcW w:w="1228" w:type="dxa"/>
            <w:tcBorders>
              <w:top w:val="single" w:sz="4" w:space="0" w:color="auto"/>
              <w:left w:val="single" w:sz="4" w:space="0" w:color="auto"/>
              <w:bottom w:val="single" w:sz="4" w:space="0" w:color="auto"/>
              <w:right w:val="single" w:sz="4" w:space="0" w:color="auto"/>
            </w:tcBorders>
          </w:tcPr>
          <w:p w:rsidR="009B5F39" w:rsidRPr="003263E9" w:rsidRDefault="009B5F39" w:rsidP="00A45E60">
            <w:pPr>
              <w:rPr>
                <w:sz w:val="20"/>
              </w:rPr>
            </w:pPr>
          </w:p>
        </w:tc>
        <w:tc>
          <w:tcPr>
            <w:tcW w:w="1890" w:type="dxa"/>
            <w:tcBorders>
              <w:top w:val="single" w:sz="4" w:space="0" w:color="auto"/>
              <w:left w:val="single" w:sz="4" w:space="0" w:color="auto"/>
              <w:bottom w:val="single" w:sz="4" w:space="0" w:color="auto"/>
              <w:right w:val="single" w:sz="4" w:space="0" w:color="auto"/>
            </w:tcBorders>
          </w:tcPr>
          <w:p w:rsidR="009B5F39" w:rsidRPr="003263E9" w:rsidRDefault="009B5F39" w:rsidP="00A45E60">
            <w:pPr>
              <w:rPr>
                <w:sz w:val="20"/>
              </w:rPr>
            </w:pPr>
          </w:p>
        </w:tc>
        <w:tc>
          <w:tcPr>
            <w:tcW w:w="1481" w:type="dxa"/>
            <w:tcBorders>
              <w:top w:val="single" w:sz="4" w:space="0" w:color="auto"/>
              <w:left w:val="single" w:sz="4" w:space="0" w:color="auto"/>
              <w:bottom w:val="single" w:sz="4" w:space="0" w:color="auto"/>
              <w:right w:val="single" w:sz="4" w:space="0" w:color="auto"/>
            </w:tcBorders>
            <w:hideMark/>
          </w:tcPr>
          <w:p w:rsidR="009B5F39" w:rsidRPr="003263E9" w:rsidRDefault="009B5F39" w:rsidP="00A45E60">
            <w:pPr>
              <w:ind w:left="-57"/>
              <w:rPr>
                <w:sz w:val="20"/>
              </w:rPr>
            </w:pPr>
            <w:r w:rsidRPr="003263E9">
              <w:rPr>
                <w:sz w:val="20"/>
              </w:rPr>
              <w:t>Tinnitus</w:t>
            </w:r>
          </w:p>
        </w:tc>
        <w:tc>
          <w:tcPr>
            <w:tcW w:w="1745" w:type="dxa"/>
            <w:tcBorders>
              <w:top w:val="single" w:sz="4" w:space="0" w:color="auto"/>
              <w:left w:val="single" w:sz="4" w:space="0" w:color="auto"/>
              <w:bottom w:val="single" w:sz="4" w:space="0" w:color="auto"/>
              <w:right w:val="single" w:sz="4" w:space="0" w:color="auto"/>
            </w:tcBorders>
          </w:tcPr>
          <w:p w:rsidR="009B5F39" w:rsidRPr="003263E9" w:rsidRDefault="009B5F39" w:rsidP="00D8551D">
            <w:pPr>
              <w:ind w:left="-10"/>
              <w:rPr>
                <w:sz w:val="20"/>
              </w:rPr>
            </w:pPr>
          </w:p>
        </w:tc>
        <w:tc>
          <w:tcPr>
            <w:tcW w:w="1200" w:type="dxa"/>
            <w:tcBorders>
              <w:top w:val="single" w:sz="4" w:space="0" w:color="auto"/>
              <w:left w:val="single" w:sz="4" w:space="0" w:color="auto"/>
              <w:bottom w:val="single" w:sz="4" w:space="0" w:color="auto"/>
              <w:right w:val="single" w:sz="4" w:space="0" w:color="auto"/>
            </w:tcBorders>
          </w:tcPr>
          <w:p w:rsidR="009B5F39" w:rsidRPr="003263E9" w:rsidRDefault="009B5F39" w:rsidP="00D8551D">
            <w:pPr>
              <w:ind w:left="31"/>
              <w:rPr>
                <w:sz w:val="20"/>
              </w:rPr>
            </w:pPr>
          </w:p>
        </w:tc>
        <w:tc>
          <w:tcPr>
            <w:tcW w:w="1244" w:type="dxa"/>
            <w:tcBorders>
              <w:top w:val="single" w:sz="4" w:space="0" w:color="auto"/>
              <w:left w:val="single" w:sz="4" w:space="0" w:color="auto"/>
              <w:bottom w:val="single" w:sz="4" w:space="0" w:color="auto"/>
              <w:right w:val="single" w:sz="4" w:space="0" w:color="auto"/>
            </w:tcBorders>
          </w:tcPr>
          <w:p w:rsidR="009B5F39" w:rsidRPr="003263E9" w:rsidRDefault="009B5F39" w:rsidP="00D8551D">
            <w:pPr>
              <w:ind w:left="25"/>
              <w:rPr>
                <w:sz w:val="20"/>
              </w:rPr>
            </w:pPr>
          </w:p>
        </w:tc>
      </w:tr>
      <w:tr w:rsidR="00D8551D" w:rsidRPr="003263E9" w:rsidTr="003263E9">
        <w:tc>
          <w:tcPr>
            <w:tcW w:w="1447" w:type="dxa"/>
            <w:tcBorders>
              <w:top w:val="single" w:sz="4" w:space="0" w:color="auto"/>
              <w:left w:val="single" w:sz="4" w:space="0" w:color="auto"/>
              <w:bottom w:val="single" w:sz="4" w:space="0" w:color="auto"/>
              <w:right w:val="single" w:sz="4" w:space="0" w:color="auto"/>
            </w:tcBorders>
            <w:hideMark/>
          </w:tcPr>
          <w:p w:rsidR="009B5F39" w:rsidRPr="003263E9" w:rsidRDefault="009B5F39" w:rsidP="00A45E60">
            <w:pPr>
              <w:rPr>
                <w:bCs/>
                <w:iCs/>
                <w:sz w:val="20"/>
              </w:rPr>
            </w:pPr>
            <w:r w:rsidRPr="003263E9">
              <w:rPr>
                <w:bCs/>
                <w:iCs/>
                <w:sz w:val="20"/>
              </w:rPr>
              <w:t>Hjerte</w:t>
            </w:r>
          </w:p>
        </w:tc>
        <w:tc>
          <w:tcPr>
            <w:tcW w:w="1228" w:type="dxa"/>
            <w:tcBorders>
              <w:top w:val="single" w:sz="4" w:space="0" w:color="auto"/>
              <w:left w:val="single" w:sz="4" w:space="0" w:color="auto"/>
              <w:bottom w:val="single" w:sz="4" w:space="0" w:color="auto"/>
              <w:right w:val="single" w:sz="4" w:space="0" w:color="auto"/>
            </w:tcBorders>
          </w:tcPr>
          <w:p w:rsidR="009B5F39" w:rsidRPr="003263E9" w:rsidRDefault="009B5F39" w:rsidP="00A45E60">
            <w:pPr>
              <w:rPr>
                <w:sz w:val="20"/>
              </w:rPr>
            </w:pPr>
          </w:p>
        </w:tc>
        <w:tc>
          <w:tcPr>
            <w:tcW w:w="1890" w:type="dxa"/>
            <w:tcBorders>
              <w:top w:val="single" w:sz="4" w:space="0" w:color="auto"/>
              <w:left w:val="single" w:sz="4" w:space="0" w:color="auto"/>
              <w:bottom w:val="single" w:sz="4" w:space="0" w:color="auto"/>
              <w:right w:val="single" w:sz="4" w:space="0" w:color="auto"/>
            </w:tcBorders>
            <w:hideMark/>
          </w:tcPr>
          <w:p w:rsidR="009B5F39" w:rsidRPr="003263E9" w:rsidRDefault="009B5F39" w:rsidP="00A45E60">
            <w:pPr>
              <w:rPr>
                <w:sz w:val="20"/>
              </w:rPr>
            </w:pPr>
            <w:r w:rsidRPr="003263E9">
              <w:rPr>
                <w:sz w:val="20"/>
              </w:rPr>
              <w:t xml:space="preserve">Brystsmerter, rytme-forstyrrelser, angina pectoris, </w:t>
            </w:r>
            <w:proofErr w:type="spellStart"/>
            <w:r w:rsidRPr="003263E9">
              <w:rPr>
                <w:sz w:val="20"/>
              </w:rPr>
              <w:t>takykardi</w:t>
            </w:r>
            <w:proofErr w:type="spellEnd"/>
          </w:p>
        </w:tc>
        <w:tc>
          <w:tcPr>
            <w:tcW w:w="1481" w:type="dxa"/>
            <w:tcBorders>
              <w:top w:val="single" w:sz="4" w:space="0" w:color="auto"/>
              <w:left w:val="single" w:sz="4" w:space="0" w:color="auto"/>
              <w:bottom w:val="single" w:sz="4" w:space="0" w:color="auto"/>
              <w:right w:val="single" w:sz="4" w:space="0" w:color="auto"/>
            </w:tcBorders>
            <w:hideMark/>
          </w:tcPr>
          <w:p w:rsidR="009B5F39" w:rsidRPr="003263E9" w:rsidRDefault="009B5F39" w:rsidP="00A45E60">
            <w:pPr>
              <w:ind w:left="-57"/>
              <w:rPr>
                <w:sz w:val="20"/>
              </w:rPr>
            </w:pPr>
            <w:proofErr w:type="spellStart"/>
            <w:r w:rsidRPr="003263E9">
              <w:rPr>
                <w:sz w:val="20"/>
              </w:rPr>
              <w:t>Palpitationer</w:t>
            </w:r>
            <w:proofErr w:type="spellEnd"/>
            <w:r w:rsidRPr="003263E9">
              <w:rPr>
                <w:sz w:val="20"/>
              </w:rPr>
              <w:t xml:space="preserve">, </w:t>
            </w:r>
            <w:proofErr w:type="spellStart"/>
            <w:r w:rsidRPr="003263E9">
              <w:rPr>
                <w:sz w:val="20"/>
              </w:rPr>
              <w:t>myokardie-infarkt</w:t>
            </w:r>
            <w:proofErr w:type="spellEnd"/>
            <w:r w:rsidRPr="003263E9">
              <w:rPr>
                <w:sz w:val="20"/>
              </w:rPr>
              <w:t xml:space="preserve"> eller </w:t>
            </w:r>
            <w:proofErr w:type="spellStart"/>
            <w:r w:rsidRPr="003263E9">
              <w:rPr>
                <w:sz w:val="20"/>
              </w:rPr>
              <w:t>cerebrovaskulær</w:t>
            </w:r>
            <w:proofErr w:type="spellEnd"/>
            <w:r w:rsidRPr="003263E9">
              <w:rPr>
                <w:sz w:val="20"/>
              </w:rPr>
              <w:t xml:space="preserve"> hændelse*. Der kan være sekundær til udtalt </w:t>
            </w:r>
            <w:proofErr w:type="spellStart"/>
            <w:r w:rsidRPr="003263E9">
              <w:rPr>
                <w:sz w:val="20"/>
              </w:rPr>
              <w:t>hypo-tension</w:t>
            </w:r>
            <w:proofErr w:type="spellEnd"/>
            <w:r w:rsidRPr="003263E9">
              <w:rPr>
                <w:sz w:val="20"/>
              </w:rPr>
              <w:t xml:space="preserve"> hos højrisiko-patienter (se pkt. 4.4)</w:t>
            </w:r>
          </w:p>
        </w:tc>
        <w:tc>
          <w:tcPr>
            <w:tcW w:w="1745" w:type="dxa"/>
            <w:tcBorders>
              <w:top w:val="single" w:sz="4" w:space="0" w:color="auto"/>
              <w:left w:val="single" w:sz="4" w:space="0" w:color="auto"/>
              <w:bottom w:val="single" w:sz="4" w:space="0" w:color="auto"/>
              <w:right w:val="single" w:sz="4" w:space="0" w:color="auto"/>
            </w:tcBorders>
          </w:tcPr>
          <w:p w:rsidR="009B5F39" w:rsidRPr="003263E9" w:rsidRDefault="009B5F39" w:rsidP="00D8551D">
            <w:pPr>
              <w:ind w:left="-10"/>
              <w:rPr>
                <w:sz w:val="20"/>
              </w:rPr>
            </w:pPr>
          </w:p>
        </w:tc>
        <w:tc>
          <w:tcPr>
            <w:tcW w:w="1200" w:type="dxa"/>
            <w:tcBorders>
              <w:top w:val="single" w:sz="4" w:space="0" w:color="auto"/>
              <w:left w:val="single" w:sz="4" w:space="0" w:color="auto"/>
              <w:bottom w:val="single" w:sz="4" w:space="0" w:color="auto"/>
              <w:right w:val="single" w:sz="4" w:space="0" w:color="auto"/>
            </w:tcBorders>
          </w:tcPr>
          <w:p w:rsidR="009B5F39" w:rsidRPr="003263E9" w:rsidRDefault="009B5F39" w:rsidP="00D8551D">
            <w:pPr>
              <w:ind w:left="31"/>
              <w:rPr>
                <w:sz w:val="20"/>
              </w:rPr>
            </w:pPr>
          </w:p>
        </w:tc>
        <w:tc>
          <w:tcPr>
            <w:tcW w:w="1244" w:type="dxa"/>
            <w:tcBorders>
              <w:top w:val="single" w:sz="4" w:space="0" w:color="auto"/>
              <w:left w:val="single" w:sz="4" w:space="0" w:color="auto"/>
              <w:bottom w:val="single" w:sz="4" w:space="0" w:color="auto"/>
              <w:right w:val="single" w:sz="4" w:space="0" w:color="auto"/>
            </w:tcBorders>
          </w:tcPr>
          <w:p w:rsidR="009B5F39" w:rsidRPr="003263E9" w:rsidRDefault="009B5F39" w:rsidP="00D8551D">
            <w:pPr>
              <w:ind w:left="25"/>
              <w:rPr>
                <w:sz w:val="20"/>
              </w:rPr>
            </w:pPr>
          </w:p>
        </w:tc>
      </w:tr>
      <w:tr w:rsidR="00D8551D" w:rsidRPr="003263E9" w:rsidTr="003263E9">
        <w:tc>
          <w:tcPr>
            <w:tcW w:w="1447" w:type="dxa"/>
            <w:tcBorders>
              <w:top w:val="single" w:sz="4" w:space="0" w:color="auto"/>
              <w:left w:val="single" w:sz="4" w:space="0" w:color="auto"/>
              <w:bottom w:val="single" w:sz="4" w:space="0" w:color="auto"/>
              <w:right w:val="single" w:sz="4" w:space="0" w:color="auto"/>
            </w:tcBorders>
            <w:hideMark/>
          </w:tcPr>
          <w:p w:rsidR="009B5F39" w:rsidRPr="003263E9" w:rsidRDefault="009B5F39" w:rsidP="00A45E60">
            <w:pPr>
              <w:rPr>
                <w:bCs/>
                <w:iCs/>
                <w:sz w:val="20"/>
              </w:rPr>
            </w:pPr>
            <w:proofErr w:type="spellStart"/>
            <w:r w:rsidRPr="003263E9">
              <w:rPr>
                <w:bCs/>
                <w:iCs/>
                <w:sz w:val="20"/>
              </w:rPr>
              <w:t>Vaskulære</w:t>
            </w:r>
            <w:proofErr w:type="spellEnd"/>
            <w:r w:rsidRPr="003263E9">
              <w:rPr>
                <w:bCs/>
                <w:iCs/>
                <w:sz w:val="20"/>
              </w:rPr>
              <w:t xml:space="preserve"> lidelser</w:t>
            </w:r>
          </w:p>
        </w:tc>
        <w:tc>
          <w:tcPr>
            <w:tcW w:w="1228" w:type="dxa"/>
            <w:tcBorders>
              <w:top w:val="single" w:sz="4" w:space="0" w:color="auto"/>
              <w:left w:val="single" w:sz="4" w:space="0" w:color="auto"/>
              <w:bottom w:val="single" w:sz="4" w:space="0" w:color="auto"/>
              <w:right w:val="single" w:sz="4" w:space="0" w:color="auto"/>
            </w:tcBorders>
          </w:tcPr>
          <w:p w:rsidR="009B5F39" w:rsidRPr="003263E9" w:rsidRDefault="009B5F39" w:rsidP="00A45E60">
            <w:pPr>
              <w:rPr>
                <w:sz w:val="20"/>
              </w:rPr>
            </w:pPr>
          </w:p>
        </w:tc>
        <w:tc>
          <w:tcPr>
            <w:tcW w:w="1890" w:type="dxa"/>
            <w:tcBorders>
              <w:top w:val="single" w:sz="4" w:space="0" w:color="auto"/>
              <w:left w:val="single" w:sz="4" w:space="0" w:color="auto"/>
              <w:bottom w:val="single" w:sz="4" w:space="0" w:color="auto"/>
              <w:right w:val="single" w:sz="4" w:space="0" w:color="auto"/>
            </w:tcBorders>
            <w:hideMark/>
          </w:tcPr>
          <w:p w:rsidR="009B5F39" w:rsidRPr="003263E9" w:rsidRDefault="009B5F39" w:rsidP="00A45E60">
            <w:pPr>
              <w:rPr>
                <w:sz w:val="20"/>
              </w:rPr>
            </w:pPr>
            <w:r w:rsidRPr="003263E9">
              <w:rPr>
                <w:sz w:val="20"/>
              </w:rPr>
              <w:t xml:space="preserve">Hypotension (inklusive </w:t>
            </w:r>
            <w:proofErr w:type="spellStart"/>
            <w:r w:rsidRPr="003263E9">
              <w:rPr>
                <w:sz w:val="20"/>
              </w:rPr>
              <w:t>ortostatisk</w:t>
            </w:r>
            <w:proofErr w:type="spellEnd"/>
            <w:r w:rsidRPr="003263E9">
              <w:rPr>
                <w:sz w:val="20"/>
              </w:rPr>
              <w:t xml:space="preserve"> hypotension)</w:t>
            </w:r>
          </w:p>
        </w:tc>
        <w:tc>
          <w:tcPr>
            <w:tcW w:w="1481" w:type="dxa"/>
            <w:tcBorders>
              <w:top w:val="single" w:sz="4" w:space="0" w:color="auto"/>
              <w:left w:val="single" w:sz="4" w:space="0" w:color="auto"/>
              <w:bottom w:val="single" w:sz="4" w:space="0" w:color="auto"/>
              <w:right w:val="single" w:sz="4" w:space="0" w:color="auto"/>
            </w:tcBorders>
            <w:hideMark/>
          </w:tcPr>
          <w:p w:rsidR="009B5F39" w:rsidRPr="003263E9" w:rsidRDefault="009B5F39" w:rsidP="00A45E60">
            <w:pPr>
              <w:ind w:left="-57"/>
              <w:rPr>
                <w:sz w:val="20"/>
              </w:rPr>
            </w:pPr>
            <w:r w:rsidRPr="003263E9">
              <w:rPr>
                <w:sz w:val="20"/>
              </w:rPr>
              <w:t xml:space="preserve">Rødmen, </w:t>
            </w:r>
            <w:proofErr w:type="spellStart"/>
            <w:r w:rsidRPr="003263E9">
              <w:rPr>
                <w:sz w:val="20"/>
              </w:rPr>
              <w:t>ortostatisk</w:t>
            </w:r>
            <w:proofErr w:type="spellEnd"/>
            <w:r w:rsidRPr="003263E9">
              <w:rPr>
                <w:sz w:val="20"/>
              </w:rPr>
              <w:t xml:space="preserve"> hypotension</w:t>
            </w:r>
          </w:p>
        </w:tc>
        <w:tc>
          <w:tcPr>
            <w:tcW w:w="1745" w:type="dxa"/>
            <w:tcBorders>
              <w:top w:val="single" w:sz="4" w:space="0" w:color="auto"/>
              <w:left w:val="single" w:sz="4" w:space="0" w:color="auto"/>
              <w:bottom w:val="single" w:sz="4" w:space="0" w:color="auto"/>
              <w:right w:val="single" w:sz="4" w:space="0" w:color="auto"/>
            </w:tcBorders>
            <w:hideMark/>
          </w:tcPr>
          <w:p w:rsidR="009B5F39" w:rsidRPr="003263E9" w:rsidRDefault="009B5F39" w:rsidP="00D8551D">
            <w:pPr>
              <w:ind w:left="-10"/>
              <w:rPr>
                <w:sz w:val="20"/>
              </w:rPr>
            </w:pPr>
            <w:proofErr w:type="spellStart"/>
            <w:r w:rsidRPr="003263E9">
              <w:rPr>
                <w:sz w:val="20"/>
              </w:rPr>
              <w:t>Raynauds</w:t>
            </w:r>
            <w:proofErr w:type="spellEnd"/>
            <w:r w:rsidRPr="003263E9">
              <w:rPr>
                <w:sz w:val="20"/>
              </w:rPr>
              <w:t xml:space="preserve"> fænomen</w:t>
            </w:r>
          </w:p>
        </w:tc>
        <w:tc>
          <w:tcPr>
            <w:tcW w:w="1200" w:type="dxa"/>
            <w:tcBorders>
              <w:top w:val="single" w:sz="4" w:space="0" w:color="auto"/>
              <w:left w:val="single" w:sz="4" w:space="0" w:color="auto"/>
              <w:bottom w:val="single" w:sz="4" w:space="0" w:color="auto"/>
              <w:right w:val="single" w:sz="4" w:space="0" w:color="auto"/>
            </w:tcBorders>
          </w:tcPr>
          <w:p w:rsidR="009B5F39" w:rsidRPr="003263E9" w:rsidRDefault="009B5F39" w:rsidP="00D8551D">
            <w:pPr>
              <w:ind w:left="31"/>
              <w:rPr>
                <w:sz w:val="20"/>
              </w:rPr>
            </w:pPr>
          </w:p>
        </w:tc>
        <w:tc>
          <w:tcPr>
            <w:tcW w:w="1244" w:type="dxa"/>
            <w:tcBorders>
              <w:top w:val="single" w:sz="4" w:space="0" w:color="auto"/>
              <w:left w:val="single" w:sz="4" w:space="0" w:color="auto"/>
              <w:bottom w:val="single" w:sz="4" w:space="0" w:color="auto"/>
              <w:right w:val="single" w:sz="4" w:space="0" w:color="auto"/>
            </w:tcBorders>
          </w:tcPr>
          <w:p w:rsidR="009B5F39" w:rsidRPr="003263E9" w:rsidRDefault="009B5F39" w:rsidP="00D8551D">
            <w:pPr>
              <w:ind w:left="25"/>
              <w:rPr>
                <w:sz w:val="20"/>
              </w:rPr>
            </w:pPr>
          </w:p>
        </w:tc>
      </w:tr>
      <w:tr w:rsidR="00D8551D" w:rsidRPr="003263E9" w:rsidTr="003263E9">
        <w:tc>
          <w:tcPr>
            <w:tcW w:w="1447" w:type="dxa"/>
            <w:tcBorders>
              <w:top w:val="single" w:sz="4" w:space="0" w:color="auto"/>
              <w:left w:val="single" w:sz="4" w:space="0" w:color="auto"/>
              <w:bottom w:val="single" w:sz="4" w:space="0" w:color="auto"/>
              <w:right w:val="single" w:sz="4" w:space="0" w:color="auto"/>
            </w:tcBorders>
            <w:hideMark/>
          </w:tcPr>
          <w:p w:rsidR="009B5F39" w:rsidRPr="003263E9" w:rsidRDefault="009B5F39" w:rsidP="00A45E60">
            <w:pPr>
              <w:rPr>
                <w:bCs/>
                <w:iCs/>
                <w:sz w:val="20"/>
              </w:rPr>
            </w:pPr>
            <w:r w:rsidRPr="003263E9">
              <w:rPr>
                <w:bCs/>
                <w:iCs/>
                <w:sz w:val="20"/>
              </w:rPr>
              <w:t xml:space="preserve">Luftveje, thorax og </w:t>
            </w:r>
            <w:proofErr w:type="spellStart"/>
            <w:r w:rsidRPr="003263E9">
              <w:rPr>
                <w:bCs/>
                <w:iCs/>
                <w:sz w:val="20"/>
              </w:rPr>
              <w:t>mediastinum</w:t>
            </w:r>
            <w:proofErr w:type="spellEnd"/>
          </w:p>
        </w:tc>
        <w:tc>
          <w:tcPr>
            <w:tcW w:w="1228" w:type="dxa"/>
            <w:tcBorders>
              <w:top w:val="single" w:sz="4" w:space="0" w:color="auto"/>
              <w:left w:val="single" w:sz="4" w:space="0" w:color="auto"/>
              <w:bottom w:val="single" w:sz="4" w:space="0" w:color="auto"/>
              <w:right w:val="single" w:sz="4" w:space="0" w:color="auto"/>
            </w:tcBorders>
            <w:hideMark/>
          </w:tcPr>
          <w:p w:rsidR="009B5F39" w:rsidRPr="003263E9" w:rsidRDefault="009B5F39" w:rsidP="00A45E60">
            <w:pPr>
              <w:rPr>
                <w:sz w:val="20"/>
              </w:rPr>
            </w:pPr>
            <w:r w:rsidRPr="003263E9">
              <w:rPr>
                <w:sz w:val="20"/>
              </w:rPr>
              <w:t>Hoste</w:t>
            </w:r>
          </w:p>
        </w:tc>
        <w:tc>
          <w:tcPr>
            <w:tcW w:w="1890" w:type="dxa"/>
            <w:tcBorders>
              <w:top w:val="single" w:sz="4" w:space="0" w:color="auto"/>
              <w:left w:val="single" w:sz="4" w:space="0" w:color="auto"/>
              <w:bottom w:val="single" w:sz="4" w:space="0" w:color="auto"/>
              <w:right w:val="single" w:sz="4" w:space="0" w:color="auto"/>
            </w:tcBorders>
            <w:hideMark/>
          </w:tcPr>
          <w:p w:rsidR="009B5F39" w:rsidRPr="003263E9" w:rsidRDefault="009B5F39" w:rsidP="00A45E60">
            <w:pPr>
              <w:rPr>
                <w:sz w:val="20"/>
              </w:rPr>
            </w:pPr>
            <w:r w:rsidRPr="003263E9">
              <w:rPr>
                <w:sz w:val="20"/>
              </w:rPr>
              <w:t>Dyspnø</w:t>
            </w:r>
          </w:p>
        </w:tc>
        <w:tc>
          <w:tcPr>
            <w:tcW w:w="1481" w:type="dxa"/>
            <w:tcBorders>
              <w:top w:val="single" w:sz="4" w:space="0" w:color="auto"/>
              <w:left w:val="single" w:sz="4" w:space="0" w:color="auto"/>
              <w:bottom w:val="single" w:sz="4" w:space="0" w:color="auto"/>
              <w:right w:val="single" w:sz="4" w:space="0" w:color="auto"/>
            </w:tcBorders>
            <w:hideMark/>
          </w:tcPr>
          <w:p w:rsidR="009B5F39" w:rsidRPr="003263E9" w:rsidRDefault="009B5F39" w:rsidP="00A45E60">
            <w:pPr>
              <w:ind w:left="-57"/>
              <w:rPr>
                <w:sz w:val="20"/>
              </w:rPr>
            </w:pPr>
            <w:r w:rsidRPr="003263E9">
              <w:rPr>
                <w:sz w:val="20"/>
              </w:rPr>
              <w:t xml:space="preserve">Næseflåd, ondt i halsen og hæshed, </w:t>
            </w:r>
            <w:proofErr w:type="spellStart"/>
            <w:r w:rsidRPr="003263E9">
              <w:rPr>
                <w:sz w:val="20"/>
              </w:rPr>
              <w:t>bronko</w:t>
            </w:r>
            <w:proofErr w:type="spellEnd"/>
            <w:r w:rsidRPr="003263E9">
              <w:rPr>
                <w:sz w:val="20"/>
              </w:rPr>
              <w:t>-spasme/astma</w:t>
            </w:r>
          </w:p>
        </w:tc>
        <w:tc>
          <w:tcPr>
            <w:tcW w:w="1745" w:type="dxa"/>
            <w:tcBorders>
              <w:top w:val="single" w:sz="4" w:space="0" w:color="auto"/>
              <w:left w:val="single" w:sz="4" w:space="0" w:color="auto"/>
              <w:bottom w:val="single" w:sz="4" w:space="0" w:color="auto"/>
              <w:right w:val="single" w:sz="4" w:space="0" w:color="auto"/>
            </w:tcBorders>
            <w:hideMark/>
          </w:tcPr>
          <w:p w:rsidR="009B5F39" w:rsidRPr="003263E9" w:rsidRDefault="009B5F39" w:rsidP="00D8551D">
            <w:pPr>
              <w:ind w:left="-10"/>
              <w:rPr>
                <w:sz w:val="20"/>
              </w:rPr>
            </w:pPr>
            <w:r w:rsidRPr="003263E9">
              <w:rPr>
                <w:sz w:val="20"/>
              </w:rPr>
              <w:t>Lunge-</w:t>
            </w:r>
            <w:proofErr w:type="spellStart"/>
            <w:r w:rsidRPr="003263E9">
              <w:rPr>
                <w:sz w:val="20"/>
              </w:rPr>
              <w:t>infiltrater</w:t>
            </w:r>
            <w:proofErr w:type="spellEnd"/>
            <w:r w:rsidRPr="003263E9">
              <w:rPr>
                <w:sz w:val="20"/>
              </w:rPr>
              <w:t xml:space="preserve">, </w:t>
            </w:r>
            <w:proofErr w:type="spellStart"/>
            <w:r w:rsidRPr="003263E9">
              <w:rPr>
                <w:sz w:val="20"/>
              </w:rPr>
              <w:t>rhinitis</w:t>
            </w:r>
            <w:proofErr w:type="spellEnd"/>
            <w:r w:rsidRPr="003263E9">
              <w:rPr>
                <w:sz w:val="20"/>
              </w:rPr>
              <w:t xml:space="preserve">, allergisk </w:t>
            </w:r>
            <w:proofErr w:type="spellStart"/>
            <w:r w:rsidRPr="003263E9">
              <w:rPr>
                <w:sz w:val="20"/>
              </w:rPr>
              <w:t>alveolitis</w:t>
            </w:r>
            <w:proofErr w:type="spellEnd"/>
            <w:r w:rsidRPr="003263E9">
              <w:rPr>
                <w:sz w:val="20"/>
              </w:rPr>
              <w:t>/</w:t>
            </w:r>
            <w:proofErr w:type="spellStart"/>
            <w:r w:rsidRPr="003263E9">
              <w:rPr>
                <w:sz w:val="20"/>
              </w:rPr>
              <w:t>eosinofil</w:t>
            </w:r>
            <w:proofErr w:type="spellEnd"/>
            <w:r w:rsidRPr="003263E9">
              <w:rPr>
                <w:sz w:val="20"/>
              </w:rPr>
              <w:t>, pneumoni</w:t>
            </w:r>
          </w:p>
        </w:tc>
        <w:tc>
          <w:tcPr>
            <w:tcW w:w="1200" w:type="dxa"/>
            <w:tcBorders>
              <w:top w:val="single" w:sz="4" w:space="0" w:color="auto"/>
              <w:left w:val="single" w:sz="4" w:space="0" w:color="auto"/>
              <w:bottom w:val="single" w:sz="4" w:space="0" w:color="auto"/>
              <w:right w:val="single" w:sz="4" w:space="0" w:color="auto"/>
            </w:tcBorders>
          </w:tcPr>
          <w:p w:rsidR="009B5F39" w:rsidRPr="003263E9" w:rsidRDefault="009B5F39" w:rsidP="00D8551D">
            <w:pPr>
              <w:ind w:left="31"/>
              <w:rPr>
                <w:sz w:val="20"/>
              </w:rPr>
            </w:pPr>
          </w:p>
        </w:tc>
        <w:tc>
          <w:tcPr>
            <w:tcW w:w="1244" w:type="dxa"/>
            <w:tcBorders>
              <w:top w:val="single" w:sz="4" w:space="0" w:color="auto"/>
              <w:left w:val="single" w:sz="4" w:space="0" w:color="auto"/>
              <w:bottom w:val="single" w:sz="4" w:space="0" w:color="auto"/>
              <w:right w:val="single" w:sz="4" w:space="0" w:color="auto"/>
            </w:tcBorders>
          </w:tcPr>
          <w:p w:rsidR="009B5F39" w:rsidRPr="003263E9" w:rsidRDefault="009B5F39" w:rsidP="00D8551D">
            <w:pPr>
              <w:ind w:left="25"/>
              <w:rPr>
                <w:sz w:val="20"/>
              </w:rPr>
            </w:pPr>
          </w:p>
        </w:tc>
      </w:tr>
      <w:tr w:rsidR="00D8551D" w:rsidRPr="003263E9" w:rsidTr="003263E9">
        <w:tc>
          <w:tcPr>
            <w:tcW w:w="1447" w:type="dxa"/>
            <w:tcBorders>
              <w:top w:val="single" w:sz="4" w:space="0" w:color="auto"/>
              <w:left w:val="single" w:sz="4" w:space="0" w:color="auto"/>
              <w:bottom w:val="single" w:sz="4" w:space="0" w:color="auto"/>
              <w:right w:val="single" w:sz="4" w:space="0" w:color="auto"/>
            </w:tcBorders>
            <w:hideMark/>
          </w:tcPr>
          <w:p w:rsidR="009B5F39" w:rsidRPr="003263E9" w:rsidRDefault="009B5F39" w:rsidP="00A45E60">
            <w:pPr>
              <w:rPr>
                <w:bCs/>
                <w:iCs/>
                <w:sz w:val="20"/>
              </w:rPr>
            </w:pPr>
            <w:r w:rsidRPr="003263E9">
              <w:rPr>
                <w:bCs/>
                <w:iCs/>
                <w:sz w:val="20"/>
              </w:rPr>
              <w:t>Mave-tarm-kanalen</w:t>
            </w:r>
          </w:p>
        </w:tc>
        <w:tc>
          <w:tcPr>
            <w:tcW w:w="1228" w:type="dxa"/>
            <w:tcBorders>
              <w:top w:val="single" w:sz="4" w:space="0" w:color="auto"/>
              <w:left w:val="single" w:sz="4" w:space="0" w:color="auto"/>
              <w:bottom w:val="single" w:sz="4" w:space="0" w:color="auto"/>
              <w:right w:val="single" w:sz="4" w:space="0" w:color="auto"/>
            </w:tcBorders>
            <w:hideMark/>
          </w:tcPr>
          <w:p w:rsidR="009B5F39" w:rsidRPr="003263E9" w:rsidRDefault="009B5F39" w:rsidP="00A45E60">
            <w:pPr>
              <w:rPr>
                <w:sz w:val="20"/>
              </w:rPr>
            </w:pPr>
            <w:r w:rsidRPr="003263E9">
              <w:rPr>
                <w:sz w:val="20"/>
              </w:rPr>
              <w:t>Kvalme</w:t>
            </w:r>
          </w:p>
        </w:tc>
        <w:tc>
          <w:tcPr>
            <w:tcW w:w="1890" w:type="dxa"/>
            <w:tcBorders>
              <w:top w:val="single" w:sz="4" w:space="0" w:color="auto"/>
              <w:left w:val="single" w:sz="4" w:space="0" w:color="auto"/>
              <w:bottom w:val="single" w:sz="4" w:space="0" w:color="auto"/>
              <w:right w:val="single" w:sz="4" w:space="0" w:color="auto"/>
            </w:tcBorders>
            <w:hideMark/>
          </w:tcPr>
          <w:p w:rsidR="009B5F39" w:rsidRPr="003263E9" w:rsidRDefault="009B5F39" w:rsidP="00A45E60">
            <w:pPr>
              <w:rPr>
                <w:sz w:val="20"/>
              </w:rPr>
            </w:pPr>
            <w:r w:rsidRPr="003263E9">
              <w:rPr>
                <w:sz w:val="20"/>
              </w:rPr>
              <w:t xml:space="preserve">Diarré, </w:t>
            </w:r>
            <w:proofErr w:type="spellStart"/>
            <w:r w:rsidRPr="003263E9">
              <w:rPr>
                <w:sz w:val="20"/>
              </w:rPr>
              <w:t>abdominal</w:t>
            </w:r>
            <w:proofErr w:type="spellEnd"/>
            <w:r w:rsidRPr="003263E9">
              <w:rPr>
                <w:sz w:val="20"/>
              </w:rPr>
              <w:t>-smerter</w:t>
            </w:r>
          </w:p>
        </w:tc>
        <w:tc>
          <w:tcPr>
            <w:tcW w:w="1481" w:type="dxa"/>
            <w:tcBorders>
              <w:top w:val="single" w:sz="4" w:space="0" w:color="auto"/>
              <w:left w:val="single" w:sz="4" w:space="0" w:color="auto"/>
              <w:bottom w:val="single" w:sz="4" w:space="0" w:color="auto"/>
              <w:right w:val="single" w:sz="4" w:space="0" w:color="auto"/>
            </w:tcBorders>
            <w:hideMark/>
          </w:tcPr>
          <w:p w:rsidR="009B5F39" w:rsidRPr="003263E9" w:rsidRDefault="009B5F39" w:rsidP="00A45E60">
            <w:pPr>
              <w:ind w:left="-57"/>
              <w:rPr>
                <w:sz w:val="20"/>
              </w:rPr>
            </w:pPr>
            <w:proofErr w:type="spellStart"/>
            <w:r w:rsidRPr="003263E9">
              <w:rPr>
                <w:sz w:val="20"/>
              </w:rPr>
              <w:t>Ileus</w:t>
            </w:r>
            <w:proofErr w:type="spellEnd"/>
            <w:r w:rsidRPr="003263E9">
              <w:rPr>
                <w:sz w:val="20"/>
              </w:rPr>
              <w:t xml:space="preserve">, </w:t>
            </w:r>
            <w:proofErr w:type="spellStart"/>
            <w:r w:rsidRPr="003263E9">
              <w:rPr>
                <w:sz w:val="20"/>
              </w:rPr>
              <w:t>pancreatitis</w:t>
            </w:r>
            <w:proofErr w:type="spellEnd"/>
            <w:r w:rsidRPr="003263E9">
              <w:rPr>
                <w:sz w:val="20"/>
              </w:rPr>
              <w:t xml:space="preserve">, opkastning, dyspepsi, konstipation, anoreksi, </w:t>
            </w:r>
            <w:proofErr w:type="spellStart"/>
            <w:r w:rsidRPr="003263E9">
              <w:rPr>
                <w:sz w:val="20"/>
              </w:rPr>
              <w:t>epigastriske</w:t>
            </w:r>
            <w:proofErr w:type="spellEnd"/>
            <w:r w:rsidRPr="003263E9">
              <w:rPr>
                <w:sz w:val="20"/>
              </w:rPr>
              <w:t xml:space="preserve"> gener, tør mund, mavesår</w:t>
            </w:r>
          </w:p>
        </w:tc>
        <w:tc>
          <w:tcPr>
            <w:tcW w:w="1745" w:type="dxa"/>
            <w:tcBorders>
              <w:top w:val="single" w:sz="4" w:space="0" w:color="auto"/>
              <w:left w:val="single" w:sz="4" w:space="0" w:color="auto"/>
              <w:bottom w:val="single" w:sz="4" w:space="0" w:color="auto"/>
              <w:right w:val="single" w:sz="4" w:space="0" w:color="auto"/>
            </w:tcBorders>
            <w:hideMark/>
          </w:tcPr>
          <w:p w:rsidR="009B5F39" w:rsidRPr="003263E9" w:rsidRDefault="009B5F39" w:rsidP="00D8551D">
            <w:pPr>
              <w:ind w:left="-10"/>
              <w:rPr>
                <w:sz w:val="20"/>
              </w:rPr>
            </w:pPr>
            <w:proofErr w:type="spellStart"/>
            <w:r w:rsidRPr="003263E9">
              <w:rPr>
                <w:sz w:val="20"/>
              </w:rPr>
              <w:t>Stomatitis</w:t>
            </w:r>
            <w:proofErr w:type="spellEnd"/>
            <w:r w:rsidRPr="003263E9">
              <w:rPr>
                <w:sz w:val="20"/>
              </w:rPr>
              <w:t>/</w:t>
            </w:r>
            <w:proofErr w:type="spellStart"/>
            <w:r w:rsidRPr="003263E9">
              <w:rPr>
                <w:sz w:val="20"/>
              </w:rPr>
              <w:t>aftøs</w:t>
            </w:r>
            <w:proofErr w:type="spellEnd"/>
            <w:r w:rsidRPr="003263E9">
              <w:rPr>
                <w:sz w:val="20"/>
              </w:rPr>
              <w:t xml:space="preserve"> </w:t>
            </w:r>
            <w:proofErr w:type="spellStart"/>
            <w:r w:rsidRPr="003263E9">
              <w:rPr>
                <w:sz w:val="20"/>
              </w:rPr>
              <w:t>ulceration</w:t>
            </w:r>
            <w:proofErr w:type="spellEnd"/>
            <w:r w:rsidRPr="003263E9">
              <w:rPr>
                <w:sz w:val="20"/>
              </w:rPr>
              <w:t xml:space="preserve">, </w:t>
            </w:r>
            <w:proofErr w:type="spellStart"/>
            <w:r w:rsidRPr="003263E9">
              <w:rPr>
                <w:sz w:val="20"/>
              </w:rPr>
              <w:t>glossitis</w:t>
            </w:r>
            <w:proofErr w:type="spellEnd"/>
          </w:p>
        </w:tc>
        <w:tc>
          <w:tcPr>
            <w:tcW w:w="1200" w:type="dxa"/>
            <w:tcBorders>
              <w:top w:val="single" w:sz="4" w:space="0" w:color="auto"/>
              <w:left w:val="single" w:sz="4" w:space="0" w:color="auto"/>
              <w:bottom w:val="single" w:sz="4" w:space="0" w:color="auto"/>
              <w:right w:val="single" w:sz="4" w:space="0" w:color="auto"/>
            </w:tcBorders>
            <w:hideMark/>
          </w:tcPr>
          <w:p w:rsidR="009B5F39" w:rsidRPr="003263E9" w:rsidRDefault="009B5F39" w:rsidP="00D8551D">
            <w:pPr>
              <w:ind w:left="31"/>
              <w:rPr>
                <w:sz w:val="20"/>
              </w:rPr>
            </w:pPr>
            <w:proofErr w:type="spellStart"/>
            <w:r w:rsidRPr="003263E9">
              <w:rPr>
                <w:sz w:val="20"/>
              </w:rPr>
              <w:t>Intestinalt</w:t>
            </w:r>
            <w:proofErr w:type="spellEnd"/>
            <w:r w:rsidRPr="003263E9">
              <w:rPr>
                <w:sz w:val="20"/>
              </w:rPr>
              <w:t xml:space="preserve"> </w:t>
            </w:r>
            <w:proofErr w:type="spellStart"/>
            <w:r w:rsidRPr="003263E9">
              <w:rPr>
                <w:sz w:val="20"/>
              </w:rPr>
              <w:t>angioødem</w:t>
            </w:r>
            <w:proofErr w:type="spellEnd"/>
          </w:p>
        </w:tc>
        <w:tc>
          <w:tcPr>
            <w:tcW w:w="1244" w:type="dxa"/>
            <w:tcBorders>
              <w:top w:val="single" w:sz="4" w:space="0" w:color="auto"/>
              <w:left w:val="single" w:sz="4" w:space="0" w:color="auto"/>
              <w:bottom w:val="single" w:sz="4" w:space="0" w:color="auto"/>
              <w:right w:val="single" w:sz="4" w:space="0" w:color="auto"/>
            </w:tcBorders>
          </w:tcPr>
          <w:p w:rsidR="009B5F39" w:rsidRPr="003263E9" w:rsidRDefault="009B5F39" w:rsidP="00D8551D">
            <w:pPr>
              <w:ind w:left="25"/>
              <w:rPr>
                <w:sz w:val="20"/>
              </w:rPr>
            </w:pPr>
          </w:p>
        </w:tc>
      </w:tr>
      <w:tr w:rsidR="00D8551D" w:rsidRPr="003263E9" w:rsidTr="003263E9">
        <w:tc>
          <w:tcPr>
            <w:tcW w:w="1447" w:type="dxa"/>
            <w:tcBorders>
              <w:top w:val="single" w:sz="4" w:space="0" w:color="auto"/>
              <w:left w:val="single" w:sz="4" w:space="0" w:color="auto"/>
              <w:bottom w:val="single" w:sz="4" w:space="0" w:color="auto"/>
              <w:right w:val="single" w:sz="4" w:space="0" w:color="auto"/>
            </w:tcBorders>
            <w:hideMark/>
          </w:tcPr>
          <w:p w:rsidR="009B5F39" w:rsidRPr="003263E9" w:rsidRDefault="009B5F39" w:rsidP="00A45E60">
            <w:pPr>
              <w:rPr>
                <w:bCs/>
                <w:iCs/>
                <w:sz w:val="20"/>
              </w:rPr>
            </w:pPr>
            <w:r w:rsidRPr="003263E9">
              <w:rPr>
                <w:bCs/>
                <w:iCs/>
                <w:sz w:val="20"/>
              </w:rPr>
              <w:t>Lever og galdeveje</w:t>
            </w:r>
          </w:p>
        </w:tc>
        <w:tc>
          <w:tcPr>
            <w:tcW w:w="1228" w:type="dxa"/>
            <w:tcBorders>
              <w:top w:val="single" w:sz="4" w:space="0" w:color="auto"/>
              <w:left w:val="single" w:sz="4" w:space="0" w:color="auto"/>
              <w:bottom w:val="single" w:sz="4" w:space="0" w:color="auto"/>
              <w:right w:val="single" w:sz="4" w:space="0" w:color="auto"/>
            </w:tcBorders>
          </w:tcPr>
          <w:p w:rsidR="009B5F39" w:rsidRPr="003263E9" w:rsidRDefault="009B5F39" w:rsidP="00A45E60">
            <w:pPr>
              <w:rPr>
                <w:sz w:val="20"/>
              </w:rPr>
            </w:pPr>
          </w:p>
        </w:tc>
        <w:tc>
          <w:tcPr>
            <w:tcW w:w="1890" w:type="dxa"/>
            <w:tcBorders>
              <w:top w:val="single" w:sz="4" w:space="0" w:color="auto"/>
              <w:left w:val="single" w:sz="4" w:space="0" w:color="auto"/>
              <w:bottom w:val="single" w:sz="4" w:space="0" w:color="auto"/>
              <w:right w:val="single" w:sz="4" w:space="0" w:color="auto"/>
            </w:tcBorders>
          </w:tcPr>
          <w:p w:rsidR="009B5F39" w:rsidRPr="003263E9" w:rsidRDefault="009B5F39" w:rsidP="00A45E60">
            <w:pPr>
              <w:rPr>
                <w:sz w:val="20"/>
              </w:rPr>
            </w:pPr>
          </w:p>
        </w:tc>
        <w:tc>
          <w:tcPr>
            <w:tcW w:w="1481" w:type="dxa"/>
            <w:tcBorders>
              <w:top w:val="single" w:sz="4" w:space="0" w:color="auto"/>
              <w:left w:val="single" w:sz="4" w:space="0" w:color="auto"/>
              <w:bottom w:val="single" w:sz="4" w:space="0" w:color="auto"/>
              <w:right w:val="single" w:sz="4" w:space="0" w:color="auto"/>
            </w:tcBorders>
          </w:tcPr>
          <w:p w:rsidR="009B5F39" w:rsidRPr="003263E9" w:rsidRDefault="009B5F39" w:rsidP="00A45E60">
            <w:pPr>
              <w:ind w:left="-57"/>
              <w:rPr>
                <w:sz w:val="20"/>
              </w:rPr>
            </w:pPr>
          </w:p>
        </w:tc>
        <w:tc>
          <w:tcPr>
            <w:tcW w:w="1745" w:type="dxa"/>
            <w:tcBorders>
              <w:top w:val="single" w:sz="4" w:space="0" w:color="auto"/>
              <w:left w:val="single" w:sz="4" w:space="0" w:color="auto"/>
              <w:bottom w:val="single" w:sz="4" w:space="0" w:color="auto"/>
              <w:right w:val="single" w:sz="4" w:space="0" w:color="auto"/>
            </w:tcBorders>
            <w:hideMark/>
          </w:tcPr>
          <w:p w:rsidR="009B5F39" w:rsidRPr="003263E9" w:rsidRDefault="009B5F39" w:rsidP="00D8551D">
            <w:pPr>
              <w:ind w:left="-10"/>
              <w:rPr>
                <w:sz w:val="20"/>
              </w:rPr>
            </w:pPr>
            <w:r w:rsidRPr="003263E9">
              <w:rPr>
                <w:sz w:val="20"/>
              </w:rPr>
              <w:t xml:space="preserve">Leverinsufficiens, hepatitis – enten </w:t>
            </w:r>
            <w:proofErr w:type="spellStart"/>
            <w:r w:rsidRPr="003263E9">
              <w:rPr>
                <w:sz w:val="20"/>
              </w:rPr>
              <w:t>hepatocellulær</w:t>
            </w:r>
            <w:proofErr w:type="spellEnd"/>
            <w:r w:rsidRPr="003263E9">
              <w:rPr>
                <w:sz w:val="20"/>
              </w:rPr>
              <w:t xml:space="preserve"> eller </w:t>
            </w:r>
            <w:proofErr w:type="spellStart"/>
            <w:r w:rsidRPr="003263E9">
              <w:rPr>
                <w:sz w:val="20"/>
              </w:rPr>
              <w:t>cholestatisk</w:t>
            </w:r>
            <w:proofErr w:type="spellEnd"/>
            <w:r w:rsidRPr="003263E9">
              <w:rPr>
                <w:sz w:val="20"/>
              </w:rPr>
              <w:t xml:space="preserve">, hepatitis inklusive nekrose, </w:t>
            </w:r>
            <w:proofErr w:type="spellStart"/>
            <w:r w:rsidRPr="003263E9">
              <w:rPr>
                <w:sz w:val="20"/>
              </w:rPr>
              <w:t>cholestase</w:t>
            </w:r>
            <w:proofErr w:type="spellEnd"/>
            <w:r w:rsidRPr="003263E9">
              <w:rPr>
                <w:sz w:val="20"/>
              </w:rPr>
              <w:t xml:space="preserve"> (inklusive </w:t>
            </w:r>
            <w:proofErr w:type="spellStart"/>
            <w:r w:rsidRPr="003263E9">
              <w:rPr>
                <w:sz w:val="20"/>
              </w:rPr>
              <w:t>icterus</w:t>
            </w:r>
            <w:proofErr w:type="spellEnd"/>
            <w:r w:rsidRPr="003263E9">
              <w:rPr>
                <w:sz w:val="20"/>
              </w:rPr>
              <w:t>)</w:t>
            </w:r>
          </w:p>
        </w:tc>
        <w:tc>
          <w:tcPr>
            <w:tcW w:w="1200" w:type="dxa"/>
            <w:tcBorders>
              <w:top w:val="single" w:sz="4" w:space="0" w:color="auto"/>
              <w:left w:val="single" w:sz="4" w:space="0" w:color="auto"/>
              <w:bottom w:val="single" w:sz="4" w:space="0" w:color="auto"/>
              <w:right w:val="single" w:sz="4" w:space="0" w:color="auto"/>
            </w:tcBorders>
          </w:tcPr>
          <w:p w:rsidR="009B5F39" w:rsidRPr="003263E9" w:rsidRDefault="009B5F39" w:rsidP="00D8551D">
            <w:pPr>
              <w:ind w:left="31"/>
              <w:rPr>
                <w:sz w:val="20"/>
              </w:rPr>
            </w:pPr>
          </w:p>
        </w:tc>
        <w:tc>
          <w:tcPr>
            <w:tcW w:w="1244" w:type="dxa"/>
            <w:tcBorders>
              <w:top w:val="single" w:sz="4" w:space="0" w:color="auto"/>
              <w:left w:val="single" w:sz="4" w:space="0" w:color="auto"/>
              <w:bottom w:val="single" w:sz="4" w:space="0" w:color="auto"/>
              <w:right w:val="single" w:sz="4" w:space="0" w:color="auto"/>
            </w:tcBorders>
          </w:tcPr>
          <w:p w:rsidR="009B5F39" w:rsidRPr="003263E9" w:rsidRDefault="009B5F39" w:rsidP="00D8551D">
            <w:pPr>
              <w:ind w:left="25"/>
              <w:rPr>
                <w:sz w:val="20"/>
              </w:rPr>
            </w:pPr>
          </w:p>
        </w:tc>
      </w:tr>
      <w:tr w:rsidR="00D8551D" w:rsidRPr="003263E9" w:rsidTr="003263E9">
        <w:tc>
          <w:tcPr>
            <w:tcW w:w="1447" w:type="dxa"/>
            <w:tcBorders>
              <w:top w:val="single" w:sz="4" w:space="0" w:color="auto"/>
              <w:left w:val="single" w:sz="4" w:space="0" w:color="auto"/>
              <w:bottom w:val="single" w:sz="4" w:space="0" w:color="auto"/>
              <w:right w:val="single" w:sz="4" w:space="0" w:color="auto"/>
            </w:tcBorders>
            <w:hideMark/>
          </w:tcPr>
          <w:p w:rsidR="009B5F39" w:rsidRPr="003263E9" w:rsidRDefault="009B5F39" w:rsidP="00A45E60">
            <w:pPr>
              <w:rPr>
                <w:bCs/>
                <w:iCs/>
                <w:sz w:val="20"/>
              </w:rPr>
            </w:pPr>
            <w:r w:rsidRPr="003263E9">
              <w:rPr>
                <w:bCs/>
                <w:iCs/>
                <w:sz w:val="20"/>
              </w:rPr>
              <w:t>Hud og subkutane væv</w:t>
            </w:r>
          </w:p>
        </w:tc>
        <w:tc>
          <w:tcPr>
            <w:tcW w:w="1228" w:type="dxa"/>
            <w:tcBorders>
              <w:top w:val="single" w:sz="4" w:space="0" w:color="auto"/>
              <w:left w:val="single" w:sz="4" w:space="0" w:color="auto"/>
              <w:bottom w:val="single" w:sz="4" w:space="0" w:color="auto"/>
              <w:right w:val="single" w:sz="4" w:space="0" w:color="auto"/>
            </w:tcBorders>
          </w:tcPr>
          <w:p w:rsidR="009B5F39" w:rsidRPr="003263E9" w:rsidRDefault="009B5F39" w:rsidP="00A45E60">
            <w:pPr>
              <w:rPr>
                <w:sz w:val="20"/>
              </w:rPr>
            </w:pPr>
          </w:p>
        </w:tc>
        <w:tc>
          <w:tcPr>
            <w:tcW w:w="1890" w:type="dxa"/>
            <w:tcBorders>
              <w:top w:val="single" w:sz="4" w:space="0" w:color="auto"/>
              <w:left w:val="single" w:sz="4" w:space="0" w:color="auto"/>
              <w:bottom w:val="single" w:sz="4" w:space="0" w:color="auto"/>
              <w:right w:val="single" w:sz="4" w:space="0" w:color="auto"/>
            </w:tcBorders>
            <w:hideMark/>
          </w:tcPr>
          <w:p w:rsidR="009B5F39" w:rsidRPr="003263E9" w:rsidRDefault="009B5F39" w:rsidP="00A45E60">
            <w:pPr>
              <w:rPr>
                <w:sz w:val="20"/>
              </w:rPr>
            </w:pPr>
            <w:r w:rsidRPr="003263E9">
              <w:rPr>
                <w:sz w:val="20"/>
              </w:rPr>
              <w:t>Udslæt, overfølsomhed/</w:t>
            </w:r>
            <w:proofErr w:type="spellStart"/>
            <w:r w:rsidRPr="003263E9">
              <w:rPr>
                <w:sz w:val="20"/>
              </w:rPr>
              <w:t>angioødem</w:t>
            </w:r>
            <w:proofErr w:type="spellEnd"/>
            <w:r w:rsidRPr="003263E9">
              <w:rPr>
                <w:sz w:val="20"/>
              </w:rPr>
              <w:t xml:space="preserve">: Der er indberettet </w:t>
            </w:r>
            <w:proofErr w:type="spellStart"/>
            <w:r w:rsidRPr="003263E9">
              <w:rPr>
                <w:sz w:val="20"/>
              </w:rPr>
              <w:lastRenderedPageBreak/>
              <w:t>angioødem</w:t>
            </w:r>
            <w:proofErr w:type="spellEnd"/>
            <w:r w:rsidRPr="003263E9">
              <w:rPr>
                <w:sz w:val="20"/>
              </w:rPr>
              <w:t xml:space="preserve"> i ansigt, ekstremiteter, læber, tunge, </w:t>
            </w:r>
            <w:proofErr w:type="spellStart"/>
            <w:r w:rsidRPr="003263E9">
              <w:rPr>
                <w:sz w:val="20"/>
              </w:rPr>
              <w:t>glottis</w:t>
            </w:r>
            <w:proofErr w:type="spellEnd"/>
            <w:r w:rsidRPr="003263E9">
              <w:rPr>
                <w:sz w:val="20"/>
              </w:rPr>
              <w:t xml:space="preserve"> og/eller </w:t>
            </w:r>
            <w:proofErr w:type="spellStart"/>
            <w:r w:rsidRPr="003263E9">
              <w:rPr>
                <w:sz w:val="20"/>
              </w:rPr>
              <w:t>larynx</w:t>
            </w:r>
            <w:proofErr w:type="spellEnd"/>
            <w:r w:rsidRPr="003263E9">
              <w:rPr>
                <w:sz w:val="20"/>
              </w:rPr>
              <w:t xml:space="preserve"> (se pkt. 4.4)</w:t>
            </w:r>
          </w:p>
        </w:tc>
        <w:tc>
          <w:tcPr>
            <w:tcW w:w="1481" w:type="dxa"/>
            <w:tcBorders>
              <w:top w:val="single" w:sz="4" w:space="0" w:color="auto"/>
              <w:left w:val="single" w:sz="4" w:space="0" w:color="auto"/>
              <w:bottom w:val="single" w:sz="4" w:space="0" w:color="auto"/>
              <w:right w:val="single" w:sz="4" w:space="0" w:color="auto"/>
            </w:tcBorders>
            <w:hideMark/>
          </w:tcPr>
          <w:p w:rsidR="009B5F39" w:rsidRPr="003263E9" w:rsidRDefault="009B5F39" w:rsidP="00A45E60">
            <w:pPr>
              <w:ind w:left="-57"/>
              <w:rPr>
                <w:sz w:val="20"/>
              </w:rPr>
            </w:pPr>
            <w:proofErr w:type="spellStart"/>
            <w:r w:rsidRPr="003263E9">
              <w:rPr>
                <w:sz w:val="20"/>
              </w:rPr>
              <w:lastRenderedPageBreak/>
              <w:t>Diaforese</w:t>
            </w:r>
            <w:proofErr w:type="spellEnd"/>
            <w:r w:rsidRPr="003263E9">
              <w:rPr>
                <w:sz w:val="20"/>
              </w:rPr>
              <w:t xml:space="preserve">, </w:t>
            </w:r>
            <w:proofErr w:type="spellStart"/>
            <w:r w:rsidRPr="003263E9">
              <w:rPr>
                <w:sz w:val="20"/>
              </w:rPr>
              <w:t>pruritus</w:t>
            </w:r>
            <w:proofErr w:type="spellEnd"/>
            <w:r w:rsidRPr="003263E9">
              <w:rPr>
                <w:sz w:val="20"/>
              </w:rPr>
              <w:t xml:space="preserve">, </w:t>
            </w:r>
            <w:proofErr w:type="spellStart"/>
            <w:r w:rsidRPr="003263E9">
              <w:rPr>
                <w:sz w:val="20"/>
              </w:rPr>
              <w:t>urticaria</w:t>
            </w:r>
            <w:proofErr w:type="spellEnd"/>
            <w:r w:rsidRPr="003263E9">
              <w:rPr>
                <w:sz w:val="20"/>
              </w:rPr>
              <w:t xml:space="preserve">, </w:t>
            </w:r>
            <w:proofErr w:type="spellStart"/>
            <w:r w:rsidRPr="003263E9">
              <w:rPr>
                <w:sz w:val="20"/>
              </w:rPr>
              <w:t>alopeci</w:t>
            </w:r>
            <w:proofErr w:type="spellEnd"/>
          </w:p>
        </w:tc>
        <w:tc>
          <w:tcPr>
            <w:tcW w:w="1745" w:type="dxa"/>
            <w:tcBorders>
              <w:top w:val="single" w:sz="4" w:space="0" w:color="auto"/>
              <w:left w:val="single" w:sz="4" w:space="0" w:color="auto"/>
              <w:bottom w:val="single" w:sz="4" w:space="0" w:color="auto"/>
              <w:right w:val="single" w:sz="4" w:space="0" w:color="auto"/>
            </w:tcBorders>
            <w:hideMark/>
          </w:tcPr>
          <w:p w:rsidR="009B5F39" w:rsidRPr="003263E9" w:rsidRDefault="009B5F39" w:rsidP="00D8551D">
            <w:pPr>
              <w:ind w:left="-10"/>
              <w:rPr>
                <w:sz w:val="20"/>
              </w:rPr>
            </w:pPr>
            <w:proofErr w:type="spellStart"/>
            <w:r w:rsidRPr="003263E9">
              <w:rPr>
                <w:sz w:val="20"/>
              </w:rPr>
              <w:t>Erythema</w:t>
            </w:r>
            <w:proofErr w:type="spellEnd"/>
            <w:r w:rsidRPr="003263E9">
              <w:rPr>
                <w:sz w:val="20"/>
              </w:rPr>
              <w:t xml:space="preserve"> multiforme, Stevens-Johnson</w:t>
            </w:r>
            <w:r w:rsidR="0037259B">
              <w:rPr>
                <w:sz w:val="20"/>
              </w:rPr>
              <w:t>s</w:t>
            </w:r>
            <w:r w:rsidRPr="003263E9">
              <w:rPr>
                <w:sz w:val="20"/>
              </w:rPr>
              <w:t xml:space="preserve"> syndrom, </w:t>
            </w:r>
            <w:proofErr w:type="spellStart"/>
            <w:r w:rsidRPr="003263E9">
              <w:rPr>
                <w:sz w:val="20"/>
              </w:rPr>
              <w:lastRenderedPageBreak/>
              <w:t>exfoliativ</w:t>
            </w:r>
            <w:proofErr w:type="spellEnd"/>
            <w:r w:rsidRPr="003263E9">
              <w:rPr>
                <w:sz w:val="20"/>
              </w:rPr>
              <w:t xml:space="preserve"> </w:t>
            </w:r>
            <w:proofErr w:type="spellStart"/>
            <w:r w:rsidRPr="003263E9">
              <w:rPr>
                <w:sz w:val="20"/>
              </w:rPr>
              <w:t>dermatitis</w:t>
            </w:r>
            <w:proofErr w:type="spellEnd"/>
            <w:r w:rsidRPr="003263E9">
              <w:rPr>
                <w:sz w:val="20"/>
              </w:rPr>
              <w:t xml:space="preserve">, toksisk </w:t>
            </w:r>
            <w:proofErr w:type="spellStart"/>
            <w:r w:rsidRPr="003263E9">
              <w:rPr>
                <w:sz w:val="20"/>
              </w:rPr>
              <w:t>epidermal</w:t>
            </w:r>
            <w:proofErr w:type="spellEnd"/>
            <w:r w:rsidRPr="003263E9">
              <w:rPr>
                <w:sz w:val="20"/>
              </w:rPr>
              <w:t xml:space="preserve"> </w:t>
            </w:r>
            <w:proofErr w:type="spellStart"/>
            <w:r w:rsidRPr="003263E9">
              <w:rPr>
                <w:sz w:val="20"/>
              </w:rPr>
              <w:t>nekrolyse</w:t>
            </w:r>
            <w:proofErr w:type="spellEnd"/>
            <w:r w:rsidRPr="003263E9">
              <w:rPr>
                <w:sz w:val="20"/>
              </w:rPr>
              <w:t xml:space="preserve">, </w:t>
            </w:r>
            <w:proofErr w:type="spellStart"/>
            <w:r w:rsidRPr="003263E9">
              <w:rPr>
                <w:sz w:val="20"/>
              </w:rPr>
              <w:t>pemphigus</w:t>
            </w:r>
            <w:proofErr w:type="spellEnd"/>
            <w:r w:rsidRPr="003263E9">
              <w:rPr>
                <w:sz w:val="20"/>
              </w:rPr>
              <w:t xml:space="preserve">, </w:t>
            </w:r>
            <w:proofErr w:type="spellStart"/>
            <w:r w:rsidRPr="003263E9">
              <w:rPr>
                <w:sz w:val="20"/>
              </w:rPr>
              <w:t>erythroderma</w:t>
            </w:r>
            <w:proofErr w:type="spellEnd"/>
          </w:p>
        </w:tc>
        <w:tc>
          <w:tcPr>
            <w:tcW w:w="1200" w:type="dxa"/>
            <w:tcBorders>
              <w:top w:val="single" w:sz="4" w:space="0" w:color="auto"/>
              <w:left w:val="single" w:sz="4" w:space="0" w:color="auto"/>
              <w:bottom w:val="single" w:sz="4" w:space="0" w:color="auto"/>
              <w:right w:val="single" w:sz="4" w:space="0" w:color="auto"/>
            </w:tcBorders>
          </w:tcPr>
          <w:p w:rsidR="009B5F39" w:rsidRPr="003263E9" w:rsidRDefault="009B5F39" w:rsidP="00D8551D">
            <w:pPr>
              <w:ind w:left="31"/>
              <w:rPr>
                <w:sz w:val="20"/>
              </w:rPr>
            </w:pPr>
          </w:p>
        </w:tc>
        <w:tc>
          <w:tcPr>
            <w:tcW w:w="1244" w:type="dxa"/>
            <w:tcBorders>
              <w:top w:val="single" w:sz="4" w:space="0" w:color="auto"/>
              <w:left w:val="single" w:sz="4" w:space="0" w:color="auto"/>
              <w:bottom w:val="single" w:sz="4" w:space="0" w:color="auto"/>
              <w:right w:val="single" w:sz="4" w:space="0" w:color="auto"/>
            </w:tcBorders>
            <w:hideMark/>
          </w:tcPr>
          <w:p w:rsidR="009C3DCB" w:rsidRDefault="009B5F39" w:rsidP="00D8551D">
            <w:pPr>
              <w:ind w:left="25"/>
              <w:rPr>
                <w:sz w:val="20"/>
              </w:rPr>
            </w:pPr>
            <w:r w:rsidRPr="003263E9">
              <w:rPr>
                <w:sz w:val="20"/>
              </w:rPr>
              <w:t>Der er ind</w:t>
            </w:r>
            <w:r w:rsidR="009C3DCB">
              <w:rPr>
                <w:sz w:val="20"/>
              </w:rPr>
              <w:t>-</w:t>
            </w:r>
          </w:p>
          <w:p w:rsidR="009A1545" w:rsidRDefault="009B5F39" w:rsidP="00D8551D">
            <w:pPr>
              <w:ind w:left="25"/>
              <w:rPr>
                <w:sz w:val="20"/>
              </w:rPr>
            </w:pPr>
            <w:r w:rsidRPr="003263E9">
              <w:rPr>
                <w:sz w:val="20"/>
              </w:rPr>
              <w:t>beretning om et symptom-</w:t>
            </w:r>
            <w:r w:rsidRPr="003263E9">
              <w:rPr>
                <w:sz w:val="20"/>
              </w:rPr>
              <w:lastRenderedPageBreak/>
              <w:t>kompleks, der kan indeholde nogle eller alle af</w:t>
            </w:r>
          </w:p>
          <w:p w:rsidR="009C3DCB" w:rsidRDefault="009B5F39" w:rsidP="00D8551D">
            <w:pPr>
              <w:ind w:left="25"/>
              <w:rPr>
                <w:sz w:val="20"/>
              </w:rPr>
            </w:pPr>
            <w:r w:rsidRPr="003263E9">
              <w:rPr>
                <w:sz w:val="20"/>
              </w:rPr>
              <w:t xml:space="preserve">følgende </w:t>
            </w:r>
            <w:proofErr w:type="spellStart"/>
            <w:r w:rsidRPr="003263E9">
              <w:rPr>
                <w:sz w:val="20"/>
              </w:rPr>
              <w:t>symp</w:t>
            </w:r>
            <w:proofErr w:type="spellEnd"/>
            <w:r w:rsidR="009A1545">
              <w:rPr>
                <w:sz w:val="20"/>
              </w:rPr>
              <w:t>-</w:t>
            </w:r>
          </w:p>
          <w:p w:rsidR="009C3DCB" w:rsidRDefault="009B5F39" w:rsidP="00D8551D">
            <w:pPr>
              <w:ind w:left="25"/>
              <w:rPr>
                <w:sz w:val="20"/>
              </w:rPr>
            </w:pPr>
            <w:r w:rsidRPr="003263E9">
              <w:rPr>
                <w:sz w:val="20"/>
              </w:rPr>
              <w:t xml:space="preserve">tomer: </w:t>
            </w:r>
            <w:r w:rsidR="009C3DCB">
              <w:rPr>
                <w:sz w:val="20"/>
              </w:rPr>
              <w:t>F</w:t>
            </w:r>
            <w:r w:rsidRPr="003263E9">
              <w:rPr>
                <w:sz w:val="20"/>
              </w:rPr>
              <w:t xml:space="preserve">eber, </w:t>
            </w:r>
            <w:proofErr w:type="spellStart"/>
            <w:r w:rsidRPr="003263E9">
              <w:rPr>
                <w:sz w:val="20"/>
              </w:rPr>
              <w:t>serositis</w:t>
            </w:r>
            <w:proofErr w:type="spellEnd"/>
            <w:r w:rsidRPr="003263E9">
              <w:rPr>
                <w:sz w:val="20"/>
              </w:rPr>
              <w:t xml:space="preserve">, </w:t>
            </w:r>
            <w:proofErr w:type="spellStart"/>
            <w:r w:rsidRPr="003263E9">
              <w:rPr>
                <w:sz w:val="20"/>
              </w:rPr>
              <w:t>vaskulitis</w:t>
            </w:r>
            <w:proofErr w:type="spellEnd"/>
            <w:r w:rsidRPr="003263E9">
              <w:rPr>
                <w:sz w:val="20"/>
              </w:rPr>
              <w:t>, myalgi/my</w:t>
            </w:r>
            <w:r w:rsidR="009C3DCB">
              <w:rPr>
                <w:sz w:val="20"/>
              </w:rPr>
              <w:t>-</w:t>
            </w:r>
          </w:p>
          <w:p w:rsidR="009A1545" w:rsidRDefault="009B5F39" w:rsidP="00D8551D">
            <w:pPr>
              <w:ind w:left="25"/>
              <w:rPr>
                <w:sz w:val="20"/>
              </w:rPr>
            </w:pPr>
            <w:proofErr w:type="spellStart"/>
            <w:r w:rsidRPr="003263E9">
              <w:rPr>
                <w:sz w:val="20"/>
              </w:rPr>
              <w:t>ositis</w:t>
            </w:r>
            <w:proofErr w:type="spellEnd"/>
            <w:r w:rsidRPr="003263E9">
              <w:rPr>
                <w:sz w:val="20"/>
              </w:rPr>
              <w:t xml:space="preserve">, </w:t>
            </w:r>
            <w:proofErr w:type="spellStart"/>
            <w:r w:rsidRPr="003263E9">
              <w:rPr>
                <w:sz w:val="20"/>
              </w:rPr>
              <w:t>arthralgia</w:t>
            </w:r>
            <w:proofErr w:type="spellEnd"/>
            <w:r w:rsidRPr="003263E9">
              <w:rPr>
                <w:sz w:val="20"/>
              </w:rPr>
              <w:t>/</w:t>
            </w:r>
            <w:r w:rsidR="009A1545">
              <w:rPr>
                <w:sz w:val="20"/>
              </w:rPr>
              <w:t>-</w:t>
            </w:r>
          </w:p>
          <w:p w:rsidR="009A1545" w:rsidRDefault="009B5F39" w:rsidP="00D8551D">
            <w:pPr>
              <w:ind w:left="25"/>
              <w:rPr>
                <w:sz w:val="20"/>
              </w:rPr>
            </w:pPr>
            <w:proofErr w:type="spellStart"/>
            <w:r w:rsidRPr="003263E9">
              <w:rPr>
                <w:sz w:val="20"/>
              </w:rPr>
              <w:t>arthritis</w:t>
            </w:r>
            <w:proofErr w:type="spellEnd"/>
            <w:r w:rsidRPr="003263E9">
              <w:rPr>
                <w:sz w:val="20"/>
              </w:rPr>
              <w:t xml:space="preserve">, positiv ANA, forhøjet SR, </w:t>
            </w:r>
            <w:proofErr w:type="spellStart"/>
            <w:r w:rsidRPr="003263E9">
              <w:rPr>
                <w:sz w:val="20"/>
              </w:rPr>
              <w:t>eosinofili</w:t>
            </w:r>
            <w:proofErr w:type="spellEnd"/>
            <w:r w:rsidRPr="003263E9">
              <w:rPr>
                <w:sz w:val="20"/>
              </w:rPr>
              <w:t xml:space="preserve"> og </w:t>
            </w:r>
            <w:proofErr w:type="spellStart"/>
            <w:r w:rsidRPr="003263E9">
              <w:rPr>
                <w:sz w:val="20"/>
              </w:rPr>
              <w:t>leuko</w:t>
            </w:r>
            <w:proofErr w:type="spellEnd"/>
            <w:r w:rsidR="009A1545">
              <w:rPr>
                <w:sz w:val="20"/>
              </w:rPr>
              <w:t>-</w:t>
            </w:r>
          </w:p>
          <w:p w:rsidR="009A1545" w:rsidRDefault="009B5F39" w:rsidP="00D8551D">
            <w:pPr>
              <w:ind w:left="25"/>
              <w:rPr>
                <w:sz w:val="20"/>
              </w:rPr>
            </w:pPr>
            <w:proofErr w:type="spellStart"/>
            <w:r w:rsidRPr="003263E9">
              <w:rPr>
                <w:sz w:val="20"/>
              </w:rPr>
              <w:t>cytose</w:t>
            </w:r>
            <w:proofErr w:type="spellEnd"/>
            <w:r w:rsidRPr="003263E9">
              <w:rPr>
                <w:sz w:val="20"/>
              </w:rPr>
              <w:t xml:space="preserve">. Udslæt, </w:t>
            </w:r>
            <w:proofErr w:type="spellStart"/>
            <w:r w:rsidRPr="003263E9">
              <w:rPr>
                <w:sz w:val="20"/>
              </w:rPr>
              <w:t>fotosensiti</w:t>
            </w:r>
            <w:proofErr w:type="spellEnd"/>
            <w:r w:rsidR="009A1545">
              <w:rPr>
                <w:sz w:val="20"/>
              </w:rPr>
              <w:t>-</w:t>
            </w:r>
          </w:p>
          <w:p w:rsidR="009A1545" w:rsidRDefault="009B5F39" w:rsidP="00D8551D">
            <w:pPr>
              <w:ind w:left="25"/>
              <w:rPr>
                <w:sz w:val="20"/>
              </w:rPr>
            </w:pPr>
            <w:proofErr w:type="spellStart"/>
            <w:r w:rsidRPr="003263E9">
              <w:rPr>
                <w:sz w:val="20"/>
              </w:rPr>
              <w:t>vitet</w:t>
            </w:r>
            <w:proofErr w:type="spellEnd"/>
            <w:r w:rsidRPr="003263E9">
              <w:rPr>
                <w:sz w:val="20"/>
              </w:rPr>
              <w:t xml:space="preserve"> eller andre </w:t>
            </w:r>
            <w:proofErr w:type="spellStart"/>
            <w:r w:rsidRPr="003263E9">
              <w:rPr>
                <w:sz w:val="20"/>
              </w:rPr>
              <w:t>dermatolo</w:t>
            </w:r>
            <w:proofErr w:type="spellEnd"/>
            <w:r w:rsidR="009A1545">
              <w:rPr>
                <w:sz w:val="20"/>
              </w:rPr>
              <w:t>-</w:t>
            </w:r>
          </w:p>
          <w:p w:rsidR="009A1545" w:rsidRDefault="009B5F39" w:rsidP="00D8551D">
            <w:pPr>
              <w:ind w:left="25"/>
              <w:rPr>
                <w:sz w:val="20"/>
              </w:rPr>
            </w:pPr>
            <w:proofErr w:type="spellStart"/>
            <w:r w:rsidRPr="003263E9">
              <w:rPr>
                <w:sz w:val="20"/>
              </w:rPr>
              <w:t>giske</w:t>
            </w:r>
            <w:proofErr w:type="spellEnd"/>
            <w:r w:rsidRPr="003263E9">
              <w:rPr>
                <w:sz w:val="20"/>
              </w:rPr>
              <w:t xml:space="preserve"> </w:t>
            </w:r>
            <w:proofErr w:type="spellStart"/>
            <w:r w:rsidRPr="003263E9">
              <w:rPr>
                <w:sz w:val="20"/>
              </w:rPr>
              <w:t>manifesta</w:t>
            </w:r>
            <w:proofErr w:type="spellEnd"/>
            <w:r w:rsidR="009A1545">
              <w:rPr>
                <w:sz w:val="20"/>
              </w:rPr>
              <w:t>-</w:t>
            </w:r>
          </w:p>
          <w:p w:rsidR="009B5F39" w:rsidRPr="003263E9" w:rsidRDefault="009B5F39" w:rsidP="00D8551D">
            <w:pPr>
              <w:ind w:left="25"/>
              <w:rPr>
                <w:sz w:val="20"/>
              </w:rPr>
            </w:pPr>
            <w:proofErr w:type="spellStart"/>
            <w:r w:rsidRPr="003263E9">
              <w:rPr>
                <w:sz w:val="20"/>
              </w:rPr>
              <w:t>tioner</w:t>
            </w:r>
            <w:proofErr w:type="spellEnd"/>
            <w:r w:rsidRPr="003263E9">
              <w:rPr>
                <w:sz w:val="20"/>
              </w:rPr>
              <w:t xml:space="preserve"> kan forekomme.</w:t>
            </w:r>
          </w:p>
        </w:tc>
      </w:tr>
      <w:tr w:rsidR="00D8551D" w:rsidRPr="003263E9" w:rsidTr="003263E9">
        <w:tc>
          <w:tcPr>
            <w:tcW w:w="1447" w:type="dxa"/>
            <w:tcBorders>
              <w:top w:val="single" w:sz="4" w:space="0" w:color="auto"/>
              <w:left w:val="single" w:sz="4" w:space="0" w:color="auto"/>
              <w:bottom w:val="single" w:sz="4" w:space="0" w:color="auto"/>
              <w:right w:val="single" w:sz="4" w:space="0" w:color="auto"/>
            </w:tcBorders>
            <w:hideMark/>
          </w:tcPr>
          <w:p w:rsidR="009B5F39" w:rsidRPr="003263E9" w:rsidRDefault="009B5F39" w:rsidP="00A45E60">
            <w:pPr>
              <w:rPr>
                <w:bCs/>
                <w:iCs/>
                <w:sz w:val="20"/>
              </w:rPr>
            </w:pPr>
            <w:r w:rsidRPr="003263E9">
              <w:rPr>
                <w:bCs/>
                <w:iCs/>
                <w:sz w:val="20"/>
              </w:rPr>
              <w:lastRenderedPageBreak/>
              <w:t>Knogler, led, muskler og bindevæv</w:t>
            </w:r>
          </w:p>
        </w:tc>
        <w:tc>
          <w:tcPr>
            <w:tcW w:w="1228" w:type="dxa"/>
            <w:tcBorders>
              <w:top w:val="single" w:sz="4" w:space="0" w:color="auto"/>
              <w:left w:val="single" w:sz="4" w:space="0" w:color="auto"/>
              <w:bottom w:val="single" w:sz="4" w:space="0" w:color="auto"/>
              <w:right w:val="single" w:sz="4" w:space="0" w:color="auto"/>
            </w:tcBorders>
          </w:tcPr>
          <w:p w:rsidR="009B5F39" w:rsidRPr="003263E9" w:rsidRDefault="009B5F39" w:rsidP="00A45E60">
            <w:pPr>
              <w:rPr>
                <w:sz w:val="20"/>
              </w:rPr>
            </w:pPr>
          </w:p>
        </w:tc>
        <w:tc>
          <w:tcPr>
            <w:tcW w:w="1890" w:type="dxa"/>
            <w:tcBorders>
              <w:top w:val="single" w:sz="4" w:space="0" w:color="auto"/>
              <w:left w:val="single" w:sz="4" w:space="0" w:color="auto"/>
              <w:bottom w:val="single" w:sz="4" w:space="0" w:color="auto"/>
              <w:right w:val="single" w:sz="4" w:space="0" w:color="auto"/>
            </w:tcBorders>
          </w:tcPr>
          <w:p w:rsidR="009B5F39" w:rsidRPr="003263E9" w:rsidRDefault="009B5F39" w:rsidP="00A45E60">
            <w:pPr>
              <w:rPr>
                <w:sz w:val="20"/>
              </w:rPr>
            </w:pPr>
          </w:p>
        </w:tc>
        <w:tc>
          <w:tcPr>
            <w:tcW w:w="1481" w:type="dxa"/>
            <w:tcBorders>
              <w:top w:val="single" w:sz="4" w:space="0" w:color="auto"/>
              <w:left w:val="single" w:sz="4" w:space="0" w:color="auto"/>
              <w:bottom w:val="single" w:sz="4" w:space="0" w:color="auto"/>
              <w:right w:val="single" w:sz="4" w:space="0" w:color="auto"/>
            </w:tcBorders>
            <w:hideMark/>
          </w:tcPr>
          <w:p w:rsidR="009B5F39" w:rsidRPr="003263E9" w:rsidRDefault="009B5F39" w:rsidP="00A45E60">
            <w:pPr>
              <w:ind w:left="-57"/>
              <w:rPr>
                <w:sz w:val="20"/>
              </w:rPr>
            </w:pPr>
            <w:r w:rsidRPr="003263E9">
              <w:rPr>
                <w:sz w:val="20"/>
              </w:rPr>
              <w:t>Muskel-kramper</w:t>
            </w:r>
          </w:p>
        </w:tc>
        <w:tc>
          <w:tcPr>
            <w:tcW w:w="1745" w:type="dxa"/>
            <w:tcBorders>
              <w:top w:val="single" w:sz="4" w:space="0" w:color="auto"/>
              <w:left w:val="single" w:sz="4" w:space="0" w:color="auto"/>
              <w:bottom w:val="single" w:sz="4" w:space="0" w:color="auto"/>
              <w:right w:val="single" w:sz="4" w:space="0" w:color="auto"/>
            </w:tcBorders>
          </w:tcPr>
          <w:p w:rsidR="009B5F39" w:rsidRPr="003263E9" w:rsidRDefault="009B5F39" w:rsidP="00D8551D">
            <w:pPr>
              <w:ind w:left="-10"/>
              <w:rPr>
                <w:sz w:val="20"/>
              </w:rPr>
            </w:pPr>
          </w:p>
        </w:tc>
        <w:tc>
          <w:tcPr>
            <w:tcW w:w="1200" w:type="dxa"/>
            <w:tcBorders>
              <w:top w:val="single" w:sz="4" w:space="0" w:color="auto"/>
              <w:left w:val="single" w:sz="4" w:space="0" w:color="auto"/>
              <w:bottom w:val="single" w:sz="4" w:space="0" w:color="auto"/>
              <w:right w:val="single" w:sz="4" w:space="0" w:color="auto"/>
            </w:tcBorders>
          </w:tcPr>
          <w:p w:rsidR="009B5F39" w:rsidRPr="003263E9" w:rsidRDefault="009B5F39" w:rsidP="00D8551D">
            <w:pPr>
              <w:ind w:left="31"/>
              <w:rPr>
                <w:sz w:val="20"/>
              </w:rPr>
            </w:pPr>
          </w:p>
        </w:tc>
        <w:tc>
          <w:tcPr>
            <w:tcW w:w="1244" w:type="dxa"/>
            <w:tcBorders>
              <w:top w:val="single" w:sz="4" w:space="0" w:color="auto"/>
              <w:left w:val="single" w:sz="4" w:space="0" w:color="auto"/>
              <w:bottom w:val="single" w:sz="4" w:space="0" w:color="auto"/>
              <w:right w:val="single" w:sz="4" w:space="0" w:color="auto"/>
            </w:tcBorders>
          </w:tcPr>
          <w:p w:rsidR="009B5F39" w:rsidRPr="003263E9" w:rsidRDefault="009B5F39" w:rsidP="00D8551D">
            <w:pPr>
              <w:ind w:left="25"/>
              <w:rPr>
                <w:sz w:val="20"/>
              </w:rPr>
            </w:pPr>
          </w:p>
        </w:tc>
      </w:tr>
      <w:tr w:rsidR="00D8551D" w:rsidRPr="003263E9" w:rsidTr="003263E9">
        <w:tc>
          <w:tcPr>
            <w:tcW w:w="1447" w:type="dxa"/>
            <w:tcBorders>
              <w:top w:val="single" w:sz="4" w:space="0" w:color="auto"/>
              <w:left w:val="single" w:sz="4" w:space="0" w:color="auto"/>
              <w:bottom w:val="single" w:sz="4" w:space="0" w:color="auto"/>
              <w:right w:val="single" w:sz="4" w:space="0" w:color="auto"/>
            </w:tcBorders>
            <w:hideMark/>
          </w:tcPr>
          <w:p w:rsidR="009B5F39" w:rsidRPr="003263E9" w:rsidRDefault="009B5F39" w:rsidP="00A45E60">
            <w:pPr>
              <w:rPr>
                <w:bCs/>
                <w:iCs/>
                <w:sz w:val="20"/>
              </w:rPr>
            </w:pPr>
            <w:r w:rsidRPr="003263E9">
              <w:rPr>
                <w:bCs/>
                <w:iCs/>
                <w:sz w:val="20"/>
              </w:rPr>
              <w:t>Nyrer og urinveje</w:t>
            </w:r>
          </w:p>
        </w:tc>
        <w:tc>
          <w:tcPr>
            <w:tcW w:w="1228" w:type="dxa"/>
            <w:tcBorders>
              <w:top w:val="single" w:sz="4" w:space="0" w:color="auto"/>
              <w:left w:val="single" w:sz="4" w:space="0" w:color="auto"/>
              <w:bottom w:val="single" w:sz="4" w:space="0" w:color="auto"/>
              <w:right w:val="single" w:sz="4" w:space="0" w:color="auto"/>
            </w:tcBorders>
          </w:tcPr>
          <w:p w:rsidR="009B5F39" w:rsidRPr="003263E9" w:rsidRDefault="009B5F39" w:rsidP="00A45E60">
            <w:pPr>
              <w:rPr>
                <w:sz w:val="20"/>
              </w:rPr>
            </w:pPr>
          </w:p>
        </w:tc>
        <w:tc>
          <w:tcPr>
            <w:tcW w:w="1890" w:type="dxa"/>
            <w:tcBorders>
              <w:top w:val="single" w:sz="4" w:space="0" w:color="auto"/>
              <w:left w:val="single" w:sz="4" w:space="0" w:color="auto"/>
              <w:bottom w:val="single" w:sz="4" w:space="0" w:color="auto"/>
              <w:right w:val="single" w:sz="4" w:space="0" w:color="auto"/>
            </w:tcBorders>
          </w:tcPr>
          <w:p w:rsidR="009B5F39" w:rsidRPr="003263E9" w:rsidRDefault="009B5F39" w:rsidP="00A45E60">
            <w:pPr>
              <w:rPr>
                <w:sz w:val="20"/>
              </w:rPr>
            </w:pPr>
          </w:p>
        </w:tc>
        <w:tc>
          <w:tcPr>
            <w:tcW w:w="1481" w:type="dxa"/>
            <w:tcBorders>
              <w:top w:val="single" w:sz="4" w:space="0" w:color="auto"/>
              <w:left w:val="single" w:sz="4" w:space="0" w:color="auto"/>
              <w:bottom w:val="single" w:sz="4" w:space="0" w:color="auto"/>
              <w:right w:val="single" w:sz="4" w:space="0" w:color="auto"/>
            </w:tcBorders>
            <w:hideMark/>
          </w:tcPr>
          <w:p w:rsidR="009B5F39" w:rsidRPr="003263E9" w:rsidRDefault="009B5F39" w:rsidP="00A45E60">
            <w:pPr>
              <w:ind w:left="-57"/>
              <w:rPr>
                <w:sz w:val="20"/>
              </w:rPr>
            </w:pPr>
            <w:r w:rsidRPr="003263E9">
              <w:rPr>
                <w:sz w:val="20"/>
              </w:rPr>
              <w:t xml:space="preserve">Nedsat nyrefunktion, nyreinsufficiens </w:t>
            </w:r>
            <w:proofErr w:type="spellStart"/>
            <w:r w:rsidRPr="003263E9">
              <w:rPr>
                <w:sz w:val="20"/>
              </w:rPr>
              <w:t>proteinuri</w:t>
            </w:r>
            <w:proofErr w:type="spellEnd"/>
          </w:p>
        </w:tc>
        <w:tc>
          <w:tcPr>
            <w:tcW w:w="1745" w:type="dxa"/>
            <w:tcBorders>
              <w:top w:val="single" w:sz="4" w:space="0" w:color="auto"/>
              <w:left w:val="single" w:sz="4" w:space="0" w:color="auto"/>
              <w:bottom w:val="single" w:sz="4" w:space="0" w:color="auto"/>
              <w:right w:val="single" w:sz="4" w:space="0" w:color="auto"/>
            </w:tcBorders>
            <w:hideMark/>
          </w:tcPr>
          <w:p w:rsidR="009B5F39" w:rsidRPr="003263E9" w:rsidRDefault="009B5F39" w:rsidP="00D8551D">
            <w:pPr>
              <w:ind w:left="-10"/>
              <w:rPr>
                <w:sz w:val="20"/>
              </w:rPr>
            </w:pPr>
            <w:proofErr w:type="spellStart"/>
            <w:r w:rsidRPr="003263E9">
              <w:rPr>
                <w:sz w:val="20"/>
              </w:rPr>
              <w:t>Oliguri</w:t>
            </w:r>
            <w:proofErr w:type="spellEnd"/>
          </w:p>
        </w:tc>
        <w:tc>
          <w:tcPr>
            <w:tcW w:w="1200" w:type="dxa"/>
            <w:tcBorders>
              <w:top w:val="single" w:sz="4" w:space="0" w:color="auto"/>
              <w:left w:val="single" w:sz="4" w:space="0" w:color="auto"/>
              <w:bottom w:val="single" w:sz="4" w:space="0" w:color="auto"/>
              <w:right w:val="single" w:sz="4" w:space="0" w:color="auto"/>
            </w:tcBorders>
          </w:tcPr>
          <w:p w:rsidR="009B5F39" w:rsidRPr="003263E9" w:rsidRDefault="009B5F39" w:rsidP="00D8551D">
            <w:pPr>
              <w:ind w:left="31"/>
              <w:rPr>
                <w:sz w:val="20"/>
              </w:rPr>
            </w:pPr>
          </w:p>
        </w:tc>
        <w:tc>
          <w:tcPr>
            <w:tcW w:w="1244" w:type="dxa"/>
            <w:tcBorders>
              <w:top w:val="single" w:sz="4" w:space="0" w:color="auto"/>
              <w:left w:val="single" w:sz="4" w:space="0" w:color="auto"/>
              <w:bottom w:val="single" w:sz="4" w:space="0" w:color="auto"/>
              <w:right w:val="single" w:sz="4" w:space="0" w:color="auto"/>
            </w:tcBorders>
          </w:tcPr>
          <w:p w:rsidR="009B5F39" w:rsidRPr="003263E9" w:rsidRDefault="009B5F39" w:rsidP="00D8551D">
            <w:pPr>
              <w:ind w:left="25"/>
              <w:rPr>
                <w:sz w:val="20"/>
              </w:rPr>
            </w:pPr>
          </w:p>
        </w:tc>
      </w:tr>
      <w:tr w:rsidR="00D8551D" w:rsidRPr="003263E9" w:rsidTr="003263E9">
        <w:tc>
          <w:tcPr>
            <w:tcW w:w="1447" w:type="dxa"/>
            <w:tcBorders>
              <w:top w:val="single" w:sz="4" w:space="0" w:color="auto"/>
              <w:left w:val="single" w:sz="4" w:space="0" w:color="auto"/>
              <w:bottom w:val="single" w:sz="4" w:space="0" w:color="auto"/>
              <w:right w:val="single" w:sz="4" w:space="0" w:color="auto"/>
            </w:tcBorders>
            <w:hideMark/>
          </w:tcPr>
          <w:p w:rsidR="009B5F39" w:rsidRPr="003263E9" w:rsidRDefault="009B5F39" w:rsidP="00A45E60">
            <w:pPr>
              <w:rPr>
                <w:bCs/>
                <w:iCs/>
                <w:sz w:val="20"/>
              </w:rPr>
            </w:pPr>
            <w:r w:rsidRPr="003263E9">
              <w:rPr>
                <w:bCs/>
                <w:iCs/>
                <w:sz w:val="20"/>
              </w:rPr>
              <w:t>Det reproduktive system og mammae</w:t>
            </w:r>
          </w:p>
        </w:tc>
        <w:tc>
          <w:tcPr>
            <w:tcW w:w="1228" w:type="dxa"/>
            <w:tcBorders>
              <w:top w:val="single" w:sz="4" w:space="0" w:color="auto"/>
              <w:left w:val="single" w:sz="4" w:space="0" w:color="auto"/>
              <w:bottom w:val="single" w:sz="4" w:space="0" w:color="auto"/>
              <w:right w:val="single" w:sz="4" w:space="0" w:color="auto"/>
            </w:tcBorders>
          </w:tcPr>
          <w:p w:rsidR="009B5F39" w:rsidRPr="003263E9" w:rsidRDefault="009B5F39" w:rsidP="00A45E60">
            <w:pPr>
              <w:rPr>
                <w:sz w:val="20"/>
              </w:rPr>
            </w:pPr>
          </w:p>
        </w:tc>
        <w:tc>
          <w:tcPr>
            <w:tcW w:w="1890" w:type="dxa"/>
            <w:tcBorders>
              <w:top w:val="single" w:sz="4" w:space="0" w:color="auto"/>
              <w:left w:val="single" w:sz="4" w:space="0" w:color="auto"/>
              <w:bottom w:val="single" w:sz="4" w:space="0" w:color="auto"/>
              <w:right w:val="single" w:sz="4" w:space="0" w:color="auto"/>
            </w:tcBorders>
          </w:tcPr>
          <w:p w:rsidR="009B5F39" w:rsidRPr="003263E9" w:rsidRDefault="009B5F39" w:rsidP="00A45E60">
            <w:pPr>
              <w:rPr>
                <w:sz w:val="20"/>
              </w:rPr>
            </w:pPr>
          </w:p>
        </w:tc>
        <w:tc>
          <w:tcPr>
            <w:tcW w:w="1481" w:type="dxa"/>
            <w:tcBorders>
              <w:top w:val="single" w:sz="4" w:space="0" w:color="auto"/>
              <w:left w:val="single" w:sz="4" w:space="0" w:color="auto"/>
              <w:bottom w:val="single" w:sz="4" w:space="0" w:color="auto"/>
              <w:right w:val="single" w:sz="4" w:space="0" w:color="auto"/>
            </w:tcBorders>
            <w:hideMark/>
          </w:tcPr>
          <w:p w:rsidR="009B5F39" w:rsidRPr="003263E9" w:rsidRDefault="009B5F39" w:rsidP="00A45E60">
            <w:pPr>
              <w:ind w:left="-57"/>
              <w:rPr>
                <w:sz w:val="20"/>
              </w:rPr>
            </w:pPr>
            <w:r w:rsidRPr="003263E9">
              <w:rPr>
                <w:sz w:val="20"/>
              </w:rPr>
              <w:t>Impotens</w:t>
            </w:r>
          </w:p>
        </w:tc>
        <w:tc>
          <w:tcPr>
            <w:tcW w:w="1745" w:type="dxa"/>
            <w:tcBorders>
              <w:top w:val="single" w:sz="4" w:space="0" w:color="auto"/>
              <w:left w:val="single" w:sz="4" w:space="0" w:color="auto"/>
              <w:bottom w:val="single" w:sz="4" w:space="0" w:color="auto"/>
              <w:right w:val="single" w:sz="4" w:space="0" w:color="auto"/>
            </w:tcBorders>
            <w:hideMark/>
          </w:tcPr>
          <w:p w:rsidR="009B5F39" w:rsidRPr="003263E9" w:rsidRDefault="009B5F39" w:rsidP="00D8551D">
            <w:pPr>
              <w:ind w:left="-10"/>
              <w:rPr>
                <w:sz w:val="20"/>
              </w:rPr>
            </w:pPr>
            <w:proofErr w:type="spellStart"/>
            <w:r w:rsidRPr="003263E9">
              <w:rPr>
                <w:sz w:val="20"/>
              </w:rPr>
              <w:t>Gynækomasti</w:t>
            </w:r>
            <w:proofErr w:type="spellEnd"/>
          </w:p>
        </w:tc>
        <w:tc>
          <w:tcPr>
            <w:tcW w:w="1200" w:type="dxa"/>
            <w:tcBorders>
              <w:top w:val="single" w:sz="4" w:space="0" w:color="auto"/>
              <w:left w:val="single" w:sz="4" w:space="0" w:color="auto"/>
              <w:bottom w:val="single" w:sz="4" w:space="0" w:color="auto"/>
              <w:right w:val="single" w:sz="4" w:space="0" w:color="auto"/>
            </w:tcBorders>
          </w:tcPr>
          <w:p w:rsidR="009B5F39" w:rsidRPr="003263E9" w:rsidRDefault="009B5F39" w:rsidP="00D8551D">
            <w:pPr>
              <w:ind w:left="31"/>
              <w:rPr>
                <w:sz w:val="20"/>
              </w:rPr>
            </w:pPr>
          </w:p>
        </w:tc>
        <w:tc>
          <w:tcPr>
            <w:tcW w:w="1244" w:type="dxa"/>
            <w:tcBorders>
              <w:top w:val="single" w:sz="4" w:space="0" w:color="auto"/>
              <w:left w:val="single" w:sz="4" w:space="0" w:color="auto"/>
              <w:bottom w:val="single" w:sz="4" w:space="0" w:color="auto"/>
              <w:right w:val="single" w:sz="4" w:space="0" w:color="auto"/>
            </w:tcBorders>
          </w:tcPr>
          <w:p w:rsidR="009B5F39" w:rsidRPr="003263E9" w:rsidRDefault="009B5F39" w:rsidP="00D8551D">
            <w:pPr>
              <w:ind w:left="25"/>
              <w:rPr>
                <w:sz w:val="20"/>
              </w:rPr>
            </w:pPr>
          </w:p>
        </w:tc>
      </w:tr>
      <w:tr w:rsidR="00D8551D" w:rsidRPr="003263E9" w:rsidTr="003263E9">
        <w:tc>
          <w:tcPr>
            <w:tcW w:w="1447" w:type="dxa"/>
            <w:tcBorders>
              <w:top w:val="single" w:sz="4" w:space="0" w:color="auto"/>
              <w:left w:val="single" w:sz="4" w:space="0" w:color="auto"/>
              <w:bottom w:val="single" w:sz="4" w:space="0" w:color="auto"/>
              <w:right w:val="single" w:sz="4" w:space="0" w:color="auto"/>
            </w:tcBorders>
            <w:hideMark/>
          </w:tcPr>
          <w:p w:rsidR="009B5F39" w:rsidRPr="003263E9" w:rsidRDefault="009B5F39" w:rsidP="00A45E60">
            <w:pPr>
              <w:rPr>
                <w:bCs/>
                <w:iCs/>
                <w:sz w:val="20"/>
              </w:rPr>
            </w:pPr>
            <w:r w:rsidRPr="003263E9">
              <w:rPr>
                <w:bCs/>
                <w:iCs/>
                <w:sz w:val="20"/>
              </w:rPr>
              <w:t>Almene symptomer og reaktioner på administrationsstedet</w:t>
            </w:r>
          </w:p>
        </w:tc>
        <w:tc>
          <w:tcPr>
            <w:tcW w:w="1228" w:type="dxa"/>
            <w:tcBorders>
              <w:top w:val="single" w:sz="4" w:space="0" w:color="auto"/>
              <w:left w:val="single" w:sz="4" w:space="0" w:color="auto"/>
              <w:bottom w:val="single" w:sz="4" w:space="0" w:color="auto"/>
              <w:right w:val="single" w:sz="4" w:space="0" w:color="auto"/>
            </w:tcBorders>
            <w:hideMark/>
          </w:tcPr>
          <w:p w:rsidR="009B5F39" w:rsidRPr="003263E9" w:rsidRDefault="009B5F39" w:rsidP="00A45E60">
            <w:pPr>
              <w:rPr>
                <w:sz w:val="20"/>
              </w:rPr>
            </w:pPr>
            <w:r w:rsidRPr="003263E9">
              <w:rPr>
                <w:sz w:val="20"/>
              </w:rPr>
              <w:t>Asteni</w:t>
            </w:r>
          </w:p>
        </w:tc>
        <w:tc>
          <w:tcPr>
            <w:tcW w:w="1890" w:type="dxa"/>
            <w:tcBorders>
              <w:top w:val="single" w:sz="4" w:space="0" w:color="auto"/>
              <w:left w:val="single" w:sz="4" w:space="0" w:color="auto"/>
              <w:bottom w:val="single" w:sz="4" w:space="0" w:color="auto"/>
              <w:right w:val="single" w:sz="4" w:space="0" w:color="auto"/>
            </w:tcBorders>
            <w:hideMark/>
          </w:tcPr>
          <w:p w:rsidR="009B5F39" w:rsidRPr="003263E9" w:rsidRDefault="009B5F39" w:rsidP="00A45E60">
            <w:pPr>
              <w:rPr>
                <w:sz w:val="20"/>
              </w:rPr>
            </w:pPr>
            <w:r w:rsidRPr="003263E9">
              <w:rPr>
                <w:sz w:val="20"/>
              </w:rPr>
              <w:t>Træthed</w:t>
            </w:r>
          </w:p>
        </w:tc>
        <w:tc>
          <w:tcPr>
            <w:tcW w:w="1481" w:type="dxa"/>
            <w:tcBorders>
              <w:top w:val="single" w:sz="4" w:space="0" w:color="auto"/>
              <w:left w:val="single" w:sz="4" w:space="0" w:color="auto"/>
              <w:bottom w:val="single" w:sz="4" w:space="0" w:color="auto"/>
              <w:right w:val="single" w:sz="4" w:space="0" w:color="auto"/>
            </w:tcBorders>
            <w:hideMark/>
          </w:tcPr>
          <w:p w:rsidR="009B5F39" w:rsidRPr="003263E9" w:rsidRDefault="009B5F39" w:rsidP="00A45E60">
            <w:pPr>
              <w:ind w:left="-57"/>
              <w:rPr>
                <w:sz w:val="20"/>
              </w:rPr>
            </w:pPr>
            <w:r w:rsidRPr="003263E9">
              <w:rPr>
                <w:sz w:val="20"/>
              </w:rPr>
              <w:t>Ubehag, feber</w:t>
            </w:r>
          </w:p>
        </w:tc>
        <w:tc>
          <w:tcPr>
            <w:tcW w:w="1745" w:type="dxa"/>
            <w:tcBorders>
              <w:top w:val="single" w:sz="4" w:space="0" w:color="auto"/>
              <w:left w:val="single" w:sz="4" w:space="0" w:color="auto"/>
              <w:bottom w:val="single" w:sz="4" w:space="0" w:color="auto"/>
              <w:right w:val="single" w:sz="4" w:space="0" w:color="auto"/>
            </w:tcBorders>
          </w:tcPr>
          <w:p w:rsidR="009B5F39" w:rsidRPr="003263E9" w:rsidRDefault="009B5F39" w:rsidP="00D8551D">
            <w:pPr>
              <w:ind w:left="-10"/>
              <w:rPr>
                <w:sz w:val="20"/>
              </w:rPr>
            </w:pPr>
          </w:p>
        </w:tc>
        <w:tc>
          <w:tcPr>
            <w:tcW w:w="1200" w:type="dxa"/>
            <w:tcBorders>
              <w:top w:val="single" w:sz="4" w:space="0" w:color="auto"/>
              <w:left w:val="single" w:sz="4" w:space="0" w:color="auto"/>
              <w:bottom w:val="single" w:sz="4" w:space="0" w:color="auto"/>
              <w:right w:val="single" w:sz="4" w:space="0" w:color="auto"/>
            </w:tcBorders>
          </w:tcPr>
          <w:p w:rsidR="009B5F39" w:rsidRPr="003263E9" w:rsidRDefault="009B5F39" w:rsidP="00D8551D">
            <w:pPr>
              <w:ind w:left="31"/>
              <w:rPr>
                <w:sz w:val="20"/>
              </w:rPr>
            </w:pPr>
          </w:p>
        </w:tc>
        <w:tc>
          <w:tcPr>
            <w:tcW w:w="1244" w:type="dxa"/>
            <w:tcBorders>
              <w:top w:val="single" w:sz="4" w:space="0" w:color="auto"/>
              <w:left w:val="single" w:sz="4" w:space="0" w:color="auto"/>
              <w:bottom w:val="single" w:sz="4" w:space="0" w:color="auto"/>
              <w:right w:val="single" w:sz="4" w:space="0" w:color="auto"/>
            </w:tcBorders>
          </w:tcPr>
          <w:p w:rsidR="009B5F39" w:rsidRPr="003263E9" w:rsidRDefault="009B5F39" w:rsidP="00D8551D">
            <w:pPr>
              <w:ind w:left="25"/>
              <w:rPr>
                <w:sz w:val="20"/>
              </w:rPr>
            </w:pPr>
          </w:p>
        </w:tc>
      </w:tr>
      <w:tr w:rsidR="00D8551D" w:rsidRPr="003263E9" w:rsidTr="003263E9">
        <w:tc>
          <w:tcPr>
            <w:tcW w:w="1447" w:type="dxa"/>
            <w:tcBorders>
              <w:top w:val="single" w:sz="4" w:space="0" w:color="auto"/>
              <w:left w:val="single" w:sz="4" w:space="0" w:color="auto"/>
              <w:bottom w:val="single" w:sz="4" w:space="0" w:color="auto"/>
              <w:right w:val="single" w:sz="4" w:space="0" w:color="auto"/>
            </w:tcBorders>
            <w:hideMark/>
          </w:tcPr>
          <w:p w:rsidR="009B5F39" w:rsidRPr="003263E9" w:rsidRDefault="009B5F39" w:rsidP="00A45E60">
            <w:pPr>
              <w:rPr>
                <w:bCs/>
                <w:iCs/>
                <w:sz w:val="20"/>
              </w:rPr>
            </w:pPr>
            <w:r w:rsidRPr="003263E9">
              <w:rPr>
                <w:bCs/>
                <w:iCs/>
                <w:sz w:val="20"/>
              </w:rPr>
              <w:t>Undersøgelser</w:t>
            </w:r>
          </w:p>
        </w:tc>
        <w:tc>
          <w:tcPr>
            <w:tcW w:w="1228" w:type="dxa"/>
            <w:tcBorders>
              <w:top w:val="single" w:sz="4" w:space="0" w:color="auto"/>
              <w:left w:val="single" w:sz="4" w:space="0" w:color="auto"/>
              <w:bottom w:val="single" w:sz="4" w:space="0" w:color="auto"/>
              <w:right w:val="single" w:sz="4" w:space="0" w:color="auto"/>
            </w:tcBorders>
          </w:tcPr>
          <w:p w:rsidR="009B5F39" w:rsidRPr="003263E9" w:rsidRDefault="009B5F39" w:rsidP="00A45E60">
            <w:pPr>
              <w:rPr>
                <w:sz w:val="20"/>
              </w:rPr>
            </w:pPr>
          </w:p>
        </w:tc>
        <w:tc>
          <w:tcPr>
            <w:tcW w:w="1890" w:type="dxa"/>
            <w:tcBorders>
              <w:top w:val="single" w:sz="4" w:space="0" w:color="auto"/>
              <w:left w:val="single" w:sz="4" w:space="0" w:color="auto"/>
              <w:bottom w:val="single" w:sz="4" w:space="0" w:color="auto"/>
              <w:right w:val="single" w:sz="4" w:space="0" w:color="auto"/>
            </w:tcBorders>
            <w:hideMark/>
          </w:tcPr>
          <w:p w:rsidR="009B5F39" w:rsidRPr="003263E9" w:rsidRDefault="009B5F39" w:rsidP="00A45E60">
            <w:pPr>
              <w:rPr>
                <w:sz w:val="20"/>
              </w:rPr>
            </w:pPr>
            <w:proofErr w:type="spellStart"/>
            <w:r w:rsidRPr="003263E9">
              <w:rPr>
                <w:sz w:val="20"/>
              </w:rPr>
              <w:t>Hyperkaliæmi</w:t>
            </w:r>
            <w:proofErr w:type="spellEnd"/>
            <w:r w:rsidRPr="003263E9">
              <w:rPr>
                <w:sz w:val="20"/>
              </w:rPr>
              <w:t xml:space="preserve">, forhøjelser i </w:t>
            </w:r>
            <w:proofErr w:type="spellStart"/>
            <w:r w:rsidRPr="003263E9">
              <w:rPr>
                <w:sz w:val="20"/>
              </w:rPr>
              <w:t>serumkreatinin</w:t>
            </w:r>
            <w:proofErr w:type="spellEnd"/>
          </w:p>
        </w:tc>
        <w:tc>
          <w:tcPr>
            <w:tcW w:w="1481" w:type="dxa"/>
            <w:tcBorders>
              <w:top w:val="single" w:sz="4" w:space="0" w:color="auto"/>
              <w:left w:val="single" w:sz="4" w:space="0" w:color="auto"/>
              <w:bottom w:val="single" w:sz="4" w:space="0" w:color="auto"/>
              <w:right w:val="single" w:sz="4" w:space="0" w:color="auto"/>
            </w:tcBorders>
            <w:hideMark/>
          </w:tcPr>
          <w:p w:rsidR="009B5F39" w:rsidRPr="003263E9" w:rsidRDefault="009B5F39" w:rsidP="00A45E60">
            <w:pPr>
              <w:ind w:left="-57"/>
              <w:rPr>
                <w:sz w:val="20"/>
              </w:rPr>
            </w:pPr>
            <w:r w:rsidRPr="003263E9">
              <w:rPr>
                <w:sz w:val="20"/>
              </w:rPr>
              <w:t xml:space="preserve">Forhøjelser af </w:t>
            </w:r>
            <w:proofErr w:type="spellStart"/>
            <w:r w:rsidRPr="003263E9">
              <w:rPr>
                <w:sz w:val="20"/>
              </w:rPr>
              <w:t>serumcarbamid</w:t>
            </w:r>
            <w:proofErr w:type="spellEnd"/>
            <w:r w:rsidRPr="003263E9">
              <w:rPr>
                <w:sz w:val="20"/>
              </w:rPr>
              <w:t xml:space="preserve">, </w:t>
            </w:r>
            <w:proofErr w:type="spellStart"/>
            <w:r w:rsidRPr="003263E9">
              <w:rPr>
                <w:sz w:val="20"/>
              </w:rPr>
              <w:t>hypona-triæmi</w:t>
            </w:r>
            <w:proofErr w:type="spellEnd"/>
          </w:p>
        </w:tc>
        <w:tc>
          <w:tcPr>
            <w:tcW w:w="1745" w:type="dxa"/>
            <w:tcBorders>
              <w:top w:val="single" w:sz="4" w:space="0" w:color="auto"/>
              <w:left w:val="single" w:sz="4" w:space="0" w:color="auto"/>
              <w:bottom w:val="single" w:sz="4" w:space="0" w:color="auto"/>
              <w:right w:val="single" w:sz="4" w:space="0" w:color="auto"/>
            </w:tcBorders>
            <w:hideMark/>
          </w:tcPr>
          <w:p w:rsidR="009B5F39" w:rsidRPr="003263E9" w:rsidRDefault="009B5F39" w:rsidP="00D8551D">
            <w:pPr>
              <w:ind w:left="-10"/>
              <w:rPr>
                <w:sz w:val="20"/>
              </w:rPr>
            </w:pPr>
            <w:r w:rsidRPr="003263E9">
              <w:rPr>
                <w:sz w:val="20"/>
              </w:rPr>
              <w:t>Forhøjede leverenzymtal, forhøjelse af serumbilirubin</w:t>
            </w:r>
          </w:p>
        </w:tc>
        <w:tc>
          <w:tcPr>
            <w:tcW w:w="1200" w:type="dxa"/>
            <w:tcBorders>
              <w:top w:val="single" w:sz="4" w:space="0" w:color="auto"/>
              <w:left w:val="single" w:sz="4" w:space="0" w:color="auto"/>
              <w:bottom w:val="single" w:sz="4" w:space="0" w:color="auto"/>
              <w:right w:val="single" w:sz="4" w:space="0" w:color="auto"/>
            </w:tcBorders>
          </w:tcPr>
          <w:p w:rsidR="009B5F39" w:rsidRPr="003263E9" w:rsidRDefault="009B5F39" w:rsidP="00D8551D">
            <w:pPr>
              <w:ind w:left="31"/>
              <w:rPr>
                <w:sz w:val="20"/>
              </w:rPr>
            </w:pPr>
          </w:p>
        </w:tc>
        <w:tc>
          <w:tcPr>
            <w:tcW w:w="1244" w:type="dxa"/>
            <w:tcBorders>
              <w:top w:val="single" w:sz="4" w:space="0" w:color="auto"/>
              <w:left w:val="single" w:sz="4" w:space="0" w:color="auto"/>
              <w:bottom w:val="single" w:sz="4" w:space="0" w:color="auto"/>
              <w:right w:val="single" w:sz="4" w:space="0" w:color="auto"/>
            </w:tcBorders>
          </w:tcPr>
          <w:p w:rsidR="009B5F39" w:rsidRPr="003263E9" w:rsidRDefault="009B5F39" w:rsidP="00D8551D">
            <w:pPr>
              <w:ind w:left="25"/>
              <w:rPr>
                <w:sz w:val="20"/>
              </w:rPr>
            </w:pPr>
          </w:p>
        </w:tc>
      </w:tr>
    </w:tbl>
    <w:p w:rsidR="009B5F39" w:rsidRPr="009B5F39" w:rsidRDefault="009B5F39" w:rsidP="009B5F39">
      <w:pPr>
        <w:tabs>
          <w:tab w:val="left" w:pos="851"/>
        </w:tabs>
        <w:ind w:left="851"/>
        <w:rPr>
          <w:sz w:val="24"/>
          <w:szCs w:val="24"/>
        </w:rPr>
      </w:pPr>
      <w:r w:rsidRPr="009B5F39">
        <w:rPr>
          <w:sz w:val="24"/>
          <w:szCs w:val="24"/>
        </w:rPr>
        <w:t xml:space="preserve">* Under kliniske forsøg var </w:t>
      </w:r>
      <w:proofErr w:type="spellStart"/>
      <w:r w:rsidRPr="009B5F39">
        <w:rPr>
          <w:sz w:val="24"/>
          <w:szCs w:val="24"/>
        </w:rPr>
        <w:t>incidensraterne</w:t>
      </w:r>
      <w:proofErr w:type="spellEnd"/>
      <w:r w:rsidRPr="009B5F39">
        <w:rPr>
          <w:sz w:val="24"/>
          <w:szCs w:val="24"/>
        </w:rPr>
        <w:t xml:space="preserve"> i placebo- og kontrolgruppen sammenlignelige.</w:t>
      </w:r>
    </w:p>
    <w:p w:rsidR="009B5F39" w:rsidRPr="009B5F39" w:rsidRDefault="009B5F39" w:rsidP="009B5F39">
      <w:pPr>
        <w:tabs>
          <w:tab w:val="left" w:pos="851"/>
        </w:tabs>
        <w:ind w:left="851"/>
        <w:rPr>
          <w:sz w:val="24"/>
          <w:szCs w:val="24"/>
        </w:rPr>
      </w:pPr>
    </w:p>
    <w:p w:rsidR="009B5F39" w:rsidRPr="009B5F39" w:rsidRDefault="009B5F39" w:rsidP="009B5F39">
      <w:pPr>
        <w:tabs>
          <w:tab w:val="left" w:pos="851"/>
        </w:tabs>
        <w:ind w:left="851"/>
        <w:rPr>
          <w:sz w:val="24"/>
          <w:szCs w:val="24"/>
          <w:u w:val="single"/>
        </w:rPr>
      </w:pPr>
      <w:r w:rsidRPr="009B5F39">
        <w:rPr>
          <w:sz w:val="24"/>
          <w:szCs w:val="24"/>
          <w:u w:val="single"/>
        </w:rPr>
        <w:t>Indberetning af formodede bivirkninger</w:t>
      </w:r>
    </w:p>
    <w:p w:rsidR="009B5F39" w:rsidRPr="009B5F39" w:rsidRDefault="009B5F39" w:rsidP="009B5F39">
      <w:pPr>
        <w:tabs>
          <w:tab w:val="left" w:pos="851"/>
        </w:tabs>
        <w:ind w:left="851"/>
        <w:rPr>
          <w:sz w:val="24"/>
          <w:szCs w:val="24"/>
        </w:rPr>
      </w:pPr>
      <w:r w:rsidRPr="009B5F39">
        <w:rPr>
          <w:sz w:val="24"/>
          <w:szCs w:val="24"/>
        </w:rPr>
        <w:t>Når lægemidlet er godkendt, er indberetning af formodede bivirkninger vigtig. Det muliggør løbende overvågning af benefit/</w:t>
      </w:r>
      <w:proofErr w:type="spellStart"/>
      <w:r w:rsidRPr="009B5F39">
        <w:rPr>
          <w:sz w:val="24"/>
          <w:szCs w:val="24"/>
        </w:rPr>
        <w:t>risk</w:t>
      </w:r>
      <w:proofErr w:type="spellEnd"/>
      <w:r w:rsidRPr="009B5F39">
        <w:rPr>
          <w:sz w:val="24"/>
          <w:szCs w:val="24"/>
        </w:rPr>
        <w:t xml:space="preserve">-forholdet for lægemidlet. Sundhedspersoner anmodes om at indberette alle formodede bivirkninger via </w:t>
      </w:r>
    </w:p>
    <w:p w:rsidR="00CE4BB6" w:rsidRDefault="00CE4BB6" w:rsidP="009B5F39">
      <w:pPr>
        <w:tabs>
          <w:tab w:val="left" w:pos="851"/>
        </w:tabs>
        <w:ind w:left="851"/>
        <w:rPr>
          <w:sz w:val="24"/>
          <w:szCs w:val="24"/>
        </w:rPr>
      </w:pPr>
    </w:p>
    <w:p w:rsidR="00CE4BB6" w:rsidRDefault="00CE4BB6" w:rsidP="009B5F39">
      <w:pPr>
        <w:tabs>
          <w:tab w:val="left" w:pos="851"/>
        </w:tabs>
        <w:ind w:left="851"/>
        <w:rPr>
          <w:sz w:val="24"/>
          <w:szCs w:val="24"/>
        </w:rPr>
      </w:pPr>
    </w:p>
    <w:p w:rsidR="009B5F39" w:rsidRPr="009B5F39" w:rsidRDefault="009B5F39" w:rsidP="009B5F39">
      <w:pPr>
        <w:tabs>
          <w:tab w:val="left" w:pos="851"/>
        </w:tabs>
        <w:ind w:left="851"/>
        <w:rPr>
          <w:sz w:val="24"/>
          <w:szCs w:val="24"/>
        </w:rPr>
      </w:pPr>
      <w:r w:rsidRPr="009B5F39">
        <w:rPr>
          <w:sz w:val="24"/>
          <w:szCs w:val="24"/>
        </w:rPr>
        <w:lastRenderedPageBreak/>
        <w:br/>
        <w:t>Lægemiddelstyrelsen</w:t>
      </w:r>
    </w:p>
    <w:p w:rsidR="009B5F39" w:rsidRPr="009B5F39" w:rsidRDefault="009B5F39" w:rsidP="009B5F39">
      <w:pPr>
        <w:tabs>
          <w:tab w:val="left" w:pos="851"/>
        </w:tabs>
        <w:ind w:left="851"/>
        <w:rPr>
          <w:sz w:val="24"/>
          <w:szCs w:val="24"/>
        </w:rPr>
      </w:pPr>
      <w:r w:rsidRPr="009B5F39">
        <w:rPr>
          <w:sz w:val="24"/>
          <w:szCs w:val="24"/>
        </w:rPr>
        <w:t>Axel Heides Gade 1</w:t>
      </w:r>
    </w:p>
    <w:p w:rsidR="009B5F39" w:rsidRPr="009B5F39" w:rsidRDefault="009B5F39" w:rsidP="009B5F39">
      <w:pPr>
        <w:tabs>
          <w:tab w:val="left" w:pos="851"/>
        </w:tabs>
        <w:ind w:left="851"/>
        <w:rPr>
          <w:sz w:val="24"/>
          <w:szCs w:val="24"/>
        </w:rPr>
      </w:pPr>
      <w:r w:rsidRPr="009B5F39">
        <w:rPr>
          <w:sz w:val="24"/>
          <w:szCs w:val="24"/>
        </w:rPr>
        <w:t>DK-2300 København S</w:t>
      </w:r>
    </w:p>
    <w:p w:rsidR="009B5F39" w:rsidRPr="009B5F39" w:rsidRDefault="009B5F39" w:rsidP="009B5F39">
      <w:pPr>
        <w:tabs>
          <w:tab w:val="left" w:pos="851"/>
        </w:tabs>
        <w:ind w:left="851"/>
        <w:rPr>
          <w:sz w:val="24"/>
          <w:szCs w:val="24"/>
        </w:rPr>
      </w:pPr>
      <w:r w:rsidRPr="009B5F39">
        <w:rPr>
          <w:sz w:val="24"/>
          <w:szCs w:val="24"/>
        </w:rPr>
        <w:t xml:space="preserve">Websted: www.meldenbivirkning.dk </w:t>
      </w:r>
    </w:p>
    <w:p w:rsidR="009260DE" w:rsidRPr="00A10294" w:rsidRDefault="009260DE" w:rsidP="00A1029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061BCE" w:rsidRDefault="00061BCE" w:rsidP="00061BCE">
      <w:pPr>
        <w:ind w:left="851"/>
        <w:rPr>
          <w:color w:val="000000"/>
          <w:sz w:val="24"/>
          <w:szCs w:val="24"/>
        </w:rPr>
      </w:pPr>
      <w:r>
        <w:rPr>
          <w:color w:val="000000"/>
          <w:sz w:val="24"/>
          <w:szCs w:val="24"/>
        </w:rPr>
        <w:t xml:space="preserve">Der er begrænset data med hensyn til overdosering hos mennesker. De mest fremtrædende symptomer indberettet til dato er udtalt hypotension indsættende ca. 6 timer efter indtagelse af tabletter samtidig med blokade af </w:t>
      </w:r>
      <w:proofErr w:type="spellStart"/>
      <w:r>
        <w:rPr>
          <w:color w:val="000000"/>
          <w:sz w:val="24"/>
          <w:szCs w:val="24"/>
        </w:rPr>
        <w:t>renin</w:t>
      </w:r>
      <w:proofErr w:type="spellEnd"/>
      <w:r>
        <w:rPr>
          <w:color w:val="000000"/>
          <w:sz w:val="24"/>
          <w:szCs w:val="24"/>
        </w:rPr>
        <w:t>-</w:t>
      </w:r>
      <w:proofErr w:type="spellStart"/>
      <w:r>
        <w:rPr>
          <w:color w:val="000000"/>
          <w:sz w:val="24"/>
          <w:szCs w:val="24"/>
        </w:rPr>
        <w:t>angiotensin</w:t>
      </w:r>
      <w:proofErr w:type="spellEnd"/>
      <w:r>
        <w:rPr>
          <w:color w:val="000000"/>
          <w:sz w:val="24"/>
          <w:szCs w:val="24"/>
        </w:rPr>
        <w:t xml:space="preserve">-systemet og </w:t>
      </w:r>
      <w:proofErr w:type="spellStart"/>
      <w:r>
        <w:rPr>
          <w:color w:val="000000"/>
          <w:sz w:val="24"/>
          <w:szCs w:val="24"/>
        </w:rPr>
        <w:t>stupor</w:t>
      </w:r>
      <w:proofErr w:type="spellEnd"/>
      <w:r>
        <w:rPr>
          <w:color w:val="000000"/>
          <w:sz w:val="24"/>
          <w:szCs w:val="24"/>
        </w:rPr>
        <w:t>. Symptomer forbundet med overdosis af ACE-</w:t>
      </w:r>
      <w:proofErr w:type="spellStart"/>
      <w:r>
        <w:rPr>
          <w:color w:val="000000"/>
          <w:sz w:val="24"/>
          <w:szCs w:val="24"/>
        </w:rPr>
        <w:t>hæmmere</w:t>
      </w:r>
      <w:proofErr w:type="spellEnd"/>
      <w:r>
        <w:rPr>
          <w:color w:val="000000"/>
          <w:sz w:val="24"/>
          <w:szCs w:val="24"/>
        </w:rPr>
        <w:t xml:space="preserve"> kan omfatte kredsløbschok, elektrolytforstyrrelser, nyreinsufficiens, hyperventilation, </w:t>
      </w:r>
      <w:proofErr w:type="spellStart"/>
      <w:r>
        <w:rPr>
          <w:color w:val="000000"/>
          <w:sz w:val="24"/>
          <w:szCs w:val="24"/>
        </w:rPr>
        <w:t>takykardi</w:t>
      </w:r>
      <w:proofErr w:type="spellEnd"/>
      <w:r>
        <w:rPr>
          <w:color w:val="000000"/>
          <w:sz w:val="24"/>
          <w:szCs w:val="24"/>
        </w:rPr>
        <w:t xml:space="preserve">, </w:t>
      </w:r>
      <w:proofErr w:type="spellStart"/>
      <w:r>
        <w:rPr>
          <w:color w:val="000000"/>
          <w:sz w:val="24"/>
          <w:szCs w:val="24"/>
        </w:rPr>
        <w:t>palpitationer</w:t>
      </w:r>
      <w:proofErr w:type="spellEnd"/>
      <w:r>
        <w:rPr>
          <w:color w:val="000000"/>
          <w:sz w:val="24"/>
          <w:szCs w:val="24"/>
        </w:rPr>
        <w:t xml:space="preserve">, bradykardi, svimmelhed, angst og hoste. Der er indberettet </w:t>
      </w:r>
      <w:proofErr w:type="spellStart"/>
      <w:r>
        <w:rPr>
          <w:color w:val="000000"/>
          <w:sz w:val="24"/>
          <w:szCs w:val="24"/>
        </w:rPr>
        <w:t>serumenalaprilat</w:t>
      </w:r>
      <w:proofErr w:type="spellEnd"/>
      <w:r>
        <w:rPr>
          <w:color w:val="000000"/>
          <w:sz w:val="24"/>
          <w:szCs w:val="24"/>
        </w:rPr>
        <w:t xml:space="preserve">-niveauer 100 og 200 gange højere end normalt set efter terapeutiske doser efter indtagelse af henholdsvis 300 mg og 440 mg </w:t>
      </w:r>
      <w:proofErr w:type="spellStart"/>
      <w:r>
        <w:rPr>
          <w:color w:val="000000"/>
          <w:sz w:val="24"/>
          <w:szCs w:val="24"/>
        </w:rPr>
        <w:t>enalapril</w:t>
      </w:r>
      <w:proofErr w:type="spellEnd"/>
      <w:r>
        <w:rPr>
          <w:color w:val="000000"/>
          <w:sz w:val="24"/>
          <w:szCs w:val="24"/>
        </w:rPr>
        <w:t>.</w:t>
      </w:r>
    </w:p>
    <w:p w:rsidR="00061BCE" w:rsidRDefault="00061BCE" w:rsidP="00061BCE">
      <w:pPr>
        <w:ind w:left="851"/>
        <w:rPr>
          <w:color w:val="000000"/>
          <w:sz w:val="24"/>
          <w:szCs w:val="24"/>
        </w:rPr>
      </w:pPr>
    </w:p>
    <w:p w:rsidR="00061BCE" w:rsidRDefault="00061BCE" w:rsidP="00061BCE">
      <w:pPr>
        <w:ind w:left="851"/>
        <w:rPr>
          <w:color w:val="000000"/>
          <w:sz w:val="24"/>
          <w:szCs w:val="24"/>
        </w:rPr>
      </w:pPr>
      <w:r>
        <w:rPr>
          <w:color w:val="000000"/>
          <w:sz w:val="24"/>
          <w:szCs w:val="24"/>
        </w:rPr>
        <w:t xml:space="preserve">Anbefalet behandling af overdosering er intravenøs infusion af saltvandsopløsning. Hvis der opstår hypotension, skal patienten placeres i </w:t>
      </w:r>
      <w:proofErr w:type="spellStart"/>
      <w:r>
        <w:rPr>
          <w:color w:val="000000"/>
          <w:sz w:val="24"/>
          <w:szCs w:val="24"/>
        </w:rPr>
        <w:t>Trendelenburgs</w:t>
      </w:r>
      <w:proofErr w:type="spellEnd"/>
      <w:r>
        <w:rPr>
          <w:color w:val="000000"/>
          <w:sz w:val="24"/>
          <w:szCs w:val="24"/>
        </w:rPr>
        <w:t xml:space="preserve"> leje. Behandling med </w:t>
      </w:r>
      <w:proofErr w:type="spellStart"/>
      <w:r>
        <w:rPr>
          <w:color w:val="000000"/>
          <w:sz w:val="24"/>
          <w:szCs w:val="24"/>
        </w:rPr>
        <w:t>angiotensin</w:t>
      </w:r>
      <w:proofErr w:type="spellEnd"/>
      <w:r>
        <w:rPr>
          <w:color w:val="000000"/>
          <w:sz w:val="24"/>
          <w:szCs w:val="24"/>
        </w:rPr>
        <w:t xml:space="preserve"> II infusion og/eller intravenøse </w:t>
      </w:r>
      <w:proofErr w:type="spellStart"/>
      <w:r>
        <w:rPr>
          <w:color w:val="000000"/>
          <w:sz w:val="24"/>
          <w:szCs w:val="24"/>
        </w:rPr>
        <w:t>catecholaminer</w:t>
      </w:r>
      <w:proofErr w:type="spellEnd"/>
      <w:r>
        <w:rPr>
          <w:color w:val="000000"/>
          <w:sz w:val="24"/>
          <w:szCs w:val="24"/>
        </w:rPr>
        <w:t xml:space="preserve"> kan også overvejes, hvis det er tilgængeligt. Hvis indtagelse er sket for nylig, bør der tages skridt til at eliminere </w:t>
      </w:r>
      <w:proofErr w:type="spellStart"/>
      <w:r>
        <w:rPr>
          <w:color w:val="000000"/>
          <w:sz w:val="24"/>
          <w:szCs w:val="24"/>
        </w:rPr>
        <w:t>enalaprilmaleat</w:t>
      </w:r>
      <w:proofErr w:type="spellEnd"/>
      <w:r>
        <w:rPr>
          <w:color w:val="000000"/>
          <w:sz w:val="24"/>
          <w:szCs w:val="24"/>
        </w:rPr>
        <w:t xml:space="preserve"> (fx opkastning, udpumpning, administration af </w:t>
      </w:r>
      <w:proofErr w:type="spellStart"/>
      <w:r>
        <w:rPr>
          <w:color w:val="000000"/>
          <w:sz w:val="24"/>
          <w:szCs w:val="24"/>
        </w:rPr>
        <w:t>adsorbenser</w:t>
      </w:r>
      <w:proofErr w:type="spellEnd"/>
      <w:r>
        <w:rPr>
          <w:color w:val="000000"/>
          <w:sz w:val="24"/>
          <w:szCs w:val="24"/>
        </w:rPr>
        <w:t xml:space="preserve"> og natriumsulfat). </w:t>
      </w:r>
      <w:proofErr w:type="spellStart"/>
      <w:r>
        <w:rPr>
          <w:color w:val="000000"/>
          <w:sz w:val="24"/>
          <w:szCs w:val="24"/>
        </w:rPr>
        <w:t>Enalaprilat</w:t>
      </w:r>
      <w:proofErr w:type="spellEnd"/>
      <w:r>
        <w:rPr>
          <w:color w:val="000000"/>
          <w:sz w:val="24"/>
          <w:szCs w:val="24"/>
        </w:rPr>
        <w:t xml:space="preserve"> kan fjernes fra det systemiske kredsløb ved hæmodialyse (se pkt. 4.4.). Behandling med pacemaker er indiceret ved behandlingsresistent bradykardi. Vitale parametre, serumelektrolytter og </w:t>
      </w:r>
      <w:proofErr w:type="spellStart"/>
      <w:r>
        <w:rPr>
          <w:color w:val="000000"/>
          <w:sz w:val="24"/>
          <w:szCs w:val="24"/>
        </w:rPr>
        <w:t>kreatininkoncentrationer</w:t>
      </w:r>
      <w:proofErr w:type="spellEnd"/>
      <w:r>
        <w:rPr>
          <w:color w:val="000000"/>
          <w:sz w:val="24"/>
          <w:szCs w:val="24"/>
        </w:rPr>
        <w:t xml:space="preserve"> bør løbende kontrolleres.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061BCE" w:rsidP="009260DE">
      <w:pPr>
        <w:tabs>
          <w:tab w:val="left" w:pos="851"/>
        </w:tabs>
        <w:ind w:left="851"/>
        <w:rPr>
          <w:sz w:val="24"/>
          <w:szCs w:val="24"/>
        </w:rPr>
      </w:pPr>
      <w:r>
        <w:rPr>
          <w:sz w:val="24"/>
          <w:szCs w:val="24"/>
        </w:rPr>
        <w:t>B</w:t>
      </w:r>
    </w:p>
    <w:p w:rsidR="009260DE" w:rsidRPr="00C84483" w:rsidRDefault="009260DE" w:rsidP="00CE4BB6">
      <w:pPr>
        <w:tabs>
          <w:tab w:val="left" w:pos="851"/>
        </w:tabs>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46204D" w:rsidRDefault="0046204D" w:rsidP="00945E16">
      <w:pPr>
        <w:autoSpaceDE w:val="0"/>
        <w:autoSpaceDN w:val="0"/>
        <w:adjustRightInd w:val="0"/>
        <w:ind w:left="851"/>
        <w:rPr>
          <w:bCs/>
          <w:sz w:val="24"/>
          <w:szCs w:val="24"/>
        </w:rPr>
      </w:pPr>
      <w:proofErr w:type="spellStart"/>
      <w:r>
        <w:rPr>
          <w:color w:val="000000"/>
          <w:sz w:val="24"/>
          <w:szCs w:val="24"/>
        </w:rPr>
        <w:t>Farmakoterapeutisk</w:t>
      </w:r>
      <w:proofErr w:type="spellEnd"/>
      <w:r>
        <w:rPr>
          <w:color w:val="000000"/>
          <w:sz w:val="24"/>
          <w:szCs w:val="24"/>
        </w:rPr>
        <w:t xml:space="preserve"> klassifikation: </w:t>
      </w:r>
      <w:r w:rsidRPr="007F2CC8">
        <w:rPr>
          <w:bCs/>
          <w:sz w:val="24"/>
          <w:szCs w:val="24"/>
        </w:rPr>
        <w:t>ACE-</w:t>
      </w:r>
      <w:proofErr w:type="spellStart"/>
      <w:r w:rsidRPr="007F2CC8">
        <w:rPr>
          <w:bCs/>
          <w:sz w:val="24"/>
          <w:szCs w:val="24"/>
        </w:rPr>
        <w:t>hæmmere</w:t>
      </w:r>
      <w:proofErr w:type="spellEnd"/>
      <w:r w:rsidRPr="007F2CC8">
        <w:rPr>
          <w:bCs/>
          <w:sz w:val="24"/>
          <w:szCs w:val="24"/>
        </w:rPr>
        <w:t>, usammensatte</w:t>
      </w:r>
      <w:r>
        <w:rPr>
          <w:bCs/>
          <w:sz w:val="24"/>
          <w:szCs w:val="24"/>
        </w:rPr>
        <w:t>, ATC-kode: C09AA02.</w:t>
      </w:r>
    </w:p>
    <w:p w:rsidR="0046204D" w:rsidRDefault="0046204D" w:rsidP="00945E16">
      <w:pPr>
        <w:autoSpaceDE w:val="0"/>
        <w:autoSpaceDN w:val="0"/>
        <w:adjustRightInd w:val="0"/>
        <w:ind w:left="851"/>
        <w:rPr>
          <w:color w:val="000000"/>
          <w:sz w:val="24"/>
          <w:szCs w:val="24"/>
        </w:rPr>
      </w:pPr>
    </w:p>
    <w:p w:rsidR="00945E16" w:rsidRDefault="00945E16" w:rsidP="00945E16">
      <w:pPr>
        <w:autoSpaceDE w:val="0"/>
        <w:autoSpaceDN w:val="0"/>
        <w:adjustRightInd w:val="0"/>
        <w:ind w:left="851"/>
        <w:rPr>
          <w:color w:val="000000"/>
          <w:sz w:val="24"/>
          <w:szCs w:val="24"/>
        </w:rPr>
      </w:pPr>
      <w:proofErr w:type="spellStart"/>
      <w:r>
        <w:rPr>
          <w:color w:val="000000"/>
          <w:sz w:val="24"/>
          <w:szCs w:val="24"/>
        </w:rPr>
        <w:t>Enalapril</w:t>
      </w:r>
      <w:proofErr w:type="spellEnd"/>
      <w:r>
        <w:rPr>
          <w:color w:val="000000"/>
          <w:sz w:val="24"/>
          <w:szCs w:val="24"/>
        </w:rPr>
        <w:t xml:space="preserve"> "</w:t>
      </w:r>
      <w:proofErr w:type="spellStart"/>
      <w:r>
        <w:rPr>
          <w:color w:val="000000"/>
          <w:sz w:val="24"/>
          <w:szCs w:val="24"/>
        </w:rPr>
        <w:t>Accord</w:t>
      </w:r>
      <w:proofErr w:type="spellEnd"/>
      <w:r>
        <w:rPr>
          <w:color w:val="000000"/>
          <w:sz w:val="24"/>
          <w:szCs w:val="24"/>
        </w:rPr>
        <w:t>" (</w:t>
      </w:r>
      <w:proofErr w:type="spellStart"/>
      <w:r>
        <w:rPr>
          <w:color w:val="000000"/>
          <w:sz w:val="24"/>
          <w:szCs w:val="24"/>
        </w:rPr>
        <w:t>enalaprilmaleat</w:t>
      </w:r>
      <w:proofErr w:type="spellEnd"/>
      <w:r>
        <w:rPr>
          <w:color w:val="000000"/>
          <w:sz w:val="24"/>
          <w:szCs w:val="24"/>
        </w:rPr>
        <w:t xml:space="preserve">) er </w:t>
      </w:r>
      <w:proofErr w:type="spellStart"/>
      <w:r>
        <w:rPr>
          <w:color w:val="000000"/>
          <w:sz w:val="24"/>
          <w:szCs w:val="24"/>
        </w:rPr>
        <w:t>maleatsaltet</w:t>
      </w:r>
      <w:proofErr w:type="spellEnd"/>
      <w:r>
        <w:rPr>
          <w:color w:val="000000"/>
          <w:sz w:val="24"/>
          <w:szCs w:val="24"/>
        </w:rPr>
        <w:t xml:space="preserve"> af </w:t>
      </w:r>
      <w:proofErr w:type="spellStart"/>
      <w:r>
        <w:rPr>
          <w:color w:val="000000"/>
          <w:sz w:val="24"/>
          <w:szCs w:val="24"/>
        </w:rPr>
        <w:t>enalapril</w:t>
      </w:r>
      <w:proofErr w:type="spellEnd"/>
      <w:r>
        <w:rPr>
          <w:color w:val="000000"/>
          <w:sz w:val="24"/>
          <w:szCs w:val="24"/>
        </w:rPr>
        <w:t>, et derivat af to aminosyrer, L-</w:t>
      </w:r>
      <w:proofErr w:type="spellStart"/>
      <w:r>
        <w:rPr>
          <w:color w:val="000000"/>
          <w:sz w:val="24"/>
          <w:szCs w:val="24"/>
        </w:rPr>
        <w:t>alanin</w:t>
      </w:r>
      <w:proofErr w:type="spellEnd"/>
      <w:r>
        <w:rPr>
          <w:color w:val="000000"/>
          <w:sz w:val="24"/>
          <w:szCs w:val="24"/>
        </w:rPr>
        <w:t xml:space="preserve"> og L-</w:t>
      </w:r>
      <w:proofErr w:type="spellStart"/>
      <w:r>
        <w:rPr>
          <w:color w:val="000000"/>
          <w:sz w:val="24"/>
          <w:szCs w:val="24"/>
        </w:rPr>
        <w:t>prolin</w:t>
      </w:r>
      <w:proofErr w:type="spellEnd"/>
      <w:r>
        <w:rPr>
          <w:color w:val="000000"/>
          <w:sz w:val="24"/>
          <w:szCs w:val="24"/>
        </w:rPr>
        <w:t xml:space="preserve">. </w:t>
      </w:r>
      <w:proofErr w:type="spellStart"/>
      <w:r>
        <w:rPr>
          <w:color w:val="000000"/>
          <w:sz w:val="24"/>
          <w:szCs w:val="24"/>
        </w:rPr>
        <w:t>Angiotensinkonverterende</w:t>
      </w:r>
      <w:proofErr w:type="spellEnd"/>
      <w:r>
        <w:rPr>
          <w:color w:val="000000"/>
          <w:sz w:val="24"/>
          <w:szCs w:val="24"/>
        </w:rPr>
        <w:t xml:space="preserve"> enzym (ACE) er en </w:t>
      </w:r>
      <w:proofErr w:type="spellStart"/>
      <w:r>
        <w:rPr>
          <w:color w:val="000000"/>
          <w:sz w:val="24"/>
          <w:szCs w:val="24"/>
        </w:rPr>
        <w:t>peptidyldipeptidase</w:t>
      </w:r>
      <w:proofErr w:type="spellEnd"/>
      <w:r>
        <w:rPr>
          <w:color w:val="000000"/>
          <w:sz w:val="24"/>
          <w:szCs w:val="24"/>
        </w:rPr>
        <w:t xml:space="preserve">, som katalyserer konverteringen af </w:t>
      </w:r>
      <w:proofErr w:type="spellStart"/>
      <w:r>
        <w:rPr>
          <w:color w:val="000000"/>
          <w:sz w:val="24"/>
          <w:szCs w:val="24"/>
        </w:rPr>
        <w:t>angiotensin</w:t>
      </w:r>
      <w:proofErr w:type="spellEnd"/>
      <w:r>
        <w:rPr>
          <w:color w:val="000000"/>
          <w:sz w:val="24"/>
          <w:szCs w:val="24"/>
        </w:rPr>
        <w:t xml:space="preserve"> I til </w:t>
      </w:r>
      <w:proofErr w:type="spellStart"/>
      <w:r>
        <w:rPr>
          <w:color w:val="000000"/>
          <w:sz w:val="24"/>
          <w:szCs w:val="24"/>
        </w:rPr>
        <w:t>pressorsubstansen</w:t>
      </w:r>
      <w:proofErr w:type="spellEnd"/>
      <w:r>
        <w:rPr>
          <w:color w:val="000000"/>
          <w:sz w:val="24"/>
          <w:szCs w:val="24"/>
        </w:rPr>
        <w:t xml:space="preserve"> </w:t>
      </w:r>
      <w:proofErr w:type="spellStart"/>
      <w:r>
        <w:rPr>
          <w:color w:val="000000"/>
          <w:sz w:val="24"/>
          <w:szCs w:val="24"/>
        </w:rPr>
        <w:t>angiotensin</w:t>
      </w:r>
      <w:proofErr w:type="spellEnd"/>
      <w:r>
        <w:rPr>
          <w:color w:val="000000"/>
          <w:sz w:val="24"/>
          <w:szCs w:val="24"/>
        </w:rPr>
        <w:t xml:space="preserve"> II. Efter absorption hydrolyseres </w:t>
      </w:r>
      <w:proofErr w:type="spellStart"/>
      <w:r>
        <w:rPr>
          <w:color w:val="000000"/>
          <w:sz w:val="24"/>
          <w:szCs w:val="24"/>
        </w:rPr>
        <w:t>enalapril</w:t>
      </w:r>
      <w:proofErr w:type="spellEnd"/>
      <w:r>
        <w:rPr>
          <w:color w:val="000000"/>
          <w:sz w:val="24"/>
          <w:szCs w:val="24"/>
        </w:rPr>
        <w:t xml:space="preserve"> til </w:t>
      </w:r>
      <w:proofErr w:type="spellStart"/>
      <w:r>
        <w:rPr>
          <w:color w:val="000000"/>
          <w:sz w:val="24"/>
          <w:szCs w:val="24"/>
        </w:rPr>
        <w:t>enalaprilat</w:t>
      </w:r>
      <w:proofErr w:type="spellEnd"/>
      <w:r>
        <w:rPr>
          <w:color w:val="000000"/>
          <w:sz w:val="24"/>
          <w:szCs w:val="24"/>
        </w:rPr>
        <w:t xml:space="preserve">, der hæmmer ACE. Hæmning af ACE resulterer i nedsat </w:t>
      </w:r>
      <w:proofErr w:type="spellStart"/>
      <w:r>
        <w:rPr>
          <w:color w:val="000000"/>
          <w:sz w:val="24"/>
          <w:szCs w:val="24"/>
        </w:rPr>
        <w:t>plasmaangiotensin</w:t>
      </w:r>
      <w:proofErr w:type="spellEnd"/>
      <w:r>
        <w:rPr>
          <w:color w:val="000000"/>
          <w:sz w:val="24"/>
          <w:szCs w:val="24"/>
        </w:rPr>
        <w:t xml:space="preserve"> II, der medfører øget </w:t>
      </w:r>
      <w:proofErr w:type="spellStart"/>
      <w:r>
        <w:rPr>
          <w:color w:val="000000"/>
          <w:sz w:val="24"/>
          <w:szCs w:val="24"/>
        </w:rPr>
        <w:t>plasmareninaktivitet</w:t>
      </w:r>
      <w:proofErr w:type="spellEnd"/>
      <w:r>
        <w:rPr>
          <w:color w:val="000000"/>
          <w:sz w:val="24"/>
          <w:szCs w:val="24"/>
        </w:rPr>
        <w:t xml:space="preserve"> (pga. fjernelse af negativ feedback fra </w:t>
      </w:r>
      <w:proofErr w:type="spellStart"/>
      <w:r>
        <w:rPr>
          <w:color w:val="000000"/>
          <w:sz w:val="24"/>
          <w:szCs w:val="24"/>
        </w:rPr>
        <w:t>reninfrigørelse</w:t>
      </w:r>
      <w:proofErr w:type="spellEnd"/>
      <w:r>
        <w:rPr>
          <w:color w:val="000000"/>
          <w:sz w:val="24"/>
          <w:szCs w:val="24"/>
        </w:rPr>
        <w:t xml:space="preserve">) og nedsat </w:t>
      </w:r>
      <w:proofErr w:type="spellStart"/>
      <w:r>
        <w:rPr>
          <w:color w:val="000000"/>
          <w:sz w:val="24"/>
          <w:szCs w:val="24"/>
        </w:rPr>
        <w:t>aldosteronsekretion</w:t>
      </w:r>
      <w:proofErr w:type="spellEnd"/>
      <w:r>
        <w:rPr>
          <w:color w:val="000000"/>
          <w:sz w:val="24"/>
          <w:szCs w:val="24"/>
        </w:rPr>
        <w:t>.</w:t>
      </w:r>
    </w:p>
    <w:p w:rsidR="00945E16" w:rsidRDefault="00945E16" w:rsidP="00945E16">
      <w:pPr>
        <w:ind w:left="851"/>
        <w:rPr>
          <w:color w:val="000000"/>
          <w:sz w:val="24"/>
          <w:szCs w:val="24"/>
        </w:rPr>
      </w:pPr>
    </w:p>
    <w:p w:rsidR="00945E16" w:rsidRDefault="00945E16" w:rsidP="00945E16">
      <w:pPr>
        <w:ind w:left="851"/>
        <w:rPr>
          <w:color w:val="000000"/>
          <w:sz w:val="24"/>
          <w:szCs w:val="24"/>
        </w:rPr>
      </w:pPr>
      <w:r>
        <w:rPr>
          <w:color w:val="000000"/>
          <w:sz w:val="24"/>
          <w:szCs w:val="24"/>
        </w:rPr>
        <w:t xml:space="preserve">ACE er identisk med </w:t>
      </w:r>
      <w:proofErr w:type="spellStart"/>
      <w:r>
        <w:rPr>
          <w:color w:val="000000"/>
          <w:sz w:val="24"/>
          <w:szCs w:val="24"/>
        </w:rPr>
        <w:t>kinase</w:t>
      </w:r>
      <w:proofErr w:type="spellEnd"/>
      <w:r>
        <w:rPr>
          <w:color w:val="000000"/>
          <w:sz w:val="24"/>
          <w:szCs w:val="24"/>
        </w:rPr>
        <w:t xml:space="preserve"> II. </w:t>
      </w:r>
      <w:proofErr w:type="spellStart"/>
      <w:r>
        <w:rPr>
          <w:color w:val="000000"/>
          <w:sz w:val="24"/>
          <w:szCs w:val="24"/>
        </w:rPr>
        <w:t>Enalapril</w:t>
      </w:r>
      <w:proofErr w:type="spellEnd"/>
      <w:r>
        <w:rPr>
          <w:color w:val="000000"/>
          <w:sz w:val="24"/>
          <w:szCs w:val="24"/>
        </w:rPr>
        <w:t xml:space="preserve"> "</w:t>
      </w:r>
      <w:proofErr w:type="spellStart"/>
      <w:r>
        <w:rPr>
          <w:color w:val="000000"/>
          <w:sz w:val="24"/>
          <w:szCs w:val="24"/>
        </w:rPr>
        <w:t>Accord</w:t>
      </w:r>
      <w:proofErr w:type="spellEnd"/>
      <w:r>
        <w:rPr>
          <w:color w:val="000000"/>
          <w:sz w:val="24"/>
          <w:szCs w:val="24"/>
        </w:rPr>
        <w:t xml:space="preserve">" kan dermed blokere nedbrydning af bradykinin, et potent </w:t>
      </w:r>
      <w:proofErr w:type="spellStart"/>
      <w:r>
        <w:rPr>
          <w:color w:val="000000"/>
          <w:sz w:val="24"/>
          <w:szCs w:val="24"/>
        </w:rPr>
        <w:t>vasodepressorpeptid</w:t>
      </w:r>
      <w:proofErr w:type="spellEnd"/>
      <w:r>
        <w:rPr>
          <w:color w:val="000000"/>
          <w:sz w:val="24"/>
          <w:szCs w:val="24"/>
        </w:rPr>
        <w:t xml:space="preserve">. Betydningen af dette for </w:t>
      </w:r>
      <w:proofErr w:type="spellStart"/>
      <w:r>
        <w:rPr>
          <w:color w:val="000000"/>
          <w:sz w:val="24"/>
          <w:szCs w:val="24"/>
        </w:rPr>
        <w:t>Enalapril</w:t>
      </w:r>
      <w:proofErr w:type="spellEnd"/>
      <w:r>
        <w:rPr>
          <w:color w:val="000000"/>
          <w:sz w:val="24"/>
          <w:szCs w:val="24"/>
        </w:rPr>
        <w:t xml:space="preserve"> "</w:t>
      </w:r>
      <w:proofErr w:type="spellStart"/>
      <w:r>
        <w:rPr>
          <w:color w:val="000000"/>
          <w:sz w:val="24"/>
          <w:szCs w:val="24"/>
        </w:rPr>
        <w:t>Accord"s</w:t>
      </w:r>
      <w:proofErr w:type="spellEnd"/>
      <w:r>
        <w:rPr>
          <w:color w:val="000000"/>
          <w:sz w:val="24"/>
          <w:szCs w:val="24"/>
        </w:rPr>
        <w:t xml:space="preserve"> terapeutiske virkning er dog endnu ikke belyst.</w:t>
      </w:r>
    </w:p>
    <w:p w:rsidR="00945E16" w:rsidRDefault="00945E16" w:rsidP="00945E16">
      <w:pPr>
        <w:ind w:left="851"/>
        <w:rPr>
          <w:color w:val="000000"/>
          <w:sz w:val="24"/>
          <w:szCs w:val="24"/>
        </w:rPr>
      </w:pPr>
    </w:p>
    <w:p w:rsidR="00945E16" w:rsidRDefault="00945E16" w:rsidP="00945E16">
      <w:pPr>
        <w:ind w:left="851"/>
        <w:rPr>
          <w:color w:val="000000"/>
          <w:sz w:val="24"/>
          <w:szCs w:val="24"/>
          <w:u w:val="single"/>
        </w:rPr>
      </w:pPr>
      <w:r>
        <w:rPr>
          <w:color w:val="000000"/>
          <w:sz w:val="24"/>
          <w:szCs w:val="24"/>
          <w:u w:val="single"/>
        </w:rPr>
        <w:t>Virkningsmekanisme</w:t>
      </w:r>
    </w:p>
    <w:p w:rsidR="00945E16" w:rsidRDefault="00945E16" w:rsidP="00945E16">
      <w:pPr>
        <w:ind w:left="851"/>
        <w:rPr>
          <w:color w:val="000000"/>
          <w:sz w:val="24"/>
          <w:szCs w:val="24"/>
        </w:rPr>
      </w:pPr>
      <w:r>
        <w:rPr>
          <w:color w:val="000000"/>
          <w:sz w:val="24"/>
          <w:szCs w:val="24"/>
        </w:rPr>
        <w:t xml:space="preserve">Selvom </w:t>
      </w:r>
      <w:proofErr w:type="spellStart"/>
      <w:r>
        <w:rPr>
          <w:color w:val="000000"/>
          <w:sz w:val="24"/>
          <w:szCs w:val="24"/>
        </w:rPr>
        <w:t>Enalapril</w:t>
      </w:r>
      <w:proofErr w:type="spellEnd"/>
      <w:r>
        <w:rPr>
          <w:color w:val="000000"/>
          <w:sz w:val="24"/>
          <w:szCs w:val="24"/>
        </w:rPr>
        <w:t xml:space="preserve"> "</w:t>
      </w:r>
      <w:proofErr w:type="spellStart"/>
      <w:r>
        <w:rPr>
          <w:color w:val="000000"/>
          <w:sz w:val="24"/>
          <w:szCs w:val="24"/>
        </w:rPr>
        <w:t>Accord"s</w:t>
      </w:r>
      <w:proofErr w:type="spellEnd"/>
      <w:r>
        <w:rPr>
          <w:color w:val="000000"/>
          <w:sz w:val="24"/>
          <w:szCs w:val="24"/>
        </w:rPr>
        <w:t xml:space="preserve"> blodtrykssænkende mekanisme menes primært at være suppression af </w:t>
      </w:r>
      <w:proofErr w:type="spellStart"/>
      <w:r>
        <w:rPr>
          <w:color w:val="000000"/>
          <w:sz w:val="24"/>
          <w:szCs w:val="24"/>
        </w:rPr>
        <w:t>renin-angiotensin-aldosteronsystemet</w:t>
      </w:r>
      <w:proofErr w:type="spellEnd"/>
      <w:r>
        <w:rPr>
          <w:color w:val="000000"/>
          <w:sz w:val="24"/>
          <w:szCs w:val="24"/>
        </w:rPr>
        <w:t xml:space="preserve">, virker </w:t>
      </w:r>
      <w:proofErr w:type="spellStart"/>
      <w:r>
        <w:rPr>
          <w:color w:val="000000"/>
          <w:sz w:val="24"/>
          <w:szCs w:val="24"/>
        </w:rPr>
        <w:t>Enalapril</w:t>
      </w:r>
      <w:proofErr w:type="spellEnd"/>
      <w:r>
        <w:rPr>
          <w:color w:val="000000"/>
          <w:sz w:val="24"/>
          <w:szCs w:val="24"/>
        </w:rPr>
        <w:t xml:space="preserve"> "</w:t>
      </w:r>
      <w:proofErr w:type="spellStart"/>
      <w:r>
        <w:rPr>
          <w:color w:val="000000"/>
          <w:sz w:val="24"/>
          <w:szCs w:val="24"/>
        </w:rPr>
        <w:t>Accord</w:t>
      </w:r>
      <w:proofErr w:type="spellEnd"/>
      <w:r>
        <w:rPr>
          <w:color w:val="000000"/>
          <w:sz w:val="24"/>
          <w:szCs w:val="24"/>
        </w:rPr>
        <w:t xml:space="preserve">" også </w:t>
      </w:r>
      <w:proofErr w:type="spellStart"/>
      <w:r>
        <w:rPr>
          <w:color w:val="000000"/>
          <w:sz w:val="24"/>
          <w:szCs w:val="24"/>
        </w:rPr>
        <w:t>antihypertensivt</w:t>
      </w:r>
      <w:proofErr w:type="spellEnd"/>
      <w:r>
        <w:rPr>
          <w:color w:val="000000"/>
          <w:sz w:val="24"/>
          <w:szCs w:val="24"/>
        </w:rPr>
        <w:t xml:space="preserve"> hos patienter med </w:t>
      </w:r>
      <w:proofErr w:type="spellStart"/>
      <w:r>
        <w:rPr>
          <w:color w:val="000000"/>
          <w:sz w:val="24"/>
          <w:szCs w:val="24"/>
        </w:rPr>
        <w:t>lavreninhypertension</w:t>
      </w:r>
      <w:proofErr w:type="spellEnd"/>
      <w:r>
        <w:rPr>
          <w:color w:val="000000"/>
          <w:sz w:val="24"/>
          <w:szCs w:val="24"/>
        </w:rPr>
        <w:t>.</w:t>
      </w:r>
    </w:p>
    <w:p w:rsidR="00945E16" w:rsidRDefault="00945E16" w:rsidP="00945E16">
      <w:pPr>
        <w:ind w:left="851"/>
        <w:rPr>
          <w:color w:val="000000"/>
          <w:sz w:val="24"/>
          <w:szCs w:val="24"/>
          <w:u w:val="single"/>
        </w:rPr>
      </w:pPr>
    </w:p>
    <w:p w:rsidR="00CE4BB6" w:rsidRDefault="00CE4BB6" w:rsidP="00945E16">
      <w:pPr>
        <w:ind w:left="851"/>
        <w:rPr>
          <w:color w:val="000000"/>
          <w:sz w:val="24"/>
          <w:szCs w:val="24"/>
          <w:u w:val="single"/>
        </w:rPr>
      </w:pPr>
    </w:p>
    <w:p w:rsidR="00945E16" w:rsidRDefault="00945E16" w:rsidP="00945E16">
      <w:pPr>
        <w:autoSpaceDE w:val="0"/>
        <w:autoSpaceDN w:val="0"/>
        <w:adjustRightInd w:val="0"/>
        <w:ind w:left="851"/>
        <w:rPr>
          <w:color w:val="000000"/>
          <w:sz w:val="24"/>
          <w:szCs w:val="24"/>
          <w:u w:val="single"/>
        </w:rPr>
      </w:pPr>
      <w:proofErr w:type="spellStart"/>
      <w:r>
        <w:rPr>
          <w:color w:val="000000"/>
          <w:sz w:val="24"/>
          <w:szCs w:val="24"/>
          <w:u w:val="single"/>
        </w:rPr>
        <w:lastRenderedPageBreak/>
        <w:t>Farmakodynamisk</w:t>
      </w:r>
      <w:proofErr w:type="spellEnd"/>
      <w:r>
        <w:rPr>
          <w:color w:val="000000"/>
          <w:sz w:val="24"/>
          <w:szCs w:val="24"/>
          <w:u w:val="single"/>
        </w:rPr>
        <w:t xml:space="preserve"> virkning</w:t>
      </w:r>
    </w:p>
    <w:p w:rsidR="00945E16" w:rsidRDefault="00945E16" w:rsidP="00945E16">
      <w:pPr>
        <w:autoSpaceDE w:val="0"/>
        <w:autoSpaceDN w:val="0"/>
        <w:adjustRightInd w:val="0"/>
        <w:ind w:left="851"/>
        <w:rPr>
          <w:color w:val="000000"/>
          <w:sz w:val="24"/>
          <w:szCs w:val="24"/>
        </w:rPr>
      </w:pPr>
      <w:r>
        <w:rPr>
          <w:color w:val="000000"/>
          <w:sz w:val="24"/>
          <w:szCs w:val="24"/>
        </w:rPr>
        <w:t xml:space="preserve">Administration af </w:t>
      </w:r>
      <w:proofErr w:type="spellStart"/>
      <w:r>
        <w:rPr>
          <w:color w:val="000000"/>
          <w:sz w:val="24"/>
          <w:szCs w:val="24"/>
        </w:rPr>
        <w:t>Enalapril</w:t>
      </w:r>
      <w:proofErr w:type="spellEnd"/>
      <w:r>
        <w:rPr>
          <w:color w:val="000000"/>
          <w:sz w:val="24"/>
          <w:szCs w:val="24"/>
        </w:rPr>
        <w:t xml:space="preserve"> "</w:t>
      </w:r>
      <w:proofErr w:type="spellStart"/>
      <w:r>
        <w:rPr>
          <w:color w:val="000000"/>
          <w:sz w:val="24"/>
          <w:szCs w:val="24"/>
        </w:rPr>
        <w:t>Accord</w:t>
      </w:r>
      <w:proofErr w:type="spellEnd"/>
      <w:r>
        <w:rPr>
          <w:color w:val="000000"/>
          <w:sz w:val="24"/>
          <w:szCs w:val="24"/>
        </w:rPr>
        <w:t>" til patienter med hypertension reducerer både liggende og stående blodtryk uden at øge hjertefrekvensen signifikant.</w:t>
      </w:r>
    </w:p>
    <w:p w:rsidR="00945E16" w:rsidRDefault="00945E16" w:rsidP="00945E16">
      <w:pPr>
        <w:ind w:left="851"/>
        <w:rPr>
          <w:color w:val="000000"/>
          <w:sz w:val="24"/>
          <w:szCs w:val="24"/>
        </w:rPr>
      </w:pPr>
    </w:p>
    <w:p w:rsidR="00945E16" w:rsidRDefault="00945E16" w:rsidP="00945E16">
      <w:pPr>
        <w:ind w:left="851"/>
        <w:rPr>
          <w:color w:val="000000"/>
          <w:sz w:val="24"/>
          <w:szCs w:val="24"/>
        </w:rPr>
      </w:pPr>
      <w:r>
        <w:rPr>
          <w:color w:val="000000"/>
          <w:sz w:val="24"/>
          <w:szCs w:val="24"/>
        </w:rPr>
        <w:t xml:space="preserve">Symptomatisk </w:t>
      </w:r>
      <w:proofErr w:type="spellStart"/>
      <w:r>
        <w:rPr>
          <w:color w:val="000000"/>
          <w:sz w:val="24"/>
          <w:szCs w:val="24"/>
        </w:rPr>
        <w:t>postural</w:t>
      </w:r>
      <w:proofErr w:type="spellEnd"/>
      <w:r>
        <w:rPr>
          <w:color w:val="000000"/>
          <w:sz w:val="24"/>
          <w:szCs w:val="24"/>
        </w:rPr>
        <w:t xml:space="preserve"> hypotension forekommer sjældent. Hos visse patienter kan det tage adskillige ugers behandling at opnå optimalt blodtryk. Pludselig </w:t>
      </w:r>
      <w:proofErr w:type="spellStart"/>
      <w:r>
        <w:rPr>
          <w:color w:val="000000"/>
          <w:sz w:val="24"/>
          <w:szCs w:val="24"/>
        </w:rPr>
        <w:t>seponering</w:t>
      </w:r>
      <w:proofErr w:type="spellEnd"/>
      <w:r>
        <w:rPr>
          <w:color w:val="000000"/>
          <w:sz w:val="24"/>
          <w:szCs w:val="24"/>
        </w:rPr>
        <w:t xml:space="preserve"> af </w:t>
      </w:r>
      <w:proofErr w:type="spellStart"/>
      <w:r>
        <w:rPr>
          <w:color w:val="000000"/>
          <w:sz w:val="24"/>
          <w:szCs w:val="24"/>
        </w:rPr>
        <w:t>Enalapril</w:t>
      </w:r>
      <w:proofErr w:type="spellEnd"/>
      <w:r>
        <w:rPr>
          <w:color w:val="000000"/>
          <w:sz w:val="24"/>
          <w:szCs w:val="24"/>
        </w:rPr>
        <w:t xml:space="preserve"> "</w:t>
      </w:r>
      <w:proofErr w:type="spellStart"/>
      <w:r>
        <w:rPr>
          <w:color w:val="000000"/>
          <w:sz w:val="24"/>
          <w:szCs w:val="24"/>
        </w:rPr>
        <w:t>Accord</w:t>
      </w:r>
      <w:proofErr w:type="spellEnd"/>
      <w:r>
        <w:rPr>
          <w:color w:val="000000"/>
          <w:sz w:val="24"/>
          <w:szCs w:val="24"/>
        </w:rPr>
        <w:t>" er ikke forbundet med hurtig stigning i blodtrykket.</w:t>
      </w:r>
    </w:p>
    <w:p w:rsidR="00945E16" w:rsidRDefault="00945E16" w:rsidP="00945E16">
      <w:pPr>
        <w:ind w:left="851"/>
        <w:rPr>
          <w:color w:val="000000"/>
          <w:sz w:val="24"/>
          <w:szCs w:val="24"/>
        </w:rPr>
      </w:pPr>
    </w:p>
    <w:p w:rsidR="00945E16" w:rsidRDefault="00945E16" w:rsidP="00945E16">
      <w:pPr>
        <w:ind w:left="851"/>
        <w:rPr>
          <w:color w:val="000000"/>
          <w:sz w:val="24"/>
          <w:szCs w:val="24"/>
        </w:rPr>
      </w:pPr>
      <w:r>
        <w:rPr>
          <w:color w:val="000000"/>
          <w:sz w:val="24"/>
          <w:szCs w:val="24"/>
        </w:rPr>
        <w:t xml:space="preserve">Effektiv </w:t>
      </w:r>
      <w:proofErr w:type="spellStart"/>
      <w:r>
        <w:rPr>
          <w:color w:val="000000"/>
          <w:sz w:val="24"/>
          <w:szCs w:val="24"/>
        </w:rPr>
        <w:t>inhibering</w:t>
      </w:r>
      <w:proofErr w:type="spellEnd"/>
      <w:r>
        <w:rPr>
          <w:color w:val="000000"/>
          <w:sz w:val="24"/>
          <w:szCs w:val="24"/>
        </w:rPr>
        <w:t xml:space="preserve"> af ACE-aktiviteten indtræder typisk 2-4 timer efter oral administration af en enkeltdosis </w:t>
      </w:r>
      <w:proofErr w:type="spellStart"/>
      <w:r>
        <w:rPr>
          <w:color w:val="000000"/>
          <w:sz w:val="24"/>
          <w:szCs w:val="24"/>
        </w:rPr>
        <w:t>enalapril</w:t>
      </w:r>
      <w:proofErr w:type="spellEnd"/>
      <w:r>
        <w:rPr>
          <w:color w:val="000000"/>
          <w:sz w:val="24"/>
          <w:szCs w:val="24"/>
        </w:rPr>
        <w:t xml:space="preserve">. Begyndende reduktion i blodtryk ses sædvanligvis efter 1 time med maksimal reduktion 4-6 timer efter administration. Varigheden af virkningen er dosisrelateret. Ved anbefalede doser bibeholdes den </w:t>
      </w:r>
      <w:proofErr w:type="spellStart"/>
      <w:r>
        <w:rPr>
          <w:color w:val="000000"/>
          <w:sz w:val="24"/>
          <w:szCs w:val="24"/>
        </w:rPr>
        <w:t>antihypertensive</w:t>
      </w:r>
      <w:proofErr w:type="spellEnd"/>
      <w:r>
        <w:rPr>
          <w:color w:val="000000"/>
          <w:sz w:val="24"/>
          <w:szCs w:val="24"/>
        </w:rPr>
        <w:t xml:space="preserve"> og </w:t>
      </w:r>
      <w:proofErr w:type="spellStart"/>
      <w:r>
        <w:rPr>
          <w:color w:val="000000"/>
          <w:sz w:val="24"/>
          <w:szCs w:val="24"/>
        </w:rPr>
        <w:t>hæmodynamiske</w:t>
      </w:r>
      <w:proofErr w:type="spellEnd"/>
      <w:r>
        <w:rPr>
          <w:color w:val="000000"/>
          <w:sz w:val="24"/>
          <w:szCs w:val="24"/>
        </w:rPr>
        <w:t xml:space="preserve"> virkning dog i mindst 24 timer.</w:t>
      </w:r>
    </w:p>
    <w:p w:rsidR="00945E16" w:rsidRDefault="00945E16" w:rsidP="00945E16">
      <w:pPr>
        <w:ind w:left="851"/>
        <w:rPr>
          <w:color w:val="000000"/>
          <w:sz w:val="24"/>
          <w:szCs w:val="24"/>
        </w:rPr>
      </w:pPr>
    </w:p>
    <w:p w:rsidR="00945E16" w:rsidRDefault="00945E16" w:rsidP="00945E16">
      <w:pPr>
        <w:ind w:left="851"/>
        <w:rPr>
          <w:color w:val="000000"/>
          <w:sz w:val="24"/>
          <w:szCs w:val="24"/>
        </w:rPr>
      </w:pPr>
      <w:r>
        <w:rPr>
          <w:color w:val="000000"/>
          <w:sz w:val="24"/>
          <w:szCs w:val="24"/>
        </w:rPr>
        <w:t xml:space="preserve">I </w:t>
      </w:r>
      <w:proofErr w:type="spellStart"/>
      <w:r>
        <w:rPr>
          <w:color w:val="000000"/>
          <w:sz w:val="24"/>
          <w:szCs w:val="24"/>
        </w:rPr>
        <w:t>hæmodynamiske</w:t>
      </w:r>
      <w:proofErr w:type="spellEnd"/>
      <w:r>
        <w:rPr>
          <w:color w:val="000000"/>
          <w:sz w:val="24"/>
          <w:szCs w:val="24"/>
        </w:rPr>
        <w:t xml:space="preserve"> studier af patienter med essentiel hypertension er sænkning af blodtrykket forbundet med reduktion i den perifere arteriemodstand og stigning i det </w:t>
      </w:r>
      <w:proofErr w:type="spellStart"/>
      <w:r>
        <w:rPr>
          <w:color w:val="000000"/>
          <w:sz w:val="24"/>
          <w:szCs w:val="24"/>
        </w:rPr>
        <w:t>kardielle</w:t>
      </w:r>
      <w:proofErr w:type="spellEnd"/>
      <w:r>
        <w:rPr>
          <w:color w:val="000000"/>
          <w:sz w:val="24"/>
          <w:szCs w:val="24"/>
        </w:rPr>
        <w:t xml:space="preserve"> output samt lille eller ingen ændring i puls. Efter administration af </w:t>
      </w:r>
      <w:proofErr w:type="spellStart"/>
      <w:r>
        <w:rPr>
          <w:color w:val="000000"/>
          <w:sz w:val="24"/>
          <w:szCs w:val="24"/>
        </w:rPr>
        <w:t>Enalapril</w:t>
      </w:r>
      <w:proofErr w:type="spellEnd"/>
      <w:r>
        <w:rPr>
          <w:color w:val="000000"/>
          <w:sz w:val="24"/>
          <w:szCs w:val="24"/>
        </w:rPr>
        <w:t xml:space="preserve"> "</w:t>
      </w:r>
      <w:proofErr w:type="spellStart"/>
      <w:r>
        <w:rPr>
          <w:color w:val="000000"/>
          <w:sz w:val="24"/>
          <w:szCs w:val="24"/>
        </w:rPr>
        <w:t>Accord</w:t>
      </w:r>
      <w:proofErr w:type="spellEnd"/>
      <w:r>
        <w:rPr>
          <w:color w:val="000000"/>
          <w:sz w:val="24"/>
          <w:szCs w:val="24"/>
        </w:rPr>
        <w:t xml:space="preserve">" sås der øgning i </w:t>
      </w:r>
      <w:proofErr w:type="spellStart"/>
      <w:r>
        <w:rPr>
          <w:color w:val="000000"/>
          <w:sz w:val="24"/>
          <w:szCs w:val="24"/>
        </w:rPr>
        <w:t>renal</w:t>
      </w:r>
      <w:proofErr w:type="spellEnd"/>
      <w:r>
        <w:rPr>
          <w:color w:val="000000"/>
          <w:sz w:val="24"/>
          <w:szCs w:val="24"/>
        </w:rPr>
        <w:t xml:space="preserve"> gennemblødning, og den </w:t>
      </w:r>
      <w:proofErr w:type="spellStart"/>
      <w:r>
        <w:rPr>
          <w:color w:val="000000"/>
          <w:sz w:val="24"/>
          <w:szCs w:val="24"/>
        </w:rPr>
        <w:t>glomerulære</w:t>
      </w:r>
      <w:proofErr w:type="spellEnd"/>
      <w:r>
        <w:rPr>
          <w:color w:val="000000"/>
          <w:sz w:val="24"/>
          <w:szCs w:val="24"/>
        </w:rPr>
        <w:t xml:space="preserve"> filtreringshastighed forblev uændret. Der sås ingen tegn på natrium- eller væskeretention. Hos patienter med lav filtreringshastighed før behandlingsstart blev denne dog typisk øget.</w:t>
      </w:r>
    </w:p>
    <w:p w:rsidR="00945E16" w:rsidRDefault="00945E16" w:rsidP="00945E16">
      <w:pPr>
        <w:ind w:left="851"/>
        <w:rPr>
          <w:color w:val="000000"/>
          <w:sz w:val="24"/>
          <w:szCs w:val="24"/>
        </w:rPr>
      </w:pPr>
    </w:p>
    <w:p w:rsidR="00945E16" w:rsidRDefault="00945E16" w:rsidP="00945E16">
      <w:pPr>
        <w:ind w:left="851"/>
        <w:rPr>
          <w:color w:val="000000"/>
          <w:sz w:val="24"/>
          <w:szCs w:val="24"/>
        </w:rPr>
      </w:pPr>
      <w:r>
        <w:rPr>
          <w:color w:val="000000"/>
          <w:sz w:val="24"/>
          <w:szCs w:val="24"/>
        </w:rPr>
        <w:t xml:space="preserve">I korterevarende kliniske studier af diabetikere og ikke-diabetikere med nyresygdom sås fald i </w:t>
      </w:r>
      <w:proofErr w:type="spellStart"/>
      <w:r>
        <w:rPr>
          <w:color w:val="000000"/>
          <w:sz w:val="24"/>
          <w:szCs w:val="24"/>
        </w:rPr>
        <w:t>albuminuri</w:t>
      </w:r>
      <w:proofErr w:type="spellEnd"/>
      <w:r>
        <w:rPr>
          <w:color w:val="000000"/>
          <w:sz w:val="24"/>
          <w:szCs w:val="24"/>
        </w:rPr>
        <w:t xml:space="preserve">, urinudskillelse af </w:t>
      </w:r>
      <w:proofErr w:type="spellStart"/>
      <w:r>
        <w:rPr>
          <w:color w:val="000000"/>
          <w:sz w:val="24"/>
          <w:szCs w:val="24"/>
        </w:rPr>
        <w:t>IgG</w:t>
      </w:r>
      <w:proofErr w:type="spellEnd"/>
      <w:r>
        <w:rPr>
          <w:color w:val="000000"/>
          <w:sz w:val="24"/>
          <w:szCs w:val="24"/>
        </w:rPr>
        <w:t xml:space="preserve"> og totalprotein i urinen efter administration af </w:t>
      </w:r>
      <w:proofErr w:type="spellStart"/>
      <w:r>
        <w:rPr>
          <w:color w:val="000000"/>
          <w:sz w:val="24"/>
          <w:szCs w:val="24"/>
        </w:rPr>
        <w:t>enalapril</w:t>
      </w:r>
      <w:proofErr w:type="spellEnd"/>
      <w:r>
        <w:rPr>
          <w:color w:val="000000"/>
          <w:sz w:val="24"/>
          <w:szCs w:val="24"/>
        </w:rPr>
        <w:t>.</w:t>
      </w:r>
    </w:p>
    <w:p w:rsidR="00945E16" w:rsidRDefault="00945E16" w:rsidP="00945E16">
      <w:pPr>
        <w:ind w:left="851"/>
        <w:rPr>
          <w:color w:val="000000"/>
          <w:sz w:val="24"/>
          <w:szCs w:val="24"/>
        </w:rPr>
      </w:pPr>
    </w:p>
    <w:p w:rsidR="00945E16" w:rsidRDefault="00945E16" w:rsidP="00945E16">
      <w:pPr>
        <w:autoSpaceDE w:val="0"/>
        <w:autoSpaceDN w:val="0"/>
        <w:adjustRightInd w:val="0"/>
        <w:ind w:left="851"/>
        <w:rPr>
          <w:color w:val="000000"/>
          <w:sz w:val="24"/>
          <w:szCs w:val="24"/>
        </w:rPr>
      </w:pPr>
      <w:r>
        <w:rPr>
          <w:color w:val="000000"/>
          <w:sz w:val="24"/>
          <w:szCs w:val="24"/>
        </w:rPr>
        <w:t xml:space="preserve">Ved samtidig administration med </w:t>
      </w:r>
      <w:proofErr w:type="spellStart"/>
      <w:r>
        <w:rPr>
          <w:color w:val="000000"/>
          <w:sz w:val="24"/>
          <w:szCs w:val="24"/>
        </w:rPr>
        <w:t>thiazid-diuretika</w:t>
      </w:r>
      <w:proofErr w:type="spellEnd"/>
      <w:r>
        <w:rPr>
          <w:color w:val="000000"/>
          <w:sz w:val="24"/>
          <w:szCs w:val="24"/>
        </w:rPr>
        <w:t xml:space="preserve"> er den blodtrykssænkende virkning af </w:t>
      </w:r>
      <w:proofErr w:type="spellStart"/>
      <w:r>
        <w:rPr>
          <w:color w:val="000000"/>
          <w:sz w:val="24"/>
          <w:szCs w:val="24"/>
        </w:rPr>
        <w:t>Enalapril</w:t>
      </w:r>
      <w:proofErr w:type="spellEnd"/>
      <w:r>
        <w:rPr>
          <w:color w:val="000000"/>
          <w:sz w:val="24"/>
          <w:szCs w:val="24"/>
        </w:rPr>
        <w:t xml:space="preserve"> "</w:t>
      </w:r>
      <w:proofErr w:type="spellStart"/>
      <w:r>
        <w:rPr>
          <w:color w:val="000000"/>
          <w:sz w:val="24"/>
          <w:szCs w:val="24"/>
        </w:rPr>
        <w:t>Accord</w:t>
      </w:r>
      <w:proofErr w:type="spellEnd"/>
      <w:r>
        <w:rPr>
          <w:color w:val="000000"/>
          <w:sz w:val="24"/>
          <w:szCs w:val="24"/>
        </w:rPr>
        <w:t xml:space="preserve">" som minimum additiv. </w:t>
      </w:r>
      <w:proofErr w:type="spellStart"/>
      <w:r>
        <w:rPr>
          <w:color w:val="000000"/>
          <w:sz w:val="24"/>
          <w:szCs w:val="24"/>
        </w:rPr>
        <w:t>Enalapril</w:t>
      </w:r>
      <w:proofErr w:type="spellEnd"/>
      <w:r>
        <w:rPr>
          <w:color w:val="000000"/>
          <w:sz w:val="24"/>
          <w:szCs w:val="24"/>
        </w:rPr>
        <w:t xml:space="preserve"> "</w:t>
      </w:r>
      <w:proofErr w:type="spellStart"/>
      <w:r>
        <w:rPr>
          <w:color w:val="000000"/>
          <w:sz w:val="24"/>
          <w:szCs w:val="24"/>
        </w:rPr>
        <w:t>Accord</w:t>
      </w:r>
      <w:proofErr w:type="spellEnd"/>
      <w:r>
        <w:rPr>
          <w:color w:val="000000"/>
          <w:sz w:val="24"/>
          <w:szCs w:val="24"/>
        </w:rPr>
        <w:t xml:space="preserve">" kan reducere eller forebygge udvikling af </w:t>
      </w:r>
      <w:proofErr w:type="spellStart"/>
      <w:r>
        <w:rPr>
          <w:color w:val="000000"/>
          <w:sz w:val="24"/>
          <w:szCs w:val="24"/>
        </w:rPr>
        <w:t>thiazidinduceret</w:t>
      </w:r>
      <w:proofErr w:type="spellEnd"/>
      <w:r>
        <w:rPr>
          <w:color w:val="000000"/>
          <w:sz w:val="24"/>
          <w:szCs w:val="24"/>
        </w:rPr>
        <w:t xml:space="preserve"> </w:t>
      </w:r>
      <w:proofErr w:type="spellStart"/>
      <w:r>
        <w:rPr>
          <w:color w:val="000000"/>
          <w:sz w:val="24"/>
          <w:szCs w:val="24"/>
        </w:rPr>
        <w:t>hypokaliæmi</w:t>
      </w:r>
      <w:proofErr w:type="spellEnd"/>
      <w:r>
        <w:rPr>
          <w:color w:val="000000"/>
          <w:sz w:val="24"/>
          <w:szCs w:val="24"/>
        </w:rPr>
        <w:t>.</w:t>
      </w:r>
    </w:p>
    <w:p w:rsidR="00945E16" w:rsidRDefault="00945E16" w:rsidP="00945E16">
      <w:pPr>
        <w:ind w:left="851"/>
        <w:rPr>
          <w:color w:val="000000"/>
          <w:sz w:val="24"/>
          <w:szCs w:val="24"/>
        </w:rPr>
      </w:pPr>
    </w:p>
    <w:p w:rsidR="00945E16" w:rsidRDefault="00945E16" w:rsidP="00945E16">
      <w:pPr>
        <w:autoSpaceDE w:val="0"/>
        <w:autoSpaceDN w:val="0"/>
        <w:adjustRightInd w:val="0"/>
        <w:ind w:left="851"/>
        <w:rPr>
          <w:color w:val="000000"/>
          <w:sz w:val="24"/>
          <w:szCs w:val="24"/>
        </w:rPr>
      </w:pPr>
      <w:r>
        <w:rPr>
          <w:color w:val="000000"/>
          <w:sz w:val="24"/>
          <w:szCs w:val="24"/>
        </w:rPr>
        <w:t xml:space="preserve">Hos patienter med hjerteinsufficiens i behandling med digitalis og </w:t>
      </w:r>
      <w:proofErr w:type="spellStart"/>
      <w:r>
        <w:rPr>
          <w:color w:val="000000"/>
          <w:sz w:val="24"/>
          <w:szCs w:val="24"/>
        </w:rPr>
        <w:t>diuretika</w:t>
      </w:r>
      <w:proofErr w:type="spellEnd"/>
      <w:r>
        <w:rPr>
          <w:color w:val="000000"/>
          <w:sz w:val="24"/>
          <w:szCs w:val="24"/>
        </w:rPr>
        <w:t xml:space="preserve">, er oral </w:t>
      </w:r>
      <w:proofErr w:type="spellStart"/>
      <w:r>
        <w:rPr>
          <w:color w:val="000000"/>
          <w:sz w:val="24"/>
          <w:szCs w:val="24"/>
        </w:rPr>
        <w:t>Enalapril</w:t>
      </w:r>
      <w:proofErr w:type="spellEnd"/>
      <w:r>
        <w:rPr>
          <w:color w:val="000000"/>
          <w:sz w:val="24"/>
          <w:szCs w:val="24"/>
        </w:rPr>
        <w:t xml:space="preserve"> "</w:t>
      </w:r>
      <w:proofErr w:type="spellStart"/>
      <w:r>
        <w:rPr>
          <w:color w:val="000000"/>
          <w:sz w:val="24"/>
          <w:szCs w:val="24"/>
        </w:rPr>
        <w:t>Accord</w:t>
      </w:r>
      <w:proofErr w:type="spellEnd"/>
      <w:r>
        <w:rPr>
          <w:color w:val="000000"/>
          <w:sz w:val="24"/>
          <w:szCs w:val="24"/>
        </w:rPr>
        <w:t>" eller injektion forbundet med reduktion af den perifere modstand og blodtryk. Minutvolumen blev øget, mens pulsen faldt (sædvanligvis forhøjet hos patienter med hjerteinsufficiens). Lungekapillærtrykket blev også reduceret. Tolerancen over for motion og sværhedsgraden af hjerteinsufficiens, målt efter kriterier fastsat af New York Heart Association, forbedredes. Disse virkninger blev bevaret ved kronisk behandling.</w:t>
      </w:r>
    </w:p>
    <w:p w:rsidR="00945E16" w:rsidRDefault="00945E16" w:rsidP="00945E16">
      <w:pPr>
        <w:autoSpaceDE w:val="0"/>
        <w:autoSpaceDN w:val="0"/>
        <w:adjustRightInd w:val="0"/>
        <w:ind w:left="851"/>
        <w:rPr>
          <w:color w:val="000000"/>
          <w:sz w:val="24"/>
          <w:szCs w:val="24"/>
        </w:rPr>
      </w:pPr>
    </w:p>
    <w:p w:rsidR="00945E16" w:rsidRDefault="00945E16" w:rsidP="00945E16">
      <w:pPr>
        <w:autoSpaceDE w:val="0"/>
        <w:autoSpaceDN w:val="0"/>
        <w:adjustRightInd w:val="0"/>
        <w:ind w:left="851"/>
        <w:rPr>
          <w:color w:val="000000"/>
          <w:sz w:val="24"/>
          <w:szCs w:val="24"/>
        </w:rPr>
      </w:pPr>
      <w:r>
        <w:rPr>
          <w:color w:val="000000"/>
          <w:sz w:val="24"/>
          <w:szCs w:val="24"/>
        </w:rPr>
        <w:t xml:space="preserve">Hos patienter med mild til moderat hjerteinsufficiens forsinkede </w:t>
      </w:r>
      <w:proofErr w:type="spellStart"/>
      <w:r>
        <w:rPr>
          <w:color w:val="000000"/>
          <w:sz w:val="24"/>
          <w:szCs w:val="24"/>
        </w:rPr>
        <w:t>enalapril</w:t>
      </w:r>
      <w:proofErr w:type="spellEnd"/>
      <w:r>
        <w:rPr>
          <w:color w:val="000000"/>
          <w:sz w:val="24"/>
          <w:szCs w:val="24"/>
        </w:rPr>
        <w:t xml:space="preserve"> den progressive hjerteudvidelse/-forstørrelse og hjerteinsufficiens. Dette blev målt som reduceret volumen af venstre ventrikel, diastolisk og systolisk volumen samt forbedret uddrivningsfraktion.</w:t>
      </w:r>
    </w:p>
    <w:p w:rsidR="00945E16" w:rsidRDefault="00945E16" w:rsidP="00945E16">
      <w:pPr>
        <w:ind w:left="851"/>
        <w:rPr>
          <w:color w:val="000000"/>
          <w:sz w:val="24"/>
          <w:szCs w:val="24"/>
        </w:rPr>
      </w:pPr>
    </w:p>
    <w:p w:rsidR="00945E16" w:rsidRDefault="00945E16" w:rsidP="00945E16">
      <w:pPr>
        <w:ind w:left="851"/>
        <w:rPr>
          <w:color w:val="000000"/>
          <w:sz w:val="24"/>
          <w:szCs w:val="24"/>
          <w:u w:val="single"/>
        </w:rPr>
      </w:pPr>
      <w:r>
        <w:rPr>
          <w:color w:val="000000"/>
          <w:sz w:val="24"/>
          <w:szCs w:val="24"/>
          <w:u w:val="single"/>
        </w:rPr>
        <w:t xml:space="preserve">Dobbelthæmning af </w:t>
      </w:r>
      <w:proofErr w:type="spellStart"/>
      <w:r>
        <w:rPr>
          <w:color w:val="000000"/>
          <w:sz w:val="24"/>
          <w:szCs w:val="24"/>
          <w:u w:val="single"/>
        </w:rPr>
        <w:t>renin-angiotensin-aldosteronsystemet</w:t>
      </w:r>
      <w:proofErr w:type="spellEnd"/>
      <w:r>
        <w:rPr>
          <w:color w:val="000000"/>
          <w:sz w:val="24"/>
          <w:szCs w:val="24"/>
          <w:u w:val="single"/>
        </w:rPr>
        <w:t xml:space="preserve"> (RAAS)</w:t>
      </w:r>
    </w:p>
    <w:p w:rsidR="00945E16" w:rsidRDefault="00945E16" w:rsidP="00945E16">
      <w:pPr>
        <w:ind w:left="851"/>
        <w:rPr>
          <w:color w:val="000000"/>
          <w:sz w:val="24"/>
          <w:szCs w:val="24"/>
        </w:rPr>
      </w:pPr>
      <w:r>
        <w:rPr>
          <w:color w:val="000000"/>
          <w:sz w:val="24"/>
          <w:szCs w:val="24"/>
        </w:rPr>
        <w:t xml:space="preserve">Kombinationen af en ACE-hæmmer og en </w:t>
      </w:r>
      <w:proofErr w:type="spellStart"/>
      <w:r>
        <w:rPr>
          <w:color w:val="000000"/>
          <w:sz w:val="24"/>
          <w:szCs w:val="24"/>
        </w:rPr>
        <w:t>angiotensin</w:t>
      </w:r>
      <w:proofErr w:type="spellEnd"/>
      <w:r>
        <w:rPr>
          <w:color w:val="000000"/>
          <w:sz w:val="24"/>
          <w:szCs w:val="24"/>
        </w:rPr>
        <w:t xml:space="preserve"> II-receptorantagonist er undersøgt i to store randomiserede, kontrollerede studier (ONTARGET (</w:t>
      </w:r>
      <w:proofErr w:type="spellStart"/>
      <w:r>
        <w:rPr>
          <w:color w:val="000000"/>
          <w:sz w:val="24"/>
          <w:szCs w:val="24"/>
        </w:rPr>
        <w:t>ONgoing</w:t>
      </w:r>
      <w:proofErr w:type="spellEnd"/>
      <w:r>
        <w:rPr>
          <w:color w:val="000000"/>
          <w:sz w:val="24"/>
          <w:szCs w:val="24"/>
        </w:rPr>
        <w:t xml:space="preserve"> </w:t>
      </w:r>
      <w:proofErr w:type="spellStart"/>
      <w:r>
        <w:rPr>
          <w:color w:val="000000"/>
          <w:sz w:val="24"/>
          <w:szCs w:val="24"/>
        </w:rPr>
        <w:t>Telmisartan</w:t>
      </w:r>
      <w:proofErr w:type="spellEnd"/>
      <w:r>
        <w:rPr>
          <w:color w:val="000000"/>
          <w:sz w:val="24"/>
          <w:szCs w:val="24"/>
        </w:rPr>
        <w:t xml:space="preserve"> </w:t>
      </w:r>
      <w:proofErr w:type="spellStart"/>
      <w:r>
        <w:rPr>
          <w:color w:val="000000"/>
          <w:sz w:val="24"/>
          <w:szCs w:val="24"/>
        </w:rPr>
        <w:t>Alone</w:t>
      </w:r>
      <w:proofErr w:type="spellEnd"/>
      <w:r>
        <w:rPr>
          <w:color w:val="000000"/>
          <w:sz w:val="24"/>
          <w:szCs w:val="24"/>
        </w:rPr>
        <w:t xml:space="preserve"> and in </w:t>
      </w:r>
      <w:proofErr w:type="spellStart"/>
      <w:r>
        <w:rPr>
          <w:color w:val="000000"/>
          <w:sz w:val="24"/>
          <w:szCs w:val="24"/>
        </w:rPr>
        <w:t>combination</w:t>
      </w:r>
      <w:proofErr w:type="spellEnd"/>
      <w:r>
        <w:rPr>
          <w:color w:val="000000"/>
          <w:sz w:val="24"/>
          <w:szCs w:val="24"/>
        </w:rPr>
        <w:t xml:space="preserve"> with </w:t>
      </w:r>
      <w:proofErr w:type="spellStart"/>
      <w:r>
        <w:rPr>
          <w:color w:val="000000"/>
          <w:sz w:val="24"/>
          <w:szCs w:val="24"/>
        </w:rPr>
        <w:t>Ramipril</w:t>
      </w:r>
      <w:proofErr w:type="spellEnd"/>
      <w:r>
        <w:rPr>
          <w:color w:val="000000"/>
          <w:sz w:val="24"/>
          <w:szCs w:val="24"/>
        </w:rPr>
        <w:t xml:space="preserve"> Global </w:t>
      </w:r>
      <w:proofErr w:type="spellStart"/>
      <w:r>
        <w:rPr>
          <w:color w:val="000000"/>
          <w:sz w:val="24"/>
          <w:szCs w:val="24"/>
        </w:rPr>
        <w:t>Endpoint</w:t>
      </w:r>
      <w:proofErr w:type="spellEnd"/>
      <w:r>
        <w:rPr>
          <w:color w:val="000000"/>
          <w:sz w:val="24"/>
          <w:szCs w:val="24"/>
        </w:rPr>
        <w:t xml:space="preserve"> Trial) og VA NEPHRON-D (The Veterans Affairs </w:t>
      </w:r>
      <w:proofErr w:type="spellStart"/>
      <w:r>
        <w:rPr>
          <w:color w:val="000000"/>
          <w:sz w:val="24"/>
          <w:szCs w:val="24"/>
        </w:rPr>
        <w:t>Nephropathy</w:t>
      </w:r>
      <w:proofErr w:type="spellEnd"/>
      <w:r>
        <w:rPr>
          <w:color w:val="000000"/>
          <w:sz w:val="24"/>
          <w:szCs w:val="24"/>
        </w:rPr>
        <w:t xml:space="preserve"> in Diabetes)).</w:t>
      </w:r>
    </w:p>
    <w:p w:rsidR="00945E16" w:rsidRDefault="00945E16" w:rsidP="00945E16">
      <w:pPr>
        <w:ind w:left="851"/>
        <w:rPr>
          <w:color w:val="000000"/>
          <w:sz w:val="24"/>
          <w:szCs w:val="24"/>
        </w:rPr>
      </w:pPr>
    </w:p>
    <w:p w:rsidR="00945E16" w:rsidRDefault="00945E16" w:rsidP="00945E16">
      <w:pPr>
        <w:autoSpaceDE w:val="0"/>
        <w:autoSpaceDN w:val="0"/>
        <w:adjustRightInd w:val="0"/>
        <w:ind w:left="851"/>
        <w:rPr>
          <w:color w:val="000000"/>
          <w:sz w:val="24"/>
          <w:szCs w:val="24"/>
        </w:rPr>
      </w:pPr>
      <w:r>
        <w:rPr>
          <w:color w:val="000000"/>
          <w:sz w:val="24"/>
          <w:szCs w:val="24"/>
        </w:rPr>
        <w:t xml:space="preserve">ONTARGET var et studie med patienter, der havde en anamnese med </w:t>
      </w:r>
      <w:proofErr w:type="spellStart"/>
      <w:r>
        <w:rPr>
          <w:color w:val="000000"/>
          <w:sz w:val="24"/>
          <w:szCs w:val="24"/>
        </w:rPr>
        <w:t>kardiovaskulær</w:t>
      </w:r>
      <w:proofErr w:type="spellEnd"/>
      <w:r>
        <w:rPr>
          <w:color w:val="000000"/>
          <w:sz w:val="24"/>
          <w:szCs w:val="24"/>
        </w:rPr>
        <w:t xml:space="preserve"> eller </w:t>
      </w:r>
      <w:proofErr w:type="spellStart"/>
      <w:r>
        <w:rPr>
          <w:color w:val="000000"/>
          <w:sz w:val="24"/>
          <w:szCs w:val="24"/>
        </w:rPr>
        <w:t>cerebrovaskulær</w:t>
      </w:r>
      <w:proofErr w:type="spellEnd"/>
      <w:r>
        <w:rPr>
          <w:color w:val="000000"/>
          <w:sz w:val="24"/>
          <w:szCs w:val="24"/>
        </w:rPr>
        <w:t xml:space="preserve"> sygdom eller havde type 2-diabetes mellitus med tegn på organpåvirkning. VA NEPHRON-D var et studie med patienter med type 2-diabetes mellitus og diabetisk </w:t>
      </w:r>
      <w:proofErr w:type="spellStart"/>
      <w:r>
        <w:rPr>
          <w:color w:val="000000"/>
          <w:sz w:val="24"/>
          <w:szCs w:val="24"/>
        </w:rPr>
        <w:t>nefropati</w:t>
      </w:r>
      <w:proofErr w:type="spellEnd"/>
      <w:r>
        <w:rPr>
          <w:color w:val="000000"/>
          <w:sz w:val="24"/>
          <w:szCs w:val="24"/>
        </w:rPr>
        <w:t>.</w:t>
      </w:r>
    </w:p>
    <w:p w:rsidR="00945E16" w:rsidRDefault="00945E16" w:rsidP="00945E16">
      <w:pPr>
        <w:ind w:left="851"/>
        <w:rPr>
          <w:color w:val="000000"/>
          <w:sz w:val="24"/>
          <w:szCs w:val="24"/>
        </w:rPr>
      </w:pPr>
    </w:p>
    <w:p w:rsidR="00945E16" w:rsidRDefault="00945E16" w:rsidP="00945E16">
      <w:pPr>
        <w:ind w:left="851"/>
        <w:rPr>
          <w:color w:val="000000"/>
          <w:sz w:val="24"/>
          <w:szCs w:val="24"/>
        </w:rPr>
      </w:pPr>
      <w:r>
        <w:rPr>
          <w:color w:val="000000"/>
          <w:sz w:val="24"/>
          <w:szCs w:val="24"/>
        </w:rPr>
        <w:lastRenderedPageBreak/>
        <w:t xml:space="preserve">Disse studier viste ikke signifikant bedre effekt på </w:t>
      </w:r>
      <w:proofErr w:type="spellStart"/>
      <w:r>
        <w:rPr>
          <w:color w:val="000000"/>
          <w:sz w:val="24"/>
          <w:szCs w:val="24"/>
        </w:rPr>
        <w:t>renal</w:t>
      </w:r>
      <w:proofErr w:type="spellEnd"/>
      <w:r>
        <w:rPr>
          <w:color w:val="000000"/>
          <w:sz w:val="24"/>
          <w:szCs w:val="24"/>
        </w:rPr>
        <w:t xml:space="preserve"> og/eller </w:t>
      </w:r>
      <w:proofErr w:type="spellStart"/>
      <w:r>
        <w:rPr>
          <w:color w:val="000000"/>
          <w:sz w:val="24"/>
          <w:szCs w:val="24"/>
        </w:rPr>
        <w:t>kardiovaskulære</w:t>
      </w:r>
      <w:proofErr w:type="spellEnd"/>
      <w:r>
        <w:rPr>
          <w:color w:val="000000"/>
          <w:sz w:val="24"/>
          <w:szCs w:val="24"/>
        </w:rPr>
        <w:t xml:space="preserve"> mål og mortalitet sammenlignet med monoterapi, mens der blev observeret en øget risiko for </w:t>
      </w:r>
      <w:proofErr w:type="spellStart"/>
      <w:r>
        <w:rPr>
          <w:color w:val="000000"/>
          <w:sz w:val="24"/>
          <w:szCs w:val="24"/>
        </w:rPr>
        <w:t>hyperkaliæmi</w:t>
      </w:r>
      <w:proofErr w:type="spellEnd"/>
      <w:r>
        <w:rPr>
          <w:color w:val="000000"/>
          <w:sz w:val="24"/>
          <w:szCs w:val="24"/>
        </w:rPr>
        <w:t xml:space="preserve">, akut nyrepåvirkning og/eller hypotension. På baggrund af de fælles </w:t>
      </w:r>
      <w:proofErr w:type="spellStart"/>
      <w:r>
        <w:rPr>
          <w:color w:val="000000"/>
          <w:sz w:val="24"/>
          <w:szCs w:val="24"/>
        </w:rPr>
        <w:t>farmakodynamiske</w:t>
      </w:r>
      <w:proofErr w:type="spellEnd"/>
      <w:r>
        <w:rPr>
          <w:color w:val="000000"/>
          <w:sz w:val="24"/>
          <w:szCs w:val="24"/>
        </w:rPr>
        <w:t xml:space="preserve"> egenskaber er disse resultater også relevante for andre ACE-</w:t>
      </w:r>
      <w:proofErr w:type="spellStart"/>
      <w:r>
        <w:rPr>
          <w:color w:val="000000"/>
          <w:sz w:val="24"/>
          <w:szCs w:val="24"/>
        </w:rPr>
        <w:t>hæmmere</w:t>
      </w:r>
      <w:proofErr w:type="spellEnd"/>
      <w:r>
        <w:rPr>
          <w:color w:val="000000"/>
          <w:sz w:val="24"/>
          <w:szCs w:val="24"/>
        </w:rPr>
        <w:t xml:space="preserve"> og </w:t>
      </w:r>
      <w:proofErr w:type="spellStart"/>
      <w:r>
        <w:rPr>
          <w:color w:val="000000"/>
          <w:sz w:val="24"/>
          <w:szCs w:val="24"/>
        </w:rPr>
        <w:t>angiotensin</w:t>
      </w:r>
      <w:proofErr w:type="spellEnd"/>
      <w:r>
        <w:rPr>
          <w:color w:val="000000"/>
          <w:sz w:val="24"/>
          <w:szCs w:val="24"/>
        </w:rPr>
        <w:t xml:space="preserve"> II-receptorantagonister.</w:t>
      </w:r>
    </w:p>
    <w:p w:rsidR="00945E16" w:rsidRDefault="00945E16" w:rsidP="00945E16">
      <w:pPr>
        <w:ind w:left="851"/>
        <w:rPr>
          <w:color w:val="000000"/>
          <w:sz w:val="24"/>
          <w:szCs w:val="24"/>
        </w:rPr>
      </w:pPr>
    </w:p>
    <w:p w:rsidR="00945E16" w:rsidRDefault="00945E16" w:rsidP="00945E16">
      <w:pPr>
        <w:ind w:left="851"/>
        <w:rPr>
          <w:color w:val="000000"/>
          <w:sz w:val="24"/>
          <w:szCs w:val="24"/>
        </w:rPr>
      </w:pPr>
      <w:r>
        <w:rPr>
          <w:color w:val="000000"/>
          <w:sz w:val="24"/>
          <w:szCs w:val="24"/>
        </w:rPr>
        <w:t>ACE-</w:t>
      </w:r>
      <w:proofErr w:type="spellStart"/>
      <w:r>
        <w:rPr>
          <w:color w:val="000000"/>
          <w:sz w:val="24"/>
          <w:szCs w:val="24"/>
        </w:rPr>
        <w:t>hæmmere</w:t>
      </w:r>
      <w:proofErr w:type="spellEnd"/>
      <w:r>
        <w:rPr>
          <w:color w:val="000000"/>
          <w:sz w:val="24"/>
          <w:szCs w:val="24"/>
        </w:rPr>
        <w:t xml:space="preserve"> og </w:t>
      </w:r>
      <w:proofErr w:type="spellStart"/>
      <w:r>
        <w:rPr>
          <w:color w:val="000000"/>
          <w:sz w:val="24"/>
          <w:szCs w:val="24"/>
        </w:rPr>
        <w:t>angiotensin</w:t>
      </w:r>
      <w:proofErr w:type="spellEnd"/>
      <w:r>
        <w:rPr>
          <w:color w:val="000000"/>
          <w:sz w:val="24"/>
          <w:szCs w:val="24"/>
        </w:rPr>
        <w:t xml:space="preserve"> II-receptorantagonister bør derfor ikke anvendes samtidigt hos patienter med diabetisk </w:t>
      </w:r>
      <w:proofErr w:type="spellStart"/>
      <w:r>
        <w:rPr>
          <w:color w:val="000000"/>
          <w:sz w:val="24"/>
          <w:szCs w:val="24"/>
        </w:rPr>
        <w:t>nefropati</w:t>
      </w:r>
      <w:proofErr w:type="spellEnd"/>
      <w:r>
        <w:rPr>
          <w:color w:val="000000"/>
          <w:sz w:val="24"/>
          <w:szCs w:val="24"/>
        </w:rPr>
        <w:t>.</w:t>
      </w:r>
    </w:p>
    <w:p w:rsidR="00945E16" w:rsidRDefault="00945E16" w:rsidP="00945E16">
      <w:pPr>
        <w:ind w:left="851"/>
        <w:rPr>
          <w:color w:val="000000"/>
          <w:sz w:val="24"/>
          <w:szCs w:val="24"/>
        </w:rPr>
      </w:pPr>
    </w:p>
    <w:p w:rsidR="00945E16" w:rsidRDefault="00945E16" w:rsidP="00945E16">
      <w:pPr>
        <w:ind w:left="851"/>
        <w:rPr>
          <w:color w:val="000000"/>
          <w:sz w:val="24"/>
          <w:szCs w:val="24"/>
        </w:rPr>
      </w:pPr>
      <w:r>
        <w:rPr>
          <w:color w:val="000000"/>
          <w:sz w:val="24"/>
          <w:szCs w:val="24"/>
        </w:rPr>
        <w:t>ALTITUDE (</w:t>
      </w:r>
      <w:proofErr w:type="spellStart"/>
      <w:r>
        <w:rPr>
          <w:color w:val="000000"/>
          <w:sz w:val="24"/>
          <w:szCs w:val="24"/>
        </w:rPr>
        <w:t>Aliskiren</w:t>
      </w:r>
      <w:proofErr w:type="spellEnd"/>
      <w:r>
        <w:rPr>
          <w:color w:val="000000"/>
          <w:sz w:val="24"/>
          <w:szCs w:val="24"/>
        </w:rPr>
        <w:t xml:space="preserve"> Trial in Type 2 Diabetes Using </w:t>
      </w:r>
      <w:proofErr w:type="spellStart"/>
      <w:r>
        <w:rPr>
          <w:color w:val="000000"/>
          <w:sz w:val="24"/>
          <w:szCs w:val="24"/>
        </w:rPr>
        <w:t>Cardiovascular</w:t>
      </w:r>
      <w:proofErr w:type="spellEnd"/>
      <w:r>
        <w:rPr>
          <w:color w:val="000000"/>
          <w:sz w:val="24"/>
          <w:szCs w:val="24"/>
        </w:rPr>
        <w:t xml:space="preserve"> and </w:t>
      </w:r>
      <w:proofErr w:type="spellStart"/>
      <w:r>
        <w:rPr>
          <w:color w:val="000000"/>
          <w:sz w:val="24"/>
          <w:szCs w:val="24"/>
        </w:rPr>
        <w:t>Renal</w:t>
      </w:r>
      <w:proofErr w:type="spellEnd"/>
      <w:r>
        <w:rPr>
          <w:color w:val="000000"/>
          <w:sz w:val="24"/>
          <w:szCs w:val="24"/>
        </w:rPr>
        <w:t xml:space="preserve"> </w:t>
      </w:r>
      <w:proofErr w:type="spellStart"/>
      <w:r>
        <w:rPr>
          <w:color w:val="000000"/>
          <w:sz w:val="24"/>
          <w:szCs w:val="24"/>
        </w:rPr>
        <w:t>Disease</w:t>
      </w:r>
      <w:proofErr w:type="spellEnd"/>
      <w:r>
        <w:rPr>
          <w:color w:val="000000"/>
          <w:sz w:val="24"/>
          <w:szCs w:val="24"/>
        </w:rPr>
        <w:t xml:space="preserve"> </w:t>
      </w:r>
      <w:proofErr w:type="spellStart"/>
      <w:r>
        <w:rPr>
          <w:color w:val="000000"/>
          <w:sz w:val="24"/>
          <w:szCs w:val="24"/>
        </w:rPr>
        <w:t>Endpoints</w:t>
      </w:r>
      <w:proofErr w:type="spellEnd"/>
      <w:r>
        <w:rPr>
          <w:color w:val="000000"/>
          <w:sz w:val="24"/>
          <w:szCs w:val="24"/>
        </w:rPr>
        <w:t xml:space="preserve">) var et studie, der skulle undersøge fordelen ved at tilføje </w:t>
      </w:r>
      <w:proofErr w:type="spellStart"/>
      <w:r>
        <w:rPr>
          <w:color w:val="000000"/>
          <w:sz w:val="24"/>
          <w:szCs w:val="24"/>
        </w:rPr>
        <w:t>aliskiren</w:t>
      </w:r>
      <w:proofErr w:type="spellEnd"/>
      <w:r>
        <w:rPr>
          <w:color w:val="000000"/>
          <w:sz w:val="24"/>
          <w:szCs w:val="24"/>
        </w:rPr>
        <w:t xml:space="preserve"> til standardbehandling med en ACE-hæmmer eller en </w:t>
      </w:r>
      <w:proofErr w:type="spellStart"/>
      <w:r>
        <w:rPr>
          <w:color w:val="000000"/>
          <w:sz w:val="24"/>
          <w:szCs w:val="24"/>
        </w:rPr>
        <w:t>angiotensin</w:t>
      </w:r>
      <w:proofErr w:type="spellEnd"/>
      <w:r>
        <w:rPr>
          <w:color w:val="000000"/>
          <w:sz w:val="24"/>
          <w:szCs w:val="24"/>
        </w:rPr>
        <w:t xml:space="preserve"> II-receptorantagonist hos patienter med type 2-diabetes mellitus og kronisk nyresygdom, </w:t>
      </w:r>
      <w:proofErr w:type="spellStart"/>
      <w:r>
        <w:rPr>
          <w:color w:val="000000"/>
          <w:sz w:val="24"/>
          <w:szCs w:val="24"/>
        </w:rPr>
        <w:t>kardiovaskulær</w:t>
      </w:r>
      <w:proofErr w:type="spellEnd"/>
      <w:r>
        <w:rPr>
          <w:color w:val="000000"/>
          <w:sz w:val="24"/>
          <w:szCs w:val="24"/>
        </w:rPr>
        <w:t xml:space="preserve"> sygdom eller begge. Dette studie blev afsluttet tidligt pga. en øget risiko for bivirkninger. Både </w:t>
      </w:r>
      <w:proofErr w:type="spellStart"/>
      <w:r>
        <w:rPr>
          <w:color w:val="000000"/>
          <w:sz w:val="24"/>
          <w:szCs w:val="24"/>
        </w:rPr>
        <w:t>kardiovaskulære</w:t>
      </w:r>
      <w:proofErr w:type="spellEnd"/>
      <w:r>
        <w:rPr>
          <w:color w:val="000000"/>
          <w:sz w:val="24"/>
          <w:szCs w:val="24"/>
        </w:rPr>
        <w:t xml:space="preserve"> dødsfald og apopleksi var numerisk hyppigere forekommende i </w:t>
      </w:r>
      <w:proofErr w:type="spellStart"/>
      <w:r>
        <w:rPr>
          <w:color w:val="000000"/>
          <w:sz w:val="24"/>
          <w:szCs w:val="24"/>
        </w:rPr>
        <w:t>aliskiren</w:t>
      </w:r>
      <w:proofErr w:type="spellEnd"/>
      <w:r>
        <w:rPr>
          <w:color w:val="000000"/>
          <w:sz w:val="24"/>
          <w:szCs w:val="24"/>
        </w:rPr>
        <w:t xml:space="preserve">-gruppen end i placebogruppen, og bivirkninger og relevante alvorlige bivirkninger (såsom </w:t>
      </w:r>
      <w:proofErr w:type="spellStart"/>
      <w:r>
        <w:rPr>
          <w:color w:val="000000"/>
          <w:sz w:val="24"/>
          <w:szCs w:val="24"/>
        </w:rPr>
        <w:t>hyperkaliæmi</w:t>
      </w:r>
      <w:proofErr w:type="spellEnd"/>
      <w:r>
        <w:rPr>
          <w:color w:val="000000"/>
          <w:sz w:val="24"/>
          <w:szCs w:val="24"/>
        </w:rPr>
        <w:t xml:space="preserve">, hypotension og nedsat nyrefunktion) blev indberettet hyppigere i </w:t>
      </w:r>
      <w:proofErr w:type="spellStart"/>
      <w:r>
        <w:rPr>
          <w:color w:val="000000"/>
          <w:sz w:val="24"/>
          <w:szCs w:val="24"/>
        </w:rPr>
        <w:t>aliskiren</w:t>
      </w:r>
      <w:proofErr w:type="spellEnd"/>
      <w:r>
        <w:rPr>
          <w:color w:val="000000"/>
          <w:sz w:val="24"/>
          <w:szCs w:val="24"/>
        </w:rPr>
        <w:t>-gruppen end i placebogruppen.</w:t>
      </w:r>
    </w:p>
    <w:p w:rsidR="00945E16" w:rsidRDefault="00945E16" w:rsidP="00945E16">
      <w:pPr>
        <w:ind w:left="851"/>
        <w:rPr>
          <w:color w:val="000000"/>
          <w:sz w:val="24"/>
          <w:szCs w:val="24"/>
        </w:rPr>
      </w:pPr>
    </w:p>
    <w:p w:rsidR="00945E16" w:rsidRDefault="00945E16" w:rsidP="00945E16">
      <w:pPr>
        <w:ind w:left="851"/>
        <w:rPr>
          <w:color w:val="000000"/>
          <w:sz w:val="24"/>
          <w:szCs w:val="24"/>
          <w:u w:val="single"/>
        </w:rPr>
      </w:pPr>
      <w:r>
        <w:rPr>
          <w:color w:val="000000"/>
          <w:sz w:val="24"/>
          <w:szCs w:val="24"/>
          <w:u w:val="single"/>
        </w:rPr>
        <w:t>Klinisk virkning og sikkerhed</w:t>
      </w:r>
    </w:p>
    <w:p w:rsidR="00945E16" w:rsidRDefault="00945E16" w:rsidP="00945E16">
      <w:pPr>
        <w:ind w:left="851"/>
        <w:rPr>
          <w:color w:val="000000"/>
          <w:sz w:val="24"/>
          <w:szCs w:val="24"/>
        </w:rPr>
      </w:pPr>
      <w:r>
        <w:rPr>
          <w:color w:val="000000"/>
          <w:sz w:val="24"/>
          <w:szCs w:val="24"/>
        </w:rPr>
        <w:t xml:space="preserve">En randomiseret, dobbeltblind, placebokontrolleret multicenterundersøgelse (SOLVD forebyggelsesundersøgelse) undersøgte en population med asymptomatisk venstre ventrikel dysfunktion (LVEF &lt;35 %). 4228 patienter blev randomiseret til at få enten placebo (n=2117) eller </w:t>
      </w:r>
      <w:proofErr w:type="spellStart"/>
      <w:r>
        <w:rPr>
          <w:color w:val="000000"/>
          <w:sz w:val="24"/>
          <w:szCs w:val="24"/>
        </w:rPr>
        <w:t>enalapril</w:t>
      </w:r>
      <w:proofErr w:type="spellEnd"/>
      <w:r>
        <w:rPr>
          <w:color w:val="000000"/>
          <w:sz w:val="24"/>
          <w:szCs w:val="24"/>
        </w:rPr>
        <w:t xml:space="preserve"> (n=2111). I placebogruppen fik 818 patienter hjerteinsufficiens eller døde (38,6 %) i sammenligning med 630 i </w:t>
      </w:r>
      <w:proofErr w:type="spellStart"/>
      <w:r>
        <w:rPr>
          <w:color w:val="000000"/>
          <w:sz w:val="24"/>
          <w:szCs w:val="24"/>
        </w:rPr>
        <w:t>enalaprilgruppen</w:t>
      </w:r>
      <w:proofErr w:type="spellEnd"/>
      <w:r>
        <w:rPr>
          <w:color w:val="000000"/>
          <w:sz w:val="24"/>
          <w:szCs w:val="24"/>
        </w:rPr>
        <w:t xml:space="preserve"> (29,8 %) (risikoreduktion: 29 %; 95 % CI; 21-36 %; p&lt;0,001). 518 patienter i placebogruppen (24,5 %) og 434 i </w:t>
      </w:r>
      <w:proofErr w:type="spellStart"/>
      <w:r>
        <w:rPr>
          <w:color w:val="000000"/>
          <w:sz w:val="24"/>
          <w:szCs w:val="24"/>
        </w:rPr>
        <w:t>enalaprilgruppen</w:t>
      </w:r>
      <w:proofErr w:type="spellEnd"/>
      <w:r>
        <w:rPr>
          <w:color w:val="000000"/>
          <w:sz w:val="24"/>
          <w:szCs w:val="24"/>
        </w:rPr>
        <w:t xml:space="preserve"> (20,6 %) døde eller blev indlagt på grund af ny eller forværret hjerteinsufficiens (risikoreduktion 20 %; 95 % CI; 9-30 %; p&lt;0,001).</w:t>
      </w:r>
    </w:p>
    <w:p w:rsidR="00945E16" w:rsidRDefault="00945E16" w:rsidP="00945E16">
      <w:pPr>
        <w:ind w:left="851"/>
        <w:rPr>
          <w:color w:val="000000"/>
          <w:sz w:val="24"/>
          <w:szCs w:val="24"/>
        </w:rPr>
      </w:pPr>
    </w:p>
    <w:p w:rsidR="00945E16" w:rsidRDefault="00945E16" w:rsidP="00945E16">
      <w:pPr>
        <w:ind w:left="851"/>
        <w:rPr>
          <w:color w:val="000000"/>
          <w:sz w:val="24"/>
          <w:szCs w:val="24"/>
        </w:rPr>
      </w:pPr>
      <w:r>
        <w:rPr>
          <w:color w:val="000000"/>
          <w:sz w:val="24"/>
          <w:szCs w:val="24"/>
        </w:rPr>
        <w:t xml:space="preserve">En randomiseret, dobbeltblind, placebokontrolleret multicenterundersøgelse (SOLVD behandlingsforsøg) undersøgte en population med symptomatisk kongestiv hjerteinsufficiens grundet systolisk dysfunktion (uddrivningsfraktion &lt;35 %). 2569 patienter, der fik konventionel behandling for hjerteinsufficiens, blev randomiseret til at modtage enten placebo (n=1284) eller </w:t>
      </w:r>
      <w:proofErr w:type="spellStart"/>
      <w:r>
        <w:rPr>
          <w:color w:val="000000"/>
          <w:sz w:val="24"/>
          <w:szCs w:val="24"/>
        </w:rPr>
        <w:t>enalapril</w:t>
      </w:r>
      <w:proofErr w:type="spellEnd"/>
      <w:r>
        <w:rPr>
          <w:color w:val="000000"/>
          <w:sz w:val="24"/>
          <w:szCs w:val="24"/>
        </w:rPr>
        <w:t xml:space="preserve"> (n=1285). Der var 510 dødsfald i placebogruppen (39,7 %) sammenlignet med 452 i </w:t>
      </w:r>
      <w:proofErr w:type="spellStart"/>
      <w:r>
        <w:rPr>
          <w:color w:val="000000"/>
          <w:sz w:val="24"/>
          <w:szCs w:val="24"/>
        </w:rPr>
        <w:t>enalaprilgruppen</w:t>
      </w:r>
      <w:proofErr w:type="spellEnd"/>
      <w:r>
        <w:rPr>
          <w:color w:val="000000"/>
          <w:sz w:val="24"/>
          <w:szCs w:val="24"/>
        </w:rPr>
        <w:t xml:space="preserve"> (35,2 %) (risikoreduktion: 16 %; 95 % CI; 5-26 %; p&lt;0,0036). Der var 461 </w:t>
      </w:r>
      <w:proofErr w:type="spellStart"/>
      <w:r>
        <w:rPr>
          <w:color w:val="000000"/>
          <w:sz w:val="24"/>
          <w:szCs w:val="24"/>
        </w:rPr>
        <w:t>kardiovaskulære</w:t>
      </w:r>
      <w:proofErr w:type="spellEnd"/>
      <w:r>
        <w:rPr>
          <w:color w:val="000000"/>
          <w:sz w:val="24"/>
          <w:szCs w:val="24"/>
        </w:rPr>
        <w:t xml:space="preserve"> dødsfald i placebogruppen sammenlignet med 399 i </w:t>
      </w:r>
      <w:proofErr w:type="spellStart"/>
      <w:r>
        <w:rPr>
          <w:color w:val="000000"/>
          <w:sz w:val="24"/>
          <w:szCs w:val="24"/>
        </w:rPr>
        <w:t>enalaprilgruppen</w:t>
      </w:r>
      <w:proofErr w:type="spellEnd"/>
      <w:r>
        <w:rPr>
          <w:color w:val="000000"/>
          <w:sz w:val="24"/>
          <w:szCs w:val="24"/>
        </w:rPr>
        <w:t xml:space="preserve"> (risikoreduktion: 18 %; 95 % CI; 6-28 %; p&lt;0,002), hovedsageligt grundet fald i dødsfald som følge af progressiv hjerteinsufficiens (251 i placebogruppen sammenlignet med 209 i </w:t>
      </w:r>
      <w:proofErr w:type="spellStart"/>
      <w:r>
        <w:rPr>
          <w:color w:val="000000"/>
          <w:sz w:val="24"/>
          <w:szCs w:val="24"/>
        </w:rPr>
        <w:t>enalaprilgruppen</w:t>
      </w:r>
      <w:proofErr w:type="spellEnd"/>
      <w:r>
        <w:rPr>
          <w:color w:val="000000"/>
          <w:sz w:val="24"/>
          <w:szCs w:val="24"/>
        </w:rPr>
        <w:t xml:space="preserve">, risikoreduktion: 22 %; 95 % CI; 6-35 %). Færre patienter døde eller blev indlagt for forværret hjerteinsufficiens (736 i placebogruppen og 613 i </w:t>
      </w:r>
      <w:proofErr w:type="spellStart"/>
      <w:r>
        <w:rPr>
          <w:color w:val="000000"/>
          <w:sz w:val="24"/>
          <w:szCs w:val="24"/>
        </w:rPr>
        <w:t>enalaprilgruppen</w:t>
      </w:r>
      <w:proofErr w:type="spellEnd"/>
      <w:r>
        <w:rPr>
          <w:color w:val="000000"/>
          <w:sz w:val="24"/>
          <w:szCs w:val="24"/>
        </w:rPr>
        <w:t xml:space="preserve">. Risikoreduktion: 26 %; 95 % CI; 18-34 %; p&lt;0,001). I SOLVD-undersøgelsen hos patienter med venstre ventrikel dysfunktion reducerede </w:t>
      </w:r>
      <w:proofErr w:type="spellStart"/>
      <w:r>
        <w:rPr>
          <w:color w:val="000000"/>
          <w:sz w:val="24"/>
          <w:szCs w:val="24"/>
        </w:rPr>
        <w:t>Enalapril</w:t>
      </w:r>
      <w:proofErr w:type="spellEnd"/>
      <w:r>
        <w:rPr>
          <w:color w:val="000000"/>
          <w:sz w:val="24"/>
          <w:szCs w:val="24"/>
        </w:rPr>
        <w:t xml:space="preserve"> generelt risikoen for myokardieinfarkt med 23 % (95 % CI; 11-34 %; p&lt;0,001) og reducerede risikoen for indlæggelse på grund af ustabil angina pectoris med 20 % (95 % CI; 9-29 %; p&lt;0.001).</w:t>
      </w:r>
    </w:p>
    <w:p w:rsidR="00945E16" w:rsidRDefault="00945E16" w:rsidP="00945E16">
      <w:pPr>
        <w:ind w:left="851"/>
        <w:rPr>
          <w:rFonts w:eastAsia="Calibri"/>
          <w:color w:val="000000"/>
          <w:sz w:val="24"/>
          <w:szCs w:val="24"/>
          <w:u w:val="single"/>
        </w:rPr>
      </w:pPr>
    </w:p>
    <w:p w:rsidR="00945E16" w:rsidRDefault="00945E16" w:rsidP="00945E16">
      <w:pPr>
        <w:ind w:left="851"/>
        <w:rPr>
          <w:color w:val="000000"/>
          <w:sz w:val="24"/>
          <w:szCs w:val="24"/>
          <w:u w:val="single"/>
        </w:rPr>
      </w:pPr>
      <w:r>
        <w:rPr>
          <w:color w:val="000000"/>
          <w:sz w:val="24"/>
          <w:szCs w:val="24"/>
          <w:u w:val="single"/>
        </w:rPr>
        <w:t>Pædiatrisk population</w:t>
      </w:r>
    </w:p>
    <w:p w:rsidR="00945E16" w:rsidRDefault="00945E16" w:rsidP="00945E16">
      <w:pPr>
        <w:ind w:left="851"/>
        <w:rPr>
          <w:color w:val="000000"/>
          <w:sz w:val="24"/>
          <w:szCs w:val="24"/>
        </w:rPr>
      </w:pPr>
      <w:r>
        <w:rPr>
          <w:color w:val="000000"/>
          <w:sz w:val="24"/>
          <w:szCs w:val="24"/>
        </w:rPr>
        <w:t xml:space="preserve">Der er begrænsede erfaringer med anvendelse til </w:t>
      </w:r>
      <w:proofErr w:type="spellStart"/>
      <w:r>
        <w:rPr>
          <w:color w:val="000000"/>
          <w:sz w:val="24"/>
          <w:szCs w:val="24"/>
        </w:rPr>
        <w:t>hypertensive</w:t>
      </w:r>
      <w:proofErr w:type="spellEnd"/>
      <w:r>
        <w:rPr>
          <w:color w:val="000000"/>
          <w:sz w:val="24"/>
          <w:szCs w:val="24"/>
        </w:rPr>
        <w:t xml:space="preserve"> pædiatriske patienter &gt;6 år. I en klinisk undersøgelse med 110 </w:t>
      </w:r>
      <w:proofErr w:type="spellStart"/>
      <w:r>
        <w:rPr>
          <w:color w:val="000000"/>
          <w:sz w:val="24"/>
          <w:szCs w:val="24"/>
        </w:rPr>
        <w:t>hypertensive</w:t>
      </w:r>
      <w:proofErr w:type="spellEnd"/>
      <w:r>
        <w:rPr>
          <w:color w:val="000000"/>
          <w:sz w:val="24"/>
          <w:szCs w:val="24"/>
        </w:rPr>
        <w:t xml:space="preserve"> pædiatriske patienter i alderen 6-16 år med en legemsvægt ≥20 kg og en </w:t>
      </w:r>
      <w:proofErr w:type="spellStart"/>
      <w:r>
        <w:rPr>
          <w:color w:val="000000"/>
          <w:sz w:val="24"/>
          <w:szCs w:val="24"/>
        </w:rPr>
        <w:t>glomerulær</w:t>
      </w:r>
      <w:proofErr w:type="spellEnd"/>
      <w:r>
        <w:rPr>
          <w:color w:val="000000"/>
          <w:sz w:val="24"/>
          <w:szCs w:val="24"/>
        </w:rPr>
        <w:t xml:space="preserve"> filtreringshastighed &gt;30 ml/min/1,73 m² fik </w:t>
      </w:r>
      <w:r>
        <w:rPr>
          <w:color w:val="000000"/>
          <w:sz w:val="24"/>
          <w:szCs w:val="24"/>
        </w:rPr>
        <w:lastRenderedPageBreak/>
        <w:t xml:space="preserve">patienter, der vejede &lt;50 kg, enten 0,625 mg, 2,5 mg eller 20 mg </w:t>
      </w:r>
      <w:proofErr w:type="spellStart"/>
      <w:r>
        <w:rPr>
          <w:color w:val="000000"/>
          <w:sz w:val="24"/>
          <w:szCs w:val="24"/>
        </w:rPr>
        <w:t>enalapril</w:t>
      </w:r>
      <w:proofErr w:type="spellEnd"/>
      <w:r>
        <w:rPr>
          <w:color w:val="000000"/>
          <w:sz w:val="24"/>
          <w:szCs w:val="24"/>
        </w:rPr>
        <w:t xml:space="preserve"> dagligt, og patienter, der vejede ≥50 kg fik enten 1,25 mg, 5 mg eller 40 mg </w:t>
      </w:r>
      <w:proofErr w:type="spellStart"/>
      <w:r>
        <w:rPr>
          <w:color w:val="000000"/>
          <w:sz w:val="24"/>
          <w:szCs w:val="24"/>
        </w:rPr>
        <w:t>enalapril</w:t>
      </w:r>
      <w:proofErr w:type="spellEnd"/>
      <w:r>
        <w:rPr>
          <w:color w:val="000000"/>
          <w:sz w:val="24"/>
          <w:szCs w:val="24"/>
        </w:rPr>
        <w:t xml:space="preserve"> dagligt. </w:t>
      </w:r>
      <w:proofErr w:type="spellStart"/>
      <w:r>
        <w:rPr>
          <w:color w:val="000000"/>
          <w:sz w:val="24"/>
          <w:szCs w:val="24"/>
        </w:rPr>
        <w:t>Enalapriladministration</w:t>
      </w:r>
      <w:proofErr w:type="spellEnd"/>
      <w:r>
        <w:rPr>
          <w:color w:val="000000"/>
          <w:sz w:val="24"/>
          <w:szCs w:val="24"/>
        </w:rPr>
        <w:t xml:space="preserve"> én gang dagligt nedsatte blodtrykkets dalværdi på en dosisafhængig måde. Den dosisafhængige </w:t>
      </w:r>
      <w:proofErr w:type="spellStart"/>
      <w:r>
        <w:rPr>
          <w:color w:val="000000"/>
          <w:sz w:val="24"/>
          <w:szCs w:val="24"/>
        </w:rPr>
        <w:t>antihypertensive</w:t>
      </w:r>
      <w:proofErr w:type="spellEnd"/>
      <w:r>
        <w:rPr>
          <w:color w:val="000000"/>
          <w:sz w:val="24"/>
          <w:szCs w:val="24"/>
        </w:rPr>
        <w:t xml:space="preserve"> virkning af </w:t>
      </w:r>
      <w:proofErr w:type="spellStart"/>
      <w:r>
        <w:rPr>
          <w:color w:val="000000"/>
          <w:sz w:val="24"/>
          <w:szCs w:val="24"/>
        </w:rPr>
        <w:t>enalapril</w:t>
      </w:r>
      <w:proofErr w:type="spellEnd"/>
      <w:r>
        <w:rPr>
          <w:color w:val="000000"/>
          <w:sz w:val="24"/>
          <w:szCs w:val="24"/>
        </w:rPr>
        <w:t xml:space="preserve"> var konstant i alle undergrupper (alder, </w:t>
      </w:r>
      <w:proofErr w:type="spellStart"/>
      <w:r>
        <w:rPr>
          <w:color w:val="000000"/>
          <w:sz w:val="24"/>
          <w:szCs w:val="24"/>
        </w:rPr>
        <w:t>Tanner</w:t>
      </w:r>
      <w:proofErr w:type="spellEnd"/>
      <w:r>
        <w:rPr>
          <w:color w:val="000000"/>
          <w:sz w:val="24"/>
          <w:szCs w:val="24"/>
        </w:rPr>
        <w:t xml:space="preserve">-niveau, køn, race). De laveste undersøgte doser, 0,625 mg og 1,25 mg svarende til gennemsnitligt 0,02 mg/kg én gang daglig, syntes dog ikke at give konstant </w:t>
      </w:r>
      <w:proofErr w:type="spellStart"/>
      <w:r>
        <w:rPr>
          <w:color w:val="000000"/>
          <w:sz w:val="24"/>
          <w:szCs w:val="24"/>
        </w:rPr>
        <w:t>antihypertensiv</w:t>
      </w:r>
      <w:proofErr w:type="spellEnd"/>
      <w:r>
        <w:rPr>
          <w:color w:val="000000"/>
          <w:sz w:val="24"/>
          <w:szCs w:val="24"/>
        </w:rPr>
        <w:t xml:space="preserve"> virkning. Den maksimale undersøgte dosis var 0,58 mg/kg (op til 40 mg) én gang daglig. Bivirkningsprofilen for pædiatriske patienter er ikke forskellig fra den, der ses hos voksne patienter.</w:t>
      </w:r>
    </w:p>
    <w:p w:rsidR="00945E16" w:rsidRDefault="00945E16" w:rsidP="00945E16">
      <w:pPr>
        <w:ind w:left="851"/>
        <w:rPr>
          <w:color w:val="000000"/>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945E16" w:rsidRDefault="00945E16" w:rsidP="00945E16">
      <w:pPr>
        <w:ind w:left="851"/>
        <w:rPr>
          <w:color w:val="000000"/>
          <w:sz w:val="24"/>
          <w:szCs w:val="24"/>
        </w:rPr>
      </w:pPr>
    </w:p>
    <w:p w:rsidR="00945E16" w:rsidRDefault="00945E16" w:rsidP="00945E16">
      <w:pPr>
        <w:ind w:left="851"/>
        <w:rPr>
          <w:color w:val="000000"/>
          <w:sz w:val="24"/>
          <w:szCs w:val="24"/>
          <w:u w:val="single"/>
        </w:rPr>
      </w:pPr>
      <w:r>
        <w:rPr>
          <w:color w:val="000000"/>
          <w:sz w:val="24"/>
          <w:szCs w:val="24"/>
          <w:u w:val="single"/>
        </w:rPr>
        <w:t>Absorption</w:t>
      </w:r>
    </w:p>
    <w:p w:rsidR="00945E16" w:rsidRDefault="00945E16" w:rsidP="00945E16">
      <w:pPr>
        <w:ind w:left="851"/>
        <w:rPr>
          <w:color w:val="000000"/>
          <w:sz w:val="24"/>
          <w:szCs w:val="24"/>
        </w:rPr>
      </w:pPr>
      <w:r>
        <w:rPr>
          <w:color w:val="000000"/>
          <w:sz w:val="24"/>
          <w:szCs w:val="24"/>
        </w:rPr>
        <w:t xml:space="preserve">Peroral </w:t>
      </w:r>
      <w:proofErr w:type="spellStart"/>
      <w:r>
        <w:rPr>
          <w:color w:val="000000"/>
          <w:sz w:val="24"/>
          <w:szCs w:val="24"/>
        </w:rPr>
        <w:t>enalapril</w:t>
      </w:r>
      <w:proofErr w:type="spellEnd"/>
      <w:r>
        <w:rPr>
          <w:color w:val="000000"/>
          <w:sz w:val="24"/>
          <w:szCs w:val="24"/>
        </w:rPr>
        <w:t xml:space="preserve"> absorberes hurtigt, og maksimale serumkoncentrationer af </w:t>
      </w:r>
      <w:proofErr w:type="spellStart"/>
      <w:r>
        <w:rPr>
          <w:color w:val="000000"/>
          <w:sz w:val="24"/>
          <w:szCs w:val="24"/>
        </w:rPr>
        <w:t>enalapril</w:t>
      </w:r>
      <w:proofErr w:type="spellEnd"/>
      <w:r>
        <w:rPr>
          <w:color w:val="000000"/>
          <w:sz w:val="24"/>
          <w:szCs w:val="24"/>
        </w:rPr>
        <w:t xml:space="preserve"> forekommer i løbet af 1 time. Baseret på fund i urin er mængden af absorberet </w:t>
      </w:r>
      <w:proofErr w:type="spellStart"/>
      <w:r>
        <w:rPr>
          <w:color w:val="000000"/>
          <w:sz w:val="24"/>
          <w:szCs w:val="24"/>
        </w:rPr>
        <w:t>enalapril</w:t>
      </w:r>
      <w:proofErr w:type="spellEnd"/>
      <w:r>
        <w:rPr>
          <w:color w:val="000000"/>
          <w:sz w:val="24"/>
          <w:szCs w:val="24"/>
        </w:rPr>
        <w:t xml:space="preserve"> fra oral </w:t>
      </w:r>
      <w:proofErr w:type="spellStart"/>
      <w:r>
        <w:rPr>
          <w:color w:val="000000"/>
          <w:sz w:val="24"/>
          <w:szCs w:val="24"/>
        </w:rPr>
        <w:t>enalapril</w:t>
      </w:r>
      <w:proofErr w:type="spellEnd"/>
      <w:r>
        <w:rPr>
          <w:color w:val="000000"/>
          <w:sz w:val="24"/>
          <w:szCs w:val="24"/>
        </w:rPr>
        <w:t xml:space="preserve"> ca. 60 %. Absorptionen af oral </w:t>
      </w:r>
      <w:proofErr w:type="spellStart"/>
      <w:r>
        <w:rPr>
          <w:color w:val="000000"/>
          <w:sz w:val="24"/>
          <w:szCs w:val="24"/>
        </w:rPr>
        <w:t>enalapril</w:t>
      </w:r>
      <w:proofErr w:type="spellEnd"/>
      <w:r>
        <w:rPr>
          <w:color w:val="000000"/>
          <w:sz w:val="24"/>
          <w:szCs w:val="24"/>
        </w:rPr>
        <w:t xml:space="preserve"> påvirkes ikke af tilstedeværelsen af føde i mave-tarm-kanalen.</w:t>
      </w:r>
    </w:p>
    <w:p w:rsidR="00945E16" w:rsidRDefault="00945E16" w:rsidP="00945E16">
      <w:pPr>
        <w:ind w:left="851"/>
        <w:rPr>
          <w:color w:val="000000"/>
          <w:sz w:val="24"/>
          <w:szCs w:val="24"/>
        </w:rPr>
      </w:pPr>
    </w:p>
    <w:p w:rsidR="00945E16" w:rsidRDefault="00945E16" w:rsidP="00945E16">
      <w:pPr>
        <w:ind w:left="851"/>
        <w:rPr>
          <w:color w:val="000000"/>
          <w:sz w:val="24"/>
          <w:szCs w:val="24"/>
        </w:rPr>
      </w:pPr>
      <w:r>
        <w:rPr>
          <w:color w:val="000000"/>
          <w:sz w:val="24"/>
          <w:szCs w:val="24"/>
        </w:rPr>
        <w:t xml:space="preserve">Efter absorption hydrolyseres oral </w:t>
      </w:r>
      <w:proofErr w:type="spellStart"/>
      <w:r>
        <w:rPr>
          <w:color w:val="000000"/>
          <w:sz w:val="24"/>
          <w:szCs w:val="24"/>
        </w:rPr>
        <w:t>enalapril</w:t>
      </w:r>
      <w:proofErr w:type="spellEnd"/>
      <w:r>
        <w:rPr>
          <w:color w:val="000000"/>
          <w:sz w:val="24"/>
          <w:szCs w:val="24"/>
        </w:rPr>
        <w:t xml:space="preserve"> hurtigt og i stort omfang til </w:t>
      </w:r>
      <w:proofErr w:type="spellStart"/>
      <w:r>
        <w:rPr>
          <w:color w:val="000000"/>
          <w:sz w:val="24"/>
          <w:szCs w:val="24"/>
        </w:rPr>
        <w:t>enalaprilat</w:t>
      </w:r>
      <w:proofErr w:type="spellEnd"/>
      <w:r>
        <w:rPr>
          <w:color w:val="000000"/>
          <w:sz w:val="24"/>
          <w:szCs w:val="24"/>
        </w:rPr>
        <w:t xml:space="preserve">, en potent ACE-hæmmer. Maksimale serumkoncentrationer af </w:t>
      </w:r>
      <w:proofErr w:type="spellStart"/>
      <w:r>
        <w:rPr>
          <w:color w:val="000000"/>
          <w:sz w:val="24"/>
          <w:szCs w:val="24"/>
        </w:rPr>
        <w:t>enalaprilat</w:t>
      </w:r>
      <w:proofErr w:type="spellEnd"/>
      <w:r>
        <w:rPr>
          <w:color w:val="000000"/>
          <w:sz w:val="24"/>
          <w:szCs w:val="24"/>
        </w:rPr>
        <w:t xml:space="preserve"> opnås ca. 4 timer efter peroral dosis af </w:t>
      </w:r>
      <w:proofErr w:type="spellStart"/>
      <w:r>
        <w:rPr>
          <w:color w:val="000000"/>
          <w:sz w:val="24"/>
          <w:szCs w:val="24"/>
        </w:rPr>
        <w:t>enalapril</w:t>
      </w:r>
      <w:proofErr w:type="spellEnd"/>
      <w:r>
        <w:rPr>
          <w:color w:val="000000"/>
          <w:sz w:val="24"/>
          <w:szCs w:val="24"/>
        </w:rPr>
        <w:t xml:space="preserve">. Den effektive halveringstid for akkumuleret </w:t>
      </w:r>
      <w:proofErr w:type="spellStart"/>
      <w:r>
        <w:rPr>
          <w:color w:val="000000"/>
          <w:sz w:val="24"/>
          <w:szCs w:val="24"/>
        </w:rPr>
        <w:t>enalaprilat</w:t>
      </w:r>
      <w:proofErr w:type="spellEnd"/>
      <w:r>
        <w:rPr>
          <w:color w:val="000000"/>
          <w:sz w:val="24"/>
          <w:szCs w:val="24"/>
        </w:rPr>
        <w:t xml:space="preserve"> efter gentagne perorale doser </w:t>
      </w:r>
      <w:proofErr w:type="spellStart"/>
      <w:r>
        <w:rPr>
          <w:color w:val="000000"/>
          <w:sz w:val="24"/>
          <w:szCs w:val="24"/>
        </w:rPr>
        <w:t>enalapril</w:t>
      </w:r>
      <w:proofErr w:type="spellEnd"/>
      <w:r>
        <w:rPr>
          <w:color w:val="000000"/>
          <w:sz w:val="24"/>
          <w:szCs w:val="24"/>
        </w:rPr>
        <w:t xml:space="preserve"> er 11 timer. Hos personer med normal nyrefunktion opnås </w:t>
      </w:r>
      <w:proofErr w:type="spellStart"/>
      <w:r>
        <w:rPr>
          <w:color w:val="000000"/>
          <w:sz w:val="24"/>
          <w:szCs w:val="24"/>
        </w:rPr>
        <w:t>steady-state</w:t>
      </w:r>
      <w:proofErr w:type="spellEnd"/>
      <w:r>
        <w:rPr>
          <w:color w:val="000000"/>
          <w:sz w:val="24"/>
          <w:szCs w:val="24"/>
        </w:rPr>
        <w:t xml:space="preserve"> serumkoncentrationer af </w:t>
      </w:r>
      <w:proofErr w:type="spellStart"/>
      <w:r>
        <w:rPr>
          <w:color w:val="000000"/>
          <w:sz w:val="24"/>
          <w:szCs w:val="24"/>
        </w:rPr>
        <w:t>enalaprilat</w:t>
      </w:r>
      <w:proofErr w:type="spellEnd"/>
      <w:r>
        <w:rPr>
          <w:color w:val="000000"/>
          <w:sz w:val="24"/>
          <w:szCs w:val="24"/>
        </w:rPr>
        <w:t xml:space="preserve"> efter 4 dages behandling.</w:t>
      </w:r>
    </w:p>
    <w:p w:rsidR="00945E16" w:rsidRDefault="00945E16" w:rsidP="00945E16">
      <w:pPr>
        <w:ind w:left="851"/>
        <w:rPr>
          <w:color w:val="000000"/>
          <w:sz w:val="24"/>
          <w:szCs w:val="24"/>
        </w:rPr>
      </w:pPr>
    </w:p>
    <w:p w:rsidR="00945E16" w:rsidRDefault="00945E16" w:rsidP="00945E16">
      <w:pPr>
        <w:ind w:left="851"/>
        <w:rPr>
          <w:color w:val="000000"/>
          <w:sz w:val="24"/>
          <w:szCs w:val="24"/>
          <w:u w:val="single"/>
        </w:rPr>
      </w:pPr>
      <w:r>
        <w:rPr>
          <w:color w:val="000000"/>
          <w:sz w:val="24"/>
          <w:szCs w:val="24"/>
          <w:u w:val="single"/>
        </w:rPr>
        <w:t>Fordeling</w:t>
      </w:r>
    </w:p>
    <w:p w:rsidR="00945E16" w:rsidRDefault="00945E16" w:rsidP="00945E16">
      <w:pPr>
        <w:ind w:left="851"/>
        <w:rPr>
          <w:color w:val="000000"/>
          <w:sz w:val="24"/>
          <w:szCs w:val="24"/>
        </w:rPr>
      </w:pPr>
      <w:r>
        <w:rPr>
          <w:color w:val="000000"/>
          <w:sz w:val="24"/>
          <w:szCs w:val="24"/>
        </w:rPr>
        <w:t xml:space="preserve">Ved de koncentrationer, der er terapeutisk relevante, overstiger bindingen af </w:t>
      </w:r>
      <w:proofErr w:type="spellStart"/>
      <w:r>
        <w:rPr>
          <w:color w:val="000000"/>
          <w:sz w:val="24"/>
          <w:szCs w:val="24"/>
        </w:rPr>
        <w:t>enalaprilat</w:t>
      </w:r>
      <w:proofErr w:type="spellEnd"/>
      <w:r>
        <w:rPr>
          <w:color w:val="000000"/>
          <w:sz w:val="24"/>
          <w:szCs w:val="24"/>
        </w:rPr>
        <w:t xml:space="preserve"> til humane plasmaproteiner ikke 60 %.</w:t>
      </w:r>
    </w:p>
    <w:p w:rsidR="00945E16" w:rsidRDefault="00945E16" w:rsidP="00945E16">
      <w:pPr>
        <w:ind w:left="851"/>
        <w:rPr>
          <w:color w:val="000000"/>
          <w:sz w:val="24"/>
          <w:szCs w:val="24"/>
        </w:rPr>
      </w:pPr>
    </w:p>
    <w:p w:rsidR="00945E16" w:rsidRDefault="00945E16" w:rsidP="00945E16">
      <w:pPr>
        <w:ind w:left="851"/>
        <w:rPr>
          <w:color w:val="000000"/>
          <w:sz w:val="24"/>
          <w:szCs w:val="24"/>
          <w:u w:val="single"/>
        </w:rPr>
      </w:pPr>
      <w:r>
        <w:rPr>
          <w:color w:val="000000"/>
          <w:sz w:val="24"/>
          <w:szCs w:val="24"/>
          <w:u w:val="single"/>
        </w:rPr>
        <w:t>Biotransformation</w:t>
      </w:r>
    </w:p>
    <w:p w:rsidR="00945E16" w:rsidRDefault="00945E16" w:rsidP="00945E16">
      <w:pPr>
        <w:ind w:left="851"/>
        <w:rPr>
          <w:color w:val="000000"/>
          <w:sz w:val="24"/>
          <w:szCs w:val="24"/>
        </w:rPr>
      </w:pPr>
      <w:r>
        <w:rPr>
          <w:color w:val="000000"/>
          <w:sz w:val="24"/>
          <w:szCs w:val="24"/>
        </w:rPr>
        <w:t xml:space="preserve">Udover omdannelse til </w:t>
      </w:r>
      <w:proofErr w:type="spellStart"/>
      <w:r>
        <w:rPr>
          <w:color w:val="000000"/>
          <w:sz w:val="24"/>
          <w:szCs w:val="24"/>
        </w:rPr>
        <w:t>enalaprilat</w:t>
      </w:r>
      <w:proofErr w:type="spellEnd"/>
      <w:r>
        <w:rPr>
          <w:color w:val="000000"/>
          <w:sz w:val="24"/>
          <w:szCs w:val="24"/>
        </w:rPr>
        <w:t xml:space="preserve"> er der ingen tegn på signifikant metabolisme af </w:t>
      </w:r>
      <w:proofErr w:type="spellStart"/>
      <w:r>
        <w:rPr>
          <w:color w:val="000000"/>
          <w:sz w:val="24"/>
          <w:szCs w:val="24"/>
        </w:rPr>
        <w:t>enalapril</w:t>
      </w:r>
      <w:proofErr w:type="spellEnd"/>
      <w:r>
        <w:rPr>
          <w:color w:val="000000"/>
          <w:sz w:val="24"/>
          <w:szCs w:val="24"/>
        </w:rPr>
        <w:t>.</w:t>
      </w:r>
    </w:p>
    <w:p w:rsidR="00945E16" w:rsidRDefault="00945E16" w:rsidP="00945E16">
      <w:pPr>
        <w:ind w:left="851"/>
        <w:rPr>
          <w:color w:val="000000"/>
          <w:sz w:val="24"/>
          <w:szCs w:val="24"/>
        </w:rPr>
      </w:pPr>
    </w:p>
    <w:p w:rsidR="00945E16" w:rsidRDefault="00945E16" w:rsidP="00945E16">
      <w:pPr>
        <w:ind w:left="851"/>
        <w:rPr>
          <w:color w:val="000000"/>
          <w:sz w:val="24"/>
          <w:szCs w:val="24"/>
          <w:u w:val="single"/>
        </w:rPr>
      </w:pPr>
      <w:r>
        <w:rPr>
          <w:color w:val="000000"/>
          <w:sz w:val="24"/>
          <w:szCs w:val="24"/>
          <w:u w:val="single"/>
        </w:rPr>
        <w:t>Elimination</w:t>
      </w:r>
    </w:p>
    <w:p w:rsidR="00945E16" w:rsidRDefault="00945E16" w:rsidP="00945E16">
      <w:pPr>
        <w:ind w:left="851"/>
        <w:rPr>
          <w:color w:val="000000"/>
          <w:sz w:val="24"/>
          <w:szCs w:val="24"/>
        </w:rPr>
      </w:pPr>
      <w:proofErr w:type="spellStart"/>
      <w:r>
        <w:rPr>
          <w:color w:val="000000"/>
          <w:sz w:val="24"/>
          <w:szCs w:val="24"/>
        </w:rPr>
        <w:t>Enalaprilats</w:t>
      </w:r>
      <w:proofErr w:type="spellEnd"/>
      <w:r>
        <w:rPr>
          <w:color w:val="000000"/>
          <w:sz w:val="24"/>
          <w:szCs w:val="24"/>
        </w:rPr>
        <w:t xml:space="preserve"> udskillelse er primært </w:t>
      </w:r>
      <w:proofErr w:type="spellStart"/>
      <w:r>
        <w:rPr>
          <w:color w:val="000000"/>
          <w:sz w:val="24"/>
          <w:szCs w:val="24"/>
        </w:rPr>
        <w:t>renal</w:t>
      </w:r>
      <w:proofErr w:type="spellEnd"/>
      <w:r>
        <w:rPr>
          <w:color w:val="000000"/>
          <w:sz w:val="24"/>
          <w:szCs w:val="24"/>
        </w:rPr>
        <w:t xml:space="preserve">. De primære komponenter i urinen er </w:t>
      </w:r>
      <w:proofErr w:type="spellStart"/>
      <w:r>
        <w:rPr>
          <w:color w:val="000000"/>
          <w:sz w:val="24"/>
          <w:szCs w:val="24"/>
        </w:rPr>
        <w:t>enalaprilat</w:t>
      </w:r>
      <w:proofErr w:type="spellEnd"/>
      <w:r>
        <w:rPr>
          <w:color w:val="000000"/>
          <w:sz w:val="24"/>
          <w:szCs w:val="24"/>
        </w:rPr>
        <w:t xml:space="preserve">, dette gælder ca. 40 % af dosis og intakt </w:t>
      </w:r>
      <w:proofErr w:type="spellStart"/>
      <w:r>
        <w:rPr>
          <w:color w:val="000000"/>
          <w:sz w:val="24"/>
          <w:szCs w:val="24"/>
        </w:rPr>
        <w:t>enalapril</w:t>
      </w:r>
      <w:proofErr w:type="spellEnd"/>
      <w:r>
        <w:rPr>
          <w:color w:val="000000"/>
          <w:sz w:val="24"/>
          <w:szCs w:val="24"/>
        </w:rPr>
        <w:t xml:space="preserve"> (ca. 20 %).</w:t>
      </w:r>
    </w:p>
    <w:p w:rsidR="00945E16" w:rsidRDefault="00945E16" w:rsidP="00945E16">
      <w:pPr>
        <w:ind w:left="851"/>
        <w:rPr>
          <w:color w:val="000000"/>
          <w:sz w:val="24"/>
          <w:szCs w:val="24"/>
        </w:rPr>
      </w:pPr>
    </w:p>
    <w:p w:rsidR="00945E16" w:rsidRPr="00702E07" w:rsidRDefault="00945E16" w:rsidP="00945E16">
      <w:pPr>
        <w:ind w:left="851"/>
        <w:rPr>
          <w:iCs/>
          <w:color w:val="000000"/>
          <w:sz w:val="24"/>
          <w:szCs w:val="24"/>
          <w:u w:val="single"/>
        </w:rPr>
      </w:pPr>
      <w:r w:rsidRPr="00702E07">
        <w:rPr>
          <w:iCs/>
          <w:color w:val="000000"/>
          <w:sz w:val="24"/>
          <w:szCs w:val="24"/>
          <w:u w:val="single"/>
        </w:rPr>
        <w:t>Nyreinsufficiens</w:t>
      </w:r>
    </w:p>
    <w:p w:rsidR="00945E16" w:rsidRDefault="00945E16" w:rsidP="00945E16">
      <w:pPr>
        <w:ind w:left="851"/>
        <w:rPr>
          <w:color w:val="000000"/>
          <w:sz w:val="24"/>
          <w:szCs w:val="24"/>
        </w:rPr>
      </w:pPr>
      <w:r>
        <w:rPr>
          <w:color w:val="000000"/>
          <w:sz w:val="24"/>
          <w:szCs w:val="24"/>
        </w:rPr>
        <w:t xml:space="preserve">Eksponering for </w:t>
      </w:r>
      <w:proofErr w:type="spellStart"/>
      <w:r>
        <w:rPr>
          <w:color w:val="000000"/>
          <w:sz w:val="24"/>
          <w:szCs w:val="24"/>
        </w:rPr>
        <w:t>enalapril</w:t>
      </w:r>
      <w:proofErr w:type="spellEnd"/>
      <w:r>
        <w:rPr>
          <w:color w:val="000000"/>
          <w:sz w:val="24"/>
          <w:szCs w:val="24"/>
        </w:rPr>
        <w:t xml:space="preserve"> og </w:t>
      </w:r>
      <w:proofErr w:type="spellStart"/>
      <w:r>
        <w:rPr>
          <w:color w:val="000000"/>
          <w:sz w:val="24"/>
          <w:szCs w:val="24"/>
        </w:rPr>
        <w:t>enalaprilat</w:t>
      </w:r>
      <w:proofErr w:type="spellEnd"/>
      <w:r>
        <w:rPr>
          <w:color w:val="000000"/>
          <w:sz w:val="24"/>
          <w:szCs w:val="24"/>
        </w:rPr>
        <w:t xml:space="preserve"> øges for patienter med nyreinsufficiens. Hos patienter med mild til moderat nyreinsufficiens (</w:t>
      </w:r>
      <w:proofErr w:type="spellStart"/>
      <w:r>
        <w:rPr>
          <w:color w:val="000000"/>
          <w:sz w:val="24"/>
          <w:szCs w:val="24"/>
        </w:rPr>
        <w:t>kreatininclearance</w:t>
      </w:r>
      <w:proofErr w:type="spellEnd"/>
      <w:r>
        <w:rPr>
          <w:color w:val="000000"/>
          <w:sz w:val="24"/>
          <w:szCs w:val="24"/>
        </w:rPr>
        <w:t xml:space="preserve"> 40-60 ml/min) var </w:t>
      </w:r>
      <w:proofErr w:type="spellStart"/>
      <w:r>
        <w:rPr>
          <w:color w:val="000000"/>
          <w:sz w:val="24"/>
          <w:szCs w:val="24"/>
        </w:rPr>
        <w:t>steady-state</w:t>
      </w:r>
      <w:proofErr w:type="spellEnd"/>
      <w:r>
        <w:rPr>
          <w:color w:val="000000"/>
          <w:sz w:val="24"/>
          <w:szCs w:val="24"/>
        </w:rPr>
        <w:t xml:space="preserve"> AUC for </w:t>
      </w:r>
      <w:proofErr w:type="spellStart"/>
      <w:r>
        <w:rPr>
          <w:color w:val="000000"/>
          <w:sz w:val="24"/>
          <w:szCs w:val="24"/>
        </w:rPr>
        <w:t>enalaprilat</w:t>
      </w:r>
      <w:proofErr w:type="spellEnd"/>
      <w:r>
        <w:rPr>
          <w:color w:val="000000"/>
          <w:sz w:val="24"/>
          <w:szCs w:val="24"/>
        </w:rPr>
        <w:t xml:space="preserve"> ca. to gange større end hos patienter med normal nyrefunktion efter administration af 5 mg én gang dagligt Hos patienter med svær nyreinsufficiens (</w:t>
      </w:r>
      <w:proofErr w:type="spellStart"/>
      <w:r>
        <w:rPr>
          <w:color w:val="000000"/>
          <w:sz w:val="24"/>
          <w:szCs w:val="24"/>
        </w:rPr>
        <w:t>kreatininclearance</w:t>
      </w:r>
      <w:proofErr w:type="spellEnd"/>
      <w:r>
        <w:rPr>
          <w:color w:val="000000"/>
          <w:sz w:val="24"/>
          <w:szCs w:val="24"/>
        </w:rPr>
        <w:t xml:space="preserve"> ≤30 ml/min) blev AUC ca. 8 gange større. Med denne grad af nyreinsufficiens og efter flere doser af </w:t>
      </w:r>
      <w:proofErr w:type="spellStart"/>
      <w:r>
        <w:rPr>
          <w:color w:val="000000"/>
          <w:sz w:val="24"/>
          <w:szCs w:val="24"/>
        </w:rPr>
        <w:t>enalaprilmaleat</w:t>
      </w:r>
      <w:proofErr w:type="spellEnd"/>
      <w:r>
        <w:rPr>
          <w:color w:val="000000"/>
          <w:sz w:val="24"/>
          <w:szCs w:val="24"/>
        </w:rPr>
        <w:t xml:space="preserve"> forlænges den effektive halveringstid, og tiden til </w:t>
      </w:r>
      <w:proofErr w:type="spellStart"/>
      <w:r>
        <w:rPr>
          <w:color w:val="000000"/>
          <w:sz w:val="24"/>
          <w:szCs w:val="24"/>
        </w:rPr>
        <w:t>steady-state</w:t>
      </w:r>
      <w:proofErr w:type="spellEnd"/>
      <w:r>
        <w:rPr>
          <w:color w:val="000000"/>
          <w:sz w:val="24"/>
          <w:szCs w:val="24"/>
        </w:rPr>
        <w:t xml:space="preserve"> forsinkes (se pkt. 4.2). </w:t>
      </w:r>
      <w:proofErr w:type="spellStart"/>
      <w:r>
        <w:rPr>
          <w:color w:val="000000"/>
          <w:sz w:val="24"/>
          <w:szCs w:val="24"/>
        </w:rPr>
        <w:t>Enalaprilat</w:t>
      </w:r>
      <w:proofErr w:type="spellEnd"/>
      <w:r>
        <w:rPr>
          <w:color w:val="000000"/>
          <w:sz w:val="24"/>
          <w:szCs w:val="24"/>
        </w:rPr>
        <w:t xml:space="preserve"> kan fjernes fra det systemiske kredsløb ved hæmodialyse. </w:t>
      </w:r>
      <w:proofErr w:type="spellStart"/>
      <w:r>
        <w:rPr>
          <w:color w:val="000000"/>
          <w:sz w:val="24"/>
          <w:szCs w:val="24"/>
        </w:rPr>
        <w:t>Dialyseclearance</w:t>
      </w:r>
      <w:proofErr w:type="spellEnd"/>
      <w:r>
        <w:rPr>
          <w:color w:val="000000"/>
          <w:sz w:val="24"/>
          <w:szCs w:val="24"/>
        </w:rPr>
        <w:t xml:space="preserve"> er 62 ml/min.</w:t>
      </w:r>
    </w:p>
    <w:p w:rsidR="00945E16" w:rsidRDefault="00945E16" w:rsidP="00945E16">
      <w:pPr>
        <w:ind w:left="851"/>
        <w:rPr>
          <w:color w:val="000000"/>
          <w:sz w:val="24"/>
          <w:szCs w:val="24"/>
        </w:rPr>
      </w:pPr>
    </w:p>
    <w:p w:rsidR="00945E16" w:rsidRPr="00702E07" w:rsidRDefault="00945E16" w:rsidP="00945E16">
      <w:pPr>
        <w:autoSpaceDE w:val="0"/>
        <w:autoSpaceDN w:val="0"/>
        <w:adjustRightInd w:val="0"/>
        <w:ind w:left="851"/>
        <w:rPr>
          <w:iCs/>
          <w:color w:val="000000"/>
          <w:sz w:val="24"/>
          <w:szCs w:val="24"/>
          <w:u w:val="single"/>
        </w:rPr>
      </w:pPr>
      <w:r w:rsidRPr="00702E07">
        <w:rPr>
          <w:iCs/>
          <w:color w:val="000000"/>
          <w:sz w:val="24"/>
          <w:szCs w:val="24"/>
          <w:u w:val="single"/>
        </w:rPr>
        <w:t>Børn og unge</w:t>
      </w:r>
    </w:p>
    <w:p w:rsidR="00702E07" w:rsidRDefault="00945E16" w:rsidP="00A762D9">
      <w:pPr>
        <w:autoSpaceDE w:val="0"/>
        <w:autoSpaceDN w:val="0"/>
        <w:adjustRightInd w:val="0"/>
        <w:ind w:left="851"/>
        <w:rPr>
          <w:color w:val="000000"/>
          <w:sz w:val="24"/>
          <w:szCs w:val="24"/>
        </w:rPr>
      </w:pPr>
      <w:r>
        <w:rPr>
          <w:color w:val="000000"/>
          <w:sz w:val="24"/>
          <w:szCs w:val="24"/>
        </w:rPr>
        <w:t xml:space="preserve">En flerdosis </w:t>
      </w:r>
      <w:proofErr w:type="spellStart"/>
      <w:r>
        <w:rPr>
          <w:color w:val="000000"/>
          <w:sz w:val="24"/>
          <w:szCs w:val="24"/>
        </w:rPr>
        <w:t>farmakokinetisk</w:t>
      </w:r>
      <w:proofErr w:type="spellEnd"/>
      <w:r>
        <w:rPr>
          <w:color w:val="000000"/>
          <w:sz w:val="24"/>
          <w:szCs w:val="24"/>
        </w:rPr>
        <w:t xml:space="preserve"> undersøgelse blev udført blandt 40 </w:t>
      </w:r>
      <w:proofErr w:type="spellStart"/>
      <w:r>
        <w:rPr>
          <w:color w:val="000000"/>
          <w:sz w:val="24"/>
          <w:szCs w:val="24"/>
        </w:rPr>
        <w:t>hypertensive</w:t>
      </w:r>
      <w:proofErr w:type="spellEnd"/>
      <w:r>
        <w:rPr>
          <w:color w:val="000000"/>
          <w:sz w:val="24"/>
          <w:szCs w:val="24"/>
        </w:rPr>
        <w:t xml:space="preserve"> mandlige og kvindelige pædiatriske patienter i alderen 2 måneder til ≤16 år efter daglig oral administration af 0,07-0,14 mg/kg </w:t>
      </w:r>
      <w:proofErr w:type="spellStart"/>
      <w:r>
        <w:rPr>
          <w:color w:val="000000"/>
          <w:sz w:val="24"/>
          <w:szCs w:val="24"/>
        </w:rPr>
        <w:t>enalaprilmaleat</w:t>
      </w:r>
      <w:proofErr w:type="spellEnd"/>
      <w:r>
        <w:rPr>
          <w:color w:val="000000"/>
          <w:sz w:val="24"/>
          <w:szCs w:val="24"/>
        </w:rPr>
        <w:t xml:space="preserve">. Der var ingen væsentlige forskelle i </w:t>
      </w:r>
      <w:proofErr w:type="spellStart"/>
      <w:r>
        <w:rPr>
          <w:color w:val="000000"/>
          <w:sz w:val="24"/>
          <w:szCs w:val="24"/>
        </w:rPr>
        <w:t>enalaprilats</w:t>
      </w:r>
      <w:proofErr w:type="spellEnd"/>
      <w:r>
        <w:rPr>
          <w:color w:val="000000"/>
          <w:sz w:val="24"/>
          <w:szCs w:val="24"/>
        </w:rPr>
        <w:t xml:space="preserve"> farmakokinetik hos børn sammenlignet med historiske data for voksne. Data </w:t>
      </w:r>
      <w:r>
        <w:rPr>
          <w:color w:val="000000"/>
          <w:sz w:val="24"/>
          <w:szCs w:val="24"/>
        </w:rPr>
        <w:lastRenderedPageBreak/>
        <w:t xml:space="preserve">indikerer en øgning af AUC (normaliseret til dosis pr. legemsvægt) ved stigende alder. Der ses dog ikke en øgning af AUC, når data normaliseres pr. legemsoverfladeareal. Ved </w:t>
      </w:r>
      <w:proofErr w:type="spellStart"/>
      <w:r>
        <w:rPr>
          <w:color w:val="000000"/>
          <w:sz w:val="24"/>
          <w:szCs w:val="24"/>
        </w:rPr>
        <w:t>steady-state</w:t>
      </w:r>
      <w:proofErr w:type="spellEnd"/>
      <w:r>
        <w:rPr>
          <w:color w:val="000000"/>
          <w:sz w:val="24"/>
          <w:szCs w:val="24"/>
        </w:rPr>
        <w:t xml:space="preserve"> var den gennemsnitlige effektive halveringstid for akkumuleret </w:t>
      </w:r>
      <w:proofErr w:type="spellStart"/>
      <w:r>
        <w:rPr>
          <w:color w:val="000000"/>
          <w:sz w:val="24"/>
          <w:szCs w:val="24"/>
        </w:rPr>
        <w:t>enalaprilat</w:t>
      </w:r>
      <w:proofErr w:type="spellEnd"/>
      <w:r>
        <w:rPr>
          <w:color w:val="000000"/>
          <w:sz w:val="24"/>
          <w:szCs w:val="24"/>
        </w:rPr>
        <w:t xml:space="preserve"> 14 timer.</w:t>
      </w:r>
    </w:p>
    <w:p w:rsidR="00945E16" w:rsidRDefault="00945E16" w:rsidP="00945E16">
      <w:pPr>
        <w:ind w:left="851"/>
        <w:rPr>
          <w:color w:val="000000"/>
          <w:sz w:val="24"/>
          <w:szCs w:val="24"/>
        </w:rPr>
      </w:pPr>
    </w:p>
    <w:p w:rsidR="00945E16" w:rsidRPr="00702E07" w:rsidRDefault="00945E16" w:rsidP="00945E16">
      <w:pPr>
        <w:ind w:left="851"/>
        <w:rPr>
          <w:iCs/>
          <w:color w:val="000000"/>
          <w:sz w:val="24"/>
          <w:szCs w:val="24"/>
          <w:u w:val="single"/>
        </w:rPr>
      </w:pPr>
      <w:r w:rsidRPr="00702E07">
        <w:rPr>
          <w:iCs/>
          <w:color w:val="000000"/>
          <w:sz w:val="24"/>
          <w:szCs w:val="24"/>
          <w:u w:val="single"/>
        </w:rPr>
        <w:t>Amning</w:t>
      </w:r>
    </w:p>
    <w:p w:rsidR="00945E16" w:rsidRDefault="00945E16" w:rsidP="00945E16">
      <w:pPr>
        <w:ind w:left="851"/>
        <w:rPr>
          <w:color w:val="000000"/>
          <w:sz w:val="24"/>
          <w:szCs w:val="24"/>
        </w:rPr>
      </w:pPr>
      <w:r>
        <w:rPr>
          <w:color w:val="000000"/>
          <w:sz w:val="24"/>
          <w:szCs w:val="24"/>
        </w:rPr>
        <w:t>Hos fem post-</w:t>
      </w:r>
      <w:proofErr w:type="spellStart"/>
      <w:r>
        <w:rPr>
          <w:color w:val="000000"/>
          <w:sz w:val="24"/>
          <w:szCs w:val="24"/>
        </w:rPr>
        <w:t>partum</w:t>
      </w:r>
      <w:proofErr w:type="spellEnd"/>
      <w:r>
        <w:rPr>
          <w:color w:val="000000"/>
          <w:sz w:val="24"/>
          <w:szCs w:val="24"/>
        </w:rPr>
        <w:t xml:space="preserve"> kvinder blev den gennemsnitlige maksimale </w:t>
      </w:r>
      <w:proofErr w:type="spellStart"/>
      <w:r>
        <w:rPr>
          <w:color w:val="000000"/>
          <w:sz w:val="24"/>
          <w:szCs w:val="24"/>
        </w:rPr>
        <w:t>enalaprilkoncentration</w:t>
      </w:r>
      <w:proofErr w:type="spellEnd"/>
      <w:r>
        <w:rPr>
          <w:color w:val="000000"/>
          <w:sz w:val="24"/>
          <w:szCs w:val="24"/>
        </w:rPr>
        <w:t xml:space="preserve"> i modermælken opnået 4-6 timer efter administration af en enkelt 20 mg oral dosis og var på 1,7 </w:t>
      </w:r>
      <w:proofErr w:type="spellStart"/>
      <w:r>
        <w:rPr>
          <w:color w:val="000000"/>
          <w:sz w:val="24"/>
          <w:szCs w:val="24"/>
        </w:rPr>
        <w:t>μg</w:t>
      </w:r>
      <w:proofErr w:type="spellEnd"/>
      <w:r>
        <w:rPr>
          <w:color w:val="000000"/>
          <w:sz w:val="24"/>
          <w:szCs w:val="24"/>
        </w:rPr>
        <w:t xml:space="preserve">/l (interval 0,54 til 5,9 </w:t>
      </w:r>
      <w:proofErr w:type="spellStart"/>
      <w:r>
        <w:rPr>
          <w:color w:val="000000"/>
          <w:sz w:val="24"/>
          <w:szCs w:val="24"/>
        </w:rPr>
        <w:t>μg</w:t>
      </w:r>
      <w:proofErr w:type="spellEnd"/>
      <w:r>
        <w:rPr>
          <w:color w:val="000000"/>
          <w:sz w:val="24"/>
          <w:szCs w:val="24"/>
        </w:rPr>
        <w:t xml:space="preserve">/l). Den gennemsnitlige maksimale </w:t>
      </w:r>
      <w:proofErr w:type="spellStart"/>
      <w:r>
        <w:rPr>
          <w:color w:val="000000"/>
          <w:sz w:val="24"/>
          <w:szCs w:val="24"/>
        </w:rPr>
        <w:t>enalaprilkoncentration</w:t>
      </w:r>
      <w:proofErr w:type="spellEnd"/>
      <w:r>
        <w:rPr>
          <w:color w:val="000000"/>
          <w:sz w:val="24"/>
          <w:szCs w:val="24"/>
        </w:rPr>
        <w:t xml:space="preserve"> var 1,7 </w:t>
      </w:r>
      <w:proofErr w:type="spellStart"/>
      <w:r>
        <w:rPr>
          <w:color w:val="000000"/>
          <w:sz w:val="24"/>
          <w:szCs w:val="24"/>
        </w:rPr>
        <w:t>μg</w:t>
      </w:r>
      <w:proofErr w:type="spellEnd"/>
      <w:r>
        <w:rPr>
          <w:color w:val="000000"/>
          <w:sz w:val="24"/>
          <w:szCs w:val="24"/>
        </w:rPr>
        <w:t xml:space="preserve">/l (interval 1,2 til 2,3 </w:t>
      </w:r>
      <w:proofErr w:type="spellStart"/>
      <w:r>
        <w:rPr>
          <w:color w:val="000000"/>
          <w:sz w:val="24"/>
          <w:szCs w:val="24"/>
        </w:rPr>
        <w:t>μg</w:t>
      </w:r>
      <w:proofErr w:type="spellEnd"/>
      <w:r>
        <w:rPr>
          <w:color w:val="000000"/>
          <w:sz w:val="24"/>
          <w:szCs w:val="24"/>
        </w:rPr>
        <w:t xml:space="preserve">/l). De maksimale koncentrationer blev opnået på forskellige tidspunkter over en 24 timers periode. På baggrund af de maksimale koncentrationer i modermælken bedømmes det, at et fuldt ammet barn vil indtage ca. 0,16 % af den </w:t>
      </w:r>
      <w:proofErr w:type="spellStart"/>
      <w:r>
        <w:rPr>
          <w:color w:val="000000"/>
          <w:sz w:val="24"/>
          <w:szCs w:val="24"/>
        </w:rPr>
        <w:t>maternelle</w:t>
      </w:r>
      <w:proofErr w:type="spellEnd"/>
      <w:r>
        <w:rPr>
          <w:color w:val="000000"/>
          <w:sz w:val="24"/>
          <w:szCs w:val="24"/>
        </w:rPr>
        <w:t>, vægtjusterede dosis.</w:t>
      </w:r>
    </w:p>
    <w:p w:rsidR="00945E16" w:rsidRDefault="00945E16" w:rsidP="00945E16">
      <w:pPr>
        <w:ind w:left="851"/>
        <w:rPr>
          <w:color w:val="000000"/>
          <w:sz w:val="24"/>
          <w:szCs w:val="24"/>
        </w:rPr>
      </w:pPr>
    </w:p>
    <w:p w:rsidR="00945E16" w:rsidRDefault="00945E16" w:rsidP="00945E16">
      <w:pPr>
        <w:ind w:left="851"/>
        <w:rPr>
          <w:color w:val="000000"/>
          <w:sz w:val="24"/>
          <w:szCs w:val="24"/>
        </w:rPr>
      </w:pPr>
      <w:r>
        <w:rPr>
          <w:color w:val="000000"/>
          <w:sz w:val="24"/>
          <w:szCs w:val="24"/>
        </w:rPr>
        <w:t xml:space="preserve">Hos en kvinde, der havde taget 10 mg peroral </w:t>
      </w:r>
      <w:proofErr w:type="spellStart"/>
      <w:r>
        <w:rPr>
          <w:color w:val="000000"/>
          <w:sz w:val="24"/>
          <w:szCs w:val="24"/>
        </w:rPr>
        <w:t>enalapril</w:t>
      </w:r>
      <w:proofErr w:type="spellEnd"/>
      <w:r>
        <w:rPr>
          <w:color w:val="000000"/>
          <w:sz w:val="24"/>
          <w:szCs w:val="24"/>
        </w:rPr>
        <w:t xml:space="preserve"> daglig i 11 måneder, blev de maksimale </w:t>
      </w:r>
      <w:proofErr w:type="spellStart"/>
      <w:r>
        <w:rPr>
          <w:color w:val="000000"/>
          <w:sz w:val="24"/>
          <w:szCs w:val="24"/>
        </w:rPr>
        <w:t>enalaprilkoncentrationer</w:t>
      </w:r>
      <w:proofErr w:type="spellEnd"/>
      <w:r>
        <w:rPr>
          <w:color w:val="000000"/>
          <w:sz w:val="24"/>
          <w:szCs w:val="24"/>
        </w:rPr>
        <w:t xml:space="preserve"> i mælken opnået 4 timer efter indtagelsen af dosis og var på 2 </w:t>
      </w:r>
      <w:proofErr w:type="spellStart"/>
      <w:r>
        <w:rPr>
          <w:color w:val="000000"/>
          <w:sz w:val="24"/>
          <w:szCs w:val="24"/>
        </w:rPr>
        <w:t>μg</w:t>
      </w:r>
      <w:proofErr w:type="spellEnd"/>
      <w:r>
        <w:rPr>
          <w:color w:val="000000"/>
          <w:sz w:val="24"/>
          <w:szCs w:val="24"/>
        </w:rPr>
        <w:t xml:space="preserve">/l, og de maksimale </w:t>
      </w:r>
      <w:proofErr w:type="spellStart"/>
      <w:r>
        <w:rPr>
          <w:color w:val="000000"/>
          <w:sz w:val="24"/>
          <w:szCs w:val="24"/>
        </w:rPr>
        <w:t>enalaprilkoncentrationer</w:t>
      </w:r>
      <w:proofErr w:type="spellEnd"/>
      <w:r>
        <w:rPr>
          <w:color w:val="000000"/>
          <w:sz w:val="24"/>
          <w:szCs w:val="24"/>
        </w:rPr>
        <w:t xml:space="preserve"> var på 0,75 </w:t>
      </w:r>
      <w:proofErr w:type="spellStart"/>
      <w:r>
        <w:rPr>
          <w:color w:val="000000"/>
          <w:sz w:val="24"/>
          <w:szCs w:val="24"/>
        </w:rPr>
        <w:t>μg</w:t>
      </w:r>
      <w:proofErr w:type="spellEnd"/>
      <w:r>
        <w:rPr>
          <w:color w:val="000000"/>
          <w:sz w:val="24"/>
          <w:szCs w:val="24"/>
        </w:rPr>
        <w:t xml:space="preserve">/l og blev opnået ca. 9 timer efter dosis. Den totale mængde </w:t>
      </w:r>
      <w:proofErr w:type="spellStart"/>
      <w:r>
        <w:rPr>
          <w:color w:val="000000"/>
          <w:sz w:val="24"/>
          <w:szCs w:val="24"/>
        </w:rPr>
        <w:t>enalapril</w:t>
      </w:r>
      <w:proofErr w:type="spellEnd"/>
      <w:r>
        <w:rPr>
          <w:color w:val="000000"/>
          <w:sz w:val="24"/>
          <w:szCs w:val="24"/>
        </w:rPr>
        <w:t xml:space="preserve"> og </w:t>
      </w:r>
      <w:proofErr w:type="spellStart"/>
      <w:r>
        <w:rPr>
          <w:color w:val="000000"/>
          <w:sz w:val="24"/>
          <w:szCs w:val="24"/>
        </w:rPr>
        <w:t>enalaprilat</w:t>
      </w:r>
      <w:proofErr w:type="spellEnd"/>
      <w:r>
        <w:rPr>
          <w:color w:val="000000"/>
          <w:sz w:val="24"/>
          <w:szCs w:val="24"/>
        </w:rPr>
        <w:t xml:space="preserve">, der blev målt i mælken over en 24 timers periode, var henholdsvis 1,44 </w:t>
      </w:r>
      <w:proofErr w:type="spellStart"/>
      <w:r>
        <w:rPr>
          <w:color w:val="000000"/>
          <w:sz w:val="24"/>
          <w:szCs w:val="24"/>
        </w:rPr>
        <w:t>μg</w:t>
      </w:r>
      <w:proofErr w:type="spellEnd"/>
      <w:r>
        <w:rPr>
          <w:color w:val="000000"/>
          <w:sz w:val="24"/>
          <w:szCs w:val="24"/>
        </w:rPr>
        <w:t xml:space="preserve">/l mælk og 0,63 </w:t>
      </w:r>
      <w:proofErr w:type="spellStart"/>
      <w:r>
        <w:rPr>
          <w:color w:val="000000"/>
          <w:sz w:val="24"/>
          <w:szCs w:val="24"/>
        </w:rPr>
        <w:t>μg</w:t>
      </w:r>
      <w:proofErr w:type="spellEnd"/>
      <w:r>
        <w:rPr>
          <w:color w:val="000000"/>
          <w:sz w:val="24"/>
          <w:szCs w:val="24"/>
        </w:rPr>
        <w:t>/l mælk.</w:t>
      </w:r>
    </w:p>
    <w:p w:rsidR="00945E16" w:rsidRDefault="00945E16" w:rsidP="00945E16">
      <w:pPr>
        <w:ind w:left="851"/>
        <w:rPr>
          <w:color w:val="000000"/>
          <w:sz w:val="24"/>
          <w:szCs w:val="24"/>
        </w:rPr>
      </w:pPr>
    </w:p>
    <w:p w:rsidR="00945E16" w:rsidRDefault="00945E16" w:rsidP="00945E16">
      <w:pPr>
        <w:ind w:left="851"/>
        <w:rPr>
          <w:color w:val="000000"/>
          <w:sz w:val="24"/>
          <w:szCs w:val="24"/>
        </w:rPr>
      </w:pPr>
      <w:r>
        <w:rPr>
          <w:color w:val="000000"/>
          <w:sz w:val="24"/>
          <w:szCs w:val="24"/>
        </w:rPr>
        <w:t xml:space="preserve">4 timer efter administration af en enkelt dosis </w:t>
      </w:r>
      <w:proofErr w:type="spellStart"/>
      <w:r>
        <w:rPr>
          <w:color w:val="000000"/>
          <w:sz w:val="24"/>
          <w:szCs w:val="24"/>
        </w:rPr>
        <w:t>enalapril</w:t>
      </w:r>
      <w:proofErr w:type="spellEnd"/>
      <w:r>
        <w:rPr>
          <w:color w:val="000000"/>
          <w:sz w:val="24"/>
          <w:szCs w:val="24"/>
        </w:rPr>
        <w:t xml:space="preserve"> 5 mg hos en moder og 10 mg hos to andre mødre var </w:t>
      </w:r>
      <w:proofErr w:type="spellStart"/>
      <w:r>
        <w:rPr>
          <w:color w:val="000000"/>
          <w:sz w:val="24"/>
          <w:szCs w:val="24"/>
        </w:rPr>
        <w:t>enalaprilkoncentrationen</w:t>
      </w:r>
      <w:proofErr w:type="spellEnd"/>
      <w:r>
        <w:rPr>
          <w:color w:val="000000"/>
          <w:sz w:val="24"/>
          <w:szCs w:val="24"/>
        </w:rPr>
        <w:t xml:space="preserve"> i mælken ikke målbar (&lt;0,2 </w:t>
      </w:r>
      <w:proofErr w:type="spellStart"/>
      <w:r>
        <w:rPr>
          <w:color w:val="000000"/>
          <w:sz w:val="24"/>
          <w:szCs w:val="24"/>
        </w:rPr>
        <w:t>μg</w:t>
      </w:r>
      <w:proofErr w:type="spellEnd"/>
      <w:r>
        <w:rPr>
          <w:color w:val="000000"/>
          <w:sz w:val="24"/>
          <w:szCs w:val="24"/>
        </w:rPr>
        <w:t xml:space="preserve">/l). </w:t>
      </w:r>
      <w:proofErr w:type="spellStart"/>
      <w:r>
        <w:rPr>
          <w:color w:val="000000"/>
          <w:sz w:val="24"/>
          <w:szCs w:val="24"/>
        </w:rPr>
        <w:t>Enalaprilniveauerne</w:t>
      </w:r>
      <w:proofErr w:type="spellEnd"/>
      <w:r>
        <w:rPr>
          <w:color w:val="000000"/>
          <w:sz w:val="24"/>
          <w:szCs w:val="24"/>
        </w:rPr>
        <w:t xml:space="preserve"> blev ikke bestemt.</w:t>
      </w:r>
    </w:p>
    <w:p w:rsidR="00945E16" w:rsidRDefault="00945E16" w:rsidP="00945E16">
      <w:pPr>
        <w:ind w:left="851"/>
        <w:rPr>
          <w:color w:val="000000"/>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46204D">
        <w:rPr>
          <w:b/>
          <w:sz w:val="24"/>
          <w:szCs w:val="24"/>
        </w:rPr>
        <w:t>Non-</w:t>
      </w:r>
      <w:r w:rsidRPr="00C84483">
        <w:rPr>
          <w:b/>
          <w:sz w:val="24"/>
          <w:szCs w:val="24"/>
        </w:rPr>
        <w:t>kliniske sikkerhedsdata</w:t>
      </w:r>
    </w:p>
    <w:p w:rsidR="001358F2" w:rsidRDefault="001358F2" w:rsidP="001358F2">
      <w:pPr>
        <w:ind w:left="851"/>
        <w:rPr>
          <w:color w:val="000000"/>
          <w:sz w:val="24"/>
          <w:szCs w:val="24"/>
        </w:rPr>
      </w:pPr>
      <w:r>
        <w:rPr>
          <w:color w:val="000000"/>
          <w:sz w:val="24"/>
          <w:szCs w:val="24"/>
        </w:rPr>
        <w:t xml:space="preserve">Non-kliniske data viser ikke nogen særlig risiko for mennesker baseret på konventionelle undersøgelser af sikkerhedsfarmakologi, gentagen dosistoksicitet, genotoksicitet og </w:t>
      </w:r>
      <w:proofErr w:type="spellStart"/>
      <w:r>
        <w:rPr>
          <w:color w:val="000000"/>
          <w:sz w:val="24"/>
          <w:szCs w:val="24"/>
        </w:rPr>
        <w:t>karcinogent</w:t>
      </w:r>
      <w:proofErr w:type="spellEnd"/>
      <w:r>
        <w:rPr>
          <w:color w:val="000000"/>
          <w:sz w:val="24"/>
          <w:szCs w:val="24"/>
        </w:rPr>
        <w:t xml:space="preserve"> potentiale. Reproduktive toksicitetsundersøgelser viser, at </w:t>
      </w:r>
      <w:proofErr w:type="spellStart"/>
      <w:r>
        <w:rPr>
          <w:color w:val="000000"/>
          <w:sz w:val="24"/>
          <w:szCs w:val="24"/>
        </w:rPr>
        <w:t>enalapril</w:t>
      </w:r>
      <w:proofErr w:type="spellEnd"/>
      <w:r>
        <w:rPr>
          <w:color w:val="000000"/>
          <w:sz w:val="24"/>
          <w:szCs w:val="24"/>
        </w:rPr>
        <w:t xml:space="preserve"> ikke har virkning på fertilitet og reproduktion hos rotter og ikke er </w:t>
      </w:r>
      <w:proofErr w:type="spellStart"/>
      <w:r>
        <w:rPr>
          <w:color w:val="000000"/>
          <w:sz w:val="24"/>
          <w:szCs w:val="24"/>
        </w:rPr>
        <w:t>teratogent</w:t>
      </w:r>
      <w:proofErr w:type="spellEnd"/>
      <w:r>
        <w:rPr>
          <w:color w:val="000000"/>
          <w:sz w:val="24"/>
          <w:szCs w:val="24"/>
        </w:rPr>
        <w:t>. I en undersøgelse, hvor hunrotter blev medicineret før parring og drægtighed, var der en øget dødelighed blandt ungerne under laktation. Det er påvist, at det aktive stof passerer placenta og udskilles i mælk. Det er påvist, at ACE-</w:t>
      </w:r>
      <w:proofErr w:type="spellStart"/>
      <w:r>
        <w:rPr>
          <w:color w:val="000000"/>
          <w:sz w:val="24"/>
          <w:szCs w:val="24"/>
        </w:rPr>
        <w:t>hæmmere</w:t>
      </w:r>
      <w:proofErr w:type="spellEnd"/>
      <w:r>
        <w:rPr>
          <w:color w:val="000000"/>
          <w:sz w:val="24"/>
          <w:szCs w:val="24"/>
        </w:rPr>
        <w:t xml:space="preserve"> som klasse er </w:t>
      </w:r>
      <w:proofErr w:type="spellStart"/>
      <w:r>
        <w:rPr>
          <w:color w:val="000000"/>
          <w:sz w:val="24"/>
          <w:szCs w:val="24"/>
        </w:rPr>
        <w:t>føtotoksisk</w:t>
      </w:r>
      <w:proofErr w:type="spellEnd"/>
      <w:r>
        <w:rPr>
          <w:color w:val="000000"/>
          <w:sz w:val="24"/>
          <w:szCs w:val="24"/>
        </w:rPr>
        <w:t xml:space="preserve"> (giver skader og/eller er dødelige for fosteret), når de indgives i andet eller tredje trimester.</w:t>
      </w:r>
    </w:p>
    <w:p w:rsidR="009260DE" w:rsidRPr="00C84483" w:rsidRDefault="009260DE" w:rsidP="00A762D9">
      <w:pPr>
        <w:tabs>
          <w:tab w:val="left" w:pos="851"/>
        </w:tabs>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3F578A" w:rsidRDefault="008E3614" w:rsidP="008E3614">
      <w:pPr>
        <w:ind w:left="851"/>
        <w:rPr>
          <w:color w:val="000000"/>
          <w:sz w:val="24"/>
          <w:szCs w:val="24"/>
        </w:rPr>
      </w:pPr>
      <w:proofErr w:type="spellStart"/>
      <w:r>
        <w:rPr>
          <w:color w:val="000000"/>
          <w:sz w:val="24"/>
          <w:szCs w:val="24"/>
        </w:rPr>
        <w:t>Microcelac</w:t>
      </w:r>
      <w:proofErr w:type="spellEnd"/>
      <w:r>
        <w:rPr>
          <w:color w:val="000000"/>
          <w:sz w:val="24"/>
          <w:szCs w:val="24"/>
        </w:rPr>
        <w:t xml:space="preserve"> 100 (indeholder</w:t>
      </w:r>
      <w:r w:rsidR="003F578A">
        <w:rPr>
          <w:color w:val="000000"/>
          <w:sz w:val="24"/>
          <w:szCs w:val="24"/>
        </w:rPr>
        <w:t xml:space="preserve"> </w:t>
      </w:r>
      <w:proofErr w:type="spellStart"/>
      <w:r w:rsidR="003F578A">
        <w:rPr>
          <w:color w:val="000000"/>
          <w:sz w:val="24"/>
          <w:szCs w:val="24"/>
        </w:rPr>
        <w:t>l</w:t>
      </w:r>
      <w:r>
        <w:rPr>
          <w:color w:val="000000"/>
          <w:sz w:val="24"/>
          <w:szCs w:val="24"/>
        </w:rPr>
        <w:t>actosemonohydrat</w:t>
      </w:r>
      <w:proofErr w:type="spellEnd"/>
      <w:r w:rsidR="003F578A">
        <w:rPr>
          <w:color w:val="000000"/>
          <w:sz w:val="24"/>
          <w:szCs w:val="24"/>
        </w:rPr>
        <w:t xml:space="preserve"> og </w:t>
      </w:r>
      <w:r>
        <w:rPr>
          <w:color w:val="000000"/>
          <w:sz w:val="24"/>
          <w:szCs w:val="24"/>
        </w:rPr>
        <w:t>mikrokrystallinsk cellulose)</w:t>
      </w:r>
    </w:p>
    <w:p w:rsidR="003F578A" w:rsidRDefault="003F578A" w:rsidP="008E3614">
      <w:pPr>
        <w:ind w:left="851"/>
        <w:rPr>
          <w:color w:val="000000"/>
          <w:sz w:val="24"/>
          <w:szCs w:val="24"/>
        </w:rPr>
      </w:pPr>
      <w:r>
        <w:rPr>
          <w:color w:val="000000"/>
          <w:sz w:val="24"/>
          <w:szCs w:val="24"/>
        </w:rPr>
        <w:t>P</w:t>
      </w:r>
      <w:r w:rsidR="008E3614">
        <w:rPr>
          <w:color w:val="000000"/>
          <w:sz w:val="24"/>
          <w:szCs w:val="24"/>
        </w:rPr>
        <w:t>rægelatineret stivelse</w:t>
      </w:r>
    </w:p>
    <w:p w:rsidR="003F578A" w:rsidRDefault="003F578A" w:rsidP="008E3614">
      <w:pPr>
        <w:ind w:left="851"/>
        <w:rPr>
          <w:color w:val="000000"/>
          <w:sz w:val="24"/>
          <w:szCs w:val="24"/>
        </w:rPr>
      </w:pPr>
      <w:proofErr w:type="spellStart"/>
      <w:r>
        <w:rPr>
          <w:color w:val="000000"/>
          <w:sz w:val="24"/>
          <w:szCs w:val="24"/>
        </w:rPr>
        <w:t>C</w:t>
      </w:r>
      <w:r w:rsidR="008E3614">
        <w:rPr>
          <w:color w:val="000000"/>
          <w:sz w:val="24"/>
          <w:szCs w:val="24"/>
        </w:rPr>
        <w:t>roscarmellosenatrium</w:t>
      </w:r>
      <w:proofErr w:type="spellEnd"/>
    </w:p>
    <w:p w:rsidR="003F578A" w:rsidRDefault="003F578A" w:rsidP="008E3614">
      <w:pPr>
        <w:ind w:left="851"/>
        <w:rPr>
          <w:color w:val="000000"/>
          <w:sz w:val="24"/>
          <w:szCs w:val="24"/>
        </w:rPr>
      </w:pPr>
      <w:proofErr w:type="spellStart"/>
      <w:r>
        <w:rPr>
          <w:color w:val="000000"/>
          <w:sz w:val="24"/>
          <w:szCs w:val="24"/>
        </w:rPr>
        <w:t>N</w:t>
      </w:r>
      <w:r w:rsidR="008E3614">
        <w:rPr>
          <w:color w:val="000000"/>
          <w:sz w:val="24"/>
          <w:szCs w:val="24"/>
        </w:rPr>
        <w:t>atriumhydrogencarbonat</w:t>
      </w:r>
      <w:proofErr w:type="spellEnd"/>
      <w:r w:rsidR="008E3614">
        <w:rPr>
          <w:color w:val="000000"/>
          <w:sz w:val="24"/>
          <w:szCs w:val="24"/>
        </w:rPr>
        <w:t xml:space="preserve"> (se pkt. 2)</w:t>
      </w:r>
    </w:p>
    <w:p w:rsidR="008E3614" w:rsidRDefault="003F578A" w:rsidP="008E3614">
      <w:pPr>
        <w:ind w:left="851"/>
        <w:rPr>
          <w:sz w:val="24"/>
          <w:szCs w:val="24"/>
        </w:rPr>
      </w:pPr>
      <w:proofErr w:type="spellStart"/>
      <w:r>
        <w:rPr>
          <w:color w:val="000000"/>
          <w:sz w:val="24"/>
          <w:szCs w:val="24"/>
        </w:rPr>
        <w:t>M</w:t>
      </w:r>
      <w:r w:rsidR="008E3614">
        <w:rPr>
          <w:color w:val="000000"/>
          <w:sz w:val="24"/>
          <w:szCs w:val="24"/>
        </w:rPr>
        <w:t>agnesiumstearat</w:t>
      </w:r>
      <w:proofErr w:type="spellEnd"/>
    </w:p>
    <w:p w:rsidR="008E3614" w:rsidRDefault="008E3614" w:rsidP="008E3614">
      <w:pPr>
        <w:ind w:left="851"/>
        <w:rPr>
          <w:color w:val="000000"/>
          <w:sz w:val="24"/>
          <w:szCs w:val="24"/>
        </w:rPr>
      </w:pPr>
      <w:r>
        <w:rPr>
          <w:sz w:val="24"/>
          <w:szCs w:val="24"/>
        </w:rPr>
        <w:t xml:space="preserve">Rød </w:t>
      </w:r>
      <w:r>
        <w:rPr>
          <w:color w:val="000000"/>
          <w:sz w:val="24"/>
          <w:szCs w:val="24"/>
        </w:rPr>
        <w:t>jernoxid (</w:t>
      </w:r>
      <w:r>
        <w:rPr>
          <w:sz w:val="24"/>
          <w:szCs w:val="24"/>
        </w:rPr>
        <w:t xml:space="preserve">E172) </w:t>
      </w:r>
      <w:r w:rsidR="003F578A">
        <w:rPr>
          <w:sz w:val="24"/>
          <w:szCs w:val="24"/>
        </w:rPr>
        <w:t>-</w:t>
      </w:r>
      <w:r>
        <w:rPr>
          <w:sz w:val="24"/>
          <w:szCs w:val="24"/>
        </w:rPr>
        <w:t xml:space="preserve"> kun 10 mg og 20 mg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C08B2" w:rsidRDefault="009C08B2" w:rsidP="009C08B2">
      <w:pPr>
        <w:ind w:left="851"/>
        <w:rPr>
          <w:color w:val="000000"/>
          <w:sz w:val="24"/>
          <w:szCs w:val="24"/>
        </w:rPr>
      </w:pPr>
      <w:r>
        <w:rPr>
          <w:color w:val="000000"/>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bookmarkStart w:id="1" w:name="_Hlk80876425"/>
      <w:r w:rsidRPr="00C84483">
        <w:rPr>
          <w:b/>
          <w:sz w:val="24"/>
          <w:szCs w:val="24"/>
        </w:rPr>
        <w:t>6.3</w:t>
      </w:r>
      <w:r w:rsidRPr="00C84483">
        <w:rPr>
          <w:b/>
          <w:sz w:val="24"/>
          <w:szCs w:val="24"/>
        </w:rPr>
        <w:tab/>
        <w:t>Opbevaringstid</w:t>
      </w:r>
    </w:p>
    <w:p w:rsidR="00B02D23" w:rsidRPr="00B02D23" w:rsidRDefault="00B02D23" w:rsidP="00B02D23">
      <w:pPr>
        <w:ind w:left="851"/>
        <w:rPr>
          <w:color w:val="000000"/>
          <w:sz w:val="24"/>
          <w:szCs w:val="24"/>
        </w:rPr>
      </w:pPr>
      <w:r w:rsidRPr="00B02D23">
        <w:rPr>
          <w:color w:val="000000"/>
          <w:sz w:val="24"/>
          <w:szCs w:val="24"/>
        </w:rPr>
        <w:t>2 år.</w:t>
      </w:r>
    </w:p>
    <w:p w:rsidR="009260DE" w:rsidRDefault="009260DE" w:rsidP="00B02D23">
      <w:pPr>
        <w:tabs>
          <w:tab w:val="left" w:pos="851"/>
        </w:tabs>
        <w:ind w:left="851" w:hanging="851"/>
        <w:rPr>
          <w:sz w:val="24"/>
          <w:szCs w:val="24"/>
        </w:rPr>
      </w:pPr>
      <w:r w:rsidRPr="00C84483">
        <w:rPr>
          <w:sz w:val="24"/>
          <w:szCs w:val="24"/>
        </w:rPr>
        <w:tab/>
      </w:r>
    </w:p>
    <w:p w:rsidR="00A762D9" w:rsidRPr="00C84483" w:rsidRDefault="00A762D9" w:rsidP="00B02D23">
      <w:pPr>
        <w:tabs>
          <w:tab w:val="left" w:pos="851"/>
        </w:tabs>
        <w:ind w:left="851" w:hanging="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6.4</w:t>
      </w:r>
      <w:r w:rsidRPr="00C84483">
        <w:rPr>
          <w:b/>
          <w:sz w:val="24"/>
          <w:szCs w:val="24"/>
        </w:rPr>
        <w:tab/>
        <w:t>Særlige opbevaringsforhold</w:t>
      </w:r>
    </w:p>
    <w:p w:rsidR="00B02D23" w:rsidRPr="00A762D9" w:rsidRDefault="00B02D23" w:rsidP="00A762D9">
      <w:pPr>
        <w:ind w:left="851"/>
        <w:rPr>
          <w:color w:val="000000"/>
          <w:sz w:val="24"/>
          <w:szCs w:val="24"/>
        </w:rPr>
      </w:pPr>
      <w:r w:rsidRPr="00B02D23">
        <w:rPr>
          <w:color w:val="000000"/>
          <w:sz w:val="24"/>
          <w:szCs w:val="24"/>
        </w:rPr>
        <w:t xml:space="preserve">Dette lægemiddel kræver ingen særlige forholdsregler vedrørende opbevaringen. </w:t>
      </w:r>
      <w:bookmarkEnd w:id="1"/>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B02D23" w:rsidRDefault="00B02D23" w:rsidP="00B02D23">
      <w:pPr>
        <w:ind w:left="851"/>
        <w:rPr>
          <w:sz w:val="24"/>
          <w:szCs w:val="24"/>
        </w:rPr>
      </w:pPr>
      <w:r w:rsidRPr="00B02D23">
        <w:rPr>
          <w:sz w:val="24"/>
          <w:szCs w:val="24"/>
        </w:rPr>
        <w:t>Al/Al-blister</w:t>
      </w:r>
    </w:p>
    <w:p w:rsidR="00B02D23" w:rsidRDefault="00B02D23" w:rsidP="00B02D23">
      <w:pPr>
        <w:ind w:left="851"/>
        <w:rPr>
          <w:color w:val="000000"/>
          <w:sz w:val="24"/>
          <w:szCs w:val="24"/>
        </w:rPr>
      </w:pPr>
    </w:p>
    <w:p w:rsidR="00B02D23" w:rsidRPr="003673E3" w:rsidRDefault="00B02D23" w:rsidP="00B02D23">
      <w:pPr>
        <w:ind w:left="851"/>
        <w:rPr>
          <w:color w:val="000000"/>
          <w:sz w:val="24"/>
          <w:szCs w:val="24"/>
          <w:u w:val="single"/>
        </w:rPr>
      </w:pPr>
      <w:r w:rsidRPr="003673E3">
        <w:rPr>
          <w:color w:val="000000"/>
          <w:sz w:val="24"/>
          <w:szCs w:val="24"/>
          <w:u w:val="single"/>
        </w:rPr>
        <w:t>Pakningsstørrelser</w:t>
      </w:r>
    </w:p>
    <w:p w:rsidR="00B02D23" w:rsidRDefault="003673E3" w:rsidP="00584402">
      <w:pPr>
        <w:tabs>
          <w:tab w:val="left" w:pos="1701"/>
        </w:tabs>
        <w:ind w:left="851"/>
        <w:rPr>
          <w:sz w:val="24"/>
          <w:szCs w:val="24"/>
        </w:rPr>
      </w:pPr>
      <w:r w:rsidRPr="003673E3">
        <w:rPr>
          <w:color w:val="000000"/>
          <w:sz w:val="24"/>
          <w:szCs w:val="24"/>
        </w:rPr>
        <w:t>2,5 mg:</w:t>
      </w:r>
      <w:r w:rsidRPr="003673E3">
        <w:rPr>
          <w:color w:val="000000"/>
          <w:sz w:val="24"/>
          <w:szCs w:val="24"/>
        </w:rPr>
        <w:tab/>
      </w:r>
      <w:r w:rsidR="00B02D23" w:rsidRPr="00B02D23">
        <w:rPr>
          <w:sz w:val="24"/>
          <w:szCs w:val="24"/>
        </w:rPr>
        <w:t xml:space="preserve">28, 30, 50 </w:t>
      </w:r>
      <w:r>
        <w:rPr>
          <w:sz w:val="24"/>
          <w:szCs w:val="24"/>
        </w:rPr>
        <w:t>og</w:t>
      </w:r>
      <w:r w:rsidR="00B02D23" w:rsidRPr="00B02D23">
        <w:rPr>
          <w:sz w:val="24"/>
          <w:szCs w:val="24"/>
        </w:rPr>
        <w:t xml:space="preserve"> 100 tabletter</w:t>
      </w:r>
      <w:r>
        <w:rPr>
          <w:sz w:val="24"/>
          <w:szCs w:val="24"/>
        </w:rPr>
        <w:t>.</w:t>
      </w:r>
    </w:p>
    <w:p w:rsidR="00B02D23" w:rsidRDefault="00B02D23" w:rsidP="00584402">
      <w:pPr>
        <w:tabs>
          <w:tab w:val="left" w:pos="1701"/>
        </w:tabs>
        <w:ind w:left="851"/>
        <w:rPr>
          <w:sz w:val="24"/>
          <w:szCs w:val="24"/>
        </w:rPr>
      </w:pPr>
      <w:r w:rsidRPr="00B02D23">
        <w:rPr>
          <w:color w:val="000000"/>
          <w:sz w:val="24"/>
          <w:szCs w:val="24"/>
        </w:rPr>
        <w:t>5 mg</w:t>
      </w:r>
      <w:r w:rsidR="003673E3">
        <w:rPr>
          <w:color w:val="000000"/>
          <w:sz w:val="24"/>
          <w:szCs w:val="24"/>
        </w:rPr>
        <w:t>:</w:t>
      </w:r>
      <w:r w:rsidR="003673E3">
        <w:rPr>
          <w:color w:val="000000"/>
          <w:sz w:val="24"/>
          <w:szCs w:val="24"/>
        </w:rPr>
        <w:tab/>
      </w:r>
      <w:r w:rsidRPr="00B02D23">
        <w:rPr>
          <w:sz w:val="24"/>
          <w:szCs w:val="24"/>
        </w:rPr>
        <w:t xml:space="preserve">20, 28, 30, 56, 60, 90 </w:t>
      </w:r>
      <w:r w:rsidR="003673E3">
        <w:rPr>
          <w:sz w:val="24"/>
          <w:szCs w:val="24"/>
        </w:rPr>
        <w:t>og</w:t>
      </w:r>
      <w:r w:rsidRPr="00B02D23">
        <w:rPr>
          <w:sz w:val="24"/>
          <w:szCs w:val="24"/>
        </w:rPr>
        <w:t xml:space="preserve"> 100 tabletter</w:t>
      </w:r>
      <w:r w:rsidR="003673E3">
        <w:rPr>
          <w:sz w:val="24"/>
          <w:szCs w:val="24"/>
        </w:rPr>
        <w:t>.</w:t>
      </w:r>
    </w:p>
    <w:p w:rsidR="00B02D23" w:rsidRDefault="002C44EB" w:rsidP="00584402">
      <w:pPr>
        <w:tabs>
          <w:tab w:val="left" w:pos="1701"/>
        </w:tabs>
        <w:ind w:left="851"/>
        <w:rPr>
          <w:sz w:val="24"/>
          <w:szCs w:val="24"/>
        </w:rPr>
      </w:pPr>
      <w:r>
        <w:rPr>
          <w:color w:val="000000"/>
          <w:sz w:val="24"/>
          <w:szCs w:val="24"/>
        </w:rPr>
        <w:t>10 mg:</w:t>
      </w:r>
      <w:r>
        <w:rPr>
          <w:color w:val="000000"/>
          <w:sz w:val="24"/>
          <w:szCs w:val="24"/>
        </w:rPr>
        <w:tab/>
      </w:r>
      <w:r w:rsidR="00B02D23" w:rsidRPr="00B02D23">
        <w:rPr>
          <w:sz w:val="24"/>
          <w:szCs w:val="24"/>
        </w:rPr>
        <w:t xml:space="preserve">20, 28, 30, 56, 60, 90 </w:t>
      </w:r>
      <w:r w:rsidR="0030680E">
        <w:rPr>
          <w:sz w:val="24"/>
          <w:szCs w:val="24"/>
        </w:rPr>
        <w:t>og</w:t>
      </w:r>
      <w:r w:rsidR="00B02D23" w:rsidRPr="00B02D23">
        <w:rPr>
          <w:sz w:val="24"/>
          <w:szCs w:val="24"/>
        </w:rPr>
        <w:t xml:space="preserve"> 100 tabletter</w:t>
      </w:r>
      <w:r w:rsidR="0030680E">
        <w:rPr>
          <w:sz w:val="24"/>
          <w:szCs w:val="24"/>
        </w:rPr>
        <w:t>.</w:t>
      </w:r>
    </w:p>
    <w:p w:rsidR="00B02D23" w:rsidRPr="00B02D23" w:rsidRDefault="0030680E" w:rsidP="00584402">
      <w:pPr>
        <w:tabs>
          <w:tab w:val="left" w:pos="1701"/>
        </w:tabs>
        <w:ind w:left="851"/>
        <w:rPr>
          <w:color w:val="000000"/>
          <w:sz w:val="24"/>
          <w:szCs w:val="24"/>
        </w:rPr>
      </w:pPr>
      <w:r>
        <w:rPr>
          <w:color w:val="000000"/>
          <w:sz w:val="24"/>
          <w:szCs w:val="24"/>
        </w:rPr>
        <w:t>20 mg:</w:t>
      </w:r>
      <w:r>
        <w:rPr>
          <w:color w:val="000000"/>
          <w:sz w:val="24"/>
          <w:szCs w:val="24"/>
        </w:rPr>
        <w:tab/>
      </w:r>
      <w:r w:rsidR="00B02D23" w:rsidRPr="00B02D23">
        <w:rPr>
          <w:sz w:val="24"/>
          <w:szCs w:val="24"/>
        </w:rPr>
        <w:t xml:space="preserve">14, 20, 28, 30, 60, 90 </w:t>
      </w:r>
      <w:r>
        <w:rPr>
          <w:sz w:val="24"/>
          <w:szCs w:val="24"/>
        </w:rPr>
        <w:t>og</w:t>
      </w:r>
      <w:r w:rsidR="00B02D23" w:rsidRPr="00B02D23">
        <w:rPr>
          <w:sz w:val="24"/>
          <w:szCs w:val="24"/>
        </w:rPr>
        <w:t xml:space="preserve"> 100 tabletter</w:t>
      </w:r>
      <w:r w:rsidR="00584402">
        <w:rPr>
          <w:sz w:val="24"/>
          <w:szCs w:val="24"/>
        </w:rPr>
        <w:t>.</w:t>
      </w:r>
    </w:p>
    <w:p w:rsidR="00B02D23" w:rsidRPr="00B02D23" w:rsidRDefault="00B02D23" w:rsidP="00B02D23">
      <w:pPr>
        <w:autoSpaceDE w:val="0"/>
        <w:autoSpaceDN w:val="0"/>
        <w:adjustRightInd w:val="0"/>
        <w:ind w:left="851"/>
        <w:rPr>
          <w:color w:val="000000"/>
          <w:sz w:val="24"/>
          <w:szCs w:val="24"/>
        </w:rPr>
      </w:pPr>
    </w:p>
    <w:p w:rsidR="009260DE" w:rsidRPr="00C84483" w:rsidRDefault="00B02D23" w:rsidP="0030680E">
      <w:pPr>
        <w:widowControl w:val="0"/>
        <w:tabs>
          <w:tab w:val="left" w:pos="684"/>
        </w:tabs>
        <w:kinsoku w:val="0"/>
        <w:overflowPunct w:val="0"/>
        <w:autoSpaceDE w:val="0"/>
        <w:autoSpaceDN w:val="0"/>
        <w:adjustRightInd w:val="0"/>
        <w:ind w:left="851"/>
        <w:rPr>
          <w:sz w:val="24"/>
          <w:szCs w:val="24"/>
        </w:rPr>
      </w:pPr>
      <w:r w:rsidRPr="00B02D23">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E672D0">
        <w:rPr>
          <w:b/>
          <w:sz w:val="24"/>
          <w:szCs w:val="24"/>
        </w:rPr>
        <w:t>bortskaffelse</w:t>
      </w:r>
      <w:r w:rsidRPr="00C84483">
        <w:rPr>
          <w:b/>
          <w:sz w:val="24"/>
          <w:szCs w:val="24"/>
        </w:rPr>
        <w:t xml:space="preserve"> og anden håndtering</w:t>
      </w:r>
    </w:p>
    <w:p w:rsidR="00584402" w:rsidRDefault="00584402" w:rsidP="00584402">
      <w:pPr>
        <w:ind w:left="851"/>
        <w:rPr>
          <w:color w:val="000000"/>
          <w:sz w:val="24"/>
          <w:szCs w:val="24"/>
        </w:rPr>
      </w:pPr>
      <w:r>
        <w:rPr>
          <w:color w:val="000000"/>
          <w:sz w:val="24"/>
          <w:szCs w:val="24"/>
        </w:rPr>
        <w:t>Ingen særlige forholdsregler.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584402" w:rsidRPr="00584402" w:rsidRDefault="00584402" w:rsidP="00584402">
      <w:pPr>
        <w:tabs>
          <w:tab w:val="left" w:pos="851"/>
        </w:tabs>
        <w:ind w:left="851"/>
        <w:rPr>
          <w:sz w:val="24"/>
          <w:szCs w:val="24"/>
          <w:lang w:val="en-US"/>
        </w:rPr>
      </w:pPr>
      <w:r w:rsidRPr="00584402">
        <w:rPr>
          <w:sz w:val="24"/>
          <w:szCs w:val="24"/>
          <w:lang w:val="en-US"/>
        </w:rPr>
        <w:t>Accord Healthcare B.V.</w:t>
      </w:r>
    </w:p>
    <w:p w:rsidR="00584402" w:rsidRPr="00584402" w:rsidRDefault="00584402" w:rsidP="00584402">
      <w:pPr>
        <w:tabs>
          <w:tab w:val="left" w:pos="851"/>
        </w:tabs>
        <w:ind w:left="851"/>
        <w:rPr>
          <w:sz w:val="24"/>
          <w:szCs w:val="24"/>
          <w:lang w:val="en-US"/>
        </w:rPr>
      </w:pPr>
      <w:proofErr w:type="spellStart"/>
      <w:r w:rsidRPr="00584402">
        <w:rPr>
          <w:sz w:val="24"/>
          <w:szCs w:val="24"/>
          <w:lang w:val="en-US"/>
        </w:rPr>
        <w:t>Winthontlaan</w:t>
      </w:r>
      <w:proofErr w:type="spellEnd"/>
      <w:r w:rsidRPr="00584402">
        <w:rPr>
          <w:sz w:val="24"/>
          <w:szCs w:val="24"/>
          <w:lang w:val="en-US"/>
        </w:rPr>
        <w:t xml:space="preserve"> 200</w:t>
      </w:r>
    </w:p>
    <w:p w:rsidR="00584402" w:rsidRPr="00584402" w:rsidRDefault="00584402" w:rsidP="00584402">
      <w:pPr>
        <w:tabs>
          <w:tab w:val="left" w:pos="851"/>
        </w:tabs>
        <w:ind w:left="851"/>
        <w:rPr>
          <w:sz w:val="24"/>
          <w:szCs w:val="24"/>
        </w:rPr>
      </w:pPr>
      <w:r w:rsidRPr="00584402">
        <w:rPr>
          <w:sz w:val="24"/>
          <w:szCs w:val="24"/>
        </w:rPr>
        <w:t>3526 KV Utrecht</w:t>
      </w:r>
    </w:p>
    <w:p w:rsidR="00584402" w:rsidRPr="00584402" w:rsidRDefault="00584402" w:rsidP="00584402">
      <w:pPr>
        <w:tabs>
          <w:tab w:val="left" w:pos="851"/>
        </w:tabs>
        <w:ind w:left="851"/>
        <w:rPr>
          <w:sz w:val="24"/>
          <w:szCs w:val="24"/>
        </w:rPr>
      </w:pPr>
      <w:r w:rsidRPr="00584402">
        <w:rPr>
          <w:sz w:val="24"/>
          <w:szCs w:val="24"/>
        </w:rPr>
        <w:t>Holland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E672D0">
        <w:rPr>
          <w:b/>
          <w:sz w:val="24"/>
          <w:szCs w:val="24"/>
        </w:rPr>
        <w:t>-</w:t>
      </w:r>
      <w:r w:rsidRPr="00C84483">
        <w:rPr>
          <w:b/>
          <w:sz w:val="24"/>
          <w:szCs w:val="24"/>
        </w:rPr>
        <w:t>NUMRE)</w:t>
      </w:r>
    </w:p>
    <w:p w:rsidR="004A4777" w:rsidRDefault="004A4777" w:rsidP="004A4777">
      <w:pPr>
        <w:tabs>
          <w:tab w:val="left" w:pos="1701"/>
        </w:tabs>
        <w:ind w:left="851"/>
        <w:rPr>
          <w:sz w:val="24"/>
          <w:szCs w:val="24"/>
        </w:rPr>
      </w:pPr>
      <w:r w:rsidRPr="003673E3">
        <w:rPr>
          <w:color w:val="000000"/>
          <w:sz w:val="24"/>
          <w:szCs w:val="24"/>
        </w:rPr>
        <w:t>2,5 mg:</w:t>
      </w:r>
      <w:r w:rsidRPr="003673E3">
        <w:rPr>
          <w:color w:val="000000"/>
          <w:sz w:val="24"/>
          <w:szCs w:val="24"/>
        </w:rPr>
        <w:tab/>
      </w:r>
      <w:r>
        <w:rPr>
          <w:sz w:val="24"/>
          <w:szCs w:val="24"/>
        </w:rPr>
        <w:t>63832</w:t>
      </w:r>
    </w:p>
    <w:p w:rsidR="004A4777" w:rsidRDefault="004A4777" w:rsidP="004A4777">
      <w:pPr>
        <w:tabs>
          <w:tab w:val="left" w:pos="1701"/>
        </w:tabs>
        <w:ind w:left="851"/>
        <w:rPr>
          <w:sz w:val="24"/>
          <w:szCs w:val="24"/>
        </w:rPr>
      </w:pPr>
      <w:r w:rsidRPr="00B02D23">
        <w:rPr>
          <w:color w:val="000000"/>
          <w:sz w:val="24"/>
          <w:szCs w:val="24"/>
        </w:rPr>
        <w:t>5 mg</w:t>
      </w:r>
      <w:r>
        <w:rPr>
          <w:color w:val="000000"/>
          <w:sz w:val="24"/>
          <w:szCs w:val="24"/>
        </w:rPr>
        <w:t>:</w:t>
      </w:r>
      <w:r>
        <w:rPr>
          <w:color w:val="000000"/>
          <w:sz w:val="24"/>
          <w:szCs w:val="24"/>
        </w:rPr>
        <w:tab/>
      </w:r>
      <w:r>
        <w:rPr>
          <w:sz w:val="24"/>
          <w:szCs w:val="24"/>
        </w:rPr>
        <w:t>63833</w:t>
      </w:r>
    </w:p>
    <w:p w:rsidR="004A4777" w:rsidRDefault="004A4777" w:rsidP="004A4777">
      <w:pPr>
        <w:tabs>
          <w:tab w:val="left" w:pos="1701"/>
        </w:tabs>
        <w:ind w:left="851"/>
        <w:rPr>
          <w:sz w:val="24"/>
          <w:szCs w:val="24"/>
        </w:rPr>
      </w:pPr>
      <w:r>
        <w:rPr>
          <w:color w:val="000000"/>
          <w:sz w:val="24"/>
          <w:szCs w:val="24"/>
        </w:rPr>
        <w:t>10 mg:</w:t>
      </w:r>
      <w:r>
        <w:rPr>
          <w:color w:val="000000"/>
          <w:sz w:val="24"/>
          <w:szCs w:val="24"/>
        </w:rPr>
        <w:tab/>
      </w:r>
      <w:r>
        <w:rPr>
          <w:sz w:val="24"/>
          <w:szCs w:val="24"/>
        </w:rPr>
        <w:t>63834</w:t>
      </w:r>
    </w:p>
    <w:p w:rsidR="004A4777" w:rsidRPr="00B02D23" w:rsidRDefault="004A4777" w:rsidP="004A4777">
      <w:pPr>
        <w:tabs>
          <w:tab w:val="left" w:pos="1701"/>
        </w:tabs>
        <w:ind w:left="851"/>
        <w:rPr>
          <w:color w:val="000000"/>
          <w:sz w:val="24"/>
          <w:szCs w:val="24"/>
        </w:rPr>
      </w:pPr>
      <w:r>
        <w:rPr>
          <w:color w:val="000000"/>
          <w:sz w:val="24"/>
          <w:szCs w:val="24"/>
        </w:rPr>
        <w:t>20 mg:</w:t>
      </w:r>
      <w:r>
        <w:rPr>
          <w:color w:val="000000"/>
          <w:sz w:val="24"/>
          <w:szCs w:val="24"/>
        </w:rPr>
        <w:tab/>
      </w:r>
      <w:r>
        <w:rPr>
          <w:sz w:val="24"/>
          <w:szCs w:val="24"/>
        </w:rPr>
        <w:t>63835</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365F77" w:rsidP="009260DE">
      <w:pPr>
        <w:tabs>
          <w:tab w:val="left" w:pos="851"/>
        </w:tabs>
        <w:ind w:left="851"/>
        <w:rPr>
          <w:sz w:val="24"/>
          <w:szCs w:val="24"/>
        </w:rPr>
      </w:pPr>
      <w:r>
        <w:rPr>
          <w:sz w:val="24"/>
          <w:szCs w:val="24"/>
        </w:rPr>
        <w:t>26. august 2021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CE4BB6" w:rsidP="009260DE">
      <w:pPr>
        <w:tabs>
          <w:tab w:val="left" w:pos="851"/>
        </w:tabs>
        <w:ind w:left="851"/>
        <w:rPr>
          <w:sz w:val="24"/>
          <w:szCs w:val="24"/>
        </w:rPr>
      </w:pPr>
      <w:r>
        <w:rPr>
          <w:sz w:val="24"/>
          <w:szCs w:val="24"/>
        </w:rPr>
        <w:t>22. november 2024</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1875" w:rsidRDefault="00FB1875">
      <w:r>
        <w:separator/>
      </w:r>
    </w:p>
  </w:endnote>
  <w:endnote w:type="continuationSeparator" w:id="0">
    <w:p w:rsidR="00FB1875" w:rsidRDefault="00FB1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875" w:rsidRDefault="00FB1875">
    <w:pPr>
      <w:pStyle w:val="Sidefod"/>
      <w:pBdr>
        <w:bottom w:val="single" w:sz="6" w:space="1" w:color="auto"/>
      </w:pBdr>
    </w:pPr>
  </w:p>
  <w:p w:rsidR="00FB1875" w:rsidRDefault="00FB1875" w:rsidP="00C42586">
    <w:pPr>
      <w:pStyle w:val="Sidefod"/>
      <w:tabs>
        <w:tab w:val="clear" w:pos="4819"/>
        <w:tab w:val="left" w:pos="8505"/>
      </w:tabs>
      <w:rPr>
        <w:i/>
        <w:sz w:val="18"/>
        <w:szCs w:val="18"/>
      </w:rPr>
    </w:pPr>
  </w:p>
  <w:p w:rsidR="00FB1875" w:rsidRPr="00B373D7" w:rsidRDefault="00FB187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Enalapril Accord, tabletter 2,5 mg, 5 mg, 10 mg og 20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1875" w:rsidRDefault="00FB1875">
      <w:r>
        <w:separator/>
      </w:r>
    </w:p>
  </w:footnote>
  <w:footnote w:type="continuationSeparator" w:id="0">
    <w:p w:rsidR="00FB1875" w:rsidRDefault="00FB18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7CC3"/>
    <w:multiLevelType w:val="hybridMultilevel"/>
    <w:tmpl w:val="6466FE7A"/>
    <w:lvl w:ilvl="0" w:tplc="FD7878E0">
      <w:start w:val="1"/>
      <w:numFmt w:val="bullet"/>
      <w:lvlText w:val=""/>
      <w:lvlJc w:val="left"/>
      <w:pPr>
        <w:ind w:left="1571" w:hanging="360"/>
      </w:pPr>
      <w:rPr>
        <w:rFonts w:ascii="Symbol" w:hAnsi="Symbo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7375D0"/>
    <w:multiLevelType w:val="hybridMultilevel"/>
    <w:tmpl w:val="CD4A26B0"/>
    <w:lvl w:ilvl="0" w:tplc="6734CAEC">
      <w:start w:val="1"/>
      <w:numFmt w:val="bullet"/>
      <w:lvlText w:val=""/>
      <w:lvlJc w:val="left"/>
      <w:pPr>
        <w:ind w:left="720" w:hanging="360"/>
      </w:pPr>
      <w:rPr>
        <w:rFonts w:ascii="Symbol" w:hAnsi="Symbol" w:hint="default"/>
      </w:rPr>
    </w:lvl>
    <w:lvl w:ilvl="1" w:tplc="7F460024">
      <w:start w:val="1"/>
      <w:numFmt w:val="bullet"/>
      <w:lvlText w:val="o"/>
      <w:lvlJc w:val="left"/>
      <w:pPr>
        <w:ind w:left="1440" w:hanging="360"/>
      </w:pPr>
      <w:rPr>
        <w:rFonts w:ascii="Courier New" w:hAnsi="Courier New" w:cs="Courier New" w:hint="default"/>
      </w:rPr>
    </w:lvl>
    <w:lvl w:ilvl="2" w:tplc="9B6057C6">
      <w:start w:val="1"/>
      <w:numFmt w:val="bullet"/>
      <w:lvlText w:val=""/>
      <w:lvlJc w:val="left"/>
      <w:pPr>
        <w:ind w:left="2160" w:hanging="360"/>
      </w:pPr>
      <w:rPr>
        <w:rFonts w:ascii="Wingdings" w:hAnsi="Wingdings" w:hint="default"/>
      </w:rPr>
    </w:lvl>
    <w:lvl w:ilvl="3" w:tplc="CF58EB42">
      <w:start w:val="1"/>
      <w:numFmt w:val="bullet"/>
      <w:lvlText w:val=""/>
      <w:lvlJc w:val="left"/>
      <w:pPr>
        <w:ind w:left="2880" w:hanging="360"/>
      </w:pPr>
      <w:rPr>
        <w:rFonts w:ascii="Symbol" w:hAnsi="Symbol" w:hint="default"/>
      </w:rPr>
    </w:lvl>
    <w:lvl w:ilvl="4" w:tplc="035892AE">
      <w:start w:val="1"/>
      <w:numFmt w:val="bullet"/>
      <w:lvlText w:val="o"/>
      <w:lvlJc w:val="left"/>
      <w:pPr>
        <w:ind w:left="3600" w:hanging="360"/>
      </w:pPr>
      <w:rPr>
        <w:rFonts w:ascii="Courier New" w:hAnsi="Courier New" w:cs="Courier New" w:hint="default"/>
      </w:rPr>
    </w:lvl>
    <w:lvl w:ilvl="5" w:tplc="B9D825E2">
      <w:start w:val="1"/>
      <w:numFmt w:val="bullet"/>
      <w:lvlText w:val=""/>
      <w:lvlJc w:val="left"/>
      <w:pPr>
        <w:ind w:left="4320" w:hanging="360"/>
      </w:pPr>
      <w:rPr>
        <w:rFonts w:ascii="Wingdings" w:hAnsi="Wingdings" w:hint="default"/>
      </w:rPr>
    </w:lvl>
    <w:lvl w:ilvl="6" w:tplc="9B56BEF8">
      <w:start w:val="1"/>
      <w:numFmt w:val="bullet"/>
      <w:lvlText w:val=""/>
      <w:lvlJc w:val="left"/>
      <w:pPr>
        <w:ind w:left="5040" w:hanging="360"/>
      </w:pPr>
      <w:rPr>
        <w:rFonts w:ascii="Symbol" w:hAnsi="Symbol" w:hint="default"/>
      </w:rPr>
    </w:lvl>
    <w:lvl w:ilvl="7" w:tplc="D3144BC8">
      <w:start w:val="1"/>
      <w:numFmt w:val="bullet"/>
      <w:lvlText w:val="o"/>
      <w:lvlJc w:val="left"/>
      <w:pPr>
        <w:ind w:left="5760" w:hanging="360"/>
      </w:pPr>
      <w:rPr>
        <w:rFonts w:ascii="Courier New" w:hAnsi="Courier New" w:cs="Courier New" w:hint="default"/>
      </w:rPr>
    </w:lvl>
    <w:lvl w:ilvl="8" w:tplc="C6BA558A">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A201585"/>
    <w:multiLevelType w:val="hybridMultilevel"/>
    <w:tmpl w:val="1C6CBD2E"/>
    <w:lvl w:ilvl="0" w:tplc="5A5CF712">
      <w:start w:val="1"/>
      <w:numFmt w:val="bullet"/>
      <w:lvlText w:val="-"/>
      <w:lvlJc w:val="left"/>
      <w:pPr>
        <w:ind w:left="720" w:hanging="360"/>
      </w:pPr>
      <w:rPr>
        <w:rFonts w:ascii="Courier New" w:hAnsi="Courier New" w:cs="Times New Roman" w:hint="default"/>
      </w:rPr>
    </w:lvl>
    <w:lvl w:ilvl="1" w:tplc="7F460024">
      <w:start w:val="1"/>
      <w:numFmt w:val="bullet"/>
      <w:lvlText w:val="o"/>
      <w:lvlJc w:val="left"/>
      <w:pPr>
        <w:ind w:left="1440" w:hanging="360"/>
      </w:pPr>
      <w:rPr>
        <w:rFonts w:ascii="Courier New" w:hAnsi="Courier New" w:cs="Courier New" w:hint="default"/>
      </w:rPr>
    </w:lvl>
    <w:lvl w:ilvl="2" w:tplc="9B6057C6">
      <w:start w:val="1"/>
      <w:numFmt w:val="bullet"/>
      <w:lvlText w:val=""/>
      <w:lvlJc w:val="left"/>
      <w:pPr>
        <w:ind w:left="2160" w:hanging="360"/>
      </w:pPr>
      <w:rPr>
        <w:rFonts w:ascii="Wingdings" w:hAnsi="Wingdings" w:hint="default"/>
      </w:rPr>
    </w:lvl>
    <w:lvl w:ilvl="3" w:tplc="CF58EB42">
      <w:start w:val="1"/>
      <w:numFmt w:val="bullet"/>
      <w:lvlText w:val=""/>
      <w:lvlJc w:val="left"/>
      <w:pPr>
        <w:ind w:left="2880" w:hanging="360"/>
      </w:pPr>
      <w:rPr>
        <w:rFonts w:ascii="Symbol" w:hAnsi="Symbol" w:hint="default"/>
      </w:rPr>
    </w:lvl>
    <w:lvl w:ilvl="4" w:tplc="035892AE">
      <w:start w:val="1"/>
      <w:numFmt w:val="bullet"/>
      <w:lvlText w:val="o"/>
      <w:lvlJc w:val="left"/>
      <w:pPr>
        <w:ind w:left="3600" w:hanging="360"/>
      </w:pPr>
      <w:rPr>
        <w:rFonts w:ascii="Courier New" w:hAnsi="Courier New" w:cs="Courier New" w:hint="default"/>
      </w:rPr>
    </w:lvl>
    <w:lvl w:ilvl="5" w:tplc="B9D825E2">
      <w:start w:val="1"/>
      <w:numFmt w:val="bullet"/>
      <w:lvlText w:val=""/>
      <w:lvlJc w:val="left"/>
      <w:pPr>
        <w:ind w:left="4320" w:hanging="360"/>
      </w:pPr>
      <w:rPr>
        <w:rFonts w:ascii="Wingdings" w:hAnsi="Wingdings" w:hint="default"/>
      </w:rPr>
    </w:lvl>
    <w:lvl w:ilvl="6" w:tplc="9B56BEF8">
      <w:start w:val="1"/>
      <w:numFmt w:val="bullet"/>
      <w:lvlText w:val=""/>
      <w:lvlJc w:val="left"/>
      <w:pPr>
        <w:ind w:left="5040" w:hanging="360"/>
      </w:pPr>
      <w:rPr>
        <w:rFonts w:ascii="Symbol" w:hAnsi="Symbol" w:hint="default"/>
      </w:rPr>
    </w:lvl>
    <w:lvl w:ilvl="7" w:tplc="D3144BC8">
      <w:start w:val="1"/>
      <w:numFmt w:val="bullet"/>
      <w:lvlText w:val="o"/>
      <w:lvlJc w:val="left"/>
      <w:pPr>
        <w:ind w:left="5760" w:hanging="360"/>
      </w:pPr>
      <w:rPr>
        <w:rFonts w:ascii="Courier New" w:hAnsi="Courier New" w:cs="Courier New" w:hint="default"/>
      </w:rPr>
    </w:lvl>
    <w:lvl w:ilvl="8" w:tplc="C6BA558A">
      <w:start w:val="1"/>
      <w:numFmt w:val="bullet"/>
      <w:lvlText w:val=""/>
      <w:lvlJc w:val="left"/>
      <w:pPr>
        <w:ind w:left="6480" w:hanging="360"/>
      </w:pPr>
      <w:rPr>
        <w:rFonts w:ascii="Wingdings" w:hAnsi="Wingdings" w:hint="default"/>
      </w:rPr>
    </w:lvl>
  </w:abstractNum>
  <w:abstractNum w:abstractNumId="8" w15:restartNumberingAfterBreak="0">
    <w:nsid w:val="7B8564E4"/>
    <w:multiLevelType w:val="hybridMultilevel"/>
    <w:tmpl w:val="B18CFBAC"/>
    <w:lvl w:ilvl="0" w:tplc="FD7878E0">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7"/>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141"/>
    <w:rsid w:val="00012739"/>
    <w:rsid w:val="000244C8"/>
    <w:rsid w:val="000259B9"/>
    <w:rsid w:val="00041491"/>
    <w:rsid w:val="00050D16"/>
    <w:rsid w:val="00056064"/>
    <w:rsid w:val="00061BCE"/>
    <w:rsid w:val="000730CA"/>
    <w:rsid w:val="00074F2A"/>
    <w:rsid w:val="00081405"/>
    <w:rsid w:val="000A1CA8"/>
    <w:rsid w:val="000A2B6D"/>
    <w:rsid w:val="000A466B"/>
    <w:rsid w:val="000B058C"/>
    <w:rsid w:val="000E4EE6"/>
    <w:rsid w:val="000F58DD"/>
    <w:rsid w:val="001358F2"/>
    <w:rsid w:val="001454E2"/>
    <w:rsid w:val="00173732"/>
    <w:rsid w:val="001D32C6"/>
    <w:rsid w:val="00206CE8"/>
    <w:rsid w:val="0021526C"/>
    <w:rsid w:val="00283A2B"/>
    <w:rsid w:val="002B0BDC"/>
    <w:rsid w:val="002B30AD"/>
    <w:rsid w:val="002C2C01"/>
    <w:rsid w:val="002C44EB"/>
    <w:rsid w:val="0030680E"/>
    <w:rsid w:val="003263E9"/>
    <w:rsid w:val="00365F77"/>
    <w:rsid w:val="003673E3"/>
    <w:rsid w:val="0037259B"/>
    <w:rsid w:val="00391F2B"/>
    <w:rsid w:val="003A29AE"/>
    <w:rsid w:val="003A32D7"/>
    <w:rsid w:val="003B4074"/>
    <w:rsid w:val="003C769A"/>
    <w:rsid w:val="003F1838"/>
    <w:rsid w:val="003F578A"/>
    <w:rsid w:val="0045746C"/>
    <w:rsid w:val="0046204D"/>
    <w:rsid w:val="0049104B"/>
    <w:rsid w:val="004941F8"/>
    <w:rsid w:val="004A4777"/>
    <w:rsid w:val="004C64B9"/>
    <w:rsid w:val="004E3B12"/>
    <w:rsid w:val="00532310"/>
    <w:rsid w:val="00560137"/>
    <w:rsid w:val="00565F0F"/>
    <w:rsid w:val="00584402"/>
    <w:rsid w:val="00594A86"/>
    <w:rsid w:val="00596D86"/>
    <w:rsid w:val="006119A7"/>
    <w:rsid w:val="00637F5A"/>
    <w:rsid w:val="006560B1"/>
    <w:rsid w:val="00671A47"/>
    <w:rsid w:val="006756DD"/>
    <w:rsid w:val="006C6A34"/>
    <w:rsid w:val="00702E07"/>
    <w:rsid w:val="00737275"/>
    <w:rsid w:val="00740EEC"/>
    <w:rsid w:val="0078011A"/>
    <w:rsid w:val="00782AF4"/>
    <w:rsid w:val="00790EE7"/>
    <w:rsid w:val="007B6649"/>
    <w:rsid w:val="007F2CC8"/>
    <w:rsid w:val="0082576E"/>
    <w:rsid w:val="008A25C8"/>
    <w:rsid w:val="008C7141"/>
    <w:rsid w:val="008E3614"/>
    <w:rsid w:val="00907F75"/>
    <w:rsid w:val="009260DE"/>
    <w:rsid w:val="0093258A"/>
    <w:rsid w:val="00945E16"/>
    <w:rsid w:val="009A1545"/>
    <w:rsid w:val="009B5F39"/>
    <w:rsid w:val="009C08B2"/>
    <w:rsid w:val="009C3DCB"/>
    <w:rsid w:val="009C7BA3"/>
    <w:rsid w:val="009D1F5A"/>
    <w:rsid w:val="00A10294"/>
    <w:rsid w:val="00A45E60"/>
    <w:rsid w:val="00A762D9"/>
    <w:rsid w:val="00A77D12"/>
    <w:rsid w:val="00B003BF"/>
    <w:rsid w:val="00B02D23"/>
    <w:rsid w:val="00B373D7"/>
    <w:rsid w:val="00BA36D6"/>
    <w:rsid w:val="00C36276"/>
    <w:rsid w:val="00C42586"/>
    <w:rsid w:val="00C60CCD"/>
    <w:rsid w:val="00C84483"/>
    <w:rsid w:val="00C95551"/>
    <w:rsid w:val="00CB20D7"/>
    <w:rsid w:val="00CE2699"/>
    <w:rsid w:val="00CE4BB6"/>
    <w:rsid w:val="00D020B0"/>
    <w:rsid w:val="00D11748"/>
    <w:rsid w:val="00D278FC"/>
    <w:rsid w:val="00D366CF"/>
    <w:rsid w:val="00D8551D"/>
    <w:rsid w:val="00DE7CFB"/>
    <w:rsid w:val="00E108AA"/>
    <w:rsid w:val="00E255BD"/>
    <w:rsid w:val="00E3749A"/>
    <w:rsid w:val="00E672D0"/>
    <w:rsid w:val="00E7437F"/>
    <w:rsid w:val="00E81E1B"/>
    <w:rsid w:val="00E865B8"/>
    <w:rsid w:val="00EC0B9B"/>
    <w:rsid w:val="00ED5E9F"/>
    <w:rsid w:val="00F573B6"/>
    <w:rsid w:val="00F66D4F"/>
    <w:rsid w:val="00FB1875"/>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9AE249"/>
  <w15:chartTrackingRefBased/>
  <w15:docId w15:val="{1B59341F-6E99-4CA0-A52C-722BC80E9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4C64B9"/>
    <w:pPr>
      <w:ind w:left="720"/>
      <w:contextualSpacing/>
    </w:pPr>
  </w:style>
  <w:style w:type="character" w:styleId="Hyperlink">
    <w:name w:val="Hyperlink"/>
    <w:basedOn w:val="Standardskrifttypeiafsnit"/>
    <w:uiPriority w:val="99"/>
    <w:unhideWhenUsed/>
    <w:rsid w:val="009B5F39"/>
    <w:rPr>
      <w:color w:val="0563C1" w:themeColor="hyperlink"/>
      <w:u w:val="single"/>
    </w:rPr>
  </w:style>
  <w:style w:type="character" w:styleId="Ulstomtale">
    <w:name w:val="Unresolved Mention"/>
    <w:basedOn w:val="Standardskrifttypeiafsnit"/>
    <w:uiPriority w:val="99"/>
    <w:semiHidden/>
    <w:unhideWhenUsed/>
    <w:rsid w:val="009B5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15133814">
      <w:bodyDiv w:val="1"/>
      <w:marLeft w:val="0"/>
      <w:marRight w:val="0"/>
      <w:marTop w:val="0"/>
      <w:marBottom w:val="0"/>
      <w:divBdr>
        <w:top w:val="none" w:sz="0" w:space="0" w:color="auto"/>
        <w:left w:val="none" w:sz="0" w:space="0" w:color="auto"/>
        <w:bottom w:val="none" w:sz="0" w:space="0" w:color="auto"/>
        <w:right w:val="none" w:sz="0" w:space="0" w:color="auto"/>
      </w:divBdr>
    </w:div>
    <w:div w:id="437650661">
      <w:bodyDiv w:val="1"/>
      <w:marLeft w:val="0"/>
      <w:marRight w:val="0"/>
      <w:marTop w:val="0"/>
      <w:marBottom w:val="0"/>
      <w:divBdr>
        <w:top w:val="none" w:sz="0" w:space="0" w:color="auto"/>
        <w:left w:val="none" w:sz="0" w:space="0" w:color="auto"/>
        <w:bottom w:val="none" w:sz="0" w:space="0" w:color="auto"/>
        <w:right w:val="none" w:sz="0" w:space="0" w:color="auto"/>
      </w:divBdr>
    </w:div>
    <w:div w:id="442463527">
      <w:bodyDiv w:val="1"/>
      <w:marLeft w:val="0"/>
      <w:marRight w:val="0"/>
      <w:marTop w:val="0"/>
      <w:marBottom w:val="0"/>
      <w:divBdr>
        <w:top w:val="none" w:sz="0" w:space="0" w:color="auto"/>
        <w:left w:val="none" w:sz="0" w:space="0" w:color="auto"/>
        <w:bottom w:val="none" w:sz="0" w:space="0" w:color="auto"/>
        <w:right w:val="none" w:sz="0" w:space="0" w:color="auto"/>
      </w:divBdr>
    </w:div>
    <w:div w:id="594830575">
      <w:bodyDiv w:val="1"/>
      <w:marLeft w:val="0"/>
      <w:marRight w:val="0"/>
      <w:marTop w:val="0"/>
      <w:marBottom w:val="0"/>
      <w:divBdr>
        <w:top w:val="none" w:sz="0" w:space="0" w:color="auto"/>
        <w:left w:val="none" w:sz="0" w:space="0" w:color="auto"/>
        <w:bottom w:val="none" w:sz="0" w:space="0" w:color="auto"/>
        <w:right w:val="none" w:sz="0" w:space="0" w:color="auto"/>
      </w:divBdr>
    </w:div>
    <w:div w:id="614024517">
      <w:bodyDiv w:val="1"/>
      <w:marLeft w:val="0"/>
      <w:marRight w:val="0"/>
      <w:marTop w:val="0"/>
      <w:marBottom w:val="0"/>
      <w:divBdr>
        <w:top w:val="none" w:sz="0" w:space="0" w:color="auto"/>
        <w:left w:val="none" w:sz="0" w:space="0" w:color="auto"/>
        <w:bottom w:val="none" w:sz="0" w:space="0" w:color="auto"/>
        <w:right w:val="none" w:sz="0" w:space="0" w:color="auto"/>
      </w:divBdr>
    </w:div>
    <w:div w:id="707484518">
      <w:bodyDiv w:val="1"/>
      <w:marLeft w:val="0"/>
      <w:marRight w:val="0"/>
      <w:marTop w:val="0"/>
      <w:marBottom w:val="0"/>
      <w:divBdr>
        <w:top w:val="none" w:sz="0" w:space="0" w:color="auto"/>
        <w:left w:val="none" w:sz="0" w:space="0" w:color="auto"/>
        <w:bottom w:val="none" w:sz="0" w:space="0" w:color="auto"/>
        <w:right w:val="none" w:sz="0" w:space="0" w:color="auto"/>
      </w:divBdr>
    </w:div>
    <w:div w:id="822893227">
      <w:bodyDiv w:val="1"/>
      <w:marLeft w:val="0"/>
      <w:marRight w:val="0"/>
      <w:marTop w:val="0"/>
      <w:marBottom w:val="0"/>
      <w:divBdr>
        <w:top w:val="none" w:sz="0" w:space="0" w:color="auto"/>
        <w:left w:val="none" w:sz="0" w:space="0" w:color="auto"/>
        <w:bottom w:val="none" w:sz="0" w:space="0" w:color="auto"/>
        <w:right w:val="none" w:sz="0" w:space="0" w:color="auto"/>
      </w:divBdr>
    </w:div>
    <w:div w:id="1066224726">
      <w:bodyDiv w:val="1"/>
      <w:marLeft w:val="0"/>
      <w:marRight w:val="0"/>
      <w:marTop w:val="0"/>
      <w:marBottom w:val="0"/>
      <w:divBdr>
        <w:top w:val="none" w:sz="0" w:space="0" w:color="auto"/>
        <w:left w:val="none" w:sz="0" w:space="0" w:color="auto"/>
        <w:bottom w:val="none" w:sz="0" w:space="0" w:color="auto"/>
        <w:right w:val="none" w:sz="0" w:space="0" w:color="auto"/>
      </w:divBdr>
    </w:div>
    <w:div w:id="1200780178">
      <w:bodyDiv w:val="1"/>
      <w:marLeft w:val="0"/>
      <w:marRight w:val="0"/>
      <w:marTop w:val="0"/>
      <w:marBottom w:val="0"/>
      <w:divBdr>
        <w:top w:val="none" w:sz="0" w:space="0" w:color="auto"/>
        <w:left w:val="none" w:sz="0" w:space="0" w:color="auto"/>
        <w:bottom w:val="none" w:sz="0" w:space="0" w:color="auto"/>
        <w:right w:val="none" w:sz="0" w:space="0" w:color="auto"/>
      </w:divBdr>
    </w:div>
    <w:div w:id="1217547528">
      <w:bodyDiv w:val="1"/>
      <w:marLeft w:val="0"/>
      <w:marRight w:val="0"/>
      <w:marTop w:val="0"/>
      <w:marBottom w:val="0"/>
      <w:divBdr>
        <w:top w:val="none" w:sz="0" w:space="0" w:color="auto"/>
        <w:left w:val="none" w:sz="0" w:space="0" w:color="auto"/>
        <w:bottom w:val="none" w:sz="0" w:space="0" w:color="auto"/>
        <w:right w:val="none" w:sz="0" w:space="0" w:color="auto"/>
      </w:divBdr>
    </w:div>
    <w:div w:id="1395010272">
      <w:bodyDiv w:val="1"/>
      <w:marLeft w:val="0"/>
      <w:marRight w:val="0"/>
      <w:marTop w:val="0"/>
      <w:marBottom w:val="0"/>
      <w:divBdr>
        <w:top w:val="none" w:sz="0" w:space="0" w:color="auto"/>
        <w:left w:val="none" w:sz="0" w:space="0" w:color="auto"/>
        <w:bottom w:val="none" w:sz="0" w:space="0" w:color="auto"/>
        <w:right w:val="none" w:sz="0" w:space="0" w:color="auto"/>
      </w:divBdr>
    </w:div>
    <w:div w:id="1506937556">
      <w:bodyDiv w:val="1"/>
      <w:marLeft w:val="0"/>
      <w:marRight w:val="0"/>
      <w:marTop w:val="0"/>
      <w:marBottom w:val="0"/>
      <w:divBdr>
        <w:top w:val="none" w:sz="0" w:space="0" w:color="auto"/>
        <w:left w:val="none" w:sz="0" w:space="0" w:color="auto"/>
        <w:bottom w:val="none" w:sz="0" w:space="0" w:color="auto"/>
        <w:right w:val="none" w:sz="0" w:space="0" w:color="auto"/>
      </w:divBdr>
    </w:div>
    <w:div w:id="1561483452">
      <w:bodyDiv w:val="1"/>
      <w:marLeft w:val="0"/>
      <w:marRight w:val="0"/>
      <w:marTop w:val="0"/>
      <w:marBottom w:val="0"/>
      <w:divBdr>
        <w:top w:val="none" w:sz="0" w:space="0" w:color="auto"/>
        <w:left w:val="none" w:sz="0" w:space="0" w:color="auto"/>
        <w:bottom w:val="none" w:sz="0" w:space="0" w:color="auto"/>
        <w:right w:val="none" w:sz="0" w:space="0" w:color="auto"/>
      </w:divBdr>
    </w:div>
    <w:div w:id="1601720208">
      <w:bodyDiv w:val="1"/>
      <w:marLeft w:val="0"/>
      <w:marRight w:val="0"/>
      <w:marTop w:val="0"/>
      <w:marBottom w:val="0"/>
      <w:divBdr>
        <w:top w:val="none" w:sz="0" w:space="0" w:color="auto"/>
        <w:left w:val="none" w:sz="0" w:space="0" w:color="auto"/>
        <w:bottom w:val="none" w:sz="0" w:space="0" w:color="auto"/>
        <w:right w:val="none" w:sz="0" w:space="0" w:color="auto"/>
      </w:divBdr>
    </w:div>
    <w:div w:id="1722439916">
      <w:bodyDiv w:val="1"/>
      <w:marLeft w:val="0"/>
      <w:marRight w:val="0"/>
      <w:marTop w:val="0"/>
      <w:marBottom w:val="0"/>
      <w:divBdr>
        <w:top w:val="none" w:sz="0" w:space="0" w:color="auto"/>
        <w:left w:val="none" w:sz="0" w:space="0" w:color="auto"/>
        <w:bottom w:val="none" w:sz="0" w:space="0" w:color="auto"/>
        <w:right w:val="none" w:sz="0" w:space="0" w:color="auto"/>
      </w:divBdr>
    </w:div>
    <w:div w:id="1806192556">
      <w:bodyDiv w:val="1"/>
      <w:marLeft w:val="0"/>
      <w:marRight w:val="0"/>
      <w:marTop w:val="0"/>
      <w:marBottom w:val="0"/>
      <w:divBdr>
        <w:top w:val="none" w:sz="0" w:space="0" w:color="auto"/>
        <w:left w:val="none" w:sz="0" w:space="0" w:color="auto"/>
        <w:bottom w:val="none" w:sz="0" w:space="0" w:color="auto"/>
        <w:right w:val="none" w:sz="0" w:space="0" w:color="auto"/>
      </w:divBdr>
    </w:div>
    <w:div w:id="1842349956">
      <w:bodyDiv w:val="1"/>
      <w:marLeft w:val="0"/>
      <w:marRight w:val="0"/>
      <w:marTop w:val="0"/>
      <w:marBottom w:val="0"/>
      <w:divBdr>
        <w:top w:val="none" w:sz="0" w:space="0" w:color="auto"/>
        <w:left w:val="none" w:sz="0" w:space="0" w:color="auto"/>
        <w:bottom w:val="none" w:sz="0" w:space="0" w:color="auto"/>
        <w:right w:val="none" w:sz="0" w:space="0" w:color="auto"/>
      </w:divBdr>
    </w:div>
    <w:div w:id="1884559722">
      <w:bodyDiv w:val="1"/>
      <w:marLeft w:val="0"/>
      <w:marRight w:val="0"/>
      <w:marTop w:val="0"/>
      <w:marBottom w:val="0"/>
      <w:divBdr>
        <w:top w:val="none" w:sz="0" w:space="0" w:color="auto"/>
        <w:left w:val="none" w:sz="0" w:space="0" w:color="auto"/>
        <w:bottom w:val="none" w:sz="0" w:space="0" w:color="auto"/>
        <w:right w:val="none" w:sz="0" w:space="0" w:color="auto"/>
      </w:divBdr>
    </w:div>
    <w:div w:id="1992826719">
      <w:bodyDiv w:val="1"/>
      <w:marLeft w:val="0"/>
      <w:marRight w:val="0"/>
      <w:marTop w:val="0"/>
      <w:marBottom w:val="0"/>
      <w:divBdr>
        <w:top w:val="none" w:sz="0" w:space="0" w:color="auto"/>
        <w:left w:val="none" w:sz="0" w:space="0" w:color="auto"/>
        <w:bottom w:val="none" w:sz="0" w:space="0" w:color="auto"/>
        <w:right w:val="none" w:sz="0" w:space="0" w:color="auto"/>
      </w:divBdr>
    </w:div>
    <w:div w:id="2099011021">
      <w:bodyDiv w:val="1"/>
      <w:marLeft w:val="0"/>
      <w:marRight w:val="0"/>
      <w:marTop w:val="0"/>
      <w:marBottom w:val="0"/>
      <w:divBdr>
        <w:top w:val="none" w:sz="0" w:space="0" w:color="auto"/>
        <w:left w:val="none" w:sz="0" w:space="0" w:color="auto"/>
        <w:bottom w:val="none" w:sz="0" w:space="0" w:color="auto"/>
        <w:right w:val="none" w:sz="0" w:space="0" w:color="auto"/>
      </w:divBdr>
    </w:div>
    <w:div w:id="211982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19</Pages>
  <Words>5944</Words>
  <Characters>40515</Characters>
  <Application>Microsoft Office Word</Application>
  <DocSecurity>0</DocSecurity>
  <Lines>337</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2023033164_x000d_
SPC opdat. pkt. 4.1, 4.2, 4.3, 4.4, 4.5.</dc:description>
  <cp:lastModifiedBy>Marianne Ott Jensen</cp:lastModifiedBy>
  <cp:revision>3</cp:revision>
  <cp:lastPrinted>2012-08-22T08:53:00Z</cp:lastPrinted>
  <dcterms:created xsi:type="dcterms:W3CDTF">2024-11-20T11:37:00Z</dcterms:created>
  <dcterms:modified xsi:type="dcterms:W3CDTF">2024-11-20T11:53:00Z</dcterms:modified>
</cp:coreProperties>
</file>