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68" w:rsidRPr="008F49E1" w:rsidRDefault="00E53868" w:rsidP="00E53868">
      <w:pPr>
        <w:rPr>
          <w:sz w:val="24"/>
          <w:szCs w:val="24"/>
        </w:rPr>
      </w:pPr>
      <w:bookmarkStart w:id="0" w:name="_GoBack"/>
      <w:bookmarkEnd w:id="0"/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3A067F9D" wp14:editId="265A8D78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68" w:rsidRPr="00CE6AFB" w:rsidRDefault="00E53868" w:rsidP="00E53868">
      <w:pPr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pStyle w:val="Titel"/>
        <w:tabs>
          <w:tab w:val="right" w:pos="9356"/>
        </w:tabs>
        <w:ind w:left="851" w:hanging="851"/>
        <w:jc w:val="right"/>
        <w:rPr>
          <w:szCs w:val="24"/>
        </w:rPr>
      </w:pPr>
      <w:r w:rsidRPr="00CE6AFB">
        <w:rPr>
          <w:b w:val="0"/>
          <w:szCs w:val="24"/>
          <w:lang w:eastAsia="en-US"/>
        </w:rPr>
        <w:tab/>
      </w:r>
      <w:r w:rsidR="00A854EF">
        <w:rPr>
          <w:szCs w:val="24"/>
        </w:rPr>
        <w:t>31</w:t>
      </w:r>
      <w:r>
        <w:rPr>
          <w:szCs w:val="24"/>
        </w:rPr>
        <w:t xml:space="preserve">. </w:t>
      </w:r>
      <w:r w:rsidR="00A854EF">
        <w:rPr>
          <w:szCs w:val="24"/>
        </w:rPr>
        <w:t>oktober</w:t>
      </w:r>
      <w:r>
        <w:rPr>
          <w:szCs w:val="24"/>
        </w:rPr>
        <w:t xml:space="preserve"> 20</w:t>
      </w:r>
      <w:r w:rsidR="00A854EF">
        <w:rPr>
          <w:szCs w:val="24"/>
        </w:rPr>
        <w:t>22</w:t>
      </w:r>
    </w:p>
    <w:p w:rsidR="00E53868" w:rsidRPr="00CE6AFB" w:rsidRDefault="00E53868" w:rsidP="00E53868">
      <w:pPr>
        <w:pStyle w:val="Titel"/>
        <w:tabs>
          <w:tab w:val="left" w:pos="8222"/>
        </w:tabs>
        <w:ind w:left="851" w:hanging="851"/>
        <w:jc w:val="left"/>
        <w:rPr>
          <w:b w:val="0"/>
          <w:szCs w:val="24"/>
        </w:rPr>
      </w:pPr>
    </w:p>
    <w:p w:rsidR="00E53868" w:rsidRDefault="00E53868" w:rsidP="00E53868">
      <w:pPr>
        <w:pStyle w:val="Titel"/>
        <w:ind w:left="851" w:hanging="851"/>
        <w:jc w:val="left"/>
        <w:rPr>
          <w:b w:val="0"/>
          <w:szCs w:val="24"/>
        </w:rPr>
      </w:pPr>
    </w:p>
    <w:p w:rsidR="00E53868" w:rsidRPr="00CE6AFB" w:rsidRDefault="00E53868" w:rsidP="00E53868">
      <w:pPr>
        <w:pStyle w:val="Titel"/>
        <w:ind w:left="851" w:hanging="851"/>
        <w:jc w:val="left"/>
        <w:rPr>
          <w:b w:val="0"/>
          <w:szCs w:val="24"/>
        </w:rPr>
      </w:pPr>
    </w:p>
    <w:p w:rsidR="00E53868" w:rsidRPr="00CE6AFB" w:rsidRDefault="00E53868" w:rsidP="00E53868">
      <w:pPr>
        <w:ind w:left="851" w:hanging="851"/>
        <w:jc w:val="center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PRODUKTRESUMÉ</w:t>
      </w:r>
    </w:p>
    <w:p w:rsidR="00E53868" w:rsidRPr="00CE6AFB" w:rsidRDefault="00E53868" w:rsidP="00E53868">
      <w:pPr>
        <w:ind w:left="851" w:hanging="851"/>
        <w:jc w:val="center"/>
        <w:rPr>
          <w:b/>
          <w:sz w:val="24"/>
          <w:szCs w:val="24"/>
        </w:rPr>
      </w:pPr>
    </w:p>
    <w:p w:rsidR="00E53868" w:rsidRPr="00CE6AFB" w:rsidRDefault="00E53868" w:rsidP="00E53868">
      <w:pPr>
        <w:ind w:left="851" w:hanging="851"/>
        <w:jc w:val="center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for</w:t>
      </w:r>
    </w:p>
    <w:p w:rsidR="00E53868" w:rsidRPr="00CE6AFB" w:rsidRDefault="00E53868" w:rsidP="00E53868">
      <w:pPr>
        <w:ind w:left="851" w:hanging="851"/>
        <w:jc w:val="center"/>
        <w:rPr>
          <w:b/>
          <w:sz w:val="24"/>
          <w:szCs w:val="24"/>
        </w:rPr>
      </w:pPr>
    </w:p>
    <w:p w:rsidR="00E53868" w:rsidRPr="00CE6AFB" w:rsidRDefault="00E53868" w:rsidP="00E53868">
      <w:pPr>
        <w:ind w:left="851" w:hanging="851"/>
        <w:jc w:val="center"/>
        <w:rPr>
          <w:b/>
          <w:sz w:val="24"/>
          <w:szCs w:val="24"/>
        </w:rPr>
      </w:pPr>
      <w:proofErr w:type="spellStart"/>
      <w:r w:rsidRPr="00CE6AFB">
        <w:rPr>
          <w:b/>
          <w:sz w:val="24"/>
          <w:szCs w:val="24"/>
        </w:rPr>
        <w:t>Entacapone</w:t>
      </w:r>
      <w:proofErr w:type="spellEnd"/>
      <w:r w:rsidRPr="00CE6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</w:t>
      </w:r>
      <w:r w:rsidRPr="00CE6AFB">
        <w:rPr>
          <w:b/>
          <w:sz w:val="24"/>
          <w:szCs w:val="24"/>
        </w:rPr>
        <w:t>Mylan</w:t>
      </w:r>
      <w:r>
        <w:rPr>
          <w:b/>
          <w:sz w:val="24"/>
          <w:szCs w:val="24"/>
        </w:rPr>
        <w:t>"</w:t>
      </w:r>
      <w:r w:rsidRPr="00CE6AFB">
        <w:rPr>
          <w:b/>
          <w:sz w:val="24"/>
          <w:szCs w:val="24"/>
        </w:rPr>
        <w:t>, filmovertrukne tabletter</w:t>
      </w:r>
    </w:p>
    <w:p w:rsidR="00E53868" w:rsidRPr="00CE6AFB" w:rsidRDefault="00E53868" w:rsidP="00E53868">
      <w:pPr>
        <w:ind w:left="851" w:hanging="851"/>
        <w:jc w:val="both"/>
        <w:rPr>
          <w:sz w:val="24"/>
          <w:szCs w:val="24"/>
        </w:rPr>
      </w:pPr>
    </w:p>
    <w:p w:rsidR="00E53868" w:rsidRPr="00CE6AFB" w:rsidRDefault="00E53868" w:rsidP="00E53868">
      <w:pPr>
        <w:ind w:left="851" w:hanging="851"/>
        <w:jc w:val="both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1"/>
        </w:numPr>
        <w:tabs>
          <w:tab w:val="clear" w:pos="855"/>
          <w:tab w:val="left" w:pos="851"/>
        </w:tabs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D.SP.NR.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27363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LÆGEMIDLETS NAVN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E6AFB">
        <w:rPr>
          <w:sz w:val="24"/>
          <w:szCs w:val="24"/>
        </w:rPr>
        <w:t>Entacapone</w:t>
      </w:r>
      <w:proofErr w:type="spellEnd"/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CE6AFB">
        <w:rPr>
          <w:sz w:val="24"/>
          <w:szCs w:val="24"/>
        </w:rPr>
        <w:t>Mylan</w:t>
      </w:r>
      <w:r>
        <w:rPr>
          <w:sz w:val="24"/>
          <w:szCs w:val="24"/>
        </w:rPr>
        <w:t>"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</w:p>
    <w:p w:rsidR="00E53868" w:rsidRPr="00CE6AFB" w:rsidRDefault="00E53868" w:rsidP="00E53868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KVALITATIV OG KVANTITATIV SAMMENSÆTNING</w:t>
      </w:r>
    </w:p>
    <w:p w:rsidR="00E53868" w:rsidRPr="00CE6AFB" w:rsidRDefault="00E53868" w:rsidP="00E53868">
      <w:pPr>
        <w:ind w:firstLine="851"/>
        <w:rPr>
          <w:sz w:val="24"/>
          <w:szCs w:val="24"/>
        </w:rPr>
      </w:pPr>
      <w:r w:rsidRPr="00CE6AFB">
        <w:rPr>
          <w:sz w:val="24"/>
          <w:szCs w:val="24"/>
        </w:rPr>
        <w:t xml:space="preserve">Hver filmovertrukket tablet indeholder 200 mg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rPr>
          <w:sz w:val="24"/>
          <w:szCs w:val="24"/>
        </w:rPr>
      </w:pPr>
    </w:p>
    <w:p w:rsidR="00E53868" w:rsidRPr="00D852B3" w:rsidRDefault="00E53868" w:rsidP="00E53868">
      <w:pPr>
        <w:ind w:firstLine="851"/>
        <w:rPr>
          <w:sz w:val="24"/>
          <w:szCs w:val="24"/>
          <w:u w:val="single"/>
        </w:rPr>
      </w:pPr>
      <w:r w:rsidRPr="00D852B3">
        <w:rPr>
          <w:sz w:val="24"/>
          <w:szCs w:val="24"/>
          <w:u w:val="single"/>
        </w:rPr>
        <w:t>Hjælpestof, som behandleren skal være opmærksom på</w:t>
      </w:r>
    </w:p>
    <w:p w:rsidR="00E53868" w:rsidRPr="00CE6AFB" w:rsidRDefault="00E53868" w:rsidP="00E53868">
      <w:pPr>
        <w:ind w:firstLine="851"/>
        <w:rPr>
          <w:sz w:val="24"/>
          <w:szCs w:val="24"/>
        </w:rPr>
      </w:pPr>
      <w:r w:rsidRPr="00CE6AFB">
        <w:rPr>
          <w:sz w:val="24"/>
          <w:szCs w:val="24"/>
        </w:rPr>
        <w:t xml:space="preserve">Hver </w:t>
      </w:r>
      <w:r>
        <w:rPr>
          <w:sz w:val="24"/>
          <w:szCs w:val="24"/>
        </w:rPr>
        <w:t xml:space="preserve">filmovertrukket </w:t>
      </w:r>
      <w:r w:rsidRPr="00CE6AFB">
        <w:rPr>
          <w:sz w:val="24"/>
          <w:szCs w:val="24"/>
        </w:rPr>
        <w:t xml:space="preserve">tablet indeholder 0,136 mg </w:t>
      </w:r>
      <w:proofErr w:type="spellStart"/>
      <w:r w:rsidRPr="00CE6AFB">
        <w:rPr>
          <w:sz w:val="24"/>
          <w:szCs w:val="24"/>
        </w:rPr>
        <w:t>saccharose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rPr>
          <w:sz w:val="24"/>
          <w:szCs w:val="24"/>
        </w:rPr>
      </w:pPr>
    </w:p>
    <w:p w:rsidR="00E53868" w:rsidRPr="00CE6AFB" w:rsidRDefault="00E53868" w:rsidP="00E53868">
      <w:pPr>
        <w:ind w:firstLine="851"/>
        <w:rPr>
          <w:sz w:val="24"/>
          <w:szCs w:val="24"/>
        </w:rPr>
      </w:pPr>
      <w:r w:rsidRPr="00CE6AFB">
        <w:rPr>
          <w:sz w:val="24"/>
          <w:szCs w:val="24"/>
        </w:rPr>
        <w:t>Alle hjælpestoffer er anført under pkt. 6.1.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LÆGEMIDDELFORM</w:t>
      </w:r>
    </w:p>
    <w:p w:rsidR="00E53868" w:rsidRPr="00CE6AFB" w:rsidRDefault="00E53868" w:rsidP="00E53868">
      <w:pPr>
        <w:suppressAutoHyphens/>
        <w:ind w:left="851" w:hanging="851"/>
        <w:rPr>
          <w:sz w:val="24"/>
          <w:szCs w:val="24"/>
        </w:rPr>
      </w:pPr>
      <w:r w:rsidRPr="00D852B3">
        <w:rPr>
          <w:sz w:val="24"/>
          <w:szCs w:val="24"/>
        </w:rPr>
        <w:tab/>
      </w:r>
      <w:r>
        <w:rPr>
          <w:sz w:val="24"/>
          <w:szCs w:val="24"/>
        </w:rPr>
        <w:t>Filmovertrukket tabletter (tabletter)</w:t>
      </w:r>
    </w:p>
    <w:p w:rsidR="00E53868" w:rsidRDefault="00E53868" w:rsidP="00E53868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3868" w:rsidRPr="00CE6AFB" w:rsidRDefault="00E53868" w:rsidP="00E53868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E6AFB">
        <w:rPr>
          <w:sz w:val="24"/>
          <w:szCs w:val="24"/>
        </w:rPr>
        <w:t xml:space="preserve">Lys orange, oval, </w:t>
      </w:r>
      <w:proofErr w:type="spellStart"/>
      <w:r w:rsidRPr="00CE6AFB">
        <w:rPr>
          <w:sz w:val="24"/>
          <w:szCs w:val="24"/>
        </w:rPr>
        <w:t>bikonveks</w:t>
      </w:r>
      <w:proofErr w:type="spellEnd"/>
      <w:r w:rsidRPr="00CE6AFB">
        <w:rPr>
          <w:sz w:val="24"/>
          <w:szCs w:val="24"/>
        </w:rPr>
        <w:t xml:space="preserve">, filmovertrukket tablet med </w:t>
      </w:r>
      <w:r>
        <w:rPr>
          <w:sz w:val="24"/>
          <w:szCs w:val="24"/>
        </w:rPr>
        <w:t>"</w:t>
      </w:r>
      <w:r w:rsidRPr="00CE6AFB">
        <w:rPr>
          <w:sz w:val="24"/>
          <w:szCs w:val="24"/>
        </w:rPr>
        <w:t>EE200</w:t>
      </w:r>
      <w:r>
        <w:rPr>
          <w:sz w:val="24"/>
          <w:szCs w:val="24"/>
        </w:rPr>
        <w:t>"</w:t>
      </w:r>
      <w:r w:rsidRPr="00CE6AFB">
        <w:rPr>
          <w:sz w:val="24"/>
          <w:szCs w:val="24"/>
        </w:rPr>
        <w:t xml:space="preserve"> præget på den ene side og </w:t>
      </w:r>
      <w:r>
        <w:rPr>
          <w:sz w:val="24"/>
          <w:szCs w:val="24"/>
        </w:rPr>
        <w:t>"</w:t>
      </w:r>
      <w:r w:rsidRPr="00CE6AFB">
        <w:rPr>
          <w:sz w:val="24"/>
          <w:szCs w:val="24"/>
        </w:rPr>
        <w:t>M</w:t>
      </w:r>
      <w:r>
        <w:rPr>
          <w:sz w:val="24"/>
          <w:szCs w:val="24"/>
        </w:rPr>
        <w:t>"</w:t>
      </w:r>
      <w:r w:rsidRPr="00CE6AFB">
        <w:rPr>
          <w:sz w:val="24"/>
          <w:szCs w:val="24"/>
        </w:rPr>
        <w:t xml:space="preserve"> på den anden side. 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KLINISKE OPLYSNINGER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  <w:u w:val="single"/>
        </w:rPr>
      </w:pPr>
      <w:r w:rsidRPr="00CE6AFB">
        <w:rPr>
          <w:b/>
          <w:sz w:val="24"/>
          <w:szCs w:val="24"/>
        </w:rPr>
        <w:t>Terapeutiske indikationer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er indiceret som </w:t>
      </w:r>
      <w:proofErr w:type="spellStart"/>
      <w:r w:rsidRPr="00CE6AFB">
        <w:rPr>
          <w:sz w:val="24"/>
          <w:szCs w:val="24"/>
        </w:rPr>
        <w:t>adjuvant</w:t>
      </w:r>
      <w:proofErr w:type="spellEnd"/>
      <w:r w:rsidRPr="00CE6AFB">
        <w:rPr>
          <w:sz w:val="24"/>
          <w:szCs w:val="24"/>
        </w:rPr>
        <w:t xml:space="preserve"> til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</w:t>
      </w:r>
      <w:proofErr w:type="spellEnd"/>
      <w:r w:rsidRPr="00CE6AFB">
        <w:rPr>
          <w:sz w:val="24"/>
          <w:szCs w:val="24"/>
        </w:rPr>
        <w:t xml:space="preserve"> eller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carbidopa</w:t>
      </w:r>
      <w:proofErr w:type="spellEnd"/>
      <w:r w:rsidRPr="00CE6AFB">
        <w:rPr>
          <w:sz w:val="24"/>
          <w:szCs w:val="24"/>
        </w:rPr>
        <w:t xml:space="preserve"> hos voksne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patienter med Parkinsons sygdom og end-of-</w:t>
      </w:r>
      <w:proofErr w:type="spellStart"/>
      <w:r w:rsidRPr="00CE6AFB">
        <w:rPr>
          <w:sz w:val="24"/>
          <w:szCs w:val="24"/>
        </w:rPr>
        <w:t>dose</w:t>
      </w:r>
      <w:proofErr w:type="spellEnd"/>
      <w:r w:rsidRPr="00CE6AFB">
        <w:rPr>
          <w:sz w:val="24"/>
          <w:szCs w:val="24"/>
        </w:rPr>
        <w:t xml:space="preserve"> fluktuationer, der ikke kan stabiliseres på disse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kombinationer.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Dosering og indgivelsesmåde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bør kun ordineres sammen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</w:t>
      </w:r>
      <w:proofErr w:type="spellEnd"/>
      <w:r w:rsidRPr="00CE6AFB">
        <w:rPr>
          <w:sz w:val="24"/>
          <w:szCs w:val="24"/>
        </w:rPr>
        <w:t xml:space="preserve"> eller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carbidopa</w:t>
      </w:r>
      <w:proofErr w:type="spellEnd"/>
      <w:r w:rsidRPr="00CE6AFB">
        <w:rPr>
          <w:sz w:val="24"/>
          <w:szCs w:val="24"/>
        </w:rPr>
        <w:t xml:space="preserve">. Tilsvarende ordinationsinformation gælder for disse </w:t>
      </w:r>
      <w:proofErr w:type="spellStart"/>
      <w:r w:rsidRPr="00CE6AFB">
        <w:rPr>
          <w:sz w:val="24"/>
          <w:szCs w:val="24"/>
        </w:rPr>
        <w:t>levodopapræparater</w:t>
      </w:r>
      <w:proofErr w:type="spellEnd"/>
      <w:r w:rsidRPr="00CE6AFB">
        <w:rPr>
          <w:sz w:val="24"/>
          <w:szCs w:val="24"/>
        </w:rPr>
        <w:t xml:space="preserve"> med hensyn til ordination sammen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Default="00E53868" w:rsidP="00E538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D852B3">
        <w:rPr>
          <w:sz w:val="24"/>
          <w:szCs w:val="24"/>
          <w:u w:val="single"/>
        </w:rPr>
        <w:t>Dosering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En 200 mg tablet tages sammen med hver dosis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dopa-decarboxylasehæmmer</w:t>
      </w:r>
      <w:proofErr w:type="spellEnd"/>
      <w:r w:rsidRPr="00CE6AFB">
        <w:rPr>
          <w:sz w:val="24"/>
          <w:szCs w:val="24"/>
        </w:rPr>
        <w:t>. Den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maksimalt anbefalede dosis er 200 mg 10 gange dagligt, dvs. 2000 mg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forøger effekten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. For at reducere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-relaterede bivirkninger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såsom </w:t>
      </w:r>
      <w:proofErr w:type="spellStart"/>
      <w:r w:rsidRPr="00CE6AFB">
        <w:rPr>
          <w:sz w:val="24"/>
          <w:szCs w:val="24"/>
        </w:rPr>
        <w:t>dyskinesier</w:t>
      </w:r>
      <w:proofErr w:type="spellEnd"/>
      <w:r w:rsidRPr="00CE6AFB">
        <w:rPr>
          <w:sz w:val="24"/>
          <w:szCs w:val="24"/>
        </w:rPr>
        <w:t xml:space="preserve">, kvalme, opkastning og hallucinationer er det ofte nødvendigt at justere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-doseringen inden for de første dage til uger efter start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behandling. Den daglige dosis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bør eventuelt reduceres med 10–30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ved at forlænge doseringsintervallet og/eller ved at reducere mængden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pr. dosis, afhængig af patientens kliniske tilstand.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Hvis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behandlingen afbrydes, er det nødvendigt at justere doseringen af de andre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antiparkinsonpræparater</w:t>
      </w:r>
      <w:proofErr w:type="spellEnd"/>
      <w:r w:rsidRPr="00CE6AFB">
        <w:rPr>
          <w:sz w:val="24"/>
          <w:szCs w:val="24"/>
        </w:rPr>
        <w:t xml:space="preserve">, specielt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, for at opnå tilstrækkelig kontrol med symptomerne.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øger biotilgængeligheden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for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benserazidstandardpræparater</w:t>
      </w:r>
      <w:proofErr w:type="spellEnd"/>
      <w:r w:rsidRPr="00CE6AFB">
        <w:rPr>
          <w:sz w:val="24"/>
          <w:szCs w:val="24"/>
        </w:rPr>
        <w:t xml:space="preserve"> en smule mere (5–10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) end for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carbidopastandardpræparater</w:t>
      </w:r>
      <w:proofErr w:type="spellEnd"/>
      <w:r w:rsidRPr="00CE6AFB">
        <w:rPr>
          <w:sz w:val="24"/>
          <w:szCs w:val="24"/>
        </w:rPr>
        <w:t>. Dette kan medføre, at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patienter, der behandles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benserazidstandardpræparater</w:t>
      </w:r>
      <w:proofErr w:type="spellEnd"/>
      <w:r w:rsidRPr="00CE6AFB">
        <w:rPr>
          <w:sz w:val="24"/>
          <w:szCs w:val="24"/>
        </w:rPr>
        <w:t xml:space="preserve">, behøver en større reduktion af deres </w:t>
      </w:r>
      <w:proofErr w:type="spellStart"/>
      <w:r w:rsidRPr="00CE6AFB">
        <w:rPr>
          <w:sz w:val="24"/>
          <w:szCs w:val="24"/>
        </w:rPr>
        <w:t>levodopadosis</w:t>
      </w:r>
      <w:proofErr w:type="spellEnd"/>
      <w:r w:rsidRPr="00CE6AFB">
        <w:rPr>
          <w:sz w:val="24"/>
          <w:szCs w:val="24"/>
        </w:rPr>
        <w:t xml:space="preserve">, når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behandlingen påbegyndes.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CE6AFB">
        <w:rPr>
          <w:i/>
          <w:iCs/>
          <w:sz w:val="24"/>
          <w:szCs w:val="24"/>
        </w:rPr>
        <w:t xml:space="preserve">Nedsat nyrefunktion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Nyreinsufficiens påvirker ikke </w:t>
      </w:r>
      <w:proofErr w:type="spellStart"/>
      <w:r w:rsidRPr="00CE6AFB">
        <w:rPr>
          <w:sz w:val="24"/>
          <w:szCs w:val="24"/>
        </w:rPr>
        <w:t>entacapons</w:t>
      </w:r>
      <w:proofErr w:type="spellEnd"/>
      <w:r w:rsidRPr="00CE6AFB">
        <w:rPr>
          <w:sz w:val="24"/>
          <w:szCs w:val="24"/>
        </w:rPr>
        <w:t xml:space="preserve"> farmakokinetik, og det er ikke nødvendigt at justere doseringen ved nyreinsufficiens. Kun hos patienter i dialysebehandling bør det overvejes at forlænge doseringsintervallet (se pkt. 5.2).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CE6AFB">
        <w:rPr>
          <w:i/>
          <w:iCs/>
          <w:sz w:val="24"/>
          <w:szCs w:val="24"/>
        </w:rPr>
        <w:t xml:space="preserve">Nedsat leverfunktion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Se pkt. 4.3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i/>
          <w:iCs/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i/>
          <w:iCs/>
          <w:sz w:val="24"/>
          <w:szCs w:val="24"/>
        </w:rPr>
        <w:t>Ældre</w:t>
      </w:r>
      <w:r w:rsidRPr="00CE6AFB">
        <w:rPr>
          <w:sz w:val="24"/>
          <w:szCs w:val="24"/>
        </w:rPr>
        <w:t xml:space="preserve">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Det er ikke nødvendigt at justere dosis hos ældre patienter.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i/>
          <w:iCs/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CE6AFB">
        <w:rPr>
          <w:i/>
          <w:iCs/>
          <w:sz w:val="24"/>
          <w:szCs w:val="24"/>
        </w:rPr>
        <w:t>Pædiatrisk population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Sikkerhed og virkning af </w:t>
      </w:r>
      <w:proofErr w:type="spellStart"/>
      <w:r>
        <w:rPr>
          <w:sz w:val="24"/>
          <w:szCs w:val="24"/>
        </w:rPr>
        <w:t>e</w:t>
      </w:r>
      <w:r w:rsidRPr="00CE6AFB">
        <w:rPr>
          <w:sz w:val="24"/>
          <w:szCs w:val="24"/>
        </w:rPr>
        <w:t>ntacapon</w:t>
      </w:r>
      <w:proofErr w:type="spellEnd"/>
      <w:r w:rsidRPr="00CE6AFB">
        <w:rPr>
          <w:sz w:val="24"/>
          <w:szCs w:val="24"/>
        </w:rPr>
        <w:t xml:space="preserve"> hos børn under 18 år er ikke klarlagt. Der foreligger ingen data.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B66A4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CB66A4">
        <w:rPr>
          <w:sz w:val="24"/>
          <w:szCs w:val="24"/>
          <w:u w:val="single"/>
        </w:rPr>
        <w:t>Administration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administreres oralt samtidig med hver dosering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</w:t>
      </w:r>
      <w:proofErr w:type="spellEnd"/>
      <w:r w:rsidRPr="00CE6AFB"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carbidopa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kan indtages sammen med eller uden fødeindtagelse (se pkt. 5.2).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Kontraindikationer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E6AFB">
        <w:rPr>
          <w:sz w:val="24"/>
          <w:szCs w:val="24"/>
        </w:rPr>
        <w:t>Overfølsomhed over for det aktive stof eller over for et eller flere af hjælpestofferne</w:t>
      </w:r>
      <w:r>
        <w:rPr>
          <w:sz w:val="24"/>
          <w:szCs w:val="24"/>
        </w:rPr>
        <w:t xml:space="preserve"> anført i pkt. 6.1</w:t>
      </w:r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E6AFB">
        <w:rPr>
          <w:sz w:val="24"/>
          <w:szCs w:val="24"/>
        </w:rPr>
        <w:t>Nedsat leverfunktion.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Fæokromocytom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E6AFB">
        <w:rPr>
          <w:sz w:val="24"/>
          <w:szCs w:val="24"/>
        </w:rPr>
        <w:t xml:space="preserve">Samtidig brug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nonselektive </w:t>
      </w:r>
      <w:proofErr w:type="spellStart"/>
      <w:r w:rsidRPr="00CE6AFB">
        <w:rPr>
          <w:sz w:val="24"/>
          <w:szCs w:val="24"/>
        </w:rPr>
        <w:t>monoaminoxidase</w:t>
      </w:r>
      <w:proofErr w:type="spellEnd"/>
      <w:r w:rsidRPr="00CE6AFB">
        <w:rPr>
          <w:sz w:val="24"/>
          <w:szCs w:val="24"/>
        </w:rPr>
        <w:t xml:space="preserve"> (MAO-A og MAO-</w:t>
      </w:r>
      <w:proofErr w:type="gramStart"/>
      <w:r w:rsidRPr="00CE6AFB">
        <w:rPr>
          <w:sz w:val="24"/>
          <w:szCs w:val="24"/>
        </w:rPr>
        <w:t>B)-</w:t>
      </w:r>
      <w:proofErr w:type="spellStart"/>
      <w:proofErr w:type="gramEnd"/>
      <w:r w:rsidRPr="00CE6AFB">
        <w:rPr>
          <w:sz w:val="24"/>
          <w:szCs w:val="24"/>
        </w:rPr>
        <w:t>hæmmere</w:t>
      </w:r>
      <w:proofErr w:type="spellEnd"/>
      <w:r w:rsidRPr="00CE6AFB">
        <w:rPr>
          <w:sz w:val="24"/>
          <w:szCs w:val="24"/>
        </w:rPr>
        <w:t xml:space="preserve"> (f.eks. </w:t>
      </w:r>
      <w:proofErr w:type="spellStart"/>
      <w:r w:rsidRPr="00CE6AFB">
        <w:rPr>
          <w:sz w:val="24"/>
          <w:szCs w:val="24"/>
        </w:rPr>
        <w:t>phenelzin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tranylcypromin</w:t>
      </w:r>
      <w:proofErr w:type="spellEnd"/>
      <w:r w:rsidRPr="00CE6AFB">
        <w:rPr>
          <w:sz w:val="24"/>
          <w:szCs w:val="24"/>
        </w:rPr>
        <w:t>).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E6AFB">
        <w:rPr>
          <w:sz w:val="24"/>
          <w:szCs w:val="24"/>
        </w:rPr>
        <w:lastRenderedPageBreak/>
        <w:t xml:space="preserve">Samtidig brug af en selektiv MAO-A-hæmmer plus en selektiv MAO-B-hæmmer og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(se pkt. 4.5).</w:t>
      </w:r>
    </w:p>
    <w:p w:rsidR="00E53868" w:rsidRPr="00CE6AFB" w:rsidRDefault="00E53868" w:rsidP="00E5386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E6AFB">
        <w:rPr>
          <w:sz w:val="24"/>
          <w:szCs w:val="24"/>
        </w:rPr>
        <w:t xml:space="preserve">Malignt </w:t>
      </w:r>
      <w:proofErr w:type="spellStart"/>
      <w:r w:rsidRPr="00CE6AFB">
        <w:rPr>
          <w:sz w:val="24"/>
          <w:szCs w:val="24"/>
        </w:rPr>
        <w:t>neuroleptikasyndrom</w:t>
      </w:r>
      <w:proofErr w:type="spellEnd"/>
      <w:r w:rsidRPr="00CE6AFB">
        <w:rPr>
          <w:sz w:val="24"/>
          <w:szCs w:val="24"/>
        </w:rPr>
        <w:t xml:space="preserve"> (MNS) og/eller ikke-traumatisk </w:t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i anamnesen.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Særlige advarsler og forsigtighedsregler vedrørende brugen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sekundært til svære </w:t>
      </w:r>
      <w:proofErr w:type="spellStart"/>
      <w:r w:rsidRPr="00CE6AFB">
        <w:rPr>
          <w:sz w:val="24"/>
          <w:szCs w:val="24"/>
        </w:rPr>
        <w:t>dykinesier</w:t>
      </w:r>
      <w:proofErr w:type="spellEnd"/>
      <w:r w:rsidRPr="00CE6AFB">
        <w:rPr>
          <w:sz w:val="24"/>
          <w:szCs w:val="24"/>
        </w:rPr>
        <w:t xml:space="preserve"> eller malignt </w:t>
      </w:r>
      <w:proofErr w:type="spellStart"/>
      <w:r w:rsidRPr="00CE6AFB">
        <w:rPr>
          <w:sz w:val="24"/>
          <w:szCs w:val="24"/>
        </w:rPr>
        <w:t>neuroleptikasyndrom</w:t>
      </w:r>
      <w:proofErr w:type="spellEnd"/>
      <w:r w:rsidRPr="00CE6AFB">
        <w:rPr>
          <w:sz w:val="24"/>
          <w:szCs w:val="24"/>
        </w:rPr>
        <w:t xml:space="preserve"> (MNS) er i sjældne tilfælde set hos patienter med Parkinsons sygdom.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MNS, inklusive </w:t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hyperthermia</w:t>
      </w:r>
      <w:proofErr w:type="spellEnd"/>
      <w:r w:rsidRPr="00CE6AFB">
        <w:rPr>
          <w:sz w:val="24"/>
          <w:szCs w:val="24"/>
        </w:rPr>
        <w:t xml:space="preserve"> er karakteriseret ved muskelsymptomer (stivhed, </w:t>
      </w:r>
      <w:proofErr w:type="spellStart"/>
      <w:r w:rsidRPr="00CE6AFB">
        <w:rPr>
          <w:sz w:val="24"/>
          <w:szCs w:val="24"/>
        </w:rPr>
        <w:t>myocloni</w:t>
      </w:r>
      <w:proofErr w:type="spellEnd"/>
      <w:r w:rsidRPr="00CE6AFB">
        <w:rPr>
          <w:sz w:val="24"/>
          <w:szCs w:val="24"/>
        </w:rPr>
        <w:t>, rysten), ændring af mental status (f</w:t>
      </w:r>
      <w:r>
        <w:rPr>
          <w:sz w:val="24"/>
          <w:szCs w:val="24"/>
        </w:rPr>
        <w:t>.eks.</w:t>
      </w:r>
      <w:r w:rsidRPr="00CE6AFB">
        <w:rPr>
          <w:sz w:val="24"/>
          <w:szCs w:val="24"/>
        </w:rPr>
        <w:t xml:space="preserve"> agitation, konfusion, koma), </w:t>
      </w:r>
      <w:proofErr w:type="spellStart"/>
      <w:r w:rsidRPr="00CE6AFB">
        <w:rPr>
          <w:sz w:val="24"/>
          <w:szCs w:val="24"/>
        </w:rPr>
        <w:t>hypertermi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autonomisk</w:t>
      </w:r>
      <w:proofErr w:type="spellEnd"/>
      <w:r w:rsidRPr="00CE6AFB">
        <w:rPr>
          <w:sz w:val="24"/>
          <w:szCs w:val="24"/>
        </w:rPr>
        <w:t xml:space="preserve"> dysfunktion (</w:t>
      </w:r>
      <w:proofErr w:type="spellStart"/>
      <w:r w:rsidRPr="00CE6AFB">
        <w:rPr>
          <w:sz w:val="24"/>
          <w:szCs w:val="24"/>
        </w:rPr>
        <w:t>takykardi</w:t>
      </w:r>
      <w:proofErr w:type="spellEnd"/>
      <w:r w:rsidRPr="00CE6AFB">
        <w:rPr>
          <w:sz w:val="24"/>
          <w:szCs w:val="24"/>
        </w:rPr>
        <w:t xml:space="preserve">, labilt blodtryk) og forhøjet </w:t>
      </w:r>
      <w:proofErr w:type="spellStart"/>
      <w:r w:rsidRPr="00CE6AFB">
        <w:rPr>
          <w:sz w:val="24"/>
          <w:szCs w:val="24"/>
        </w:rPr>
        <w:t>serumkreatinphosphokinase</w:t>
      </w:r>
      <w:proofErr w:type="spellEnd"/>
      <w:r w:rsidRPr="00CE6AFB">
        <w:rPr>
          <w:sz w:val="24"/>
          <w:szCs w:val="24"/>
        </w:rPr>
        <w:t>. I enkelte tilfælde er kun nogle af disse symptomer og/eller fund til stede.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Hverken MNS eller </w:t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er blevet rapporteret i forbindelse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 i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kontrollerede studier, hvor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 blev brat afsluttet. Efter markedsføring er der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indrapporteret enkeltstående tilfælde af MNS, især efter pludselig nedsættelse eller afbrydelse af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andre samtidige </w:t>
      </w:r>
      <w:proofErr w:type="spellStart"/>
      <w:r w:rsidRPr="00CE6AFB">
        <w:rPr>
          <w:sz w:val="24"/>
          <w:szCs w:val="24"/>
        </w:rPr>
        <w:t>dopaminerge</w:t>
      </w:r>
      <w:proofErr w:type="spellEnd"/>
      <w:r w:rsidRPr="00CE6AFB">
        <w:rPr>
          <w:sz w:val="24"/>
          <w:szCs w:val="24"/>
        </w:rPr>
        <w:t xml:space="preserve"> lægemidler. Når det skønnes nødvendigt, skal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behandlingsafbrydelse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anden dopaminerg behandling ske langsomt, og hvis der opstår tegn og/eller symptomer på MNS eller </w:t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på trods af en langsom nedtrapning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, kan en øgning i </w:t>
      </w:r>
      <w:proofErr w:type="spellStart"/>
      <w:r w:rsidRPr="00CE6AFB">
        <w:rPr>
          <w:sz w:val="24"/>
          <w:szCs w:val="24"/>
        </w:rPr>
        <w:t>levodopadosis</w:t>
      </w:r>
      <w:proofErr w:type="spellEnd"/>
      <w:r w:rsidRPr="00CE6AFB">
        <w:rPr>
          <w:sz w:val="24"/>
          <w:szCs w:val="24"/>
        </w:rPr>
        <w:t xml:space="preserve"> være nødvendigt.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 bør administreres med forsigtighed til patienter med iskæmisk hjertesygdom.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På grund af sin virkningsmekanisme kan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indvirke på metabolismen af lægemidler, der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indeholder en </w:t>
      </w:r>
      <w:proofErr w:type="spellStart"/>
      <w:r w:rsidRPr="00CE6AFB">
        <w:rPr>
          <w:sz w:val="24"/>
          <w:szCs w:val="24"/>
        </w:rPr>
        <w:t>catechol</w:t>
      </w:r>
      <w:proofErr w:type="spellEnd"/>
      <w:r w:rsidRPr="00CE6AFB">
        <w:rPr>
          <w:sz w:val="24"/>
          <w:szCs w:val="24"/>
        </w:rPr>
        <w:t xml:space="preserve">-gruppe og potensere deres effekt.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bør derfor administreres med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forsigtighed til patienter, der behandles med lægemidler, der </w:t>
      </w:r>
      <w:proofErr w:type="spellStart"/>
      <w:r w:rsidRPr="00CE6AFB">
        <w:rPr>
          <w:sz w:val="24"/>
          <w:szCs w:val="24"/>
        </w:rPr>
        <w:t>metaboliseres</w:t>
      </w:r>
      <w:proofErr w:type="spellEnd"/>
      <w:r w:rsidRPr="00CE6AFB">
        <w:rPr>
          <w:sz w:val="24"/>
          <w:szCs w:val="24"/>
        </w:rPr>
        <w:t xml:space="preserve"> af </w:t>
      </w:r>
      <w:proofErr w:type="spellStart"/>
      <w:r w:rsidRPr="00CE6AFB">
        <w:rPr>
          <w:sz w:val="24"/>
          <w:szCs w:val="24"/>
        </w:rPr>
        <w:t>catechol</w:t>
      </w:r>
      <w:proofErr w:type="spellEnd"/>
      <w:r w:rsidRPr="00CE6AFB">
        <w:rPr>
          <w:sz w:val="24"/>
          <w:szCs w:val="24"/>
        </w:rPr>
        <w:t>-O-metyl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transferase (COMT), f.eks. </w:t>
      </w:r>
      <w:proofErr w:type="spellStart"/>
      <w:r w:rsidRPr="00CE6AFB">
        <w:rPr>
          <w:sz w:val="24"/>
          <w:szCs w:val="24"/>
        </w:rPr>
        <w:t>rimiterol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isoprenalin</w:t>
      </w:r>
      <w:proofErr w:type="spellEnd"/>
      <w:r w:rsidRPr="00CE6AFB">
        <w:rPr>
          <w:sz w:val="24"/>
          <w:szCs w:val="24"/>
        </w:rPr>
        <w:t xml:space="preserve">, adrenalin, noradrenalin, dopamin, </w:t>
      </w:r>
      <w:proofErr w:type="spellStart"/>
      <w:r w:rsidRPr="00CE6AFB">
        <w:rPr>
          <w:sz w:val="24"/>
          <w:szCs w:val="24"/>
        </w:rPr>
        <w:t>dobutamin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alfamethyldopa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apomorfin</w:t>
      </w:r>
      <w:proofErr w:type="spellEnd"/>
      <w:r w:rsidRPr="00CE6AFB">
        <w:rPr>
          <w:sz w:val="24"/>
          <w:szCs w:val="24"/>
        </w:rPr>
        <w:t xml:space="preserve"> (se pkt. 4.5).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administreres altid som </w:t>
      </w:r>
      <w:proofErr w:type="spellStart"/>
      <w:r w:rsidRPr="00CE6AFB">
        <w:rPr>
          <w:sz w:val="24"/>
          <w:szCs w:val="24"/>
        </w:rPr>
        <w:t>adjuvant</w:t>
      </w:r>
      <w:proofErr w:type="spellEnd"/>
      <w:r w:rsidRPr="00CE6AFB">
        <w:rPr>
          <w:sz w:val="24"/>
          <w:szCs w:val="24"/>
        </w:rPr>
        <w:t xml:space="preserve"> til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behandling. Derfor bør forsigtighedsregler vedrørende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behandling overvejes i forbindelse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øger biotilgængeligheden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for standardpræparater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</w:t>
      </w:r>
      <w:proofErr w:type="spellEnd"/>
      <w:r w:rsidRPr="00CE6AFB">
        <w:rPr>
          <w:sz w:val="24"/>
          <w:szCs w:val="24"/>
        </w:rPr>
        <w:t xml:space="preserve"> 5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>10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mere end for standardpræparater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carbidopa</w:t>
      </w:r>
      <w:proofErr w:type="spellEnd"/>
      <w:r w:rsidRPr="00CE6AFB">
        <w:rPr>
          <w:sz w:val="24"/>
          <w:szCs w:val="24"/>
        </w:rPr>
        <w:t xml:space="preserve">. Derfor kan </w:t>
      </w:r>
      <w:proofErr w:type="spellStart"/>
      <w:r w:rsidRPr="00CE6AFB">
        <w:rPr>
          <w:sz w:val="24"/>
          <w:szCs w:val="24"/>
        </w:rPr>
        <w:t>dopaminerge</w:t>
      </w:r>
      <w:proofErr w:type="spellEnd"/>
      <w:r w:rsidRPr="00CE6AFB">
        <w:rPr>
          <w:sz w:val="24"/>
          <w:szCs w:val="24"/>
        </w:rPr>
        <w:t xml:space="preserve"> bivirkningsreaktioner forekomme hyppigere, hvis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føjes til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benserazidbehandlingen</w:t>
      </w:r>
      <w:proofErr w:type="spellEnd"/>
      <w:r w:rsidRPr="00CE6AFB">
        <w:rPr>
          <w:sz w:val="24"/>
          <w:szCs w:val="24"/>
        </w:rPr>
        <w:t xml:space="preserve"> (se ligeledes pkt. 4.8). For at nedsætte de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-relaterede bivirkninger vil det ofte være nødvendigt at justere </w:t>
      </w:r>
      <w:proofErr w:type="spellStart"/>
      <w:r w:rsidRPr="00CE6AFB">
        <w:rPr>
          <w:sz w:val="24"/>
          <w:szCs w:val="24"/>
        </w:rPr>
        <w:t>levodopadoseringen</w:t>
      </w:r>
      <w:proofErr w:type="spellEnd"/>
      <w:r w:rsidRPr="00CE6AFB">
        <w:rPr>
          <w:sz w:val="24"/>
          <w:szCs w:val="24"/>
        </w:rPr>
        <w:t xml:space="preserve"> inden for de første dage eller uger efter starten på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behandlingen afhængig af patientens kliniske tilstand (se pkt. 4.2 og pkt. 4.8).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kan forværre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-induceret </w:t>
      </w:r>
      <w:proofErr w:type="spellStart"/>
      <w:r w:rsidRPr="00CE6AFB">
        <w:rPr>
          <w:sz w:val="24"/>
          <w:szCs w:val="24"/>
        </w:rPr>
        <w:t>ortostatisk</w:t>
      </w:r>
      <w:proofErr w:type="spellEnd"/>
      <w:r w:rsidRPr="00CE6AFB">
        <w:rPr>
          <w:sz w:val="24"/>
          <w:szCs w:val="24"/>
        </w:rPr>
        <w:t xml:space="preserve"> hypotension.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bør gives med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forsigtighed til patienter, der tager andre lægemidler, som forårsager </w:t>
      </w:r>
      <w:proofErr w:type="spellStart"/>
      <w:r w:rsidRPr="00CE6AFB">
        <w:rPr>
          <w:sz w:val="24"/>
          <w:szCs w:val="24"/>
        </w:rPr>
        <w:t>ortostatisk</w:t>
      </w:r>
      <w:proofErr w:type="spellEnd"/>
      <w:r w:rsidRPr="00CE6AFB">
        <w:rPr>
          <w:sz w:val="24"/>
          <w:szCs w:val="24"/>
        </w:rPr>
        <w:t xml:space="preserve"> hypotension.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I kliniske forsøg var </w:t>
      </w:r>
      <w:proofErr w:type="spellStart"/>
      <w:r w:rsidRPr="00CE6AFB">
        <w:rPr>
          <w:sz w:val="24"/>
          <w:szCs w:val="24"/>
        </w:rPr>
        <w:t>dopaminerge</w:t>
      </w:r>
      <w:proofErr w:type="spellEnd"/>
      <w:r w:rsidRPr="00CE6AFB">
        <w:rPr>
          <w:sz w:val="24"/>
          <w:szCs w:val="24"/>
        </w:rPr>
        <w:t xml:space="preserve"> bivirkninger f.eks. </w:t>
      </w:r>
      <w:proofErr w:type="spellStart"/>
      <w:r w:rsidRPr="00CE6AFB">
        <w:rPr>
          <w:sz w:val="24"/>
          <w:szCs w:val="24"/>
        </w:rPr>
        <w:t>dyskinesier</w:t>
      </w:r>
      <w:proofErr w:type="spellEnd"/>
      <w:r w:rsidRPr="00CE6AFB">
        <w:rPr>
          <w:sz w:val="24"/>
          <w:szCs w:val="24"/>
        </w:rPr>
        <w:t xml:space="preserve"> hyppigere hos de patienter, der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behandledes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dopaminerge</w:t>
      </w:r>
      <w:proofErr w:type="spellEnd"/>
      <w:r w:rsidRPr="00CE6AFB">
        <w:rPr>
          <w:sz w:val="24"/>
          <w:szCs w:val="24"/>
        </w:rPr>
        <w:t xml:space="preserve"> agonister (som f.eks. </w:t>
      </w:r>
      <w:proofErr w:type="spellStart"/>
      <w:r w:rsidRPr="00CE6AFB">
        <w:rPr>
          <w:sz w:val="24"/>
          <w:szCs w:val="24"/>
        </w:rPr>
        <w:t>bromocriptin</w:t>
      </w:r>
      <w:proofErr w:type="spellEnd"/>
      <w:r w:rsidRPr="00CE6AFB">
        <w:rPr>
          <w:sz w:val="24"/>
          <w:szCs w:val="24"/>
        </w:rPr>
        <w:t xml:space="preserve">), </w:t>
      </w:r>
      <w:proofErr w:type="spellStart"/>
      <w:r w:rsidRPr="00CE6AFB">
        <w:rPr>
          <w:sz w:val="24"/>
          <w:szCs w:val="24"/>
        </w:rPr>
        <w:t>selegilin</w:t>
      </w:r>
      <w:proofErr w:type="spellEnd"/>
      <w:r w:rsidRPr="00CE6AFB"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amantadin</w:t>
      </w:r>
      <w:proofErr w:type="spellEnd"/>
      <w:r w:rsidRPr="00CE6AFB">
        <w:rPr>
          <w:sz w:val="24"/>
          <w:szCs w:val="24"/>
        </w:rPr>
        <w:t xml:space="preserve"> sammenlignet med de patienter, der fik placebo </w:t>
      </w:r>
      <w:r w:rsidRPr="00CE6AFB">
        <w:rPr>
          <w:sz w:val="24"/>
          <w:szCs w:val="24"/>
        </w:rPr>
        <w:lastRenderedPageBreak/>
        <w:t xml:space="preserve">sammen med agonisterne. Doseringen af andre </w:t>
      </w:r>
      <w:proofErr w:type="spellStart"/>
      <w:r w:rsidRPr="00CE6AFB">
        <w:rPr>
          <w:sz w:val="24"/>
          <w:szCs w:val="24"/>
        </w:rPr>
        <w:t>antiparkinson</w:t>
      </w:r>
      <w:proofErr w:type="spellEnd"/>
      <w:r w:rsidRPr="00CE6AFB">
        <w:rPr>
          <w:sz w:val="24"/>
          <w:szCs w:val="24"/>
        </w:rPr>
        <w:t xml:space="preserve"> lægemidler må muligvis justeres, når der startes behandling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 forbindelse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er sat i forbindelse med døsighed samt episoder med </w:t>
      </w:r>
      <w:proofErr w:type="gramStart"/>
      <w:r w:rsidRPr="00CE6AFB">
        <w:rPr>
          <w:sz w:val="24"/>
          <w:szCs w:val="24"/>
        </w:rPr>
        <w:t>pludselig søvnanfald</w:t>
      </w:r>
      <w:proofErr w:type="gramEnd"/>
      <w:r w:rsidRPr="00CE6AFB">
        <w:rPr>
          <w:sz w:val="24"/>
          <w:szCs w:val="24"/>
        </w:rPr>
        <w:t xml:space="preserve"> hos patienter med Parkinsons sygdom. Derfor bør der udvises forsigtighed, når der føres motorkøretøj eller betjenes maskiner (se også pkt. 4.7).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Hvis patienten får diarré, anbefales det at kontrollere vægten regelmæssigt for at undgå et eventuelt uforholdsmæssigt stort vægttab. Længerevarende eller vedvarende diarré, der optræder ved anvendelse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, kan være tegn på colitis. I tilfælde af længerevarende eller vedvarende diarré bør lægemidlet seponeres og passende behandling og undersøgelser overvejes.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0B7B28" w:rsidRDefault="00E53868" w:rsidP="00E53868">
      <w:pPr>
        <w:autoSpaceDE w:val="0"/>
        <w:autoSpaceDN w:val="0"/>
        <w:adjustRightInd w:val="0"/>
        <w:ind w:left="851"/>
        <w:rPr>
          <w:sz w:val="24"/>
          <w:u w:val="single"/>
        </w:rPr>
      </w:pPr>
      <w:r w:rsidRPr="000B7B28">
        <w:rPr>
          <w:sz w:val="24"/>
          <w:szCs w:val="24"/>
          <w:u w:val="single"/>
        </w:rPr>
        <w:t xml:space="preserve">Patologiske vane- og impulshandlinger </w:t>
      </w:r>
    </w:p>
    <w:p w:rsidR="00E53868" w:rsidRPr="00BA2B8C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35EB1">
        <w:rPr>
          <w:sz w:val="24"/>
          <w:szCs w:val="24"/>
        </w:rPr>
        <w:t xml:space="preserve">Patienter skal monitoreres regelmæssigt for udvikling af patologiske vane- og impulshandlinger. Patienter og behandlere skal gøres opmærksomme på, at adfærdssymptomer patologisk vane- og impulskontrol inklusiv patologisk spillelyst, forøget libido og </w:t>
      </w:r>
      <w:proofErr w:type="spellStart"/>
      <w:r w:rsidRPr="00835EB1">
        <w:rPr>
          <w:sz w:val="24"/>
          <w:szCs w:val="24"/>
        </w:rPr>
        <w:t>hyperseksualitet</w:t>
      </w:r>
      <w:proofErr w:type="spellEnd"/>
      <w:r w:rsidRPr="00835EB1">
        <w:rPr>
          <w:sz w:val="24"/>
          <w:szCs w:val="24"/>
        </w:rPr>
        <w:t xml:space="preserve">, </w:t>
      </w:r>
      <w:proofErr w:type="spellStart"/>
      <w:r w:rsidRPr="00835EB1">
        <w:rPr>
          <w:sz w:val="24"/>
          <w:szCs w:val="24"/>
        </w:rPr>
        <w:t>kompulsiv</w:t>
      </w:r>
      <w:proofErr w:type="spellEnd"/>
      <w:r w:rsidRPr="00835EB1">
        <w:rPr>
          <w:sz w:val="24"/>
          <w:szCs w:val="24"/>
        </w:rPr>
        <w:t xml:space="preserve"> brug af penge og indkøb, spiseorgie og tvangsspisning kan opstå hos patienter, som bliver behandlede med dopaminagonister og/eller andre </w:t>
      </w:r>
      <w:proofErr w:type="spellStart"/>
      <w:r w:rsidRPr="00835EB1">
        <w:rPr>
          <w:sz w:val="24"/>
          <w:szCs w:val="24"/>
        </w:rPr>
        <w:t>dopaminerge</w:t>
      </w:r>
      <w:proofErr w:type="spellEnd"/>
      <w:r w:rsidRPr="00835EB1">
        <w:rPr>
          <w:sz w:val="24"/>
          <w:szCs w:val="24"/>
        </w:rPr>
        <w:t xml:space="preserve"> behandlinger </w:t>
      </w:r>
      <w:r w:rsidRPr="00BA2B8C">
        <w:rPr>
          <w:sz w:val="24"/>
          <w:szCs w:val="24"/>
        </w:rPr>
        <w:t>såsom</w:t>
      </w:r>
      <w:r w:rsidRPr="00835EB1">
        <w:rPr>
          <w:sz w:val="24"/>
          <w:szCs w:val="24"/>
        </w:rPr>
        <w:t xml:space="preserve"> </w:t>
      </w:r>
      <w:proofErr w:type="spellStart"/>
      <w:r w:rsidRPr="00BA2B8C">
        <w:rPr>
          <w:sz w:val="24"/>
          <w:szCs w:val="24"/>
        </w:rPr>
        <w:t>Entacapone</w:t>
      </w:r>
      <w:proofErr w:type="spellEnd"/>
      <w:r w:rsidRPr="00BA2B8C">
        <w:rPr>
          <w:sz w:val="24"/>
          <w:szCs w:val="24"/>
        </w:rPr>
        <w:t xml:space="preserve"> Mylan</w:t>
      </w:r>
      <w:r>
        <w:rPr>
          <w:sz w:val="24"/>
          <w:szCs w:val="24"/>
        </w:rPr>
        <w:t xml:space="preserve"> i kombination med </w:t>
      </w:r>
      <w:proofErr w:type="spellStart"/>
      <w:r>
        <w:rPr>
          <w:sz w:val="24"/>
          <w:szCs w:val="24"/>
        </w:rPr>
        <w:t>levodopa</w:t>
      </w:r>
      <w:proofErr w:type="spellEnd"/>
      <w:r w:rsidRPr="00835EB1">
        <w:rPr>
          <w:sz w:val="24"/>
          <w:szCs w:val="24"/>
        </w:rPr>
        <w:t>. Det anbefales at genoverveje behandlingen, hvis disse symptomer opstår.</w:t>
      </w:r>
    </w:p>
    <w:p w:rsidR="00E53868" w:rsidRPr="00BA2B8C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Hvis patienten oplever progressiv anoreksi, asteni og vægttab inden for relativt kort tid, bør det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overvejes at udføre en generel medicinsk evaluering inklusive undersøgelse af leverfunktionen.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Entacapone</w:t>
      </w:r>
      <w:proofErr w:type="spellEnd"/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"Mylan"</w:t>
      </w:r>
      <w:r w:rsidRPr="00CE6AFB">
        <w:rPr>
          <w:sz w:val="24"/>
          <w:szCs w:val="24"/>
        </w:rPr>
        <w:t xml:space="preserve"> 200 mg filmovertrukne tabletter indeholder </w:t>
      </w:r>
      <w:proofErr w:type="spellStart"/>
      <w:r w:rsidRPr="00CE6AFB">
        <w:rPr>
          <w:sz w:val="24"/>
          <w:szCs w:val="24"/>
        </w:rPr>
        <w:t>saccharose</w:t>
      </w:r>
      <w:proofErr w:type="spellEnd"/>
      <w:r w:rsidRPr="00CE6AFB">
        <w:rPr>
          <w:sz w:val="24"/>
          <w:szCs w:val="24"/>
        </w:rPr>
        <w:t xml:space="preserve">. Patienter med arvelig </w:t>
      </w:r>
      <w:proofErr w:type="spellStart"/>
      <w:r w:rsidRPr="00CE6AFB">
        <w:rPr>
          <w:sz w:val="24"/>
          <w:szCs w:val="24"/>
        </w:rPr>
        <w:t>fructose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intolerans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glucose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galactose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malabsorption</w:t>
      </w:r>
      <w:proofErr w:type="spellEnd"/>
      <w:r w:rsidRPr="00CE6AFB">
        <w:rPr>
          <w:sz w:val="24"/>
          <w:szCs w:val="24"/>
        </w:rPr>
        <w:t xml:space="preserve"> syndrom eller </w:t>
      </w:r>
      <w:proofErr w:type="spellStart"/>
      <w:r w:rsidRPr="00CE6AFB">
        <w:rPr>
          <w:sz w:val="24"/>
          <w:szCs w:val="24"/>
        </w:rPr>
        <w:t>sucrase-isomaltase</w:t>
      </w:r>
      <w:proofErr w:type="spellEnd"/>
      <w:r w:rsidRPr="00CE6AFB">
        <w:rPr>
          <w:sz w:val="24"/>
          <w:szCs w:val="24"/>
        </w:rPr>
        <w:t xml:space="preserve"> mangel, bør ikke anvende dette lægemiddel.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Interaktion med andre lægemidler og andre former for interaktion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 xml:space="preserve">Der er ikke med den rekommanderede administration og dosering observeret nogen interaktion med </w:t>
      </w:r>
      <w:proofErr w:type="spellStart"/>
      <w:r w:rsidRPr="00CE6AFB">
        <w:rPr>
          <w:sz w:val="24"/>
          <w:szCs w:val="24"/>
        </w:rPr>
        <w:t>carbidopa</w:t>
      </w:r>
      <w:proofErr w:type="spellEnd"/>
      <w:r w:rsidRPr="00CE6AFB">
        <w:rPr>
          <w:sz w:val="24"/>
          <w:szCs w:val="24"/>
        </w:rPr>
        <w:t xml:space="preserve">. </w:t>
      </w:r>
      <w:proofErr w:type="spellStart"/>
      <w:r w:rsidRPr="00CE6AFB">
        <w:rPr>
          <w:sz w:val="24"/>
          <w:szCs w:val="24"/>
        </w:rPr>
        <w:t>Farmakokinetiske</w:t>
      </w:r>
      <w:proofErr w:type="spellEnd"/>
      <w:r w:rsidRPr="00CE6AFB">
        <w:rPr>
          <w:sz w:val="24"/>
          <w:szCs w:val="24"/>
        </w:rPr>
        <w:t xml:space="preserve"> interaktioner med </w:t>
      </w:r>
      <w:proofErr w:type="spellStart"/>
      <w:r w:rsidRPr="00CE6AFB">
        <w:rPr>
          <w:sz w:val="24"/>
          <w:szCs w:val="24"/>
        </w:rPr>
        <w:t>benserazid</w:t>
      </w:r>
      <w:proofErr w:type="spellEnd"/>
      <w:r w:rsidRPr="00CE6AFB">
        <w:rPr>
          <w:sz w:val="24"/>
          <w:szCs w:val="24"/>
        </w:rPr>
        <w:t xml:space="preserve"> er ikke undersøgt.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I enkeltdosis kliniske forsøg med raske frivillige fandtes ikke interaktion mellem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imipramin</w:t>
      </w:r>
      <w:proofErr w:type="spellEnd"/>
      <w:r w:rsidRPr="00CE6AFB">
        <w:rPr>
          <w:sz w:val="24"/>
          <w:szCs w:val="24"/>
        </w:rPr>
        <w:t xml:space="preserve"> eller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moclobemid</w:t>
      </w:r>
      <w:proofErr w:type="spellEnd"/>
      <w:r w:rsidRPr="00CE6AFB">
        <w:rPr>
          <w:sz w:val="24"/>
          <w:szCs w:val="24"/>
        </w:rPr>
        <w:t>. I kliniske forsøg med gentagen dosering hos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Parkinsonpatienter fandtes ikke interaktion med </w:t>
      </w:r>
      <w:proofErr w:type="spellStart"/>
      <w:r w:rsidRPr="00CE6AFB">
        <w:rPr>
          <w:sz w:val="24"/>
          <w:szCs w:val="24"/>
        </w:rPr>
        <w:t>selegilin</w:t>
      </w:r>
      <w:proofErr w:type="spellEnd"/>
      <w:r w:rsidRPr="00CE6AFB">
        <w:rPr>
          <w:sz w:val="24"/>
          <w:szCs w:val="24"/>
        </w:rPr>
        <w:t xml:space="preserve">. Der er stadig begrænset erfaring med samtidig administration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en række lægemidler som MAO-A-</w:t>
      </w:r>
      <w:proofErr w:type="spellStart"/>
      <w:r w:rsidRPr="00CE6AFB">
        <w:rPr>
          <w:sz w:val="24"/>
          <w:szCs w:val="24"/>
        </w:rPr>
        <w:t>hæm</w:t>
      </w:r>
      <w:r>
        <w:rPr>
          <w:sz w:val="24"/>
          <w:szCs w:val="24"/>
        </w:rPr>
        <w:t>m</w:t>
      </w:r>
      <w:r w:rsidRPr="00CE6AFB">
        <w:rPr>
          <w:sz w:val="24"/>
          <w:szCs w:val="24"/>
        </w:rPr>
        <w:t>ere</w:t>
      </w:r>
      <w:proofErr w:type="spellEnd"/>
      <w:r w:rsidRPr="00CE6AFB">
        <w:rPr>
          <w:sz w:val="24"/>
          <w:szCs w:val="24"/>
        </w:rPr>
        <w:t xml:space="preserve">, tricykliske </w:t>
      </w:r>
      <w:proofErr w:type="spellStart"/>
      <w:r w:rsidRPr="00CE6AFB">
        <w:rPr>
          <w:sz w:val="24"/>
          <w:szCs w:val="24"/>
        </w:rPr>
        <w:t>antidepressiva</w:t>
      </w:r>
      <w:proofErr w:type="spellEnd"/>
      <w:r w:rsidRPr="00CE6AFB">
        <w:rPr>
          <w:sz w:val="24"/>
          <w:szCs w:val="24"/>
        </w:rPr>
        <w:t>, noradrenalin re-</w:t>
      </w:r>
      <w:proofErr w:type="spellStart"/>
      <w:r w:rsidRPr="00CE6AFB">
        <w:rPr>
          <w:sz w:val="24"/>
          <w:szCs w:val="24"/>
        </w:rPr>
        <w:t>uptake</w:t>
      </w:r>
      <w:proofErr w:type="spellEnd"/>
      <w:r w:rsidRPr="00CE6AFB">
        <w:rPr>
          <w:sz w:val="24"/>
          <w:szCs w:val="24"/>
        </w:rPr>
        <w:t>-</w:t>
      </w:r>
      <w:proofErr w:type="spellStart"/>
      <w:r w:rsidRPr="00CE6AFB">
        <w:rPr>
          <w:sz w:val="24"/>
          <w:szCs w:val="24"/>
        </w:rPr>
        <w:t>hæmmere</w:t>
      </w:r>
      <w:proofErr w:type="spellEnd"/>
      <w:r w:rsidRPr="00CE6AFB">
        <w:rPr>
          <w:sz w:val="24"/>
          <w:szCs w:val="24"/>
        </w:rPr>
        <w:t xml:space="preserve"> (</w:t>
      </w:r>
      <w:proofErr w:type="spellStart"/>
      <w:r w:rsidRPr="00CE6AFB">
        <w:rPr>
          <w:sz w:val="24"/>
          <w:szCs w:val="24"/>
        </w:rPr>
        <w:t>desipramin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maprotilin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venlafaxin</w:t>
      </w:r>
      <w:proofErr w:type="spellEnd"/>
      <w:r w:rsidRPr="00CE6AFB">
        <w:rPr>
          <w:sz w:val="24"/>
          <w:szCs w:val="24"/>
        </w:rPr>
        <w:t xml:space="preserve">) samt lægemidler, som </w:t>
      </w:r>
      <w:proofErr w:type="spellStart"/>
      <w:r w:rsidRPr="00CE6AFB">
        <w:rPr>
          <w:sz w:val="24"/>
          <w:szCs w:val="24"/>
        </w:rPr>
        <w:t>metaboliseres</w:t>
      </w:r>
      <w:proofErr w:type="spellEnd"/>
      <w:r w:rsidRPr="00CE6AFB">
        <w:rPr>
          <w:sz w:val="24"/>
          <w:szCs w:val="24"/>
        </w:rPr>
        <w:t xml:space="preserve"> af COMT (f.eks. </w:t>
      </w:r>
      <w:proofErr w:type="spellStart"/>
      <w:r w:rsidRPr="00CE6AFB">
        <w:rPr>
          <w:sz w:val="24"/>
          <w:szCs w:val="24"/>
        </w:rPr>
        <w:t>katechol</w:t>
      </w:r>
      <w:proofErr w:type="spellEnd"/>
      <w:r w:rsidRPr="00CE6AFB">
        <w:rPr>
          <w:sz w:val="24"/>
          <w:szCs w:val="24"/>
        </w:rPr>
        <w:t xml:space="preserve">-strukturforbindelser: </w:t>
      </w:r>
      <w:proofErr w:type="spellStart"/>
      <w:r w:rsidRPr="00CE6AFB">
        <w:rPr>
          <w:sz w:val="24"/>
          <w:szCs w:val="24"/>
        </w:rPr>
        <w:t>rimiterol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isoprenalin</w:t>
      </w:r>
      <w:proofErr w:type="spellEnd"/>
      <w:r w:rsidRPr="00CE6AFB">
        <w:rPr>
          <w:sz w:val="24"/>
          <w:szCs w:val="24"/>
        </w:rPr>
        <w:t xml:space="preserve">, adrenalin, noradrenalin, dopamin, </w:t>
      </w:r>
      <w:proofErr w:type="spellStart"/>
      <w:r w:rsidRPr="00CE6AFB">
        <w:rPr>
          <w:sz w:val="24"/>
          <w:szCs w:val="24"/>
        </w:rPr>
        <w:t>dobutamin</w:t>
      </w:r>
      <w:proofErr w:type="spellEnd"/>
      <w:r w:rsidRPr="00CE6AFB">
        <w:rPr>
          <w:sz w:val="24"/>
          <w:szCs w:val="24"/>
        </w:rPr>
        <w:t>, alfa-</w:t>
      </w:r>
      <w:proofErr w:type="spellStart"/>
      <w:r w:rsidRPr="00CE6AFB">
        <w:rPr>
          <w:sz w:val="24"/>
          <w:szCs w:val="24"/>
        </w:rPr>
        <w:t>methyldopa</w:t>
      </w:r>
      <w:proofErr w:type="spellEnd"/>
      <w:r w:rsidRPr="00CE6AFB">
        <w:rPr>
          <w:sz w:val="24"/>
          <w:szCs w:val="24"/>
        </w:rPr>
        <w:t xml:space="preserve">, </w:t>
      </w:r>
      <w:proofErr w:type="spellStart"/>
      <w:r w:rsidRPr="00CE6AFB">
        <w:rPr>
          <w:sz w:val="24"/>
          <w:szCs w:val="24"/>
        </w:rPr>
        <w:t>apomorphin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paroxetin</w:t>
      </w:r>
      <w:proofErr w:type="spellEnd"/>
      <w:r w:rsidRPr="00CE6AFB">
        <w:rPr>
          <w:sz w:val="24"/>
          <w:szCs w:val="24"/>
        </w:rPr>
        <w:t xml:space="preserve">). Der bør udvises forsigtighed, når disse produkter anvendes samtidigt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(se pkt. 4.3 og pkt. 4.4).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kan anvendes med </w:t>
      </w:r>
      <w:proofErr w:type="spellStart"/>
      <w:r w:rsidRPr="00CE6AFB">
        <w:rPr>
          <w:sz w:val="24"/>
          <w:szCs w:val="24"/>
        </w:rPr>
        <w:t>selegilin</w:t>
      </w:r>
      <w:proofErr w:type="spellEnd"/>
      <w:r w:rsidRPr="00CE6AFB">
        <w:rPr>
          <w:sz w:val="24"/>
          <w:szCs w:val="24"/>
        </w:rPr>
        <w:t xml:space="preserve"> (en selektiv MAO-B-hæmmer), men den daglige dosis af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selegilin</w:t>
      </w:r>
      <w:proofErr w:type="spellEnd"/>
      <w:r w:rsidRPr="00CE6AFB">
        <w:rPr>
          <w:sz w:val="24"/>
          <w:szCs w:val="24"/>
        </w:rPr>
        <w:t xml:space="preserve"> bør ikke overstige 10 mg.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kan i mave-tarm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 xml:space="preserve">kanalen danne </w:t>
      </w:r>
      <w:proofErr w:type="spellStart"/>
      <w:r w:rsidRPr="00CE6AFB">
        <w:rPr>
          <w:sz w:val="24"/>
          <w:szCs w:val="24"/>
        </w:rPr>
        <w:t>chelater</w:t>
      </w:r>
      <w:proofErr w:type="spellEnd"/>
      <w:r w:rsidRPr="00CE6AFB">
        <w:rPr>
          <w:sz w:val="24"/>
          <w:szCs w:val="24"/>
        </w:rPr>
        <w:t xml:space="preserve"> med jern.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jernpræparater bør tages med mindst 2–3 timers mellemrum (se pkt. 4.8).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bindes til humant albumin - bindingssted II, hvilket også kan binde adskillige andre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lægemidler inklusive </w:t>
      </w:r>
      <w:proofErr w:type="spellStart"/>
      <w:r w:rsidRPr="00CE6AFB">
        <w:rPr>
          <w:sz w:val="24"/>
          <w:szCs w:val="24"/>
        </w:rPr>
        <w:t>diazepam</w:t>
      </w:r>
      <w:proofErr w:type="spellEnd"/>
      <w:r w:rsidRPr="00CE6AFB">
        <w:rPr>
          <w:sz w:val="24"/>
          <w:szCs w:val="24"/>
        </w:rPr>
        <w:t xml:space="preserve"> og ibuprofen. Kliniske interaktionsforsøg med </w:t>
      </w:r>
      <w:proofErr w:type="spellStart"/>
      <w:r w:rsidRPr="00CE6AFB">
        <w:rPr>
          <w:sz w:val="24"/>
          <w:szCs w:val="24"/>
        </w:rPr>
        <w:t>diazepam</w:t>
      </w:r>
      <w:proofErr w:type="spellEnd"/>
      <w:r w:rsidRPr="00CE6AFB">
        <w:rPr>
          <w:sz w:val="24"/>
          <w:szCs w:val="24"/>
        </w:rPr>
        <w:t xml:space="preserve"> og </w:t>
      </w:r>
      <w:proofErr w:type="spellStart"/>
      <w:r w:rsidRPr="00CE6AFB">
        <w:rPr>
          <w:sz w:val="24"/>
          <w:szCs w:val="24"/>
        </w:rPr>
        <w:t>nonsteroide</w:t>
      </w:r>
      <w:proofErr w:type="spellEnd"/>
      <w:r w:rsidRPr="00CE6AFB">
        <w:rPr>
          <w:sz w:val="24"/>
          <w:szCs w:val="24"/>
        </w:rPr>
        <w:t xml:space="preserve"> antiinflammatoriske lægemidler er ikke udført. Ifølge </w:t>
      </w:r>
      <w:r w:rsidRPr="00CE6AFB">
        <w:rPr>
          <w:i/>
          <w:iCs/>
          <w:sz w:val="24"/>
          <w:szCs w:val="24"/>
        </w:rPr>
        <w:t xml:space="preserve">in </w:t>
      </w:r>
      <w:proofErr w:type="spellStart"/>
      <w:r w:rsidRPr="00CE6AFB">
        <w:rPr>
          <w:i/>
          <w:iCs/>
          <w:sz w:val="24"/>
          <w:szCs w:val="24"/>
        </w:rPr>
        <w:t>vitro</w:t>
      </w:r>
      <w:proofErr w:type="spellEnd"/>
      <w:r w:rsidRPr="00CE6AFB">
        <w:rPr>
          <w:i/>
          <w:iCs/>
          <w:sz w:val="24"/>
          <w:szCs w:val="24"/>
        </w:rPr>
        <w:t xml:space="preserve"> </w:t>
      </w:r>
      <w:r w:rsidRPr="00CE6AFB">
        <w:rPr>
          <w:sz w:val="24"/>
          <w:szCs w:val="24"/>
        </w:rPr>
        <w:t>forsøg forventes signifikant forskydning ikke ved terapeutiske koncentrationer af lægemidlet.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På grund af affinitet til </w:t>
      </w:r>
      <w:proofErr w:type="spellStart"/>
      <w:r w:rsidRPr="00CE6AFB">
        <w:rPr>
          <w:sz w:val="24"/>
          <w:szCs w:val="24"/>
        </w:rPr>
        <w:t>cytokrom</w:t>
      </w:r>
      <w:proofErr w:type="spellEnd"/>
      <w:r w:rsidRPr="00CE6AFB">
        <w:rPr>
          <w:sz w:val="24"/>
          <w:szCs w:val="24"/>
        </w:rPr>
        <w:t xml:space="preserve"> P450 2C9 </w:t>
      </w:r>
      <w:r w:rsidRPr="00CE6AFB">
        <w:rPr>
          <w:i/>
          <w:iCs/>
          <w:sz w:val="24"/>
          <w:szCs w:val="24"/>
        </w:rPr>
        <w:t xml:space="preserve">in </w:t>
      </w:r>
      <w:proofErr w:type="spellStart"/>
      <w:r w:rsidRPr="00CE6AFB">
        <w:rPr>
          <w:i/>
          <w:iCs/>
          <w:sz w:val="24"/>
          <w:szCs w:val="24"/>
        </w:rPr>
        <w:t>vitro</w:t>
      </w:r>
      <w:proofErr w:type="spellEnd"/>
      <w:r w:rsidRPr="00CE6AFB">
        <w:rPr>
          <w:i/>
          <w:iCs/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(se pkt. 5.2), kan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potentielt interferere med lægemidler med metabolisme, der er afhængig af dette </w:t>
      </w:r>
      <w:proofErr w:type="spellStart"/>
      <w:r w:rsidRPr="00CE6AFB">
        <w:rPr>
          <w:sz w:val="24"/>
          <w:szCs w:val="24"/>
        </w:rPr>
        <w:t>isoenzym</w:t>
      </w:r>
      <w:proofErr w:type="spellEnd"/>
      <w:r w:rsidRPr="00CE6AFB">
        <w:rPr>
          <w:sz w:val="24"/>
          <w:szCs w:val="24"/>
        </w:rPr>
        <w:t>, såsom S-</w:t>
      </w:r>
      <w:proofErr w:type="spellStart"/>
      <w:r w:rsidRPr="00CE6AFB">
        <w:rPr>
          <w:sz w:val="24"/>
          <w:szCs w:val="24"/>
        </w:rPr>
        <w:t>warfarin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I et interaktionsstudie med raske forsøgspersoner sås ingen ændringer af S-</w:t>
      </w:r>
      <w:proofErr w:type="spellStart"/>
      <w:r w:rsidRPr="00CE6AFB">
        <w:rPr>
          <w:sz w:val="24"/>
          <w:szCs w:val="24"/>
        </w:rPr>
        <w:t>warfarin</w:t>
      </w:r>
      <w:proofErr w:type="spellEnd"/>
      <w:r w:rsidRPr="00CE6AFB">
        <w:rPr>
          <w:sz w:val="24"/>
          <w:szCs w:val="24"/>
        </w:rPr>
        <w:t xml:space="preserve"> på plasmaniveau, mens AUC for R-</w:t>
      </w:r>
      <w:proofErr w:type="spellStart"/>
      <w:r w:rsidRPr="00CE6AFB">
        <w:rPr>
          <w:sz w:val="24"/>
          <w:szCs w:val="24"/>
        </w:rPr>
        <w:t>warfarin</w:t>
      </w:r>
      <w:proofErr w:type="spellEnd"/>
      <w:r w:rsidRPr="00CE6AFB">
        <w:rPr>
          <w:sz w:val="24"/>
          <w:szCs w:val="24"/>
        </w:rPr>
        <w:t xml:space="preserve"> i gennemsnit øgedes med 18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[CI90 11-26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]. INR-værdierne øgedes i gennemsnit med 13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[CI90 6-19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]. Derfor anbefales kontrol af INR, når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gives til patienter, der samtidig er i behandling med </w:t>
      </w:r>
      <w:proofErr w:type="spellStart"/>
      <w:r w:rsidRPr="00CE6AFB">
        <w:rPr>
          <w:sz w:val="24"/>
          <w:szCs w:val="24"/>
        </w:rPr>
        <w:t>warfarin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Graviditet og amning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B66A4">
        <w:rPr>
          <w:sz w:val="24"/>
          <w:szCs w:val="24"/>
          <w:u w:val="single"/>
        </w:rPr>
        <w:t>Graviditet</w:t>
      </w:r>
      <w:r w:rsidRPr="00CE6AFB">
        <w:rPr>
          <w:sz w:val="24"/>
          <w:szCs w:val="24"/>
        </w:rPr>
        <w:t xml:space="preserve"> 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Der er ikke observeret nogen </w:t>
      </w:r>
      <w:proofErr w:type="spellStart"/>
      <w:r w:rsidRPr="00CE6AFB">
        <w:rPr>
          <w:sz w:val="24"/>
          <w:szCs w:val="24"/>
        </w:rPr>
        <w:t>teratogen</w:t>
      </w:r>
      <w:proofErr w:type="spellEnd"/>
      <w:r w:rsidRPr="00CE6AFB">
        <w:rPr>
          <w:sz w:val="24"/>
          <w:szCs w:val="24"/>
        </w:rPr>
        <w:t xml:space="preserve"> eller primær </w:t>
      </w:r>
      <w:proofErr w:type="spellStart"/>
      <w:r w:rsidRPr="00CE6AFB">
        <w:rPr>
          <w:sz w:val="24"/>
          <w:szCs w:val="24"/>
        </w:rPr>
        <w:t>føtotoksisk</w:t>
      </w:r>
      <w:proofErr w:type="spellEnd"/>
      <w:r w:rsidRPr="00CE6AFB">
        <w:rPr>
          <w:sz w:val="24"/>
          <w:szCs w:val="24"/>
        </w:rPr>
        <w:t xml:space="preserve"> effekt i dyreforsøg, hvor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blev administreret i betydeligt højere doser end de terapeutisk anbefalede doser. Da der ikke er erfaring med administration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til gravide kvinder, bør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ikke anvendes under graviditet.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B66A4">
        <w:rPr>
          <w:sz w:val="24"/>
          <w:szCs w:val="24"/>
          <w:u w:val="single"/>
        </w:rPr>
        <w:t>Amning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I dyreforsøg udskilles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 modermælken. Sikkerheden ved administration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til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børn er ukendt. Kvinder bør derfor ikke amme ved behandling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Virkninger på evnen til at føre motorkøretøj eller betjene maskiner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Entacapone</w:t>
      </w:r>
      <w:proofErr w:type="spellEnd"/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"Mylan"</w:t>
      </w:r>
      <w:r w:rsidRPr="00CE6AFB">
        <w:rPr>
          <w:sz w:val="24"/>
          <w:szCs w:val="24"/>
        </w:rPr>
        <w:t xml:space="preserve"> sammen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kan i væsentlig grad påvirke evnen til at føre motorkøretøj eller betjene maskiner.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kan sammen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forårsage svimmelhed og symptomatisk </w:t>
      </w:r>
      <w:proofErr w:type="spellStart"/>
      <w:r w:rsidRPr="00CE6AFB">
        <w:rPr>
          <w:sz w:val="24"/>
          <w:szCs w:val="24"/>
        </w:rPr>
        <w:t>ortostatisme</w:t>
      </w:r>
      <w:proofErr w:type="spellEnd"/>
      <w:r w:rsidRPr="00CE6AFB">
        <w:rPr>
          <w:sz w:val="24"/>
          <w:szCs w:val="24"/>
        </w:rPr>
        <w:t>. Derfor bør der udvises forsigtighed, når der føres bil eller betjenes maskiner.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Patienter, der er i behandling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 forbindelse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, og hvor døsighed og/eller perioder med pludselige søvnanfald optræder, skal oplyses om, at de skal undlade at føre motorkøretøj og undgå at deltage i aktiviteter (f.eks. betjening af maskiner), hvor nedsat opmærksomhed kan bringe deres eget eller andres liv og helbred i fare. Dette gælder så længe disse bivirkninger optræder (se også pkt. 4.4).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Bivirkninger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 xml:space="preserve">De hyppigste bivirkninger forårsaget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er relateret til øget dopaminerg aktivitet og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optræder hyppigst i begyndelsen af behandlingen. Reduktion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-dosis nedsætter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sværhedsgraden og hyppigheden af disse bivirkninger. Den anden hyppige gruppe af bivirkninger er relateret til mave-tarm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 xml:space="preserve">kanalen og inkluderer kvalme, opkastning, </w:t>
      </w:r>
      <w:proofErr w:type="spellStart"/>
      <w:r w:rsidRPr="00CE6AFB">
        <w:rPr>
          <w:sz w:val="24"/>
          <w:szCs w:val="24"/>
        </w:rPr>
        <w:t>abdominale</w:t>
      </w:r>
      <w:proofErr w:type="spellEnd"/>
      <w:r w:rsidRPr="00CE6AFB">
        <w:rPr>
          <w:sz w:val="24"/>
          <w:szCs w:val="24"/>
        </w:rPr>
        <w:t xml:space="preserve"> smerter, forstoppelse og diarré. Urinen kan blive misfarvet og blive farvet rødbrun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, men denne bivirkning er harmløs.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Sædvanligvis er bivirkninger forårsaget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milde til moderate. I kliniske studier har den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mest almindelige bivirkning, der har ført til afbrydning af behandlingen med </w:t>
      </w:r>
      <w:proofErr w:type="spellStart"/>
      <w:r w:rsidRPr="00CE6AFB">
        <w:rPr>
          <w:sz w:val="24"/>
          <w:szCs w:val="24"/>
        </w:rPr>
        <w:lastRenderedPageBreak/>
        <w:t>entacapon</w:t>
      </w:r>
      <w:proofErr w:type="spellEnd"/>
      <w:r w:rsidRPr="00CE6AFB">
        <w:rPr>
          <w:sz w:val="24"/>
          <w:szCs w:val="24"/>
        </w:rPr>
        <w:t>, været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symptomer fra </w:t>
      </w:r>
      <w:proofErr w:type="spellStart"/>
      <w:r w:rsidRPr="00CE6AFB">
        <w:rPr>
          <w:sz w:val="24"/>
          <w:szCs w:val="24"/>
        </w:rPr>
        <w:t>mave-tarmkanalen</w:t>
      </w:r>
      <w:proofErr w:type="spellEnd"/>
      <w:r w:rsidRPr="00CE6AFB">
        <w:rPr>
          <w:sz w:val="24"/>
          <w:szCs w:val="24"/>
        </w:rPr>
        <w:t xml:space="preserve"> (f.eks. diarré 2,5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) og øget dopaminerg bivirkning af </w:t>
      </w:r>
      <w:proofErr w:type="spellStart"/>
      <w:r w:rsidRPr="00CE6AFB">
        <w:rPr>
          <w:sz w:val="24"/>
          <w:szCs w:val="24"/>
        </w:rPr>
        <w:t>levodopa</w:t>
      </w:r>
      <w:proofErr w:type="spellEnd"/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(f.eks. </w:t>
      </w:r>
      <w:proofErr w:type="spellStart"/>
      <w:r w:rsidRPr="00CE6AFB">
        <w:rPr>
          <w:sz w:val="24"/>
          <w:szCs w:val="24"/>
        </w:rPr>
        <w:t>dyskinesi</w:t>
      </w:r>
      <w:proofErr w:type="spellEnd"/>
      <w:r w:rsidRPr="00CE6AFB">
        <w:rPr>
          <w:sz w:val="24"/>
          <w:szCs w:val="24"/>
        </w:rPr>
        <w:t xml:space="preserve"> 1,7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Dyskinesier</w:t>
      </w:r>
      <w:proofErr w:type="spellEnd"/>
      <w:r w:rsidRPr="00CE6AFB">
        <w:rPr>
          <w:sz w:val="24"/>
          <w:szCs w:val="24"/>
        </w:rPr>
        <w:t xml:space="preserve"> (27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), kvalme (11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), diarré (8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), </w:t>
      </w:r>
      <w:proofErr w:type="spellStart"/>
      <w:r w:rsidRPr="00CE6AFB">
        <w:rPr>
          <w:sz w:val="24"/>
          <w:szCs w:val="24"/>
        </w:rPr>
        <w:t>abdominal</w:t>
      </w:r>
      <w:proofErr w:type="spellEnd"/>
      <w:r w:rsidRPr="00CE6AFB">
        <w:rPr>
          <w:sz w:val="24"/>
          <w:szCs w:val="24"/>
        </w:rPr>
        <w:t xml:space="preserve"> smerte (7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) og mundtørhed (4,2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) blev rapporteret signifikant hyppigere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end placebo i </w:t>
      </w:r>
      <w:proofErr w:type="spellStart"/>
      <w:r w:rsidRPr="00CE6AFB">
        <w:rPr>
          <w:sz w:val="24"/>
          <w:szCs w:val="24"/>
        </w:rPr>
        <w:t>poolede</w:t>
      </w:r>
      <w:proofErr w:type="spellEnd"/>
      <w:r w:rsidRPr="00CE6AFB">
        <w:rPr>
          <w:sz w:val="24"/>
          <w:szCs w:val="24"/>
        </w:rPr>
        <w:t xml:space="preserve"> data fra kliniske studier, hvor 406 patienter har fået den aktive medicin, og 296 patienter har fået placebo.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Visse af disse bivirkninger, som </w:t>
      </w:r>
      <w:proofErr w:type="spellStart"/>
      <w:r w:rsidRPr="00CE6AFB">
        <w:rPr>
          <w:sz w:val="24"/>
          <w:szCs w:val="24"/>
        </w:rPr>
        <w:t>dyskinesier</w:t>
      </w:r>
      <w:proofErr w:type="spellEnd"/>
      <w:r w:rsidRPr="00CE6AFB">
        <w:rPr>
          <w:sz w:val="24"/>
          <w:szCs w:val="24"/>
        </w:rPr>
        <w:t xml:space="preserve">, kvalme og </w:t>
      </w:r>
      <w:proofErr w:type="spellStart"/>
      <w:r w:rsidRPr="00CE6AFB">
        <w:rPr>
          <w:sz w:val="24"/>
          <w:szCs w:val="24"/>
        </w:rPr>
        <w:t>abdominale</w:t>
      </w:r>
      <w:proofErr w:type="spellEnd"/>
      <w:r w:rsidRPr="00CE6AFB">
        <w:rPr>
          <w:sz w:val="24"/>
          <w:szCs w:val="24"/>
        </w:rPr>
        <w:t xml:space="preserve"> smerter, kan være hyppigere ved højere doser (1.400–2.000 mg per dag) end ved lavere doser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Bivirkningerne er sat i rækkefølge under overskrifterne efter frekvens, den hyppigt forekomne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først, ved anvendelse af følgende konvention: Meget almindelig (&gt;1/10); almindelig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(&gt;1/100 til &lt;1/10); ikke almindelig (&gt;1/1.000 til &lt;1/100); sjælden (&gt;1/10.000 til &lt;1/1.000),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meget sjælden (&lt;1/10.000), ikke kendt (kan ikke estimeres ud fra forhåndenværende data</w:t>
      </w:r>
      <w:r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Følgende bivirkningerne er akkumuleret både fra kliniske studier med </w:t>
      </w:r>
      <w:proofErr w:type="spellStart"/>
      <w:r w:rsidRPr="00CE6AFB">
        <w:rPr>
          <w:sz w:val="24"/>
          <w:szCs w:val="24"/>
        </w:rPr>
        <w:t>entacapon</w:t>
      </w:r>
      <w:proofErr w:type="spellEnd"/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og efter markedsføring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Style w:val="Tabel-Gitter"/>
        <w:tblW w:w="8788" w:type="dxa"/>
        <w:tblInd w:w="959" w:type="dxa"/>
        <w:tblLook w:val="01E0" w:firstRow="1" w:lastRow="1" w:firstColumn="1" w:lastColumn="1" w:noHBand="0" w:noVBand="0"/>
      </w:tblPr>
      <w:tblGrid>
        <w:gridCol w:w="8788"/>
      </w:tblGrid>
      <w:tr w:rsidR="00E53868" w:rsidRPr="00CE6AFB" w:rsidTr="003B4BCE">
        <w:trPr>
          <w:trHeight w:val="81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Psykiske forstyrrelser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Almindelig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</w:r>
            <w:proofErr w:type="spellStart"/>
            <w:r w:rsidRPr="00CE6AFB">
              <w:rPr>
                <w:sz w:val="24"/>
                <w:szCs w:val="24"/>
              </w:rPr>
              <w:t>Insomni</w:t>
            </w:r>
            <w:proofErr w:type="spellEnd"/>
            <w:r w:rsidRPr="00CE6AFB">
              <w:rPr>
                <w:sz w:val="24"/>
                <w:szCs w:val="24"/>
              </w:rPr>
              <w:t xml:space="preserve">, hallucinationer, konfusion, </w:t>
            </w:r>
            <w:proofErr w:type="spellStart"/>
            <w:r w:rsidRPr="00CE6AFB">
              <w:rPr>
                <w:sz w:val="24"/>
                <w:szCs w:val="24"/>
              </w:rPr>
              <w:t>paroniria</w:t>
            </w:r>
            <w:proofErr w:type="spellEnd"/>
            <w:r w:rsidRPr="00CE6AFB">
              <w:rPr>
                <w:sz w:val="24"/>
                <w:szCs w:val="24"/>
              </w:rPr>
              <w:t xml:space="preserve"> (mareridt)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sjælden </w:t>
            </w:r>
            <w:r w:rsidRPr="00CE6AFB">
              <w:rPr>
                <w:sz w:val="24"/>
                <w:szCs w:val="24"/>
              </w:rPr>
              <w:tab/>
              <w:t>Agitation</w:t>
            </w:r>
          </w:p>
        </w:tc>
      </w:tr>
      <w:tr w:rsidR="00E53868" w:rsidRPr="00CE6AFB" w:rsidTr="003B4BCE">
        <w:trPr>
          <w:trHeight w:val="109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Nervesystemet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almindelig </w:t>
            </w:r>
            <w:r w:rsidRPr="00CE6AFB">
              <w:rPr>
                <w:sz w:val="24"/>
                <w:szCs w:val="24"/>
              </w:rPr>
              <w:tab/>
            </w:r>
            <w:proofErr w:type="spellStart"/>
            <w:r w:rsidRPr="00CE6AFB">
              <w:rPr>
                <w:sz w:val="24"/>
                <w:szCs w:val="24"/>
              </w:rPr>
              <w:t>Dyskinesi</w:t>
            </w:r>
            <w:proofErr w:type="spellEnd"/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Almindelig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 xml:space="preserve">Forværring af Parkinsons sygdom, svimmelhed, </w:t>
            </w:r>
            <w:proofErr w:type="spellStart"/>
            <w:r w:rsidRPr="00CE6AFB">
              <w:rPr>
                <w:sz w:val="24"/>
                <w:szCs w:val="24"/>
              </w:rPr>
              <w:t>dystoni</w:t>
            </w:r>
            <w:proofErr w:type="spellEnd"/>
            <w:r w:rsidRPr="00CE6A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CE6AFB">
              <w:rPr>
                <w:sz w:val="24"/>
                <w:szCs w:val="24"/>
              </w:rPr>
              <w:t>hyperkinesi</w:t>
            </w:r>
            <w:proofErr w:type="spellEnd"/>
          </w:p>
        </w:tc>
      </w:tr>
      <w:tr w:rsidR="00E53868" w:rsidRPr="00CE6AFB" w:rsidTr="003B4BCE">
        <w:trPr>
          <w:trHeight w:val="109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Hjerte *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Almindelig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 xml:space="preserve">Andre tilfælde af iskæmisk hjertesygdom end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>myokardieinfarkt (f.eks. angina pectoris)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Ikke almindelig </w:t>
            </w:r>
            <w:r w:rsidRPr="00CE6AFB">
              <w:rPr>
                <w:sz w:val="24"/>
                <w:szCs w:val="24"/>
              </w:rPr>
              <w:tab/>
              <w:t>Myokardieinfarkt</w:t>
            </w:r>
          </w:p>
        </w:tc>
      </w:tr>
      <w:tr w:rsidR="00E53868" w:rsidRPr="00CE6AFB" w:rsidTr="003B4BCE">
        <w:trPr>
          <w:trHeight w:val="16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Mave-tarm-kanalen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almindelig </w:t>
            </w:r>
            <w:r w:rsidRPr="00CE6AFB">
              <w:rPr>
                <w:sz w:val="24"/>
                <w:szCs w:val="24"/>
              </w:rPr>
              <w:tab/>
              <w:t>Kvalme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Almindelig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 xml:space="preserve">Diarré, </w:t>
            </w:r>
            <w:proofErr w:type="spellStart"/>
            <w:r w:rsidRPr="00CE6AFB">
              <w:rPr>
                <w:sz w:val="24"/>
                <w:szCs w:val="24"/>
              </w:rPr>
              <w:t>abdominalsmerter</w:t>
            </w:r>
            <w:proofErr w:type="spellEnd"/>
            <w:r w:rsidRPr="00CE6AFB">
              <w:rPr>
                <w:sz w:val="24"/>
                <w:szCs w:val="24"/>
              </w:rPr>
              <w:t xml:space="preserve">, mundtørhed, forstoppelse,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>opkastning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Meget sjælden</w:t>
            </w:r>
            <w:r w:rsidRPr="00CE6AFB">
              <w:rPr>
                <w:sz w:val="24"/>
                <w:szCs w:val="24"/>
              </w:rPr>
              <w:tab/>
              <w:t>Anoreksi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Ikke kendt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>Colitis</w:t>
            </w:r>
          </w:p>
        </w:tc>
      </w:tr>
      <w:tr w:rsidR="00E53868" w:rsidRPr="00CE6AFB" w:rsidTr="003B4BCE">
        <w:trPr>
          <w:trHeight w:val="81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Lever og galdeveje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Sjælden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>Unormale leverfunktionstests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Ikke kendt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 xml:space="preserve">Leverbetændelse hovedsagelig </w:t>
            </w:r>
            <w:proofErr w:type="spellStart"/>
            <w:r w:rsidRPr="00CE6AFB">
              <w:rPr>
                <w:sz w:val="24"/>
                <w:szCs w:val="24"/>
              </w:rPr>
              <w:t>kolestase</w:t>
            </w:r>
            <w:proofErr w:type="spellEnd"/>
            <w:r w:rsidRPr="00CE6AFB">
              <w:rPr>
                <w:sz w:val="24"/>
                <w:szCs w:val="24"/>
              </w:rPr>
              <w:t xml:space="preserve"> (se pkt.4.4)</w:t>
            </w:r>
          </w:p>
        </w:tc>
      </w:tr>
      <w:tr w:rsidR="00E53868" w:rsidRPr="00CE6AFB" w:rsidTr="003B4BCE">
        <w:trPr>
          <w:trHeight w:val="109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Hud og subkutane væv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Sjælden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</w:r>
            <w:proofErr w:type="spellStart"/>
            <w:r w:rsidRPr="00CE6AFB">
              <w:rPr>
                <w:sz w:val="24"/>
                <w:szCs w:val="24"/>
              </w:rPr>
              <w:t>Erytematøst</w:t>
            </w:r>
            <w:proofErr w:type="spellEnd"/>
            <w:r w:rsidRPr="00CE6AFB">
              <w:rPr>
                <w:sz w:val="24"/>
                <w:szCs w:val="24"/>
              </w:rPr>
              <w:t xml:space="preserve"> og </w:t>
            </w:r>
            <w:proofErr w:type="spellStart"/>
            <w:r w:rsidRPr="00CE6AFB">
              <w:rPr>
                <w:sz w:val="24"/>
                <w:szCs w:val="24"/>
              </w:rPr>
              <w:t>makulopapuløst</w:t>
            </w:r>
            <w:proofErr w:type="spellEnd"/>
            <w:r w:rsidRPr="00CE6AFB">
              <w:rPr>
                <w:sz w:val="24"/>
                <w:szCs w:val="24"/>
              </w:rPr>
              <w:t xml:space="preserve"> udslæt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sjælden </w:t>
            </w:r>
            <w:r w:rsidRPr="00CE6AFB">
              <w:rPr>
                <w:sz w:val="24"/>
                <w:szCs w:val="24"/>
              </w:rPr>
              <w:tab/>
            </w:r>
            <w:proofErr w:type="spellStart"/>
            <w:r w:rsidRPr="00CE6AFB">
              <w:rPr>
                <w:sz w:val="24"/>
                <w:szCs w:val="24"/>
              </w:rPr>
              <w:t>Urticaria</w:t>
            </w:r>
            <w:proofErr w:type="spellEnd"/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Ikke kendt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>Misfarvning af hud, hår, skæg og negle</w:t>
            </w:r>
          </w:p>
        </w:tc>
      </w:tr>
      <w:tr w:rsidR="00E53868" w:rsidRPr="00CE6AFB" w:rsidTr="003B4BCE">
        <w:trPr>
          <w:trHeight w:val="5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Nyrer og urinveje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almindelig </w:t>
            </w:r>
            <w:r w:rsidRPr="00CE6AFB">
              <w:rPr>
                <w:sz w:val="24"/>
                <w:szCs w:val="24"/>
              </w:rPr>
              <w:tab/>
              <w:t>Farveændring af urin</w:t>
            </w:r>
          </w:p>
        </w:tc>
      </w:tr>
      <w:tr w:rsidR="00E53868" w:rsidRPr="00CE6AFB" w:rsidTr="003B4BCE">
        <w:trPr>
          <w:trHeight w:val="81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Almene symptomer og reaktioner på administrationsstedet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Almindelig </w:t>
            </w:r>
            <w:r w:rsidRPr="00CE6AFB">
              <w:rPr>
                <w:sz w:val="24"/>
                <w:szCs w:val="24"/>
              </w:rPr>
              <w:tab/>
            </w:r>
            <w:r w:rsidRPr="00CE6AFB">
              <w:rPr>
                <w:sz w:val="24"/>
                <w:szCs w:val="24"/>
              </w:rPr>
              <w:tab/>
              <w:t>Træthed, øget svedtendens, fald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 xml:space="preserve">Meget sjælden </w:t>
            </w:r>
            <w:r w:rsidRPr="00CE6AFB">
              <w:rPr>
                <w:sz w:val="24"/>
                <w:szCs w:val="24"/>
              </w:rPr>
              <w:tab/>
              <w:t>Vægttab</w:t>
            </w:r>
          </w:p>
        </w:tc>
      </w:tr>
    </w:tbl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b/>
          <w:bCs/>
          <w:sz w:val="24"/>
          <w:szCs w:val="24"/>
        </w:rPr>
        <w:lastRenderedPageBreak/>
        <w:t xml:space="preserve">* </w:t>
      </w:r>
      <w:proofErr w:type="spellStart"/>
      <w:r w:rsidRPr="00CE6AFB">
        <w:rPr>
          <w:sz w:val="24"/>
          <w:szCs w:val="24"/>
        </w:rPr>
        <w:t>Incidensraterne</w:t>
      </w:r>
      <w:proofErr w:type="spellEnd"/>
      <w:r w:rsidRPr="00CE6AFB">
        <w:rPr>
          <w:sz w:val="24"/>
          <w:szCs w:val="24"/>
        </w:rPr>
        <w:t xml:space="preserve"> af myokardieinfarkt og andre tilfælde af iskæmisk hjertesygdom (henholdsvis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0,43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og 1,54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) stammer fra en analyse af 13 dobbeltblinde undersøgelser med 2.082 patienter med motoriske end-of-</w:t>
      </w:r>
      <w:proofErr w:type="spellStart"/>
      <w:r w:rsidRPr="00CE6AFB">
        <w:rPr>
          <w:sz w:val="24"/>
          <w:szCs w:val="24"/>
        </w:rPr>
        <w:t>dose</w:t>
      </w:r>
      <w:proofErr w:type="spellEnd"/>
      <w:r w:rsidRPr="00CE6AFB">
        <w:rPr>
          <w:sz w:val="24"/>
          <w:szCs w:val="24"/>
        </w:rPr>
        <w:t xml:space="preserve"> fluktuationer, der fik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 forbindelse med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er i isolerede tilfælde blevet sat i forbindelse med døsighed i dagtimerne og episoder, hvor patienten pludselig falder i søvn.</w:t>
      </w:r>
    </w:p>
    <w:p w:rsidR="00E53868" w:rsidRPr="00CE6AFB" w:rsidRDefault="00E53868" w:rsidP="00E53868">
      <w:pPr>
        <w:autoSpaceDE w:val="0"/>
        <w:autoSpaceDN w:val="0"/>
        <w:adjustRightInd w:val="0"/>
        <w:rPr>
          <w:sz w:val="24"/>
          <w:szCs w:val="24"/>
        </w:rPr>
      </w:pPr>
    </w:p>
    <w:p w:rsidR="00E53868" w:rsidRPr="00E31F09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31F09">
        <w:rPr>
          <w:sz w:val="24"/>
          <w:szCs w:val="24"/>
          <w:u w:val="single"/>
        </w:rPr>
        <w:t>Patologiske vane- og impulshandlinger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35EB1">
        <w:rPr>
          <w:sz w:val="24"/>
          <w:szCs w:val="24"/>
        </w:rPr>
        <w:t xml:space="preserve">Patologisk spillelyst, forøget libido, </w:t>
      </w:r>
      <w:proofErr w:type="spellStart"/>
      <w:r w:rsidRPr="00835EB1">
        <w:rPr>
          <w:sz w:val="24"/>
          <w:szCs w:val="24"/>
        </w:rPr>
        <w:t>hyperseksualitet</w:t>
      </w:r>
      <w:proofErr w:type="spellEnd"/>
      <w:r w:rsidRPr="00835EB1">
        <w:rPr>
          <w:sz w:val="24"/>
          <w:szCs w:val="24"/>
        </w:rPr>
        <w:t xml:space="preserve">, </w:t>
      </w:r>
      <w:proofErr w:type="spellStart"/>
      <w:r w:rsidRPr="00835EB1">
        <w:rPr>
          <w:sz w:val="24"/>
          <w:szCs w:val="24"/>
        </w:rPr>
        <w:t>kompulsiv</w:t>
      </w:r>
      <w:proofErr w:type="spellEnd"/>
      <w:r w:rsidRPr="00835EB1">
        <w:rPr>
          <w:sz w:val="24"/>
          <w:szCs w:val="24"/>
        </w:rPr>
        <w:t xml:space="preserve"> brug af penge og indkøb, spiseorgie og tvangsspisning kan opstå hos patienter, </w:t>
      </w:r>
      <w:r>
        <w:rPr>
          <w:sz w:val="24"/>
          <w:szCs w:val="24"/>
        </w:rPr>
        <w:t xml:space="preserve">som bliver </w:t>
      </w:r>
      <w:r w:rsidRPr="00835EB1">
        <w:rPr>
          <w:sz w:val="24"/>
          <w:szCs w:val="24"/>
        </w:rPr>
        <w:t>behandle</w:t>
      </w:r>
      <w:r>
        <w:rPr>
          <w:sz w:val="24"/>
          <w:szCs w:val="24"/>
        </w:rPr>
        <w:t>t</w:t>
      </w:r>
      <w:r w:rsidRPr="00835EB1">
        <w:rPr>
          <w:sz w:val="24"/>
          <w:szCs w:val="24"/>
        </w:rPr>
        <w:t xml:space="preserve"> med dopaminagonister og/eller andre </w:t>
      </w:r>
      <w:proofErr w:type="spellStart"/>
      <w:r w:rsidRPr="00835EB1">
        <w:rPr>
          <w:sz w:val="24"/>
          <w:szCs w:val="24"/>
        </w:rPr>
        <w:t>dopaminerge</w:t>
      </w:r>
      <w:proofErr w:type="spellEnd"/>
      <w:r w:rsidRPr="00835EB1">
        <w:rPr>
          <w:sz w:val="24"/>
          <w:szCs w:val="24"/>
        </w:rPr>
        <w:t xml:space="preserve"> behandlinger </w:t>
      </w:r>
      <w:r>
        <w:rPr>
          <w:sz w:val="24"/>
          <w:szCs w:val="24"/>
        </w:rPr>
        <w:t xml:space="preserve">såsom </w:t>
      </w:r>
      <w:proofErr w:type="spellStart"/>
      <w:r>
        <w:rPr>
          <w:sz w:val="24"/>
          <w:szCs w:val="24"/>
        </w:rPr>
        <w:t>Entacapone</w:t>
      </w:r>
      <w:proofErr w:type="spellEnd"/>
      <w:r>
        <w:rPr>
          <w:sz w:val="24"/>
          <w:szCs w:val="24"/>
        </w:rPr>
        <w:t xml:space="preserve"> Mylan i kombination med </w:t>
      </w:r>
      <w:proofErr w:type="spellStart"/>
      <w:r>
        <w:rPr>
          <w:sz w:val="24"/>
          <w:szCs w:val="24"/>
        </w:rPr>
        <w:t>levodopa</w:t>
      </w:r>
      <w:proofErr w:type="spellEnd"/>
      <w:r w:rsidRPr="00835EB1">
        <w:rPr>
          <w:sz w:val="24"/>
          <w:szCs w:val="24"/>
        </w:rPr>
        <w:t xml:space="preserve"> (se pkt</w:t>
      </w:r>
      <w:r>
        <w:rPr>
          <w:sz w:val="24"/>
          <w:szCs w:val="24"/>
        </w:rPr>
        <w:t>.</w:t>
      </w:r>
      <w:r w:rsidRPr="00835EB1">
        <w:rPr>
          <w:sz w:val="24"/>
          <w:szCs w:val="24"/>
        </w:rPr>
        <w:t xml:space="preserve"> 4.4).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Enkeltstående tilfælde af MNS er indrapporteret efter pludselig nedsættelse eller afbrydelse af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og anden tilsvarende dopaminerg behandling.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Enkeltstående tilfælde af </w:t>
      </w:r>
      <w:proofErr w:type="spellStart"/>
      <w:r w:rsidRPr="00CE6AFB">
        <w:rPr>
          <w:sz w:val="24"/>
          <w:szCs w:val="24"/>
        </w:rPr>
        <w:t>rhabdomyolyse</w:t>
      </w:r>
      <w:proofErr w:type="spellEnd"/>
      <w:r w:rsidRPr="00CE6AFB">
        <w:rPr>
          <w:sz w:val="24"/>
          <w:szCs w:val="24"/>
        </w:rPr>
        <w:t xml:space="preserve"> er indrapporteret.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8F49E1" w:rsidRDefault="00E53868" w:rsidP="00E53868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E53868" w:rsidRPr="008F49E1" w:rsidRDefault="00E53868" w:rsidP="00E53868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A854EF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A854EF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E53868" w:rsidRPr="008F49E1" w:rsidRDefault="00E53868" w:rsidP="00E53868">
      <w:pPr>
        <w:ind w:left="851"/>
        <w:rPr>
          <w:sz w:val="24"/>
          <w:szCs w:val="24"/>
          <w:lang w:eastAsia="da-DK"/>
        </w:rPr>
      </w:pPr>
    </w:p>
    <w:p w:rsidR="00E53868" w:rsidRPr="007A276A" w:rsidRDefault="00E53868" w:rsidP="00E53868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E53868" w:rsidRPr="007A276A" w:rsidRDefault="00E53868" w:rsidP="00E53868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E53868" w:rsidRPr="007A276A" w:rsidRDefault="00E53868" w:rsidP="00E53868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E53868" w:rsidRPr="00995012" w:rsidRDefault="00E53868" w:rsidP="00A854EF">
      <w:pPr>
        <w:ind w:left="851"/>
        <w:rPr>
          <w:sz w:val="24"/>
          <w:szCs w:val="24"/>
          <w:lang w:val="en-US" w:eastAsia="da-DK"/>
        </w:rPr>
      </w:pPr>
      <w:proofErr w:type="spellStart"/>
      <w:r w:rsidRPr="007A276A">
        <w:rPr>
          <w:sz w:val="24"/>
          <w:szCs w:val="24"/>
          <w:lang w:val="en-US" w:eastAsia="da-DK"/>
        </w:rPr>
        <w:t>Websted</w:t>
      </w:r>
      <w:proofErr w:type="spellEnd"/>
      <w:r w:rsidRPr="007A276A">
        <w:rPr>
          <w:sz w:val="24"/>
          <w:szCs w:val="24"/>
          <w:lang w:val="en-US" w:eastAsia="da-DK"/>
        </w:rPr>
        <w:t xml:space="preserve">: </w:t>
      </w:r>
      <w:hyperlink r:id="rId8" w:history="1">
        <w:r w:rsidRPr="007A276A">
          <w:rPr>
            <w:color w:val="0000FF"/>
            <w:sz w:val="24"/>
            <w:u w:val="single"/>
            <w:lang w:val="en-US" w:eastAsia="da-DK"/>
          </w:rPr>
          <w:t>www.meldenbivirkning.dk</w:t>
        </w:r>
      </w:hyperlink>
    </w:p>
    <w:p w:rsidR="00E53868" w:rsidRPr="00B67DAD" w:rsidRDefault="00E53868" w:rsidP="00E53868">
      <w:pPr>
        <w:pStyle w:val="Sidehoved"/>
        <w:tabs>
          <w:tab w:val="left" w:pos="851"/>
        </w:tabs>
        <w:ind w:left="851" w:hanging="851"/>
        <w:rPr>
          <w:szCs w:val="24"/>
          <w:lang w:val="en-US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Overdosering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Data efter markedsføring inkluderer enkeltstående tilfælde af overdosering, hvor den højest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rapporterede daglige dosis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var 16.000 mg. De akutte symptomer og tegn i disse tilfælde af overdosering var konfusion, nedsat aktivitet, døsighed, </w:t>
      </w:r>
      <w:proofErr w:type="spellStart"/>
      <w:r w:rsidRPr="00CE6AFB">
        <w:rPr>
          <w:sz w:val="24"/>
          <w:szCs w:val="24"/>
        </w:rPr>
        <w:t>hypotoni</w:t>
      </w:r>
      <w:proofErr w:type="spellEnd"/>
      <w:r w:rsidRPr="00CE6AFB">
        <w:rPr>
          <w:sz w:val="24"/>
          <w:szCs w:val="24"/>
        </w:rPr>
        <w:t xml:space="preserve">, misfarvning af hud samt </w:t>
      </w:r>
      <w:proofErr w:type="spellStart"/>
      <w:r w:rsidRPr="00CE6AFB">
        <w:rPr>
          <w:sz w:val="24"/>
          <w:szCs w:val="24"/>
        </w:rPr>
        <w:t>urticaria</w:t>
      </w:r>
      <w:proofErr w:type="spellEnd"/>
      <w:r w:rsidRPr="00CE6AFB">
        <w:rPr>
          <w:sz w:val="24"/>
          <w:szCs w:val="24"/>
        </w:rPr>
        <w:t>. Behandling af en akut overdosis er symptomatisk.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Udlevering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FARMAKOLOGISKE EGENSKABER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2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Terapeutisk klassifikation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ATC-kode kode: N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BX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02.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Antiparkinsonmidler</w:t>
      </w:r>
      <w:proofErr w:type="spellEnd"/>
      <w:r w:rsidRPr="00CE6AFB">
        <w:rPr>
          <w:sz w:val="24"/>
          <w:szCs w:val="24"/>
        </w:rPr>
        <w:t xml:space="preserve">, andre </w:t>
      </w:r>
      <w:proofErr w:type="spellStart"/>
      <w:r w:rsidRPr="00CE6AFB">
        <w:rPr>
          <w:sz w:val="24"/>
          <w:szCs w:val="24"/>
        </w:rPr>
        <w:t>dopaminerge</w:t>
      </w:r>
      <w:proofErr w:type="spellEnd"/>
      <w:r w:rsidRPr="00CE6AFB">
        <w:rPr>
          <w:sz w:val="24"/>
          <w:szCs w:val="24"/>
        </w:rPr>
        <w:t xml:space="preserve"> stoffer</w:t>
      </w:r>
      <w:r>
        <w:rPr>
          <w:sz w:val="24"/>
          <w:szCs w:val="24"/>
        </w:rPr>
        <w:t>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CE6AFB">
        <w:rPr>
          <w:b/>
          <w:sz w:val="24"/>
          <w:szCs w:val="24"/>
        </w:rPr>
        <w:t>Farmakodynamiske</w:t>
      </w:r>
      <w:proofErr w:type="spellEnd"/>
      <w:r w:rsidRPr="00CE6AFB">
        <w:rPr>
          <w:b/>
          <w:sz w:val="24"/>
          <w:szCs w:val="24"/>
        </w:rPr>
        <w:t xml:space="preserve"> egenskaber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B66A4">
        <w:rPr>
          <w:sz w:val="24"/>
          <w:szCs w:val="24"/>
          <w:u w:val="single"/>
        </w:rPr>
        <w:t>Virkningsmekanisme</w:t>
      </w:r>
      <w:r w:rsidRPr="00CE6AFB">
        <w:rPr>
          <w:sz w:val="24"/>
          <w:szCs w:val="24"/>
        </w:rPr>
        <w:t xml:space="preserve">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tilhører en ny terapeutisk klasse, </w:t>
      </w:r>
      <w:proofErr w:type="spellStart"/>
      <w:r w:rsidRPr="00CE6AFB">
        <w:rPr>
          <w:sz w:val="24"/>
          <w:szCs w:val="24"/>
        </w:rPr>
        <w:t>catechol</w:t>
      </w:r>
      <w:proofErr w:type="spellEnd"/>
      <w:r w:rsidRPr="00CE6AFB">
        <w:rPr>
          <w:sz w:val="24"/>
          <w:szCs w:val="24"/>
        </w:rPr>
        <w:t>-O-metyl-transferase (COMT)-</w:t>
      </w:r>
      <w:proofErr w:type="spellStart"/>
      <w:r w:rsidRPr="00CE6AFB">
        <w:rPr>
          <w:sz w:val="24"/>
          <w:szCs w:val="24"/>
        </w:rPr>
        <w:t>hæmmere</w:t>
      </w:r>
      <w:proofErr w:type="spellEnd"/>
      <w:r w:rsidRPr="00CE6AFB">
        <w:rPr>
          <w:sz w:val="24"/>
          <w:szCs w:val="24"/>
        </w:rPr>
        <w:t xml:space="preserve">. Det er en reversibel, specifik og primært perifert virkende COMT-hæmmer udviklet til samtidig administration med </w:t>
      </w:r>
      <w:proofErr w:type="spellStart"/>
      <w:r w:rsidRPr="00CE6AFB">
        <w:rPr>
          <w:sz w:val="24"/>
          <w:szCs w:val="24"/>
        </w:rPr>
        <w:t>levodopapræparater</w:t>
      </w:r>
      <w:proofErr w:type="spellEnd"/>
      <w:r w:rsidRPr="00CE6AFB">
        <w:rPr>
          <w:sz w:val="24"/>
          <w:szCs w:val="24"/>
        </w:rPr>
        <w:t xml:space="preserve">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nedsætter det metaboliske tab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til 3-Ometyldopa (3-OMD) via en </w:t>
      </w:r>
      <w:proofErr w:type="spellStart"/>
      <w:r w:rsidRPr="00CE6AFB">
        <w:rPr>
          <w:sz w:val="24"/>
          <w:szCs w:val="24"/>
        </w:rPr>
        <w:t>inhibering</w:t>
      </w:r>
      <w:proofErr w:type="spellEnd"/>
      <w:r w:rsidRPr="00CE6AFB">
        <w:rPr>
          <w:sz w:val="24"/>
          <w:szCs w:val="24"/>
        </w:rPr>
        <w:t xml:space="preserve"> af COMT- </w:t>
      </w:r>
      <w:r w:rsidRPr="00CE6AFB">
        <w:rPr>
          <w:sz w:val="24"/>
          <w:szCs w:val="24"/>
        </w:rPr>
        <w:lastRenderedPageBreak/>
        <w:t xml:space="preserve">enzymet. Dette medfører højere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AUC. Mængden af tilgængelig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 xml:space="preserve"> til hjernen øges. Dermed forlænger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den kliniske effekt af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B66A4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CB66A4">
        <w:rPr>
          <w:sz w:val="24"/>
          <w:szCs w:val="24"/>
          <w:u w:val="single"/>
        </w:rPr>
        <w:t>Farmakodynamisk</w:t>
      </w:r>
      <w:proofErr w:type="spellEnd"/>
      <w:r w:rsidRPr="00CB66A4">
        <w:rPr>
          <w:sz w:val="24"/>
          <w:szCs w:val="24"/>
          <w:u w:val="single"/>
        </w:rPr>
        <w:t xml:space="preserve"> virkning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inhiberer primært COMT-enzymet i de perifere væv. COMT-</w:t>
      </w:r>
      <w:proofErr w:type="spellStart"/>
      <w:r w:rsidRPr="00CE6AFB">
        <w:rPr>
          <w:sz w:val="24"/>
          <w:szCs w:val="24"/>
        </w:rPr>
        <w:t>inhiberingen</w:t>
      </w:r>
      <w:proofErr w:type="spellEnd"/>
      <w:r w:rsidRPr="00CE6AFB">
        <w:rPr>
          <w:sz w:val="24"/>
          <w:szCs w:val="24"/>
        </w:rPr>
        <w:t xml:space="preserve"> i de røde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blodlegemer følger tæt plasmakoncentrationen, hvilket indikerer den reversible natur af COMT-hæmningen.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CE6AFB">
        <w:rPr>
          <w:sz w:val="24"/>
          <w:szCs w:val="24"/>
          <w:u w:val="single"/>
        </w:rPr>
        <w:t xml:space="preserve">Klinisk </w:t>
      </w:r>
      <w:r>
        <w:rPr>
          <w:sz w:val="24"/>
          <w:szCs w:val="24"/>
          <w:u w:val="single"/>
        </w:rPr>
        <w:t>virkning og sikkerhed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I to fase III dobbelt-blindede undersøgelser blev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eller placebo givet med hver dosis af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levodopa</w:t>
      </w:r>
      <w:proofErr w:type="spellEnd"/>
      <w:r w:rsidRPr="00CE6AFB">
        <w:rPr>
          <w:sz w:val="24"/>
          <w:szCs w:val="24"/>
        </w:rPr>
        <w:t>/</w:t>
      </w:r>
      <w:proofErr w:type="spellStart"/>
      <w:r w:rsidRPr="00CE6AFB">
        <w:rPr>
          <w:sz w:val="24"/>
          <w:szCs w:val="24"/>
        </w:rPr>
        <w:t>dopa-decarboxylasehæmmere</w:t>
      </w:r>
      <w:proofErr w:type="spellEnd"/>
      <w:r w:rsidRPr="00CE6AFB">
        <w:rPr>
          <w:sz w:val="24"/>
          <w:szCs w:val="24"/>
        </w:rPr>
        <w:t xml:space="preserve"> til i alt 376 patienter med Parkinsons sygdom og end-of-</w:t>
      </w:r>
      <w:proofErr w:type="spellStart"/>
      <w:r w:rsidRPr="00CE6AFB">
        <w:rPr>
          <w:sz w:val="24"/>
          <w:szCs w:val="24"/>
        </w:rPr>
        <w:t>dose</w:t>
      </w:r>
      <w:proofErr w:type="spellEnd"/>
      <w:r w:rsidRPr="00CE6AFB">
        <w:rPr>
          <w:sz w:val="24"/>
          <w:szCs w:val="24"/>
        </w:rPr>
        <w:t xml:space="preserve"> fluktuationer. Resultaterne fremgår af Tabel 1. I studie I blev daglig ON tid (timer) målt ud fra hjemmedagbøger og i studie II andelen af daglig ON-tid.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CE6AFB">
        <w:rPr>
          <w:b/>
          <w:bCs/>
          <w:sz w:val="24"/>
          <w:szCs w:val="24"/>
        </w:rPr>
        <w:t xml:space="preserve">Tabel 1: Daglig ON tid (middelværdi </w:t>
      </w:r>
      <w:r w:rsidRPr="00CE6AFB">
        <w:rPr>
          <w:sz w:val="24"/>
          <w:szCs w:val="24"/>
        </w:rPr>
        <w:t>±</w:t>
      </w:r>
      <w:r w:rsidRPr="00CE6AFB">
        <w:rPr>
          <w:b/>
          <w:bCs/>
          <w:sz w:val="24"/>
          <w:szCs w:val="24"/>
        </w:rPr>
        <w:t>SD)</w:t>
      </w:r>
    </w:p>
    <w:tbl>
      <w:tblPr>
        <w:tblStyle w:val="Tabel-Gitter"/>
        <w:tblW w:w="8788" w:type="dxa"/>
        <w:tblInd w:w="959" w:type="dxa"/>
        <w:tblLook w:val="01E0" w:firstRow="1" w:lastRow="1" w:firstColumn="1" w:lastColumn="1" w:noHBand="0" w:noVBand="0"/>
      </w:tblPr>
      <w:tblGrid>
        <w:gridCol w:w="1843"/>
        <w:gridCol w:w="2295"/>
        <w:gridCol w:w="2295"/>
        <w:gridCol w:w="2355"/>
      </w:tblGrid>
      <w:tr w:rsidR="00E53868" w:rsidRPr="00CE6AFB" w:rsidTr="003B4BCE">
        <w:trPr>
          <w:trHeight w:val="278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Undersøgelse I: Daglig ON tid (timer)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CE6AFB">
              <w:rPr>
                <w:b/>
                <w:bCs/>
                <w:sz w:val="24"/>
                <w:szCs w:val="24"/>
              </w:rPr>
              <w:t>Entacapon</w:t>
            </w:r>
            <w:proofErr w:type="spellEnd"/>
            <w:r w:rsidRPr="00CE6AFB">
              <w:rPr>
                <w:b/>
                <w:bCs/>
                <w:sz w:val="24"/>
                <w:szCs w:val="24"/>
              </w:rPr>
              <w:t xml:space="preserve"> (n=85)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Placebo (n=86)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Forskel</w:t>
            </w: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Baseline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9,3±2,2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9,2±2,5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Uge 8–24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10,7±2,2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9,4±2,6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1 t 20 min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(8,3</w:t>
            </w:r>
            <w:r>
              <w:rPr>
                <w:sz w:val="24"/>
                <w:szCs w:val="24"/>
              </w:rPr>
              <w:t xml:space="preserve"> %</w:t>
            </w:r>
            <w:r w:rsidRPr="00CE6AFB">
              <w:rPr>
                <w:sz w:val="24"/>
                <w:szCs w:val="24"/>
              </w:rPr>
              <w:t>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CI95</w:t>
            </w:r>
            <w:r>
              <w:rPr>
                <w:sz w:val="24"/>
                <w:szCs w:val="24"/>
              </w:rPr>
              <w:t xml:space="preserve"> %</w:t>
            </w:r>
            <w:r w:rsidRPr="00CE6AFB">
              <w:rPr>
                <w:sz w:val="24"/>
                <w:szCs w:val="24"/>
              </w:rPr>
              <w:t>, 45 min, 1 t 56 min</w:t>
            </w:r>
          </w:p>
        </w:tc>
      </w:tr>
      <w:tr w:rsidR="00E53868" w:rsidRPr="00CE6AFB" w:rsidTr="003B4BCE">
        <w:trPr>
          <w:trHeight w:val="274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 xml:space="preserve">Undersøgelse II: Daglig ON tid </w:t>
            </w:r>
            <w:proofErr w:type="gramStart"/>
            <w:r w:rsidRPr="00CE6AFB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  <w:proofErr w:type="gramEnd"/>
            <w:r w:rsidRPr="00CE6AFB">
              <w:rPr>
                <w:b/>
                <w:bCs/>
                <w:sz w:val="24"/>
                <w:szCs w:val="24"/>
              </w:rPr>
              <w:t>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CE6AFB">
              <w:rPr>
                <w:b/>
                <w:bCs/>
                <w:sz w:val="24"/>
                <w:szCs w:val="24"/>
              </w:rPr>
              <w:t>Entacapon</w:t>
            </w:r>
            <w:proofErr w:type="spellEnd"/>
            <w:r w:rsidRPr="00CE6AFB">
              <w:rPr>
                <w:b/>
                <w:bCs/>
                <w:sz w:val="24"/>
                <w:szCs w:val="24"/>
              </w:rPr>
              <w:t xml:space="preserve"> (n=103)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Placebo (n=102)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Forskel</w:t>
            </w: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Baseline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60,0±15,2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60,8±14,0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53868" w:rsidRPr="00CE6AFB" w:rsidTr="003B4BC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b/>
                <w:bCs/>
                <w:sz w:val="24"/>
                <w:szCs w:val="24"/>
              </w:rPr>
              <w:t>Uge 8–24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66,8±14,5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62,8±16,8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 xml:space="preserve"> %</w:t>
            </w:r>
            <w:r w:rsidRPr="00CE6AFB">
              <w:rPr>
                <w:sz w:val="24"/>
                <w:szCs w:val="24"/>
              </w:rPr>
              <w:t xml:space="preserve"> (0 t 35 min)</w:t>
            </w:r>
          </w:p>
          <w:p w:rsidR="00E53868" w:rsidRPr="00CE6AFB" w:rsidRDefault="00E53868" w:rsidP="003B4B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E6AFB">
              <w:rPr>
                <w:sz w:val="24"/>
                <w:szCs w:val="24"/>
              </w:rPr>
              <w:t>CI95</w:t>
            </w:r>
            <w:r>
              <w:rPr>
                <w:sz w:val="24"/>
                <w:szCs w:val="24"/>
              </w:rPr>
              <w:t xml:space="preserve"> %</w:t>
            </w:r>
            <w:r w:rsidRPr="00CE6AFB">
              <w:rPr>
                <w:sz w:val="24"/>
                <w:szCs w:val="24"/>
              </w:rPr>
              <w:t>, 0,93</w:t>
            </w:r>
            <w:r>
              <w:rPr>
                <w:sz w:val="24"/>
                <w:szCs w:val="24"/>
              </w:rPr>
              <w:t xml:space="preserve"> %</w:t>
            </w:r>
            <w:r w:rsidRPr="00CE6AFB">
              <w:rPr>
                <w:sz w:val="24"/>
                <w:szCs w:val="24"/>
              </w:rPr>
              <w:t>, 7,97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</w:tbl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Der var et tilsvarende fald i </w:t>
      </w:r>
      <w:proofErr w:type="gramStart"/>
      <w:r w:rsidRPr="00CE6AFB">
        <w:rPr>
          <w:sz w:val="24"/>
          <w:szCs w:val="24"/>
        </w:rPr>
        <w:t>OFF tid</w:t>
      </w:r>
      <w:proofErr w:type="gram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Den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-vise ændr</w:t>
      </w:r>
      <w:r>
        <w:rPr>
          <w:sz w:val="24"/>
          <w:szCs w:val="24"/>
        </w:rPr>
        <w:t xml:space="preserve">ing fra baseline i </w:t>
      </w:r>
      <w:proofErr w:type="gramStart"/>
      <w:r>
        <w:rPr>
          <w:sz w:val="24"/>
          <w:szCs w:val="24"/>
        </w:rPr>
        <w:t>OFF tid</w:t>
      </w:r>
      <w:proofErr w:type="gramEnd"/>
      <w:r>
        <w:rPr>
          <w:sz w:val="24"/>
          <w:szCs w:val="24"/>
        </w:rPr>
        <w:t xml:space="preserve"> var -</w:t>
      </w:r>
      <w:r w:rsidRPr="00CE6AFB">
        <w:rPr>
          <w:sz w:val="24"/>
          <w:szCs w:val="24"/>
        </w:rPr>
        <w:t>24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i </w:t>
      </w:r>
      <w:proofErr w:type="spellStart"/>
      <w:r w:rsidRPr="00CE6AFB">
        <w:rPr>
          <w:sz w:val="24"/>
          <w:szCs w:val="24"/>
        </w:rPr>
        <w:t>entacapongruppen</w:t>
      </w:r>
      <w:proofErr w:type="spellEnd"/>
      <w:r w:rsidRPr="00CE6AFB">
        <w:rPr>
          <w:sz w:val="24"/>
          <w:szCs w:val="24"/>
        </w:rPr>
        <w:t xml:space="preserve"> og 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i placebogruppen i undersøgelse I. De tilsvarende resultater er 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>18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og 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>5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for undersøgelse II.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3"/>
        </w:numPr>
        <w:ind w:left="851" w:hanging="851"/>
        <w:rPr>
          <w:b/>
          <w:sz w:val="24"/>
          <w:szCs w:val="24"/>
        </w:rPr>
      </w:pPr>
      <w:proofErr w:type="spellStart"/>
      <w:r w:rsidRPr="00CE6AFB">
        <w:rPr>
          <w:b/>
          <w:sz w:val="24"/>
          <w:szCs w:val="24"/>
        </w:rPr>
        <w:t>Farmakokinetiske</w:t>
      </w:r>
      <w:proofErr w:type="spellEnd"/>
      <w:r w:rsidRPr="00CE6AFB">
        <w:rPr>
          <w:b/>
          <w:sz w:val="24"/>
          <w:szCs w:val="24"/>
        </w:rPr>
        <w:t xml:space="preserve"> egenskaber</w:t>
      </w:r>
    </w:p>
    <w:p w:rsidR="00E53868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930ADA" w:rsidRDefault="00E53868" w:rsidP="00E53868">
      <w:pPr>
        <w:autoSpaceDE w:val="0"/>
        <w:autoSpaceDN w:val="0"/>
        <w:adjustRightInd w:val="0"/>
        <w:ind w:left="851" w:hanging="851"/>
        <w:rPr>
          <w:b/>
          <w:sz w:val="24"/>
          <w:szCs w:val="24"/>
        </w:rPr>
      </w:pPr>
      <w:r w:rsidRPr="00930ADA">
        <w:rPr>
          <w:b/>
          <w:sz w:val="24"/>
          <w:szCs w:val="24"/>
        </w:rPr>
        <w:tab/>
        <w:t>Generelle karakteristika ved det aktive indholdsstof</w:t>
      </w:r>
    </w:p>
    <w:p w:rsidR="00E53868" w:rsidRPr="005A1FDD" w:rsidRDefault="00E53868" w:rsidP="00E53868">
      <w:pPr>
        <w:autoSpaceDE w:val="0"/>
        <w:autoSpaceDN w:val="0"/>
        <w:adjustRightInd w:val="0"/>
        <w:ind w:left="851" w:hanging="851"/>
        <w:rPr>
          <w:iCs/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AF3368">
        <w:rPr>
          <w:iCs/>
          <w:sz w:val="24"/>
          <w:szCs w:val="24"/>
          <w:u w:val="single"/>
        </w:rPr>
        <w:t>Absorption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Der er store intra- og </w:t>
      </w:r>
      <w:proofErr w:type="spellStart"/>
      <w:r w:rsidRPr="00CE6AFB">
        <w:rPr>
          <w:sz w:val="24"/>
          <w:szCs w:val="24"/>
        </w:rPr>
        <w:t>interindividuelle</w:t>
      </w:r>
      <w:proofErr w:type="spellEnd"/>
      <w:r w:rsidRPr="00CE6AFB">
        <w:rPr>
          <w:sz w:val="24"/>
          <w:szCs w:val="24"/>
        </w:rPr>
        <w:t xml:space="preserve"> variationer i absorptionen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Den maksimale plasmakoncentration (</w:t>
      </w:r>
      <w:proofErr w:type="spellStart"/>
      <w:r w:rsidRPr="00CE6AFB">
        <w:rPr>
          <w:sz w:val="24"/>
          <w:szCs w:val="24"/>
        </w:rPr>
        <w:t>C</w:t>
      </w:r>
      <w:r w:rsidRPr="00F33824">
        <w:rPr>
          <w:sz w:val="24"/>
          <w:szCs w:val="24"/>
          <w:vertAlign w:val="subscript"/>
        </w:rPr>
        <w:t>max</w:t>
      </w:r>
      <w:proofErr w:type="spellEnd"/>
      <w:r w:rsidRPr="00CE6AFB">
        <w:rPr>
          <w:sz w:val="24"/>
          <w:szCs w:val="24"/>
        </w:rPr>
        <w:t xml:space="preserve">) opnås ca. 1 time efter indtagelse af en 200 mg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tablet.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har en betydelig </w:t>
      </w:r>
      <w:proofErr w:type="spellStart"/>
      <w:r w:rsidRPr="00CE6AFB">
        <w:rPr>
          <w:sz w:val="24"/>
          <w:szCs w:val="24"/>
        </w:rPr>
        <w:t>first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pass</w:t>
      </w:r>
      <w:proofErr w:type="spellEnd"/>
      <w:r w:rsidRPr="00CE6AFB">
        <w:rPr>
          <w:sz w:val="24"/>
          <w:szCs w:val="24"/>
        </w:rPr>
        <w:t xml:space="preserve"> metabolisme. Biotilgængeligheden er ca. 35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efter en oral dosis. Fødeindtagelse ændrer ikke signifikant absorptionen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>.</w:t>
      </w:r>
    </w:p>
    <w:p w:rsidR="00E53868" w:rsidRDefault="00E53868" w:rsidP="00E538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CB66A4">
        <w:rPr>
          <w:iCs/>
          <w:sz w:val="24"/>
          <w:szCs w:val="24"/>
          <w:u w:val="single"/>
        </w:rPr>
        <w:t>Fordeling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Efter absorption fra </w:t>
      </w:r>
      <w:proofErr w:type="spellStart"/>
      <w:r w:rsidRPr="00CE6AFB">
        <w:rPr>
          <w:sz w:val="24"/>
          <w:szCs w:val="24"/>
        </w:rPr>
        <w:t>mave-tarmkanalen</w:t>
      </w:r>
      <w:proofErr w:type="spellEnd"/>
      <w:r w:rsidRPr="00CE6AFB">
        <w:rPr>
          <w:sz w:val="24"/>
          <w:szCs w:val="24"/>
        </w:rPr>
        <w:t xml:space="preserve"> fordeles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hurtigt til de perifere væv med et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fordelingsvolumen på 20 liter ved </w:t>
      </w:r>
      <w:proofErr w:type="spellStart"/>
      <w:r w:rsidRPr="00CE6AFB">
        <w:rPr>
          <w:sz w:val="24"/>
          <w:szCs w:val="24"/>
        </w:rPr>
        <w:t>steady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state</w:t>
      </w:r>
      <w:proofErr w:type="spellEnd"/>
      <w:r w:rsidRPr="00CE6AFB">
        <w:rPr>
          <w:sz w:val="24"/>
          <w:szCs w:val="24"/>
        </w:rPr>
        <w:t xml:space="preserve"> (</w:t>
      </w:r>
      <w:proofErr w:type="spellStart"/>
      <w:r w:rsidRPr="00CE6AFB">
        <w:rPr>
          <w:sz w:val="24"/>
          <w:szCs w:val="24"/>
        </w:rPr>
        <w:t>Vdss</w:t>
      </w:r>
      <w:proofErr w:type="spellEnd"/>
      <w:r w:rsidRPr="00CE6AFB">
        <w:rPr>
          <w:sz w:val="24"/>
          <w:szCs w:val="24"/>
        </w:rPr>
        <w:t>). Cirka 92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af en dosis elimineres under betaeliminationsfasen med en kort eliminationshalveringstid på 30 minutter. Den totale </w:t>
      </w:r>
      <w:proofErr w:type="spellStart"/>
      <w:r w:rsidRPr="00CE6AFB">
        <w:rPr>
          <w:sz w:val="24"/>
          <w:szCs w:val="24"/>
        </w:rPr>
        <w:t>clearance</w:t>
      </w:r>
      <w:proofErr w:type="spellEnd"/>
      <w:r w:rsidRPr="00CE6AFB">
        <w:rPr>
          <w:sz w:val="24"/>
          <w:szCs w:val="24"/>
        </w:rPr>
        <w:t xml:space="preserve">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er ca. 800 ml/min.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bindes betydeligt til plasmaproteiner, primært til albumin. I humant plasma er den ikke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bundne fraktion ca. 2,0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i det terapeutiske koncentrationsområde. Ved terapeutiske koncentrationer </w:t>
      </w:r>
      <w:proofErr w:type="spellStart"/>
      <w:r w:rsidRPr="00CE6AFB">
        <w:rPr>
          <w:sz w:val="24"/>
          <w:szCs w:val="24"/>
        </w:rPr>
        <w:t>displacerer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ikke andre </w:t>
      </w:r>
      <w:r>
        <w:rPr>
          <w:sz w:val="24"/>
          <w:szCs w:val="24"/>
        </w:rPr>
        <w:t>substanser</w:t>
      </w:r>
      <w:r w:rsidRPr="00CE6AFB">
        <w:rPr>
          <w:sz w:val="24"/>
          <w:szCs w:val="24"/>
        </w:rPr>
        <w:t xml:space="preserve"> med høj proteinbinding (f.eks. </w:t>
      </w:r>
      <w:proofErr w:type="spellStart"/>
      <w:r w:rsidRPr="00CE6AFB">
        <w:rPr>
          <w:sz w:val="24"/>
          <w:szCs w:val="24"/>
        </w:rPr>
        <w:t>warfarin</w:t>
      </w:r>
      <w:proofErr w:type="spellEnd"/>
      <w:r w:rsidRPr="00CE6AFB">
        <w:rPr>
          <w:sz w:val="24"/>
          <w:szCs w:val="24"/>
        </w:rPr>
        <w:t xml:space="preserve">, salicylsyre, </w:t>
      </w:r>
      <w:proofErr w:type="spellStart"/>
      <w:r w:rsidRPr="00CE6AFB">
        <w:rPr>
          <w:sz w:val="24"/>
          <w:szCs w:val="24"/>
        </w:rPr>
        <w:t>phenylbutazon</w:t>
      </w:r>
      <w:proofErr w:type="spellEnd"/>
      <w:r w:rsidRPr="00CE6AFB">
        <w:rPr>
          <w:sz w:val="24"/>
          <w:szCs w:val="24"/>
        </w:rPr>
        <w:t xml:space="preserve"> eller </w:t>
      </w:r>
      <w:proofErr w:type="spellStart"/>
      <w:r w:rsidRPr="00CE6AFB">
        <w:rPr>
          <w:sz w:val="24"/>
          <w:szCs w:val="24"/>
        </w:rPr>
        <w:t>diazepam</w:t>
      </w:r>
      <w:proofErr w:type="spellEnd"/>
      <w:r w:rsidRPr="00CE6AFB">
        <w:rPr>
          <w:sz w:val="24"/>
          <w:szCs w:val="24"/>
        </w:rPr>
        <w:t xml:space="preserve">), og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bliver heller ikke (hverken i terapeutisk eller højere koncentration) i nogen signifikant grad </w:t>
      </w:r>
      <w:proofErr w:type="spellStart"/>
      <w:r w:rsidRPr="00CE6AFB">
        <w:rPr>
          <w:sz w:val="24"/>
          <w:szCs w:val="24"/>
        </w:rPr>
        <w:t>displaceret</w:t>
      </w:r>
      <w:proofErr w:type="spellEnd"/>
      <w:r w:rsidRPr="00CE6AFB">
        <w:rPr>
          <w:sz w:val="24"/>
          <w:szCs w:val="24"/>
        </w:rPr>
        <w:t xml:space="preserve"> af disse s</w:t>
      </w:r>
      <w:r>
        <w:rPr>
          <w:sz w:val="24"/>
          <w:szCs w:val="24"/>
        </w:rPr>
        <w:t>ubstanser</w:t>
      </w:r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CB66A4">
        <w:rPr>
          <w:iCs/>
          <w:sz w:val="24"/>
          <w:szCs w:val="24"/>
          <w:u w:val="single"/>
        </w:rPr>
        <w:t>Biotransformation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En lille mængde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, </w:t>
      </w:r>
      <w:r w:rsidRPr="00CE6AFB">
        <w:rPr>
          <w:i/>
          <w:iCs/>
          <w:sz w:val="24"/>
          <w:szCs w:val="24"/>
        </w:rPr>
        <w:t>(E)</w:t>
      </w:r>
      <w:r w:rsidRPr="00CE6AFB">
        <w:rPr>
          <w:sz w:val="24"/>
          <w:szCs w:val="24"/>
        </w:rPr>
        <w:t xml:space="preserve">-isomeren, omdannes til </w:t>
      </w:r>
      <w:r w:rsidRPr="00CE6AFB">
        <w:rPr>
          <w:i/>
          <w:iCs/>
          <w:sz w:val="24"/>
          <w:szCs w:val="24"/>
        </w:rPr>
        <w:t>(Z)-</w:t>
      </w:r>
      <w:r w:rsidRPr="00CE6AFB">
        <w:rPr>
          <w:sz w:val="24"/>
          <w:szCs w:val="24"/>
        </w:rPr>
        <w:t xml:space="preserve">isomeren. </w:t>
      </w:r>
      <w:r w:rsidRPr="00CE6AFB">
        <w:rPr>
          <w:i/>
          <w:iCs/>
          <w:sz w:val="24"/>
          <w:szCs w:val="24"/>
        </w:rPr>
        <w:t>(E)</w:t>
      </w:r>
      <w:r w:rsidRPr="00CE6AFB">
        <w:rPr>
          <w:sz w:val="24"/>
          <w:szCs w:val="24"/>
        </w:rPr>
        <w:t>-isomeren udgør ca. 95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af AUC for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. </w:t>
      </w:r>
      <w:r w:rsidRPr="00CE6AFB">
        <w:rPr>
          <w:i/>
          <w:iCs/>
          <w:sz w:val="24"/>
          <w:szCs w:val="24"/>
        </w:rPr>
        <w:t>(Z)</w:t>
      </w:r>
      <w:r w:rsidRPr="00CE6AFB">
        <w:rPr>
          <w:sz w:val="24"/>
          <w:szCs w:val="24"/>
        </w:rPr>
        <w:t>-isomeren og andre metabolitter udgør de resterende 5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Data fra </w:t>
      </w:r>
      <w:r w:rsidRPr="00CE6AFB">
        <w:rPr>
          <w:i/>
          <w:iCs/>
          <w:sz w:val="24"/>
          <w:szCs w:val="24"/>
        </w:rPr>
        <w:t xml:space="preserve">in </w:t>
      </w:r>
      <w:proofErr w:type="spellStart"/>
      <w:r w:rsidRPr="00CE6AFB">
        <w:rPr>
          <w:i/>
          <w:iCs/>
          <w:sz w:val="24"/>
          <w:szCs w:val="24"/>
        </w:rPr>
        <w:t>vitro</w:t>
      </w:r>
      <w:proofErr w:type="spellEnd"/>
      <w:r w:rsidRPr="00CE6AFB">
        <w:rPr>
          <w:i/>
          <w:iCs/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forsøg, hvor der er anvendt humant </w:t>
      </w:r>
      <w:proofErr w:type="spellStart"/>
      <w:r w:rsidRPr="00CE6AFB">
        <w:rPr>
          <w:sz w:val="24"/>
          <w:szCs w:val="24"/>
        </w:rPr>
        <w:t>levermikrosomalt</w:t>
      </w:r>
      <w:proofErr w:type="spellEnd"/>
      <w:r w:rsidRPr="00CE6AFB">
        <w:rPr>
          <w:sz w:val="24"/>
          <w:szCs w:val="24"/>
        </w:rPr>
        <w:t xml:space="preserve"> materiale, indikerer at</w:t>
      </w:r>
      <w:r>
        <w:rPr>
          <w:sz w:val="24"/>
          <w:szCs w:val="24"/>
        </w:rPr>
        <w:t xml:space="preserve"> </w:t>
      </w:r>
      <w:proofErr w:type="spellStart"/>
      <w:r w:rsidRPr="00835EB1">
        <w:rPr>
          <w:sz w:val="24"/>
          <w:szCs w:val="24"/>
        </w:rPr>
        <w:t>entacapon</w:t>
      </w:r>
      <w:proofErr w:type="spellEnd"/>
      <w:r w:rsidRPr="00835EB1">
        <w:rPr>
          <w:sz w:val="24"/>
          <w:szCs w:val="24"/>
        </w:rPr>
        <w:t xml:space="preserve"> hæmmer </w:t>
      </w:r>
      <w:proofErr w:type="spellStart"/>
      <w:r w:rsidRPr="00835EB1">
        <w:rPr>
          <w:sz w:val="24"/>
          <w:szCs w:val="24"/>
        </w:rPr>
        <w:t>cytokrom</w:t>
      </w:r>
      <w:proofErr w:type="spellEnd"/>
      <w:r w:rsidRPr="00835EB1">
        <w:rPr>
          <w:sz w:val="24"/>
          <w:szCs w:val="24"/>
        </w:rPr>
        <w:t xml:space="preserve"> P450 2C9 (IC50 ~ 4 </w:t>
      </w:r>
      <w:r w:rsidRPr="00CE6AFB">
        <w:rPr>
          <w:sz w:val="24"/>
          <w:szCs w:val="24"/>
          <w:lang w:val="en-US"/>
        </w:rPr>
        <w:t>μ</w:t>
      </w:r>
      <w:r w:rsidRPr="00835EB1">
        <w:rPr>
          <w:sz w:val="24"/>
          <w:szCs w:val="24"/>
        </w:rPr>
        <w:t xml:space="preserve">M).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udviser lav eller ingen hæmning af andre typer af P450 </w:t>
      </w:r>
      <w:proofErr w:type="spellStart"/>
      <w:r w:rsidRPr="00CE6AFB">
        <w:rPr>
          <w:sz w:val="24"/>
          <w:szCs w:val="24"/>
        </w:rPr>
        <w:t>isoenzymer</w:t>
      </w:r>
      <w:proofErr w:type="spellEnd"/>
      <w:r w:rsidRPr="00CE6AFB">
        <w:rPr>
          <w:sz w:val="24"/>
          <w:szCs w:val="24"/>
        </w:rPr>
        <w:t xml:space="preserve"> (CYP1A2, CYP2A6, CYP2D6, CYP2E1, CYP3A og CYP2C19) (se pkt. 4.5).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i/>
          <w:iCs/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AF3368">
        <w:rPr>
          <w:iCs/>
          <w:sz w:val="24"/>
          <w:szCs w:val="24"/>
          <w:u w:val="single"/>
        </w:rPr>
        <w:t>Elimination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elimineres primært via den non-</w:t>
      </w:r>
      <w:proofErr w:type="spellStart"/>
      <w:r w:rsidRPr="00CE6AFB">
        <w:rPr>
          <w:sz w:val="24"/>
          <w:szCs w:val="24"/>
        </w:rPr>
        <w:t>renale</w:t>
      </w:r>
      <w:proofErr w:type="spellEnd"/>
      <w:r w:rsidRPr="00CE6AFB">
        <w:rPr>
          <w:sz w:val="24"/>
          <w:szCs w:val="24"/>
        </w:rPr>
        <w:t xml:space="preserve"> rute.</w:t>
      </w:r>
      <w:r>
        <w:rPr>
          <w:sz w:val="24"/>
          <w:szCs w:val="24"/>
        </w:rPr>
        <w:t xml:space="preserve"> Det skønnes, at 80-</w:t>
      </w:r>
      <w:r w:rsidRPr="00CE6AFB">
        <w:rPr>
          <w:sz w:val="24"/>
          <w:szCs w:val="24"/>
        </w:rPr>
        <w:t>90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af en dosering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udskilles i fæces, selvom dette ikke er verificeret i mennesket. Omkring 10</w:t>
      </w:r>
      <w:r>
        <w:rPr>
          <w:sz w:val="24"/>
          <w:szCs w:val="24"/>
        </w:rPr>
        <w:t>-</w:t>
      </w:r>
      <w:r w:rsidRPr="00CE6AFB">
        <w:rPr>
          <w:sz w:val="24"/>
          <w:szCs w:val="24"/>
        </w:rPr>
        <w:t>20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udskilles i urinen. Kun spormængder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udskilles uændret i urinen. Den primære del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, der udskilles i urinen, konjugeres med </w:t>
      </w:r>
      <w:proofErr w:type="spellStart"/>
      <w:r w:rsidRPr="00CE6AFB">
        <w:rPr>
          <w:sz w:val="24"/>
          <w:szCs w:val="24"/>
        </w:rPr>
        <w:t>glucuronsyre</w:t>
      </w:r>
      <w:proofErr w:type="spellEnd"/>
      <w:r w:rsidRPr="00CE6AFB">
        <w:rPr>
          <w:sz w:val="24"/>
          <w:szCs w:val="24"/>
        </w:rPr>
        <w:t>. Af de metabolitter, der findes i urinen, er kun ca. 1</w:t>
      </w:r>
      <w:r>
        <w:rPr>
          <w:sz w:val="24"/>
          <w:szCs w:val="24"/>
        </w:rPr>
        <w:t xml:space="preserve"> %</w:t>
      </w:r>
      <w:r w:rsidRPr="00CE6AFB">
        <w:rPr>
          <w:sz w:val="24"/>
          <w:szCs w:val="24"/>
        </w:rPr>
        <w:t xml:space="preserve"> omdannet via oxidation.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Andre særlige populationer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B66A4">
        <w:rPr>
          <w:i/>
          <w:sz w:val="24"/>
          <w:szCs w:val="24"/>
        </w:rPr>
        <w:t>Ældre</w:t>
      </w:r>
      <w:r w:rsidRPr="00CE6AFB">
        <w:rPr>
          <w:sz w:val="24"/>
          <w:szCs w:val="24"/>
        </w:rPr>
        <w:t xml:space="preserve"> 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De </w:t>
      </w:r>
      <w:proofErr w:type="spellStart"/>
      <w:r w:rsidRPr="00CE6AFB">
        <w:rPr>
          <w:sz w:val="24"/>
          <w:szCs w:val="24"/>
        </w:rPr>
        <w:t>farmakokinetiske</w:t>
      </w:r>
      <w:proofErr w:type="spellEnd"/>
      <w:r w:rsidRPr="00CE6AFB">
        <w:rPr>
          <w:sz w:val="24"/>
          <w:szCs w:val="24"/>
        </w:rPr>
        <w:t xml:space="preserve"> egenskaber for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er de samme både hos unge og ældre patienter.</w:t>
      </w:r>
      <w:r>
        <w:rPr>
          <w:sz w:val="24"/>
          <w:szCs w:val="24"/>
        </w:rPr>
        <w:t xml:space="preserve"> 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CB66A4" w:rsidRDefault="00E53868" w:rsidP="00E53868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CB66A4">
        <w:rPr>
          <w:i/>
          <w:sz w:val="24"/>
          <w:szCs w:val="24"/>
        </w:rPr>
        <w:t>Nedsat leverfunktion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Entacapons</w:t>
      </w:r>
      <w:proofErr w:type="spellEnd"/>
      <w:r w:rsidRPr="00CE6AFB">
        <w:rPr>
          <w:sz w:val="24"/>
          <w:szCs w:val="24"/>
        </w:rPr>
        <w:t xml:space="preserve"> metabolisme er nedsat hos patienter med mild til moderat leverinsufficiens (Child-</w:t>
      </w:r>
      <w:proofErr w:type="spellStart"/>
      <w:r w:rsidRPr="00CE6AFB">
        <w:rPr>
          <w:sz w:val="24"/>
          <w:szCs w:val="24"/>
        </w:rPr>
        <w:t>Pugh</w:t>
      </w:r>
      <w:proofErr w:type="spellEnd"/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klasse A og B), hvilket medfører øget plasmakoncentration af </w:t>
      </w:r>
      <w:proofErr w:type="spellStart"/>
      <w:r w:rsidRPr="00CE6AFB">
        <w:rPr>
          <w:sz w:val="24"/>
          <w:szCs w:val="24"/>
        </w:rPr>
        <w:t>entacapon</w:t>
      </w:r>
      <w:proofErr w:type="spellEnd"/>
      <w:r w:rsidRPr="00CE6AFB">
        <w:rPr>
          <w:sz w:val="24"/>
          <w:szCs w:val="24"/>
        </w:rPr>
        <w:t xml:space="preserve"> i både absorptions- og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 xml:space="preserve">eliminationsfasen (se pkt. 4.3). 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CB66A4" w:rsidRDefault="00E53868" w:rsidP="00E53868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CB66A4">
        <w:rPr>
          <w:i/>
          <w:sz w:val="24"/>
          <w:szCs w:val="24"/>
        </w:rPr>
        <w:t>Nedsat nyrefunktion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 xml:space="preserve">Nyreinsufficiens påvirker ikke </w:t>
      </w:r>
      <w:proofErr w:type="spellStart"/>
      <w:r w:rsidRPr="00CE6AFB">
        <w:rPr>
          <w:sz w:val="24"/>
          <w:szCs w:val="24"/>
        </w:rPr>
        <w:t>entacapons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egenskaber. Imidlertid bør forlænget doseringsinterval overvejes for patienter i dialysebehandling.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4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Prækliniske sikkerhedsdata</w:t>
      </w:r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De prækliniske data viser ingen særlig risiko for mennesker vurderet ud fra konventionelle</w:t>
      </w:r>
      <w:r>
        <w:rPr>
          <w:sz w:val="24"/>
          <w:szCs w:val="24"/>
        </w:rPr>
        <w:t xml:space="preserve"> </w:t>
      </w:r>
      <w:r w:rsidRPr="00CE6AFB">
        <w:rPr>
          <w:sz w:val="24"/>
          <w:szCs w:val="24"/>
        </w:rPr>
        <w:t>undersøgelser af sikkerhedsfarmakologi, toksicitet efter gentagne doser, genotoksicitet og</w:t>
      </w:r>
      <w:r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karcinogenicitet</w:t>
      </w:r>
      <w:proofErr w:type="spellEnd"/>
      <w:r w:rsidRPr="00CE6AFB">
        <w:rPr>
          <w:sz w:val="24"/>
          <w:szCs w:val="24"/>
        </w:rPr>
        <w:t xml:space="preserve">. I toksicitetsforsøg med gentagen dosering er der observeret anæmi, hvilket sandsynligvis skyldes </w:t>
      </w:r>
      <w:proofErr w:type="spellStart"/>
      <w:r w:rsidRPr="00CE6AFB">
        <w:rPr>
          <w:sz w:val="24"/>
          <w:szCs w:val="24"/>
        </w:rPr>
        <w:t>entacapons</w:t>
      </w:r>
      <w:proofErr w:type="spellEnd"/>
      <w:r w:rsidRPr="00CE6AFB">
        <w:rPr>
          <w:sz w:val="24"/>
          <w:szCs w:val="24"/>
        </w:rPr>
        <w:t xml:space="preserve"> </w:t>
      </w:r>
      <w:proofErr w:type="spellStart"/>
      <w:r w:rsidRPr="00CE6AFB">
        <w:rPr>
          <w:sz w:val="24"/>
          <w:szCs w:val="24"/>
        </w:rPr>
        <w:t>jernchelaterende</w:t>
      </w:r>
      <w:proofErr w:type="spellEnd"/>
      <w:r w:rsidRPr="00CE6AFB">
        <w:rPr>
          <w:sz w:val="24"/>
          <w:szCs w:val="24"/>
        </w:rPr>
        <w:t xml:space="preserve"> egenskaber. Med hensyn til </w:t>
      </w:r>
      <w:r w:rsidRPr="00CE6AFB">
        <w:rPr>
          <w:sz w:val="24"/>
          <w:szCs w:val="24"/>
        </w:rPr>
        <w:lastRenderedPageBreak/>
        <w:t>reproduktionstoksicitetsforsøg sås lavere fostervægt og let forsinket knogleudvikling hos kaniner ved systemiske eksponeringsniveauer i det terapeutiske område.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0"/>
          <w:numId w:val="3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FARMACEUTISKE OPLYSNINGER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Hjælpestoffer</w:t>
      </w: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53868" w:rsidRPr="005A1FDD" w:rsidRDefault="00E53868" w:rsidP="00E53868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1C5F70">
        <w:rPr>
          <w:sz w:val="24"/>
          <w:szCs w:val="24"/>
          <w:u w:val="single"/>
        </w:rPr>
        <w:t>Tabletkerne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C</w:t>
      </w:r>
      <w:r w:rsidRPr="00CE6AFB">
        <w:rPr>
          <w:sz w:val="24"/>
          <w:szCs w:val="24"/>
        </w:rPr>
        <w:t>ellulose</w:t>
      </w:r>
      <w:r>
        <w:rPr>
          <w:sz w:val="24"/>
          <w:szCs w:val="24"/>
        </w:rPr>
        <w:t>, mikrokrystallinsk</w:t>
      </w:r>
      <w:r w:rsidRPr="00CE6AFB">
        <w:rPr>
          <w:sz w:val="24"/>
          <w:szCs w:val="24"/>
        </w:rPr>
        <w:t xml:space="preserve">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Mannitol</w:t>
      </w:r>
      <w:proofErr w:type="spellEnd"/>
      <w:r w:rsidRPr="00CE6AFB">
        <w:rPr>
          <w:sz w:val="24"/>
          <w:szCs w:val="24"/>
        </w:rPr>
        <w:t xml:space="preserve">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Hydroxypropylcellulose</w:t>
      </w:r>
      <w:proofErr w:type="spellEnd"/>
      <w:r w:rsidRPr="00CE6AFB">
        <w:rPr>
          <w:sz w:val="24"/>
          <w:szCs w:val="24"/>
        </w:rPr>
        <w:t>, lav-substitueret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Magnesiumstearat</w:t>
      </w:r>
      <w:proofErr w:type="spellEnd"/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V</w:t>
      </w:r>
      <w:r w:rsidRPr="00CE6AFB">
        <w:rPr>
          <w:sz w:val="24"/>
          <w:szCs w:val="24"/>
        </w:rPr>
        <w:t xml:space="preserve">egetabilsk olie, </w:t>
      </w:r>
      <w:proofErr w:type="spellStart"/>
      <w:r w:rsidRPr="00CE6AFB">
        <w:rPr>
          <w:sz w:val="24"/>
          <w:szCs w:val="24"/>
        </w:rPr>
        <w:t>hydrogeneret</w:t>
      </w:r>
      <w:proofErr w:type="spellEnd"/>
    </w:p>
    <w:p w:rsidR="00E53868" w:rsidRPr="00CE6AFB" w:rsidRDefault="00E53868" w:rsidP="00E5386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53868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C5F70">
        <w:rPr>
          <w:sz w:val="24"/>
          <w:szCs w:val="24"/>
          <w:u w:val="single"/>
        </w:rPr>
        <w:t>Filmovertræk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Hypromellose</w:t>
      </w:r>
      <w:proofErr w:type="spellEnd"/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Titandioxid (E171)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CE6AFB">
        <w:rPr>
          <w:sz w:val="24"/>
          <w:szCs w:val="24"/>
          <w:lang w:val="en-US"/>
        </w:rPr>
        <w:t>Glycerin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CE6AFB">
        <w:rPr>
          <w:sz w:val="24"/>
          <w:szCs w:val="24"/>
          <w:lang w:val="en-US"/>
        </w:rPr>
        <w:t>Magnesiumstearat</w:t>
      </w:r>
      <w:proofErr w:type="spellEnd"/>
      <w:r w:rsidRPr="00CE6AFB">
        <w:rPr>
          <w:sz w:val="24"/>
          <w:szCs w:val="24"/>
          <w:lang w:val="en-US"/>
        </w:rPr>
        <w:t xml:space="preserve"> 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CE6AFB">
        <w:rPr>
          <w:sz w:val="24"/>
          <w:szCs w:val="24"/>
          <w:lang w:val="en-US"/>
        </w:rPr>
        <w:t xml:space="preserve">Gul </w:t>
      </w:r>
      <w:proofErr w:type="spellStart"/>
      <w:r w:rsidRPr="00CE6AFB">
        <w:rPr>
          <w:sz w:val="24"/>
          <w:szCs w:val="24"/>
          <w:lang w:val="en-US"/>
        </w:rPr>
        <w:t>jernoxid</w:t>
      </w:r>
      <w:proofErr w:type="spellEnd"/>
      <w:r w:rsidRPr="00CE6AFB">
        <w:rPr>
          <w:sz w:val="24"/>
          <w:szCs w:val="24"/>
          <w:lang w:val="en-US"/>
        </w:rPr>
        <w:t xml:space="preserve"> (E172)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CE6AFB">
        <w:rPr>
          <w:sz w:val="24"/>
          <w:szCs w:val="24"/>
          <w:lang w:val="en-US"/>
        </w:rPr>
        <w:t>Saccharose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E6AFB">
        <w:rPr>
          <w:sz w:val="24"/>
          <w:szCs w:val="24"/>
        </w:rPr>
        <w:t>Polysorbat</w:t>
      </w:r>
      <w:proofErr w:type="spellEnd"/>
      <w:r w:rsidRPr="00CE6AFB">
        <w:rPr>
          <w:sz w:val="24"/>
          <w:szCs w:val="24"/>
        </w:rPr>
        <w:t xml:space="preserve"> 80</w:t>
      </w:r>
    </w:p>
    <w:p w:rsidR="00E53868" w:rsidRPr="00CE6AFB" w:rsidRDefault="00E53868" w:rsidP="00E5386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Rød jernoxid (E172)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Uforligeligheder</w:t>
      </w:r>
    </w:p>
    <w:p w:rsidR="00E53868" w:rsidRPr="00CE6AFB" w:rsidRDefault="00E53868" w:rsidP="00E53868">
      <w:pPr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Ikke relevant.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Opbevaringstid</w:t>
      </w:r>
    </w:p>
    <w:p w:rsidR="00E53868" w:rsidRDefault="00E53868" w:rsidP="00E53868">
      <w:pPr>
        <w:ind w:left="851"/>
        <w:rPr>
          <w:sz w:val="24"/>
          <w:szCs w:val="24"/>
        </w:rPr>
      </w:pPr>
    </w:p>
    <w:p w:rsidR="00E53868" w:rsidRPr="00C307F6" w:rsidRDefault="00E53868" w:rsidP="00E53868">
      <w:pPr>
        <w:ind w:left="851"/>
        <w:rPr>
          <w:sz w:val="24"/>
          <w:szCs w:val="24"/>
          <w:u w:val="single"/>
        </w:rPr>
      </w:pPr>
      <w:r w:rsidRPr="00C307F6">
        <w:rPr>
          <w:sz w:val="24"/>
          <w:szCs w:val="24"/>
          <w:u w:val="single"/>
        </w:rPr>
        <w:t>Blisterpakning</w:t>
      </w:r>
    </w:p>
    <w:p w:rsidR="00E53868" w:rsidRPr="00C307F6" w:rsidRDefault="00E53868" w:rsidP="00E53868">
      <w:pPr>
        <w:ind w:left="851"/>
        <w:rPr>
          <w:sz w:val="24"/>
          <w:szCs w:val="24"/>
        </w:rPr>
      </w:pPr>
      <w:r w:rsidRPr="00C307F6">
        <w:rPr>
          <w:sz w:val="24"/>
          <w:szCs w:val="24"/>
        </w:rPr>
        <w:t>3 år.</w:t>
      </w:r>
    </w:p>
    <w:p w:rsidR="00E53868" w:rsidRPr="00C307F6" w:rsidRDefault="00E53868" w:rsidP="00E53868">
      <w:pPr>
        <w:ind w:left="851"/>
        <w:rPr>
          <w:sz w:val="24"/>
          <w:szCs w:val="24"/>
        </w:rPr>
      </w:pPr>
    </w:p>
    <w:p w:rsidR="00E53868" w:rsidRDefault="00E53868" w:rsidP="00E53868">
      <w:pPr>
        <w:ind w:left="851"/>
        <w:rPr>
          <w:sz w:val="24"/>
          <w:szCs w:val="24"/>
          <w:u w:val="single"/>
        </w:rPr>
      </w:pPr>
      <w:r w:rsidRPr="00C307F6">
        <w:rPr>
          <w:sz w:val="24"/>
          <w:szCs w:val="24"/>
          <w:u w:val="single"/>
        </w:rPr>
        <w:t>HDPE-beholder</w:t>
      </w:r>
    </w:p>
    <w:p w:rsidR="00E53868" w:rsidRPr="00C307F6" w:rsidRDefault="00E53868" w:rsidP="00E53868">
      <w:pPr>
        <w:ind w:left="851"/>
        <w:rPr>
          <w:sz w:val="24"/>
          <w:szCs w:val="24"/>
        </w:rPr>
      </w:pPr>
      <w:r w:rsidRPr="00C307F6">
        <w:rPr>
          <w:sz w:val="24"/>
          <w:szCs w:val="24"/>
        </w:rPr>
        <w:t>3 år.</w:t>
      </w:r>
    </w:p>
    <w:p w:rsidR="00E53868" w:rsidRPr="00C307F6" w:rsidRDefault="00E53868" w:rsidP="00E53868">
      <w:pPr>
        <w:ind w:left="851"/>
        <w:rPr>
          <w:sz w:val="24"/>
          <w:szCs w:val="24"/>
        </w:rPr>
      </w:pPr>
      <w:r w:rsidRPr="00C307F6">
        <w:rPr>
          <w:sz w:val="24"/>
          <w:szCs w:val="24"/>
        </w:rPr>
        <w:t>Efter åbning: 100 dage.</w:t>
      </w:r>
    </w:p>
    <w:p w:rsidR="00E53868" w:rsidRPr="00CE6AFB" w:rsidRDefault="00E53868" w:rsidP="00E53868">
      <w:pPr>
        <w:tabs>
          <w:tab w:val="left" w:pos="851"/>
        </w:tabs>
        <w:rPr>
          <w:sz w:val="24"/>
          <w:szCs w:val="24"/>
        </w:rPr>
      </w:pPr>
    </w:p>
    <w:p w:rsidR="00E53868" w:rsidRPr="00754895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Særlige opbevaringsforhold</w:t>
      </w:r>
    </w:p>
    <w:p w:rsidR="00E53868" w:rsidRPr="00CE6AFB" w:rsidRDefault="00E53868" w:rsidP="00E53868">
      <w:pPr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Dette lægemiddel kræver ingen særlige forholdsregler vedrørende opbevaring</w:t>
      </w:r>
      <w:r>
        <w:rPr>
          <w:sz w:val="24"/>
          <w:szCs w:val="24"/>
        </w:rPr>
        <w:t>en</w:t>
      </w:r>
      <w:r w:rsidRPr="00CE6AFB">
        <w:rPr>
          <w:sz w:val="24"/>
          <w:szCs w:val="24"/>
        </w:rPr>
        <w:t xml:space="preserve">. </w:t>
      </w:r>
    </w:p>
    <w:p w:rsidR="00E53868" w:rsidRPr="00CE6AFB" w:rsidRDefault="00E53868" w:rsidP="00E53868">
      <w:pPr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Emballagetyper og pakningsstørrelser</w:t>
      </w:r>
    </w:p>
    <w:p w:rsidR="00E53868" w:rsidRDefault="00E53868" w:rsidP="00E53868">
      <w:pPr>
        <w:suppressAutoHyphens/>
        <w:ind w:left="851"/>
        <w:rPr>
          <w:sz w:val="24"/>
          <w:szCs w:val="24"/>
        </w:rPr>
      </w:pPr>
    </w:p>
    <w:p w:rsidR="00E53868" w:rsidRPr="00CB718D" w:rsidRDefault="00E53868" w:rsidP="00E53868">
      <w:pPr>
        <w:suppressAutoHyphens/>
        <w:ind w:left="851"/>
        <w:rPr>
          <w:sz w:val="24"/>
          <w:szCs w:val="24"/>
          <w:u w:val="single"/>
        </w:rPr>
      </w:pPr>
      <w:r w:rsidRPr="00CB718D">
        <w:rPr>
          <w:sz w:val="24"/>
          <w:szCs w:val="24"/>
          <w:u w:val="single"/>
        </w:rPr>
        <w:t>PVC/PE/</w:t>
      </w:r>
      <w:proofErr w:type="spellStart"/>
      <w:r w:rsidRPr="00CB718D">
        <w:rPr>
          <w:sz w:val="24"/>
          <w:szCs w:val="24"/>
          <w:u w:val="single"/>
        </w:rPr>
        <w:t>PVdC</w:t>
      </w:r>
      <w:proofErr w:type="spellEnd"/>
      <w:r w:rsidRPr="00CB718D">
        <w:rPr>
          <w:sz w:val="24"/>
          <w:szCs w:val="24"/>
          <w:u w:val="single"/>
        </w:rPr>
        <w:t xml:space="preserve"> blisterpakning</w:t>
      </w:r>
    </w:p>
    <w:p w:rsidR="00E53868" w:rsidRDefault="00E53868" w:rsidP="00E53868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Blisterpakning </w:t>
      </w:r>
      <w:r w:rsidRPr="00CE6AFB">
        <w:rPr>
          <w:sz w:val="24"/>
          <w:szCs w:val="24"/>
        </w:rPr>
        <w:t>bestående af klar</w:t>
      </w:r>
      <w:r>
        <w:rPr>
          <w:sz w:val="24"/>
          <w:szCs w:val="24"/>
        </w:rPr>
        <w:t>,</w:t>
      </w:r>
      <w:r w:rsidRPr="00CE6AFB">
        <w:rPr>
          <w:sz w:val="24"/>
          <w:szCs w:val="24"/>
        </w:rPr>
        <w:t xml:space="preserve"> transparent PVC/PE/</w:t>
      </w:r>
      <w:proofErr w:type="spellStart"/>
      <w:r w:rsidRPr="00CE6AFB">
        <w:rPr>
          <w:sz w:val="24"/>
          <w:szCs w:val="24"/>
        </w:rPr>
        <w:t>PVdC</w:t>
      </w:r>
      <w:proofErr w:type="spellEnd"/>
      <w:r w:rsidRPr="00CE6AFB">
        <w:rPr>
          <w:sz w:val="24"/>
          <w:szCs w:val="24"/>
        </w:rPr>
        <w:t xml:space="preserve"> film på den ene side og hård</w:t>
      </w:r>
      <w:r>
        <w:rPr>
          <w:sz w:val="24"/>
          <w:szCs w:val="24"/>
        </w:rPr>
        <w:t>,</w:t>
      </w:r>
      <w:r w:rsidRPr="00CE6AFB">
        <w:rPr>
          <w:sz w:val="24"/>
          <w:szCs w:val="24"/>
        </w:rPr>
        <w:t xml:space="preserve"> hærdet aluminiumsfolie overtrukket med varmeforseglet lak på den anden side.</w:t>
      </w:r>
    </w:p>
    <w:p w:rsidR="00E53868" w:rsidRDefault="00E53868" w:rsidP="00E53868">
      <w:pPr>
        <w:suppressAutoHyphens/>
        <w:ind w:left="851"/>
        <w:rPr>
          <w:sz w:val="24"/>
          <w:szCs w:val="24"/>
        </w:rPr>
      </w:pPr>
    </w:p>
    <w:p w:rsidR="00E53868" w:rsidRPr="0040461F" w:rsidRDefault="00E53868" w:rsidP="00E53868">
      <w:pPr>
        <w:suppressAutoHyphens/>
        <w:ind w:left="851"/>
        <w:rPr>
          <w:i/>
          <w:sz w:val="24"/>
          <w:szCs w:val="24"/>
        </w:rPr>
      </w:pPr>
      <w:r w:rsidRPr="0040461F">
        <w:rPr>
          <w:i/>
          <w:sz w:val="24"/>
          <w:szCs w:val="24"/>
        </w:rPr>
        <w:t>Pakningsstørrelser</w:t>
      </w:r>
    </w:p>
    <w:p w:rsidR="00E53868" w:rsidRDefault="00E53868" w:rsidP="00E53868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30, 60, 100, 200, 300 og 400 stk.</w:t>
      </w: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Perforeret enkeltdosisblister med 100×1 stk. </w:t>
      </w:r>
    </w:p>
    <w:p w:rsidR="00E53868" w:rsidRDefault="00E53868" w:rsidP="00E538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</w:p>
    <w:p w:rsidR="00E53868" w:rsidRDefault="00E53868" w:rsidP="00E53868">
      <w:pPr>
        <w:suppressAutoHyphens/>
        <w:ind w:left="851"/>
        <w:rPr>
          <w:sz w:val="24"/>
          <w:szCs w:val="24"/>
        </w:rPr>
      </w:pPr>
      <w:r w:rsidRPr="00FC0B53">
        <w:rPr>
          <w:sz w:val="24"/>
          <w:szCs w:val="24"/>
          <w:u w:val="single"/>
        </w:rPr>
        <w:t>Hvid, high-</w:t>
      </w:r>
      <w:proofErr w:type="spellStart"/>
      <w:r w:rsidRPr="00FC0B53">
        <w:rPr>
          <w:sz w:val="24"/>
          <w:szCs w:val="24"/>
          <w:u w:val="single"/>
        </w:rPr>
        <w:t>density</w:t>
      </w:r>
      <w:proofErr w:type="spellEnd"/>
      <w:r w:rsidRPr="00FC0B53">
        <w:rPr>
          <w:sz w:val="24"/>
          <w:szCs w:val="24"/>
          <w:u w:val="single"/>
        </w:rPr>
        <w:t xml:space="preserve"> </w:t>
      </w:r>
      <w:proofErr w:type="spellStart"/>
      <w:r w:rsidRPr="00FC0B53">
        <w:rPr>
          <w:sz w:val="24"/>
          <w:szCs w:val="24"/>
          <w:u w:val="single"/>
        </w:rPr>
        <w:t>polyethylen</w:t>
      </w:r>
      <w:proofErr w:type="spellEnd"/>
      <w:r w:rsidRPr="00FC0B53">
        <w:rPr>
          <w:sz w:val="24"/>
          <w:szCs w:val="24"/>
          <w:u w:val="single"/>
        </w:rPr>
        <w:t xml:space="preserve"> (HDPE) tabletbeholder med hvidt, uigennemsigtigt polypropylen (PP) skruelåg</w:t>
      </w:r>
    </w:p>
    <w:p w:rsidR="00E53868" w:rsidRDefault="00E53868" w:rsidP="00E53868">
      <w:pPr>
        <w:suppressAutoHyphens/>
        <w:ind w:left="851"/>
        <w:rPr>
          <w:sz w:val="24"/>
          <w:szCs w:val="24"/>
        </w:rPr>
      </w:pPr>
    </w:p>
    <w:p w:rsidR="00E53868" w:rsidRDefault="00E53868" w:rsidP="00E53868">
      <w:pPr>
        <w:suppressAutoHyphens/>
        <w:ind w:left="851"/>
        <w:rPr>
          <w:sz w:val="24"/>
          <w:szCs w:val="24"/>
        </w:rPr>
      </w:pPr>
      <w:r w:rsidRPr="00FC0B53">
        <w:rPr>
          <w:i/>
          <w:sz w:val="24"/>
          <w:szCs w:val="24"/>
        </w:rPr>
        <w:t>Pakningsstørrelser</w:t>
      </w: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30, 50, 60, 100</w:t>
      </w:r>
      <w:r>
        <w:rPr>
          <w:sz w:val="24"/>
          <w:szCs w:val="24"/>
        </w:rPr>
        <w:t>, 250</w:t>
      </w:r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 w:rsidRPr="00CE6AFB">
        <w:rPr>
          <w:sz w:val="24"/>
          <w:szCs w:val="24"/>
        </w:rPr>
        <w:t xml:space="preserve"> 500 </w:t>
      </w:r>
      <w:r>
        <w:rPr>
          <w:sz w:val="24"/>
          <w:szCs w:val="24"/>
        </w:rPr>
        <w:t>stk</w:t>
      </w:r>
      <w:r w:rsidRPr="00CE6AFB">
        <w:rPr>
          <w:sz w:val="24"/>
          <w:szCs w:val="24"/>
        </w:rPr>
        <w:t>.</w:t>
      </w: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Æsker</w:t>
      </w:r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 w:rsidRPr="00CE6AFB">
        <w:rPr>
          <w:sz w:val="24"/>
          <w:szCs w:val="24"/>
        </w:rPr>
        <w:t xml:space="preserve"> 200, 300 </w:t>
      </w:r>
      <w:r>
        <w:rPr>
          <w:sz w:val="24"/>
          <w:szCs w:val="24"/>
        </w:rPr>
        <w:t>og</w:t>
      </w:r>
      <w:r w:rsidRPr="00CE6AFB">
        <w:rPr>
          <w:sz w:val="24"/>
          <w:szCs w:val="24"/>
        </w:rPr>
        <w:t xml:space="preserve"> 400 </w:t>
      </w:r>
      <w:proofErr w:type="spellStart"/>
      <w:r>
        <w:rPr>
          <w:sz w:val="24"/>
          <w:szCs w:val="24"/>
        </w:rPr>
        <w:t>stk</w:t>
      </w:r>
      <w:proofErr w:type="spellEnd"/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 w:rsidRPr="00CE6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henholdsvis </w:t>
      </w:r>
      <w:r w:rsidRPr="00CE6AFB">
        <w:rPr>
          <w:sz w:val="24"/>
          <w:szCs w:val="24"/>
        </w:rPr>
        <w:t xml:space="preserve">4, 6 </w:t>
      </w:r>
      <w:r>
        <w:rPr>
          <w:sz w:val="24"/>
          <w:szCs w:val="24"/>
        </w:rPr>
        <w:t>og</w:t>
      </w:r>
      <w:r w:rsidRPr="00CE6AFB">
        <w:rPr>
          <w:sz w:val="24"/>
          <w:szCs w:val="24"/>
        </w:rPr>
        <w:t xml:space="preserve"> 8 </w:t>
      </w:r>
      <w:r>
        <w:rPr>
          <w:sz w:val="24"/>
          <w:szCs w:val="24"/>
        </w:rPr>
        <w:t>beholdere á</w:t>
      </w:r>
      <w:r w:rsidRPr="00CE6AFB">
        <w:rPr>
          <w:sz w:val="24"/>
          <w:szCs w:val="24"/>
        </w:rPr>
        <w:t xml:space="preserve"> 50 </w:t>
      </w:r>
      <w:r>
        <w:rPr>
          <w:sz w:val="24"/>
          <w:szCs w:val="24"/>
        </w:rPr>
        <w:t>stk</w:t>
      </w:r>
      <w:r w:rsidRPr="00CE6AFB">
        <w:rPr>
          <w:sz w:val="24"/>
          <w:szCs w:val="24"/>
        </w:rPr>
        <w:t xml:space="preserve">. </w:t>
      </w: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</w:p>
    <w:p w:rsidR="00E53868" w:rsidRPr="00CE6AFB" w:rsidRDefault="00E53868" w:rsidP="00E53868">
      <w:pPr>
        <w:suppressAutoHyphens/>
        <w:ind w:left="851"/>
        <w:rPr>
          <w:sz w:val="24"/>
          <w:szCs w:val="24"/>
        </w:rPr>
      </w:pPr>
      <w:r w:rsidRPr="00CE6AFB">
        <w:rPr>
          <w:sz w:val="24"/>
          <w:szCs w:val="24"/>
        </w:rPr>
        <w:t>Ikke alle pakningsstørrelser er nødvendigvis markedsført.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Regler for destruktion og anden håndtering</w:t>
      </w:r>
    </w:p>
    <w:p w:rsidR="00E53868" w:rsidRPr="00CE6AFB" w:rsidRDefault="00E53868" w:rsidP="00E53868">
      <w:pPr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Ikke anvendte lægemidler samt affald heraf bør destrueres i henhold til lokale retningslinjer.</w:t>
      </w:r>
    </w:p>
    <w:p w:rsidR="00E53868" w:rsidRPr="00CE6AFB" w:rsidRDefault="00E53868" w:rsidP="00E5386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7.</w:t>
      </w:r>
      <w:r w:rsidRPr="00CE6AFB">
        <w:rPr>
          <w:b/>
          <w:sz w:val="24"/>
          <w:szCs w:val="24"/>
        </w:rPr>
        <w:tab/>
        <w:t>INDEHAVER AF MARKEDSFØRINGSTILLADELSEN</w:t>
      </w:r>
    </w:p>
    <w:p w:rsidR="00E53868" w:rsidRDefault="00E53868" w:rsidP="00E53868">
      <w:pPr>
        <w:ind w:left="851" w:hanging="851"/>
        <w:rPr>
          <w:spacing w:val="-3"/>
          <w:sz w:val="24"/>
          <w:szCs w:val="24"/>
        </w:rPr>
      </w:pPr>
      <w:r w:rsidRPr="00CE6AFB">
        <w:rPr>
          <w:sz w:val="24"/>
          <w:szCs w:val="24"/>
        </w:rPr>
        <w:tab/>
      </w:r>
      <w:r w:rsidRPr="00CE6AFB">
        <w:rPr>
          <w:spacing w:val="-3"/>
          <w:sz w:val="24"/>
          <w:szCs w:val="24"/>
        </w:rPr>
        <w:t>Mylan AB</w:t>
      </w:r>
    </w:p>
    <w:p w:rsidR="00E53868" w:rsidRPr="00CE6AFB" w:rsidRDefault="00E53868" w:rsidP="00E53868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Postboks 23033</w:t>
      </w:r>
    </w:p>
    <w:p w:rsidR="00E53868" w:rsidRPr="00CE6AFB" w:rsidRDefault="00E53868" w:rsidP="00E53868">
      <w:pPr>
        <w:ind w:left="851"/>
        <w:rPr>
          <w:spacing w:val="-3"/>
          <w:sz w:val="24"/>
          <w:szCs w:val="24"/>
        </w:rPr>
      </w:pPr>
      <w:r w:rsidRPr="00CE6AFB">
        <w:rPr>
          <w:spacing w:val="-3"/>
          <w:sz w:val="24"/>
          <w:szCs w:val="24"/>
        </w:rPr>
        <w:t>104</w:t>
      </w:r>
      <w:r>
        <w:rPr>
          <w:spacing w:val="-3"/>
          <w:sz w:val="24"/>
          <w:szCs w:val="24"/>
        </w:rPr>
        <w:t xml:space="preserve"> </w:t>
      </w:r>
      <w:r w:rsidRPr="00CE6AFB">
        <w:rPr>
          <w:spacing w:val="-3"/>
          <w:sz w:val="24"/>
          <w:szCs w:val="24"/>
        </w:rPr>
        <w:t>35 Stockholm</w:t>
      </w:r>
    </w:p>
    <w:p w:rsidR="00E53868" w:rsidRDefault="00E53868" w:rsidP="00E53868">
      <w:pPr>
        <w:ind w:left="851"/>
        <w:rPr>
          <w:spacing w:val="-3"/>
          <w:sz w:val="24"/>
          <w:szCs w:val="24"/>
        </w:rPr>
      </w:pPr>
      <w:r w:rsidRPr="00CE6AFB">
        <w:rPr>
          <w:spacing w:val="-3"/>
          <w:sz w:val="24"/>
          <w:szCs w:val="24"/>
        </w:rPr>
        <w:t>Sverige</w:t>
      </w:r>
    </w:p>
    <w:p w:rsidR="00A854EF" w:rsidRDefault="00A854EF" w:rsidP="00E53868">
      <w:pPr>
        <w:ind w:left="851"/>
        <w:rPr>
          <w:spacing w:val="-3"/>
          <w:sz w:val="24"/>
          <w:szCs w:val="24"/>
        </w:rPr>
      </w:pPr>
    </w:p>
    <w:p w:rsidR="00A854EF" w:rsidRDefault="00A854EF" w:rsidP="00A854EF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A854EF" w:rsidRPr="00C31E00" w:rsidRDefault="00A854EF" w:rsidP="00A854EF">
      <w:pPr>
        <w:ind w:left="851"/>
        <w:rPr>
          <w:sz w:val="24"/>
          <w:szCs w:val="24"/>
        </w:rPr>
      </w:pPr>
      <w:proofErr w:type="spellStart"/>
      <w:r w:rsidRPr="00C31E00">
        <w:rPr>
          <w:sz w:val="24"/>
          <w:szCs w:val="24"/>
        </w:rPr>
        <w:t>Viatris</w:t>
      </w:r>
      <w:proofErr w:type="spellEnd"/>
      <w:r w:rsidRPr="00C31E00">
        <w:rPr>
          <w:sz w:val="24"/>
          <w:szCs w:val="24"/>
        </w:rPr>
        <w:t xml:space="preserve"> ApS</w:t>
      </w:r>
    </w:p>
    <w:p w:rsidR="00A854EF" w:rsidRPr="00C31E00" w:rsidRDefault="00A854EF" w:rsidP="00A854EF">
      <w:pPr>
        <w:ind w:left="851"/>
        <w:rPr>
          <w:sz w:val="24"/>
          <w:szCs w:val="24"/>
        </w:rPr>
      </w:pPr>
      <w:r w:rsidRPr="00C31E00">
        <w:rPr>
          <w:sz w:val="24"/>
          <w:szCs w:val="24"/>
        </w:rPr>
        <w:t>Borupvang 1</w:t>
      </w:r>
    </w:p>
    <w:p w:rsidR="00A854EF" w:rsidRPr="00CE6AFB" w:rsidRDefault="00A854EF" w:rsidP="00A854EF">
      <w:pPr>
        <w:ind w:left="851"/>
        <w:rPr>
          <w:spacing w:val="-3"/>
          <w:sz w:val="24"/>
          <w:szCs w:val="24"/>
        </w:rPr>
      </w:pPr>
      <w:r w:rsidRPr="00C31E00">
        <w:rPr>
          <w:sz w:val="24"/>
          <w:szCs w:val="24"/>
        </w:rPr>
        <w:t>2750 Ballerup</w:t>
      </w:r>
    </w:p>
    <w:p w:rsidR="00E53868" w:rsidRPr="00CE6AFB" w:rsidRDefault="00E53868" w:rsidP="00E53868">
      <w:pPr>
        <w:rPr>
          <w:spacing w:val="-3"/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8.</w:t>
      </w:r>
      <w:r w:rsidRPr="00CE6AFB">
        <w:rPr>
          <w:b/>
          <w:sz w:val="24"/>
          <w:szCs w:val="24"/>
        </w:rPr>
        <w:tab/>
        <w:t>MARKEDSFØRINGSTILLADELSESNUMMER (NUMRE)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47219</w:t>
      </w:r>
    </w:p>
    <w:p w:rsidR="00E53868" w:rsidRPr="00CE6AFB" w:rsidRDefault="00E53868" w:rsidP="00E5386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9.</w:t>
      </w:r>
      <w:r w:rsidRPr="00CE6AFB">
        <w:rPr>
          <w:b/>
          <w:sz w:val="24"/>
          <w:szCs w:val="24"/>
        </w:rPr>
        <w:tab/>
        <w:t>DATO FOR FØRSTE MARKEDSFØRINGSTILLADELSE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  <w:t>15. juli 2011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53868" w:rsidRPr="00CE6AFB" w:rsidRDefault="00E53868" w:rsidP="00E5386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E6AFB">
        <w:rPr>
          <w:b/>
          <w:sz w:val="24"/>
          <w:szCs w:val="24"/>
        </w:rPr>
        <w:t>10.</w:t>
      </w:r>
      <w:r w:rsidRPr="00CE6AFB">
        <w:rPr>
          <w:b/>
          <w:sz w:val="24"/>
          <w:szCs w:val="24"/>
        </w:rPr>
        <w:tab/>
        <w:t>DATO FOR ÆNDRING AF TEKSTEN</w:t>
      </w:r>
    </w:p>
    <w:p w:rsidR="00E53868" w:rsidRPr="00CE6AFB" w:rsidRDefault="00E53868" w:rsidP="00E53868">
      <w:pPr>
        <w:tabs>
          <w:tab w:val="left" w:pos="851"/>
        </w:tabs>
        <w:ind w:left="851" w:hanging="851"/>
        <w:rPr>
          <w:sz w:val="24"/>
          <w:szCs w:val="24"/>
        </w:rPr>
      </w:pPr>
      <w:r w:rsidRPr="00CE6AFB">
        <w:rPr>
          <w:sz w:val="24"/>
          <w:szCs w:val="24"/>
        </w:rPr>
        <w:tab/>
      </w:r>
      <w:r w:rsidR="00A854EF">
        <w:rPr>
          <w:sz w:val="24"/>
          <w:szCs w:val="24"/>
        </w:rPr>
        <w:t>31. oktober 2022</w:t>
      </w:r>
    </w:p>
    <w:p w:rsidR="00E53868" w:rsidRPr="00680471" w:rsidRDefault="00E53868" w:rsidP="00E53868"/>
    <w:p w:rsidR="00E53868" w:rsidRPr="003B5067" w:rsidRDefault="00E53868" w:rsidP="00E53868"/>
    <w:p w:rsidR="009260DE" w:rsidRPr="00E53868" w:rsidRDefault="009260DE" w:rsidP="00E53868"/>
    <w:sectPr w:rsidR="009260DE" w:rsidRPr="00E5386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868" w:rsidRDefault="00E53868">
      <w:r>
        <w:separator/>
      </w:r>
    </w:p>
  </w:endnote>
  <w:endnote w:type="continuationSeparator" w:id="0">
    <w:p w:rsidR="00E53868" w:rsidRDefault="00E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F03B45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F03B45">
      <w:rPr>
        <w:i/>
        <w:sz w:val="18"/>
        <w:szCs w:val="18"/>
      </w:rPr>
      <w:t>Entacapone</w:t>
    </w:r>
    <w:proofErr w:type="spellEnd"/>
    <w:r w:rsidRPr="00F03B45">
      <w:rPr>
        <w:i/>
        <w:sz w:val="18"/>
        <w:szCs w:val="18"/>
      </w:rPr>
      <w:t xml:space="preserve"> Mylan, filmovertrukne tabletter 200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868" w:rsidRDefault="00E53868">
      <w:r>
        <w:separator/>
      </w:r>
    </w:p>
  </w:footnote>
  <w:footnote w:type="continuationSeparator" w:id="0">
    <w:p w:rsidR="00E53868" w:rsidRDefault="00E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976B9F"/>
    <w:multiLevelType w:val="hybridMultilevel"/>
    <w:tmpl w:val="FDF42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68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97595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16DBA"/>
    <w:rsid w:val="009260DE"/>
    <w:rsid w:val="0093258A"/>
    <w:rsid w:val="009C7BA3"/>
    <w:rsid w:val="009D1F5A"/>
    <w:rsid w:val="00A854EF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2EA5"/>
    <w:rsid w:val="00E108AA"/>
    <w:rsid w:val="00E31812"/>
    <w:rsid w:val="00E3749A"/>
    <w:rsid w:val="00E53868"/>
    <w:rsid w:val="00E7437F"/>
    <w:rsid w:val="00E865B8"/>
    <w:rsid w:val="00EC0B9B"/>
    <w:rsid w:val="00ED5E9F"/>
    <w:rsid w:val="00F03B45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FBC04"/>
  <w15:chartTrackingRefBased/>
  <w15:docId w15:val="{D743D1E5-A320-411F-9BB3-E8E8E53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rsid w:val="00E5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11</Pages>
  <Words>2968</Words>
  <Characters>19841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2022094324_x000d_
Tilføjelse af repræsentanten Viatris ApS</dc:description>
  <cp:lastModifiedBy>Marianne Ott Jensen</cp:lastModifiedBy>
  <cp:revision>3</cp:revision>
  <cp:lastPrinted>2012-08-22T08:53:00Z</cp:lastPrinted>
  <dcterms:created xsi:type="dcterms:W3CDTF">2022-10-28T11:09:00Z</dcterms:created>
  <dcterms:modified xsi:type="dcterms:W3CDTF">2022-10-28T11:10:00Z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