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868" w:rsidRPr="008F49E1" w:rsidRDefault="00E53868" w:rsidP="00E53868">
      <w:pPr>
        <w:rPr>
          <w:sz w:val="24"/>
          <w:szCs w:val="24"/>
        </w:rPr>
      </w:pPr>
      <w:r w:rsidRPr="008F49E1">
        <w:rPr>
          <w:noProof/>
          <w:sz w:val="24"/>
          <w:szCs w:val="24"/>
          <w:lang w:eastAsia="da-DK"/>
        </w:rPr>
        <w:drawing>
          <wp:inline distT="0" distB="0" distL="0" distR="0" wp14:anchorId="3A067F9D" wp14:editId="265A8D78">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E53868" w:rsidRPr="00CE6AFB" w:rsidRDefault="00E53868" w:rsidP="00E53868">
      <w:pPr>
        <w:ind w:left="851" w:hanging="851"/>
        <w:rPr>
          <w:sz w:val="24"/>
          <w:szCs w:val="24"/>
        </w:rPr>
      </w:pPr>
    </w:p>
    <w:p w:rsidR="00E53868" w:rsidRPr="00CE6AFB" w:rsidRDefault="00E53868" w:rsidP="00E53868">
      <w:pPr>
        <w:pStyle w:val="Titel"/>
        <w:tabs>
          <w:tab w:val="right" w:pos="9356"/>
        </w:tabs>
        <w:ind w:left="851" w:hanging="851"/>
        <w:jc w:val="right"/>
        <w:rPr>
          <w:szCs w:val="24"/>
        </w:rPr>
      </w:pPr>
      <w:r w:rsidRPr="00CE6AFB">
        <w:rPr>
          <w:b w:val="0"/>
          <w:szCs w:val="24"/>
          <w:lang w:eastAsia="en-US"/>
        </w:rPr>
        <w:tab/>
      </w:r>
      <w:r w:rsidR="00C03341">
        <w:rPr>
          <w:szCs w:val="24"/>
        </w:rPr>
        <w:t>2</w:t>
      </w:r>
      <w:r w:rsidR="008D2169">
        <w:rPr>
          <w:szCs w:val="24"/>
        </w:rPr>
        <w:t>7</w:t>
      </w:r>
      <w:r>
        <w:rPr>
          <w:szCs w:val="24"/>
        </w:rPr>
        <w:t xml:space="preserve">. </w:t>
      </w:r>
      <w:r w:rsidR="00C03341">
        <w:rPr>
          <w:szCs w:val="24"/>
        </w:rPr>
        <w:t>juni</w:t>
      </w:r>
      <w:r>
        <w:rPr>
          <w:szCs w:val="24"/>
        </w:rPr>
        <w:t xml:space="preserve"> 20</w:t>
      </w:r>
      <w:r w:rsidR="00A854EF">
        <w:rPr>
          <w:szCs w:val="24"/>
        </w:rPr>
        <w:t>2</w:t>
      </w:r>
      <w:r w:rsidR="00C03341">
        <w:rPr>
          <w:szCs w:val="24"/>
        </w:rPr>
        <w:t>5</w:t>
      </w:r>
    </w:p>
    <w:p w:rsidR="00E53868" w:rsidRPr="00CE6AFB" w:rsidRDefault="00E53868" w:rsidP="00E53868">
      <w:pPr>
        <w:pStyle w:val="Titel"/>
        <w:tabs>
          <w:tab w:val="left" w:pos="8222"/>
        </w:tabs>
        <w:ind w:left="851" w:hanging="851"/>
        <w:jc w:val="left"/>
        <w:rPr>
          <w:b w:val="0"/>
          <w:szCs w:val="24"/>
        </w:rPr>
      </w:pPr>
    </w:p>
    <w:p w:rsidR="00E53868" w:rsidRDefault="00E53868" w:rsidP="00E53868">
      <w:pPr>
        <w:pStyle w:val="Titel"/>
        <w:ind w:left="851" w:hanging="851"/>
        <w:jc w:val="left"/>
        <w:rPr>
          <w:b w:val="0"/>
          <w:szCs w:val="24"/>
        </w:rPr>
      </w:pPr>
    </w:p>
    <w:p w:rsidR="008D2169" w:rsidRPr="00CE6AFB" w:rsidRDefault="008D2169" w:rsidP="00E53868">
      <w:pPr>
        <w:pStyle w:val="Titel"/>
        <w:ind w:left="851" w:hanging="851"/>
        <w:jc w:val="left"/>
        <w:rPr>
          <w:b w:val="0"/>
          <w:szCs w:val="24"/>
        </w:rPr>
      </w:pPr>
      <w:bookmarkStart w:id="0" w:name="_GoBack"/>
      <w:bookmarkEnd w:id="0"/>
    </w:p>
    <w:p w:rsidR="00E53868" w:rsidRPr="00CE6AFB" w:rsidRDefault="00E53868" w:rsidP="00E53868">
      <w:pPr>
        <w:ind w:left="851" w:hanging="851"/>
        <w:jc w:val="center"/>
        <w:rPr>
          <w:b/>
          <w:sz w:val="24"/>
          <w:szCs w:val="24"/>
        </w:rPr>
      </w:pPr>
      <w:r w:rsidRPr="00CE6AFB">
        <w:rPr>
          <w:b/>
          <w:sz w:val="24"/>
          <w:szCs w:val="24"/>
        </w:rPr>
        <w:t>PRODUKTRESUMÉ</w:t>
      </w:r>
    </w:p>
    <w:p w:rsidR="00E53868" w:rsidRPr="00CE6AFB" w:rsidRDefault="00E53868" w:rsidP="00E53868">
      <w:pPr>
        <w:ind w:left="851" w:hanging="851"/>
        <w:jc w:val="center"/>
        <w:rPr>
          <w:b/>
          <w:sz w:val="24"/>
          <w:szCs w:val="24"/>
        </w:rPr>
      </w:pPr>
    </w:p>
    <w:p w:rsidR="00E53868" w:rsidRPr="00CE6AFB" w:rsidRDefault="00E53868" w:rsidP="00E53868">
      <w:pPr>
        <w:ind w:left="851" w:hanging="851"/>
        <w:jc w:val="center"/>
        <w:rPr>
          <w:b/>
          <w:sz w:val="24"/>
          <w:szCs w:val="24"/>
        </w:rPr>
      </w:pPr>
      <w:r w:rsidRPr="00CE6AFB">
        <w:rPr>
          <w:b/>
          <w:sz w:val="24"/>
          <w:szCs w:val="24"/>
        </w:rPr>
        <w:t>for</w:t>
      </w:r>
    </w:p>
    <w:p w:rsidR="00E53868" w:rsidRPr="00CE6AFB" w:rsidRDefault="00E53868" w:rsidP="00E53868">
      <w:pPr>
        <w:ind w:left="851" w:hanging="851"/>
        <w:jc w:val="center"/>
        <w:rPr>
          <w:b/>
          <w:sz w:val="24"/>
          <w:szCs w:val="24"/>
        </w:rPr>
      </w:pPr>
    </w:p>
    <w:p w:rsidR="00E53868" w:rsidRPr="00CE6AFB" w:rsidRDefault="00965ECA" w:rsidP="00E53868">
      <w:pPr>
        <w:ind w:left="851" w:hanging="851"/>
        <w:jc w:val="center"/>
        <w:rPr>
          <w:b/>
          <w:sz w:val="24"/>
          <w:szCs w:val="24"/>
        </w:rPr>
      </w:pPr>
      <w:r>
        <w:rPr>
          <w:b/>
          <w:sz w:val="24"/>
          <w:szCs w:val="24"/>
        </w:rPr>
        <w:t>Entacapone ”Viatris”</w:t>
      </w:r>
      <w:r w:rsidR="00E53868" w:rsidRPr="00CE6AFB">
        <w:rPr>
          <w:b/>
          <w:sz w:val="24"/>
          <w:szCs w:val="24"/>
        </w:rPr>
        <w:t>, filmovertrukne tabletter</w:t>
      </w:r>
    </w:p>
    <w:p w:rsidR="00E53868" w:rsidRPr="00CE6AFB" w:rsidRDefault="00E53868" w:rsidP="00E53868">
      <w:pPr>
        <w:ind w:left="851" w:hanging="851"/>
        <w:jc w:val="both"/>
        <w:rPr>
          <w:sz w:val="24"/>
          <w:szCs w:val="24"/>
        </w:rPr>
      </w:pPr>
    </w:p>
    <w:p w:rsidR="00E53868" w:rsidRPr="00CE6AFB" w:rsidRDefault="00E53868" w:rsidP="00E53868">
      <w:pPr>
        <w:ind w:left="851" w:hanging="851"/>
        <w:jc w:val="both"/>
        <w:rPr>
          <w:sz w:val="24"/>
          <w:szCs w:val="24"/>
        </w:rPr>
      </w:pPr>
    </w:p>
    <w:p w:rsidR="00E53868" w:rsidRPr="00CE6AFB" w:rsidRDefault="00E53868" w:rsidP="00E53868">
      <w:pPr>
        <w:numPr>
          <w:ilvl w:val="0"/>
          <w:numId w:val="1"/>
        </w:numPr>
        <w:tabs>
          <w:tab w:val="clear" w:pos="855"/>
          <w:tab w:val="left" w:pos="851"/>
        </w:tabs>
        <w:ind w:left="851" w:hanging="851"/>
        <w:rPr>
          <w:b/>
          <w:sz w:val="24"/>
          <w:szCs w:val="24"/>
        </w:rPr>
      </w:pPr>
      <w:r w:rsidRPr="00CE6AFB">
        <w:rPr>
          <w:b/>
          <w:sz w:val="24"/>
          <w:szCs w:val="24"/>
        </w:rPr>
        <w:t>D.SP.NR.</w:t>
      </w:r>
    </w:p>
    <w:p w:rsidR="00E53868" w:rsidRPr="00CE6AFB" w:rsidRDefault="00E53868" w:rsidP="00E53868">
      <w:pPr>
        <w:tabs>
          <w:tab w:val="left" w:pos="851"/>
        </w:tabs>
        <w:ind w:left="851" w:hanging="851"/>
        <w:rPr>
          <w:sz w:val="24"/>
          <w:szCs w:val="24"/>
        </w:rPr>
      </w:pPr>
      <w:r w:rsidRPr="00CE6AFB">
        <w:rPr>
          <w:sz w:val="24"/>
          <w:szCs w:val="24"/>
        </w:rPr>
        <w:tab/>
        <w:t>27363</w:t>
      </w:r>
    </w:p>
    <w:p w:rsidR="00E53868" w:rsidRPr="00CE6AFB" w:rsidRDefault="00E53868" w:rsidP="00E53868">
      <w:pPr>
        <w:tabs>
          <w:tab w:val="left" w:pos="851"/>
        </w:tabs>
        <w:ind w:left="851" w:hanging="851"/>
        <w:rPr>
          <w:sz w:val="24"/>
          <w:szCs w:val="24"/>
        </w:rPr>
      </w:pPr>
    </w:p>
    <w:p w:rsidR="00E53868" w:rsidRPr="00CE6AFB" w:rsidRDefault="00E53868" w:rsidP="00E53868">
      <w:pPr>
        <w:numPr>
          <w:ilvl w:val="0"/>
          <w:numId w:val="1"/>
        </w:numPr>
        <w:ind w:left="851" w:hanging="851"/>
        <w:rPr>
          <w:b/>
          <w:sz w:val="24"/>
          <w:szCs w:val="24"/>
        </w:rPr>
      </w:pPr>
      <w:r w:rsidRPr="00CE6AFB">
        <w:rPr>
          <w:b/>
          <w:sz w:val="24"/>
          <w:szCs w:val="24"/>
        </w:rPr>
        <w:t>LÆGEMIDLETS NAVN</w:t>
      </w:r>
    </w:p>
    <w:p w:rsidR="00E53868" w:rsidRPr="00CE6AFB" w:rsidRDefault="00E53868" w:rsidP="00E53868">
      <w:pPr>
        <w:tabs>
          <w:tab w:val="left" w:pos="851"/>
        </w:tabs>
        <w:ind w:left="851" w:hanging="851"/>
        <w:rPr>
          <w:sz w:val="24"/>
          <w:szCs w:val="24"/>
        </w:rPr>
      </w:pPr>
      <w:r>
        <w:rPr>
          <w:sz w:val="24"/>
          <w:szCs w:val="24"/>
        </w:rPr>
        <w:tab/>
      </w:r>
      <w:r w:rsidR="00965ECA">
        <w:rPr>
          <w:sz w:val="24"/>
          <w:szCs w:val="24"/>
        </w:rPr>
        <w:t>Entacapone ”Viatris”</w:t>
      </w:r>
    </w:p>
    <w:p w:rsidR="00E53868" w:rsidRPr="00CE6AFB" w:rsidRDefault="00E53868" w:rsidP="00E53868">
      <w:pPr>
        <w:tabs>
          <w:tab w:val="left" w:pos="851"/>
        </w:tabs>
        <w:ind w:left="851" w:hanging="851"/>
        <w:rPr>
          <w:sz w:val="24"/>
          <w:szCs w:val="24"/>
        </w:rPr>
      </w:pPr>
      <w:r w:rsidRPr="00CE6AFB">
        <w:rPr>
          <w:sz w:val="24"/>
          <w:szCs w:val="24"/>
        </w:rPr>
        <w:tab/>
      </w:r>
    </w:p>
    <w:p w:rsidR="00E53868" w:rsidRPr="00CE6AFB" w:rsidRDefault="00E53868" w:rsidP="00E53868">
      <w:pPr>
        <w:numPr>
          <w:ilvl w:val="0"/>
          <w:numId w:val="1"/>
        </w:numPr>
        <w:ind w:left="851" w:hanging="851"/>
        <w:rPr>
          <w:b/>
          <w:sz w:val="24"/>
          <w:szCs w:val="24"/>
        </w:rPr>
      </w:pPr>
      <w:r w:rsidRPr="00CE6AFB">
        <w:rPr>
          <w:b/>
          <w:sz w:val="24"/>
          <w:szCs w:val="24"/>
        </w:rPr>
        <w:t>KVALITATIV OG KVANTITATIV SAMMENSÆTNING</w:t>
      </w:r>
    </w:p>
    <w:p w:rsidR="00E53868" w:rsidRPr="00CE6AFB" w:rsidRDefault="00E53868" w:rsidP="00E53868">
      <w:pPr>
        <w:ind w:firstLine="851"/>
        <w:rPr>
          <w:sz w:val="24"/>
          <w:szCs w:val="24"/>
        </w:rPr>
      </w:pPr>
      <w:r w:rsidRPr="00CE6AFB">
        <w:rPr>
          <w:sz w:val="24"/>
          <w:szCs w:val="24"/>
        </w:rPr>
        <w:t>Hver filmovertrukket tablet indeholder 200 mg entacapon.</w:t>
      </w:r>
    </w:p>
    <w:p w:rsidR="00E53868" w:rsidRPr="00CE6AFB" w:rsidRDefault="00E53868" w:rsidP="00E53868">
      <w:pPr>
        <w:rPr>
          <w:sz w:val="24"/>
          <w:szCs w:val="24"/>
        </w:rPr>
      </w:pPr>
    </w:p>
    <w:p w:rsidR="00E53868" w:rsidRPr="00D852B3" w:rsidRDefault="00E53868" w:rsidP="00E53868">
      <w:pPr>
        <w:ind w:firstLine="851"/>
        <w:rPr>
          <w:sz w:val="24"/>
          <w:szCs w:val="24"/>
          <w:u w:val="single"/>
        </w:rPr>
      </w:pPr>
      <w:r w:rsidRPr="00D852B3">
        <w:rPr>
          <w:sz w:val="24"/>
          <w:szCs w:val="24"/>
          <w:u w:val="single"/>
        </w:rPr>
        <w:t>Hjælpestof, som behandleren skal være opmærksom på</w:t>
      </w:r>
    </w:p>
    <w:p w:rsidR="00E53868" w:rsidRPr="00CE6AFB" w:rsidRDefault="00E53868" w:rsidP="00E53868">
      <w:pPr>
        <w:ind w:firstLine="851"/>
        <w:rPr>
          <w:sz w:val="24"/>
          <w:szCs w:val="24"/>
        </w:rPr>
      </w:pPr>
      <w:r w:rsidRPr="00CE6AFB">
        <w:rPr>
          <w:sz w:val="24"/>
          <w:szCs w:val="24"/>
        </w:rPr>
        <w:t xml:space="preserve">Hver </w:t>
      </w:r>
      <w:r>
        <w:rPr>
          <w:sz w:val="24"/>
          <w:szCs w:val="24"/>
        </w:rPr>
        <w:t xml:space="preserve">filmovertrukket </w:t>
      </w:r>
      <w:r w:rsidRPr="00CE6AFB">
        <w:rPr>
          <w:sz w:val="24"/>
          <w:szCs w:val="24"/>
        </w:rPr>
        <w:t>tablet indeholder 0,136 mg saccharose.</w:t>
      </w:r>
    </w:p>
    <w:p w:rsidR="00E53868" w:rsidRPr="00CE6AFB" w:rsidRDefault="00E53868" w:rsidP="00E53868">
      <w:pPr>
        <w:rPr>
          <w:sz w:val="24"/>
          <w:szCs w:val="24"/>
        </w:rPr>
      </w:pPr>
    </w:p>
    <w:p w:rsidR="00E53868" w:rsidRPr="00CE6AFB" w:rsidRDefault="00E53868" w:rsidP="00E53868">
      <w:pPr>
        <w:ind w:firstLine="851"/>
        <w:rPr>
          <w:sz w:val="24"/>
          <w:szCs w:val="24"/>
        </w:rPr>
      </w:pPr>
      <w:r w:rsidRPr="00CE6AFB">
        <w:rPr>
          <w:sz w:val="24"/>
          <w:szCs w:val="24"/>
        </w:rPr>
        <w:t>Alle hjælpestoffer er anført under pkt. 6.1.</w:t>
      </w:r>
    </w:p>
    <w:p w:rsidR="00E53868" w:rsidRPr="00CE6AFB" w:rsidRDefault="00E53868" w:rsidP="00E53868">
      <w:pPr>
        <w:tabs>
          <w:tab w:val="left" w:pos="851"/>
        </w:tabs>
        <w:ind w:left="851" w:hanging="851"/>
        <w:rPr>
          <w:sz w:val="24"/>
          <w:szCs w:val="24"/>
        </w:rPr>
      </w:pPr>
    </w:p>
    <w:p w:rsidR="00E53868" w:rsidRPr="00CE6AFB" w:rsidRDefault="00E53868" w:rsidP="00E53868">
      <w:pPr>
        <w:numPr>
          <w:ilvl w:val="0"/>
          <w:numId w:val="1"/>
        </w:numPr>
        <w:ind w:left="851" w:hanging="851"/>
        <w:rPr>
          <w:b/>
          <w:sz w:val="24"/>
          <w:szCs w:val="24"/>
        </w:rPr>
      </w:pPr>
      <w:r w:rsidRPr="00CE6AFB">
        <w:rPr>
          <w:b/>
          <w:sz w:val="24"/>
          <w:szCs w:val="24"/>
        </w:rPr>
        <w:t>LÆGEMIDDELFORM</w:t>
      </w:r>
    </w:p>
    <w:p w:rsidR="00E53868" w:rsidRPr="00CE6AFB" w:rsidRDefault="00E53868" w:rsidP="00E53868">
      <w:pPr>
        <w:suppressAutoHyphens/>
        <w:ind w:left="851" w:hanging="851"/>
        <w:rPr>
          <w:sz w:val="24"/>
          <w:szCs w:val="24"/>
        </w:rPr>
      </w:pPr>
      <w:r w:rsidRPr="00D852B3">
        <w:rPr>
          <w:sz w:val="24"/>
          <w:szCs w:val="24"/>
        </w:rPr>
        <w:tab/>
      </w:r>
      <w:r>
        <w:rPr>
          <w:sz w:val="24"/>
          <w:szCs w:val="24"/>
        </w:rPr>
        <w:t>Filmovertrukket tabletter (tabletter)</w:t>
      </w:r>
    </w:p>
    <w:p w:rsidR="00E53868" w:rsidRDefault="00E53868" w:rsidP="00E53868">
      <w:pPr>
        <w:tabs>
          <w:tab w:val="left" w:pos="-720"/>
        </w:tabs>
        <w:suppressAutoHyphens/>
        <w:ind w:left="851" w:hanging="851"/>
        <w:rPr>
          <w:sz w:val="24"/>
          <w:szCs w:val="24"/>
        </w:rPr>
      </w:pPr>
      <w:r>
        <w:rPr>
          <w:sz w:val="24"/>
          <w:szCs w:val="24"/>
        </w:rPr>
        <w:tab/>
      </w:r>
    </w:p>
    <w:p w:rsidR="00E53868" w:rsidRPr="00CE6AFB" w:rsidRDefault="00E53868" w:rsidP="00E53868">
      <w:pPr>
        <w:tabs>
          <w:tab w:val="left" w:pos="-720"/>
        </w:tabs>
        <w:suppressAutoHyphens/>
        <w:ind w:left="851" w:hanging="851"/>
        <w:rPr>
          <w:sz w:val="24"/>
          <w:szCs w:val="24"/>
        </w:rPr>
      </w:pPr>
      <w:r>
        <w:rPr>
          <w:sz w:val="24"/>
          <w:szCs w:val="24"/>
        </w:rPr>
        <w:tab/>
      </w:r>
      <w:r w:rsidRPr="00CE6AFB">
        <w:rPr>
          <w:sz w:val="24"/>
          <w:szCs w:val="24"/>
        </w:rPr>
        <w:t xml:space="preserve">Lys orange, oval, bikonveks, filmovertrukket tablet med </w:t>
      </w:r>
      <w:r>
        <w:rPr>
          <w:sz w:val="24"/>
          <w:szCs w:val="24"/>
        </w:rPr>
        <w:t>"</w:t>
      </w:r>
      <w:r w:rsidRPr="00CE6AFB">
        <w:rPr>
          <w:sz w:val="24"/>
          <w:szCs w:val="24"/>
        </w:rPr>
        <w:t>EE200</w:t>
      </w:r>
      <w:r>
        <w:rPr>
          <w:sz w:val="24"/>
          <w:szCs w:val="24"/>
        </w:rPr>
        <w:t>"</w:t>
      </w:r>
      <w:r w:rsidRPr="00CE6AFB">
        <w:rPr>
          <w:sz w:val="24"/>
          <w:szCs w:val="24"/>
        </w:rPr>
        <w:t xml:space="preserve"> præget på den ene side og </w:t>
      </w:r>
      <w:r>
        <w:rPr>
          <w:sz w:val="24"/>
          <w:szCs w:val="24"/>
        </w:rPr>
        <w:t>"</w:t>
      </w:r>
      <w:r w:rsidRPr="00CE6AFB">
        <w:rPr>
          <w:sz w:val="24"/>
          <w:szCs w:val="24"/>
        </w:rPr>
        <w:t>M</w:t>
      </w:r>
      <w:r>
        <w:rPr>
          <w:sz w:val="24"/>
          <w:szCs w:val="24"/>
        </w:rPr>
        <w:t>"</w:t>
      </w:r>
      <w:r w:rsidRPr="00CE6AFB">
        <w:rPr>
          <w:sz w:val="24"/>
          <w:szCs w:val="24"/>
        </w:rPr>
        <w:t xml:space="preserve"> på den anden side. </w:t>
      </w:r>
    </w:p>
    <w:p w:rsidR="00E53868" w:rsidRPr="00CE6AFB" w:rsidRDefault="00E53868" w:rsidP="00E53868">
      <w:pPr>
        <w:tabs>
          <w:tab w:val="left" w:pos="851"/>
        </w:tabs>
        <w:ind w:left="851" w:hanging="851"/>
        <w:rPr>
          <w:sz w:val="24"/>
          <w:szCs w:val="24"/>
        </w:rPr>
      </w:pPr>
    </w:p>
    <w:p w:rsidR="00E53868" w:rsidRPr="00CE6AFB" w:rsidRDefault="00E53868" w:rsidP="00E53868">
      <w:pPr>
        <w:tabs>
          <w:tab w:val="left" w:pos="851"/>
        </w:tabs>
        <w:ind w:left="851" w:hanging="851"/>
        <w:rPr>
          <w:sz w:val="24"/>
          <w:szCs w:val="24"/>
        </w:rPr>
      </w:pPr>
    </w:p>
    <w:p w:rsidR="00E53868" w:rsidRPr="00CE6AFB" w:rsidRDefault="00E53868" w:rsidP="00E53868">
      <w:pPr>
        <w:numPr>
          <w:ilvl w:val="0"/>
          <w:numId w:val="1"/>
        </w:numPr>
        <w:ind w:left="851" w:hanging="851"/>
        <w:rPr>
          <w:b/>
          <w:sz w:val="24"/>
          <w:szCs w:val="24"/>
        </w:rPr>
      </w:pPr>
      <w:r w:rsidRPr="00CE6AFB">
        <w:rPr>
          <w:b/>
          <w:sz w:val="24"/>
          <w:szCs w:val="24"/>
        </w:rPr>
        <w:t>KLINISKE OPLYSNINGER</w:t>
      </w:r>
    </w:p>
    <w:p w:rsidR="00E53868" w:rsidRPr="00CE6AFB" w:rsidRDefault="00E53868" w:rsidP="00E53868">
      <w:pPr>
        <w:tabs>
          <w:tab w:val="left" w:pos="851"/>
        </w:tabs>
        <w:ind w:left="851" w:hanging="851"/>
        <w:rPr>
          <w:b/>
          <w:sz w:val="24"/>
          <w:szCs w:val="24"/>
        </w:rPr>
      </w:pPr>
    </w:p>
    <w:p w:rsidR="00E53868" w:rsidRPr="00CE6AFB" w:rsidRDefault="00E53868" w:rsidP="00E53868">
      <w:pPr>
        <w:numPr>
          <w:ilvl w:val="1"/>
          <w:numId w:val="1"/>
        </w:numPr>
        <w:ind w:left="851" w:hanging="851"/>
        <w:rPr>
          <w:b/>
          <w:sz w:val="24"/>
          <w:szCs w:val="24"/>
          <w:u w:val="single"/>
        </w:rPr>
      </w:pPr>
      <w:r w:rsidRPr="00CE6AFB">
        <w:rPr>
          <w:b/>
          <w:sz w:val="24"/>
          <w:szCs w:val="24"/>
        </w:rPr>
        <w:t>Terapeutiske indikationer</w:t>
      </w:r>
    </w:p>
    <w:p w:rsidR="00E53868" w:rsidRPr="00CE6AFB" w:rsidRDefault="00E53868" w:rsidP="00E53868">
      <w:pPr>
        <w:autoSpaceDE w:val="0"/>
        <w:autoSpaceDN w:val="0"/>
        <w:adjustRightInd w:val="0"/>
        <w:ind w:left="851" w:hanging="851"/>
        <w:rPr>
          <w:sz w:val="24"/>
          <w:szCs w:val="24"/>
        </w:rPr>
      </w:pPr>
      <w:r w:rsidRPr="00CE6AFB">
        <w:rPr>
          <w:sz w:val="24"/>
          <w:szCs w:val="24"/>
        </w:rPr>
        <w:tab/>
        <w:t>Entacapon er indiceret som adjuvant til levodopa/benserazid eller levodopa/carbidopa hos voksne</w:t>
      </w:r>
      <w:r>
        <w:rPr>
          <w:sz w:val="24"/>
          <w:szCs w:val="24"/>
        </w:rPr>
        <w:t xml:space="preserve"> </w:t>
      </w:r>
      <w:r w:rsidRPr="00CE6AFB">
        <w:rPr>
          <w:sz w:val="24"/>
          <w:szCs w:val="24"/>
        </w:rPr>
        <w:t>patienter med Parkinsons sygdom og end-of-dose fluktuationer, der ikke kan stabiliseres på disse</w:t>
      </w:r>
      <w:r>
        <w:rPr>
          <w:sz w:val="24"/>
          <w:szCs w:val="24"/>
        </w:rPr>
        <w:t xml:space="preserve"> </w:t>
      </w:r>
      <w:r w:rsidRPr="00CE6AFB">
        <w:rPr>
          <w:sz w:val="24"/>
          <w:szCs w:val="24"/>
        </w:rPr>
        <w:t>kombinationer.</w:t>
      </w:r>
    </w:p>
    <w:p w:rsidR="00E53868" w:rsidRPr="00CE6AFB" w:rsidRDefault="00E53868" w:rsidP="00E53868">
      <w:pPr>
        <w:tabs>
          <w:tab w:val="left" w:pos="851"/>
        </w:tabs>
        <w:ind w:left="851" w:hanging="851"/>
        <w:rPr>
          <w:sz w:val="24"/>
          <w:szCs w:val="24"/>
        </w:rPr>
      </w:pPr>
    </w:p>
    <w:p w:rsidR="00E53868" w:rsidRPr="00CE6AFB" w:rsidRDefault="00E53868" w:rsidP="00E53868">
      <w:pPr>
        <w:numPr>
          <w:ilvl w:val="1"/>
          <w:numId w:val="1"/>
        </w:numPr>
        <w:ind w:left="851" w:hanging="851"/>
        <w:rPr>
          <w:b/>
          <w:sz w:val="24"/>
          <w:szCs w:val="24"/>
        </w:rPr>
      </w:pPr>
      <w:r w:rsidRPr="00CE6AFB">
        <w:rPr>
          <w:b/>
          <w:sz w:val="24"/>
          <w:szCs w:val="24"/>
        </w:rPr>
        <w:t xml:space="preserve">Dosering og </w:t>
      </w:r>
      <w:r w:rsidR="00C03341">
        <w:rPr>
          <w:b/>
          <w:sz w:val="24"/>
          <w:szCs w:val="24"/>
        </w:rPr>
        <w:t>administration</w:t>
      </w:r>
    </w:p>
    <w:p w:rsidR="00E53868" w:rsidRPr="00CE6AFB" w:rsidRDefault="00E53868" w:rsidP="00E53868">
      <w:pPr>
        <w:autoSpaceDE w:val="0"/>
        <w:autoSpaceDN w:val="0"/>
        <w:adjustRightInd w:val="0"/>
        <w:ind w:left="851" w:hanging="851"/>
        <w:rPr>
          <w:sz w:val="24"/>
          <w:szCs w:val="24"/>
        </w:rPr>
      </w:pPr>
      <w:r w:rsidRPr="00CE6AFB">
        <w:rPr>
          <w:sz w:val="24"/>
          <w:szCs w:val="24"/>
        </w:rPr>
        <w:tab/>
        <w:t>Entacapon bør kun ordineres sammen med levodopa/benserazid eller levodopa/carbidopa. Tilsvarende ordinationsinformation gælder for disse levodopapræparater med hensyn til ordination sammen med entacapon.</w:t>
      </w:r>
    </w:p>
    <w:p w:rsidR="00E53868" w:rsidRDefault="00E53868" w:rsidP="00E53868">
      <w:pPr>
        <w:rPr>
          <w:sz w:val="24"/>
          <w:szCs w:val="24"/>
        </w:rPr>
      </w:pPr>
      <w:r>
        <w:rPr>
          <w:sz w:val="24"/>
          <w:szCs w:val="24"/>
        </w:rPr>
        <w:br w:type="page"/>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b/>
          <w:sz w:val="24"/>
          <w:szCs w:val="24"/>
        </w:rPr>
      </w:pPr>
      <w:r w:rsidRPr="00D852B3">
        <w:rPr>
          <w:sz w:val="24"/>
          <w:szCs w:val="24"/>
          <w:u w:val="single"/>
        </w:rPr>
        <w:t>Dosering</w:t>
      </w:r>
    </w:p>
    <w:p w:rsidR="00E53868" w:rsidRPr="00CE6AFB" w:rsidRDefault="00E53868" w:rsidP="00E53868">
      <w:pPr>
        <w:autoSpaceDE w:val="0"/>
        <w:autoSpaceDN w:val="0"/>
        <w:adjustRightInd w:val="0"/>
        <w:ind w:left="851"/>
        <w:rPr>
          <w:sz w:val="24"/>
          <w:szCs w:val="24"/>
        </w:rPr>
      </w:pPr>
      <w:r w:rsidRPr="00CE6AFB">
        <w:rPr>
          <w:sz w:val="24"/>
          <w:szCs w:val="24"/>
        </w:rPr>
        <w:t>En 200 mg tablet tages sammen med hver dosis af levodopa/dopa-decarboxylasehæmmer. Den</w:t>
      </w:r>
      <w:r>
        <w:rPr>
          <w:sz w:val="24"/>
          <w:szCs w:val="24"/>
        </w:rPr>
        <w:t xml:space="preserve"> </w:t>
      </w:r>
      <w:r w:rsidRPr="00CE6AFB">
        <w:rPr>
          <w:sz w:val="24"/>
          <w:szCs w:val="24"/>
        </w:rPr>
        <w:t>maksimalt anbefalede dosis er 200 mg 10 gange dagligt, dvs. 2000 mg entacapon.</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Entacapon forøger effekten af levodopa. For at reducere levodopa-relaterede bivirkninger</w:t>
      </w:r>
      <w:r>
        <w:rPr>
          <w:sz w:val="24"/>
          <w:szCs w:val="24"/>
        </w:rPr>
        <w:t xml:space="preserve"> </w:t>
      </w:r>
      <w:r w:rsidRPr="00CE6AFB">
        <w:rPr>
          <w:sz w:val="24"/>
          <w:szCs w:val="24"/>
        </w:rPr>
        <w:t>såsom dyskinesier, kvalme, opkastning og hallucinationer er det ofte nødvendigt at justere levodopa-doseringen inden for de første dage til uger efter start af entacapon behandling. Den daglige dosis af levodopa bør eventuelt reduceres med 10–30</w:t>
      </w:r>
      <w:r>
        <w:rPr>
          <w:sz w:val="24"/>
          <w:szCs w:val="24"/>
        </w:rPr>
        <w:t xml:space="preserve"> %</w:t>
      </w:r>
      <w:r w:rsidRPr="00CE6AFB">
        <w:rPr>
          <w:sz w:val="24"/>
          <w:szCs w:val="24"/>
        </w:rPr>
        <w:t xml:space="preserve"> ved at forlænge doseringsintervallet og/eller ved at reducere mængden af levodopa pr. dosis, afhængig af patientens kliniske tilstand.</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Hvis entacapon behandlingen afbrydes, er det nødvendigt at justere doseringen af de andre</w:t>
      </w:r>
      <w:r>
        <w:rPr>
          <w:sz w:val="24"/>
          <w:szCs w:val="24"/>
        </w:rPr>
        <w:t xml:space="preserve"> </w:t>
      </w:r>
      <w:r w:rsidRPr="00CE6AFB">
        <w:rPr>
          <w:sz w:val="24"/>
          <w:szCs w:val="24"/>
        </w:rPr>
        <w:t>antiparkinsonpræparater, specielt levodopa, for at opnå tilstrækkelig kontrol med symptomerne.</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Entacapon øger biotilgængeligheden af levodopa for levodopa/benserazidstandardpræparater en smule mere (5–10</w:t>
      </w:r>
      <w:r>
        <w:rPr>
          <w:sz w:val="24"/>
          <w:szCs w:val="24"/>
        </w:rPr>
        <w:t xml:space="preserve"> %</w:t>
      </w:r>
      <w:r w:rsidRPr="00CE6AFB">
        <w:rPr>
          <w:sz w:val="24"/>
          <w:szCs w:val="24"/>
        </w:rPr>
        <w:t>) end for levodopa/carbidopastandardpræparater. Dette kan medføre, at</w:t>
      </w:r>
      <w:r>
        <w:rPr>
          <w:sz w:val="24"/>
          <w:szCs w:val="24"/>
        </w:rPr>
        <w:t xml:space="preserve"> </w:t>
      </w:r>
      <w:r w:rsidRPr="00CE6AFB">
        <w:rPr>
          <w:sz w:val="24"/>
          <w:szCs w:val="24"/>
        </w:rPr>
        <w:t>patienter, der behandles med levodopa/benserazidstandardpræparater, behøver en større reduktion af deres levodopadosis, når entacapon behandlingen påbegyndes.</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i/>
          <w:iCs/>
          <w:sz w:val="24"/>
          <w:szCs w:val="24"/>
        </w:rPr>
      </w:pPr>
      <w:r w:rsidRPr="00CE6AFB">
        <w:rPr>
          <w:i/>
          <w:iCs/>
          <w:sz w:val="24"/>
          <w:szCs w:val="24"/>
        </w:rPr>
        <w:t xml:space="preserve">Nedsat nyrefunktion </w:t>
      </w:r>
    </w:p>
    <w:p w:rsidR="00E53868" w:rsidRPr="00CE6AFB" w:rsidRDefault="00E53868" w:rsidP="00E53868">
      <w:pPr>
        <w:autoSpaceDE w:val="0"/>
        <w:autoSpaceDN w:val="0"/>
        <w:adjustRightInd w:val="0"/>
        <w:ind w:left="851"/>
        <w:rPr>
          <w:sz w:val="24"/>
          <w:szCs w:val="24"/>
        </w:rPr>
      </w:pPr>
      <w:r w:rsidRPr="00CE6AFB">
        <w:rPr>
          <w:sz w:val="24"/>
          <w:szCs w:val="24"/>
        </w:rPr>
        <w:t>Nyreinsufficiens påvirker ikke entacapons farmakokinetik, og det er ikke nødvendigt at justere doseringen ved nyreinsufficiens. Kun hos patienter i dialysebehandling bør det overvejes at forlænge doseringsintervallet (se pkt. 5.2).</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i/>
          <w:iCs/>
          <w:sz w:val="24"/>
          <w:szCs w:val="24"/>
        </w:rPr>
      </w:pPr>
      <w:r w:rsidRPr="00CE6AFB">
        <w:rPr>
          <w:i/>
          <w:iCs/>
          <w:sz w:val="24"/>
          <w:szCs w:val="24"/>
        </w:rPr>
        <w:t xml:space="preserve">Nedsat leverfunktion </w:t>
      </w:r>
    </w:p>
    <w:p w:rsidR="00E53868" w:rsidRPr="00CE6AFB" w:rsidRDefault="00E53868" w:rsidP="00E53868">
      <w:pPr>
        <w:autoSpaceDE w:val="0"/>
        <w:autoSpaceDN w:val="0"/>
        <w:adjustRightInd w:val="0"/>
        <w:ind w:left="851"/>
        <w:rPr>
          <w:sz w:val="24"/>
          <w:szCs w:val="24"/>
        </w:rPr>
      </w:pPr>
      <w:r w:rsidRPr="00CE6AFB">
        <w:rPr>
          <w:sz w:val="24"/>
          <w:szCs w:val="24"/>
        </w:rPr>
        <w:t>Se pkt. 4.3</w:t>
      </w:r>
    </w:p>
    <w:p w:rsidR="00E53868" w:rsidRPr="00CE6AFB" w:rsidRDefault="00E53868" w:rsidP="00E53868">
      <w:pPr>
        <w:autoSpaceDE w:val="0"/>
        <w:autoSpaceDN w:val="0"/>
        <w:adjustRightInd w:val="0"/>
        <w:ind w:left="851" w:hanging="851"/>
        <w:rPr>
          <w:i/>
          <w:iCs/>
          <w:sz w:val="24"/>
          <w:szCs w:val="24"/>
        </w:rPr>
      </w:pPr>
    </w:p>
    <w:p w:rsidR="00E53868" w:rsidRPr="00CE6AFB" w:rsidRDefault="00E53868" w:rsidP="00E53868">
      <w:pPr>
        <w:autoSpaceDE w:val="0"/>
        <w:autoSpaceDN w:val="0"/>
        <w:adjustRightInd w:val="0"/>
        <w:ind w:left="851"/>
        <w:rPr>
          <w:sz w:val="24"/>
          <w:szCs w:val="24"/>
        </w:rPr>
      </w:pPr>
      <w:r w:rsidRPr="00CE6AFB">
        <w:rPr>
          <w:i/>
          <w:iCs/>
          <w:sz w:val="24"/>
          <w:szCs w:val="24"/>
        </w:rPr>
        <w:t>Ældre</w:t>
      </w:r>
      <w:r w:rsidRPr="00CE6AFB">
        <w:rPr>
          <w:sz w:val="24"/>
          <w:szCs w:val="24"/>
        </w:rPr>
        <w:t xml:space="preserve"> </w:t>
      </w:r>
    </w:p>
    <w:p w:rsidR="00E53868" w:rsidRPr="00CE6AFB" w:rsidRDefault="00E53868" w:rsidP="00E53868">
      <w:pPr>
        <w:autoSpaceDE w:val="0"/>
        <w:autoSpaceDN w:val="0"/>
        <w:adjustRightInd w:val="0"/>
        <w:ind w:left="851"/>
        <w:rPr>
          <w:sz w:val="24"/>
          <w:szCs w:val="24"/>
        </w:rPr>
      </w:pPr>
      <w:r w:rsidRPr="00CE6AFB">
        <w:rPr>
          <w:sz w:val="24"/>
          <w:szCs w:val="24"/>
        </w:rPr>
        <w:t>Det er ikke nødvendigt at justere dosis hos ældre patienter.</w:t>
      </w:r>
    </w:p>
    <w:p w:rsidR="00E53868" w:rsidRPr="00CE6AFB" w:rsidRDefault="00E53868" w:rsidP="00E53868">
      <w:pPr>
        <w:autoSpaceDE w:val="0"/>
        <w:autoSpaceDN w:val="0"/>
        <w:adjustRightInd w:val="0"/>
        <w:ind w:left="851" w:hanging="851"/>
        <w:rPr>
          <w:i/>
          <w:iCs/>
          <w:sz w:val="24"/>
          <w:szCs w:val="24"/>
        </w:rPr>
      </w:pPr>
    </w:p>
    <w:p w:rsidR="00E53868" w:rsidRPr="00CE6AFB" w:rsidRDefault="00E53868" w:rsidP="00E53868">
      <w:pPr>
        <w:autoSpaceDE w:val="0"/>
        <w:autoSpaceDN w:val="0"/>
        <w:adjustRightInd w:val="0"/>
        <w:ind w:left="851"/>
        <w:rPr>
          <w:i/>
          <w:iCs/>
          <w:sz w:val="24"/>
          <w:szCs w:val="24"/>
        </w:rPr>
      </w:pPr>
      <w:r w:rsidRPr="00CE6AFB">
        <w:rPr>
          <w:i/>
          <w:iCs/>
          <w:sz w:val="24"/>
          <w:szCs w:val="24"/>
        </w:rPr>
        <w:t>Pædiatrisk population</w:t>
      </w:r>
    </w:p>
    <w:p w:rsidR="00E53868" w:rsidRPr="00CE6AFB" w:rsidRDefault="00E53868" w:rsidP="00E53868">
      <w:pPr>
        <w:autoSpaceDE w:val="0"/>
        <w:autoSpaceDN w:val="0"/>
        <w:adjustRightInd w:val="0"/>
        <w:ind w:left="851"/>
        <w:rPr>
          <w:sz w:val="24"/>
          <w:szCs w:val="24"/>
        </w:rPr>
      </w:pPr>
      <w:r w:rsidRPr="00CE6AFB">
        <w:rPr>
          <w:sz w:val="24"/>
          <w:szCs w:val="24"/>
        </w:rPr>
        <w:t xml:space="preserve">Sikkerhed og virkning af </w:t>
      </w:r>
      <w:r>
        <w:rPr>
          <w:sz w:val="24"/>
          <w:szCs w:val="24"/>
        </w:rPr>
        <w:t>e</w:t>
      </w:r>
      <w:r w:rsidRPr="00CE6AFB">
        <w:rPr>
          <w:sz w:val="24"/>
          <w:szCs w:val="24"/>
        </w:rPr>
        <w:t>ntacapon hos børn under 18 år er ikke klarlagt. Der foreligger ingen data.</w:t>
      </w:r>
    </w:p>
    <w:p w:rsidR="00E53868" w:rsidRPr="00CE6AFB" w:rsidRDefault="00E53868" w:rsidP="00E53868">
      <w:pPr>
        <w:autoSpaceDE w:val="0"/>
        <w:autoSpaceDN w:val="0"/>
        <w:adjustRightInd w:val="0"/>
        <w:ind w:left="851" w:hanging="851"/>
        <w:rPr>
          <w:sz w:val="24"/>
          <w:szCs w:val="24"/>
        </w:rPr>
      </w:pPr>
    </w:p>
    <w:p w:rsidR="00E53868" w:rsidRPr="00CB66A4" w:rsidRDefault="00E53868" w:rsidP="00E53868">
      <w:pPr>
        <w:autoSpaceDE w:val="0"/>
        <w:autoSpaceDN w:val="0"/>
        <w:adjustRightInd w:val="0"/>
        <w:ind w:left="851"/>
        <w:rPr>
          <w:sz w:val="24"/>
          <w:szCs w:val="24"/>
          <w:u w:val="single"/>
        </w:rPr>
      </w:pPr>
      <w:r w:rsidRPr="00CB66A4">
        <w:rPr>
          <w:sz w:val="24"/>
          <w:szCs w:val="24"/>
          <w:u w:val="single"/>
        </w:rPr>
        <w:t>Administration</w:t>
      </w:r>
    </w:p>
    <w:p w:rsidR="00E53868" w:rsidRPr="00CE6AFB" w:rsidRDefault="00E53868" w:rsidP="00E53868">
      <w:pPr>
        <w:autoSpaceDE w:val="0"/>
        <w:autoSpaceDN w:val="0"/>
        <w:adjustRightInd w:val="0"/>
        <w:ind w:left="851"/>
        <w:rPr>
          <w:sz w:val="24"/>
          <w:szCs w:val="24"/>
        </w:rPr>
      </w:pPr>
      <w:r w:rsidRPr="00CE6AFB">
        <w:rPr>
          <w:sz w:val="24"/>
          <w:szCs w:val="24"/>
        </w:rPr>
        <w:t>Entacapon administreres oralt samtidig med hver dosering af levodopa/benserazid eller</w:t>
      </w:r>
      <w:r>
        <w:rPr>
          <w:sz w:val="24"/>
          <w:szCs w:val="24"/>
        </w:rPr>
        <w:t xml:space="preserve"> </w:t>
      </w:r>
      <w:r w:rsidRPr="00CE6AFB">
        <w:rPr>
          <w:sz w:val="24"/>
          <w:szCs w:val="24"/>
        </w:rPr>
        <w:t>levodopa/carbidopa.</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Entacapon kan indtages sammen med eller uden fødeindtagelse (se pkt. 5.2).</w:t>
      </w:r>
    </w:p>
    <w:p w:rsidR="00E53868" w:rsidRPr="00CE6AFB" w:rsidRDefault="00E53868" w:rsidP="00E53868">
      <w:pPr>
        <w:tabs>
          <w:tab w:val="left" w:pos="851"/>
        </w:tabs>
        <w:ind w:left="851" w:hanging="851"/>
        <w:rPr>
          <w:sz w:val="24"/>
          <w:szCs w:val="24"/>
        </w:rPr>
      </w:pPr>
    </w:p>
    <w:p w:rsidR="00E53868" w:rsidRPr="00CE6AFB" w:rsidRDefault="00E53868" w:rsidP="00E53868">
      <w:pPr>
        <w:numPr>
          <w:ilvl w:val="1"/>
          <w:numId w:val="1"/>
        </w:numPr>
        <w:ind w:left="851" w:hanging="851"/>
        <w:rPr>
          <w:b/>
          <w:sz w:val="24"/>
          <w:szCs w:val="24"/>
        </w:rPr>
      </w:pPr>
      <w:r w:rsidRPr="00CE6AFB">
        <w:rPr>
          <w:b/>
          <w:sz w:val="24"/>
          <w:szCs w:val="24"/>
        </w:rPr>
        <w:t>Kontraindikationer</w:t>
      </w:r>
    </w:p>
    <w:p w:rsidR="00E53868" w:rsidRPr="00CE6AFB" w:rsidRDefault="00E53868" w:rsidP="00E53868">
      <w:pPr>
        <w:numPr>
          <w:ilvl w:val="0"/>
          <w:numId w:val="6"/>
        </w:numPr>
        <w:tabs>
          <w:tab w:val="clear" w:pos="720"/>
        </w:tabs>
        <w:autoSpaceDE w:val="0"/>
        <w:autoSpaceDN w:val="0"/>
        <w:adjustRightInd w:val="0"/>
        <w:ind w:left="1134" w:hanging="283"/>
        <w:rPr>
          <w:sz w:val="24"/>
          <w:szCs w:val="24"/>
        </w:rPr>
      </w:pPr>
      <w:r w:rsidRPr="00CE6AFB">
        <w:rPr>
          <w:sz w:val="24"/>
          <w:szCs w:val="24"/>
        </w:rPr>
        <w:t>Overfølsomhed over for det aktive stof eller over for et eller flere af hjælpestofferne</w:t>
      </w:r>
      <w:r>
        <w:rPr>
          <w:sz w:val="24"/>
          <w:szCs w:val="24"/>
        </w:rPr>
        <w:t xml:space="preserve"> anført i pkt. 6.1</w:t>
      </w:r>
      <w:r w:rsidRPr="00CE6AFB">
        <w:rPr>
          <w:sz w:val="24"/>
          <w:szCs w:val="24"/>
        </w:rPr>
        <w:t>.</w:t>
      </w:r>
    </w:p>
    <w:p w:rsidR="00E53868" w:rsidRPr="00CE6AFB" w:rsidRDefault="00E53868" w:rsidP="00E53868">
      <w:pPr>
        <w:numPr>
          <w:ilvl w:val="0"/>
          <w:numId w:val="6"/>
        </w:numPr>
        <w:tabs>
          <w:tab w:val="clear" w:pos="720"/>
        </w:tabs>
        <w:autoSpaceDE w:val="0"/>
        <w:autoSpaceDN w:val="0"/>
        <w:adjustRightInd w:val="0"/>
        <w:ind w:left="1134" w:hanging="283"/>
        <w:rPr>
          <w:sz w:val="24"/>
          <w:szCs w:val="24"/>
        </w:rPr>
      </w:pPr>
      <w:r w:rsidRPr="00CE6AFB">
        <w:rPr>
          <w:sz w:val="24"/>
          <w:szCs w:val="24"/>
        </w:rPr>
        <w:t>Nedsat leverfunktion.</w:t>
      </w:r>
    </w:p>
    <w:p w:rsidR="00E53868" w:rsidRPr="00CE6AFB" w:rsidRDefault="00E53868" w:rsidP="00E53868">
      <w:pPr>
        <w:numPr>
          <w:ilvl w:val="0"/>
          <w:numId w:val="6"/>
        </w:numPr>
        <w:tabs>
          <w:tab w:val="clear" w:pos="720"/>
        </w:tabs>
        <w:autoSpaceDE w:val="0"/>
        <w:autoSpaceDN w:val="0"/>
        <w:adjustRightInd w:val="0"/>
        <w:ind w:left="1134" w:hanging="283"/>
        <w:rPr>
          <w:sz w:val="24"/>
          <w:szCs w:val="24"/>
        </w:rPr>
      </w:pPr>
      <w:r w:rsidRPr="00CE6AFB">
        <w:rPr>
          <w:sz w:val="24"/>
          <w:szCs w:val="24"/>
        </w:rPr>
        <w:t>Fæokromocytom.</w:t>
      </w:r>
    </w:p>
    <w:p w:rsidR="00E53868" w:rsidRPr="00CE6AFB" w:rsidRDefault="00E53868" w:rsidP="00E53868">
      <w:pPr>
        <w:numPr>
          <w:ilvl w:val="0"/>
          <w:numId w:val="6"/>
        </w:numPr>
        <w:tabs>
          <w:tab w:val="clear" w:pos="720"/>
        </w:tabs>
        <w:autoSpaceDE w:val="0"/>
        <w:autoSpaceDN w:val="0"/>
        <w:adjustRightInd w:val="0"/>
        <w:ind w:left="1134" w:hanging="283"/>
        <w:rPr>
          <w:sz w:val="24"/>
          <w:szCs w:val="24"/>
        </w:rPr>
      </w:pPr>
      <w:r w:rsidRPr="00CE6AFB">
        <w:rPr>
          <w:sz w:val="24"/>
          <w:szCs w:val="24"/>
        </w:rPr>
        <w:t>Samtidig brug af entacapon og nonselektive monoaminoxidase (MAO-A og MAO-B)-hæmmere (f.eks. phenelzin, tranylcypromin).</w:t>
      </w:r>
    </w:p>
    <w:p w:rsidR="00E53868" w:rsidRPr="00CE6AFB" w:rsidRDefault="00E53868" w:rsidP="00E53868">
      <w:pPr>
        <w:numPr>
          <w:ilvl w:val="0"/>
          <w:numId w:val="6"/>
        </w:numPr>
        <w:tabs>
          <w:tab w:val="clear" w:pos="720"/>
        </w:tabs>
        <w:autoSpaceDE w:val="0"/>
        <w:autoSpaceDN w:val="0"/>
        <w:adjustRightInd w:val="0"/>
        <w:ind w:left="1134" w:hanging="283"/>
        <w:rPr>
          <w:sz w:val="24"/>
          <w:szCs w:val="24"/>
        </w:rPr>
      </w:pPr>
      <w:r w:rsidRPr="00CE6AFB">
        <w:rPr>
          <w:sz w:val="24"/>
          <w:szCs w:val="24"/>
        </w:rPr>
        <w:lastRenderedPageBreak/>
        <w:t>Samtidig brug af en selektiv MAO-A-hæmmer plus en selektiv MAO-B-hæmmer og entacapon (se pkt. 4.5).</w:t>
      </w:r>
    </w:p>
    <w:p w:rsidR="00E53868" w:rsidRPr="00CE6AFB" w:rsidRDefault="00E53868" w:rsidP="00E53868">
      <w:pPr>
        <w:numPr>
          <w:ilvl w:val="0"/>
          <w:numId w:val="6"/>
        </w:numPr>
        <w:tabs>
          <w:tab w:val="clear" w:pos="720"/>
        </w:tabs>
        <w:autoSpaceDE w:val="0"/>
        <w:autoSpaceDN w:val="0"/>
        <w:adjustRightInd w:val="0"/>
        <w:ind w:left="1134" w:hanging="283"/>
        <w:rPr>
          <w:sz w:val="24"/>
          <w:szCs w:val="24"/>
        </w:rPr>
      </w:pPr>
      <w:r w:rsidRPr="00CE6AFB">
        <w:rPr>
          <w:sz w:val="24"/>
          <w:szCs w:val="24"/>
        </w:rPr>
        <w:t>Malignt neuroleptikasyndrom (MNS) og/eller ikke-traumatisk rhabdomyolyse i anamnesen.</w:t>
      </w:r>
    </w:p>
    <w:p w:rsidR="00E53868" w:rsidRPr="00CE6AFB" w:rsidRDefault="00E53868" w:rsidP="00E53868">
      <w:pPr>
        <w:tabs>
          <w:tab w:val="left" w:pos="851"/>
        </w:tabs>
        <w:ind w:left="851" w:hanging="851"/>
        <w:rPr>
          <w:sz w:val="24"/>
          <w:szCs w:val="24"/>
        </w:rPr>
      </w:pPr>
    </w:p>
    <w:p w:rsidR="00E53868" w:rsidRPr="00CE6AFB" w:rsidRDefault="00E53868" w:rsidP="00E53868">
      <w:pPr>
        <w:numPr>
          <w:ilvl w:val="1"/>
          <w:numId w:val="1"/>
        </w:numPr>
        <w:ind w:left="851" w:hanging="851"/>
        <w:rPr>
          <w:b/>
          <w:sz w:val="24"/>
          <w:szCs w:val="24"/>
        </w:rPr>
      </w:pPr>
      <w:r w:rsidRPr="00CE6AFB">
        <w:rPr>
          <w:b/>
          <w:sz w:val="24"/>
          <w:szCs w:val="24"/>
        </w:rPr>
        <w:t>Særlige advarsler og forsigtighedsregler vedrørende brugen</w:t>
      </w:r>
    </w:p>
    <w:p w:rsidR="00E53868" w:rsidRPr="00CE6AFB" w:rsidRDefault="00E53868" w:rsidP="00E53868">
      <w:pPr>
        <w:autoSpaceDE w:val="0"/>
        <w:autoSpaceDN w:val="0"/>
        <w:adjustRightInd w:val="0"/>
        <w:ind w:left="851" w:hanging="851"/>
        <w:rPr>
          <w:sz w:val="24"/>
          <w:szCs w:val="24"/>
        </w:rPr>
      </w:pPr>
      <w:r w:rsidRPr="00CE6AFB">
        <w:rPr>
          <w:sz w:val="24"/>
          <w:szCs w:val="24"/>
        </w:rPr>
        <w:tab/>
        <w:t>Rhabdomyolyse sekundært til svære dykinesier eller malignt neuroleptikasyndrom (MNS) er i sjældne tilfælde set hos patienter med Parkinsons sygdom.</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MNS, inklusive rhabdomyolyse og hyperthermia er karakteriseret ved muskelsymptomer (stivhed, myocloni, rysten), ændring af mental status (f</w:t>
      </w:r>
      <w:r>
        <w:rPr>
          <w:sz w:val="24"/>
          <w:szCs w:val="24"/>
        </w:rPr>
        <w:t>.eks.</w:t>
      </w:r>
      <w:r w:rsidRPr="00CE6AFB">
        <w:rPr>
          <w:sz w:val="24"/>
          <w:szCs w:val="24"/>
        </w:rPr>
        <w:t xml:space="preserve"> agitation, konfusion, koma), hypertermi, autonomisk dysfunktion (takykardi, labilt blodtryk) og forhøjet serumkreatinphosphokinase. I enkelte tilfælde er kun nogle af disse symptomer og/eller fund til stede.</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Hverken MNS eller rhabdomyolyse er blevet rapporteret i forbindelse med entacapon behandling i</w:t>
      </w:r>
      <w:r>
        <w:rPr>
          <w:sz w:val="24"/>
          <w:szCs w:val="24"/>
        </w:rPr>
        <w:t xml:space="preserve"> </w:t>
      </w:r>
      <w:r w:rsidRPr="00CE6AFB">
        <w:rPr>
          <w:sz w:val="24"/>
          <w:szCs w:val="24"/>
        </w:rPr>
        <w:t>kontrollerede studier, hvor entacapon behandling blev brat afsluttet. Efter markedsføring er der</w:t>
      </w:r>
      <w:r>
        <w:rPr>
          <w:sz w:val="24"/>
          <w:szCs w:val="24"/>
        </w:rPr>
        <w:t xml:space="preserve"> </w:t>
      </w:r>
      <w:r w:rsidRPr="00CE6AFB">
        <w:rPr>
          <w:sz w:val="24"/>
          <w:szCs w:val="24"/>
        </w:rPr>
        <w:t>indrapporteret enkeltstående tilfælde af MNS, især efter pludselig nedsættelse eller afbrydelse af</w:t>
      </w:r>
      <w:r>
        <w:rPr>
          <w:sz w:val="24"/>
          <w:szCs w:val="24"/>
        </w:rPr>
        <w:t xml:space="preserve"> </w:t>
      </w:r>
      <w:r w:rsidRPr="00CE6AFB">
        <w:rPr>
          <w:sz w:val="24"/>
          <w:szCs w:val="24"/>
        </w:rPr>
        <w:t>entacapon og andre samtidige dopaminerge lægemidler. Når det skønnes nødvendigt, skal</w:t>
      </w:r>
      <w:r>
        <w:rPr>
          <w:sz w:val="24"/>
          <w:szCs w:val="24"/>
        </w:rPr>
        <w:t xml:space="preserve"> </w:t>
      </w:r>
      <w:r w:rsidRPr="00CE6AFB">
        <w:rPr>
          <w:sz w:val="24"/>
          <w:szCs w:val="24"/>
        </w:rPr>
        <w:t>behandlingsafbrydelse af entacapon og anden dopaminerg behandling ske langsomt, og hvis der opstår tegn og/eller symptomer på MNS eller rhabdomyolyse på trods af en langsom nedtrapning af entacapon, kan en øgning i levodopadosis være nødvendigt.</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Entacapon behandling bør administreres med forsigtighed til patienter med iskæmisk hjertesygdom.</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På grund af sin virkningsmekanisme kan entacapon indvirke på metabolismen af lægemidler, der</w:t>
      </w:r>
      <w:r>
        <w:rPr>
          <w:sz w:val="24"/>
          <w:szCs w:val="24"/>
        </w:rPr>
        <w:t xml:space="preserve"> </w:t>
      </w:r>
      <w:r w:rsidRPr="00CE6AFB">
        <w:rPr>
          <w:sz w:val="24"/>
          <w:szCs w:val="24"/>
        </w:rPr>
        <w:t>indeholder en catechol-gruppe og potensere deres effekt. Entacapon bør derfor administreres med</w:t>
      </w:r>
      <w:r>
        <w:rPr>
          <w:sz w:val="24"/>
          <w:szCs w:val="24"/>
        </w:rPr>
        <w:t xml:space="preserve"> </w:t>
      </w:r>
      <w:r w:rsidRPr="00CE6AFB">
        <w:rPr>
          <w:sz w:val="24"/>
          <w:szCs w:val="24"/>
        </w:rPr>
        <w:t>forsigtighed til patienter, der behandles med lægemidler, der metaboliseres af catechol-O-metyl</w:t>
      </w:r>
      <w:r>
        <w:rPr>
          <w:sz w:val="24"/>
          <w:szCs w:val="24"/>
        </w:rPr>
        <w:t xml:space="preserve"> </w:t>
      </w:r>
      <w:r w:rsidRPr="00CE6AFB">
        <w:rPr>
          <w:sz w:val="24"/>
          <w:szCs w:val="24"/>
        </w:rPr>
        <w:t>transferase (COMT), f.eks. rimiterol, isoprenalin, adrenalin, noradrenalin, dopamin, dobutamin, alfamethyldopa og apomorfin (se pkt. 4.5).</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Entacapon administreres altid som adjuvant til levodopa behandling. Derfor bør forsigtighedsregler vedrørende levodopa behandling overvejes i forbindelse med entacapon behandling. Entacapon øger biotilgængeligheden af levodopa for standardpræparater af levodopa/benserazid 5</w:t>
      </w:r>
      <w:r>
        <w:rPr>
          <w:sz w:val="24"/>
          <w:szCs w:val="24"/>
        </w:rPr>
        <w:t>-</w:t>
      </w:r>
      <w:r w:rsidRPr="00CE6AFB">
        <w:rPr>
          <w:sz w:val="24"/>
          <w:szCs w:val="24"/>
        </w:rPr>
        <w:t>10</w:t>
      </w:r>
      <w:r>
        <w:rPr>
          <w:sz w:val="24"/>
          <w:szCs w:val="24"/>
        </w:rPr>
        <w:t xml:space="preserve"> %</w:t>
      </w:r>
      <w:r w:rsidRPr="00CE6AFB">
        <w:rPr>
          <w:sz w:val="24"/>
          <w:szCs w:val="24"/>
        </w:rPr>
        <w:t xml:space="preserve"> mere end for standardpræparater af levodopa/carbidopa. Derfor kan dopaminerge bivirkningsreaktioner forekomme hyppigere, hvis entacapon føjes til levodopa/benserazidbehandlingen (se ligeledes pkt. 4.8). For at nedsætte de levodopa-relaterede bivirkninger vil det ofte være nødvendigt at justere levodopadoseringen inden for de første dage eller uger efter starten på entacapon behandlingen afhængig af patientens kliniske tilstand (se pkt. 4.2 og pkt. 4.8).</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Entacapon kan forværre levodopa-induceret ortostatisk hypotension. Entacapon bør gives med</w:t>
      </w:r>
      <w:r>
        <w:rPr>
          <w:sz w:val="24"/>
          <w:szCs w:val="24"/>
        </w:rPr>
        <w:t xml:space="preserve"> </w:t>
      </w:r>
      <w:r w:rsidRPr="00CE6AFB">
        <w:rPr>
          <w:sz w:val="24"/>
          <w:szCs w:val="24"/>
        </w:rPr>
        <w:t>forsigtighed til patienter, der tager andre lægemidler, som forårsager ortostatisk hypotension.</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I kliniske forsøg var dopaminerge bivirkninger f.eks. dyskinesier hyppigere hos de patienter, der</w:t>
      </w:r>
      <w:r>
        <w:rPr>
          <w:sz w:val="24"/>
          <w:szCs w:val="24"/>
        </w:rPr>
        <w:t xml:space="preserve"> </w:t>
      </w:r>
      <w:r w:rsidRPr="00CE6AFB">
        <w:rPr>
          <w:sz w:val="24"/>
          <w:szCs w:val="24"/>
        </w:rPr>
        <w:t>behandledes med entacapon og dopaminerge agonister (som f.eks. bromocriptin), selegilin eller</w:t>
      </w:r>
      <w:r>
        <w:rPr>
          <w:sz w:val="24"/>
          <w:szCs w:val="24"/>
        </w:rPr>
        <w:t xml:space="preserve"> </w:t>
      </w:r>
      <w:r w:rsidRPr="00CE6AFB">
        <w:rPr>
          <w:sz w:val="24"/>
          <w:szCs w:val="24"/>
        </w:rPr>
        <w:t xml:space="preserve">amantadin sammenlignet med de patienter, der fik placebo </w:t>
      </w:r>
      <w:r w:rsidRPr="00CE6AFB">
        <w:rPr>
          <w:sz w:val="24"/>
          <w:szCs w:val="24"/>
        </w:rPr>
        <w:lastRenderedPageBreak/>
        <w:t>sammen med agonisterne. Doseringen af andre antiparkinson lægemidler må muligvis justeres, når der startes behandling med entacapon.</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Entacapon i forbindelse med levodopa er sat i forbindelse med døsighed samt episoder med pludselig søvnanfald hos patienter med Parkinsons sygdom. Derfor bør der udvises forsigtighed, når der føres motorkøretøj eller betjenes maskiner (se også pkt. 4.7).</w:t>
      </w:r>
    </w:p>
    <w:p w:rsidR="00E53868" w:rsidRPr="00CE6AFB" w:rsidRDefault="00E53868" w:rsidP="00E53868">
      <w:pPr>
        <w:autoSpaceDE w:val="0"/>
        <w:autoSpaceDN w:val="0"/>
        <w:adjustRightInd w:val="0"/>
        <w:ind w:left="851" w:hanging="851"/>
        <w:rPr>
          <w:sz w:val="24"/>
          <w:szCs w:val="24"/>
        </w:rPr>
      </w:pPr>
    </w:p>
    <w:p w:rsidR="00E53868" w:rsidRDefault="00E53868" w:rsidP="00E53868">
      <w:pPr>
        <w:autoSpaceDE w:val="0"/>
        <w:autoSpaceDN w:val="0"/>
        <w:adjustRightInd w:val="0"/>
        <w:ind w:left="851"/>
        <w:rPr>
          <w:sz w:val="24"/>
          <w:szCs w:val="24"/>
        </w:rPr>
      </w:pPr>
      <w:r w:rsidRPr="00CE6AFB">
        <w:rPr>
          <w:sz w:val="24"/>
          <w:szCs w:val="24"/>
        </w:rPr>
        <w:t>Hvis patienten får diarré, anbefales det at kontrollere vægten regelmæssigt for at undgå et eventuelt uforholdsmæssigt stort vægttab. Længerevarende eller vedvarende diarré, der optræder ved anvendelse af entacapon, kan være tegn på colitis. I tilfælde af længerevarende eller vedvarende diarré bør lægemidlet seponeres og passende behandling og undersøgelser overvejes.</w:t>
      </w:r>
    </w:p>
    <w:p w:rsidR="00E53868" w:rsidRDefault="00E53868" w:rsidP="00E53868">
      <w:pPr>
        <w:autoSpaceDE w:val="0"/>
        <w:autoSpaceDN w:val="0"/>
        <w:adjustRightInd w:val="0"/>
        <w:ind w:left="851"/>
        <w:rPr>
          <w:sz w:val="24"/>
          <w:szCs w:val="24"/>
        </w:rPr>
      </w:pPr>
    </w:p>
    <w:p w:rsidR="00E53868" w:rsidRPr="000B7B28" w:rsidRDefault="00E53868" w:rsidP="00E53868">
      <w:pPr>
        <w:autoSpaceDE w:val="0"/>
        <w:autoSpaceDN w:val="0"/>
        <w:adjustRightInd w:val="0"/>
        <w:ind w:left="851"/>
        <w:rPr>
          <w:sz w:val="24"/>
          <w:u w:val="single"/>
        </w:rPr>
      </w:pPr>
      <w:r w:rsidRPr="000B7B28">
        <w:rPr>
          <w:sz w:val="24"/>
          <w:szCs w:val="24"/>
          <w:u w:val="single"/>
        </w:rPr>
        <w:t xml:space="preserve">Patologiske vane- og impulshandlinger </w:t>
      </w:r>
    </w:p>
    <w:p w:rsidR="00E53868" w:rsidRPr="00BA2B8C" w:rsidRDefault="00E53868" w:rsidP="00E53868">
      <w:pPr>
        <w:autoSpaceDE w:val="0"/>
        <w:autoSpaceDN w:val="0"/>
        <w:adjustRightInd w:val="0"/>
        <w:ind w:left="851"/>
        <w:rPr>
          <w:sz w:val="24"/>
          <w:szCs w:val="24"/>
        </w:rPr>
      </w:pPr>
      <w:r w:rsidRPr="00835EB1">
        <w:rPr>
          <w:sz w:val="24"/>
          <w:szCs w:val="24"/>
        </w:rPr>
        <w:t xml:space="preserve">Patienter skal monitoreres regelmæssigt for udvikling af patologiske vane- og impulshandlinger. Patienter og behandlere skal gøres opmærksomme på, at adfærdssymptomer patologisk vane- og impulskontrol inklusiv patologisk spillelyst, forøget libido og hyperseksualitet, kompulsiv brug af penge og indkøb, spiseorgie og tvangsspisning kan opstå hos patienter, som bliver behandlede med dopaminagonister og/eller andre dopaminerge behandlinger </w:t>
      </w:r>
      <w:r w:rsidRPr="00BA2B8C">
        <w:rPr>
          <w:sz w:val="24"/>
          <w:szCs w:val="24"/>
        </w:rPr>
        <w:t>såsom</w:t>
      </w:r>
      <w:r w:rsidRPr="00835EB1">
        <w:rPr>
          <w:sz w:val="24"/>
          <w:szCs w:val="24"/>
        </w:rPr>
        <w:t xml:space="preserve"> </w:t>
      </w:r>
      <w:r w:rsidRPr="00BA2B8C">
        <w:rPr>
          <w:sz w:val="24"/>
          <w:szCs w:val="24"/>
        </w:rPr>
        <w:t xml:space="preserve">Entacapone </w:t>
      </w:r>
      <w:r w:rsidR="008D2169">
        <w:rPr>
          <w:sz w:val="24"/>
          <w:szCs w:val="24"/>
        </w:rPr>
        <w:t>"Viatris"</w:t>
      </w:r>
      <w:r>
        <w:rPr>
          <w:sz w:val="24"/>
          <w:szCs w:val="24"/>
        </w:rPr>
        <w:t xml:space="preserve"> i kombination med levodopa</w:t>
      </w:r>
      <w:r w:rsidRPr="00835EB1">
        <w:rPr>
          <w:sz w:val="24"/>
          <w:szCs w:val="24"/>
        </w:rPr>
        <w:t>. Det anbefales at genoverveje behandlingen, hvis disse symptomer opstår.</w:t>
      </w:r>
    </w:p>
    <w:p w:rsidR="00E53868" w:rsidRPr="00BA2B8C"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Hvis patienten oplever progressiv anoreksi, asteni og vægttab inden for relativt kort tid, bør det</w:t>
      </w:r>
      <w:r>
        <w:rPr>
          <w:sz w:val="24"/>
          <w:szCs w:val="24"/>
        </w:rPr>
        <w:t xml:space="preserve"> </w:t>
      </w:r>
      <w:r w:rsidRPr="00CE6AFB">
        <w:rPr>
          <w:sz w:val="24"/>
          <w:szCs w:val="24"/>
        </w:rPr>
        <w:t>overvejes at udføre en generel medicinsk evaluering inklusive undersøgelse af leverfunktionen.</w:t>
      </w:r>
    </w:p>
    <w:p w:rsidR="00E53868" w:rsidRPr="00CE6AFB" w:rsidRDefault="00E53868" w:rsidP="00E53868">
      <w:pPr>
        <w:autoSpaceDE w:val="0"/>
        <w:autoSpaceDN w:val="0"/>
        <w:adjustRightInd w:val="0"/>
        <w:ind w:left="851" w:hanging="851"/>
        <w:rPr>
          <w:sz w:val="24"/>
          <w:szCs w:val="24"/>
        </w:rPr>
      </w:pPr>
    </w:p>
    <w:p w:rsidR="00E53868" w:rsidRPr="00CE6AFB" w:rsidRDefault="00965ECA" w:rsidP="00E53868">
      <w:pPr>
        <w:autoSpaceDE w:val="0"/>
        <w:autoSpaceDN w:val="0"/>
        <w:adjustRightInd w:val="0"/>
        <w:ind w:left="851"/>
        <w:rPr>
          <w:sz w:val="24"/>
          <w:szCs w:val="24"/>
        </w:rPr>
      </w:pPr>
      <w:r>
        <w:rPr>
          <w:sz w:val="24"/>
          <w:szCs w:val="24"/>
        </w:rPr>
        <w:t>Entacapone ”Viatris”</w:t>
      </w:r>
      <w:r w:rsidR="00E53868" w:rsidRPr="00CE6AFB">
        <w:rPr>
          <w:sz w:val="24"/>
          <w:szCs w:val="24"/>
        </w:rPr>
        <w:t xml:space="preserve"> 200 mg filmovertrukne tabletter indeholder saccharose. Patienter med arvelig fructose intolerans, glucose/galactose malabsorption syndrom eller sucrase-isomaltase mangel, bør ikke anvende dette lægemiddel.</w:t>
      </w:r>
    </w:p>
    <w:p w:rsidR="00E53868" w:rsidRPr="00CE6AFB" w:rsidRDefault="00E53868" w:rsidP="00E53868">
      <w:pPr>
        <w:tabs>
          <w:tab w:val="left" w:pos="851"/>
        </w:tabs>
        <w:ind w:left="851" w:hanging="851"/>
        <w:rPr>
          <w:sz w:val="24"/>
          <w:szCs w:val="24"/>
        </w:rPr>
      </w:pPr>
    </w:p>
    <w:p w:rsidR="00E53868" w:rsidRPr="00CE6AFB" w:rsidRDefault="00E53868" w:rsidP="00E53868">
      <w:pPr>
        <w:numPr>
          <w:ilvl w:val="1"/>
          <w:numId w:val="1"/>
        </w:numPr>
        <w:ind w:left="851" w:hanging="851"/>
        <w:rPr>
          <w:b/>
          <w:sz w:val="24"/>
          <w:szCs w:val="24"/>
        </w:rPr>
      </w:pPr>
      <w:r w:rsidRPr="00CE6AFB">
        <w:rPr>
          <w:b/>
          <w:sz w:val="24"/>
          <w:szCs w:val="24"/>
        </w:rPr>
        <w:t>Interaktion med andre lægemidler og andre former for interaktion</w:t>
      </w:r>
    </w:p>
    <w:p w:rsidR="00E53868" w:rsidRPr="00CE6AFB" w:rsidRDefault="00E53868" w:rsidP="00E53868">
      <w:pPr>
        <w:autoSpaceDE w:val="0"/>
        <w:autoSpaceDN w:val="0"/>
        <w:adjustRightInd w:val="0"/>
        <w:ind w:left="851" w:hanging="851"/>
        <w:rPr>
          <w:sz w:val="24"/>
          <w:szCs w:val="24"/>
        </w:rPr>
      </w:pPr>
      <w:r w:rsidRPr="00CE6AFB">
        <w:rPr>
          <w:sz w:val="24"/>
          <w:szCs w:val="24"/>
        </w:rPr>
        <w:tab/>
        <w:t>Der er ikke med den rekommanderede administration og dosering observeret nogen interaktion med carbidopa. Farmakokinetiske interaktioner med benserazid er ikke undersøgt.</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I enkeltdosis kliniske forsøg med raske frivillige fandtes ikke interaktion mellem entacapon og</w:t>
      </w:r>
      <w:r>
        <w:rPr>
          <w:sz w:val="24"/>
          <w:szCs w:val="24"/>
        </w:rPr>
        <w:t xml:space="preserve"> </w:t>
      </w:r>
      <w:r w:rsidRPr="00CE6AFB">
        <w:rPr>
          <w:sz w:val="24"/>
          <w:szCs w:val="24"/>
        </w:rPr>
        <w:t>imipramin eller entacapon og moclobemid. I kliniske forsøg med gentagen dosering hos</w:t>
      </w:r>
      <w:r>
        <w:rPr>
          <w:sz w:val="24"/>
          <w:szCs w:val="24"/>
        </w:rPr>
        <w:t xml:space="preserve"> </w:t>
      </w:r>
      <w:r w:rsidRPr="00CE6AFB">
        <w:rPr>
          <w:sz w:val="24"/>
          <w:szCs w:val="24"/>
        </w:rPr>
        <w:t>Parkinsonpatienter fandtes ikke interaktion med selegilin. Der er stadig begrænset erfaring med samtidig administration af entacapon og en række lægemidler som MAO-A-hæm</w:t>
      </w:r>
      <w:r>
        <w:rPr>
          <w:sz w:val="24"/>
          <w:szCs w:val="24"/>
        </w:rPr>
        <w:t>m</w:t>
      </w:r>
      <w:r w:rsidRPr="00CE6AFB">
        <w:rPr>
          <w:sz w:val="24"/>
          <w:szCs w:val="24"/>
        </w:rPr>
        <w:t>ere, tricykliske antidepressiva, noradrenalin re-uptake-hæmmere (desipramin, maprotilin og venlafaxin) samt lægemidler, som metaboliseres af COMT (f.eks. katechol-strukturforbindelser: rimiterol, isoprenalin, adrenalin, noradrenalin, dopamin, dobutamin, alfa-methyldopa, apomorphin og paroxetin). Der bør udvises forsigtighed, når disse produkter anvendes samtidigt med entacapon (se pkt. 4.3 og pkt. 4.4).</w:t>
      </w:r>
    </w:p>
    <w:p w:rsidR="00E53868" w:rsidRDefault="00E53868" w:rsidP="00E53868">
      <w:pPr>
        <w:autoSpaceDE w:val="0"/>
        <w:autoSpaceDN w:val="0"/>
        <w:adjustRightInd w:val="0"/>
        <w:ind w:left="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Entacapon kan anvendes med selegilin (en selektiv MAO-B-hæmmer), men den daglige dosis af</w:t>
      </w:r>
      <w:r>
        <w:rPr>
          <w:sz w:val="24"/>
          <w:szCs w:val="24"/>
        </w:rPr>
        <w:t xml:space="preserve"> </w:t>
      </w:r>
      <w:r w:rsidRPr="00CE6AFB">
        <w:rPr>
          <w:sz w:val="24"/>
          <w:szCs w:val="24"/>
        </w:rPr>
        <w:t>selegilin bør ikke overstige 10 mg.</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Entacapon kan i mave-tarm</w:t>
      </w:r>
      <w:r>
        <w:rPr>
          <w:sz w:val="24"/>
          <w:szCs w:val="24"/>
        </w:rPr>
        <w:t>-</w:t>
      </w:r>
      <w:r w:rsidRPr="00CE6AFB">
        <w:rPr>
          <w:sz w:val="24"/>
          <w:szCs w:val="24"/>
        </w:rPr>
        <w:t>kanalen danne chelater med jern. Entacapon og jernpræparater bør tages med mindst 2–3 timers mellemrum (se pkt. 4.8).</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Entacapon bindes til humant albumin - bindingssted II, hvilket også kan binde adskillige andre</w:t>
      </w:r>
      <w:r>
        <w:rPr>
          <w:sz w:val="24"/>
          <w:szCs w:val="24"/>
        </w:rPr>
        <w:t xml:space="preserve"> </w:t>
      </w:r>
      <w:r w:rsidRPr="00CE6AFB">
        <w:rPr>
          <w:sz w:val="24"/>
          <w:szCs w:val="24"/>
        </w:rPr>
        <w:t xml:space="preserve">lægemidler inklusive diazepam og ibuprofen. Kliniske interaktionsforsøg med diazepam og nonsteroide antiinflammatoriske lægemidler er ikke udført. Ifølge </w:t>
      </w:r>
      <w:r w:rsidRPr="00CE6AFB">
        <w:rPr>
          <w:i/>
          <w:iCs/>
          <w:sz w:val="24"/>
          <w:szCs w:val="24"/>
        </w:rPr>
        <w:t xml:space="preserve">in vitro </w:t>
      </w:r>
      <w:r w:rsidRPr="00CE6AFB">
        <w:rPr>
          <w:sz w:val="24"/>
          <w:szCs w:val="24"/>
        </w:rPr>
        <w:t>forsøg forventes signifikant forskydning ikke ved terapeutiske koncentrationer af lægemidlet.</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 xml:space="preserve">På grund af affinitet til cytokrom P450 2C9 </w:t>
      </w:r>
      <w:r w:rsidRPr="00CE6AFB">
        <w:rPr>
          <w:i/>
          <w:iCs/>
          <w:sz w:val="24"/>
          <w:szCs w:val="24"/>
        </w:rPr>
        <w:t xml:space="preserve">in vitro </w:t>
      </w:r>
      <w:r w:rsidRPr="00CE6AFB">
        <w:rPr>
          <w:sz w:val="24"/>
          <w:szCs w:val="24"/>
        </w:rPr>
        <w:t>(se pkt. 5.2), kan entacapon potentielt interferere med lægemidler med metabolisme, der er afhængig af dette isoenzym, såsom S-warfarin.</w:t>
      </w:r>
    </w:p>
    <w:p w:rsidR="00E53868" w:rsidRPr="00CE6AFB" w:rsidRDefault="00E53868" w:rsidP="00E53868">
      <w:pPr>
        <w:autoSpaceDE w:val="0"/>
        <w:autoSpaceDN w:val="0"/>
        <w:adjustRightInd w:val="0"/>
        <w:ind w:left="851"/>
        <w:rPr>
          <w:sz w:val="24"/>
          <w:szCs w:val="24"/>
        </w:rPr>
      </w:pPr>
      <w:r w:rsidRPr="00CE6AFB">
        <w:rPr>
          <w:sz w:val="24"/>
          <w:szCs w:val="24"/>
        </w:rPr>
        <w:t>I et interaktionsstudie med raske forsøgspersoner sås ingen ændringer af S-warfarin på plasmaniveau, mens AUC for R-warfarin i gennemsnit øgedes med 18</w:t>
      </w:r>
      <w:r>
        <w:rPr>
          <w:sz w:val="24"/>
          <w:szCs w:val="24"/>
        </w:rPr>
        <w:t xml:space="preserve"> %</w:t>
      </w:r>
      <w:r w:rsidRPr="00CE6AFB">
        <w:rPr>
          <w:sz w:val="24"/>
          <w:szCs w:val="24"/>
        </w:rPr>
        <w:t xml:space="preserve"> [CI90 11-26</w:t>
      </w:r>
      <w:r>
        <w:rPr>
          <w:sz w:val="24"/>
          <w:szCs w:val="24"/>
        </w:rPr>
        <w:t xml:space="preserve"> %</w:t>
      </w:r>
      <w:r w:rsidRPr="00CE6AFB">
        <w:rPr>
          <w:sz w:val="24"/>
          <w:szCs w:val="24"/>
        </w:rPr>
        <w:t>]. INR-værdierne øgedes i gennemsnit med 13</w:t>
      </w:r>
      <w:r>
        <w:rPr>
          <w:sz w:val="24"/>
          <w:szCs w:val="24"/>
        </w:rPr>
        <w:t xml:space="preserve"> %</w:t>
      </w:r>
      <w:r w:rsidRPr="00CE6AFB">
        <w:rPr>
          <w:sz w:val="24"/>
          <w:szCs w:val="24"/>
        </w:rPr>
        <w:t xml:space="preserve"> [CI90 6-19</w:t>
      </w:r>
      <w:r>
        <w:rPr>
          <w:sz w:val="24"/>
          <w:szCs w:val="24"/>
        </w:rPr>
        <w:t xml:space="preserve"> %</w:t>
      </w:r>
      <w:r w:rsidRPr="00CE6AFB">
        <w:rPr>
          <w:sz w:val="24"/>
          <w:szCs w:val="24"/>
        </w:rPr>
        <w:t>]. Derfor anbefales kontrol af INR, når entacapon gives til patienter, der samtidig er i behandling med warfarin.</w:t>
      </w:r>
    </w:p>
    <w:p w:rsidR="00E53868" w:rsidRPr="00CE6AFB" w:rsidRDefault="00E53868" w:rsidP="00E53868">
      <w:pPr>
        <w:tabs>
          <w:tab w:val="left" w:pos="851"/>
        </w:tabs>
        <w:ind w:left="851" w:hanging="851"/>
        <w:rPr>
          <w:sz w:val="24"/>
          <w:szCs w:val="24"/>
        </w:rPr>
      </w:pPr>
    </w:p>
    <w:p w:rsidR="00E53868" w:rsidRPr="00CE6AFB" w:rsidRDefault="00C03341" w:rsidP="00E53868">
      <w:pPr>
        <w:numPr>
          <w:ilvl w:val="1"/>
          <w:numId w:val="1"/>
        </w:numPr>
        <w:ind w:left="851" w:hanging="851"/>
        <w:rPr>
          <w:b/>
          <w:sz w:val="24"/>
          <w:szCs w:val="24"/>
        </w:rPr>
      </w:pPr>
      <w:r>
        <w:rPr>
          <w:b/>
          <w:sz w:val="24"/>
          <w:szCs w:val="24"/>
        </w:rPr>
        <w:t>Fertilitet, g</w:t>
      </w:r>
      <w:r w:rsidR="00E53868" w:rsidRPr="00CE6AFB">
        <w:rPr>
          <w:b/>
          <w:sz w:val="24"/>
          <w:szCs w:val="24"/>
        </w:rPr>
        <w:t>raviditet og amning</w:t>
      </w:r>
    </w:p>
    <w:p w:rsidR="00E53868" w:rsidRDefault="00E53868" w:rsidP="00E53868">
      <w:pPr>
        <w:autoSpaceDE w:val="0"/>
        <w:autoSpaceDN w:val="0"/>
        <w:adjustRightInd w:val="0"/>
        <w:ind w:left="851"/>
        <w:rPr>
          <w:sz w:val="24"/>
          <w:szCs w:val="24"/>
        </w:rPr>
      </w:pPr>
    </w:p>
    <w:p w:rsidR="00E53868" w:rsidRDefault="00E53868" w:rsidP="00E53868">
      <w:pPr>
        <w:autoSpaceDE w:val="0"/>
        <w:autoSpaceDN w:val="0"/>
        <w:adjustRightInd w:val="0"/>
        <w:ind w:left="851"/>
        <w:rPr>
          <w:sz w:val="24"/>
          <w:szCs w:val="24"/>
        </w:rPr>
      </w:pPr>
      <w:r w:rsidRPr="00CB66A4">
        <w:rPr>
          <w:sz w:val="24"/>
          <w:szCs w:val="24"/>
          <w:u w:val="single"/>
        </w:rPr>
        <w:t>Graviditet</w:t>
      </w:r>
      <w:r w:rsidRPr="00CE6AFB">
        <w:rPr>
          <w:sz w:val="24"/>
          <w:szCs w:val="24"/>
        </w:rPr>
        <w:t xml:space="preserve"> </w:t>
      </w:r>
    </w:p>
    <w:p w:rsidR="00E53868" w:rsidRDefault="00E53868" w:rsidP="00E53868">
      <w:pPr>
        <w:autoSpaceDE w:val="0"/>
        <w:autoSpaceDN w:val="0"/>
        <w:adjustRightInd w:val="0"/>
        <w:ind w:left="851"/>
        <w:rPr>
          <w:sz w:val="24"/>
          <w:szCs w:val="24"/>
        </w:rPr>
      </w:pPr>
      <w:r w:rsidRPr="00CE6AFB">
        <w:rPr>
          <w:sz w:val="24"/>
          <w:szCs w:val="24"/>
        </w:rPr>
        <w:t>Der er ikke observeret nogen teratogen eller primær føtotoksisk effekt i dyreforsøg, hvor entacapon blev administreret i betydeligt højere doser end de terapeutisk anbefalede doser. Da der ikke er erfaring med administration af entacapon til gravide kvinder, bør entacapon ikke anvendes under graviditet.</w:t>
      </w:r>
    </w:p>
    <w:p w:rsidR="00E53868" w:rsidRDefault="00E53868" w:rsidP="00E53868">
      <w:pPr>
        <w:autoSpaceDE w:val="0"/>
        <w:autoSpaceDN w:val="0"/>
        <w:adjustRightInd w:val="0"/>
        <w:ind w:left="851"/>
        <w:rPr>
          <w:sz w:val="24"/>
          <w:szCs w:val="24"/>
        </w:rPr>
      </w:pPr>
    </w:p>
    <w:p w:rsidR="00E53868" w:rsidRPr="00CE6AFB" w:rsidRDefault="00E53868" w:rsidP="00E53868">
      <w:pPr>
        <w:autoSpaceDE w:val="0"/>
        <w:autoSpaceDN w:val="0"/>
        <w:adjustRightInd w:val="0"/>
        <w:ind w:left="851"/>
        <w:rPr>
          <w:sz w:val="24"/>
          <w:szCs w:val="24"/>
        </w:rPr>
      </w:pPr>
      <w:r w:rsidRPr="00CB66A4">
        <w:rPr>
          <w:sz w:val="24"/>
          <w:szCs w:val="24"/>
          <w:u w:val="single"/>
        </w:rPr>
        <w:t>Amning</w:t>
      </w:r>
    </w:p>
    <w:p w:rsidR="00E53868" w:rsidRPr="00CE6AFB" w:rsidRDefault="00E53868" w:rsidP="00E53868">
      <w:pPr>
        <w:autoSpaceDE w:val="0"/>
        <w:autoSpaceDN w:val="0"/>
        <w:adjustRightInd w:val="0"/>
        <w:ind w:left="851"/>
        <w:rPr>
          <w:sz w:val="24"/>
          <w:szCs w:val="24"/>
        </w:rPr>
      </w:pPr>
      <w:r w:rsidRPr="00CE6AFB">
        <w:rPr>
          <w:sz w:val="24"/>
          <w:szCs w:val="24"/>
        </w:rPr>
        <w:t>I dyreforsøg udskilles entacapon i modermælken. Sikkerheden ved administration af entacapon til</w:t>
      </w:r>
      <w:r>
        <w:rPr>
          <w:sz w:val="24"/>
          <w:szCs w:val="24"/>
        </w:rPr>
        <w:t xml:space="preserve"> </w:t>
      </w:r>
      <w:r w:rsidRPr="00CE6AFB">
        <w:rPr>
          <w:sz w:val="24"/>
          <w:szCs w:val="24"/>
        </w:rPr>
        <w:t>børn er ukendt. Kvinder bør derfor ikke amme ved behandling med entacapon.</w:t>
      </w:r>
    </w:p>
    <w:p w:rsidR="00E53868" w:rsidRPr="00CE6AFB" w:rsidRDefault="00E53868" w:rsidP="00E53868">
      <w:pPr>
        <w:tabs>
          <w:tab w:val="left" w:pos="851"/>
        </w:tabs>
        <w:ind w:left="851" w:hanging="851"/>
        <w:rPr>
          <w:sz w:val="24"/>
          <w:szCs w:val="24"/>
        </w:rPr>
      </w:pPr>
    </w:p>
    <w:p w:rsidR="00E53868" w:rsidRPr="00CE6AFB" w:rsidRDefault="00E53868" w:rsidP="00E53868">
      <w:pPr>
        <w:numPr>
          <w:ilvl w:val="1"/>
          <w:numId w:val="1"/>
        </w:numPr>
        <w:ind w:left="851" w:hanging="851"/>
        <w:rPr>
          <w:b/>
          <w:sz w:val="24"/>
          <w:szCs w:val="24"/>
        </w:rPr>
      </w:pPr>
      <w:r w:rsidRPr="00CE6AFB">
        <w:rPr>
          <w:b/>
          <w:sz w:val="24"/>
          <w:szCs w:val="24"/>
        </w:rPr>
        <w:t xml:space="preserve">Virkning på evnen til at føre motorkøretøj </w:t>
      </w:r>
      <w:r w:rsidR="00C03341">
        <w:rPr>
          <w:b/>
          <w:sz w:val="24"/>
          <w:szCs w:val="24"/>
        </w:rPr>
        <w:t>og</w:t>
      </w:r>
      <w:r w:rsidRPr="00CE6AFB">
        <w:rPr>
          <w:b/>
          <w:sz w:val="24"/>
          <w:szCs w:val="24"/>
        </w:rPr>
        <w:t xml:space="preserve"> betjene maskiner</w:t>
      </w:r>
    </w:p>
    <w:p w:rsidR="00E53868" w:rsidRDefault="00E53868" w:rsidP="00E53868">
      <w:pPr>
        <w:autoSpaceDE w:val="0"/>
        <w:autoSpaceDN w:val="0"/>
        <w:adjustRightInd w:val="0"/>
        <w:ind w:left="851"/>
        <w:rPr>
          <w:sz w:val="24"/>
          <w:szCs w:val="24"/>
        </w:rPr>
      </w:pPr>
      <w:r>
        <w:rPr>
          <w:sz w:val="24"/>
          <w:szCs w:val="24"/>
        </w:rPr>
        <w:t>Ikke mærkning.</w:t>
      </w:r>
    </w:p>
    <w:p w:rsidR="00E53868" w:rsidRPr="00CE6AFB" w:rsidRDefault="00965ECA" w:rsidP="00E53868">
      <w:pPr>
        <w:autoSpaceDE w:val="0"/>
        <w:autoSpaceDN w:val="0"/>
        <w:adjustRightInd w:val="0"/>
        <w:ind w:left="851"/>
        <w:rPr>
          <w:sz w:val="24"/>
          <w:szCs w:val="24"/>
        </w:rPr>
      </w:pPr>
      <w:r>
        <w:rPr>
          <w:sz w:val="24"/>
          <w:szCs w:val="24"/>
        </w:rPr>
        <w:t>Entacapone ”Viatris”</w:t>
      </w:r>
      <w:r w:rsidR="00E53868" w:rsidRPr="00CE6AFB">
        <w:rPr>
          <w:sz w:val="24"/>
          <w:szCs w:val="24"/>
        </w:rPr>
        <w:t xml:space="preserve"> sammen med levodopa kan i væsentlig grad påvirke evnen til at føre motorkøretøj eller betjene maskiner. Entacapon kan sammen med levodopa forårsage svimmelhed og symptomatisk ortostatisme. Derfor bør der udvises forsigtighed, når der føres bil eller betjenes maskiner.</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Patienter, der er i behandling med entacapon i forbindelse med levodopa, og hvor døsighed og/eller perioder med pludselige søvnanfald optræder, skal oplyses om, at de skal undlade at føre motorkøretøj og undgå at deltage i aktiviteter (f.eks. betjening af maskiner), hvor nedsat opmærksomhed kan bringe deres eget eller andres liv og helbred i fare. Dette gælder så længe disse bivirkninger optræder (se også pkt. 4.4).</w:t>
      </w:r>
    </w:p>
    <w:p w:rsidR="00E53868" w:rsidRPr="00CE6AFB" w:rsidRDefault="00E53868" w:rsidP="00E53868">
      <w:pPr>
        <w:tabs>
          <w:tab w:val="left" w:pos="851"/>
        </w:tabs>
        <w:ind w:left="851" w:hanging="851"/>
        <w:rPr>
          <w:sz w:val="24"/>
          <w:szCs w:val="24"/>
        </w:rPr>
      </w:pPr>
    </w:p>
    <w:p w:rsidR="00E53868" w:rsidRPr="00CE6AFB" w:rsidRDefault="00E53868" w:rsidP="00E53868">
      <w:pPr>
        <w:numPr>
          <w:ilvl w:val="1"/>
          <w:numId w:val="1"/>
        </w:numPr>
        <w:ind w:left="851" w:hanging="851"/>
        <w:rPr>
          <w:b/>
          <w:sz w:val="24"/>
          <w:szCs w:val="24"/>
        </w:rPr>
      </w:pPr>
      <w:r w:rsidRPr="00CE6AFB">
        <w:rPr>
          <w:b/>
          <w:sz w:val="24"/>
          <w:szCs w:val="24"/>
        </w:rPr>
        <w:t>Bivirkninger</w:t>
      </w:r>
    </w:p>
    <w:p w:rsidR="00E53868" w:rsidRPr="00CE6AFB" w:rsidRDefault="00E53868" w:rsidP="00E53868">
      <w:pPr>
        <w:autoSpaceDE w:val="0"/>
        <w:autoSpaceDN w:val="0"/>
        <w:adjustRightInd w:val="0"/>
        <w:ind w:left="851" w:hanging="851"/>
        <w:rPr>
          <w:sz w:val="24"/>
          <w:szCs w:val="24"/>
        </w:rPr>
      </w:pPr>
      <w:r w:rsidRPr="00CE6AFB">
        <w:rPr>
          <w:sz w:val="24"/>
          <w:szCs w:val="24"/>
        </w:rPr>
        <w:tab/>
        <w:t>De hyppigste bivirkninger forårsaget af entacapon er relateret til øget dopaminerg aktivitet og</w:t>
      </w:r>
      <w:r>
        <w:rPr>
          <w:sz w:val="24"/>
          <w:szCs w:val="24"/>
        </w:rPr>
        <w:t xml:space="preserve"> </w:t>
      </w:r>
      <w:r w:rsidRPr="00CE6AFB">
        <w:rPr>
          <w:sz w:val="24"/>
          <w:szCs w:val="24"/>
        </w:rPr>
        <w:t>optræder hyppigst i begyndelsen af behandlingen. Reduktion af levodopa-dosis nedsætter</w:t>
      </w:r>
      <w:r>
        <w:rPr>
          <w:sz w:val="24"/>
          <w:szCs w:val="24"/>
        </w:rPr>
        <w:t xml:space="preserve"> </w:t>
      </w:r>
      <w:r w:rsidRPr="00CE6AFB">
        <w:rPr>
          <w:sz w:val="24"/>
          <w:szCs w:val="24"/>
        </w:rPr>
        <w:t>sværhedsgraden og hyppigheden af disse bivirkninger. Den anden hyppige gruppe af bivirkninger er relateret til mave-tarm</w:t>
      </w:r>
      <w:r>
        <w:rPr>
          <w:sz w:val="24"/>
          <w:szCs w:val="24"/>
        </w:rPr>
        <w:t>-</w:t>
      </w:r>
      <w:r w:rsidRPr="00CE6AFB">
        <w:rPr>
          <w:sz w:val="24"/>
          <w:szCs w:val="24"/>
        </w:rPr>
        <w:t>kanalen og inkluderer kvalme, opkastning, abdominale smerter, forstoppelse og diarré. Urinen kan blive misfarvet og blive farvet rødbrun af entacapon, men denne bivirkning er harmløs.</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Sædvanligvis er bivirkninger forårsaget af entacapon milde til moderate. I kliniske studier har den</w:t>
      </w:r>
      <w:r>
        <w:rPr>
          <w:sz w:val="24"/>
          <w:szCs w:val="24"/>
        </w:rPr>
        <w:t xml:space="preserve"> </w:t>
      </w:r>
      <w:r w:rsidRPr="00CE6AFB">
        <w:rPr>
          <w:sz w:val="24"/>
          <w:szCs w:val="24"/>
        </w:rPr>
        <w:t xml:space="preserve">mest almindelige bivirkning, der har ført til afbrydning af behandlingen med </w:t>
      </w:r>
      <w:r w:rsidRPr="00CE6AFB">
        <w:rPr>
          <w:sz w:val="24"/>
          <w:szCs w:val="24"/>
        </w:rPr>
        <w:lastRenderedPageBreak/>
        <w:t>entacapon, været</w:t>
      </w:r>
      <w:r>
        <w:rPr>
          <w:sz w:val="24"/>
          <w:szCs w:val="24"/>
        </w:rPr>
        <w:t xml:space="preserve"> </w:t>
      </w:r>
      <w:r w:rsidRPr="00CE6AFB">
        <w:rPr>
          <w:sz w:val="24"/>
          <w:szCs w:val="24"/>
        </w:rPr>
        <w:t>symptomer fra mave-tarmkanalen (f.eks. diarré 2,5</w:t>
      </w:r>
      <w:r>
        <w:rPr>
          <w:sz w:val="24"/>
          <w:szCs w:val="24"/>
        </w:rPr>
        <w:t xml:space="preserve"> %</w:t>
      </w:r>
      <w:r w:rsidRPr="00CE6AFB">
        <w:rPr>
          <w:sz w:val="24"/>
          <w:szCs w:val="24"/>
        </w:rPr>
        <w:t>) og øget dopaminerg bivirkning af levodopa</w:t>
      </w:r>
      <w:r>
        <w:rPr>
          <w:sz w:val="24"/>
          <w:szCs w:val="24"/>
        </w:rPr>
        <w:t xml:space="preserve"> </w:t>
      </w:r>
      <w:r w:rsidRPr="00CE6AFB">
        <w:rPr>
          <w:sz w:val="24"/>
          <w:szCs w:val="24"/>
        </w:rPr>
        <w:t>(f.eks. dyskinesi 1,7</w:t>
      </w:r>
      <w:r>
        <w:rPr>
          <w:sz w:val="24"/>
          <w:szCs w:val="24"/>
        </w:rPr>
        <w:t xml:space="preserve"> %</w:t>
      </w:r>
      <w:r w:rsidRPr="00CE6AFB">
        <w:rPr>
          <w:sz w:val="24"/>
          <w:szCs w:val="24"/>
        </w:rPr>
        <w:t>).</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Dyskinesier (27</w:t>
      </w:r>
      <w:r>
        <w:rPr>
          <w:sz w:val="24"/>
          <w:szCs w:val="24"/>
        </w:rPr>
        <w:t xml:space="preserve"> %</w:t>
      </w:r>
      <w:r w:rsidRPr="00CE6AFB">
        <w:rPr>
          <w:sz w:val="24"/>
          <w:szCs w:val="24"/>
        </w:rPr>
        <w:t>), kvalme (11</w:t>
      </w:r>
      <w:r>
        <w:rPr>
          <w:sz w:val="24"/>
          <w:szCs w:val="24"/>
        </w:rPr>
        <w:t xml:space="preserve"> %</w:t>
      </w:r>
      <w:r w:rsidRPr="00CE6AFB">
        <w:rPr>
          <w:sz w:val="24"/>
          <w:szCs w:val="24"/>
        </w:rPr>
        <w:t>), diarré (8</w:t>
      </w:r>
      <w:r>
        <w:rPr>
          <w:sz w:val="24"/>
          <w:szCs w:val="24"/>
        </w:rPr>
        <w:t xml:space="preserve"> %</w:t>
      </w:r>
      <w:r w:rsidRPr="00CE6AFB">
        <w:rPr>
          <w:sz w:val="24"/>
          <w:szCs w:val="24"/>
        </w:rPr>
        <w:t>), abdominal smerte (7</w:t>
      </w:r>
      <w:r>
        <w:rPr>
          <w:sz w:val="24"/>
          <w:szCs w:val="24"/>
        </w:rPr>
        <w:t xml:space="preserve"> %</w:t>
      </w:r>
      <w:r w:rsidRPr="00CE6AFB">
        <w:rPr>
          <w:sz w:val="24"/>
          <w:szCs w:val="24"/>
        </w:rPr>
        <w:t>) og mundtørhed (4,2</w:t>
      </w:r>
      <w:r>
        <w:rPr>
          <w:sz w:val="24"/>
          <w:szCs w:val="24"/>
        </w:rPr>
        <w:t xml:space="preserve"> %</w:t>
      </w:r>
      <w:r w:rsidRPr="00CE6AFB">
        <w:rPr>
          <w:sz w:val="24"/>
          <w:szCs w:val="24"/>
        </w:rPr>
        <w:t>) blev rapporteret signifikant hyppigere med entacapon end placebo i poolede data fra kliniske studier, hvor 406 patienter har fået den aktive medicin, og 296 patienter har fået placebo.</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Visse af disse bivirkninger, som dyskinesier, kvalme og abdominale smerter, kan være hyppigere ved højere doser (1.400–2.000 mg per dag) end ved lavere doser af entacapon.</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Bivirkningerne er sat i rækkefølge under overskrifterne efter frekvens, den hyppigt forekomne</w:t>
      </w:r>
      <w:r>
        <w:rPr>
          <w:sz w:val="24"/>
          <w:szCs w:val="24"/>
        </w:rPr>
        <w:t xml:space="preserve"> </w:t>
      </w:r>
      <w:r w:rsidRPr="00CE6AFB">
        <w:rPr>
          <w:sz w:val="24"/>
          <w:szCs w:val="24"/>
        </w:rPr>
        <w:t>først, ved anvendelse af følgende konvention: Meget almindelig (&gt;1/10); almindelig</w:t>
      </w:r>
      <w:r>
        <w:rPr>
          <w:sz w:val="24"/>
          <w:szCs w:val="24"/>
        </w:rPr>
        <w:t xml:space="preserve"> </w:t>
      </w:r>
      <w:r w:rsidRPr="00CE6AFB">
        <w:rPr>
          <w:sz w:val="24"/>
          <w:szCs w:val="24"/>
        </w:rPr>
        <w:t>(&gt;1/100 til &lt;1/10); ikke almindelig (&gt;1/1.000 til &lt;1/100); sjælden (&gt;1/10.000 til &lt;1/1.000),</w:t>
      </w:r>
      <w:r>
        <w:rPr>
          <w:sz w:val="24"/>
          <w:szCs w:val="24"/>
        </w:rPr>
        <w:t xml:space="preserve"> </w:t>
      </w:r>
      <w:r w:rsidRPr="00CE6AFB">
        <w:rPr>
          <w:sz w:val="24"/>
          <w:szCs w:val="24"/>
        </w:rPr>
        <w:t>meget sjælden (&lt;1/10.000), ikke kendt (kan ikke estimeres ud fra forhåndenværende data</w:t>
      </w:r>
      <w:r>
        <w:rPr>
          <w:sz w:val="24"/>
          <w:szCs w:val="24"/>
        </w:rPr>
        <w:t>.</w:t>
      </w:r>
    </w:p>
    <w:p w:rsidR="00E53868" w:rsidRPr="00CE6AFB" w:rsidRDefault="00E53868" w:rsidP="00E53868">
      <w:pPr>
        <w:autoSpaceDE w:val="0"/>
        <w:autoSpaceDN w:val="0"/>
        <w:adjustRightInd w:val="0"/>
        <w:ind w:left="851" w:hanging="851"/>
        <w:rPr>
          <w:sz w:val="24"/>
          <w:szCs w:val="24"/>
        </w:rPr>
      </w:pPr>
    </w:p>
    <w:p w:rsidR="00E53868" w:rsidRDefault="00E53868" w:rsidP="00E53868">
      <w:pPr>
        <w:autoSpaceDE w:val="0"/>
        <w:autoSpaceDN w:val="0"/>
        <w:adjustRightInd w:val="0"/>
        <w:ind w:left="851"/>
        <w:rPr>
          <w:sz w:val="24"/>
          <w:szCs w:val="24"/>
        </w:rPr>
      </w:pPr>
      <w:r w:rsidRPr="00CE6AFB">
        <w:rPr>
          <w:sz w:val="24"/>
          <w:szCs w:val="24"/>
        </w:rPr>
        <w:t>Følgende bivirkningerne er akkumuleret både fra kliniske studier med entacapon</w:t>
      </w:r>
      <w:r>
        <w:rPr>
          <w:sz w:val="24"/>
          <w:szCs w:val="24"/>
        </w:rPr>
        <w:t xml:space="preserve"> </w:t>
      </w:r>
      <w:r w:rsidRPr="00CE6AFB">
        <w:rPr>
          <w:sz w:val="24"/>
          <w:szCs w:val="24"/>
        </w:rPr>
        <w:t>og efter markedsføring af entacapon.</w:t>
      </w:r>
    </w:p>
    <w:p w:rsidR="00E53868" w:rsidRPr="00CE6AFB" w:rsidRDefault="00E53868" w:rsidP="00E53868">
      <w:pPr>
        <w:autoSpaceDE w:val="0"/>
        <w:autoSpaceDN w:val="0"/>
        <w:adjustRightInd w:val="0"/>
        <w:ind w:left="851"/>
        <w:rPr>
          <w:sz w:val="24"/>
          <w:szCs w:val="24"/>
        </w:rPr>
      </w:pPr>
    </w:p>
    <w:tbl>
      <w:tblPr>
        <w:tblStyle w:val="Tabel-Gitter"/>
        <w:tblW w:w="8788" w:type="dxa"/>
        <w:tblInd w:w="959" w:type="dxa"/>
        <w:tblLook w:val="01E0" w:firstRow="1" w:lastRow="1" w:firstColumn="1" w:lastColumn="1" w:noHBand="0" w:noVBand="0"/>
      </w:tblPr>
      <w:tblGrid>
        <w:gridCol w:w="8788"/>
      </w:tblGrid>
      <w:tr w:rsidR="00E53868" w:rsidRPr="00CE6AFB" w:rsidTr="003B4BCE">
        <w:trPr>
          <w:trHeight w:val="815"/>
        </w:trPr>
        <w:tc>
          <w:tcPr>
            <w:tcW w:w="8788"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Psykiske forstyrrelser</w:t>
            </w:r>
          </w:p>
          <w:p w:rsidR="00E53868" w:rsidRPr="00CE6AFB" w:rsidRDefault="00E53868" w:rsidP="003B4BCE">
            <w:pPr>
              <w:autoSpaceDE w:val="0"/>
              <w:autoSpaceDN w:val="0"/>
              <w:adjustRightInd w:val="0"/>
              <w:rPr>
                <w:sz w:val="24"/>
                <w:szCs w:val="24"/>
              </w:rPr>
            </w:pPr>
            <w:r w:rsidRPr="00CE6AFB">
              <w:rPr>
                <w:sz w:val="24"/>
                <w:szCs w:val="24"/>
              </w:rPr>
              <w:t xml:space="preserve">Almindelig </w:t>
            </w:r>
            <w:r w:rsidRPr="00CE6AFB">
              <w:rPr>
                <w:sz w:val="24"/>
                <w:szCs w:val="24"/>
              </w:rPr>
              <w:tab/>
            </w:r>
            <w:r w:rsidRPr="00CE6AFB">
              <w:rPr>
                <w:sz w:val="24"/>
                <w:szCs w:val="24"/>
              </w:rPr>
              <w:tab/>
              <w:t>Insomni, hallucinationer, konfusion, paroniria (mareridt)</w:t>
            </w:r>
          </w:p>
          <w:p w:rsidR="00E53868" w:rsidRPr="00CE6AFB" w:rsidRDefault="00E53868" w:rsidP="003B4BCE">
            <w:pPr>
              <w:autoSpaceDE w:val="0"/>
              <w:autoSpaceDN w:val="0"/>
              <w:adjustRightInd w:val="0"/>
              <w:rPr>
                <w:b/>
                <w:bCs/>
                <w:sz w:val="24"/>
                <w:szCs w:val="24"/>
              </w:rPr>
            </w:pPr>
            <w:r w:rsidRPr="00CE6AFB">
              <w:rPr>
                <w:sz w:val="24"/>
                <w:szCs w:val="24"/>
              </w:rPr>
              <w:t xml:space="preserve">Meget sjælden </w:t>
            </w:r>
            <w:r w:rsidRPr="00CE6AFB">
              <w:rPr>
                <w:sz w:val="24"/>
                <w:szCs w:val="24"/>
              </w:rPr>
              <w:tab/>
              <w:t>Agitation</w:t>
            </w:r>
          </w:p>
        </w:tc>
      </w:tr>
      <w:tr w:rsidR="00E53868" w:rsidRPr="00CE6AFB" w:rsidTr="003B4BCE">
        <w:trPr>
          <w:trHeight w:val="1090"/>
        </w:trPr>
        <w:tc>
          <w:tcPr>
            <w:tcW w:w="8788"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Nervesystemet</w:t>
            </w:r>
          </w:p>
          <w:p w:rsidR="00E53868" w:rsidRPr="00CE6AFB" w:rsidRDefault="00E53868" w:rsidP="003B4BCE">
            <w:pPr>
              <w:autoSpaceDE w:val="0"/>
              <w:autoSpaceDN w:val="0"/>
              <w:adjustRightInd w:val="0"/>
              <w:rPr>
                <w:sz w:val="24"/>
                <w:szCs w:val="24"/>
              </w:rPr>
            </w:pPr>
            <w:r w:rsidRPr="00CE6AFB">
              <w:rPr>
                <w:sz w:val="24"/>
                <w:szCs w:val="24"/>
              </w:rPr>
              <w:t xml:space="preserve">Meget almindelig </w:t>
            </w:r>
            <w:r w:rsidRPr="00CE6AFB">
              <w:rPr>
                <w:sz w:val="24"/>
                <w:szCs w:val="24"/>
              </w:rPr>
              <w:tab/>
              <w:t>Dyskinesi</w:t>
            </w:r>
          </w:p>
          <w:p w:rsidR="00E53868" w:rsidRPr="00CE6AFB" w:rsidRDefault="00E53868" w:rsidP="003B4BCE">
            <w:pPr>
              <w:autoSpaceDE w:val="0"/>
              <w:autoSpaceDN w:val="0"/>
              <w:adjustRightInd w:val="0"/>
              <w:rPr>
                <w:sz w:val="24"/>
                <w:szCs w:val="24"/>
              </w:rPr>
            </w:pPr>
            <w:r w:rsidRPr="00CE6AFB">
              <w:rPr>
                <w:sz w:val="24"/>
                <w:szCs w:val="24"/>
              </w:rPr>
              <w:t xml:space="preserve">Almindelig </w:t>
            </w:r>
            <w:r w:rsidRPr="00CE6AFB">
              <w:rPr>
                <w:sz w:val="24"/>
                <w:szCs w:val="24"/>
              </w:rPr>
              <w:tab/>
            </w:r>
            <w:r w:rsidRPr="00CE6AFB">
              <w:rPr>
                <w:sz w:val="24"/>
                <w:szCs w:val="24"/>
              </w:rPr>
              <w:tab/>
              <w:t xml:space="preserve">Forværring af Parkinsons sygdom, svimmelhed, dystoni, </w:t>
            </w:r>
            <w:r>
              <w:rPr>
                <w:sz w:val="24"/>
                <w:szCs w:val="24"/>
              </w:rPr>
              <w:tab/>
            </w:r>
            <w:r>
              <w:rPr>
                <w:sz w:val="24"/>
                <w:szCs w:val="24"/>
              </w:rPr>
              <w:tab/>
            </w:r>
            <w:r w:rsidRPr="00CE6AFB">
              <w:rPr>
                <w:sz w:val="24"/>
                <w:szCs w:val="24"/>
              </w:rPr>
              <w:t>hyperkinesi</w:t>
            </w:r>
          </w:p>
        </w:tc>
      </w:tr>
      <w:tr w:rsidR="00E53868" w:rsidRPr="00CE6AFB" w:rsidTr="003B4BCE">
        <w:trPr>
          <w:trHeight w:val="1090"/>
        </w:trPr>
        <w:tc>
          <w:tcPr>
            <w:tcW w:w="8788"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Hjerte *</w:t>
            </w:r>
          </w:p>
          <w:p w:rsidR="00E53868" w:rsidRPr="00CE6AFB" w:rsidRDefault="00E53868" w:rsidP="003B4BCE">
            <w:pPr>
              <w:autoSpaceDE w:val="0"/>
              <w:autoSpaceDN w:val="0"/>
              <w:adjustRightInd w:val="0"/>
              <w:rPr>
                <w:sz w:val="24"/>
                <w:szCs w:val="24"/>
              </w:rPr>
            </w:pPr>
            <w:r w:rsidRPr="00CE6AFB">
              <w:rPr>
                <w:sz w:val="24"/>
                <w:szCs w:val="24"/>
              </w:rPr>
              <w:t xml:space="preserve">Almindelig </w:t>
            </w:r>
            <w:r w:rsidRPr="00CE6AFB">
              <w:rPr>
                <w:sz w:val="24"/>
                <w:szCs w:val="24"/>
              </w:rPr>
              <w:tab/>
            </w:r>
            <w:r w:rsidRPr="00CE6AFB">
              <w:rPr>
                <w:sz w:val="24"/>
                <w:szCs w:val="24"/>
              </w:rPr>
              <w:tab/>
              <w:t xml:space="preserve">Andre tilfælde af iskæmisk hjertesygdom end </w:t>
            </w:r>
            <w:r>
              <w:rPr>
                <w:sz w:val="24"/>
                <w:szCs w:val="24"/>
              </w:rPr>
              <w:tab/>
            </w:r>
            <w:r>
              <w:rPr>
                <w:sz w:val="24"/>
                <w:szCs w:val="24"/>
              </w:rPr>
              <w:tab/>
            </w:r>
            <w:r>
              <w:rPr>
                <w:sz w:val="24"/>
                <w:szCs w:val="24"/>
              </w:rPr>
              <w:tab/>
            </w:r>
            <w:r w:rsidRPr="00CE6AFB">
              <w:rPr>
                <w:sz w:val="24"/>
                <w:szCs w:val="24"/>
              </w:rPr>
              <w:t>myokardieinfarkt (f.eks. angina pectoris)</w:t>
            </w:r>
          </w:p>
          <w:p w:rsidR="00E53868" w:rsidRPr="00CE6AFB" w:rsidRDefault="00E53868" w:rsidP="003B4BCE">
            <w:pPr>
              <w:autoSpaceDE w:val="0"/>
              <w:autoSpaceDN w:val="0"/>
              <w:adjustRightInd w:val="0"/>
              <w:rPr>
                <w:b/>
                <w:bCs/>
                <w:sz w:val="24"/>
                <w:szCs w:val="24"/>
              </w:rPr>
            </w:pPr>
            <w:r w:rsidRPr="00CE6AFB">
              <w:rPr>
                <w:sz w:val="24"/>
                <w:szCs w:val="24"/>
              </w:rPr>
              <w:t xml:space="preserve">Ikke almindelig </w:t>
            </w:r>
            <w:r w:rsidRPr="00CE6AFB">
              <w:rPr>
                <w:sz w:val="24"/>
                <w:szCs w:val="24"/>
              </w:rPr>
              <w:tab/>
              <w:t>Myokardieinfarkt</w:t>
            </w:r>
          </w:p>
        </w:tc>
      </w:tr>
      <w:tr w:rsidR="00E53868" w:rsidRPr="00CE6AFB" w:rsidTr="003B4BCE">
        <w:trPr>
          <w:trHeight w:val="1640"/>
        </w:trPr>
        <w:tc>
          <w:tcPr>
            <w:tcW w:w="8788"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Mave-tarm-kanalen</w:t>
            </w:r>
          </w:p>
          <w:p w:rsidR="00E53868" w:rsidRPr="00CE6AFB" w:rsidRDefault="00E53868" w:rsidP="003B4BCE">
            <w:pPr>
              <w:autoSpaceDE w:val="0"/>
              <w:autoSpaceDN w:val="0"/>
              <w:adjustRightInd w:val="0"/>
              <w:rPr>
                <w:sz w:val="24"/>
                <w:szCs w:val="24"/>
              </w:rPr>
            </w:pPr>
            <w:r w:rsidRPr="00CE6AFB">
              <w:rPr>
                <w:sz w:val="24"/>
                <w:szCs w:val="24"/>
              </w:rPr>
              <w:t xml:space="preserve">Meget almindelig </w:t>
            </w:r>
            <w:r w:rsidRPr="00CE6AFB">
              <w:rPr>
                <w:sz w:val="24"/>
                <w:szCs w:val="24"/>
              </w:rPr>
              <w:tab/>
              <w:t>Kvalme</w:t>
            </w:r>
          </w:p>
          <w:p w:rsidR="00E53868" w:rsidRPr="00CE6AFB" w:rsidRDefault="00E53868" w:rsidP="003B4BCE">
            <w:pPr>
              <w:autoSpaceDE w:val="0"/>
              <w:autoSpaceDN w:val="0"/>
              <w:adjustRightInd w:val="0"/>
              <w:rPr>
                <w:sz w:val="24"/>
                <w:szCs w:val="24"/>
              </w:rPr>
            </w:pPr>
            <w:r w:rsidRPr="00CE6AFB">
              <w:rPr>
                <w:sz w:val="24"/>
                <w:szCs w:val="24"/>
              </w:rPr>
              <w:t xml:space="preserve">Almindelig </w:t>
            </w:r>
            <w:r w:rsidRPr="00CE6AFB">
              <w:rPr>
                <w:sz w:val="24"/>
                <w:szCs w:val="24"/>
              </w:rPr>
              <w:tab/>
            </w:r>
            <w:r w:rsidRPr="00CE6AFB">
              <w:rPr>
                <w:sz w:val="24"/>
                <w:szCs w:val="24"/>
              </w:rPr>
              <w:tab/>
              <w:t xml:space="preserve">Diarré, abdominalsmerter, mundtørhed, forstoppelse, </w:t>
            </w:r>
            <w:r>
              <w:rPr>
                <w:sz w:val="24"/>
                <w:szCs w:val="24"/>
              </w:rPr>
              <w:tab/>
            </w:r>
            <w:r>
              <w:rPr>
                <w:sz w:val="24"/>
                <w:szCs w:val="24"/>
              </w:rPr>
              <w:tab/>
            </w:r>
            <w:r>
              <w:rPr>
                <w:sz w:val="24"/>
                <w:szCs w:val="24"/>
              </w:rPr>
              <w:tab/>
            </w:r>
            <w:r w:rsidRPr="00CE6AFB">
              <w:rPr>
                <w:sz w:val="24"/>
                <w:szCs w:val="24"/>
              </w:rPr>
              <w:t>opkastning</w:t>
            </w:r>
          </w:p>
          <w:p w:rsidR="00E53868" w:rsidRPr="00CE6AFB" w:rsidRDefault="00E53868" w:rsidP="003B4BCE">
            <w:pPr>
              <w:autoSpaceDE w:val="0"/>
              <w:autoSpaceDN w:val="0"/>
              <w:adjustRightInd w:val="0"/>
              <w:rPr>
                <w:sz w:val="24"/>
                <w:szCs w:val="24"/>
              </w:rPr>
            </w:pPr>
            <w:r w:rsidRPr="00CE6AFB">
              <w:rPr>
                <w:sz w:val="24"/>
                <w:szCs w:val="24"/>
              </w:rPr>
              <w:t>Meget sjælden</w:t>
            </w:r>
            <w:r w:rsidRPr="00CE6AFB">
              <w:rPr>
                <w:sz w:val="24"/>
                <w:szCs w:val="24"/>
              </w:rPr>
              <w:tab/>
              <w:t>Anoreksi</w:t>
            </w:r>
          </w:p>
          <w:p w:rsidR="00E53868" w:rsidRPr="00CE6AFB" w:rsidRDefault="00E53868" w:rsidP="003B4BCE">
            <w:pPr>
              <w:autoSpaceDE w:val="0"/>
              <w:autoSpaceDN w:val="0"/>
              <w:adjustRightInd w:val="0"/>
              <w:rPr>
                <w:b/>
                <w:bCs/>
                <w:sz w:val="24"/>
                <w:szCs w:val="24"/>
              </w:rPr>
            </w:pPr>
            <w:r w:rsidRPr="00CE6AFB">
              <w:rPr>
                <w:sz w:val="24"/>
                <w:szCs w:val="24"/>
              </w:rPr>
              <w:t xml:space="preserve">Ikke kendt </w:t>
            </w:r>
            <w:r w:rsidRPr="00CE6AFB">
              <w:rPr>
                <w:sz w:val="24"/>
                <w:szCs w:val="24"/>
              </w:rPr>
              <w:tab/>
            </w:r>
            <w:r w:rsidRPr="00CE6AFB">
              <w:rPr>
                <w:sz w:val="24"/>
                <w:szCs w:val="24"/>
              </w:rPr>
              <w:tab/>
              <w:t>Colitis</w:t>
            </w:r>
          </w:p>
        </w:tc>
      </w:tr>
      <w:tr w:rsidR="00E53868" w:rsidRPr="00CE6AFB" w:rsidTr="003B4BCE">
        <w:trPr>
          <w:trHeight w:val="815"/>
        </w:trPr>
        <w:tc>
          <w:tcPr>
            <w:tcW w:w="8788"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Lever og galdeveje</w:t>
            </w:r>
          </w:p>
          <w:p w:rsidR="00E53868" w:rsidRPr="00CE6AFB" w:rsidRDefault="00E53868" w:rsidP="003B4BCE">
            <w:pPr>
              <w:autoSpaceDE w:val="0"/>
              <w:autoSpaceDN w:val="0"/>
              <w:adjustRightInd w:val="0"/>
              <w:rPr>
                <w:sz w:val="24"/>
                <w:szCs w:val="24"/>
              </w:rPr>
            </w:pPr>
            <w:r w:rsidRPr="00CE6AFB">
              <w:rPr>
                <w:sz w:val="24"/>
                <w:szCs w:val="24"/>
              </w:rPr>
              <w:t xml:space="preserve">Sjælden </w:t>
            </w:r>
            <w:r w:rsidRPr="00CE6AFB">
              <w:rPr>
                <w:sz w:val="24"/>
                <w:szCs w:val="24"/>
              </w:rPr>
              <w:tab/>
            </w:r>
            <w:r w:rsidRPr="00CE6AFB">
              <w:rPr>
                <w:sz w:val="24"/>
                <w:szCs w:val="24"/>
              </w:rPr>
              <w:tab/>
              <w:t>Unormale leverfunktionstests</w:t>
            </w:r>
          </w:p>
          <w:p w:rsidR="00E53868" w:rsidRPr="00CE6AFB" w:rsidRDefault="00E53868" w:rsidP="003B4BCE">
            <w:pPr>
              <w:autoSpaceDE w:val="0"/>
              <w:autoSpaceDN w:val="0"/>
              <w:adjustRightInd w:val="0"/>
              <w:rPr>
                <w:b/>
                <w:bCs/>
                <w:sz w:val="24"/>
                <w:szCs w:val="24"/>
              </w:rPr>
            </w:pPr>
            <w:r w:rsidRPr="00CE6AFB">
              <w:rPr>
                <w:sz w:val="24"/>
                <w:szCs w:val="24"/>
              </w:rPr>
              <w:t xml:space="preserve">Ikke kendt </w:t>
            </w:r>
            <w:r w:rsidRPr="00CE6AFB">
              <w:rPr>
                <w:sz w:val="24"/>
                <w:szCs w:val="24"/>
              </w:rPr>
              <w:tab/>
            </w:r>
            <w:r w:rsidRPr="00CE6AFB">
              <w:rPr>
                <w:sz w:val="24"/>
                <w:szCs w:val="24"/>
              </w:rPr>
              <w:tab/>
              <w:t>Leverbetændelse hovedsagelig kolestase (se pkt.4.4)</w:t>
            </w:r>
          </w:p>
        </w:tc>
      </w:tr>
      <w:tr w:rsidR="00E53868" w:rsidRPr="00CE6AFB" w:rsidTr="003B4BCE">
        <w:trPr>
          <w:trHeight w:val="1090"/>
        </w:trPr>
        <w:tc>
          <w:tcPr>
            <w:tcW w:w="8788"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Hud og subkutane væv</w:t>
            </w:r>
          </w:p>
          <w:p w:rsidR="00E53868" w:rsidRPr="00CE6AFB" w:rsidRDefault="00E53868" w:rsidP="003B4BCE">
            <w:pPr>
              <w:autoSpaceDE w:val="0"/>
              <w:autoSpaceDN w:val="0"/>
              <w:adjustRightInd w:val="0"/>
              <w:rPr>
                <w:sz w:val="24"/>
                <w:szCs w:val="24"/>
              </w:rPr>
            </w:pPr>
            <w:r w:rsidRPr="00CE6AFB">
              <w:rPr>
                <w:sz w:val="24"/>
                <w:szCs w:val="24"/>
              </w:rPr>
              <w:t xml:space="preserve">Sjælden </w:t>
            </w:r>
            <w:r w:rsidRPr="00CE6AFB">
              <w:rPr>
                <w:sz w:val="24"/>
                <w:szCs w:val="24"/>
              </w:rPr>
              <w:tab/>
            </w:r>
            <w:r w:rsidRPr="00CE6AFB">
              <w:rPr>
                <w:sz w:val="24"/>
                <w:szCs w:val="24"/>
              </w:rPr>
              <w:tab/>
              <w:t>Erytematøst og makulopapuløst udslæt</w:t>
            </w:r>
          </w:p>
          <w:p w:rsidR="00E53868" w:rsidRPr="00CE6AFB" w:rsidRDefault="00E53868" w:rsidP="003B4BCE">
            <w:pPr>
              <w:autoSpaceDE w:val="0"/>
              <w:autoSpaceDN w:val="0"/>
              <w:adjustRightInd w:val="0"/>
              <w:rPr>
                <w:sz w:val="24"/>
                <w:szCs w:val="24"/>
              </w:rPr>
            </w:pPr>
            <w:r w:rsidRPr="00CE6AFB">
              <w:rPr>
                <w:sz w:val="24"/>
                <w:szCs w:val="24"/>
              </w:rPr>
              <w:t xml:space="preserve">Meget sjælden </w:t>
            </w:r>
            <w:r w:rsidRPr="00CE6AFB">
              <w:rPr>
                <w:sz w:val="24"/>
                <w:szCs w:val="24"/>
              </w:rPr>
              <w:tab/>
              <w:t>Urticaria</w:t>
            </w:r>
          </w:p>
          <w:p w:rsidR="00E53868" w:rsidRPr="00CE6AFB" w:rsidRDefault="00E53868" w:rsidP="003B4BCE">
            <w:pPr>
              <w:autoSpaceDE w:val="0"/>
              <w:autoSpaceDN w:val="0"/>
              <w:adjustRightInd w:val="0"/>
              <w:rPr>
                <w:b/>
                <w:bCs/>
                <w:sz w:val="24"/>
                <w:szCs w:val="24"/>
              </w:rPr>
            </w:pPr>
            <w:r w:rsidRPr="00CE6AFB">
              <w:rPr>
                <w:sz w:val="24"/>
                <w:szCs w:val="24"/>
              </w:rPr>
              <w:t xml:space="preserve">Ikke kendt </w:t>
            </w:r>
            <w:r w:rsidRPr="00CE6AFB">
              <w:rPr>
                <w:sz w:val="24"/>
                <w:szCs w:val="24"/>
              </w:rPr>
              <w:tab/>
            </w:r>
            <w:r w:rsidRPr="00CE6AFB">
              <w:rPr>
                <w:sz w:val="24"/>
                <w:szCs w:val="24"/>
              </w:rPr>
              <w:tab/>
              <w:t>Misfarvning af hud, hår, skæg og negle</w:t>
            </w:r>
          </w:p>
        </w:tc>
      </w:tr>
      <w:tr w:rsidR="00E53868" w:rsidRPr="00CE6AFB" w:rsidTr="003B4BCE">
        <w:trPr>
          <w:trHeight w:val="540"/>
        </w:trPr>
        <w:tc>
          <w:tcPr>
            <w:tcW w:w="8788"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Nyrer og urinveje</w:t>
            </w:r>
          </w:p>
          <w:p w:rsidR="00E53868" w:rsidRPr="00CE6AFB" w:rsidRDefault="00E53868" w:rsidP="003B4BCE">
            <w:pPr>
              <w:autoSpaceDE w:val="0"/>
              <w:autoSpaceDN w:val="0"/>
              <w:adjustRightInd w:val="0"/>
              <w:rPr>
                <w:b/>
                <w:bCs/>
                <w:sz w:val="24"/>
                <w:szCs w:val="24"/>
              </w:rPr>
            </w:pPr>
            <w:r w:rsidRPr="00CE6AFB">
              <w:rPr>
                <w:sz w:val="24"/>
                <w:szCs w:val="24"/>
              </w:rPr>
              <w:t xml:space="preserve">Meget almindelig </w:t>
            </w:r>
            <w:r w:rsidRPr="00CE6AFB">
              <w:rPr>
                <w:sz w:val="24"/>
                <w:szCs w:val="24"/>
              </w:rPr>
              <w:tab/>
              <w:t>Farveændring af urin</w:t>
            </w:r>
          </w:p>
        </w:tc>
      </w:tr>
      <w:tr w:rsidR="00E53868" w:rsidRPr="00CE6AFB" w:rsidTr="003B4BCE">
        <w:trPr>
          <w:trHeight w:val="815"/>
        </w:trPr>
        <w:tc>
          <w:tcPr>
            <w:tcW w:w="8788"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Almene symptomer og reaktioner på administrationsstedet</w:t>
            </w:r>
          </w:p>
          <w:p w:rsidR="00E53868" w:rsidRPr="00CE6AFB" w:rsidRDefault="00E53868" w:rsidP="003B4BCE">
            <w:pPr>
              <w:autoSpaceDE w:val="0"/>
              <w:autoSpaceDN w:val="0"/>
              <w:adjustRightInd w:val="0"/>
              <w:rPr>
                <w:sz w:val="24"/>
                <w:szCs w:val="24"/>
              </w:rPr>
            </w:pPr>
            <w:r w:rsidRPr="00CE6AFB">
              <w:rPr>
                <w:sz w:val="24"/>
                <w:szCs w:val="24"/>
              </w:rPr>
              <w:t xml:space="preserve">Almindelig </w:t>
            </w:r>
            <w:r w:rsidRPr="00CE6AFB">
              <w:rPr>
                <w:sz w:val="24"/>
                <w:szCs w:val="24"/>
              </w:rPr>
              <w:tab/>
            </w:r>
            <w:r w:rsidRPr="00CE6AFB">
              <w:rPr>
                <w:sz w:val="24"/>
                <w:szCs w:val="24"/>
              </w:rPr>
              <w:tab/>
              <w:t>Træthed, øget svedtendens, fald</w:t>
            </w:r>
          </w:p>
          <w:p w:rsidR="00E53868" w:rsidRPr="00CE6AFB" w:rsidRDefault="00E53868" w:rsidP="003B4BCE">
            <w:pPr>
              <w:autoSpaceDE w:val="0"/>
              <w:autoSpaceDN w:val="0"/>
              <w:adjustRightInd w:val="0"/>
              <w:rPr>
                <w:b/>
                <w:bCs/>
                <w:sz w:val="24"/>
                <w:szCs w:val="24"/>
              </w:rPr>
            </w:pPr>
            <w:r w:rsidRPr="00CE6AFB">
              <w:rPr>
                <w:sz w:val="24"/>
                <w:szCs w:val="24"/>
              </w:rPr>
              <w:t xml:space="preserve">Meget sjælden </w:t>
            </w:r>
            <w:r w:rsidRPr="00CE6AFB">
              <w:rPr>
                <w:sz w:val="24"/>
                <w:szCs w:val="24"/>
              </w:rPr>
              <w:tab/>
              <w:t>Vægttab</w:t>
            </w:r>
          </w:p>
        </w:tc>
      </w:tr>
    </w:tbl>
    <w:p w:rsidR="00E53868" w:rsidRPr="00CE6AFB" w:rsidRDefault="00E53868" w:rsidP="00E53868">
      <w:pPr>
        <w:autoSpaceDE w:val="0"/>
        <w:autoSpaceDN w:val="0"/>
        <w:adjustRightInd w:val="0"/>
        <w:ind w:left="851"/>
        <w:rPr>
          <w:sz w:val="24"/>
          <w:szCs w:val="24"/>
        </w:rPr>
      </w:pPr>
      <w:r w:rsidRPr="00CE6AFB">
        <w:rPr>
          <w:b/>
          <w:bCs/>
          <w:sz w:val="24"/>
          <w:szCs w:val="24"/>
        </w:rPr>
        <w:lastRenderedPageBreak/>
        <w:t xml:space="preserve">* </w:t>
      </w:r>
      <w:r w:rsidRPr="00CE6AFB">
        <w:rPr>
          <w:sz w:val="24"/>
          <w:szCs w:val="24"/>
        </w:rPr>
        <w:t>Incidensraterne af myokardieinfarkt og andre tilfælde af iskæmisk hjertesygdom (henholdsvis</w:t>
      </w:r>
      <w:r>
        <w:rPr>
          <w:sz w:val="24"/>
          <w:szCs w:val="24"/>
        </w:rPr>
        <w:t xml:space="preserve"> </w:t>
      </w:r>
      <w:r w:rsidRPr="00CE6AFB">
        <w:rPr>
          <w:sz w:val="24"/>
          <w:szCs w:val="24"/>
        </w:rPr>
        <w:t>0,43</w:t>
      </w:r>
      <w:r>
        <w:rPr>
          <w:sz w:val="24"/>
          <w:szCs w:val="24"/>
        </w:rPr>
        <w:t xml:space="preserve"> %</w:t>
      </w:r>
      <w:r w:rsidRPr="00CE6AFB">
        <w:rPr>
          <w:sz w:val="24"/>
          <w:szCs w:val="24"/>
        </w:rPr>
        <w:t xml:space="preserve"> og 1,54</w:t>
      </w:r>
      <w:r>
        <w:rPr>
          <w:sz w:val="24"/>
          <w:szCs w:val="24"/>
        </w:rPr>
        <w:t xml:space="preserve"> %</w:t>
      </w:r>
      <w:r w:rsidRPr="00CE6AFB">
        <w:rPr>
          <w:sz w:val="24"/>
          <w:szCs w:val="24"/>
        </w:rPr>
        <w:t>) stammer fra en analyse af 13 dobbeltblinde undersøgelser med 2.082 patienter med motoriske end-of-dose fluktuationer, der fik entacapon.</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Entacapon i forbindelse med levodopa er i isolerede tilfælde blevet sat i forbindelse med døsighed i dagtimerne og episoder, hvor patienten pludselig falder i søvn.</w:t>
      </w:r>
    </w:p>
    <w:p w:rsidR="00E53868" w:rsidRPr="00CE6AFB" w:rsidRDefault="00E53868" w:rsidP="00E53868">
      <w:pPr>
        <w:autoSpaceDE w:val="0"/>
        <w:autoSpaceDN w:val="0"/>
        <w:adjustRightInd w:val="0"/>
        <w:rPr>
          <w:sz w:val="24"/>
          <w:szCs w:val="24"/>
        </w:rPr>
      </w:pPr>
    </w:p>
    <w:p w:rsidR="00E53868" w:rsidRPr="00E31F09" w:rsidRDefault="00E53868" w:rsidP="00E53868">
      <w:pPr>
        <w:autoSpaceDE w:val="0"/>
        <w:autoSpaceDN w:val="0"/>
        <w:adjustRightInd w:val="0"/>
        <w:ind w:left="851"/>
        <w:rPr>
          <w:sz w:val="24"/>
          <w:szCs w:val="24"/>
          <w:u w:val="single"/>
        </w:rPr>
      </w:pPr>
      <w:r w:rsidRPr="00E31F09">
        <w:rPr>
          <w:sz w:val="24"/>
          <w:szCs w:val="24"/>
          <w:u w:val="single"/>
        </w:rPr>
        <w:t>Patologiske vane- og impulshandlinger</w:t>
      </w:r>
    </w:p>
    <w:p w:rsidR="00E53868" w:rsidRDefault="00E53868" w:rsidP="00E53868">
      <w:pPr>
        <w:autoSpaceDE w:val="0"/>
        <w:autoSpaceDN w:val="0"/>
        <w:adjustRightInd w:val="0"/>
        <w:ind w:left="851"/>
        <w:rPr>
          <w:sz w:val="24"/>
          <w:szCs w:val="24"/>
        </w:rPr>
      </w:pPr>
      <w:r w:rsidRPr="00835EB1">
        <w:rPr>
          <w:sz w:val="24"/>
          <w:szCs w:val="24"/>
        </w:rPr>
        <w:t xml:space="preserve">Patologisk spillelyst, forøget libido, hyperseksualitet, kompulsiv brug af penge og indkøb, spiseorgie og tvangsspisning kan opstå hos patienter, </w:t>
      </w:r>
      <w:r>
        <w:rPr>
          <w:sz w:val="24"/>
          <w:szCs w:val="24"/>
        </w:rPr>
        <w:t xml:space="preserve">som bliver </w:t>
      </w:r>
      <w:r w:rsidRPr="00835EB1">
        <w:rPr>
          <w:sz w:val="24"/>
          <w:szCs w:val="24"/>
        </w:rPr>
        <w:t>behandle</w:t>
      </w:r>
      <w:r>
        <w:rPr>
          <w:sz w:val="24"/>
          <w:szCs w:val="24"/>
        </w:rPr>
        <w:t>t</w:t>
      </w:r>
      <w:r w:rsidRPr="00835EB1">
        <w:rPr>
          <w:sz w:val="24"/>
          <w:szCs w:val="24"/>
        </w:rPr>
        <w:t xml:space="preserve"> med dopaminagonister og/eller andre dopaminerge behandlinger </w:t>
      </w:r>
      <w:r>
        <w:rPr>
          <w:sz w:val="24"/>
          <w:szCs w:val="24"/>
        </w:rPr>
        <w:t xml:space="preserve">såsom Entacapone </w:t>
      </w:r>
      <w:r w:rsidR="008D2169">
        <w:rPr>
          <w:sz w:val="24"/>
          <w:szCs w:val="24"/>
        </w:rPr>
        <w:t>"Viatris"</w:t>
      </w:r>
      <w:r>
        <w:rPr>
          <w:sz w:val="24"/>
          <w:szCs w:val="24"/>
        </w:rPr>
        <w:t xml:space="preserve"> i kombination med levodopa</w:t>
      </w:r>
      <w:r w:rsidRPr="00835EB1">
        <w:rPr>
          <w:sz w:val="24"/>
          <w:szCs w:val="24"/>
        </w:rPr>
        <w:t xml:space="preserve"> (se pkt</w:t>
      </w:r>
      <w:r>
        <w:rPr>
          <w:sz w:val="24"/>
          <w:szCs w:val="24"/>
        </w:rPr>
        <w:t>.</w:t>
      </w:r>
      <w:r w:rsidRPr="00835EB1">
        <w:rPr>
          <w:sz w:val="24"/>
          <w:szCs w:val="24"/>
        </w:rPr>
        <w:t xml:space="preserve"> 4.4).</w:t>
      </w:r>
    </w:p>
    <w:p w:rsidR="00E53868" w:rsidRDefault="00E53868" w:rsidP="00E53868">
      <w:pPr>
        <w:autoSpaceDE w:val="0"/>
        <w:autoSpaceDN w:val="0"/>
        <w:adjustRightInd w:val="0"/>
        <w:ind w:left="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Enkeltstående tilfælde af MNS er indrapporteret efter pludselig nedsættelse eller afbrydelse af</w:t>
      </w:r>
      <w:r>
        <w:rPr>
          <w:sz w:val="24"/>
          <w:szCs w:val="24"/>
        </w:rPr>
        <w:t xml:space="preserve"> </w:t>
      </w:r>
      <w:r w:rsidRPr="00CE6AFB">
        <w:rPr>
          <w:sz w:val="24"/>
          <w:szCs w:val="24"/>
        </w:rPr>
        <w:t>entacapon og anden tilsvarende dopaminerg behandling.</w:t>
      </w:r>
    </w:p>
    <w:p w:rsidR="00E53868" w:rsidRPr="00CE6AFB" w:rsidRDefault="00E53868" w:rsidP="00E53868">
      <w:pPr>
        <w:autoSpaceDE w:val="0"/>
        <w:autoSpaceDN w:val="0"/>
        <w:adjustRightInd w:val="0"/>
        <w:ind w:left="851" w:hanging="851"/>
        <w:rPr>
          <w:sz w:val="24"/>
          <w:szCs w:val="24"/>
        </w:rPr>
      </w:pPr>
    </w:p>
    <w:p w:rsidR="00E53868" w:rsidRDefault="00E53868" w:rsidP="00E53868">
      <w:pPr>
        <w:autoSpaceDE w:val="0"/>
        <w:autoSpaceDN w:val="0"/>
        <w:adjustRightInd w:val="0"/>
        <w:ind w:left="851"/>
        <w:rPr>
          <w:sz w:val="24"/>
          <w:szCs w:val="24"/>
        </w:rPr>
      </w:pPr>
      <w:r w:rsidRPr="00CE6AFB">
        <w:rPr>
          <w:sz w:val="24"/>
          <w:szCs w:val="24"/>
        </w:rPr>
        <w:t>Enkeltstående tilfælde af rhabdomyolyse er indrapporteret.</w:t>
      </w:r>
    </w:p>
    <w:p w:rsidR="00E53868" w:rsidRDefault="00E53868" w:rsidP="00E53868">
      <w:pPr>
        <w:autoSpaceDE w:val="0"/>
        <w:autoSpaceDN w:val="0"/>
        <w:adjustRightInd w:val="0"/>
        <w:ind w:left="851"/>
        <w:rPr>
          <w:sz w:val="24"/>
          <w:szCs w:val="24"/>
        </w:rPr>
      </w:pPr>
    </w:p>
    <w:p w:rsidR="00E53868" w:rsidRPr="008F49E1" w:rsidRDefault="00E53868" w:rsidP="00E53868">
      <w:pPr>
        <w:autoSpaceDE w:val="0"/>
        <w:autoSpaceDN w:val="0"/>
        <w:ind w:left="851"/>
        <w:rPr>
          <w:sz w:val="24"/>
          <w:szCs w:val="24"/>
          <w:u w:val="single"/>
          <w:lang w:eastAsia="da-DK"/>
        </w:rPr>
      </w:pPr>
      <w:r w:rsidRPr="008F49E1">
        <w:rPr>
          <w:sz w:val="24"/>
          <w:szCs w:val="24"/>
          <w:u w:val="single"/>
          <w:lang w:eastAsia="da-DK"/>
        </w:rPr>
        <w:t>Indberetning af formodede bivirkninger</w:t>
      </w:r>
    </w:p>
    <w:p w:rsidR="00E53868" w:rsidRPr="008F49E1" w:rsidRDefault="00E53868" w:rsidP="00E53868">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A854EF">
        <w:rPr>
          <w:sz w:val="24"/>
          <w:szCs w:val="24"/>
          <w:lang w:eastAsia="da-DK"/>
        </w:rPr>
        <w:t>S</w:t>
      </w:r>
      <w:r w:rsidRPr="008F49E1">
        <w:rPr>
          <w:sz w:val="24"/>
          <w:szCs w:val="24"/>
          <w:lang w:eastAsia="da-DK"/>
        </w:rPr>
        <w:t>undhedsperson</w:t>
      </w:r>
      <w:r w:rsidR="00A854EF">
        <w:rPr>
          <w:sz w:val="24"/>
          <w:szCs w:val="24"/>
          <w:lang w:eastAsia="da-DK"/>
        </w:rPr>
        <w:t>er</w:t>
      </w:r>
      <w:r w:rsidRPr="008F49E1">
        <w:rPr>
          <w:sz w:val="24"/>
          <w:szCs w:val="24"/>
          <w:lang w:eastAsia="da-DK"/>
        </w:rPr>
        <w:t xml:space="preserve"> anmodes om at indberette alle formodede bivirkninger via:</w:t>
      </w:r>
    </w:p>
    <w:p w:rsidR="00E53868" w:rsidRPr="008F49E1" w:rsidRDefault="00E53868" w:rsidP="00E53868">
      <w:pPr>
        <w:ind w:left="851"/>
        <w:rPr>
          <w:sz w:val="24"/>
          <w:szCs w:val="24"/>
          <w:lang w:eastAsia="da-DK"/>
        </w:rPr>
      </w:pPr>
    </w:p>
    <w:p w:rsidR="00E53868" w:rsidRPr="007A276A" w:rsidRDefault="00E53868" w:rsidP="00E53868">
      <w:pPr>
        <w:ind w:left="851"/>
        <w:rPr>
          <w:sz w:val="24"/>
          <w:szCs w:val="24"/>
          <w:lang w:eastAsia="da-DK"/>
        </w:rPr>
      </w:pPr>
      <w:r w:rsidRPr="007A276A">
        <w:rPr>
          <w:sz w:val="24"/>
          <w:szCs w:val="24"/>
          <w:lang w:eastAsia="da-DK"/>
        </w:rPr>
        <w:t>Lægemiddelstyrelsen</w:t>
      </w:r>
    </w:p>
    <w:p w:rsidR="00E53868" w:rsidRPr="007A276A" w:rsidRDefault="00E53868" w:rsidP="00E53868">
      <w:pPr>
        <w:ind w:left="851"/>
        <w:rPr>
          <w:sz w:val="24"/>
          <w:szCs w:val="24"/>
          <w:lang w:eastAsia="da-DK"/>
        </w:rPr>
      </w:pPr>
      <w:r w:rsidRPr="007A276A">
        <w:rPr>
          <w:sz w:val="24"/>
          <w:szCs w:val="24"/>
          <w:lang w:eastAsia="da-DK"/>
        </w:rPr>
        <w:t>Axel Heides Gade 1</w:t>
      </w:r>
    </w:p>
    <w:p w:rsidR="00E53868" w:rsidRPr="007A276A" w:rsidRDefault="00E53868" w:rsidP="00E53868">
      <w:pPr>
        <w:ind w:left="851"/>
        <w:rPr>
          <w:sz w:val="24"/>
          <w:szCs w:val="24"/>
          <w:lang w:eastAsia="da-DK"/>
        </w:rPr>
      </w:pPr>
      <w:r w:rsidRPr="007A276A">
        <w:rPr>
          <w:sz w:val="24"/>
          <w:szCs w:val="24"/>
          <w:lang w:eastAsia="da-DK"/>
        </w:rPr>
        <w:t>DK-2300 København S</w:t>
      </w:r>
    </w:p>
    <w:p w:rsidR="00E53868" w:rsidRPr="007A1114" w:rsidRDefault="00E53868" w:rsidP="00A854EF">
      <w:pPr>
        <w:ind w:left="851"/>
        <w:rPr>
          <w:sz w:val="24"/>
          <w:szCs w:val="24"/>
          <w:lang w:eastAsia="da-DK"/>
        </w:rPr>
      </w:pPr>
      <w:r w:rsidRPr="007A1114">
        <w:rPr>
          <w:sz w:val="24"/>
          <w:szCs w:val="24"/>
          <w:lang w:eastAsia="da-DK"/>
        </w:rPr>
        <w:t xml:space="preserve">Websted: </w:t>
      </w:r>
      <w:hyperlink r:id="rId8" w:history="1">
        <w:r w:rsidRPr="007A1114">
          <w:rPr>
            <w:color w:val="0000FF"/>
            <w:sz w:val="24"/>
            <w:u w:val="single"/>
            <w:lang w:eastAsia="da-DK"/>
          </w:rPr>
          <w:t>www.meldenbivirkning.dk</w:t>
        </w:r>
      </w:hyperlink>
    </w:p>
    <w:p w:rsidR="00E53868" w:rsidRPr="007A1114" w:rsidRDefault="00E53868" w:rsidP="00E53868">
      <w:pPr>
        <w:pStyle w:val="Sidehoved"/>
        <w:tabs>
          <w:tab w:val="left" w:pos="851"/>
        </w:tabs>
        <w:ind w:left="851" w:hanging="851"/>
        <w:rPr>
          <w:szCs w:val="24"/>
        </w:rPr>
      </w:pPr>
    </w:p>
    <w:p w:rsidR="00E53868" w:rsidRPr="00CE6AFB" w:rsidRDefault="00E53868" w:rsidP="00E53868">
      <w:pPr>
        <w:numPr>
          <w:ilvl w:val="1"/>
          <w:numId w:val="1"/>
        </w:numPr>
        <w:ind w:left="851" w:hanging="851"/>
        <w:rPr>
          <w:b/>
          <w:sz w:val="24"/>
          <w:szCs w:val="24"/>
        </w:rPr>
      </w:pPr>
      <w:r w:rsidRPr="00CE6AFB">
        <w:rPr>
          <w:b/>
          <w:sz w:val="24"/>
          <w:szCs w:val="24"/>
        </w:rPr>
        <w:t>Overdosering</w:t>
      </w:r>
    </w:p>
    <w:p w:rsidR="00E53868" w:rsidRPr="00CE6AFB" w:rsidRDefault="00E53868" w:rsidP="00E53868">
      <w:pPr>
        <w:autoSpaceDE w:val="0"/>
        <w:autoSpaceDN w:val="0"/>
        <w:adjustRightInd w:val="0"/>
        <w:ind w:left="851" w:hanging="851"/>
        <w:rPr>
          <w:sz w:val="24"/>
          <w:szCs w:val="24"/>
        </w:rPr>
      </w:pPr>
      <w:r w:rsidRPr="00CE6AFB">
        <w:rPr>
          <w:sz w:val="24"/>
          <w:szCs w:val="24"/>
        </w:rPr>
        <w:tab/>
        <w:t>Data efter markedsføring inkluderer enkeltstående tilfælde af overdosering, hvor den højest</w:t>
      </w:r>
      <w:r>
        <w:rPr>
          <w:sz w:val="24"/>
          <w:szCs w:val="24"/>
        </w:rPr>
        <w:t xml:space="preserve"> </w:t>
      </w:r>
      <w:r w:rsidRPr="00CE6AFB">
        <w:rPr>
          <w:sz w:val="24"/>
          <w:szCs w:val="24"/>
        </w:rPr>
        <w:t>rapporterede daglige dosis af entacapon var 16.000 mg. De akutte symptomer og tegn i disse tilfælde af overdosering var konfusion, nedsat aktivitet, døsighed, hypotoni, misfarvning af hud samt urticaria. Behandling af en akut overdosis er symptomatisk.</w:t>
      </w:r>
    </w:p>
    <w:p w:rsidR="00E53868" w:rsidRPr="00CE6AFB" w:rsidRDefault="00E53868" w:rsidP="00E53868">
      <w:pPr>
        <w:tabs>
          <w:tab w:val="left" w:pos="851"/>
        </w:tabs>
        <w:ind w:left="851" w:hanging="851"/>
        <w:rPr>
          <w:sz w:val="24"/>
          <w:szCs w:val="24"/>
        </w:rPr>
      </w:pPr>
    </w:p>
    <w:p w:rsidR="00E53868" w:rsidRPr="00CE6AFB" w:rsidRDefault="00E53868" w:rsidP="00E53868">
      <w:pPr>
        <w:numPr>
          <w:ilvl w:val="1"/>
          <w:numId w:val="1"/>
        </w:numPr>
        <w:ind w:left="851" w:hanging="851"/>
        <w:rPr>
          <w:b/>
          <w:sz w:val="24"/>
          <w:szCs w:val="24"/>
        </w:rPr>
      </w:pPr>
      <w:r w:rsidRPr="00CE6AFB">
        <w:rPr>
          <w:b/>
          <w:sz w:val="24"/>
          <w:szCs w:val="24"/>
        </w:rPr>
        <w:t>Udlevering</w:t>
      </w:r>
    </w:p>
    <w:p w:rsidR="00E53868" w:rsidRPr="00CE6AFB" w:rsidRDefault="00E53868" w:rsidP="00E53868">
      <w:pPr>
        <w:tabs>
          <w:tab w:val="left" w:pos="851"/>
        </w:tabs>
        <w:ind w:left="851" w:hanging="851"/>
        <w:rPr>
          <w:sz w:val="24"/>
          <w:szCs w:val="24"/>
        </w:rPr>
      </w:pPr>
      <w:r w:rsidRPr="00CE6AFB">
        <w:rPr>
          <w:sz w:val="24"/>
          <w:szCs w:val="24"/>
        </w:rPr>
        <w:tab/>
      </w:r>
      <w:r>
        <w:rPr>
          <w:sz w:val="24"/>
          <w:szCs w:val="24"/>
        </w:rPr>
        <w:t>B</w:t>
      </w:r>
    </w:p>
    <w:p w:rsidR="00E53868" w:rsidRPr="00CE6AFB" w:rsidRDefault="00E53868" w:rsidP="00E53868">
      <w:pPr>
        <w:tabs>
          <w:tab w:val="left" w:pos="851"/>
        </w:tabs>
        <w:ind w:left="851" w:hanging="851"/>
        <w:rPr>
          <w:sz w:val="24"/>
          <w:szCs w:val="24"/>
        </w:rPr>
      </w:pPr>
    </w:p>
    <w:p w:rsidR="00E53868" w:rsidRPr="00CE6AFB" w:rsidRDefault="00E53868" w:rsidP="00E53868">
      <w:pPr>
        <w:tabs>
          <w:tab w:val="left" w:pos="851"/>
        </w:tabs>
        <w:ind w:left="851" w:hanging="851"/>
        <w:rPr>
          <w:sz w:val="24"/>
          <w:szCs w:val="24"/>
        </w:rPr>
      </w:pPr>
    </w:p>
    <w:p w:rsidR="00E53868" w:rsidRPr="00CE6AFB" w:rsidRDefault="00E53868" w:rsidP="00E53868">
      <w:pPr>
        <w:numPr>
          <w:ilvl w:val="0"/>
          <w:numId w:val="1"/>
        </w:numPr>
        <w:ind w:left="851" w:hanging="851"/>
        <w:rPr>
          <w:b/>
          <w:sz w:val="24"/>
          <w:szCs w:val="24"/>
        </w:rPr>
      </w:pPr>
      <w:r w:rsidRPr="00CE6AFB">
        <w:rPr>
          <w:b/>
          <w:sz w:val="24"/>
          <w:szCs w:val="24"/>
        </w:rPr>
        <w:t>FARMAKOLOGISKE EGENSKABER</w:t>
      </w:r>
    </w:p>
    <w:p w:rsidR="00E53868" w:rsidRPr="00CE6AFB" w:rsidRDefault="00E53868" w:rsidP="00E53868">
      <w:pPr>
        <w:tabs>
          <w:tab w:val="left" w:pos="851"/>
        </w:tabs>
        <w:ind w:left="851" w:hanging="851"/>
        <w:rPr>
          <w:sz w:val="24"/>
          <w:szCs w:val="24"/>
        </w:rPr>
      </w:pPr>
    </w:p>
    <w:p w:rsidR="00E53868" w:rsidRPr="00CE6AFB" w:rsidRDefault="00E53868" w:rsidP="00E53868">
      <w:pPr>
        <w:numPr>
          <w:ilvl w:val="1"/>
          <w:numId w:val="2"/>
        </w:numPr>
        <w:tabs>
          <w:tab w:val="num" w:pos="851"/>
        </w:tabs>
        <w:ind w:left="851" w:hanging="851"/>
        <w:rPr>
          <w:b/>
          <w:sz w:val="24"/>
          <w:szCs w:val="24"/>
        </w:rPr>
      </w:pPr>
      <w:r w:rsidRPr="00CE6AFB">
        <w:rPr>
          <w:b/>
          <w:sz w:val="24"/>
          <w:szCs w:val="24"/>
        </w:rPr>
        <w:t>Farmakodynamiske egenskaber</w:t>
      </w:r>
    </w:p>
    <w:p w:rsidR="00E53868" w:rsidRDefault="00C03341" w:rsidP="00E53868">
      <w:pPr>
        <w:autoSpaceDE w:val="0"/>
        <w:autoSpaceDN w:val="0"/>
        <w:adjustRightInd w:val="0"/>
        <w:ind w:left="851"/>
        <w:rPr>
          <w:sz w:val="24"/>
          <w:szCs w:val="24"/>
        </w:rPr>
      </w:pPr>
      <w:r w:rsidRPr="00C922B2">
        <w:rPr>
          <w:sz w:val="24"/>
          <w:szCs w:val="24"/>
        </w:rPr>
        <w:t>Farmakoterapeutisk klassifikation:</w:t>
      </w:r>
      <w:r>
        <w:rPr>
          <w:sz w:val="24"/>
          <w:szCs w:val="24"/>
        </w:rPr>
        <w:t xml:space="preserve"> </w:t>
      </w:r>
      <w:r w:rsidRPr="00CE6AFB">
        <w:rPr>
          <w:sz w:val="24"/>
          <w:szCs w:val="24"/>
        </w:rPr>
        <w:t>Antiparkinsonmidler, andre dopaminerge stoffer</w:t>
      </w:r>
      <w:r>
        <w:rPr>
          <w:sz w:val="24"/>
          <w:szCs w:val="24"/>
        </w:rPr>
        <w:t>.</w:t>
      </w:r>
    </w:p>
    <w:p w:rsidR="00C03341" w:rsidRDefault="00C03341" w:rsidP="00E53868">
      <w:pPr>
        <w:autoSpaceDE w:val="0"/>
        <w:autoSpaceDN w:val="0"/>
        <w:adjustRightInd w:val="0"/>
        <w:ind w:left="851"/>
        <w:rPr>
          <w:sz w:val="24"/>
          <w:szCs w:val="24"/>
        </w:rPr>
      </w:pPr>
      <w:r w:rsidRPr="00CE6AFB">
        <w:rPr>
          <w:sz w:val="24"/>
          <w:szCs w:val="24"/>
        </w:rPr>
        <w:t>ATC-kode kode: N</w:t>
      </w:r>
      <w:r>
        <w:rPr>
          <w:sz w:val="24"/>
          <w:szCs w:val="24"/>
        </w:rPr>
        <w:t xml:space="preserve"> </w:t>
      </w:r>
      <w:r w:rsidRPr="00CE6AFB">
        <w:rPr>
          <w:sz w:val="24"/>
          <w:szCs w:val="24"/>
        </w:rPr>
        <w:t>04</w:t>
      </w:r>
      <w:r>
        <w:rPr>
          <w:sz w:val="24"/>
          <w:szCs w:val="24"/>
        </w:rPr>
        <w:t xml:space="preserve"> </w:t>
      </w:r>
      <w:r w:rsidRPr="00CE6AFB">
        <w:rPr>
          <w:sz w:val="24"/>
          <w:szCs w:val="24"/>
        </w:rPr>
        <w:t>BX</w:t>
      </w:r>
      <w:r>
        <w:rPr>
          <w:sz w:val="24"/>
          <w:szCs w:val="24"/>
        </w:rPr>
        <w:t xml:space="preserve"> </w:t>
      </w:r>
      <w:r w:rsidRPr="00CE6AFB">
        <w:rPr>
          <w:sz w:val="24"/>
          <w:szCs w:val="24"/>
        </w:rPr>
        <w:t>02.</w:t>
      </w:r>
    </w:p>
    <w:p w:rsidR="00C03341" w:rsidRDefault="00C03341" w:rsidP="00E53868">
      <w:pPr>
        <w:autoSpaceDE w:val="0"/>
        <w:autoSpaceDN w:val="0"/>
        <w:adjustRightInd w:val="0"/>
        <w:ind w:left="851"/>
        <w:rPr>
          <w:sz w:val="24"/>
          <w:szCs w:val="24"/>
        </w:rPr>
      </w:pPr>
    </w:p>
    <w:p w:rsidR="00E53868" w:rsidRDefault="00E53868" w:rsidP="00E53868">
      <w:pPr>
        <w:autoSpaceDE w:val="0"/>
        <w:autoSpaceDN w:val="0"/>
        <w:adjustRightInd w:val="0"/>
        <w:ind w:left="851"/>
        <w:rPr>
          <w:sz w:val="24"/>
          <w:szCs w:val="24"/>
        </w:rPr>
      </w:pPr>
      <w:r w:rsidRPr="00CB66A4">
        <w:rPr>
          <w:sz w:val="24"/>
          <w:szCs w:val="24"/>
          <w:u w:val="single"/>
        </w:rPr>
        <w:t>Virkningsmekanisme</w:t>
      </w:r>
      <w:r w:rsidRPr="00CE6AFB">
        <w:rPr>
          <w:sz w:val="24"/>
          <w:szCs w:val="24"/>
        </w:rPr>
        <w:t xml:space="preserve"> </w:t>
      </w:r>
    </w:p>
    <w:p w:rsidR="00E53868" w:rsidRPr="00CE6AFB" w:rsidRDefault="00E53868" w:rsidP="00E53868">
      <w:pPr>
        <w:autoSpaceDE w:val="0"/>
        <w:autoSpaceDN w:val="0"/>
        <w:adjustRightInd w:val="0"/>
        <w:ind w:left="851"/>
        <w:rPr>
          <w:sz w:val="24"/>
          <w:szCs w:val="24"/>
        </w:rPr>
      </w:pPr>
      <w:r w:rsidRPr="00CE6AFB">
        <w:rPr>
          <w:sz w:val="24"/>
          <w:szCs w:val="24"/>
        </w:rPr>
        <w:t>Entacapon tilhører en ny terapeutisk klasse, catechol-O-metyl-transferase (COMT)-hæmmere. Det er en reversibel, specifik og primært perifert virkende COMT-hæmmer udviklet til samtidig administration med levodopapræparater. Entacapon nedsætter det metaboliske tab af levodopa til 3-Ometyldopa (3-OMD) via en inhibering af COMT- enzymet. Dette medfører højere levodopa AUC. Mængden af tilgængelig levodopa til hjernen øges. Dermed forlænger entacapon den kliniske effekt af levodopa.</w:t>
      </w:r>
    </w:p>
    <w:p w:rsidR="00E53868" w:rsidRPr="00CE6AFB" w:rsidRDefault="00E53868" w:rsidP="00E53868">
      <w:pPr>
        <w:autoSpaceDE w:val="0"/>
        <w:autoSpaceDN w:val="0"/>
        <w:adjustRightInd w:val="0"/>
        <w:ind w:left="851" w:hanging="851"/>
        <w:rPr>
          <w:sz w:val="24"/>
          <w:szCs w:val="24"/>
        </w:rPr>
      </w:pPr>
    </w:p>
    <w:p w:rsidR="00E53868" w:rsidRPr="00CB66A4" w:rsidRDefault="00E53868" w:rsidP="00E53868">
      <w:pPr>
        <w:autoSpaceDE w:val="0"/>
        <w:autoSpaceDN w:val="0"/>
        <w:adjustRightInd w:val="0"/>
        <w:ind w:left="851"/>
        <w:rPr>
          <w:sz w:val="24"/>
          <w:szCs w:val="24"/>
          <w:u w:val="single"/>
        </w:rPr>
      </w:pPr>
      <w:r w:rsidRPr="00CB66A4">
        <w:rPr>
          <w:sz w:val="24"/>
          <w:szCs w:val="24"/>
          <w:u w:val="single"/>
        </w:rPr>
        <w:t>Farmakodynamisk virkning</w:t>
      </w:r>
    </w:p>
    <w:p w:rsidR="00E53868" w:rsidRPr="00CE6AFB" w:rsidRDefault="00E53868" w:rsidP="00E53868">
      <w:pPr>
        <w:autoSpaceDE w:val="0"/>
        <w:autoSpaceDN w:val="0"/>
        <w:adjustRightInd w:val="0"/>
        <w:ind w:left="851"/>
        <w:rPr>
          <w:sz w:val="24"/>
          <w:szCs w:val="24"/>
        </w:rPr>
      </w:pPr>
      <w:r w:rsidRPr="00CE6AFB">
        <w:rPr>
          <w:sz w:val="24"/>
          <w:szCs w:val="24"/>
        </w:rPr>
        <w:t>Entacapon inhiberer primært COMT-enzymet i de perifere væv. COMT-inhiberingen i de røde</w:t>
      </w:r>
      <w:r>
        <w:rPr>
          <w:sz w:val="24"/>
          <w:szCs w:val="24"/>
        </w:rPr>
        <w:t xml:space="preserve"> </w:t>
      </w:r>
      <w:r w:rsidRPr="00CE6AFB">
        <w:rPr>
          <w:sz w:val="24"/>
          <w:szCs w:val="24"/>
        </w:rPr>
        <w:t>blodlegemer følger tæt plasmakoncentrationen, hvilket indikerer den reversible natur af COMT-hæmningen.</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u w:val="single"/>
        </w:rPr>
      </w:pPr>
      <w:r w:rsidRPr="00CE6AFB">
        <w:rPr>
          <w:sz w:val="24"/>
          <w:szCs w:val="24"/>
          <w:u w:val="single"/>
        </w:rPr>
        <w:t xml:space="preserve">Klinisk </w:t>
      </w:r>
      <w:r>
        <w:rPr>
          <w:sz w:val="24"/>
          <w:szCs w:val="24"/>
          <w:u w:val="single"/>
        </w:rPr>
        <w:t>virkning og sikkerhed</w:t>
      </w:r>
    </w:p>
    <w:p w:rsidR="00E53868" w:rsidRPr="00CE6AFB" w:rsidRDefault="00E53868" w:rsidP="00E53868">
      <w:pPr>
        <w:autoSpaceDE w:val="0"/>
        <w:autoSpaceDN w:val="0"/>
        <w:adjustRightInd w:val="0"/>
        <w:ind w:left="851"/>
        <w:rPr>
          <w:sz w:val="24"/>
          <w:szCs w:val="24"/>
        </w:rPr>
      </w:pPr>
      <w:r w:rsidRPr="00CE6AFB">
        <w:rPr>
          <w:sz w:val="24"/>
          <w:szCs w:val="24"/>
        </w:rPr>
        <w:t>I to fase III dobbelt-blindede undersøgelser blev entacapon eller placebo givet med hver dosis af</w:t>
      </w:r>
      <w:r>
        <w:rPr>
          <w:sz w:val="24"/>
          <w:szCs w:val="24"/>
        </w:rPr>
        <w:t xml:space="preserve"> </w:t>
      </w:r>
      <w:r w:rsidRPr="00CE6AFB">
        <w:rPr>
          <w:sz w:val="24"/>
          <w:szCs w:val="24"/>
        </w:rPr>
        <w:t>levodopa/dopa-decarboxylasehæmmere til i alt 376 patienter med Parkinsons sygdom og end-of-dose fluktuationer. Resultaterne fremgår af Tabel 1. I studie I blev daglig ON tid (timer) målt ud fra hjemmedagbøger og i studie II andelen af daglig ON-tid.</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b/>
          <w:bCs/>
          <w:sz w:val="24"/>
          <w:szCs w:val="24"/>
        </w:rPr>
      </w:pPr>
      <w:r w:rsidRPr="00CE6AFB">
        <w:rPr>
          <w:b/>
          <w:bCs/>
          <w:sz w:val="24"/>
          <w:szCs w:val="24"/>
        </w:rPr>
        <w:t xml:space="preserve">Tabel 1: Daglig ON tid (middelværdi </w:t>
      </w:r>
      <w:r w:rsidRPr="00CE6AFB">
        <w:rPr>
          <w:sz w:val="24"/>
          <w:szCs w:val="24"/>
        </w:rPr>
        <w:t>±</w:t>
      </w:r>
      <w:r w:rsidRPr="00CE6AFB">
        <w:rPr>
          <w:b/>
          <w:bCs/>
          <w:sz w:val="24"/>
          <w:szCs w:val="24"/>
        </w:rPr>
        <w:t>SD)</w:t>
      </w:r>
    </w:p>
    <w:tbl>
      <w:tblPr>
        <w:tblStyle w:val="Tabel-Gitter"/>
        <w:tblW w:w="8788" w:type="dxa"/>
        <w:tblInd w:w="959" w:type="dxa"/>
        <w:tblLook w:val="01E0" w:firstRow="1" w:lastRow="1" w:firstColumn="1" w:lastColumn="1" w:noHBand="0" w:noVBand="0"/>
      </w:tblPr>
      <w:tblGrid>
        <w:gridCol w:w="1843"/>
        <w:gridCol w:w="2295"/>
        <w:gridCol w:w="2295"/>
        <w:gridCol w:w="2355"/>
      </w:tblGrid>
      <w:tr w:rsidR="00E53868" w:rsidRPr="00CE6AFB" w:rsidTr="003B4BCE">
        <w:trPr>
          <w:trHeight w:val="278"/>
        </w:trPr>
        <w:tc>
          <w:tcPr>
            <w:tcW w:w="8788" w:type="dxa"/>
            <w:gridSpan w:val="4"/>
            <w:tcBorders>
              <w:top w:val="single" w:sz="4" w:space="0" w:color="auto"/>
              <w:left w:val="single" w:sz="4" w:space="0" w:color="auto"/>
              <w:bottom w:val="single" w:sz="4" w:space="0" w:color="auto"/>
              <w:right w:val="single" w:sz="4" w:space="0" w:color="auto"/>
            </w:tcBorders>
          </w:tcPr>
          <w:p w:rsidR="00E53868" w:rsidRPr="00CE6AFB" w:rsidRDefault="00E53868" w:rsidP="003B4BCE">
            <w:pPr>
              <w:autoSpaceDE w:val="0"/>
              <w:autoSpaceDN w:val="0"/>
              <w:adjustRightInd w:val="0"/>
              <w:rPr>
                <w:b/>
                <w:bCs/>
                <w:sz w:val="24"/>
                <w:szCs w:val="24"/>
              </w:rPr>
            </w:pPr>
            <w:r w:rsidRPr="00CE6AFB">
              <w:rPr>
                <w:b/>
                <w:bCs/>
                <w:sz w:val="24"/>
                <w:szCs w:val="24"/>
              </w:rPr>
              <w:t>Undersøgelse I: Daglig ON tid (timer)</w:t>
            </w:r>
          </w:p>
          <w:p w:rsidR="00E53868" w:rsidRPr="00CE6AFB" w:rsidRDefault="00E53868" w:rsidP="003B4BCE">
            <w:pPr>
              <w:autoSpaceDE w:val="0"/>
              <w:autoSpaceDN w:val="0"/>
              <w:adjustRightInd w:val="0"/>
              <w:rPr>
                <w:b/>
                <w:bCs/>
                <w:sz w:val="24"/>
                <w:szCs w:val="24"/>
              </w:rPr>
            </w:pPr>
          </w:p>
        </w:tc>
      </w:tr>
      <w:tr w:rsidR="00E53868" w:rsidRPr="00CE6AFB" w:rsidTr="003B4BCE">
        <w:trPr>
          <w:trHeight w:val="274"/>
        </w:trPr>
        <w:tc>
          <w:tcPr>
            <w:tcW w:w="1843" w:type="dxa"/>
            <w:tcBorders>
              <w:top w:val="single" w:sz="4" w:space="0" w:color="auto"/>
              <w:left w:val="single" w:sz="4" w:space="0" w:color="auto"/>
              <w:bottom w:val="single" w:sz="4" w:space="0" w:color="auto"/>
              <w:right w:val="single" w:sz="4" w:space="0" w:color="auto"/>
            </w:tcBorders>
          </w:tcPr>
          <w:p w:rsidR="00E53868" w:rsidRPr="00CE6AFB" w:rsidRDefault="00E53868" w:rsidP="003B4BCE">
            <w:pPr>
              <w:autoSpaceDE w:val="0"/>
              <w:autoSpaceDN w:val="0"/>
              <w:adjustRightInd w:val="0"/>
              <w:rPr>
                <w:b/>
                <w:bCs/>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Entacapon (n=85)</w:t>
            </w:r>
          </w:p>
        </w:tc>
        <w:tc>
          <w:tcPr>
            <w:tcW w:w="2295"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Placebo (n=86)</w:t>
            </w:r>
          </w:p>
        </w:tc>
        <w:tc>
          <w:tcPr>
            <w:tcW w:w="2355"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Forskel</w:t>
            </w:r>
          </w:p>
        </w:tc>
      </w:tr>
      <w:tr w:rsidR="00E53868" w:rsidRPr="00CE6AFB" w:rsidTr="003B4BCE">
        <w:trPr>
          <w:trHeight w:val="274"/>
        </w:trPr>
        <w:tc>
          <w:tcPr>
            <w:tcW w:w="1843"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Baseline</w:t>
            </w:r>
          </w:p>
        </w:tc>
        <w:tc>
          <w:tcPr>
            <w:tcW w:w="2295"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sz w:val="24"/>
                <w:szCs w:val="24"/>
              </w:rPr>
              <w:t>9,3±2,2</w:t>
            </w:r>
          </w:p>
        </w:tc>
        <w:tc>
          <w:tcPr>
            <w:tcW w:w="2295"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sz w:val="24"/>
                <w:szCs w:val="24"/>
              </w:rPr>
              <w:t>9,2±2,5</w:t>
            </w:r>
          </w:p>
        </w:tc>
        <w:tc>
          <w:tcPr>
            <w:tcW w:w="2355" w:type="dxa"/>
            <w:tcBorders>
              <w:top w:val="single" w:sz="4" w:space="0" w:color="auto"/>
              <w:left w:val="single" w:sz="4" w:space="0" w:color="auto"/>
              <w:bottom w:val="single" w:sz="4" w:space="0" w:color="auto"/>
              <w:right w:val="single" w:sz="4" w:space="0" w:color="auto"/>
            </w:tcBorders>
          </w:tcPr>
          <w:p w:rsidR="00E53868" w:rsidRPr="00CE6AFB" w:rsidRDefault="00E53868" w:rsidP="003B4BCE">
            <w:pPr>
              <w:autoSpaceDE w:val="0"/>
              <w:autoSpaceDN w:val="0"/>
              <w:adjustRightInd w:val="0"/>
              <w:rPr>
                <w:b/>
                <w:bCs/>
                <w:sz w:val="24"/>
                <w:szCs w:val="24"/>
              </w:rPr>
            </w:pPr>
          </w:p>
        </w:tc>
      </w:tr>
      <w:tr w:rsidR="00E53868" w:rsidRPr="00CE6AFB" w:rsidTr="003B4BCE">
        <w:trPr>
          <w:trHeight w:val="274"/>
        </w:trPr>
        <w:tc>
          <w:tcPr>
            <w:tcW w:w="1843"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Uge 8–24</w:t>
            </w:r>
          </w:p>
        </w:tc>
        <w:tc>
          <w:tcPr>
            <w:tcW w:w="2295"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sz w:val="24"/>
                <w:szCs w:val="24"/>
              </w:rPr>
              <w:t>10,7±2,2</w:t>
            </w:r>
          </w:p>
        </w:tc>
        <w:tc>
          <w:tcPr>
            <w:tcW w:w="2295"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sz w:val="24"/>
                <w:szCs w:val="24"/>
              </w:rPr>
              <w:t>9,4±2,6</w:t>
            </w:r>
          </w:p>
        </w:tc>
        <w:tc>
          <w:tcPr>
            <w:tcW w:w="2355"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sz w:val="24"/>
                <w:szCs w:val="24"/>
              </w:rPr>
            </w:pPr>
            <w:r w:rsidRPr="00CE6AFB">
              <w:rPr>
                <w:sz w:val="24"/>
                <w:szCs w:val="24"/>
              </w:rPr>
              <w:t>1 t 20 min</w:t>
            </w:r>
          </w:p>
          <w:p w:rsidR="00E53868" w:rsidRPr="00CE6AFB" w:rsidRDefault="00E53868" w:rsidP="003B4BCE">
            <w:pPr>
              <w:autoSpaceDE w:val="0"/>
              <w:autoSpaceDN w:val="0"/>
              <w:adjustRightInd w:val="0"/>
              <w:rPr>
                <w:sz w:val="24"/>
                <w:szCs w:val="24"/>
              </w:rPr>
            </w:pPr>
            <w:r w:rsidRPr="00CE6AFB">
              <w:rPr>
                <w:sz w:val="24"/>
                <w:szCs w:val="24"/>
              </w:rPr>
              <w:t>(8,3</w:t>
            </w:r>
            <w:r>
              <w:rPr>
                <w:sz w:val="24"/>
                <w:szCs w:val="24"/>
              </w:rPr>
              <w:t xml:space="preserve"> %</w:t>
            </w:r>
            <w:r w:rsidRPr="00CE6AFB">
              <w:rPr>
                <w:sz w:val="24"/>
                <w:szCs w:val="24"/>
              </w:rPr>
              <w:t>)</w:t>
            </w:r>
          </w:p>
          <w:p w:rsidR="00E53868" w:rsidRPr="00CE6AFB" w:rsidRDefault="00E53868" w:rsidP="003B4BCE">
            <w:pPr>
              <w:autoSpaceDE w:val="0"/>
              <w:autoSpaceDN w:val="0"/>
              <w:adjustRightInd w:val="0"/>
              <w:rPr>
                <w:b/>
                <w:bCs/>
                <w:sz w:val="24"/>
                <w:szCs w:val="24"/>
              </w:rPr>
            </w:pPr>
            <w:r w:rsidRPr="00CE6AFB">
              <w:rPr>
                <w:sz w:val="24"/>
                <w:szCs w:val="24"/>
              </w:rPr>
              <w:t>CI95</w:t>
            </w:r>
            <w:r>
              <w:rPr>
                <w:sz w:val="24"/>
                <w:szCs w:val="24"/>
              </w:rPr>
              <w:t xml:space="preserve"> %</w:t>
            </w:r>
            <w:r w:rsidRPr="00CE6AFB">
              <w:rPr>
                <w:sz w:val="24"/>
                <w:szCs w:val="24"/>
              </w:rPr>
              <w:t>, 45 min, 1 t 56 min</w:t>
            </w:r>
          </w:p>
        </w:tc>
      </w:tr>
      <w:tr w:rsidR="00E53868" w:rsidRPr="00CE6AFB" w:rsidTr="003B4BCE">
        <w:trPr>
          <w:trHeight w:val="274"/>
        </w:trPr>
        <w:tc>
          <w:tcPr>
            <w:tcW w:w="8788" w:type="dxa"/>
            <w:gridSpan w:val="4"/>
            <w:tcBorders>
              <w:top w:val="single" w:sz="4" w:space="0" w:color="auto"/>
              <w:left w:val="single" w:sz="4" w:space="0" w:color="auto"/>
              <w:bottom w:val="single" w:sz="4" w:space="0" w:color="auto"/>
              <w:right w:val="single" w:sz="4" w:space="0" w:color="auto"/>
            </w:tcBorders>
          </w:tcPr>
          <w:p w:rsidR="00E53868" w:rsidRPr="00CE6AFB" w:rsidRDefault="00E53868" w:rsidP="003B4BCE">
            <w:pPr>
              <w:autoSpaceDE w:val="0"/>
              <w:autoSpaceDN w:val="0"/>
              <w:adjustRightInd w:val="0"/>
              <w:rPr>
                <w:b/>
                <w:bCs/>
                <w:sz w:val="24"/>
                <w:szCs w:val="24"/>
              </w:rPr>
            </w:pPr>
            <w:r w:rsidRPr="00CE6AFB">
              <w:rPr>
                <w:b/>
                <w:bCs/>
                <w:sz w:val="24"/>
                <w:szCs w:val="24"/>
              </w:rPr>
              <w:t>Undersøgelse II: Daglig ON tid (</w:t>
            </w:r>
            <w:r>
              <w:rPr>
                <w:b/>
                <w:bCs/>
                <w:sz w:val="24"/>
                <w:szCs w:val="24"/>
              </w:rPr>
              <w:t xml:space="preserve"> %</w:t>
            </w:r>
            <w:r w:rsidRPr="00CE6AFB">
              <w:rPr>
                <w:b/>
                <w:bCs/>
                <w:sz w:val="24"/>
                <w:szCs w:val="24"/>
              </w:rPr>
              <w:t>)</w:t>
            </w:r>
          </w:p>
          <w:p w:rsidR="00E53868" w:rsidRPr="00CE6AFB" w:rsidRDefault="00E53868" w:rsidP="003B4BCE">
            <w:pPr>
              <w:autoSpaceDE w:val="0"/>
              <w:autoSpaceDN w:val="0"/>
              <w:adjustRightInd w:val="0"/>
              <w:rPr>
                <w:b/>
                <w:bCs/>
                <w:sz w:val="24"/>
                <w:szCs w:val="24"/>
              </w:rPr>
            </w:pPr>
          </w:p>
        </w:tc>
      </w:tr>
      <w:tr w:rsidR="00E53868" w:rsidRPr="00CE6AFB" w:rsidTr="003B4BCE">
        <w:trPr>
          <w:trHeight w:val="274"/>
        </w:trPr>
        <w:tc>
          <w:tcPr>
            <w:tcW w:w="1843" w:type="dxa"/>
            <w:tcBorders>
              <w:top w:val="single" w:sz="4" w:space="0" w:color="auto"/>
              <w:left w:val="single" w:sz="4" w:space="0" w:color="auto"/>
              <w:bottom w:val="single" w:sz="4" w:space="0" w:color="auto"/>
              <w:right w:val="single" w:sz="4" w:space="0" w:color="auto"/>
            </w:tcBorders>
          </w:tcPr>
          <w:p w:rsidR="00E53868" w:rsidRPr="00CE6AFB" w:rsidRDefault="00E53868" w:rsidP="003B4BCE">
            <w:pPr>
              <w:autoSpaceDE w:val="0"/>
              <w:autoSpaceDN w:val="0"/>
              <w:adjustRightInd w:val="0"/>
              <w:rPr>
                <w:b/>
                <w:bCs/>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Entacapon (n=103)</w:t>
            </w:r>
          </w:p>
        </w:tc>
        <w:tc>
          <w:tcPr>
            <w:tcW w:w="2295"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Placebo (n=102)</w:t>
            </w:r>
          </w:p>
        </w:tc>
        <w:tc>
          <w:tcPr>
            <w:tcW w:w="2355"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Forskel</w:t>
            </w:r>
          </w:p>
        </w:tc>
      </w:tr>
      <w:tr w:rsidR="00E53868" w:rsidRPr="00CE6AFB" w:rsidTr="003B4BCE">
        <w:trPr>
          <w:trHeight w:val="274"/>
        </w:trPr>
        <w:tc>
          <w:tcPr>
            <w:tcW w:w="1843"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Baseline</w:t>
            </w:r>
          </w:p>
        </w:tc>
        <w:tc>
          <w:tcPr>
            <w:tcW w:w="2295"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sz w:val="24"/>
                <w:szCs w:val="24"/>
              </w:rPr>
              <w:t>60,0±15,2</w:t>
            </w:r>
          </w:p>
        </w:tc>
        <w:tc>
          <w:tcPr>
            <w:tcW w:w="2295"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sz w:val="24"/>
                <w:szCs w:val="24"/>
              </w:rPr>
              <w:t>60,8±14,0</w:t>
            </w:r>
          </w:p>
        </w:tc>
        <w:tc>
          <w:tcPr>
            <w:tcW w:w="2355" w:type="dxa"/>
            <w:tcBorders>
              <w:top w:val="single" w:sz="4" w:space="0" w:color="auto"/>
              <w:left w:val="single" w:sz="4" w:space="0" w:color="auto"/>
              <w:bottom w:val="single" w:sz="4" w:space="0" w:color="auto"/>
              <w:right w:val="single" w:sz="4" w:space="0" w:color="auto"/>
            </w:tcBorders>
          </w:tcPr>
          <w:p w:rsidR="00E53868" w:rsidRPr="00CE6AFB" w:rsidRDefault="00E53868" w:rsidP="003B4BCE">
            <w:pPr>
              <w:autoSpaceDE w:val="0"/>
              <w:autoSpaceDN w:val="0"/>
              <w:adjustRightInd w:val="0"/>
              <w:rPr>
                <w:b/>
                <w:bCs/>
                <w:sz w:val="24"/>
                <w:szCs w:val="24"/>
              </w:rPr>
            </w:pPr>
          </w:p>
        </w:tc>
      </w:tr>
      <w:tr w:rsidR="00E53868" w:rsidRPr="00CE6AFB" w:rsidTr="003B4BCE">
        <w:trPr>
          <w:trHeight w:val="274"/>
        </w:trPr>
        <w:tc>
          <w:tcPr>
            <w:tcW w:w="1843"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b/>
                <w:bCs/>
                <w:sz w:val="24"/>
                <w:szCs w:val="24"/>
              </w:rPr>
              <w:t>Uge 8–24</w:t>
            </w:r>
          </w:p>
        </w:tc>
        <w:tc>
          <w:tcPr>
            <w:tcW w:w="2295"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sz w:val="24"/>
                <w:szCs w:val="24"/>
              </w:rPr>
              <w:t>66,8±14,5</w:t>
            </w:r>
          </w:p>
        </w:tc>
        <w:tc>
          <w:tcPr>
            <w:tcW w:w="2295"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b/>
                <w:bCs/>
                <w:sz w:val="24"/>
                <w:szCs w:val="24"/>
              </w:rPr>
            </w:pPr>
            <w:r w:rsidRPr="00CE6AFB">
              <w:rPr>
                <w:sz w:val="24"/>
                <w:szCs w:val="24"/>
              </w:rPr>
              <w:t>62,8±16,8</w:t>
            </w:r>
          </w:p>
        </w:tc>
        <w:tc>
          <w:tcPr>
            <w:tcW w:w="2355" w:type="dxa"/>
            <w:tcBorders>
              <w:top w:val="single" w:sz="4" w:space="0" w:color="auto"/>
              <w:left w:val="single" w:sz="4" w:space="0" w:color="auto"/>
              <w:bottom w:val="single" w:sz="4" w:space="0" w:color="auto"/>
              <w:right w:val="single" w:sz="4" w:space="0" w:color="auto"/>
            </w:tcBorders>
            <w:hideMark/>
          </w:tcPr>
          <w:p w:rsidR="00E53868" w:rsidRPr="00CE6AFB" w:rsidRDefault="00E53868" w:rsidP="003B4BCE">
            <w:pPr>
              <w:autoSpaceDE w:val="0"/>
              <w:autoSpaceDN w:val="0"/>
              <w:adjustRightInd w:val="0"/>
              <w:rPr>
                <w:sz w:val="24"/>
                <w:szCs w:val="24"/>
              </w:rPr>
            </w:pPr>
            <w:r w:rsidRPr="00CE6AFB">
              <w:rPr>
                <w:sz w:val="24"/>
                <w:szCs w:val="24"/>
              </w:rPr>
              <w:t>4,5</w:t>
            </w:r>
            <w:r>
              <w:rPr>
                <w:sz w:val="24"/>
                <w:szCs w:val="24"/>
              </w:rPr>
              <w:t xml:space="preserve"> %</w:t>
            </w:r>
            <w:r w:rsidRPr="00CE6AFB">
              <w:rPr>
                <w:sz w:val="24"/>
                <w:szCs w:val="24"/>
              </w:rPr>
              <w:t xml:space="preserve"> (0 t 35 min)</w:t>
            </w:r>
          </w:p>
          <w:p w:rsidR="00E53868" w:rsidRPr="00CE6AFB" w:rsidRDefault="00E53868" w:rsidP="003B4BCE">
            <w:pPr>
              <w:autoSpaceDE w:val="0"/>
              <w:autoSpaceDN w:val="0"/>
              <w:adjustRightInd w:val="0"/>
              <w:rPr>
                <w:b/>
                <w:bCs/>
                <w:sz w:val="24"/>
                <w:szCs w:val="24"/>
              </w:rPr>
            </w:pPr>
            <w:r w:rsidRPr="00CE6AFB">
              <w:rPr>
                <w:sz w:val="24"/>
                <w:szCs w:val="24"/>
              </w:rPr>
              <w:t>CI95</w:t>
            </w:r>
            <w:r>
              <w:rPr>
                <w:sz w:val="24"/>
                <w:szCs w:val="24"/>
              </w:rPr>
              <w:t xml:space="preserve"> %</w:t>
            </w:r>
            <w:r w:rsidRPr="00CE6AFB">
              <w:rPr>
                <w:sz w:val="24"/>
                <w:szCs w:val="24"/>
              </w:rPr>
              <w:t>, 0,93</w:t>
            </w:r>
            <w:r>
              <w:rPr>
                <w:sz w:val="24"/>
                <w:szCs w:val="24"/>
              </w:rPr>
              <w:t xml:space="preserve"> %</w:t>
            </w:r>
            <w:r w:rsidRPr="00CE6AFB">
              <w:rPr>
                <w:sz w:val="24"/>
                <w:szCs w:val="24"/>
              </w:rPr>
              <w:t>, 7,97</w:t>
            </w:r>
            <w:r>
              <w:rPr>
                <w:sz w:val="24"/>
                <w:szCs w:val="24"/>
              </w:rPr>
              <w:t xml:space="preserve"> %</w:t>
            </w:r>
          </w:p>
        </w:tc>
      </w:tr>
    </w:tbl>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Der var et tilsvarende fald i OFF tid.</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Den</w:t>
      </w:r>
      <w:r>
        <w:rPr>
          <w:sz w:val="24"/>
          <w:szCs w:val="24"/>
        </w:rPr>
        <w:t xml:space="preserve"> %</w:t>
      </w:r>
      <w:r w:rsidRPr="00CE6AFB">
        <w:rPr>
          <w:sz w:val="24"/>
          <w:szCs w:val="24"/>
        </w:rPr>
        <w:t>-vise ændr</w:t>
      </w:r>
      <w:r>
        <w:rPr>
          <w:sz w:val="24"/>
          <w:szCs w:val="24"/>
        </w:rPr>
        <w:t>ing fra baseline i OFF tid var -</w:t>
      </w:r>
      <w:r w:rsidRPr="00CE6AFB">
        <w:rPr>
          <w:sz w:val="24"/>
          <w:szCs w:val="24"/>
        </w:rPr>
        <w:t>24</w:t>
      </w:r>
      <w:r>
        <w:rPr>
          <w:sz w:val="24"/>
          <w:szCs w:val="24"/>
        </w:rPr>
        <w:t xml:space="preserve"> %</w:t>
      </w:r>
      <w:r w:rsidRPr="00CE6AFB">
        <w:rPr>
          <w:sz w:val="24"/>
          <w:szCs w:val="24"/>
        </w:rPr>
        <w:t xml:space="preserve"> i entacapongruppen og 0</w:t>
      </w:r>
      <w:r>
        <w:rPr>
          <w:sz w:val="24"/>
          <w:szCs w:val="24"/>
        </w:rPr>
        <w:t xml:space="preserve"> %</w:t>
      </w:r>
      <w:r w:rsidRPr="00CE6AFB">
        <w:rPr>
          <w:sz w:val="24"/>
          <w:szCs w:val="24"/>
        </w:rPr>
        <w:t xml:space="preserve"> i placebogruppen i undersøgelse I. De tilsvarende resultater er </w:t>
      </w:r>
      <w:r>
        <w:rPr>
          <w:sz w:val="24"/>
          <w:szCs w:val="24"/>
        </w:rPr>
        <w:t>-</w:t>
      </w:r>
      <w:r w:rsidRPr="00CE6AFB">
        <w:rPr>
          <w:sz w:val="24"/>
          <w:szCs w:val="24"/>
        </w:rPr>
        <w:t>18</w:t>
      </w:r>
      <w:r>
        <w:rPr>
          <w:sz w:val="24"/>
          <w:szCs w:val="24"/>
        </w:rPr>
        <w:t xml:space="preserve"> %</w:t>
      </w:r>
      <w:r w:rsidRPr="00CE6AFB">
        <w:rPr>
          <w:sz w:val="24"/>
          <w:szCs w:val="24"/>
        </w:rPr>
        <w:t xml:space="preserve"> og </w:t>
      </w:r>
      <w:r>
        <w:rPr>
          <w:sz w:val="24"/>
          <w:szCs w:val="24"/>
        </w:rPr>
        <w:t>-</w:t>
      </w:r>
      <w:r w:rsidRPr="00CE6AFB">
        <w:rPr>
          <w:sz w:val="24"/>
          <w:szCs w:val="24"/>
        </w:rPr>
        <w:t>5</w:t>
      </w:r>
      <w:r>
        <w:rPr>
          <w:sz w:val="24"/>
          <w:szCs w:val="24"/>
        </w:rPr>
        <w:t xml:space="preserve"> %</w:t>
      </w:r>
      <w:r w:rsidRPr="00CE6AFB">
        <w:rPr>
          <w:sz w:val="24"/>
          <w:szCs w:val="24"/>
        </w:rPr>
        <w:t xml:space="preserve"> for undersøgelse II.</w:t>
      </w:r>
    </w:p>
    <w:p w:rsidR="00E53868" w:rsidRPr="00CE6AFB" w:rsidRDefault="00E53868" w:rsidP="00E53868">
      <w:pPr>
        <w:tabs>
          <w:tab w:val="left" w:pos="851"/>
        </w:tabs>
        <w:ind w:left="851" w:hanging="851"/>
        <w:rPr>
          <w:sz w:val="24"/>
          <w:szCs w:val="24"/>
        </w:rPr>
      </w:pPr>
    </w:p>
    <w:p w:rsidR="00E53868" w:rsidRPr="00CE6AFB" w:rsidRDefault="00E53868" w:rsidP="00E53868">
      <w:pPr>
        <w:numPr>
          <w:ilvl w:val="1"/>
          <w:numId w:val="3"/>
        </w:numPr>
        <w:ind w:left="851" w:hanging="851"/>
        <w:rPr>
          <w:b/>
          <w:sz w:val="24"/>
          <w:szCs w:val="24"/>
        </w:rPr>
      </w:pPr>
      <w:r w:rsidRPr="00CE6AFB">
        <w:rPr>
          <w:b/>
          <w:sz w:val="24"/>
          <w:szCs w:val="24"/>
        </w:rPr>
        <w:t>Farmakokinetiske egenskaber</w:t>
      </w:r>
    </w:p>
    <w:p w:rsidR="00E53868" w:rsidRDefault="00E53868" w:rsidP="00E53868">
      <w:pPr>
        <w:autoSpaceDE w:val="0"/>
        <w:autoSpaceDN w:val="0"/>
        <w:adjustRightInd w:val="0"/>
        <w:ind w:left="851" w:hanging="851"/>
        <w:rPr>
          <w:sz w:val="24"/>
          <w:szCs w:val="24"/>
        </w:rPr>
      </w:pPr>
    </w:p>
    <w:p w:rsidR="00E53868" w:rsidRPr="00930ADA" w:rsidRDefault="00E53868" w:rsidP="00E53868">
      <w:pPr>
        <w:autoSpaceDE w:val="0"/>
        <w:autoSpaceDN w:val="0"/>
        <w:adjustRightInd w:val="0"/>
        <w:ind w:left="851" w:hanging="851"/>
        <w:rPr>
          <w:b/>
          <w:sz w:val="24"/>
          <w:szCs w:val="24"/>
        </w:rPr>
      </w:pPr>
      <w:r w:rsidRPr="00930ADA">
        <w:rPr>
          <w:b/>
          <w:sz w:val="24"/>
          <w:szCs w:val="24"/>
        </w:rPr>
        <w:tab/>
        <w:t>Generelle karakteristika ved det aktive indholdsstof</w:t>
      </w:r>
    </w:p>
    <w:p w:rsidR="00E53868" w:rsidRPr="005A1FDD" w:rsidRDefault="00E53868" w:rsidP="00E53868">
      <w:pPr>
        <w:autoSpaceDE w:val="0"/>
        <w:autoSpaceDN w:val="0"/>
        <w:adjustRightInd w:val="0"/>
        <w:ind w:left="851" w:hanging="851"/>
        <w:rPr>
          <w:iCs/>
          <w:sz w:val="24"/>
          <w:szCs w:val="24"/>
        </w:rPr>
      </w:pPr>
    </w:p>
    <w:p w:rsidR="00E53868" w:rsidRPr="00CE6AFB" w:rsidRDefault="00E53868" w:rsidP="00E53868">
      <w:pPr>
        <w:autoSpaceDE w:val="0"/>
        <w:autoSpaceDN w:val="0"/>
        <w:adjustRightInd w:val="0"/>
        <w:ind w:left="851"/>
        <w:rPr>
          <w:i/>
          <w:iCs/>
          <w:sz w:val="24"/>
          <w:szCs w:val="24"/>
        </w:rPr>
      </w:pPr>
      <w:r w:rsidRPr="00AF3368">
        <w:rPr>
          <w:iCs/>
          <w:sz w:val="24"/>
          <w:szCs w:val="24"/>
          <w:u w:val="single"/>
        </w:rPr>
        <w:t>Absorption</w:t>
      </w:r>
    </w:p>
    <w:p w:rsidR="00E53868" w:rsidRPr="00CE6AFB" w:rsidRDefault="00E53868" w:rsidP="00E53868">
      <w:pPr>
        <w:autoSpaceDE w:val="0"/>
        <w:autoSpaceDN w:val="0"/>
        <w:adjustRightInd w:val="0"/>
        <w:ind w:left="851"/>
        <w:rPr>
          <w:sz w:val="24"/>
          <w:szCs w:val="24"/>
        </w:rPr>
      </w:pPr>
      <w:r w:rsidRPr="00CE6AFB">
        <w:rPr>
          <w:sz w:val="24"/>
          <w:szCs w:val="24"/>
        </w:rPr>
        <w:t>Der er store intra- og interindividuelle variationer i absorptionen af entacapon.</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Den maksimale plasmakoncentration (C</w:t>
      </w:r>
      <w:r w:rsidRPr="00F33824">
        <w:rPr>
          <w:sz w:val="24"/>
          <w:szCs w:val="24"/>
          <w:vertAlign w:val="subscript"/>
        </w:rPr>
        <w:t>max</w:t>
      </w:r>
      <w:r w:rsidRPr="00CE6AFB">
        <w:rPr>
          <w:sz w:val="24"/>
          <w:szCs w:val="24"/>
        </w:rPr>
        <w:t>) opnås ca. 1 time efter indtagelse af en 200 mg entacapon tablet. Entacapon har en betydelig first pass metabolisme. Biotilgængeligheden er ca. 35</w:t>
      </w:r>
      <w:r>
        <w:rPr>
          <w:sz w:val="24"/>
          <w:szCs w:val="24"/>
        </w:rPr>
        <w:t xml:space="preserve"> %</w:t>
      </w:r>
      <w:r w:rsidRPr="00CE6AFB">
        <w:rPr>
          <w:sz w:val="24"/>
          <w:szCs w:val="24"/>
        </w:rPr>
        <w:t xml:space="preserve"> efter en oral dosis. Fødeindtagelse ændrer ikke signifikant absorptionen af entacapon.</w:t>
      </w:r>
    </w:p>
    <w:p w:rsidR="00E53868" w:rsidRDefault="00E53868" w:rsidP="00E53868">
      <w:pPr>
        <w:rPr>
          <w:sz w:val="24"/>
          <w:szCs w:val="24"/>
        </w:rPr>
      </w:pPr>
      <w:r>
        <w:rPr>
          <w:sz w:val="24"/>
          <w:szCs w:val="24"/>
        </w:rPr>
        <w:br w:type="page"/>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i/>
          <w:iCs/>
          <w:sz w:val="24"/>
          <w:szCs w:val="24"/>
        </w:rPr>
      </w:pPr>
      <w:r w:rsidRPr="00CB66A4">
        <w:rPr>
          <w:iCs/>
          <w:sz w:val="24"/>
          <w:szCs w:val="24"/>
          <w:u w:val="single"/>
        </w:rPr>
        <w:t>Fordeling</w:t>
      </w:r>
    </w:p>
    <w:p w:rsidR="00E53868" w:rsidRPr="00CE6AFB" w:rsidRDefault="00E53868" w:rsidP="00E53868">
      <w:pPr>
        <w:autoSpaceDE w:val="0"/>
        <w:autoSpaceDN w:val="0"/>
        <w:adjustRightInd w:val="0"/>
        <w:ind w:left="851"/>
        <w:rPr>
          <w:sz w:val="24"/>
          <w:szCs w:val="24"/>
        </w:rPr>
      </w:pPr>
      <w:r w:rsidRPr="00CE6AFB">
        <w:rPr>
          <w:sz w:val="24"/>
          <w:szCs w:val="24"/>
        </w:rPr>
        <w:t>Efter absorption fra mave-tarmkanalen fordeles entacapon hurtigt til de perifere væv med et</w:t>
      </w:r>
      <w:r>
        <w:rPr>
          <w:sz w:val="24"/>
          <w:szCs w:val="24"/>
        </w:rPr>
        <w:t xml:space="preserve"> </w:t>
      </w:r>
      <w:r w:rsidRPr="00CE6AFB">
        <w:rPr>
          <w:sz w:val="24"/>
          <w:szCs w:val="24"/>
        </w:rPr>
        <w:t>fordelingsvolumen på 20 liter ved steady state (Vdss). Cirka 92</w:t>
      </w:r>
      <w:r>
        <w:rPr>
          <w:sz w:val="24"/>
          <w:szCs w:val="24"/>
        </w:rPr>
        <w:t xml:space="preserve"> %</w:t>
      </w:r>
      <w:r w:rsidRPr="00CE6AFB">
        <w:rPr>
          <w:sz w:val="24"/>
          <w:szCs w:val="24"/>
        </w:rPr>
        <w:t xml:space="preserve"> af en dosis elimineres under betaeliminationsfasen med en kort eliminationshalveringstid på 30 minutter. Den totale clearance af entacapon er ca. 800 ml/min.</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Entacapon bindes betydeligt til plasmaproteiner, primært til albumin. I humant plasma er den ikke</w:t>
      </w:r>
      <w:r>
        <w:rPr>
          <w:sz w:val="24"/>
          <w:szCs w:val="24"/>
        </w:rPr>
        <w:t xml:space="preserve"> </w:t>
      </w:r>
      <w:r w:rsidRPr="00CE6AFB">
        <w:rPr>
          <w:sz w:val="24"/>
          <w:szCs w:val="24"/>
        </w:rPr>
        <w:t>bundne fraktion ca. 2,0</w:t>
      </w:r>
      <w:r>
        <w:rPr>
          <w:sz w:val="24"/>
          <w:szCs w:val="24"/>
        </w:rPr>
        <w:t xml:space="preserve"> %</w:t>
      </w:r>
      <w:r w:rsidRPr="00CE6AFB">
        <w:rPr>
          <w:sz w:val="24"/>
          <w:szCs w:val="24"/>
        </w:rPr>
        <w:t xml:space="preserve"> i det terapeutiske koncentrationsområde. Ved terapeutiske koncentrationer displacerer entacapon ikke andre </w:t>
      </w:r>
      <w:r>
        <w:rPr>
          <w:sz w:val="24"/>
          <w:szCs w:val="24"/>
        </w:rPr>
        <w:t>substanser</w:t>
      </w:r>
      <w:r w:rsidRPr="00CE6AFB">
        <w:rPr>
          <w:sz w:val="24"/>
          <w:szCs w:val="24"/>
        </w:rPr>
        <w:t xml:space="preserve"> med høj proteinbinding (f.eks. warfarin, salicylsyre, phenylbutazon eller diazepam), og entacapon bliver heller ikke (hverken i terapeutisk eller højere koncentration) i nogen signifikant grad displaceret af disse s</w:t>
      </w:r>
      <w:r>
        <w:rPr>
          <w:sz w:val="24"/>
          <w:szCs w:val="24"/>
        </w:rPr>
        <w:t>ubstanser</w:t>
      </w:r>
      <w:r w:rsidRPr="00CE6AFB">
        <w:rPr>
          <w:sz w:val="24"/>
          <w:szCs w:val="24"/>
        </w:rPr>
        <w:t>.</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i/>
          <w:iCs/>
          <w:sz w:val="24"/>
          <w:szCs w:val="24"/>
        </w:rPr>
      </w:pPr>
      <w:r w:rsidRPr="00CB66A4">
        <w:rPr>
          <w:iCs/>
          <w:sz w:val="24"/>
          <w:szCs w:val="24"/>
          <w:u w:val="single"/>
        </w:rPr>
        <w:t>Biotransformation</w:t>
      </w:r>
    </w:p>
    <w:p w:rsidR="00E53868" w:rsidRPr="00CE6AFB" w:rsidRDefault="00E53868" w:rsidP="00E53868">
      <w:pPr>
        <w:autoSpaceDE w:val="0"/>
        <w:autoSpaceDN w:val="0"/>
        <w:adjustRightInd w:val="0"/>
        <w:ind w:left="851"/>
        <w:rPr>
          <w:sz w:val="24"/>
          <w:szCs w:val="24"/>
        </w:rPr>
      </w:pPr>
      <w:r w:rsidRPr="00CE6AFB">
        <w:rPr>
          <w:sz w:val="24"/>
          <w:szCs w:val="24"/>
        </w:rPr>
        <w:t xml:space="preserve">En lille mængde entacapon, </w:t>
      </w:r>
      <w:r w:rsidRPr="00CE6AFB">
        <w:rPr>
          <w:i/>
          <w:iCs/>
          <w:sz w:val="24"/>
          <w:szCs w:val="24"/>
        </w:rPr>
        <w:t>(E)</w:t>
      </w:r>
      <w:r w:rsidRPr="00CE6AFB">
        <w:rPr>
          <w:sz w:val="24"/>
          <w:szCs w:val="24"/>
        </w:rPr>
        <w:t xml:space="preserve">-isomeren, omdannes til </w:t>
      </w:r>
      <w:r w:rsidRPr="00CE6AFB">
        <w:rPr>
          <w:i/>
          <w:iCs/>
          <w:sz w:val="24"/>
          <w:szCs w:val="24"/>
        </w:rPr>
        <w:t>(Z)-</w:t>
      </w:r>
      <w:r w:rsidRPr="00CE6AFB">
        <w:rPr>
          <w:sz w:val="24"/>
          <w:szCs w:val="24"/>
        </w:rPr>
        <w:t xml:space="preserve">isomeren. </w:t>
      </w:r>
      <w:r w:rsidRPr="00CE6AFB">
        <w:rPr>
          <w:i/>
          <w:iCs/>
          <w:sz w:val="24"/>
          <w:szCs w:val="24"/>
        </w:rPr>
        <w:t>(E)</w:t>
      </w:r>
      <w:r w:rsidRPr="00CE6AFB">
        <w:rPr>
          <w:sz w:val="24"/>
          <w:szCs w:val="24"/>
        </w:rPr>
        <w:t>-isomeren udgør ca. 95</w:t>
      </w:r>
      <w:r>
        <w:rPr>
          <w:sz w:val="24"/>
          <w:szCs w:val="24"/>
        </w:rPr>
        <w:t xml:space="preserve"> %</w:t>
      </w:r>
      <w:r w:rsidRPr="00CE6AFB">
        <w:rPr>
          <w:sz w:val="24"/>
          <w:szCs w:val="24"/>
        </w:rPr>
        <w:t xml:space="preserve"> af AUC for entacapon. </w:t>
      </w:r>
      <w:r w:rsidRPr="00CE6AFB">
        <w:rPr>
          <w:i/>
          <w:iCs/>
          <w:sz w:val="24"/>
          <w:szCs w:val="24"/>
        </w:rPr>
        <w:t>(Z)</w:t>
      </w:r>
      <w:r w:rsidRPr="00CE6AFB">
        <w:rPr>
          <w:sz w:val="24"/>
          <w:szCs w:val="24"/>
        </w:rPr>
        <w:t>-isomeren og andre metabolitter udgør de resterende 5</w:t>
      </w:r>
      <w:r>
        <w:rPr>
          <w:sz w:val="24"/>
          <w:szCs w:val="24"/>
        </w:rPr>
        <w:t xml:space="preserve"> %</w:t>
      </w:r>
      <w:r w:rsidRPr="00CE6AFB">
        <w:rPr>
          <w:sz w:val="24"/>
          <w:szCs w:val="24"/>
        </w:rPr>
        <w:t>.</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rPr>
      </w:pPr>
      <w:r w:rsidRPr="00CE6AFB">
        <w:rPr>
          <w:sz w:val="24"/>
          <w:szCs w:val="24"/>
        </w:rPr>
        <w:t xml:space="preserve">Data fra </w:t>
      </w:r>
      <w:r w:rsidRPr="00CE6AFB">
        <w:rPr>
          <w:i/>
          <w:iCs/>
          <w:sz w:val="24"/>
          <w:szCs w:val="24"/>
        </w:rPr>
        <w:t xml:space="preserve">in vitro </w:t>
      </w:r>
      <w:r w:rsidRPr="00CE6AFB">
        <w:rPr>
          <w:sz w:val="24"/>
          <w:szCs w:val="24"/>
        </w:rPr>
        <w:t>forsøg, hvor der er anvendt humant levermikrosomalt materiale, indikerer at</w:t>
      </w:r>
      <w:r>
        <w:rPr>
          <w:sz w:val="24"/>
          <w:szCs w:val="24"/>
        </w:rPr>
        <w:t xml:space="preserve"> </w:t>
      </w:r>
      <w:r w:rsidRPr="00835EB1">
        <w:rPr>
          <w:sz w:val="24"/>
          <w:szCs w:val="24"/>
        </w:rPr>
        <w:t xml:space="preserve">entacapon hæmmer cytokrom P450 2C9 (IC50 ~ 4 </w:t>
      </w:r>
      <w:r w:rsidRPr="00CE6AFB">
        <w:rPr>
          <w:sz w:val="24"/>
          <w:szCs w:val="24"/>
          <w:lang w:val="en-US"/>
        </w:rPr>
        <w:t>μ</w:t>
      </w:r>
      <w:r w:rsidRPr="00835EB1">
        <w:rPr>
          <w:sz w:val="24"/>
          <w:szCs w:val="24"/>
        </w:rPr>
        <w:t xml:space="preserve">M). </w:t>
      </w:r>
      <w:r w:rsidRPr="00CE6AFB">
        <w:rPr>
          <w:sz w:val="24"/>
          <w:szCs w:val="24"/>
        </w:rPr>
        <w:t>Entacapon udviser lav eller ingen hæmning af andre typer af P450 isoenzymer (CYP1A2, CYP2A6, CYP2D6, CYP2E1, CYP3A og CYP2C19) (se pkt. 4.5).</w:t>
      </w:r>
    </w:p>
    <w:p w:rsidR="00E53868" w:rsidRPr="00CE6AFB" w:rsidRDefault="00E53868" w:rsidP="00E53868">
      <w:pPr>
        <w:autoSpaceDE w:val="0"/>
        <w:autoSpaceDN w:val="0"/>
        <w:adjustRightInd w:val="0"/>
        <w:ind w:left="851" w:hanging="851"/>
        <w:rPr>
          <w:i/>
          <w:iCs/>
          <w:sz w:val="24"/>
          <w:szCs w:val="24"/>
        </w:rPr>
      </w:pPr>
    </w:p>
    <w:p w:rsidR="00E53868" w:rsidRPr="00CE6AFB" w:rsidRDefault="00E53868" w:rsidP="00E53868">
      <w:pPr>
        <w:autoSpaceDE w:val="0"/>
        <w:autoSpaceDN w:val="0"/>
        <w:adjustRightInd w:val="0"/>
        <w:ind w:left="851"/>
        <w:rPr>
          <w:i/>
          <w:iCs/>
          <w:sz w:val="24"/>
          <w:szCs w:val="24"/>
        </w:rPr>
      </w:pPr>
      <w:r w:rsidRPr="00AF3368">
        <w:rPr>
          <w:iCs/>
          <w:sz w:val="24"/>
          <w:szCs w:val="24"/>
          <w:u w:val="single"/>
        </w:rPr>
        <w:t>Elimination</w:t>
      </w:r>
    </w:p>
    <w:p w:rsidR="00E53868" w:rsidRPr="00CE6AFB" w:rsidRDefault="00E53868" w:rsidP="00E53868">
      <w:pPr>
        <w:autoSpaceDE w:val="0"/>
        <w:autoSpaceDN w:val="0"/>
        <w:adjustRightInd w:val="0"/>
        <w:ind w:left="851"/>
        <w:rPr>
          <w:sz w:val="24"/>
          <w:szCs w:val="24"/>
        </w:rPr>
      </w:pPr>
      <w:r w:rsidRPr="00CE6AFB">
        <w:rPr>
          <w:sz w:val="24"/>
          <w:szCs w:val="24"/>
        </w:rPr>
        <w:t>Entacapon elimineres primært via den non-renale rute.</w:t>
      </w:r>
      <w:r>
        <w:rPr>
          <w:sz w:val="24"/>
          <w:szCs w:val="24"/>
        </w:rPr>
        <w:t xml:space="preserve"> Det skønnes, at 80-</w:t>
      </w:r>
      <w:r w:rsidRPr="00CE6AFB">
        <w:rPr>
          <w:sz w:val="24"/>
          <w:szCs w:val="24"/>
        </w:rPr>
        <w:t>90</w:t>
      </w:r>
      <w:r>
        <w:rPr>
          <w:sz w:val="24"/>
          <w:szCs w:val="24"/>
        </w:rPr>
        <w:t xml:space="preserve"> %</w:t>
      </w:r>
      <w:r w:rsidRPr="00CE6AFB">
        <w:rPr>
          <w:sz w:val="24"/>
          <w:szCs w:val="24"/>
        </w:rPr>
        <w:t xml:space="preserve"> af en dosering</w:t>
      </w:r>
      <w:r>
        <w:rPr>
          <w:sz w:val="24"/>
          <w:szCs w:val="24"/>
        </w:rPr>
        <w:t xml:space="preserve"> </w:t>
      </w:r>
      <w:r w:rsidRPr="00CE6AFB">
        <w:rPr>
          <w:sz w:val="24"/>
          <w:szCs w:val="24"/>
        </w:rPr>
        <w:t>udskilles i fæces, selvom dette ikke er verificeret i mennesket. Omkring 10</w:t>
      </w:r>
      <w:r>
        <w:rPr>
          <w:sz w:val="24"/>
          <w:szCs w:val="24"/>
        </w:rPr>
        <w:t>-</w:t>
      </w:r>
      <w:r w:rsidRPr="00CE6AFB">
        <w:rPr>
          <w:sz w:val="24"/>
          <w:szCs w:val="24"/>
        </w:rPr>
        <w:t>20</w:t>
      </w:r>
      <w:r>
        <w:rPr>
          <w:sz w:val="24"/>
          <w:szCs w:val="24"/>
        </w:rPr>
        <w:t xml:space="preserve"> %</w:t>
      </w:r>
      <w:r w:rsidRPr="00CE6AFB">
        <w:rPr>
          <w:sz w:val="24"/>
          <w:szCs w:val="24"/>
        </w:rPr>
        <w:t xml:space="preserve"> udskilles i urinen. Kun spormængder af entacapon udskilles uændret i urinen. Den primære del af entacapon, der udskilles i urinen, konjugeres med glucuronsyre. Af de metabolitter, der findes i urinen, er kun ca. 1</w:t>
      </w:r>
      <w:r>
        <w:rPr>
          <w:sz w:val="24"/>
          <w:szCs w:val="24"/>
        </w:rPr>
        <w:t xml:space="preserve"> %</w:t>
      </w:r>
      <w:r w:rsidRPr="00CE6AFB">
        <w:rPr>
          <w:sz w:val="24"/>
          <w:szCs w:val="24"/>
        </w:rPr>
        <w:t xml:space="preserve"> omdannet via oxidation.</w:t>
      </w:r>
    </w:p>
    <w:p w:rsidR="00E53868" w:rsidRPr="00CE6AFB" w:rsidRDefault="00E53868" w:rsidP="00E53868">
      <w:pPr>
        <w:autoSpaceDE w:val="0"/>
        <w:autoSpaceDN w:val="0"/>
        <w:adjustRightInd w:val="0"/>
        <w:ind w:left="851" w:hanging="851"/>
        <w:rPr>
          <w:sz w:val="24"/>
          <w:szCs w:val="24"/>
        </w:rPr>
      </w:pPr>
    </w:p>
    <w:p w:rsidR="00E53868" w:rsidRPr="00CE6AFB" w:rsidRDefault="00E53868" w:rsidP="00E53868">
      <w:pPr>
        <w:autoSpaceDE w:val="0"/>
        <w:autoSpaceDN w:val="0"/>
        <w:adjustRightInd w:val="0"/>
        <w:ind w:left="851"/>
        <w:rPr>
          <w:sz w:val="24"/>
          <w:szCs w:val="24"/>
          <w:u w:val="single"/>
        </w:rPr>
      </w:pPr>
      <w:r>
        <w:rPr>
          <w:sz w:val="24"/>
          <w:szCs w:val="24"/>
          <w:u w:val="single"/>
        </w:rPr>
        <w:t>Andre særlige populationer</w:t>
      </w:r>
    </w:p>
    <w:p w:rsidR="00E53868" w:rsidRDefault="00E53868" w:rsidP="00E53868">
      <w:pPr>
        <w:autoSpaceDE w:val="0"/>
        <w:autoSpaceDN w:val="0"/>
        <w:adjustRightInd w:val="0"/>
        <w:ind w:left="851"/>
        <w:rPr>
          <w:sz w:val="24"/>
          <w:szCs w:val="24"/>
        </w:rPr>
      </w:pPr>
    </w:p>
    <w:p w:rsidR="00E53868" w:rsidRDefault="00E53868" w:rsidP="00E53868">
      <w:pPr>
        <w:autoSpaceDE w:val="0"/>
        <w:autoSpaceDN w:val="0"/>
        <w:adjustRightInd w:val="0"/>
        <w:ind w:left="851"/>
        <w:rPr>
          <w:sz w:val="24"/>
          <w:szCs w:val="24"/>
        </w:rPr>
      </w:pPr>
      <w:r w:rsidRPr="00CB66A4">
        <w:rPr>
          <w:i/>
          <w:sz w:val="24"/>
          <w:szCs w:val="24"/>
        </w:rPr>
        <w:t>Ældre</w:t>
      </w:r>
      <w:r w:rsidRPr="00CE6AFB">
        <w:rPr>
          <w:sz w:val="24"/>
          <w:szCs w:val="24"/>
        </w:rPr>
        <w:t xml:space="preserve"> </w:t>
      </w:r>
    </w:p>
    <w:p w:rsidR="00E53868" w:rsidRDefault="00E53868" w:rsidP="00E53868">
      <w:pPr>
        <w:autoSpaceDE w:val="0"/>
        <w:autoSpaceDN w:val="0"/>
        <w:adjustRightInd w:val="0"/>
        <w:ind w:left="851"/>
        <w:rPr>
          <w:sz w:val="24"/>
          <w:szCs w:val="24"/>
        </w:rPr>
      </w:pPr>
      <w:r w:rsidRPr="00CE6AFB">
        <w:rPr>
          <w:sz w:val="24"/>
          <w:szCs w:val="24"/>
        </w:rPr>
        <w:t>De farmakokinetiske egenskaber for entacapon er de samme både hos unge og ældre patienter.</w:t>
      </w:r>
      <w:r>
        <w:rPr>
          <w:sz w:val="24"/>
          <w:szCs w:val="24"/>
        </w:rPr>
        <w:t xml:space="preserve"> </w:t>
      </w:r>
    </w:p>
    <w:p w:rsidR="00E53868" w:rsidRDefault="00E53868" w:rsidP="00E53868">
      <w:pPr>
        <w:autoSpaceDE w:val="0"/>
        <w:autoSpaceDN w:val="0"/>
        <w:adjustRightInd w:val="0"/>
        <w:ind w:left="851"/>
        <w:rPr>
          <w:sz w:val="24"/>
          <w:szCs w:val="24"/>
        </w:rPr>
      </w:pPr>
    </w:p>
    <w:p w:rsidR="00E53868" w:rsidRPr="00CB66A4" w:rsidRDefault="00E53868" w:rsidP="00E53868">
      <w:pPr>
        <w:autoSpaceDE w:val="0"/>
        <w:autoSpaceDN w:val="0"/>
        <w:adjustRightInd w:val="0"/>
        <w:ind w:left="851"/>
        <w:rPr>
          <w:i/>
          <w:sz w:val="24"/>
          <w:szCs w:val="24"/>
        </w:rPr>
      </w:pPr>
      <w:r w:rsidRPr="00CB66A4">
        <w:rPr>
          <w:i/>
          <w:sz w:val="24"/>
          <w:szCs w:val="24"/>
        </w:rPr>
        <w:t>Nedsat leverfunktion</w:t>
      </w:r>
    </w:p>
    <w:p w:rsidR="00E53868" w:rsidRDefault="00E53868" w:rsidP="00E53868">
      <w:pPr>
        <w:autoSpaceDE w:val="0"/>
        <w:autoSpaceDN w:val="0"/>
        <w:adjustRightInd w:val="0"/>
        <w:ind w:left="851"/>
        <w:rPr>
          <w:sz w:val="24"/>
          <w:szCs w:val="24"/>
        </w:rPr>
      </w:pPr>
      <w:r w:rsidRPr="00CE6AFB">
        <w:rPr>
          <w:sz w:val="24"/>
          <w:szCs w:val="24"/>
        </w:rPr>
        <w:t>Entacapons metabolisme er nedsat hos patienter med mild til moderat leverinsufficiens (Child-Pugh</w:t>
      </w:r>
      <w:r>
        <w:rPr>
          <w:sz w:val="24"/>
          <w:szCs w:val="24"/>
        </w:rPr>
        <w:t xml:space="preserve"> </w:t>
      </w:r>
      <w:r w:rsidRPr="00CE6AFB">
        <w:rPr>
          <w:sz w:val="24"/>
          <w:szCs w:val="24"/>
        </w:rPr>
        <w:t>klasse A og B), hvilket medfører øget plasmakoncentration af entacapon i både absorptions- og</w:t>
      </w:r>
      <w:r>
        <w:rPr>
          <w:sz w:val="24"/>
          <w:szCs w:val="24"/>
        </w:rPr>
        <w:t xml:space="preserve"> </w:t>
      </w:r>
      <w:r w:rsidRPr="00CE6AFB">
        <w:rPr>
          <w:sz w:val="24"/>
          <w:szCs w:val="24"/>
        </w:rPr>
        <w:t xml:space="preserve">eliminationsfasen (se pkt. 4.3). </w:t>
      </w:r>
    </w:p>
    <w:p w:rsidR="00E53868" w:rsidRDefault="00E53868" w:rsidP="00E53868">
      <w:pPr>
        <w:autoSpaceDE w:val="0"/>
        <w:autoSpaceDN w:val="0"/>
        <w:adjustRightInd w:val="0"/>
        <w:ind w:left="851"/>
        <w:rPr>
          <w:sz w:val="24"/>
          <w:szCs w:val="24"/>
        </w:rPr>
      </w:pPr>
    </w:p>
    <w:p w:rsidR="00E53868" w:rsidRPr="00CB66A4" w:rsidRDefault="00E53868" w:rsidP="00E53868">
      <w:pPr>
        <w:autoSpaceDE w:val="0"/>
        <w:autoSpaceDN w:val="0"/>
        <w:adjustRightInd w:val="0"/>
        <w:ind w:left="851"/>
        <w:rPr>
          <w:i/>
          <w:sz w:val="24"/>
          <w:szCs w:val="24"/>
        </w:rPr>
      </w:pPr>
      <w:r w:rsidRPr="00CB66A4">
        <w:rPr>
          <w:i/>
          <w:sz w:val="24"/>
          <w:szCs w:val="24"/>
        </w:rPr>
        <w:t>Nedsat nyrefunktion</w:t>
      </w:r>
    </w:p>
    <w:p w:rsidR="00E53868" w:rsidRPr="00CE6AFB" w:rsidRDefault="00E53868" w:rsidP="00E53868">
      <w:pPr>
        <w:autoSpaceDE w:val="0"/>
        <w:autoSpaceDN w:val="0"/>
        <w:adjustRightInd w:val="0"/>
        <w:ind w:left="851"/>
        <w:rPr>
          <w:sz w:val="24"/>
          <w:szCs w:val="24"/>
        </w:rPr>
      </w:pPr>
      <w:r w:rsidRPr="00CE6AFB">
        <w:rPr>
          <w:sz w:val="24"/>
          <w:szCs w:val="24"/>
        </w:rPr>
        <w:t>Nyreinsufficiens påvirker ikke entacapons farmakokinetiske</w:t>
      </w:r>
      <w:r>
        <w:rPr>
          <w:sz w:val="24"/>
          <w:szCs w:val="24"/>
        </w:rPr>
        <w:t xml:space="preserve"> </w:t>
      </w:r>
      <w:r w:rsidRPr="00CE6AFB">
        <w:rPr>
          <w:sz w:val="24"/>
          <w:szCs w:val="24"/>
        </w:rPr>
        <w:t>egenskaber. Imidlertid bør forlænget doseringsinterval overvejes for patienter i dialysebehandling.</w:t>
      </w:r>
    </w:p>
    <w:p w:rsidR="00E53868" w:rsidRPr="00CE6AFB" w:rsidRDefault="00E53868" w:rsidP="00E53868">
      <w:pPr>
        <w:tabs>
          <w:tab w:val="left" w:pos="851"/>
        </w:tabs>
        <w:ind w:left="851" w:hanging="851"/>
        <w:rPr>
          <w:sz w:val="24"/>
          <w:szCs w:val="24"/>
        </w:rPr>
      </w:pPr>
    </w:p>
    <w:p w:rsidR="00E53868" w:rsidRPr="00CE6AFB" w:rsidRDefault="00C03341" w:rsidP="00E53868">
      <w:pPr>
        <w:numPr>
          <w:ilvl w:val="1"/>
          <w:numId w:val="4"/>
        </w:numPr>
        <w:ind w:left="851" w:hanging="851"/>
        <w:rPr>
          <w:b/>
          <w:sz w:val="24"/>
          <w:szCs w:val="24"/>
        </w:rPr>
      </w:pPr>
      <w:r>
        <w:rPr>
          <w:b/>
          <w:sz w:val="24"/>
          <w:szCs w:val="24"/>
        </w:rPr>
        <w:t>Non-</w:t>
      </w:r>
      <w:r w:rsidR="00E53868" w:rsidRPr="00CE6AFB">
        <w:rPr>
          <w:b/>
          <w:sz w:val="24"/>
          <w:szCs w:val="24"/>
        </w:rPr>
        <w:t>kliniske sikkerhedsdata</w:t>
      </w:r>
    </w:p>
    <w:p w:rsidR="00E53868" w:rsidRPr="00CE6AFB" w:rsidRDefault="00E53868" w:rsidP="00E53868">
      <w:pPr>
        <w:autoSpaceDE w:val="0"/>
        <w:autoSpaceDN w:val="0"/>
        <w:adjustRightInd w:val="0"/>
        <w:ind w:left="851" w:hanging="851"/>
        <w:rPr>
          <w:sz w:val="24"/>
          <w:szCs w:val="24"/>
        </w:rPr>
      </w:pPr>
      <w:r w:rsidRPr="00CE6AFB">
        <w:rPr>
          <w:sz w:val="24"/>
          <w:szCs w:val="24"/>
        </w:rPr>
        <w:tab/>
        <w:t xml:space="preserve">De </w:t>
      </w:r>
      <w:r w:rsidR="00C03341">
        <w:rPr>
          <w:sz w:val="24"/>
          <w:szCs w:val="24"/>
        </w:rPr>
        <w:t>non-</w:t>
      </w:r>
      <w:r w:rsidRPr="00CE6AFB">
        <w:rPr>
          <w:sz w:val="24"/>
          <w:szCs w:val="24"/>
        </w:rPr>
        <w:t>kliniske data viser ingen særlig risiko for mennesker vurderet ud fra konventionelle</w:t>
      </w:r>
      <w:r>
        <w:rPr>
          <w:sz w:val="24"/>
          <w:szCs w:val="24"/>
        </w:rPr>
        <w:t xml:space="preserve"> </w:t>
      </w:r>
      <w:r w:rsidRPr="00CE6AFB">
        <w:rPr>
          <w:sz w:val="24"/>
          <w:szCs w:val="24"/>
        </w:rPr>
        <w:t>undersøgelser af sikkerhedsfarmakologi, toksicitet efter gentagne doser, genotoksicitet og</w:t>
      </w:r>
      <w:r>
        <w:rPr>
          <w:sz w:val="24"/>
          <w:szCs w:val="24"/>
        </w:rPr>
        <w:t xml:space="preserve"> </w:t>
      </w:r>
      <w:r w:rsidRPr="00CE6AFB">
        <w:rPr>
          <w:sz w:val="24"/>
          <w:szCs w:val="24"/>
        </w:rPr>
        <w:t xml:space="preserve">karcinogenicitet. I toksicitetsforsøg med gentagen dosering er der observeret anæmi, hvilket sandsynligvis skyldes entacapons jernchelaterende egenskaber. Med hensyn til </w:t>
      </w:r>
      <w:r w:rsidRPr="00CE6AFB">
        <w:rPr>
          <w:sz w:val="24"/>
          <w:szCs w:val="24"/>
        </w:rPr>
        <w:lastRenderedPageBreak/>
        <w:t>reproduktionstoksicitetsforsøg sås lavere fostervægt og let forsinket knogleudvikling hos kaniner ved systemiske eksponeringsniveauer i det terapeutiske område.</w:t>
      </w:r>
    </w:p>
    <w:p w:rsidR="00E53868" w:rsidRPr="00CE6AFB" w:rsidRDefault="00E53868" w:rsidP="00E53868">
      <w:pPr>
        <w:tabs>
          <w:tab w:val="left" w:pos="851"/>
        </w:tabs>
        <w:ind w:left="851" w:hanging="851"/>
        <w:rPr>
          <w:sz w:val="24"/>
          <w:szCs w:val="24"/>
        </w:rPr>
      </w:pPr>
    </w:p>
    <w:p w:rsidR="00E53868" w:rsidRPr="00CE6AFB" w:rsidRDefault="00E53868" w:rsidP="00E53868">
      <w:pPr>
        <w:tabs>
          <w:tab w:val="left" w:pos="851"/>
        </w:tabs>
        <w:ind w:left="851" w:hanging="851"/>
        <w:rPr>
          <w:sz w:val="24"/>
          <w:szCs w:val="24"/>
        </w:rPr>
      </w:pPr>
    </w:p>
    <w:p w:rsidR="00E53868" w:rsidRPr="00CE6AFB" w:rsidRDefault="00E53868" w:rsidP="00E53868">
      <w:pPr>
        <w:numPr>
          <w:ilvl w:val="0"/>
          <w:numId w:val="3"/>
        </w:numPr>
        <w:ind w:left="851" w:hanging="851"/>
        <w:rPr>
          <w:b/>
          <w:sz w:val="24"/>
          <w:szCs w:val="24"/>
        </w:rPr>
      </w:pPr>
      <w:r w:rsidRPr="00CE6AFB">
        <w:rPr>
          <w:b/>
          <w:sz w:val="24"/>
          <w:szCs w:val="24"/>
        </w:rPr>
        <w:t>FARMACEUTISKE OPLYSNINGER</w:t>
      </w:r>
    </w:p>
    <w:p w:rsidR="00E53868" w:rsidRPr="00CE6AFB" w:rsidRDefault="00E53868" w:rsidP="00E53868">
      <w:pPr>
        <w:tabs>
          <w:tab w:val="left" w:pos="851"/>
        </w:tabs>
        <w:ind w:left="851" w:hanging="851"/>
        <w:rPr>
          <w:b/>
          <w:sz w:val="24"/>
          <w:szCs w:val="24"/>
        </w:rPr>
      </w:pPr>
    </w:p>
    <w:p w:rsidR="00E53868" w:rsidRPr="00CE6AFB" w:rsidRDefault="00E53868" w:rsidP="00E53868">
      <w:pPr>
        <w:numPr>
          <w:ilvl w:val="1"/>
          <w:numId w:val="5"/>
        </w:numPr>
        <w:ind w:left="851" w:hanging="851"/>
        <w:rPr>
          <w:b/>
          <w:sz w:val="24"/>
          <w:szCs w:val="24"/>
        </w:rPr>
      </w:pPr>
      <w:r w:rsidRPr="00CE6AFB">
        <w:rPr>
          <w:b/>
          <w:sz w:val="24"/>
          <w:szCs w:val="24"/>
        </w:rPr>
        <w:t>Hjælpestoffer</w:t>
      </w:r>
    </w:p>
    <w:p w:rsidR="00E53868" w:rsidRDefault="00E53868" w:rsidP="00E53868">
      <w:pPr>
        <w:autoSpaceDE w:val="0"/>
        <w:autoSpaceDN w:val="0"/>
        <w:adjustRightInd w:val="0"/>
        <w:ind w:left="851"/>
        <w:rPr>
          <w:sz w:val="24"/>
          <w:szCs w:val="24"/>
        </w:rPr>
      </w:pPr>
    </w:p>
    <w:p w:rsidR="00E53868" w:rsidRPr="005A1FDD" w:rsidRDefault="00E53868" w:rsidP="00E53868">
      <w:pPr>
        <w:autoSpaceDE w:val="0"/>
        <w:autoSpaceDN w:val="0"/>
        <w:adjustRightInd w:val="0"/>
        <w:ind w:left="851"/>
        <w:rPr>
          <w:i/>
          <w:sz w:val="24"/>
          <w:szCs w:val="24"/>
        </w:rPr>
      </w:pPr>
      <w:r w:rsidRPr="001C5F70">
        <w:rPr>
          <w:sz w:val="24"/>
          <w:szCs w:val="24"/>
          <w:u w:val="single"/>
        </w:rPr>
        <w:t>Tabletkerne</w:t>
      </w:r>
    </w:p>
    <w:p w:rsidR="00E53868" w:rsidRPr="00CE6AFB" w:rsidRDefault="00E53868" w:rsidP="00E53868">
      <w:pPr>
        <w:autoSpaceDE w:val="0"/>
        <w:autoSpaceDN w:val="0"/>
        <w:adjustRightInd w:val="0"/>
        <w:ind w:left="851"/>
        <w:rPr>
          <w:sz w:val="24"/>
          <w:szCs w:val="24"/>
        </w:rPr>
      </w:pPr>
      <w:r>
        <w:rPr>
          <w:sz w:val="24"/>
          <w:szCs w:val="24"/>
        </w:rPr>
        <w:t>C</w:t>
      </w:r>
      <w:r w:rsidRPr="00CE6AFB">
        <w:rPr>
          <w:sz w:val="24"/>
          <w:szCs w:val="24"/>
        </w:rPr>
        <w:t>ellulose</w:t>
      </w:r>
      <w:r>
        <w:rPr>
          <w:sz w:val="24"/>
          <w:szCs w:val="24"/>
        </w:rPr>
        <w:t>, mikrokrystallinsk</w:t>
      </w:r>
      <w:r w:rsidRPr="00CE6AFB">
        <w:rPr>
          <w:sz w:val="24"/>
          <w:szCs w:val="24"/>
        </w:rPr>
        <w:t xml:space="preserve"> </w:t>
      </w:r>
    </w:p>
    <w:p w:rsidR="00E53868" w:rsidRPr="00CE6AFB" w:rsidRDefault="00E53868" w:rsidP="00E53868">
      <w:pPr>
        <w:autoSpaceDE w:val="0"/>
        <w:autoSpaceDN w:val="0"/>
        <w:adjustRightInd w:val="0"/>
        <w:ind w:left="851"/>
        <w:rPr>
          <w:sz w:val="24"/>
          <w:szCs w:val="24"/>
        </w:rPr>
      </w:pPr>
      <w:r w:rsidRPr="00CE6AFB">
        <w:rPr>
          <w:sz w:val="24"/>
          <w:szCs w:val="24"/>
        </w:rPr>
        <w:t xml:space="preserve">Mannitol </w:t>
      </w:r>
    </w:p>
    <w:p w:rsidR="00E53868" w:rsidRPr="00CE6AFB" w:rsidRDefault="00E53868" w:rsidP="00E53868">
      <w:pPr>
        <w:autoSpaceDE w:val="0"/>
        <w:autoSpaceDN w:val="0"/>
        <w:adjustRightInd w:val="0"/>
        <w:ind w:left="851"/>
        <w:rPr>
          <w:sz w:val="24"/>
          <w:szCs w:val="24"/>
        </w:rPr>
      </w:pPr>
      <w:r w:rsidRPr="00CE6AFB">
        <w:rPr>
          <w:sz w:val="24"/>
          <w:szCs w:val="24"/>
        </w:rPr>
        <w:t>Hydroxypropylcellulose, lav-substitueret</w:t>
      </w:r>
    </w:p>
    <w:p w:rsidR="00E53868" w:rsidRPr="00CE6AFB" w:rsidRDefault="00E53868" w:rsidP="00E53868">
      <w:pPr>
        <w:autoSpaceDE w:val="0"/>
        <w:autoSpaceDN w:val="0"/>
        <w:adjustRightInd w:val="0"/>
        <w:ind w:left="851"/>
        <w:rPr>
          <w:sz w:val="24"/>
          <w:szCs w:val="24"/>
        </w:rPr>
      </w:pPr>
      <w:r w:rsidRPr="00CE6AFB">
        <w:rPr>
          <w:sz w:val="24"/>
          <w:szCs w:val="24"/>
        </w:rPr>
        <w:t>Magnesiumstearat</w:t>
      </w:r>
    </w:p>
    <w:p w:rsidR="00E53868" w:rsidRPr="00CE6AFB" w:rsidRDefault="00E53868" w:rsidP="00E53868">
      <w:pPr>
        <w:autoSpaceDE w:val="0"/>
        <w:autoSpaceDN w:val="0"/>
        <w:adjustRightInd w:val="0"/>
        <w:ind w:left="851"/>
        <w:rPr>
          <w:sz w:val="24"/>
          <w:szCs w:val="24"/>
        </w:rPr>
      </w:pPr>
      <w:r>
        <w:rPr>
          <w:sz w:val="24"/>
          <w:szCs w:val="24"/>
        </w:rPr>
        <w:t>V</w:t>
      </w:r>
      <w:r w:rsidRPr="00CE6AFB">
        <w:rPr>
          <w:sz w:val="24"/>
          <w:szCs w:val="24"/>
        </w:rPr>
        <w:t>egetabilsk olie, hydrogeneret</w:t>
      </w:r>
    </w:p>
    <w:p w:rsidR="00E53868" w:rsidRPr="00CE6AFB" w:rsidRDefault="00E53868" w:rsidP="00E53868">
      <w:pPr>
        <w:autoSpaceDE w:val="0"/>
        <w:autoSpaceDN w:val="0"/>
        <w:adjustRightInd w:val="0"/>
        <w:ind w:left="851" w:hanging="851"/>
        <w:rPr>
          <w:sz w:val="24"/>
          <w:szCs w:val="24"/>
        </w:rPr>
      </w:pPr>
    </w:p>
    <w:p w:rsidR="00E53868" w:rsidRDefault="00E53868" w:rsidP="00E53868">
      <w:pPr>
        <w:autoSpaceDE w:val="0"/>
        <w:autoSpaceDN w:val="0"/>
        <w:adjustRightInd w:val="0"/>
        <w:ind w:left="851"/>
        <w:rPr>
          <w:sz w:val="24"/>
          <w:szCs w:val="24"/>
          <w:u w:val="single"/>
        </w:rPr>
      </w:pPr>
      <w:r w:rsidRPr="001C5F70">
        <w:rPr>
          <w:sz w:val="24"/>
          <w:szCs w:val="24"/>
          <w:u w:val="single"/>
        </w:rPr>
        <w:t>Filmovertræk</w:t>
      </w:r>
    </w:p>
    <w:p w:rsidR="00E53868" w:rsidRPr="00CE6AFB" w:rsidRDefault="00E53868" w:rsidP="00E53868">
      <w:pPr>
        <w:autoSpaceDE w:val="0"/>
        <w:autoSpaceDN w:val="0"/>
        <w:adjustRightInd w:val="0"/>
        <w:ind w:left="851"/>
        <w:rPr>
          <w:sz w:val="24"/>
          <w:szCs w:val="24"/>
        </w:rPr>
      </w:pPr>
      <w:r w:rsidRPr="00CE6AFB">
        <w:rPr>
          <w:sz w:val="24"/>
          <w:szCs w:val="24"/>
        </w:rPr>
        <w:t>Hypromellose</w:t>
      </w:r>
    </w:p>
    <w:p w:rsidR="00E53868" w:rsidRPr="00CE6AFB" w:rsidRDefault="00E53868" w:rsidP="00E53868">
      <w:pPr>
        <w:autoSpaceDE w:val="0"/>
        <w:autoSpaceDN w:val="0"/>
        <w:adjustRightInd w:val="0"/>
        <w:ind w:left="851"/>
        <w:rPr>
          <w:sz w:val="24"/>
          <w:szCs w:val="24"/>
        </w:rPr>
      </w:pPr>
      <w:r w:rsidRPr="00CE6AFB">
        <w:rPr>
          <w:sz w:val="24"/>
          <w:szCs w:val="24"/>
        </w:rPr>
        <w:t>Titandioxid (E171)</w:t>
      </w:r>
    </w:p>
    <w:p w:rsidR="00E53868" w:rsidRPr="00CE6AFB" w:rsidRDefault="00E53868" w:rsidP="00E53868">
      <w:pPr>
        <w:autoSpaceDE w:val="0"/>
        <w:autoSpaceDN w:val="0"/>
        <w:adjustRightInd w:val="0"/>
        <w:ind w:left="851"/>
        <w:rPr>
          <w:sz w:val="24"/>
          <w:szCs w:val="24"/>
          <w:lang w:val="en-US"/>
        </w:rPr>
      </w:pPr>
      <w:r w:rsidRPr="00CE6AFB">
        <w:rPr>
          <w:sz w:val="24"/>
          <w:szCs w:val="24"/>
          <w:lang w:val="en-US"/>
        </w:rPr>
        <w:t>Glycerin</w:t>
      </w:r>
    </w:p>
    <w:p w:rsidR="00E53868" w:rsidRPr="00CE6AFB" w:rsidRDefault="00E53868" w:rsidP="00E53868">
      <w:pPr>
        <w:autoSpaceDE w:val="0"/>
        <w:autoSpaceDN w:val="0"/>
        <w:adjustRightInd w:val="0"/>
        <w:ind w:left="851"/>
        <w:rPr>
          <w:sz w:val="24"/>
          <w:szCs w:val="24"/>
          <w:lang w:val="en-US"/>
        </w:rPr>
      </w:pPr>
      <w:r w:rsidRPr="00CE6AFB">
        <w:rPr>
          <w:sz w:val="24"/>
          <w:szCs w:val="24"/>
          <w:lang w:val="en-US"/>
        </w:rPr>
        <w:t xml:space="preserve">Magnesiumstearat </w:t>
      </w:r>
    </w:p>
    <w:p w:rsidR="00E53868" w:rsidRPr="00CE6AFB" w:rsidRDefault="00E53868" w:rsidP="00E53868">
      <w:pPr>
        <w:autoSpaceDE w:val="0"/>
        <w:autoSpaceDN w:val="0"/>
        <w:adjustRightInd w:val="0"/>
        <w:ind w:left="851"/>
        <w:rPr>
          <w:sz w:val="24"/>
          <w:szCs w:val="24"/>
          <w:lang w:val="en-US"/>
        </w:rPr>
      </w:pPr>
      <w:r w:rsidRPr="00CE6AFB">
        <w:rPr>
          <w:sz w:val="24"/>
          <w:szCs w:val="24"/>
          <w:lang w:val="en-US"/>
        </w:rPr>
        <w:t>Gul jernoxid (E172)</w:t>
      </w:r>
    </w:p>
    <w:p w:rsidR="00E53868" w:rsidRPr="00CE6AFB" w:rsidRDefault="00E53868" w:rsidP="00E53868">
      <w:pPr>
        <w:autoSpaceDE w:val="0"/>
        <w:autoSpaceDN w:val="0"/>
        <w:adjustRightInd w:val="0"/>
        <w:ind w:left="851"/>
        <w:rPr>
          <w:sz w:val="24"/>
          <w:szCs w:val="24"/>
          <w:lang w:val="en-US"/>
        </w:rPr>
      </w:pPr>
      <w:r w:rsidRPr="00CE6AFB">
        <w:rPr>
          <w:sz w:val="24"/>
          <w:szCs w:val="24"/>
          <w:lang w:val="en-US"/>
        </w:rPr>
        <w:t>Saccharose</w:t>
      </w:r>
    </w:p>
    <w:p w:rsidR="00E53868" w:rsidRPr="00CE6AFB" w:rsidRDefault="00E53868" w:rsidP="00E53868">
      <w:pPr>
        <w:autoSpaceDE w:val="0"/>
        <w:autoSpaceDN w:val="0"/>
        <w:adjustRightInd w:val="0"/>
        <w:ind w:left="851"/>
        <w:rPr>
          <w:sz w:val="24"/>
          <w:szCs w:val="24"/>
        </w:rPr>
      </w:pPr>
      <w:r w:rsidRPr="00CE6AFB">
        <w:rPr>
          <w:sz w:val="24"/>
          <w:szCs w:val="24"/>
        </w:rPr>
        <w:t>Polysorbat 80</w:t>
      </w:r>
    </w:p>
    <w:p w:rsidR="00E53868" w:rsidRPr="00CE6AFB" w:rsidRDefault="00E53868" w:rsidP="00E53868">
      <w:pPr>
        <w:autoSpaceDE w:val="0"/>
        <w:autoSpaceDN w:val="0"/>
        <w:adjustRightInd w:val="0"/>
        <w:ind w:left="851"/>
        <w:rPr>
          <w:sz w:val="24"/>
          <w:szCs w:val="24"/>
        </w:rPr>
      </w:pPr>
      <w:r w:rsidRPr="00CE6AFB">
        <w:rPr>
          <w:sz w:val="24"/>
          <w:szCs w:val="24"/>
        </w:rPr>
        <w:t>Rød jernoxid (E172)</w:t>
      </w:r>
    </w:p>
    <w:p w:rsidR="00E53868" w:rsidRPr="00CE6AFB" w:rsidRDefault="00E53868" w:rsidP="00E53868">
      <w:pPr>
        <w:tabs>
          <w:tab w:val="left" w:pos="851"/>
        </w:tabs>
        <w:ind w:left="851" w:hanging="851"/>
        <w:rPr>
          <w:sz w:val="24"/>
          <w:szCs w:val="24"/>
        </w:rPr>
      </w:pPr>
    </w:p>
    <w:p w:rsidR="00E53868" w:rsidRPr="00CE6AFB" w:rsidRDefault="00E53868" w:rsidP="00E53868">
      <w:pPr>
        <w:numPr>
          <w:ilvl w:val="1"/>
          <w:numId w:val="5"/>
        </w:numPr>
        <w:ind w:left="851" w:hanging="851"/>
        <w:rPr>
          <w:b/>
          <w:sz w:val="24"/>
          <w:szCs w:val="24"/>
        </w:rPr>
      </w:pPr>
      <w:r w:rsidRPr="00CE6AFB">
        <w:rPr>
          <w:b/>
          <w:sz w:val="24"/>
          <w:szCs w:val="24"/>
        </w:rPr>
        <w:t>Uforligeligheder</w:t>
      </w:r>
    </w:p>
    <w:p w:rsidR="00E53868" w:rsidRPr="00CE6AFB" w:rsidRDefault="00E53868" w:rsidP="00E53868">
      <w:pPr>
        <w:ind w:left="851" w:hanging="851"/>
        <w:rPr>
          <w:sz w:val="24"/>
          <w:szCs w:val="24"/>
        </w:rPr>
      </w:pPr>
      <w:r w:rsidRPr="00CE6AFB">
        <w:rPr>
          <w:sz w:val="24"/>
          <w:szCs w:val="24"/>
        </w:rPr>
        <w:tab/>
        <w:t>Ikke relevant.</w:t>
      </w:r>
    </w:p>
    <w:p w:rsidR="00E53868" w:rsidRPr="00CE6AFB" w:rsidRDefault="00E53868" w:rsidP="00E53868">
      <w:pPr>
        <w:tabs>
          <w:tab w:val="left" w:pos="851"/>
        </w:tabs>
        <w:ind w:left="851" w:hanging="851"/>
        <w:rPr>
          <w:sz w:val="24"/>
          <w:szCs w:val="24"/>
        </w:rPr>
      </w:pPr>
    </w:p>
    <w:p w:rsidR="00E53868" w:rsidRPr="00CE6AFB" w:rsidRDefault="00E53868" w:rsidP="00E53868">
      <w:pPr>
        <w:numPr>
          <w:ilvl w:val="1"/>
          <w:numId w:val="5"/>
        </w:numPr>
        <w:ind w:left="851" w:hanging="851"/>
        <w:rPr>
          <w:b/>
          <w:sz w:val="24"/>
          <w:szCs w:val="24"/>
        </w:rPr>
      </w:pPr>
      <w:r w:rsidRPr="00CE6AFB">
        <w:rPr>
          <w:b/>
          <w:sz w:val="24"/>
          <w:szCs w:val="24"/>
        </w:rPr>
        <w:t>Opbevaringstid</w:t>
      </w:r>
    </w:p>
    <w:p w:rsidR="00E53868" w:rsidRDefault="00E53868" w:rsidP="00E53868">
      <w:pPr>
        <w:ind w:left="851"/>
        <w:rPr>
          <w:sz w:val="24"/>
          <w:szCs w:val="24"/>
        </w:rPr>
      </w:pPr>
    </w:p>
    <w:p w:rsidR="00E53868" w:rsidRPr="00C307F6" w:rsidRDefault="00E53868" w:rsidP="00E53868">
      <w:pPr>
        <w:ind w:left="851"/>
        <w:rPr>
          <w:sz w:val="24"/>
          <w:szCs w:val="24"/>
          <w:u w:val="single"/>
        </w:rPr>
      </w:pPr>
      <w:r w:rsidRPr="00C307F6">
        <w:rPr>
          <w:sz w:val="24"/>
          <w:szCs w:val="24"/>
          <w:u w:val="single"/>
        </w:rPr>
        <w:t>Blisterpakning</w:t>
      </w:r>
    </w:p>
    <w:p w:rsidR="00E53868" w:rsidRPr="00C307F6" w:rsidRDefault="00E53868" w:rsidP="00E53868">
      <w:pPr>
        <w:ind w:left="851"/>
        <w:rPr>
          <w:sz w:val="24"/>
          <w:szCs w:val="24"/>
        </w:rPr>
      </w:pPr>
      <w:r w:rsidRPr="00C307F6">
        <w:rPr>
          <w:sz w:val="24"/>
          <w:szCs w:val="24"/>
        </w:rPr>
        <w:t>3 år.</w:t>
      </w:r>
    </w:p>
    <w:p w:rsidR="00E53868" w:rsidRPr="00C307F6" w:rsidRDefault="00E53868" w:rsidP="00E53868">
      <w:pPr>
        <w:ind w:left="851"/>
        <w:rPr>
          <w:sz w:val="24"/>
          <w:szCs w:val="24"/>
        </w:rPr>
      </w:pPr>
    </w:p>
    <w:p w:rsidR="00E53868" w:rsidRDefault="00E53868" w:rsidP="00E53868">
      <w:pPr>
        <w:ind w:left="851"/>
        <w:rPr>
          <w:sz w:val="24"/>
          <w:szCs w:val="24"/>
          <w:u w:val="single"/>
        </w:rPr>
      </w:pPr>
      <w:r w:rsidRPr="00C307F6">
        <w:rPr>
          <w:sz w:val="24"/>
          <w:szCs w:val="24"/>
          <w:u w:val="single"/>
        </w:rPr>
        <w:t>HDPE-beholder</w:t>
      </w:r>
    </w:p>
    <w:p w:rsidR="00E53868" w:rsidRPr="00C307F6" w:rsidRDefault="00E53868" w:rsidP="00E53868">
      <w:pPr>
        <w:ind w:left="851"/>
        <w:rPr>
          <w:sz w:val="24"/>
          <w:szCs w:val="24"/>
        </w:rPr>
      </w:pPr>
      <w:r w:rsidRPr="00C307F6">
        <w:rPr>
          <w:sz w:val="24"/>
          <w:szCs w:val="24"/>
        </w:rPr>
        <w:t>3 år.</w:t>
      </w:r>
    </w:p>
    <w:p w:rsidR="00E53868" w:rsidRPr="00C307F6" w:rsidRDefault="00E53868" w:rsidP="00E53868">
      <w:pPr>
        <w:ind w:left="851"/>
        <w:rPr>
          <w:sz w:val="24"/>
          <w:szCs w:val="24"/>
        </w:rPr>
      </w:pPr>
      <w:r w:rsidRPr="00C307F6">
        <w:rPr>
          <w:sz w:val="24"/>
          <w:szCs w:val="24"/>
        </w:rPr>
        <w:t>Efter åbning: 100 dage.</w:t>
      </w:r>
    </w:p>
    <w:p w:rsidR="00E53868" w:rsidRPr="00CE6AFB" w:rsidRDefault="00E53868" w:rsidP="00E53868">
      <w:pPr>
        <w:tabs>
          <w:tab w:val="left" w:pos="851"/>
        </w:tabs>
        <w:rPr>
          <w:sz w:val="24"/>
          <w:szCs w:val="24"/>
        </w:rPr>
      </w:pPr>
    </w:p>
    <w:p w:rsidR="00E53868" w:rsidRPr="00754895" w:rsidRDefault="00E53868" w:rsidP="00E53868">
      <w:pPr>
        <w:numPr>
          <w:ilvl w:val="1"/>
          <w:numId w:val="5"/>
        </w:numPr>
        <w:ind w:left="851" w:hanging="851"/>
        <w:rPr>
          <w:b/>
          <w:sz w:val="24"/>
          <w:szCs w:val="24"/>
        </w:rPr>
      </w:pPr>
      <w:r w:rsidRPr="00CE6AFB">
        <w:rPr>
          <w:b/>
          <w:sz w:val="24"/>
          <w:szCs w:val="24"/>
        </w:rPr>
        <w:t>Særlige opbevaringsforhold</w:t>
      </w:r>
    </w:p>
    <w:p w:rsidR="00E53868" w:rsidRPr="00CE6AFB" w:rsidRDefault="00E53868" w:rsidP="00E53868">
      <w:pPr>
        <w:ind w:left="851" w:hanging="851"/>
        <w:rPr>
          <w:sz w:val="24"/>
          <w:szCs w:val="24"/>
        </w:rPr>
      </w:pPr>
      <w:r w:rsidRPr="00CE6AFB">
        <w:rPr>
          <w:sz w:val="24"/>
          <w:szCs w:val="24"/>
        </w:rPr>
        <w:tab/>
        <w:t>Dette lægemiddel kræver ingen særlige forholdsregler vedrørende opbevaring</w:t>
      </w:r>
      <w:r>
        <w:rPr>
          <w:sz w:val="24"/>
          <w:szCs w:val="24"/>
        </w:rPr>
        <w:t>en</w:t>
      </w:r>
      <w:r w:rsidRPr="00CE6AFB">
        <w:rPr>
          <w:sz w:val="24"/>
          <w:szCs w:val="24"/>
        </w:rPr>
        <w:t xml:space="preserve">. </w:t>
      </w:r>
    </w:p>
    <w:p w:rsidR="00E53868" w:rsidRPr="00CE6AFB" w:rsidRDefault="00E53868" w:rsidP="00E53868">
      <w:pPr>
        <w:ind w:left="851" w:hanging="851"/>
        <w:rPr>
          <w:sz w:val="24"/>
          <w:szCs w:val="24"/>
        </w:rPr>
      </w:pPr>
    </w:p>
    <w:p w:rsidR="00E53868" w:rsidRPr="00CE6AFB" w:rsidRDefault="00E53868" w:rsidP="00E53868">
      <w:pPr>
        <w:numPr>
          <w:ilvl w:val="1"/>
          <w:numId w:val="5"/>
        </w:numPr>
        <w:ind w:left="851" w:hanging="851"/>
        <w:rPr>
          <w:b/>
          <w:sz w:val="24"/>
          <w:szCs w:val="24"/>
        </w:rPr>
      </w:pPr>
      <w:r w:rsidRPr="00CE6AFB">
        <w:rPr>
          <w:b/>
          <w:sz w:val="24"/>
          <w:szCs w:val="24"/>
        </w:rPr>
        <w:t>Emballagetype og pakningsstørrelser</w:t>
      </w:r>
    </w:p>
    <w:p w:rsidR="00E53868" w:rsidRDefault="00E53868" w:rsidP="00E53868">
      <w:pPr>
        <w:suppressAutoHyphens/>
        <w:ind w:left="851"/>
        <w:rPr>
          <w:sz w:val="24"/>
          <w:szCs w:val="24"/>
        </w:rPr>
      </w:pPr>
    </w:p>
    <w:p w:rsidR="00E53868" w:rsidRPr="00CB718D" w:rsidRDefault="00E53868" w:rsidP="00E53868">
      <w:pPr>
        <w:suppressAutoHyphens/>
        <w:ind w:left="851"/>
        <w:rPr>
          <w:sz w:val="24"/>
          <w:szCs w:val="24"/>
          <w:u w:val="single"/>
        </w:rPr>
      </w:pPr>
      <w:r w:rsidRPr="00CB718D">
        <w:rPr>
          <w:sz w:val="24"/>
          <w:szCs w:val="24"/>
          <w:u w:val="single"/>
        </w:rPr>
        <w:t>PVC/PE/PVdC blisterpakning</w:t>
      </w:r>
    </w:p>
    <w:p w:rsidR="00E53868" w:rsidRDefault="00E53868" w:rsidP="00E53868">
      <w:pPr>
        <w:suppressAutoHyphens/>
        <w:ind w:left="851"/>
        <w:rPr>
          <w:sz w:val="24"/>
          <w:szCs w:val="24"/>
        </w:rPr>
      </w:pPr>
      <w:r>
        <w:rPr>
          <w:sz w:val="24"/>
          <w:szCs w:val="24"/>
        </w:rPr>
        <w:t xml:space="preserve">Blisterpakning </w:t>
      </w:r>
      <w:r w:rsidRPr="00CE6AFB">
        <w:rPr>
          <w:sz w:val="24"/>
          <w:szCs w:val="24"/>
        </w:rPr>
        <w:t>bestående af klar</w:t>
      </w:r>
      <w:r>
        <w:rPr>
          <w:sz w:val="24"/>
          <w:szCs w:val="24"/>
        </w:rPr>
        <w:t>,</w:t>
      </w:r>
      <w:r w:rsidRPr="00CE6AFB">
        <w:rPr>
          <w:sz w:val="24"/>
          <w:szCs w:val="24"/>
        </w:rPr>
        <w:t xml:space="preserve"> transparent PVC/PE/PVdC film på den ene side og hård</w:t>
      </w:r>
      <w:r>
        <w:rPr>
          <w:sz w:val="24"/>
          <w:szCs w:val="24"/>
        </w:rPr>
        <w:t>,</w:t>
      </w:r>
      <w:r w:rsidRPr="00CE6AFB">
        <w:rPr>
          <w:sz w:val="24"/>
          <w:szCs w:val="24"/>
        </w:rPr>
        <w:t xml:space="preserve"> hærdet aluminiumsfolie overtrukket med varmeforseglet lak på den anden side.</w:t>
      </w:r>
    </w:p>
    <w:p w:rsidR="00E53868" w:rsidRDefault="00E53868" w:rsidP="00E53868">
      <w:pPr>
        <w:suppressAutoHyphens/>
        <w:ind w:left="851"/>
        <w:rPr>
          <w:sz w:val="24"/>
          <w:szCs w:val="24"/>
        </w:rPr>
      </w:pPr>
    </w:p>
    <w:p w:rsidR="00E53868" w:rsidRPr="0040461F" w:rsidRDefault="00E53868" w:rsidP="00E53868">
      <w:pPr>
        <w:suppressAutoHyphens/>
        <w:ind w:left="851"/>
        <w:rPr>
          <w:i/>
          <w:sz w:val="24"/>
          <w:szCs w:val="24"/>
        </w:rPr>
      </w:pPr>
      <w:r w:rsidRPr="0040461F">
        <w:rPr>
          <w:i/>
          <w:sz w:val="24"/>
          <w:szCs w:val="24"/>
        </w:rPr>
        <w:t>Pakningsstørrelser</w:t>
      </w:r>
    </w:p>
    <w:p w:rsidR="00E53868" w:rsidRDefault="00E53868" w:rsidP="00E53868">
      <w:pPr>
        <w:suppressAutoHyphens/>
        <w:ind w:left="851"/>
        <w:rPr>
          <w:sz w:val="24"/>
          <w:szCs w:val="24"/>
        </w:rPr>
      </w:pPr>
      <w:r>
        <w:rPr>
          <w:sz w:val="24"/>
          <w:szCs w:val="24"/>
        </w:rPr>
        <w:t>30, 60, 100, 200, 300 og 400 stk.</w:t>
      </w:r>
    </w:p>
    <w:p w:rsidR="00E53868" w:rsidRPr="00CE6AFB" w:rsidRDefault="00E53868" w:rsidP="00E53868">
      <w:pPr>
        <w:suppressAutoHyphens/>
        <w:ind w:left="851"/>
        <w:rPr>
          <w:sz w:val="24"/>
          <w:szCs w:val="24"/>
        </w:rPr>
      </w:pPr>
      <w:r>
        <w:rPr>
          <w:sz w:val="24"/>
          <w:szCs w:val="24"/>
        </w:rPr>
        <w:t xml:space="preserve">Perforeret enkeltdosisblister med 100×1 stk. </w:t>
      </w:r>
    </w:p>
    <w:p w:rsidR="00E53868" w:rsidRDefault="00E53868" w:rsidP="00E53868">
      <w:pPr>
        <w:rPr>
          <w:sz w:val="24"/>
          <w:szCs w:val="24"/>
        </w:rPr>
      </w:pPr>
      <w:r>
        <w:rPr>
          <w:sz w:val="24"/>
          <w:szCs w:val="24"/>
        </w:rPr>
        <w:br w:type="page"/>
      </w:r>
    </w:p>
    <w:p w:rsidR="00E53868" w:rsidRPr="00CE6AFB" w:rsidRDefault="00E53868" w:rsidP="00E53868">
      <w:pPr>
        <w:suppressAutoHyphens/>
        <w:ind w:left="851"/>
        <w:rPr>
          <w:sz w:val="24"/>
          <w:szCs w:val="24"/>
        </w:rPr>
      </w:pPr>
    </w:p>
    <w:p w:rsidR="00E53868" w:rsidRDefault="00E53868" w:rsidP="00E53868">
      <w:pPr>
        <w:suppressAutoHyphens/>
        <w:ind w:left="851"/>
        <w:rPr>
          <w:sz w:val="24"/>
          <w:szCs w:val="24"/>
        </w:rPr>
      </w:pPr>
      <w:r w:rsidRPr="00FC0B53">
        <w:rPr>
          <w:sz w:val="24"/>
          <w:szCs w:val="24"/>
          <w:u w:val="single"/>
        </w:rPr>
        <w:t>Hvid, high-density polyethylen (HDPE) tabletbeholder med hvidt, uigennemsigtigt polypropylen (PP) skruelåg</w:t>
      </w:r>
    </w:p>
    <w:p w:rsidR="00E53868" w:rsidRDefault="00E53868" w:rsidP="00E53868">
      <w:pPr>
        <w:suppressAutoHyphens/>
        <w:ind w:left="851"/>
        <w:rPr>
          <w:sz w:val="24"/>
          <w:szCs w:val="24"/>
        </w:rPr>
      </w:pPr>
    </w:p>
    <w:p w:rsidR="00E53868" w:rsidRDefault="00E53868" w:rsidP="00E53868">
      <w:pPr>
        <w:suppressAutoHyphens/>
        <w:ind w:left="851"/>
        <w:rPr>
          <w:sz w:val="24"/>
          <w:szCs w:val="24"/>
        </w:rPr>
      </w:pPr>
      <w:r w:rsidRPr="00FC0B53">
        <w:rPr>
          <w:i/>
          <w:sz w:val="24"/>
          <w:szCs w:val="24"/>
        </w:rPr>
        <w:t>Pakningsstørrelser</w:t>
      </w:r>
    </w:p>
    <w:p w:rsidR="00E53868" w:rsidRPr="00CE6AFB" w:rsidRDefault="00E53868" w:rsidP="00E53868">
      <w:pPr>
        <w:suppressAutoHyphens/>
        <w:ind w:left="851"/>
        <w:rPr>
          <w:sz w:val="24"/>
          <w:szCs w:val="24"/>
        </w:rPr>
      </w:pPr>
      <w:r w:rsidRPr="00CE6AFB">
        <w:rPr>
          <w:sz w:val="24"/>
          <w:szCs w:val="24"/>
        </w:rPr>
        <w:t>30, 50, 60, 100</w:t>
      </w:r>
      <w:r>
        <w:rPr>
          <w:sz w:val="24"/>
          <w:szCs w:val="24"/>
        </w:rPr>
        <w:t>, 250</w:t>
      </w:r>
      <w:r w:rsidRPr="00CE6AFB">
        <w:rPr>
          <w:sz w:val="24"/>
          <w:szCs w:val="24"/>
        </w:rPr>
        <w:t xml:space="preserve"> </w:t>
      </w:r>
      <w:r>
        <w:rPr>
          <w:sz w:val="24"/>
          <w:szCs w:val="24"/>
        </w:rPr>
        <w:t>og</w:t>
      </w:r>
      <w:r w:rsidRPr="00CE6AFB">
        <w:rPr>
          <w:sz w:val="24"/>
          <w:szCs w:val="24"/>
        </w:rPr>
        <w:t xml:space="preserve"> 500 </w:t>
      </w:r>
      <w:r>
        <w:rPr>
          <w:sz w:val="24"/>
          <w:szCs w:val="24"/>
        </w:rPr>
        <w:t>stk</w:t>
      </w:r>
      <w:r w:rsidRPr="00CE6AFB">
        <w:rPr>
          <w:sz w:val="24"/>
          <w:szCs w:val="24"/>
        </w:rPr>
        <w:t>.</w:t>
      </w:r>
    </w:p>
    <w:p w:rsidR="00E53868" w:rsidRPr="00CE6AFB" w:rsidRDefault="00E53868" w:rsidP="00E53868">
      <w:pPr>
        <w:suppressAutoHyphens/>
        <w:ind w:left="851"/>
        <w:rPr>
          <w:sz w:val="24"/>
          <w:szCs w:val="24"/>
        </w:rPr>
      </w:pPr>
      <w:r>
        <w:rPr>
          <w:sz w:val="24"/>
          <w:szCs w:val="24"/>
        </w:rPr>
        <w:t>Æsker</w:t>
      </w:r>
      <w:r w:rsidRPr="00CE6AFB">
        <w:rPr>
          <w:sz w:val="24"/>
          <w:szCs w:val="24"/>
        </w:rPr>
        <w:t xml:space="preserve"> </w:t>
      </w:r>
      <w:r>
        <w:rPr>
          <w:sz w:val="24"/>
          <w:szCs w:val="24"/>
        </w:rPr>
        <w:t>med</w:t>
      </w:r>
      <w:r w:rsidRPr="00CE6AFB">
        <w:rPr>
          <w:sz w:val="24"/>
          <w:szCs w:val="24"/>
        </w:rPr>
        <w:t xml:space="preserve"> 200, 300 </w:t>
      </w:r>
      <w:r>
        <w:rPr>
          <w:sz w:val="24"/>
          <w:szCs w:val="24"/>
        </w:rPr>
        <w:t>og</w:t>
      </w:r>
      <w:r w:rsidRPr="00CE6AFB">
        <w:rPr>
          <w:sz w:val="24"/>
          <w:szCs w:val="24"/>
        </w:rPr>
        <w:t xml:space="preserve"> 400 </w:t>
      </w:r>
      <w:r>
        <w:rPr>
          <w:sz w:val="24"/>
          <w:szCs w:val="24"/>
        </w:rPr>
        <w:t>stk</w:t>
      </w:r>
      <w:r w:rsidRPr="00CE6AFB">
        <w:rPr>
          <w:sz w:val="24"/>
          <w:szCs w:val="24"/>
        </w:rPr>
        <w:t xml:space="preserve"> </w:t>
      </w:r>
      <w:r>
        <w:rPr>
          <w:sz w:val="24"/>
          <w:szCs w:val="24"/>
        </w:rPr>
        <w:t>med</w:t>
      </w:r>
      <w:r w:rsidRPr="00CE6AFB">
        <w:rPr>
          <w:sz w:val="24"/>
          <w:szCs w:val="24"/>
        </w:rPr>
        <w:t xml:space="preserve"> </w:t>
      </w:r>
      <w:r>
        <w:rPr>
          <w:sz w:val="24"/>
          <w:szCs w:val="24"/>
        </w:rPr>
        <w:t xml:space="preserve">henholdsvis </w:t>
      </w:r>
      <w:r w:rsidRPr="00CE6AFB">
        <w:rPr>
          <w:sz w:val="24"/>
          <w:szCs w:val="24"/>
        </w:rPr>
        <w:t xml:space="preserve">4, 6 </w:t>
      </w:r>
      <w:r>
        <w:rPr>
          <w:sz w:val="24"/>
          <w:szCs w:val="24"/>
        </w:rPr>
        <w:t>og</w:t>
      </w:r>
      <w:r w:rsidRPr="00CE6AFB">
        <w:rPr>
          <w:sz w:val="24"/>
          <w:szCs w:val="24"/>
        </w:rPr>
        <w:t xml:space="preserve"> 8 </w:t>
      </w:r>
      <w:r>
        <w:rPr>
          <w:sz w:val="24"/>
          <w:szCs w:val="24"/>
        </w:rPr>
        <w:t>beholdere á</w:t>
      </w:r>
      <w:r w:rsidRPr="00CE6AFB">
        <w:rPr>
          <w:sz w:val="24"/>
          <w:szCs w:val="24"/>
        </w:rPr>
        <w:t xml:space="preserve"> 50 </w:t>
      </w:r>
      <w:r>
        <w:rPr>
          <w:sz w:val="24"/>
          <w:szCs w:val="24"/>
        </w:rPr>
        <w:t>stk</w:t>
      </w:r>
      <w:r w:rsidRPr="00CE6AFB">
        <w:rPr>
          <w:sz w:val="24"/>
          <w:szCs w:val="24"/>
        </w:rPr>
        <w:t xml:space="preserve">. </w:t>
      </w:r>
    </w:p>
    <w:p w:rsidR="00E53868" w:rsidRPr="00CE6AFB" w:rsidRDefault="00E53868" w:rsidP="00E53868">
      <w:pPr>
        <w:suppressAutoHyphens/>
        <w:ind w:left="851"/>
        <w:rPr>
          <w:sz w:val="24"/>
          <w:szCs w:val="24"/>
        </w:rPr>
      </w:pPr>
    </w:p>
    <w:p w:rsidR="00E53868" w:rsidRPr="00CE6AFB" w:rsidRDefault="00E53868" w:rsidP="00E53868">
      <w:pPr>
        <w:suppressAutoHyphens/>
        <w:ind w:left="851"/>
        <w:rPr>
          <w:sz w:val="24"/>
          <w:szCs w:val="24"/>
        </w:rPr>
      </w:pPr>
      <w:r w:rsidRPr="00CE6AFB">
        <w:rPr>
          <w:sz w:val="24"/>
          <w:szCs w:val="24"/>
        </w:rPr>
        <w:t>Ikke alle pakningsstørrelser er nødvendigvis markedsført.</w:t>
      </w:r>
    </w:p>
    <w:p w:rsidR="00E53868" w:rsidRPr="00CE6AFB" w:rsidRDefault="00E53868" w:rsidP="00E53868">
      <w:pPr>
        <w:tabs>
          <w:tab w:val="left" w:pos="851"/>
        </w:tabs>
        <w:ind w:left="851" w:hanging="851"/>
        <w:rPr>
          <w:sz w:val="24"/>
          <w:szCs w:val="24"/>
        </w:rPr>
      </w:pPr>
    </w:p>
    <w:p w:rsidR="00E53868" w:rsidRPr="00CE6AFB" w:rsidRDefault="00E53868" w:rsidP="00E53868">
      <w:pPr>
        <w:numPr>
          <w:ilvl w:val="1"/>
          <w:numId w:val="5"/>
        </w:numPr>
        <w:ind w:left="851" w:hanging="851"/>
        <w:rPr>
          <w:b/>
          <w:sz w:val="24"/>
          <w:szCs w:val="24"/>
        </w:rPr>
      </w:pPr>
      <w:r w:rsidRPr="00CE6AFB">
        <w:rPr>
          <w:b/>
          <w:sz w:val="24"/>
          <w:szCs w:val="24"/>
        </w:rPr>
        <w:t xml:space="preserve">Regler for </w:t>
      </w:r>
      <w:r w:rsidR="00C03341">
        <w:rPr>
          <w:b/>
          <w:sz w:val="24"/>
          <w:szCs w:val="24"/>
        </w:rPr>
        <w:t>bortskaffelse</w:t>
      </w:r>
      <w:r w:rsidRPr="00CE6AFB">
        <w:rPr>
          <w:b/>
          <w:sz w:val="24"/>
          <w:szCs w:val="24"/>
        </w:rPr>
        <w:t xml:space="preserve"> og anden håndtering</w:t>
      </w:r>
    </w:p>
    <w:p w:rsidR="00E53868" w:rsidRPr="00CE6AFB" w:rsidRDefault="00E53868" w:rsidP="00E53868">
      <w:pPr>
        <w:ind w:left="851" w:hanging="851"/>
        <w:rPr>
          <w:sz w:val="24"/>
          <w:szCs w:val="24"/>
        </w:rPr>
      </w:pPr>
      <w:r w:rsidRPr="00CE6AFB">
        <w:rPr>
          <w:sz w:val="24"/>
          <w:szCs w:val="24"/>
        </w:rPr>
        <w:tab/>
        <w:t>Ikke anvendte lægemidler samt affald heraf bør destrueres i henhold til lokale retningslinjer.</w:t>
      </w:r>
    </w:p>
    <w:p w:rsidR="00E53868" w:rsidRPr="00CE6AFB" w:rsidRDefault="00E53868" w:rsidP="00E53868">
      <w:pPr>
        <w:tabs>
          <w:tab w:val="left" w:pos="851"/>
        </w:tabs>
        <w:ind w:left="851" w:hanging="851"/>
        <w:jc w:val="both"/>
        <w:rPr>
          <w:sz w:val="24"/>
          <w:szCs w:val="24"/>
        </w:rPr>
      </w:pPr>
    </w:p>
    <w:p w:rsidR="00E53868" w:rsidRPr="00CE6AFB" w:rsidRDefault="00E53868" w:rsidP="00E53868">
      <w:pPr>
        <w:tabs>
          <w:tab w:val="left" w:pos="851"/>
        </w:tabs>
        <w:ind w:left="851" w:hanging="851"/>
        <w:rPr>
          <w:b/>
          <w:sz w:val="24"/>
          <w:szCs w:val="24"/>
        </w:rPr>
      </w:pPr>
      <w:r w:rsidRPr="00CE6AFB">
        <w:rPr>
          <w:b/>
          <w:sz w:val="24"/>
          <w:szCs w:val="24"/>
        </w:rPr>
        <w:t>7.</w:t>
      </w:r>
      <w:r w:rsidRPr="00CE6AFB">
        <w:rPr>
          <w:b/>
          <w:sz w:val="24"/>
          <w:szCs w:val="24"/>
        </w:rPr>
        <w:tab/>
        <w:t>INDEHAVER AF MARKEDSFØRINGSTILLADELSEN</w:t>
      </w:r>
    </w:p>
    <w:p w:rsidR="00C03341" w:rsidRPr="00965ECA" w:rsidRDefault="00E53868" w:rsidP="00C03341">
      <w:pPr>
        <w:ind w:left="851" w:hanging="851"/>
        <w:rPr>
          <w:spacing w:val="-3"/>
          <w:sz w:val="24"/>
          <w:szCs w:val="24"/>
        </w:rPr>
      </w:pPr>
      <w:r w:rsidRPr="00CE6AFB">
        <w:rPr>
          <w:sz w:val="24"/>
          <w:szCs w:val="24"/>
        </w:rPr>
        <w:tab/>
      </w:r>
      <w:r w:rsidR="00C03341" w:rsidRPr="00965ECA">
        <w:rPr>
          <w:spacing w:val="-3"/>
          <w:sz w:val="24"/>
          <w:szCs w:val="24"/>
        </w:rPr>
        <w:t xml:space="preserve">Viatris Limited </w:t>
      </w:r>
    </w:p>
    <w:p w:rsidR="00C03341" w:rsidRPr="00965ECA" w:rsidRDefault="00C03341" w:rsidP="00C03341">
      <w:pPr>
        <w:ind w:left="851"/>
        <w:rPr>
          <w:spacing w:val="-3"/>
          <w:sz w:val="24"/>
          <w:szCs w:val="24"/>
        </w:rPr>
      </w:pPr>
      <w:r w:rsidRPr="00965ECA">
        <w:rPr>
          <w:spacing w:val="-3"/>
          <w:sz w:val="24"/>
          <w:szCs w:val="24"/>
        </w:rPr>
        <w:t xml:space="preserve">Damastown Industrial Park </w:t>
      </w:r>
    </w:p>
    <w:p w:rsidR="00C03341" w:rsidRPr="00965ECA" w:rsidRDefault="00C03341" w:rsidP="00C03341">
      <w:pPr>
        <w:ind w:left="851"/>
        <w:rPr>
          <w:spacing w:val="-3"/>
          <w:sz w:val="24"/>
          <w:szCs w:val="24"/>
        </w:rPr>
      </w:pPr>
      <w:r w:rsidRPr="00965ECA">
        <w:rPr>
          <w:spacing w:val="-3"/>
          <w:sz w:val="24"/>
          <w:szCs w:val="24"/>
        </w:rPr>
        <w:t xml:space="preserve">Mulhuddart </w:t>
      </w:r>
    </w:p>
    <w:p w:rsidR="00C03341" w:rsidRPr="00C03341" w:rsidRDefault="00C03341" w:rsidP="00C03341">
      <w:pPr>
        <w:ind w:left="851"/>
        <w:rPr>
          <w:spacing w:val="-3"/>
          <w:sz w:val="24"/>
          <w:szCs w:val="24"/>
        </w:rPr>
      </w:pPr>
      <w:r w:rsidRPr="00C03341">
        <w:rPr>
          <w:spacing w:val="-3"/>
          <w:sz w:val="24"/>
          <w:szCs w:val="24"/>
        </w:rPr>
        <w:t xml:space="preserve">Dublin 15 </w:t>
      </w:r>
    </w:p>
    <w:p w:rsidR="00C03341" w:rsidRPr="00C03341" w:rsidRDefault="00C03341" w:rsidP="00C03341">
      <w:pPr>
        <w:ind w:left="851"/>
        <w:rPr>
          <w:spacing w:val="-3"/>
          <w:sz w:val="24"/>
          <w:szCs w:val="24"/>
        </w:rPr>
      </w:pPr>
      <w:r w:rsidRPr="00C03341">
        <w:rPr>
          <w:spacing w:val="-3"/>
          <w:sz w:val="24"/>
          <w:szCs w:val="24"/>
        </w:rPr>
        <w:t xml:space="preserve">Dublin </w:t>
      </w:r>
    </w:p>
    <w:p w:rsidR="00A854EF" w:rsidRDefault="00C03341" w:rsidP="00C03341">
      <w:pPr>
        <w:ind w:left="851"/>
        <w:rPr>
          <w:spacing w:val="-3"/>
          <w:sz w:val="24"/>
          <w:szCs w:val="24"/>
        </w:rPr>
      </w:pPr>
      <w:r w:rsidRPr="00C03341">
        <w:rPr>
          <w:spacing w:val="-3"/>
          <w:sz w:val="24"/>
          <w:szCs w:val="24"/>
        </w:rPr>
        <w:t>Ireland</w:t>
      </w:r>
    </w:p>
    <w:p w:rsidR="00C03341" w:rsidRDefault="00C03341" w:rsidP="00C03341">
      <w:pPr>
        <w:ind w:left="851"/>
        <w:rPr>
          <w:spacing w:val="-3"/>
          <w:sz w:val="24"/>
          <w:szCs w:val="24"/>
        </w:rPr>
      </w:pPr>
    </w:p>
    <w:p w:rsidR="00A854EF" w:rsidRDefault="00A854EF" w:rsidP="00A854EF">
      <w:pPr>
        <w:ind w:left="851"/>
        <w:rPr>
          <w:sz w:val="24"/>
          <w:szCs w:val="24"/>
        </w:rPr>
      </w:pPr>
      <w:r>
        <w:rPr>
          <w:b/>
          <w:sz w:val="24"/>
          <w:szCs w:val="24"/>
        </w:rPr>
        <w:t>Repræsentant</w:t>
      </w:r>
    </w:p>
    <w:p w:rsidR="00A854EF" w:rsidRPr="00C31E00" w:rsidRDefault="00A854EF" w:rsidP="00A854EF">
      <w:pPr>
        <w:ind w:left="851"/>
        <w:rPr>
          <w:sz w:val="24"/>
          <w:szCs w:val="24"/>
        </w:rPr>
      </w:pPr>
      <w:r w:rsidRPr="00C31E00">
        <w:rPr>
          <w:sz w:val="24"/>
          <w:szCs w:val="24"/>
        </w:rPr>
        <w:t>Viatris ApS</w:t>
      </w:r>
    </w:p>
    <w:p w:rsidR="00A854EF" w:rsidRPr="00C31E00" w:rsidRDefault="00A854EF" w:rsidP="00A854EF">
      <w:pPr>
        <w:ind w:left="851"/>
        <w:rPr>
          <w:sz w:val="24"/>
          <w:szCs w:val="24"/>
        </w:rPr>
      </w:pPr>
      <w:r w:rsidRPr="00C31E00">
        <w:rPr>
          <w:sz w:val="24"/>
          <w:szCs w:val="24"/>
        </w:rPr>
        <w:t>Borupvang 1</w:t>
      </w:r>
    </w:p>
    <w:p w:rsidR="00A854EF" w:rsidRPr="00CE6AFB" w:rsidRDefault="00A854EF" w:rsidP="00A854EF">
      <w:pPr>
        <w:ind w:left="851"/>
        <w:rPr>
          <w:spacing w:val="-3"/>
          <w:sz w:val="24"/>
          <w:szCs w:val="24"/>
        </w:rPr>
      </w:pPr>
      <w:r w:rsidRPr="00C31E00">
        <w:rPr>
          <w:sz w:val="24"/>
          <w:szCs w:val="24"/>
        </w:rPr>
        <w:t>2750 Ballerup</w:t>
      </w:r>
    </w:p>
    <w:p w:rsidR="00E53868" w:rsidRPr="00CE6AFB" w:rsidRDefault="00E53868" w:rsidP="00E53868">
      <w:pPr>
        <w:rPr>
          <w:spacing w:val="-3"/>
          <w:sz w:val="24"/>
          <w:szCs w:val="24"/>
        </w:rPr>
      </w:pPr>
    </w:p>
    <w:p w:rsidR="00E53868" w:rsidRPr="00CE6AFB" w:rsidRDefault="00E53868" w:rsidP="00E53868">
      <w:pPr>
        <w:tabs>
          <w:tab w:val="left" w:pos="851"/>
        </w:tabs>
        <w:ind w:left="851" w:hanging="851"/>
        <w:rPr>
          <w:b/>
          <w:sz w:val="24"/>
          <w:szCs w:val="24"/>
        </w:rPr>
      </w:pPr>
      <w:r w:rsidRPr="00CE6AFB">
        <w:rPr>
          <w:b/>
          <w:sz w:val="24"/>
          <w:szCs w:val="24"/>
        </w:rPr>
        <w:t>8.</w:t>
      </w:r>
      <w:r w:rsidRPr="00CE6AFB">
        <w:rPr>
          <w:b/>
          <w:sz w:val="24"/>
          <w:szCs w:val="24"/>
        </w:rPr>
        <w:tab/>
        <w:t>MARKEDSFØRINGSTILLADELSESNUMMER (</w:t>
      </w:r>
      <w:r w:rsidR="00C03341">
        <w:rPr>
          <w:b/>
          <w:sz w:val="24"/>
          <w:szCs w:val="24"/>
        </w:rPr>
        <w:t>-</w:t>
      </w:r>
      <w:r w:rsidRPr="00CE6AFB">
        <w:rPr>
          <w:b/>
          <w:sz w:val="24"/>
          <w:szCs w:val="24"/>
        </w:rPr>
        <w:t>NUMRE)</w:t>
      </w:r>
    </w:p>
    <w:p w:rsidR="00E53868" w:rsidRPr="00CE6AFB" w:rsidRDefault="00E53868" w:rsidP="00E53868">
      <w:pPr>
        <w:tabs>
          <w:tab w:val="left" w:pos="851"/>
        </w:tabs>
        <w:ind w:left="851" w:hanging="851"/>
        <w:rPr>
          <w:sz w:val="24"/>
          <w:szCs w:val="24"/>
        </w:rPr>
      </w:pPr>
      <w:r w:rsidRPr="00CE6AFB">
        <w:rPr>
          <w:sz w:val="24"/>
          <w:szCs w:val="24"/>
        </w:rPr>
        <w:tab/>
        <w:t>47219</w:t>
      </w:r>
    </w:p>
    <w:p w:rsidR="00E53868" w:rsidRPr="00CE6AFB" w:rsidRDefault="00E53868" w:rsidP="00E53868">
      <w:pPr>
        <w:tabs>
          <w:tab w:val="left" w:pos="851"/>
        </w:tabs>
        <w:ind w:left="851" w:hanging="851"/>
        <w:jc w:val="both"/>
        <w:rPr>
          <w:sz w:val="24"/>
          <w:szCs w:val="24"/>
        </w:rPr>
      </w:pPr>
    </w:p>
    <w:p w:rsidR="00E53868" w:rsidRPr="00CE6AFB" w:rsidRDefault="00E53868" w:rsidP="00E53868">
      <w:pPr>
        <w:tabs>
          <w:tab w:val="left" w:pos="851"/>
        </w:tabs>
        <w:ind w:left="851" w:hanging="851"/>
        <w:rPr>
          <w:b/>
          <w:sz w:val="24"/>
          <w:szCs w:val="24"/>
        </w:rPr>
      </w:pPr>
      <w:r w:rsidRPr="00CE6AFB">
        <w:rPr>
          <w:b/>
          <w:sz w:val="24"/>
          <w:szCs w:val="24"/>
        </w:rPr>
        <w:t>9.</w:t>
      </w:r>
      <w:r w:rsidRPr="00CE6AFB">
        <w:rPr>
          <w:b/>
          <w:sz w:val="24"/>
          <w:szCs w:val="24"/>
        </w:rPr>
        <w:tab/>
        <w:t>DATO FOR FØRSTE MARKEDSFØRINGSTILLADELSE</w:t>
      </w:r>
    </w:p>
    <w:p w:rsidR="00E53868" w:rsidRPr="00CE6AFB" w:rsidRDefault="00E53868" w:rsidP="00E53868">
      <w:pPr>
        <w:tabs>
          <w:tab w:val="left" w:pos="851"/>
        </w:tabs>
        <w:ind w:left="851" w:hanging="851"/>
        <w:rPr>
          <w:sz w:val="24"/>
          <w:szCs w:val="24"/>
        </w:rPr>
      </w:pPr>
      <w:r w:rsidRPr="00CE6AFB">
        <w:rPr>
          <w:sz w:val="24"/>
          <w:szCs w:val="24"/>
        </w:rPr>
        <w:tab/>
        <w:t>15. juli 2011</w:t>
      </w:r>
    </w:p>
    <w:p w:rsidR="00E53868" w:rsidRPr="00CE6AFB" w:rsidRDefault="00E53868" w:rsidP="00E53868">
      <w:pPr>
        <w:tabs>
          <w:tab w:val="left" w:pos="851"/>
        </w:tabs>
        <w:ind w:left="851" w:hanging="851"/>
        <w:rPr>
          <w:sz w:val="24"/>
          <w:szCs w:val="24"/>
        </w:rPr>
      </w:pPr>
    </w:p>
    <w:p w:rsidR="00E53868" w:rsidRPr="00CE6AFB" w:rsidRDefault="00E53868" w:rsidP="00E53868">
      <w:pPr>
        <w:tabs>
          <w:tab w:val="left" w:pos="851"/>
        </w:tabs>
        <w:ind w:left="851" w:hanging="851"/>
        <w:rPr>
          <w:b/>
          <w:sz w:val="24"/>
          <w:szCs w:val="24"/>
        </w:rPr>
      </w:pPr>
      <w:r w:rsidRPr="00CE6AFB">
        <w:rPr>
          <w:b/>
          <w:sz w:val="24"/>
          <w:szCs w:val="24"/>
        </w:rPr>
        <w:t>10.</w:t>
      </w:r>
      <w:r w:rsidRPr="00CE6AFB">
        <w:rPr>
          <w:b/>
          <w:sz w:val="24"/>
          <w:szCs w:val="24"/>
        </w:rPr>
        <w:tab/>
        <w:t>DATO FOR ÆNDRING AF TEKSTEN</w:t>
      </w:r>
    </w:p>
    <w:p w:rsidR="009260DE" w:rsidRPr="008D2169" w:rsidRDefault="00E53868" w:rsidP="008D2169">
      <w:pPr>
        <w:tabs>
          <w:tab w:val="left" w:pos="851"/>
        </w:tabs>
        <w:ind w:left="851" w:hanging="851"/>
        <w:rPr>
          <w:sz w:val="24"/>
          <w:szCs w:val="24"/>
        </w:rPr>
      </w:pPr>
      <w:r w:rsidRPr="00CE6AFB">
        <w:rPr>
          <w:sz w:val="24"/>
          <w:szCs w:val="24"/>
        </w:rPr>
        <w:tab/>
      </w:r>
      <w:r w:rsidR="00C03341">
        <w:rPr>
          <w:sz w:val="24"/>
          <w:szCs w:val="24"/>
        </w:rPr>
        <w:t>2</w:t>
      </w:r>
      <w:r w:rsidR="008D2169">
        <w:rPr>
          <w:sz w:val="24"/>
          <w:szCs w:val="24"/>
        </w:rPr>
        <w:t>7</w:t>
      </w:r>
      <w:r w:rsidR="00C03341">
        <w:rPr>
          <w:sz w:val="24"/>
          <w:szCs w:val="24"/>
        </w:rPr>
        <w:t>. juni 2025</w:t>
      </w:r>
    </w:p>
    <w:sectPr w:rsidR="009260DE" w:rsidRPr="008D216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868" w:rsidRDefault="00E53868">
      <w:r>
        <w:separator/>
      </w:r>
    </w:p>
  </w:endnote>
  <w:endnote w:type="continuationSeparator" w:id="0">
    <w:p w:rsidR="00E53868" w:rsidRDefault="00E5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F03B45" w:rsidP="00C42586">
    <w:pPr>
      <w:pStyle w:val="Sidefod"/>
      <w:tabs>
        <w:tab w:val="clear" w:pos="4819"/>
        <w:tab w:val="left" w:pos="8505"/>
      </w:tabs>
      <w:rPr>
        <w:i/>
        <w:sz w:val="18"/>
        <w:szCs w:val="18"/>
      </w:rPr>
    </w:pPr>
    <w:r w:rsidRPr="00F03B45">
      <w:rPr>
        <w:i/>
        <w:sz w:val="18"/>
        <w:szCs w:val="18"/>
      </w:rPr>
      <w:t xml:space="preserve">Entacapone </w:t>
    </w:r>
    <w:r w:rsidR="00965ECA">
      <w:rPr>
        <w:i/>
        <w:sz w:val="18"/>
        <w:szCs w:val="18"/>
      </w:rPr>
      <w:t>Viatris</w:t>
    </w:r>
    <w:r w:rsidRPr="00F03B45">
      <w:rPr>
        <w:i/>
        <w:sz w:val="18"/>
        <w:szCs w:val="18"/>
      </w:rPr>
      <w:t>, filmovertrukne tabletter 200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868" w:rsidRDefault="00E53868">
      <w:r>
        <w:separator/>
      </w:r>
    </w:p>
  </w:footnote>
  <w:footnote w:type="continuationSeparator" w:id="0">
    <w:p w:rsidR="00E53868" w:rsidRDefault="00E53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8976B9F"/>
    <w:multiLevelType w:val="hybridMultilevel"/>
    <w:tmpl w:val="FDF426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8"/>
    <w:rsid w:val="000259B9"/>
    <w:rsid w:val="00041491"/>
    <w:rsid w:val="00050D16"/>
    <w:rsid w:val="00074F2A"/>
    <w:rsid w:val="000A1CA8"/>
    <w:rsid w:val="000A466B"/>
    <w:rsid w:val="000B058C"/>
    <w:rsid w:val="000E4EE6"/>
    <w:rsid w:val="00137E34"/>
    <w:rsid w:val="001454E2"/>
    <w:rsid w:val="001470A2"/>
    <w:rsid w:val="00206CE8"/>
    <w:rsid w:val="0021526C"/>
    <w:rsid w:val="00283A2B"/>
    <w:rsid w:val="002B30AD"/>
    <w:rsid w:val="002C2C01"/>
    <w:rsid w:val="00397595"/>
    <w:rsid w:val="003A29AE"/>
    <w:rsid w:val="003A32D7"/>
    <w:rsid w:val="003B4074"/>
    <w:rsid w:val="003C769A"/>
    <w:rsid w:val="003F1838"/>
    <w:rsid w:val="00415CAA"/>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A1114"/>
    <w:rsid w:val="007B6649"/>
    <w:rsid w:val="0081546F"/>
    <w:rsid w:val="0082576E"/>
    <w:rsid w:val="008D2169"/>
    <w:rsid w:val="00907F75"/>
    <w:rsid w:val="00916DBA"/>
    <w:rsid w:val="009260DE"/>
    <w:rsid w:val="0093258A"/>
    <w:rsid w:val="00965ECA"/>
    <w:rsid w:val="00972898"/>
    <w:rsid w:val="009C7BA3"/>
    <w:rsid w:val="009D1F5A"/>
    <w:rsid w:val="00A854EF"/>
    <w:rsid w:val="00B003BF"/>
    <w:rsid w:val="00B373D7"/>
    <w:rsid w:val="00C03341"/>
    <w:rsid w:val="00C36276"/>
    <w:rsid w:val="00C42586"/>
    <w:rsid w:val="00C60CCD"/>
    <w:rsid w:val="00C84483"/>
    <w:rsid w:val="00C95551"/>
    <w:rsid w:val="00CB20D7"/>
    <w:rsid w:val="00D020B0"/>
    <w:rsid w:val="00D11748"/>
    <w:rsid w:val="00D366CF"/>
    <w:rsid w:val="00DA2EA5"/>
    <w:rsid w:val="00E108AA"/>
    <w:rsid w:val="00E31812"/>
    <w:rsid w:val="00E3749A"/>
    <w:rsid w:val="00E53868"/>
    <w:rsid w:val="00E7437F"/>
    <w:rsid w:val="00E865B8"/>
    <w:rsid w:val="00EC0B9B"/>
    <w:rsid w:val="00ED5E9F"/>
    <w:rsid w:val="00F03B4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23C77"/>
  <w15:chartTrackingRefBased/>
  <w15:docId w15:val="{D743D1E5-A320-411F-9BB3-E8E8E538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E53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SMargentekst">
    <w:name w:val="LMSMargentekst"/>
    <w:basedOn w:val="Normal"/>
    <w:rsid w:val="007A1114"/>
    <w:pPr>
      <w:spacing w:line="312" w:lineRule="auto"/>
    </w:pPr>
    <w:rPr>
      <w:sz w:val="18"/>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2970</Words>
  <Characters>19896</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2024044565+2024050199_x000d_
Skift af MAH fra Mylan AB - opfølgning: Entacapone Mylan (uden citationstegn) rettet til Entacapone "Viatris" (fejl fra forrige smpc opdatering)</dc:description>
  <cp:lastModifiedBy>Hanne Thy Iversen</cp:lastModifiedBy>
  <cp:revision>6</cp:revision>
  <cp:lastPrinted>2012-08-22T08:53:00Z</cp:lastPrinted>
  <dcterms:created xsi:type="dcterms:W3CDTF">2025-06-20T06:23:00Z</dcterms:created>
  <dcterms:modified xsi:type="dcterms:W3CDTF">2025-06-27T13:51:00Z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