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F50" w:rsidRPr="008F49E1" w:rsidRDefault="00A20F50" w:rsidP="00A20F50">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D010B0A" wp14:editId="6C1161C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20F50" w:rsidRPr="00571A61" w:rsidRDefault="00571A61" w:rsidP="00571A61">
      <w:pPr>
        <w:pStyle w:val="Titel"/>
        <w:tabs>
          <w:tab w:val="right" w:pos="9356"/>
        </w:tabs>
        <w:jc w:val="right"/>
        <w:rPr>
          <w:szCs w:val="24"/>
          <w:lang w:eastAsia="en-US"/>
        </w:rPr>
      </w:pPr>
      <w:r w:rsidRPr="00571A61">
        <w:rPr>
          <w:szCs w:val="24"/>
          <w:lang w:eastAsia="en-US"/>
        </w:rPr>
        <w:t>3. marts 2022</w:t>
      </w:r>
    </w:p>
    <w:p w:rsidR="00C81A48" w:rsidRPr="00C84483" w:rsidRDefault="00C81A48" w:rsidP="00A20F50">
      <w:pPr>
        <w:pStyle w:val="Titel"/>
        <w:tabs>
          <w:tab w:val="left" w:pos="8222"/>
        </w:tabs>
        <w:jc w:val="left"/>
        <w:rPr>
          <w:b w:val="0"/>
          <w:szCs w:val="24"/>
        </w:rPr>
      </w:pPr>
    </w:p>
    <w:p w:rsidR="00A20F50" w:rsidRPr="00C84483" w:rsidRDefault="00A20F50" w:rsidP="00A20F50">
      <w:pPr>
        <w:pStyle w:val="Titel"/>
        <w:jc w:val="left"/>
        <w:rPr>
          <w:b w:val="0"/>
          <w:szCs w:val="24"/>
        </w:rPr>
      </w:pPr>
    </w:p>
    <w:p w:rsidR="00A20F50" w:rsidRPr="00C84483" w:rsidRDefault="00A20F50" w:rsidP="00A20F50">
      <w:pPr>
        <w:pStyle w:val="Titel"/>
        <w:jc w:val="left"/>
        <w:rPr>
          <w:b w:val="0"/>
          <w:szCs w:val="24"/>
        </w:rPr>
      </w:pPr>
    </w:p>
    <w:p w:rsidR="00A20F50" w:rsidRPr="00C84483" w:rsidRDefault="00A20F50" w:rsidP="00A20F50">
      <w:pPr>
        <w:jc w:val="center"/>
        <w:rPr>
          <w:b/>
          <w:sz w:val="24"/>
          <w:szCs w:val="24"/>
        </w:rPr>
      </w:pPr>
      <w:r w:rsidRPr="00C84483">
        <w:rPr>
          <w:b/>
          <w:sz w:val="24"/>
          <w:szCs w:val="24"/>
        </w:rPr>
        <w:t>PRODUKTRESUMÉ</w:t>
      </w:r>
    </w:p>
    <w:p w:rsidR="00A20F50" w:rsidRPr="00C84483" w:rsidRDefault="00A20F50" w:rsidP="00A20F50">
      <w:pPr>
        <w:jc w:val="center"/>
        <w:rPr>
          <w:b/>
          <w:sz w:val="24"/>
          <w:szCs w:val="24"/>
        </w:rPr>
      </w:pPr>
    </w:p>
    <w:p w:rsidR="00A20F50" w:rsidRDefault="00A20F50" w:rsidP="00A20F50">
      <w:pPr>
        <w:jc w:val="center"/>
        <w:rPr>
          <w:b/>
          <w:sz w:val="24"/>
          <w:szCs w:val="24"/>
        </w:rPr>
      </w:pPr>
      <w:r w:rsidRPr="00C84483">
        <w:rPr>
          <w:b/>
          <w:sz w:val="24"/>
          <w:szCs w:val="24"/>
        </w:rPr>
        <w:t>for</w:t>
      </w:r>
    </w:p>
    <w:p w:rsidR="00A20F50" w:rsidRPr="00C84483" w:rsidRDefault="00A20F50" w:rsidP="00A20F50">
      <w:pPr>
        <w:jc w:val="center"/>
        <w:rPr>
          <w:b/>
          <w:sz w:val="24"/>
          <w:szCs w:val="24"/>
        </w:rPr>
      </w:pPr>
    </w:p>
    <w:p w:rsidR="00A20F50" w:rsidRPr="00C84483" w:rsidRDefault="00A20F50" w:rsidP="00A20F50">
      <w:pPr>
        <w:jc w:val="center"/>
        <w:rPr>
          <w:b/>
          <w:sz w:val="24"/>
          <w:szCs w:val="24"/>
        </w:rPr>
      </w:pPr>
      <w:r>
        <w:rPr>
          <w:b/>
          <w:sz w:val="24"/>
          <w:szCs w:val="24"/>
        </w:rPr>
        <w:t>Entecavir "Pharmathen", filmovertrukne tabletter</w:t>
      </w:r>
    </w:p>
    <w:p w:rsidR="00A20F50" w:rsidRPr="00C84483" w:rsidRDefault="00A20F50" w:rsidP="00A20F50">
      <w:pPr>
        <w:jc w:val="both"/>
        <w:rPr>
          <w:sz w:val="24"/>
          <w:szCs w:val="24"/>
        </w:rPr>
      </w:pPr>
    </w:p>
    <w:p w:rsidR="00A20F50" w:rsidRPr="00D06229" w:rsidRDefault="00A20F50" w:rsidP="00A20F50">
      <w:pPr>
        <w:jc w:val="both"/>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0.</w:t>
      </w:r>
      <w:r w:rsidRPr="00D06229">
        <w:rPr>
          <w:b/>
          <w:sz w:val="24"/>
          <w:szCs w:val="24"/>
        </w:rPr>
        <w:tab/>
        <w:t>D.SP.NR.</w:t>
      </w:r>
    </w:p>
    <w:p w:rsidR="00A20F50" w:rsidRPr="00D06229" w:rsidRDefault="00A20F50" w:rsidP="00A20F50">
      <w:pPr>
        <w:tabs>
          <w:tab w:val="left" w:pos="851"/>
        </w:tabs>
        <w:ind w:left="851"/>
        <w:rPr>
          <w:sz w:val="24"/>
          <w:szCs w:val="24"/>
        </w:rPr>
      </w:pPr>
      <w:r w:rsidRPr="00D06229">
        <w:rPr>
          <w:sz w:val="24"/>
          <w:szCs w:val="24"/>
        </w:rPr>
        <w:t>30391</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1.</w:t>
      </w:r>
      <w:r w:rsidRPr="00D06229">
        <w:rPr>
          <w:b/>
          <w:sz w:val="24"/>
          <w:szCs w:val="24"/>
        </w:rPr>
        <w:tab/>
        <w:t>LÆGEMIDLETS NAVN</w:t>
      </w:r>
    </w:p>
    <w:p w:rsidR="00A20F50" w:rsidRPr="00D06229" w:rsidRDefault="00A20F50" w:rsidP="00A20F50">
      <w:pPr>
        <w:tabs>
          <w:tab w:val="left" w:pos="851"/>
        </w:tabs>
        <w:ind w:left="851"/>
        <w:rPr>
          <w:sz w:val="24"/>
          <w:szCs w:val="24"/>
        </w:rPr>
      </w:pPr>
      <w:r w:rsidRPr="00D06229">
        <w:rPr>
          <w:sz w:val="24"/>
          <w:szCs w:val="24"/>
        </w:rPr>
        <w:t>Entecavir "Pharmathen"</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2.</w:t>
      </w:r>
      <w:r w:rsidRPr="00D06229">
        <w:rPr>
          <w:b/>
          <w:sz w:val="24"/>
          <w:szCs w:val="24"/>
        </w:rPr>
        <w:tab/>
        <w:t>KVALITATIV OG KVANTITATIV SAMMENSÆTNING</w:t>
      </w:r>
    </w:p>
    <w:p w:rsidR="00A20F50" w:rsidRPr="00D06229" w:rsidRDefault="00A20F50" w:rsidP="00A20F50">
      <w:pPr>
        <w:ind w:left="851"/>
        <w:rPr>
          <w:sz w:val="24"/>
          <w:szCs w:val="24"/>
          <w:u w:val="single"/>
        </w:rPr>
      </w:pPr>
    </w:p>
    <w:p w:rsidR="00A20F50" w:rsidRPr="00D06229" w:rsidRDefault="00A20F50" w:rsidP="00A20F50">
      <w:pPr>
        <w:ind w:left="851"/>
        <w:rPr>
          <w:sz w:val="24"/>
          <w:szCs w:val="24"/>
          <w:u w:val="single"/>
        </w:rPr>
      </w:pPr>
      <w:r w:rsidRPr="00D06229">
        <w:rPr>
          <w:sz w:val="24"/>
          <w:szCs w:val="24"/>
          <w:u w:val="single"/>
        </w:rPr>
        <w:t>0,5 mg</w:t>
      </w:r>
    </w:p>
    <w:p w:rsidR="00A20F50" w:rsidRPr="00D06229" w:rsidRDefault="00A20F50" w:rsidP="00A20F50">
      <w:pPr>
        <w:ind w:left="851"/>
        <w:rPr>
          <w:sz w:val="24"/>
          <w:szCs w:val="24"/>
        </w:rPr>
      </w:pPr>
      <w:r w:rsidRPr="00D06229">
        <w:rPr>
          <w:sz w:val="24"/>
          <w:szCs w:val="24"/>
        </w:rPr>
        <w:t>Hver filmovertrukket tablet indeholder entecavirmonohydrat svarende til 0,5 mg entecavir.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1 mg</w:t>
      </w:r>
    </w:p>
    <w:p w:rsidR="00A20F50" w:rsidRPr="00D06229" w:rsidRDefault="00A20F50" w:rsidP="00A20F50">
      <w:pPr>
        <w:ind w:left="851"/>
        <w:rPr>
          <w:sz w:val="24"/>
          <w:szCs w:val="24"/>
        </w:rPr>
      </w:pPr>
      <w:r w:rsidRPr="00D06229">
        <w:rPr>
          <w:sz w:val="24"/>
          <w:szCs w:val="24"/>
        </w:rPr>
        <w:t>Hver filmovertrukket tablet indeholder entecavirmonohydrat svarende til 1 mg entecavir.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Hjælpestoffer, som behandleren skal være opmærksom på</w:t>
      </w:r>
    </w:p>
    <w:p w:rsidR="00A20F50" w:rsidRPr="00D06229" w:rsidRDefault="00A20F50" w:rsidP="00A20F50">
      <w:pPr>
        <w:ind w:left="851"/>
        <w:rPr>
          <w:sz w:val="24"/>
          <w:szCs w:val="24"/>
        </w:rPr>
      </w:pPr>
      <w:r w:rsidRPr="00D06229">
        <w:rPr>
          <w:sz w:val="24"/>
          <w:szCs w:val="24"/>
        </w:rPr>
        <w:t>Hver 0,5 mg filmovertrukket tablet indeholder ca. 122 mg lactosemonohydrat.</w:t>
      </w:r>
    </w:p>
    <w:p w:rsidR="00A20F50" w:rsidRPr="00D06229" w:rsidRDefault="00A20F50" w:rsidP="00A20F50">
      <w:pPr>
        <w:ind w:left="851"/>
        <w:rPr>
          <w:sz w:val="24"/>
          <w:szCs w:val="24"/>
        </w:rPr>
      </w:pPr>
      <w:r w:rsidRPr="00D06229">
        <w:rPr>
          <w:sz w:val="24"/>
          <w:szCs w:val="24"/>
        </w:rPr>
        <w:t>Hver 1 mg filmovertrukket tablet indeholder 242 mg lactosemonohydrat.</w:t>
      </w:r>
    </w:p>
    <w:p w:rsidR="00B560F0" w:rsidRPr="00D06229" w:rsidRDefault="00B560F0" w:rsidP="003017B3">
      <w:pPr>
        <w:ind w:left="851"/>
        <w:rPr>
          <w:sz w:val="24"/>
          <w:szCs w:val="24"/>
        </w:rPr>
      </w:pPr>
      <w:r w:rsidRPr="00D06229">
        <w:rPr>
          <w:sz w:val="24"/>
          <w:szCs w:val="24"/>
        </w:rPr>
        <w:t>Hver 1 mg tablet indeholder 0,6 mg maltodextrin (der indeholder glucose).</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Alle hjælpestoffer er anført under pkt. 6.1.</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3.</w:t>
      </w:r>
      <w:r w:rsidRPr="00D06229">
        <w:rPr>
          <w:b/>
          <w:sz w:val="24"/>
          <w:szCs w:val="24"/>
        </w:rPr>
        <w:tab/>
        <w:t>LÆGEMIDDELFORM</w:t>
      </w:r>
    </w:p>
    <w:p w:rsidR="00A20F50" w:rsidRPr="00D06229" w:rsidRDefault="00A20F50" w:rsidP="00A20F50">
      <w:pPr>
        <w:ind w:left="851"/>
        <w:rPr>
          <w:sz w:val="24"/>
          <w:szCs w:val="24"/>
        </w:rPr>
      </w:pPr>
      <w:r w:rsidRPr="00D06229">
        <w:rPr>
          <w:sz w:val="24"/>
          <w:szCs w:val="24"/>
        </w:rPr>
        <w:t>Filmovertrukne tabletter (tabletter)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0,5 mg</w:t>
      </w:r>
    </w:p>
    <w:p w:rsidR="00A20F50" w:rsidRPr="00D06229" w:rsidRDefault="00A20F50" w:rsidP="00A20F50">
      <w:pPr>
        <w:ind w:left="851"/>
        <w:rPr>
          <w:sz w:val="24"/>
          <w:szCs w:val="24"/>
        </w:rPr>
      </w:pPr>
      <w:r w:rsidRPr="00D06229">
        <w:rPr>
          <w:sz w:val="24"/>
          <w:szCs w:val="24"/>
        </w:rPr>
        <w:t>Hvid til grålighvid, trekantet tablet med "0.5" på den ene side, med en median på 8.4 mm ± 0,2 mm og tykkelsen 3.7 mm ± 0,3 mm.</w:t>
      </w:r>
    </w:p>
    <w:p w:rsidR="00A20F50" w:rsidRPr="00D06229" w:rsidRDefault="00A20F50" w:rsidP="00A20F50">
      <w:pPr>
        <w:ind w:left="851"/>
        <w:rPr>
          <w:sz w:val="24"/>
          <w:szCs w:val="24"/>
          <w:u w:val="single"/>
        </w:rPr>
      </w:pPr>
    </w:p>
    <w:p w:rsidR="00A20F50" w:rsidRPr="00D06229" w:rsidRDefault="00A20F50" w:rsidP="00A20F50">
      <w:pPr>
        <w:ind w:left="851"/>
        <w:rPr>
          <w:sz w:val="24"/>
          <w:szCs w:val="24"/>
          <w:u w:val="single"/>
        </w:rPr>
      </w:pPr>
      <w:r w:rsidRPr="00D06229">
        <w:rPr>
          <w:sz w:val="24"/>
          <w:szCs w:val="24"/>
          <w:u w:val="single"/>
        </w:rPr>
        <w:t>1 mg</w:t>
      </w:r>
    </w:p>
    <w:p w:rsidR="00A20F50" w:rsidRPr="00D06229" w:rsidRDefault="00A20F50" w:rsidP="00A20F50">
      <w:pPr>
        <w:ind w:left="851"/>
        <w:rPr>
          <w:sz w:val="24"/>
          <w:szCs w:val="24"/>
        </w:rPr>
      </w:pPr>
      <w:r w:rsidRPr="00D06229">
        <w:rPr>
          <w:sz w:val="24"/>
          <w:szCs w:val="24"/>
        </w:rPr>
        <w:t>Lyserød, trekantet tablet med "1" mærket på den ene side, med en median på 10,6 mm ± 0,2 mm og tykkelsen 5 mm ± 0.3 mm.</w:t>
      </w:r>
    </w:p>
    <w:p w:rsidR="00A20F50" w:rsidRPr="00D06229" w:rsidRDefault="00A20F50" w:rsidP="00A20F50">
      <w:pPr>
        <w:tabs>
          <w:tab w:val="left" w:pos="851"/>
        </w:tabs>
        <w:ind w:left="851"/>
        <w:rPr>
          <w:sz w:val="24"/>
          <w:szCs w:val="24"/>
        </w:rPr>
      </w:pPr>
    </w:p>
    <w:p w:rsidR="003017B3" w:rsidRPr="00D06229" w:rsidRDefault="003017B3">
      <w:pPr>
        <w:rPr>
          <w:sz w:val="24"/>
          <w:szCs w:val="24"/>
        </w:rPr>
      </w:pPr>
      <w:r w:rsidRPr="00D06229">
        <w:rPr>
          <w:sz w:val="24"/>
          <w:szCs w:val="24"/>
        </w:rPr>
        <w:br w:type="page"/>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4.</w:t>
      </w:r>
      <w:r w:rsidRPr="00D06229">
        <w:rPr>
          <w:b/>
          <w:sz w:val="24"/>
          <w:szCs w:val="24"/>
        </w:rPr>
        <w:tab/>
        <w:t>KLINISKE OPLYSNINGER</w:t>
      </w:r>
    </w:p>
    <w:p w:rsidR="00A20F50" w:rsidRPr="00D06229" w:rsidRDefault="00A20F50" w:rsidP="00A20F50">
      <w:pPr>
        <w:tabs>
          <w:tab w:val="left" w:pos="851"/>
        </w:tabs>
        <w:ind w:left="851"/>
        <w:rPr>
          <w:b/>
          <w:sz w:val="24"/>
          <w:szCs w:val="24"/>
        </w:rPr>
      </w:pPr>
    </w:p>
    <w:p w:rsidR="00A20F50" w:rsidRPr="00D06229" w:rsidRDefault="00A20F50" w:rsidP="00A20F50">
      <w:pPr>
        <w:tabs>
          <w:tab w:val="left" w:pos="851"/>
        </w:tabs>
        <w:ind w:left="851" w:hanging="851"/>
        <w:rPr>
          <w:b/>
          <w:sz w:val="24"/>
          <w:szCs w:val="24"/>
          <w:u w:val="single"/>
        </w:rPr>
      </w:pPr>
      <w:r w:rsidRPr="00D06229">
        <w:rPr>
          <w:b/>
          <w:sz w:val="24"/>
          <w:szCs w:val="24"/>
        </w:rPr>
        <w:t>4.1</w:t>
      </w:r>
      <w:r w:rsidRPr="00D06229">
        <w:rPr>
          <w:b/>
          <w:sz w:val="24"/>
          <w:szCs w:val="24"/>
        </w:rPr>
        <w:tab/>
        <w:t>Terapeutiske indikationer</w:t>
      </w:r>
    </w:p>
    <w:p w:rsidR="00A20F50" w:rsidRPr="00D06229" w:rsidRDefault="00A20F50" w:rsidP="00A20F50">
      <w:pPr>
        <w:ind w:left="851"/>
        <w:rPr>
          <w:b/>
          <w:sz w:val="24"/>
          <w:szCs w:val="24"/>
        </w:rPr>
      </w:pPr>
    </w:p>
    <w:p w:rsidR="00A20F50" w:rsidRPr="00D06229" w:rsidRDefault="00A20F50" w:rsidP="00A20F50">
      <w:pPr>
        <w:ind w:left="851"/>
        <w:rPr>
          <w:sz w:val="24"/>
          <w:szCs w:val="24"/>
          <w:u w:val="single"/>
        </w:rPr>
      </w:pPr>
      <w:r w:rsidRPr="00D06229">
        <w:rPr>
          <w:sz w:val="24"/>
          <w:szCs w:val="24"/>
          <w:u w:val="single"/>
        </w:rPr>
        <w:t>Voksne</w:t>
      </w:r>
    </w:p>
    <w:p w:rsidR="00A20F50" w:rsidRPr="00D06229" w:rsidRDefault="00A20F50" w:rsidP="00A20F50">
      <w:pPr>
        <w:ind w:left="851"/>
        <w:rPr>
          <w:sz w:val="24"/>
          <w:szCs w:val="24"/>
        </w:rPr>
      </w:pPr>
      <w:r w:rsidRPr="00D06229">
        <w:rPr>
          <w:sz w:val="24"/>
          <w:szCs w:val="24"/>
        </w:rPr>
        <w:t>Behandling af kronisk hepatitis B-virus- (HBV) infektion (se pkt. 5.1) hos voksne med:</w:t>
      </w:r>
    </w:p>
    <w:p w:rsidR="00A20F50" w:rsidRPr="00D06229" w:rsidRDefault="00A20F50" w:rsidP="00A20F50">
      <w:pPr>
        <w:pStyle w:val="Listeafsnit"/>
        <w:numPr>
          <w:ilvl w:val="0"/>
          <w:numId w:val="9"/>
        </w:numPr>
        <w:spacing w:after="0" w:line="240" w:lineRule="auto"/>
        <w:ind w:left="1134" w:hanging="283"/>
        <w:rPr>
          <w:rFonts w:ascii="Times New Roman" w:hAnsi="Times New Roman" w:cs="Times New Roman"/>
          <w:sz w:val="24"/>
          <w:szCs w:val="24"/>
          <w:lang w:val="da-DK"/>
        </w:rPr>
      </w:pPr>
      <w:r w:rsidRPr="00D06229">
        <w:rPr>
          <w:rFonts w:ascii="Times New Roman" w:hAnsi="Times New Roman" w:cs="Times New Roman"/>
          <w:sz w:val="24"/>
          <w:szCs w:val="24"/>
          <w:lang w:val="da-DK"/>
        </w:rPr>
        <w:t>kompenseret leversygdom og tegn på aktiv virusreplikation, vedvarende forhøjet serumalaninaminotransferase (ALAT) og histologisk påvist aktiv inflammation og/eller fibrose.</w:t>
      </w:r>
    </w:p>
    <w:p w:rsidR="00A20F50" w:rsidRPr="00D06229" w:rsidRDefault="00A20F50" w:rsidP="00A20F50">
      <w:pPr>
        <w:pStyle w:val="Listeafsnit"/>
        <w:numPr>
          <w:ilvl w:val="0"/>
          <w:numId w:val="9"/>
        </w:numPr>
        <w:spacing w:after="0" w:line="240" w:lineRule="auto"/>
        <w:ind w:left="1134" w:hanging="283"/>
        <w:rPr>
          <w:rFonts w:ascii="Times New Roman" w:hAnsi="Times New Roman" w:cs="Times New Roman"/>
          <w:sz w:val="24"/>
          <w:szCs w:val="24"/>
          <w:lang w:val="en-US"/>
        </w:rPr>
      </w:pPr>
      <w:r w:rsidRPr="00D06229">
        <w:rPr>
          <w:rFonts w:ascii="Times New Roman" w:hAnsi="Times New Roman" w:cs="Times New Roman"/>
          <w:sz w:val="24"/>
          <w:szCs w:val="24"/>
          <w:lang w:val="en-US"/>
        </w:rPr>
        <w:t>inkompenseret leversygdom (se pkt. 4.4).</w:t>
      </w:r>
    </w:p>
    <w:p w:rsidR="00A20F50" w:rsidRPr="00D06229" w:rsidRDefault="00A20F50" w:rsidP="00A20F50">
      <w:pPr>
        <w:ind w:left="851"/>
        <w:rPr>
          <w:sz w:val="24"/>
          <w:szCs w:val="24"/>
          <w:lang w:val="en-US"/>
        </w:rPr>
      </w:pPr>
    </w:p>
    <w:p w:rsidR="00A20F50" w:rsidRPr="00D06229" w:rsidRDefault="00A20F50" w:rsidP="00A20F50">
      <w:pPr>
        <w:ind w:left="851"/>
        <w:rPr>
          <w:sz w:val="24"/>
          <w:szCs w:val="24"/>
        </w:rPr>
      </w:pPr>
      <w:r w:rsidRPr="00D06229">
        <w:rPr>
          <w:sz w:val="24"/>
          <w:szCs w:val="24"/>
        </w:rPr>
        <w:t>For både kompenseret og inkompenseret leversygdom er denne indikation baseret på data fra kliniske forsøg hos nukleosid-naive patienter med HBeAg-positiv og HBeAg-negativ HBV-infektion. For patienter med lamivudin-refraktær hepatitis B, se pkt. 4.2, 4.4 og 5.1.</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Pædiatrisk population</w:t>
      </w:r>
    </w:p>
    <w:p w:rsidR="00A20F50" w:rsidRPr="00D06229" w:rsidRDefault="00A20F50" w:rsidP="00A20F50">
      <w:pPr>
        <w:ind w:left="851"/>
        <w:rPr>
          <w:sz w:val="24"/>
          <w:szCs w:val="24"/>
        </w:rPr>
      </w:pPr>
      <w:r w:rsidRPr="00D06229">
        <w:rPr>
          <w:sz w:val="24"/>
          <w:szCs w:val="24"/>
        </w:rPr>
        <w:t xml:space="preserve">Behandling af kronisk HBV-infektion hos nukleosid-naive børn og unge med kompenseret leversygdom, som har tegn på aktiv virusreplikation og vedvarende forhøjet serum-ALAT eller histologisk påvist moderat til svær inflammation og/eller fibrose. Angående beslutningen om at initiere behandling hos disse </w:t>
      </w:r>
    </w:p>
    <w:p w:rsidR="00A20F50" w:rsidRPr="00D06229" w:rsidRDefault="00A20F50" w:rsidP="00A20F50">
      <w:pPr>
        <w:ind w:left="851"/>
        <w:rPr>
          <w:sz w:val="24"/>
          <w:szCs w:val="24"/>
        </w:rPr>
      </w:pPr>
      <w:r w:rsidRPr="00D06229">
        <w:rPr>
          <w:sz w:val="24"/>
          <w:szCs w:val="24"/>
        </w:rPr>
        <w:t>patienter henvises til pkt. 4.2, 4.4 og 5.1.</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4.2</w:t>
      </w:r>
      <w:r w:rsidRPr="00D06229">
        <w:rPr>
          <w:b/>
          <w:sz w:val="24"/>
          <w:szCs w:val="24"/>
        </w:rPr>
        <w:tab/>
        <w:t>Dosering og indgivelsesmåde</w:t>
      </w:r>
    </w:p>
    <w:p w:rsidR="00A20F50" w:rsidRPr="00D06229" w:rsidRDefault="00A20F50" w:rsidP="00A20F50">
      <w:pPr>
        <w:ind w:left="851"/>
        <w:rPr>
          <w:sz w:val="24"/>
          <w:szCs w:val="24"/>
        </w:rPr>
      </w:pPr>
      <w:r w:rsidRPr="00D06229">
        <w:rPr>
          <w:sz w:val="24"/>
          <w:szCs w:val="24"/>
        </w:rPr>
        <w:t>Behandlingen skal initieres af en læge med erfaring i behandling af kronisk hepatitis B-infektion.</w:t>
      </w:r>
    </w:p>
    <w:p w:rsidR="00A20F50" w:rsidRPr="00D06229" w:rsidRDefault="00A20F50" w:rsidP="00A20F50">
      <w:pPr>
        <w:ind w:left="851"/>
        <w:rPr>
          <w:sz w:val="24"/>
          <w:szCs w:val="24"/>
        </w:rPr>
      </w:pPr>
    </w:p>
    <w:p w:rsidR="00A20F50" w:rsidRPr="00D06229" w:rsidRDefault="00A20F50" w:rsidP="00A20F50">
      <w:pPr>
        <w:ind w:left="851"/>
        <w:rPr>
          <w:b/>
          <w:sz w:val="24"/>
          <w:szCs w:val="24"/>
          <w:u w:val="single"/>
        </w:rPr>
      </w:pPr>
      <w:r w:rsidRPr="00D06229">
        <w:rPr>
          <w:b/>
          <w:sz w:val="24"/>
          <w:szCs w:val="24"/>
          <w:u w:val="single"/>
        </w:rPr>
        <w:t>Dosering</w:t>
      </w:r>
    </w:p>
    <w:p w:rsidR="00A20F50" w:rsidRPr="00D06229" w:rsidRDefault="00A20F50" w:rsidP="00A20F50">
      <w:pPr>
        <w:ind w:left="851"/>
        <w:rPr>
          <w:b/>
          <w:sz w:val="24"/>
          <w:szCs w:val="24"/>
          <w:u w:val="single"/>
        </w:rPr>
      </w:pPr>
    </w:p>
    <w:p w:rsidR="00A20F50" w:rsidRPr="00D06229" w:rsidRDefault="00A20F50" w:rsidP="00A20F50">
      <w:pPr>
        <w:ind w:left="851"/>
        <w:rPr>
          <w:b/>
          <w:sz w:val="24"/>
          <w:szCs w:val="24"/>
        </w:rPr>
      </w:pPr>
      <w:r w:rsidRPr="00D06229">
        <w:rPr>
          <w:b/>
          <w:sz w:val="24"/>
          <w:szCs w:val="24"/>
        </w:rPr>
        <w:t>Voksne</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Kompenseret leversygdom</w:t>
      </w:r>
    </w:p>
    <w:p w:rsidR="00A20F50" w:rsidRPr="00D06229" w:rsidRDefault="00A20F50" w:rsidP="00A20F50">
      <w:pPr>
        <w:ind w:left="851"/>
        <w:rPr>
          <w:i/>
          <w:sz w:val="24"/>
          <w:szCs w:val="24"/>
        </w:rPr>
      </w:pPr>
    </w:p>
    <w:p w:rsidR="00A20F50" w:rsidRPr="00D06229" w:rsidRDefault="00A20F50" w:rsidP="00A20F50">
      <w:pPr>
        <w:ind w:left="851"/>
        <w:rPr>
          <w:i/>
          <w:sz w:val="24"/>
          <w:szCs w:val="24"/>
        </w:rPr>
      </w:pPr>
      <w:r w:rsidRPr="00D06229">
        <w:rPr>
          <w:i/>
          <w:sz w:val="24"/>
          <w:szCs w:val="24"/>
        </w:rPr>
        <w:t>Nukleosid-naive patienter</w:t>
      </w:r>
    </w:p>
    <w:p w:rsidR="00A20F50" w:rsidRPr="00D06229" w:rsidRDefault="00A20F50" w:rsidP="00A20F50">
      <w:pPr>
        <w:ind w:left="851"/>
        <w:rPr>
          <w:sz w:val="24"/>
          <w:szCs w:val="24"/>
        </w:rPr>
      </w:pPr>
      <w:r w:rsidRPr="00D06229">
        <w:rPr>
          <w:sz w:val="24"/>
          <w:szCs w:val="24"/>
        </w:rPr>
        <w:t>Den anbefalede dosis til voksne er 0,5 mg en gang daglig, med eller uden mad.</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i/>
          <w:sz w:val="24"/>
          <w:szCs w:val="24"/>
        </w:rPr>
        <w:t>Lamivudinrefraktære patienter</w:t>
      </w:r>
      <w:r w:rsidRPr="00D06229">
        <w:rPr>
          <w:sz w:val="24"/>
          <w:szCs w:val="24"/>
        </w:rPr>
        <w:t xml:space="preserve"> (dvs. med verificeret viræmi under behandling med lamivudin eller tilstedeværelse af lamivudinresistens-mutationer [LVDr]) (se pkt. 4.4 og 5.1).</w:t>
      </w:r>
    </w:p>
    <w:p w:rsidR="00A20F50" w:rsidRPr="00D06229" w:rsidRDefault="00A20F50" w:rsidP="00A20F50">
      <w:pPr>
        <w:ind w:left="851"/>
        <w:rPr>
          <w:sz w:val="24"/>
          <w:szCs w:val="24"/>
        </w:rPr>
      </w:pPr>
      <w:r w:rsidRPr="00D06229">
        <w:rPr>
          <w:sz w:val="24"/>
          <w:szCs w:val="24"/>
        </w:rPr>
        <w:t>Anbefalet dosis til voksne er 1 mg, en gang daglig, som skal tages på tom mave (mere end 2 timer før og mere end 2 timer efter et måltid) (se pkt. 5.2). Ved tilstedeværelse af LVDr-mutationer bør kombinationsbehandling med entecavir og et andet antiviralt stof (som ikke har krydsresistens over for hverken lamivudin eller entecavir) overvejes frem for</w:t>
      </w:r>
      <w:r w:rsidR="00EE4262">
        <w:rPr>
          <w:sz w:val="24"/>
          <w:szCs w:val="24"/>
        </w:rPr>
        <w:t xml:space="preserve"> </w:t>
      </w:r>
      <w:r w:rsidRPr="00D06229">
        <w:rPr>
          <w:sz w:val="24"/>
          <w:szCs w:val="24"/>
        </w:rPr>
        <w:t>monoterapi med entecavir (se pkt. 4.4).</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Inkompenseret leversygdom</w:t>
      </w:r>
    </w:p>
    <w:p w:rsidR="00A20F50" w:rsidRPr="00D06229" w:rsidRDefault="00A20F50" w:rsidP="00A20F50">
      <w:pPr>
        <w:ind w:left="851"/>
        <w:rPr>
          <w:sz w:val="24"/>
          <w:szCs w:val="24"/>
        </w:rPr>
      </w:pPr>
      <w:r w:rsidRPr="00D06229">
        <w:rPr>
          <w:sz w:val="24"/>
          <w:szCs w:val="24"/>
        </w:rPr>
        <w:t>Den anbefalede dosis til voksne patienter med inkompenseret leversygdom er 1 mg en gang daglig, som skal tages på tom mave (mere end 2 timer før og mere end 2 timer efter et måltid) (se pkt. 5.2).</w:t>
      </w:r>
    </w:p>
    <w:p w:rsidR="00A20F50" w:rsidRPr="00D06229" w:rsidRDefault="00A20F50" w:rsidP="00A20F50">
      <w:pPr>
        <w:ind w:left="851"/>
        <w:rPr>
          <w:sz w:val="24"/>
          <w:szCs w:val="24"/>
        </w:rPr>
      </w:pPr>
      <w:r w:rsidRPr="00D06229">
        <w:rPr>
          <w:sz w:val="24"/>
          <w:szCs w:val="24"/>
        </w:rPr>
        <w:t>Ved patienter med lamivudin-refraktær hepatitis B, se pkt. 4.4 og 5.1.</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lastRenderedPageBreak/>
        <w:t>Behandlingsvarighed</w:t>
      </w:r>
    </w:p>
    <w:p w:rsidR="00A20F50" w:rsidRPr="00D06229" w:rsidRDefault="00A20F50" w:rsidP="00A20F50">
      <w:pPr>
        <w:ind w:left="851"/>
        <w:rPr>
          <w:sz w:val="24"/>
          <w:szCs w:val="24"/>
        </w:rPr>
      </w:pPr>
      <w:r w:rsidRPr="00D06229">
        <w:rPr>
          <w:sz w:val="24"/>
          <w:szCs w:val="24"/>
        </w:rPr>
        <w:t>Den optimale behandlingsvarighed kendes ikke. Seponering af behandling kan overvejes i følgende tilfælde:</w:t>
      </w:r>
    </w:p>
    <w:p w:rsidR="00A20F50" w:rsidRPr="00D06229" w:rsidRDefault="00A20F50" w:rsidP="00A20F50">
      <w:pPr>
        <w:pStyle w:val="Listeafsnit"/>
        <w:numPr>
          <w:ilvl w:val="0"/>
          <w:numId w:val="10"/>
        </w:numPr>
        <w:spacing w:after="0" w:line="240" w:lineRule="auto"/>
        <w:ind w:left="1134" w:hanging="283"/>
        <w:rPr>
          <w:rFonts w:ascii="Times New Roman" w:hAnsi="Times New Roman" w:cs="Times New Roman"/>
          <w:sz w:val="24"/>
          <w:szCs w:val="24"/>
          <w:lang w:val="da-DK"/>
        </w:rPr>
      </w:pPr>
      <w:r w:rsidRPr="00D06229">
        <w:rPr>
          <w:rFonts w:ascii="Times New Roman" w:hAnsi="Times New Roman" w:cs="Times New Roman"/>
          <w:sz w:val="24"/>
          <w:szCs w:val="24"/>
          <w:lang w:val="da-DK"/>
        </w:rPr>
        <w:t>HBeAg-positive voksne patienter skal behandles mindst indtil 12 måneder efter, de har opnået HBe-serokonvertering (tab af HBeAg og HBV-DNA med påvisning af anti-HBe ved 2 på hinanden følgende serumprøver med mindst 3-6 måneders mellemrum) eller indtil HBsserokonvertering, eller indtil behandlingen ikke virker (se pkt. 4.4).</w:t>
      </w:r>
    </w:p>
    <w:p w:rsidR="00A20F50" w:rsidRPr="00D06229" w:rsidRDefault="00A20F50" w:rsidP="00A20F50">
      <w:pPr>
        <w:pStyle w:val="Listeafsnit"/>
        <w:numPr>
          <w:ilvl w:val="0"/>
          <w:numId w:val="10"/>
        </w:numPr>
        <w:spacing w:after="0" w:line="240" w:lineRule="auto"/>
        <w:ind w:left="1134" w:hanging="283"/>
        <w:rPr>
          <w:rFonts w:ascii="Times New Roman" w:hAnsi="Times New Roman" w:cs="Times New Roman"/>
          <w:sz w:val="24"/>
          <w:szCs w:val="24"/>
          <w:lang w:val="da-DK"/>
        </w:rPr>
      </w:pPr>
      <w:r w:rsidRPr="00D06229">
        <w:rPr>
          <w:rFonts w:ascii="Times New Roman" w:hAnsi="Times New Roman" w:cs="Times New Roman"/>
          <w:sz w:val="24"/>
          <w:szCs w:val="24"/>
          <w:lang w:val="da-DK"/>
        </w:rPr>
        <w:t>HBeAg-negative voksne patienter skal behandles mindst indtil HBs-serokonvertering, eller indtil behandlingen ikke virker. Ved længerevarende behandling igennem mere end 2 år, anbefales jævnlige revurderinger med henblik på at bekræfte, at den valgte behandling fortsat er relevant for patienten.</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Hos patienter med inkompenseret leversygdom eller cirrose frarådes seponering af behandlingen.</w:t>
      </w:r>
    </w:p>
    <w:p w:rsidR="00A20F50" w:rsidRPr="00D06229" w:rsidRDefault="00A20F50" w:rsidP="00A20F50">
      <w:pPr>
        <w:ind w:left="851"/>
        <w:rPr>
          <w:sz w:val="24"/>
          <w:szCs w:val="24"/>
        </w:rPr>
      </w:pPr>
    </w:p>
    <w:p w:rsidR="00A20F50" w:rsidRPr="00D06229" w:rsidRDefault="00A20F50" w:rsidP="00A20F50">
      <w:pPr>
        <w:ind w:left="851"/>
        <w:rPr>
          <w:b/>
          <w:sz w:val="24"/>
          <w:szCs w:val="24"/>
        </w:rPr>
      </w:pPr>
      <w:r w:rsidRPr="00D06229">
        <w:rPr>
          <w:b/>
          <w:sz w:val="24"/>
          <w:szCs w:val="24"/>
        </w:rPr>
        <w:t>Pædiatrisk population</w:t>
      </w:r>
    </w:p>
    <w:p w:rsidR="00A20F50" w:rsidRPr="00D06229" w:rsidRDefault="00A20F50" w:rsidP="00A20F50">
      <w:pPr>
        <w:ind w:left="851"/>
        <w:rPr>
          <w:sz w:val="24"/>
          <w:szCs w:val="24"/>
        </w:rPr>
      </w:pPr>
      <w:r w:rsidRPr="00D06229">
        <w:rPr>
          <w:sz w:val="24"/>
          <w:szCs w:val="24"/>
        </w:rPr>
        <w:t>Til passende dosering af børn og unge findes Entecavir "Pharmathen" 0,5 mg filmovertrukne tabletter, og for doser under 0,5 mg kan en oral opløsning være tilgængelig.</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Beslutningen om at behandle pædiatriske patienter bør være baseret på en omhyggelig vurdering af den enkelte patients behov og i henhold til gældende retning</w:t>
      </w:r>
      <w:r w:rsidR="00D06229" w:rsidRPr="00D06229">
        <w:rPr>
          <w:sz w:val="24"/>
          <w:szCs w:val="24"/>
        </w:rPr>
        <w:t>s</w:t>
      </w:r>
      <w:r w:rsidRPr="00D06229">
        <w:rPr>
          <w:sz w:val="24"/>
          <w:szCs w:val="24"/>
        </w:rPr>
        <w:t>linjer for pædiatrisk behandling, herunder histologiske oplysninger ved baseline. Fordelene ved længerevarende virologisk suppression skal afvejes mod risikoen ved langvarig behandling, herunder udvikling af resistent hepatitis B-virus.</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Serum-ALAT skal være vedvarende forhøjet i mindst 6 måneder inden behandling af pædiatriske patienter med kompenseret leversygdom forårsaget af HBeAG-positiv kronisk hepatitis B og i mindst 12 måneder hos patienter med HBeAG-negativ sygdom.</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Pædiatriske patienter med en kropsvægt på mindst 32,6 kg skal have en daglig dosis på en 0,5 mg tablet med eller uden mad. En orale opløsning kan være tilgængelig til patienter med en kropsvægt under 32,6 kg Entecavir "Pharmathen" anbefales ikke til børn, der vejer under 32,6 kg, da passende dosisjustering ikke kan opnås. For disse patienter og for dem, der ikke kan sluge tabletter, kan tilgængeligheden af en entecavir oral opløsning kontrolleres.</w:t>
      </w:r>
    </w:p>
    <w:p w:rsidR="00A20F50" w:rsidRPr="00D06229" w:rsidRDefault="00A20F50" w:rsidP="00A20F50">
      <w:pPr>
        <w:ind w:left="851"/>
        <w:rPr>
          <w:sz w:val="24"/>
          <w:szCs w:val="24"/>
        </w:rPr>
      </w:pPr>
      <w:r w:rsidRPr="00D06229">
        <w:rPr>
          <w:sz w:val="24"/>
          <w:szCs w:val="24"/>
        </w:rPr>
        <w:t>Entecavir bør ikke anvendes til børn under 2 år og vejer mindre end 10 kg, da sikkerhed og virkning ikke er blevet fastslået hos denne population.</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Behandlingsvarighed hos pædiatriske patienter</w:t>
      </w:r>
    </w:p>
    <w:p w:rsidR="00A20F50" w:rsidRPr="00D06229" w:rsidRDefault="00A20F50" w:rsidP="00A20F50">
      <w:pPr>
        <w:ind w:left="851"/>
        <w:rPr>
          <w:sz w:val="24"/>
          <w:szCs w:val="24"/>
        </w:rPr>
      </w:pPr>
      <w:r w:rsidRPr="00D06229">
        <w:rPr>
          <w:sz w:val="24"/>
          <w:szCs w:val="24"/>
        </w:rPr>
        <w:t>Den optimale behandlingsvarighed kendes ikke. I henhold til gældende retningslinjer for pædiatrisk behandling bør seponering af behandlingen overvejes i følgende tilfælde:</w:t>
      </w:r>
    </w:p>
    <w:p w:rsidR="00A20F50" w:rsidRPr="00D06229" w:rsidRDefault="00A20F50" w:rsidP="00A20F50">
      <w:pPr>
        <w:pStyle w:val="Listeafsnit"/>
        <w:numPr>
          <w:ilvl w:val="0"/>
          <w:numId w:val="10"/>
        </w:numPr>
        <w:spacing w:after="0" w:line="240" w:lineRule="auto"/>
        <w:ind w:left="1134" w:hanging="283"/>
        <w:rPr>
          <w:rFonts w:ascii="Times New Roman" w:hAnsi="Times New Roman" w:cs="Times New Roman"/>
          <w:sz w:val="24"/>
          <w:szCs w:val="24"/>
          <w:lang w:val="da-DK"/>
        </w:rPr>
      </w:pPr>
      <w:r w:rsidRPr="00D06229">
        <w:rPr>
          <w:rFonts w:ascii="Times New Roman" w:hAnsi="Times New Roman" w:cs="Times New Roman"/>
          <w:sz w:val="24"/>
          <w:szCs w:val="24"/>
          <w:lang w:val="da-DK"/>
        </w:rPr>
        <w:t>Hos HBeAg-positive pædiatriske patienter bør behandlingen administreres i mindst 12 måneder efter at have opnået ikke-detekterbart HBV-DNA og HBeAg-serokonvertering (tab af HbeAg og anti-HBe-detektion ved 2 på hinanden følgende serumprøver med mindst 3-6 måneders mellemrum) eller indtil HBs-serokonvertering, eller indtil behandlingen ikke virker. SerumALAT og HBV-DNA-niveauer bør følges regelmæssigt efter seponering af behandlingen (se pkt. 4.4).</w:t>
      </w:r>
    </w:p>
    <w:p w:rsidR="00A20F50" w:rsidRPr="00D06229" w:rsidRDefault="00A20F50" w:rsidP="00A20F50">
      <w:pPr>
        <w:pStyle w:val="Listeafsnit"/>
        <w:numPr>
          <w:ilvl w:val="0"/>
          <w:numId w:val="10"/>
        </w:numPr>
        <w:spacing w:after="0" w:line="240" w:lineRule="auto"/>
        <w:ind w:left="1134" w:hanging="283"/>
        <w:rPr>
          <w:rFonts w:ascii="Times New Roman" w:hAnsi="Times New Roman" w:cs="Times New Roman"/>
          <w:sz w:val="24"/>
          <w:szCs w:val="24"/>
          <w:lang w:val="da-DK"/>
        </w:rPr>
      </w:pPr>
      <w:r w:rsidRPr="00D06229">
        <w:rPr>
          <w:rFonts w:ascii="Times New Roman" w:hAnsi="Times New Roman" w:cs="Times New Roman"/>
          <w:sz w:val="24"/>
          <w:szCs w:val="24"/>
          <w:lang w:val="da-DK"/>
        </w:rPr>
        <w:t>Hos HBeAg-negative pædiatriske patienter bør behandlingen administreres indtil HBs-serokonvertering, eller indtil behandlingen ikke virker.</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lastRenderedPageBreak/>
        <w:t>Farmakokinetikken hos pædiatriske patienter med nedsat nyre- eller leverfunktion er ikke undersøgt.</w:t>
      </w:r>
    </w:p>
    <w:p w:rsidR="00A20F50" w:rsidRPr="00D06229" w:rsidRDefault="00A20F50" w:rsidP="00A20F50">
      <w:pPr>
        <w:ind w:left="851"/>
        <w:rPr>
          <w:sz w:val="24"/>
          <w:szCs w:val="24"/>
        </w:rPr>
      </w:pPr>
    </w:p>
    <w:p w:rsidR="00A20F50" w:rsidRPr="00D06229" w:rsidRDefault="00A20F50" w:rsidP="00A20F50">
      <w:pPr>
        <w:ind w:left="851"/>
        <w:rPr>
          <w:b/>
          <w:sz w:val="24"/>
          <w:szCs w:val="24"/>
        </w:rPr>
      </w:pPr>
      <w:r w:rsidRPr="00D06229">
        <w:rPr>
          <w:b/>
          <w:sz w:val="24"/>
          <w:szCs w:val="24"/>
        </w:rPr>
        <w:t>Ældre patienter</w:t>
      </w:r>
    </w:p>
    <w:p w:rsidR="00A20F50" w:rsidRPr="00D06229" w:rsidRDefault="00A20F50" w:rsidP="00A20F50">
      <w:pPr>
        <w:ind w:left="851"/>
        <w:rPr>
          <w:sz w:val="24"/>
          <w:szCs w:val="24"/>
        </w:rPr>
      </w:pPr>
      <w:r w:rsidRPr="00D06229">
        <w:rPr>
          <w:sz w:val="24"/>
          <w:szCs w:val="24"/>
        </w:rPr>
        <w:t>Dosisjustering er ikke nødvendig på baggrund af alder. Dosis skal justeres i</w:t>
      </w:r>
    </w:p>
    <w:p w:rsidR="00A20F50" w:rsidRPr="00D06229" w:rsidRDefault="00A20F50" w:rsidP="00A20F50">
      <w:pPr>
        <w:ind w:left="851"/>
        <w:rPr>
          <w:sz w:val="24"/>
          <w:szCs w:val="24"/>
        </w:rPr>
      </w:pPr>
      <w:r w:rsidRPr="00D06229">
        <w:rPr>
          <w:sz w:val="24"/>
          <w:szCs w:val="24"/>
        </w:rPr>
        <w:t>overens</w:t>
      </w:r>
      <w:r w:rsidR="003D06DC">
        <w:rPr>
          <w:sz w:val="24"/>
          <w:szCs w:val="24"/>
        </w:rPr>
        <w:softHyphen/>
      </w:r>
      <w:r w:rsidRPr="00D06229">
        <w:rPr>
          <w:sz w:val="24"/>
          <w:szCs w:val="24"/>
        </w:rPr>
        <w:t>stemmelse med patientens nyrefunktion (se doseringsanbefalinger ved nyreinsufficiens samt pkt. 5.2).</w:t>
      </w:r>
    </w:p>
    <w:p w:rsidR="00A20F50" w:rsidRPr="00D06229" w:rsidRDefault="00A20F50" w:rsidP="00A20F50">
      <w:pPr>
        <w:ind w:left="851"/>
        <w:rPr>
          <w:sz w:val="24"/>
          <w:szCs w:val="24"/>
        </w:rPr>
      </w:pPr>
    </w:p>
    <w:p w:rsidR="00A20F50" w:rsidRPr="00D06229" w:rsidRDefault="00A20F50" w:rsidP="00A20F50">
      <w:pPr>
        <w:ind w:left="851"/>
        <w:rPr>
          <w:b/>
          <w:sz w:val="24"/>
          <w:szCs w:val="24"/>
        </w:rPr>
      </w:pPr>
      <w:r w:rsidRPr="00D06229">
        <w:rPr>
          <w:b/>
          <w:sz w:val="24"/>
          <w:szCs w:val="24"/>
        </w:rPr>
        <w:t>Køn og race</w:t>
      </w:r>
    </w:p>
    <w:p w:rsidR="00A20F50" w:rsidRPr="00D06229" w:rsidRDefault="00A20F50" w:rsidP="00A20F50">
      <w:pPr>
        <w:ind w:left="851"/>
        <w:rPr>
          <w:sz w:val="24"/>
          <w:szCs w:val="24"/>
        </w:rPr>
      </w:pPr>
      <w:r w:rsidRPr="00D06229">
        <w:rPr>
          <w:sz w:val="24"/>
          <w:szCs w:val="24"/>
        </w:rPr>
        <w:t>Dosisjustering er ikke nødvendig på baggrund af køn eller race.</w:t>
      </w:r>
    </w:p>
    <w:p w:rsidR="00A20F50" w:rsidRPr="00D06229" w:rsidRDefault="00A20F50" w:rsidP="00A20F50">
      <w:pPr>
        <w:ind w:left="851"/>
        <w:rPr>
          <w:sz w:val="24"/>
          <w:szCs w:val="24"/>
        </w:rPr>
      </w:pPr>
    </w:p>
    <w:p w:rsidR="00A20F50" w:rsidRPr="00D06229" w:rsidRDefault="00A20F50" w:rsidP="00A20F50">
      <w:pPr>
        <w:ind w:left="851"/>
        <w:rPr>
          <w:b/>
          <w:sz w:val="24"/>
          <w:szCs w:val="24"/>
        </w:rPr>
      </w:pPr>
      <w:r w:rsidRPr="00D06229">
        <w:rPr>
          <w:b/>
          <w:sz w:val="24"/>
          <w:szCs w:val="24"/>
        </w:rPr>
        <w:t>Nyreinsufficiens</w:t>
      </w:r>
    </w:p>
    <w:p w:rsidR="00A20F50" w:rsidRPr="003D06DC" w:rsidRDefault="00A20F50" w:rsidP="00A20F50">
      <w:pPr>
        <w:ind w:left="851"/>
        <w:rPr>
          <w:sz w:val="24"/>
          <w:szCs w:val="24"/>
        </w:rPr>
      </w:pPr>
      <w:r w:rsidRPr="003D06DC">
        <w:rPr>
          <w:sz w:val="24"/>
          <w:szCs w:val="24"/>
        </w:rPr>
        <w:t>Clearance af entecavir falder med faldende kreatinin-clearance (se pkt. 5.2).</w:t>
      </w:r>
    </w:p>
    <w:p w:rsidR="00A20F50" w:rsidRPr="003D06DC" w:rsidRDefault="00A20F50" w:rsidP="00A20F50">
      <w:pPr>
        <w:ind w:left="851"/>
        <w:rPr>
          <w:sz w:val="24"/>
          <w:szCs w:val="24"/>
        </w:rPr>
      </w:pPr>
      <w:r w:rsidRPr="003D06DC">
        <w:rPr>
          <w:sz w:val="24"/>
          <w:szCs w:val="24"/>
        </w:rPr>
        <w:t>Dosisjustering anbefales hos patienter med kreatinin-clearance &lt; 50 ml/min, inklusive patienter i hæmodialyse eller i vedvarende ambulant peritonealdialyse (CAPD). Det anbefales at reducere daglig dosis af entecavir oral opløsning, som angivet i tabellen. Hvis oral opløsning ikke er tilgængelig, kan dosis alternativt justeres ved at øge dosisintervallet, som vist i tabellen. Hvis passende dosisjustering ikke kan opnås med Entecavir "Pharmathen", kan entecavir oral opløsning kontrolleres for at være tilgængelig. De foreslåede dosisændringer er baserede på en ekstrapolering af begrænsede data, og sikkerhed og effekt af disse er ikke klinisk evalueret. Virologisk respons bør derfor monitoreres omhyggeligt.</w:t>
      </w:r>
    </w:p>
    <w:p w:rsidR="00A20F50" w:rsidRPr="00D06229" w:rsidRDefault="00A20F50" w:rsidP="00A20F50">
      <w:pPr>
        <w:ind w:left="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A20F50" w:rsidRPr="003D06DC" w:rsidTr="003D06DC">
        <w:tc>
          <w:tcPr>
            <w:tcW w:w="1666" w:type="pct"/>
            <w:vMerge w:val="restart"/>
            <w:shd w:val="clear" w:color="auto" w:fill="auto"/>
          </w:tcPr>
          <w:p w:rsidR="00A20F50" w:rsidRPr="003D06DC" w:rsidRDefault="00A20F50" w:rsidP="00B560F0">
            <w:pPr>
              <w:autoSpaceDE w:val="0"/>
              <w:autoSpaceDN w:val="0"/>
              <w:adjustRightInd w:val="0"/>
              <w:ind w:left="171"/>
              <w:rPr>
                <w:b/>
                <w:bCs/>
                <w:sz w:val="22"/>
                <w:szCs w:val="22"/>
                <w:lang w:val="en-GB" w:eastAsia="el-GR"/>
              </w:rPr>
            </w:pPr>
            <w:r w:rsidRPr="003D06DC">
              <w:rPr>
                <w:b/>
                <w:bCs/>
                <w:sz w:val="22"/>
                <w:szCs w:val="22"/>
                <w:lang w:val="en-GB" w:eastAsia="el-GR"/>
              </w:rPr>
              <w:t>Kreatinin-clearance</w:t>
            </w:r>
          </w:p>
          <w:p w:rsidR="00A20F50" w:rsidRPr="003D06DC" w:rsidRDefault="00A20F50" w:rsidP="00B560F0">
            <w:pPr>
              <w:ind w:left="171"/>
              <w:rPr>
                <w:b/>
                <w:sz w:val="22"/>
                <w:szCs w:val="22"/>
                <w:u w:val="single"/>
                <w:lang w:val="en-US"/>
              </w:rPr>
            </w:pPr>
            <w:r w:rsidRPr="003D06DC">
              <w:rPr>
                <w:b/>
                <w:bCs/>
                <w:sz w:val="22"/>
                <w:szCs w:val="22"/>
                <w:lang w:val="en-GB" w:eastAsia="el-GR"/>
              </w:rPr>
              <w:t>(ml/min)</w:t>
            </w:r>
          </w:p>
        </w:tc>
        <w:tc>
          <w:tcPr>
            <w:tcW w:w="3334" w:type="pct"/>
            <w:gridSpan w:val="2"/>
            <w:shd w:val="clear" w:color="auto" w:fill="auto"/>
          </w:tcPr>
          <w:p w:rsidR="00A20F50" w:rsidRPr="003D06DC" w:rsidRDefault="00A20F50" w:rsidP="00B560F0">
            <w:pPr>
              <w:tabs>
                <w:tab w:val="left" w:pos="53"/>
              </w:tabs>
              <w:ind w:left="53"/>
              <w:rPr>
                <w:sz w:val="22"/>
                <w:szCs w:val="22"/>
                <w:u w:val="single"/>
                <w:lang w:val="en-US"/>
              </w:rPr>
            </w:pPr>
            <w:r w:rsidRPr="003D06DC">
              <w:rPr>
                <w:b/>
                <w:bCs/>
                <w:sz w:val="22"/>
                <w:szCs w:val="22"/>
                <w:lang w:val="en-US" w:eastAsia="el-GR"/>
              </w:rPr>
              <w:t>Entecavir "Pharmathen"-dosis٭</w:t>
            </w:r>
          </w:p>
        </w:tc>
      </w:tr>
      <w:tr w:rsidR="00A20F50" w:rsidRPr="003D06DC" w:rsidTr="003D06DC">
        <w:tc>
          <w:tcPr>
            <w:tcW w:w="1666" w:type="pct"/>
            <w:vMerge/>
            <w:shd w:val="clear" w:color="auto" w:fill="auto"/>
            <w:vAlign w:val="center"/>
          </w:tcPr>
          <w:p w:rsidR="00A20F50" w:rsidRPr="003D06DC" w:rsidRDefault="00A20F50" w:rsidP="00B560F0">
            <w:pPr>
              <w:ind w:left="171"/>
              <w:rPr>
                <w:sz w:val="22"/>
                <w:szCs w:val="22"/>
                <w:u w:val="single"/>
                <w:lang w:val="en-US"/>
              </w:rPr>
            </w:pPr>
          </w:p>
        </w:tc>
        <w:tc>
          <w:tcPr>
            <w:tcW w:w="1667" w:type="pct"/>
            <w:shd w:val="clear" w:color="auto" w:fill="auto"/>
            <w:vAlign w:val="center"/>
          </w:tcPr>
          <w:p w:rsidR="00A20F50" w:rsidRPr="003D06DC" w:rsidRDefault="00A20F50" w:rsidP="00B560F0">
            <w:pPr>
              <w:tabs>
                <w:tab w:val="left" w:pos="53"/>
              </w:tabs>
              <w:ind w:left="53"/>
              <w:rPr>
                <w:sz w:val="22"/>
                <w:szCs w:val="22"/>
                <w:u w:val="single"/>
                <w:lang w:val="en-US"/>
              </w:rPr>
            </w:pPr>
            <w:r w:rsidRPr="003D06DC">
              <w:rPr>
                <w:b/>
                <w:bCs/>
                <w:sz w:val="22"/>
                <w:szCs w:val="22"/>
                <w:lang w:val="en-GB" w:eastAsia="el-GR"/>
              </w:rPr>
              <w:t>Nukleosid-naive patienter</w:t>
            </w:r>
          </w:p>
        </w:tc>
        <w:tc>
          <w:tcPr>
            <w:tcW w:w="1667" w:type="pct"/>
            <w:shd w:val="clear" w:color="auto" w:fill="auto"/>
            <w:vAlign w:val="center"/>
          </w:tcPr>
          <w:p w:rsidR="00A20F50" w:rsidRPr="003D06DC" w:rsidRDefault="00A20F50" w:rsidP="00B560F0">
            <w:pPr>
              <w:tabs>
                <w:tab w:val="left" w:pos="53"/>
              </w:tabs>
              <w:autoSpaceDE w:val="0"/>
              <w:autoSpaceDN w:val="0"/>
              <w:adjustRightInd w:val="0"/>
              <w:ind w:left="53"/>
              <w:rPr>
                <w:b/>
                <w:bCs/>
                <w:sz w:val="22"/>
                <w:szCs w:val="22"/>
                <w:lang w:eastAsia="el-GR"/>
              </w:rPr>
            </w:pPr>
            <w:r w:rsidRPr="003D06DC">
              <w:rPr>
                <w:b/>
                <w:bCs/>
                <w:sz w:val="22"/>
                <w:szCs w:val="22"/>
                <w:lang w:eastAsia="el-GR"/>
              </w:rPr>
              <w:t>Lamivudin-refraktære</w:t>
            </w:r>
          </w:p>
          <w:p w:rsidR="00A20F50" w:rsidRPr="003D06DC" w:rsidRDefault="00A20F50" w:rsidP="00B560F0">
            <w:pPr>
              <w:tabs>
                <w:tab w:val="left" w:pos="53"/>
              </w:tabs>
              <w:autoSpaceDE w:val="0"/>
              <w:autoSpaceDN w:val="0"/>
              <w:adjustRightInd w:val="0"/>
              <w:ind w:left="53"/>
              <w:rPr>
                <w:sz w:val="22"/>
                <w:szCs w:val="22"/>
                <w:u w:val="single"/>
              </w:rPr>
            </w:pPr>
            <w:r w:rsidRPr="003D06DC">
              <w:rPr>
                <w:b/>
                <w:bCs/>
                <w:sz w:val="22"/>
                <w:szCs w:val="22"/>
                <w:lang w:eastAsia="el-GR"/>
              </w:rPr>
              <w:t>patienter eller patienter med inkompenseret leversygdom</w:t>
            </w:r>
          </w:p>
        </w:tc>
      </w:tr>
      <w:tr w:rsidR="00A20F50" w:rsidRPr="003D06DC" w:rsidTr="003D06DC">
        <w:tc>
          <w:tcPr>
            <w:tcW w:w="1666" w:type="pct"/>
            <w:shd w:val="clear" w:color="auto" w:fill="auto"/>
            <w:vAlign w:val="center"/>
          </w:tcPr>
          <w:p w:rsidR="00A20F50" w:rsidRPr="003D06DC" w:rsidRDefault="00A20F50" w:rsidP="00B560F0">
            <w:pPr>
              <w:ind w:left="171"/>
              <w:rPr>
                <w:sz w:val="22"/>
                <w:szCs w:val="22"/>
                <w:u w:val="single"/>
                <w:lang w:val="en-US"/>
              </w:rPr>
            </w:pPr>
            <w:r w:rsidRPr="003D06DC">
              <w:rPr>
                <w:sz w:val="22"/>
                <w:szCs w:val="22"/>
                <w:lang w:val="en-GB" w:eastAsia="el-GR"/>
              </w:rPr>
              <w:t>≥ 50</w:t>
            </w:r>
          </w:p>
        </w:tc>
        <w:tc>
          <w:tcPr>
            <w:tcW w:w="1667" w:type="pct"/>
            <w:shd w:val="clear" w:color="auto" w:fill="auto"/>
            <w:vAlign w:val="center"/>
          </w:tcPr>
          <w:p w:rsidR="00A20F50" w:rsidRPr="003D06DC" w:rsidRDefault="00A20F50" w:rsidP="00B560F0">
            <w:pPr>
              <w:tabs>
                <w:tab w:val="left" w:pos="53"/>
              </w:tabs>
              <w:ind w:left="53"/>
              <w:rPr>
                <w:sz w:val="22"/>
                <w:szCs w:val="22"/>
                <w:u w:val="single"/>
                <w:lang w:val="en-US"/>
              </w:rPr>
            </w:pPr>
            <w:r w:rsidRPr="003D06DC">
              <w:rPr>
                <w:sz w:val="22"/>
                <w:szCs w:val="22"/>
                <w:lang w:val="en-GB" w:eastAsia="el-GR"/>
              </w:rPr>
              <w:t>0,5 mg en gang daglig</w:t>
            </w:r>
          </w:p>
        </w:tc>
        <w:tc>
          <w:tcPr>
            <w:tcW w:w="1667" w:type="pct"/>
            <w:shd w:val="clear" w:color="auto" w:fill="auto"/>
            <w:vAlign w:val="center"/>
          </w:tcPr>
          <w:p w:rsidR="00A20F50" w:rsidRPr="003D06DC" w:rsidRDefault="00A20F50" w:rsidP="00B560F0">
            <w:pPr>
              <w:tabs>
                <w:tab w:val="left" w:pos="53"/>
              </w:tabs>
              <w:ind w:left="53"/>
              <w:rPr>
                <w:sz w:val="22"/>
                <w:szCs w:val="22"/>
                <w:u w:val="single"/>
              </w:rPr>
            </w:pPr>
            <w:r w:rsidRPr="003D06DC">
              <w:rPr>
                <w:sz w:val="22"/>
                <w:szCs w:val="22"/>
                <w:lang w:eastAsia="el-GR"/>
              </w:rPr>
              <w:t>1 mg en gang daglig</w:t>
            </w:r>
          </w:p>
        </w:tc>
      </w:tr>
      <w:tr w:rsidR="00A20F50" w:rsidRPr="003D06DC" w:rsidTr="003D06DC">
        <w:tc>
          <w:tcPr>
            <w:tcW w:w="1666" w:type="pct"/>
            <w:shd w:val="clear" w:color="auto" w:fill="auto"/>
            <w:vAlign w:val="center"/>
          </w:tcPr>
          <w:p w:rsidR="00A20F50" w:rsidRPr="003D06DC" w:rsidRDefault="00A20F50" w:rsidP="00B560F0">
            <w:pPr>
              <w:ind w:left="171"/>
              <w:rPr>
                <w:sz w:val="22"/>
                <w:szCs w:val="22"/>
                <w:u w:val="single"/>
                <w:lang w:val="en-US"/>
              </w:rPr>
            </w:pPr>
            <w:r w:rsidRPr="003D06DC">
              <w:rPr>
                <w:sz w:val="22"/>
                <w:szCs w:val="22"/>
                <w:lang w:val="en-GB" w:eastAsia="el-GR"/>
              </w:rPr>
              <w:t>30 - 49</w:t>
            </w:r>
          </w:p>
        </w:tc>
        <w:tc>
          <w:tcPr>
            <w:tcW w:w="1667" w:type="pct"/>
            <w:shd w:val="clear" w:color="auto" w:fill="auto"/>
            <w:vAlign w:val="center"/>
          </w:tcPr>
          <w:p w:rsidR="00A20F50" w:rsidRPr="003D06DC" w:rsidRDefault="00A20F50" w:rsidP="00B560F0">
            <w:pPr>
              <w:tabs>
                <w:tab w:val="left" w:pos="53"/>
              </w:tabs>
              <w:ind w:left="53"/>
              <w:rPr>
                <w:sz w:val="22"/>
                <w:szCs w:val="22"/>
                <w:lang w:eastAsia="el-GR"/>
              </w:rPr>
            </w:pPr>
            <w:r w:rsidRPr="003D06DC">
              <w:rPr>
                <w:sz w:val="22"/>
                <w:szCs w:val="22"/>
                <w:lang w:eastAsia="el-GR"/>
              </w:rPr>
              <w:t>0,25 mg en gang daglig *</w:t>
            </w:r>
          </w:p>
          <w:p w:rsidR="00A20F50" w:rsidRPr="003D06DC" w:rsidRDefault="00A20F50" w:rsidP="00B560F0">
            <w:pPr>
              <w:tabs>
                <w:tab w:val="left" w:pos="53"/>
              </w:tabs>
              <w:ind w:left="53"/>
              <w:rPr>
                <w:sz w:val="22"/>
                <w:szCs w:val="22"/>
                <w:lang w:eastAsia="el-GR"/>
              </w:rPr>
            </w:pPr>
            <w:r w:rsidRPr="003D06DC">
              <w:rPr>
                <w:sz w:val="22"/>
                <w:szCs w:val="22"/>
                <w:lang w:eastAsia="el-GR"/>
              </w:rPr>
              <w:t>ELLER</w:t>
            </w:r>
          </w:p>
          <w:p w:rsidR="00A20F50" w:rsidRPr="003D06DC" w:rsidRDefault="00A20F50" w:rsidP="00B560F0">
            <w:pPr>
              <w:tabs>
                <w:tab w:val="left" w:pos="53"/>
              </w:tabs>
              <w:ind w:left="53"/>
              <w:rPr>
                <w:sz w:val="22"/>
                <w:szCs w:val="22"/>
                <w:u w:val="single"/>
              </w:rPr>
            </w:pPr>
            <w:r w:rsidRPr="003D06DC">
              <w:rPr>
                <w:sz w:val="22"/>
                <w:szCs w:val="22"/>
                <w:lang w:eastAsia="el-GR"/>
              </w:rPr>
              <w:t>0,5 mg hver 48. time</w:t>
            </w:r>
          </w:p>
        </w:tc>
        <w:tc>
          <w:tcPr>
            <w:tcW w:w="1667" w:type="pct"/>
            <w:shd w:val="clear" w:color="auto" w:fill="auto"/>
            <w:vAlign w:val="center"/>
          </w:tcPr>
          <w:p w:rsidR="00A20F50" w:rsidRPr="003D06DC" w:rsidRDefault="00A20F50" w:rsidP="00B560F0">
            <w:pPr>
              <w:tabs>
                <w:tab w:val="left" w:pos="53"/>
              </w:tabs>
              <w:ind w:left="53"/>
              <w:rPr>
                <w:sz w:val="22"/>
                <w:szCs w:val="22"/>
                <w:u w:val="single"/>
                <w:lang w:val="en-US"/>
              </w:rPr>
            </w:pPr>
            <w:r w:rsidRPr="003D06DC">
              <w:rPr>
                <w:sz w:val="22"/>
                <w:szCs w:val="22"/>
                <w:lang w:val="en-GB" w:eastAsia="el-GR"/>
              </w:rPr>
              <w:t>0,5 mg</w:t>
            </w:r>
          </w:p>
        </w:tc>
      </w:tr>
      <w:tr w:rsidR="00A20F50" w:rsidRPr="003D06DC" w:rsidTr="003D06DC">
        <w:tc>
          <w:tcPr>
            <w:tcW w:w="1666" w:type="pct"/>
            <w:shd w:val="clear" w:color="auto" w:fill="auto"/>
            <w:vAlign w:val="center"/>
          </w:tcPr>
          <w:p w:rsidR="00A20F50" w:rsidRPr="003D06DC" w:rsidRDefault="00A20F50" w:rsidP="00B560F0">
            <w:pPr>
              <w:ind w:left="171"/>
              <w:rPr>
                <w:sz w:val="22"/>
                <w:szCs w:val="22"/>
                <w:u w:val="single"/>
                <w:lang w:val="en-US"/>
              </w:rPr>
            </w:pPr>
            <w:r w:rsidRPr="003D06DC">
              <w:rPr>
                <w:sz w:val="22"/>
                <w:szCs w:val="22"/>
                <w:lang w:val="en-GB" w:eastAsia="el-GR"/>
              </w:rPr>
              <w:t>10 - 29</w:t>
            </w:r>
          </w:p>
        </w:tc>
        <w:tc>
          <w:tcPr>
            <w:tcW w:w="1667" w:type="pct"/>
            <w:shd w:val="clear" w:color="auto" w:fill="auto"/>
            <w:vAlign w:val="center"/>
          </w:tcPr>
          <w:p w:rsidR="00A20F50" w:rsidRPr="003D06DC" w:rsidRDefault="00A20F50" w:rsidP="00B560F0">
            <w:pPr>
              <w:tabs>
                <w:tab w:val="left" w:pos="53"/>
              </w:tabs>
              <w:ind w:left="53"/>
              <w:rPr>
                <w:sz w:val="22"/>
                <w:szCs w:val="22"/>
                <w:lang w:eastAsia="el-GR"/>
              </w:rPr>
            </w:pPr>
            <w:r w:rsidRPr="003D06DC">
              <w:rPr>
                <w:sz w:val="22"/>
                <w:szCs w:val="22"/>
                <w:lang w:eastAsia="el-GR"/>
              </w:rPr>
              <w:t xml:space="preserve">0,15 mg </w:t>
            </w:r>
            <w:r w:rsidRPr="003D06DC">
              <w:rPr>
                <w:sz w:val="22"/>
                <w:szCs w:val="22"/>
              </w:rPr>
              <w:t>en gang daglig</w:t>
            </w:r>
            <w:r w:rsidRPr="003D06DC">
              <w:rPr>
                <w:sz w:val="22"/>
                <w:szCs w:val="22"/>
                <w:lang w:eastAsia="el-GR"/>
              </w:rPr>
              <w:t xml:space="preserve"> *</w:t>
            </w:r>
          </w:p>
          <w:p w:rsidR="00A20F50" w:rsidRPr="003D06DC" w:rsidRDefault="00A20F50" w:rsidP="00B560F0">
            <w:pPr>
              <w:tabs>
                <w:tab w:val="left" w:pos="53"/>
              </w:tabs>
              <w:ind w:left="53"/>
              <w:rPr>
                <w:sz w:val="22"/>
                <w:szCs w:val="22"/>
                <w:lang w:eastAsia="el-GR"/>
              </w:rPr>
            </w:pPr>
            <w:r w:rsidRPr="003D06DC">
              <w:rPr>
                <w:sz w:val="22"/>
                <w:szCs w:val="22"/>
                <w:lang w:eastAsia="el-GR"/>
              </w:rPr>
              <w:t>ELLER</w:t>
            </w:r>
          </w:p>
          <w:p w:rsidR="00A20F50" w:rsidRPr="003D06DC" w:rsidRDefault="00A20F50" w:rsidP="00B560F0">
            <w:pPr>
              <w:tabs>
                <w:tab w:val="left" w:pos="53"/>
              </w:tabs>
              <w:ind w:left="53"/>
              <w:rPr>
                <w:sz w:val="22"/>
                <w:szCs w:val="22"/>
                <w:u w:val="single"/>
              </w:rPr>
            </w:pPr>
            <w:r w:rsidRPr="003D06DC">
              <w:rPr>
                <w:sz w:val="22"/>
                <w:szCs w:val="22"/>
                <w:lang w:eastAsia="el-GR"/>
              </w:rPr>
              <w:t xml:space="preserve">0,5 mg </w:t>
            </w:r>
            <w:r w:rsidRPr="003D06DC">
              <w:rPr>
                <w:sz w:val="22"/>
                <w:szCs w:val="22"/>
              </w:rPr>
              <w:t>hver 72. time</w:t>
            </w:r>
          </w:p>
        </w:tc>
        <w:tc>
          <w:tcPr>
            <w:tcW w:w="1667" w:type="pct"/>
            <w:shd w:val="clear" w:color="auto" w:fill="auto"/>
            <w:vAlign w:val="center"/>
          </w:tcPr>
          <w:p w:rsidR="00A20F50" w:rsidRPr="003D06DC" w:rsidRDefault="00A20F50" w:rsidP="00B560F0">
            <w:pPr>
              <w:tabs>
                <w:tab w:val="left" w:pos="53"/>
              </w:tabs>
              <w:ind w:left="53"/>
              <w:rPr>
                <w:sz w:val="22"/>
                <w:szCs w:val="22"/>
                <w:lang w:eastAsia="el-GR"/>
              </w:rPr>
            </w:pPr>
            <w:r w:rsidRPr="003D06DC">
              <w:rPr>
                <w:sz w:val="22"/>
                <w:szCs w:val="22"/>
                <w:lang w:eastAsia="el-GR"/>
              </w:rPr>
              <w:t xml:space="preserve">0,3 mg </w:t>
            </w:r>
            <w:r w:rsidRPr="003D06DC">
              <w:rPr>
                <w:sz w:val="22"/>
                <w:szCs w:val="22"/>
              </w:rPr>
              <w:t>en gang daglig</w:t>
            </w:r>
            <w:r w:rsidRPr="003D06DC">
              <w:rPr>
                <w:sz w:val="22"/>
                <w:szCs w:val="22"/>
                <w:lang w:eastAsia="el-GR"/>
              </w:rPr>
              <w:t xml:space="preserve"> *</w:t>
            </w:r>
          </w:p>
          <w:p w:rsidR="00A20F50" w:rsidRPr="003D06DC" w:rsidRDefault="00A20F50" w:rsidP="00B560F0">
            <w:pPr>
              <w:tabs>
                <w:tab w:val="left" w:pos="53"/>
              </w:tabs>
              <w:ind w:left="53"/>
              <w:rPr>
                <w:sz w:val="22"/>
                <w:szCs w:val="22"/>
                <w:lang w:eastAsia="el-GR"/>
              </w:rPr>
            </w:pPr>
            <w:r w:rsidRPr="003D06DC">
              <w:rPr>
                <w:sz w:val="22"/>
                <w:szCs w:val="22"/>
                <w:lang w:eastAsia="el-GR"/>
              </w:rPr>
              <w:t>ELLER</w:t>
            </w:r>
          </w:p>
          <w:p w:rsidR="00A20F50" w:rsidRPr="003D06DC" w:rsidRDefault="00A20F50" w:rsidP="00B560F0">
            <w:pPr>
              <w:tabs>
                <w:tab w:val="left" w:pos="53"/>
              </w:tabs>
              <w:ind w:left="53"/>
              <w:rPr>
                <w:sz w:val="22"/>
                <w:szCs w:val="22"/>
                <w:u w:val="single"/>
              </w:rPr>
            </w:pPr>
            <w:r w:rsidRPr="003D06DC">
              <w:rPr>
                <w:sz w:val="22"/>
                <w:szCs w:val="22"/>
                <w:lang w:eastAsia="el-GR"/>
              </w:rPr>
              <w:t>0,5 mg hver 48. time</w:t>
            </w:r>
          </w:p>
        </w:tc>
      </w:tr>
      <w:tr w:rsidR="00A20F50" w:rsidRPr="003D06DC" w:rsidTr="003D06DC">
        <w:tc>
          <w:tcPr>
            <w:tcW w:w="1666" w:type="pct"/>
            <w:shd w:val="clear" w:color="auto" w:fill="auto"/>
            <w:vAlign w:val="center"/>
          </w:tcPr>
          <w:p w:rsidR="00A20F50" w:rsidRPr="003D06DC" w:rsidRDefault="00A20F50" w:rsidP="00B560F0">
            <w:pPr>
              <w:autoSpaceDE w:val="0"/>
              <w:autoSpaceDN w:val="0"/>
              <w:adjustRightInd w:val="0"/>
              <w:ind w:left="171"/>
              <w:rPr>
                <w:sz w:val="22"/>
                <w:szCs w:val="22"/>
                <w:lang w:val="en-GB" w:eastAsia="el-GR"/>
              </w:rPr>
            </w:pPr>
            <w:r w:rsidRPr="003D06DC">
              <w:rPr>
                <w:sz w:val="22"/>
                <w:szCs w:val="22"/>
                <w:lang w:val="en-GB" w:eastAsia="el-GR"/>
              </w:rPr>
              <w:t>&lt; 10</w:t>
            </w:r>
          </w:p>
          <w:p w:rsidR="00A20F50" w:rsidRPr="003D06DC" w:rsidRDefault="00A20F50" w:rsidP="00B560F0">
            <w:pPr>
              <w:ind w:left="171"/>
              <w:rPr>
                <w:sz w:val="22"/>
                <w:szCs w:val="22"/>
                <w:lang w:val="en-GB" w:eastAsia="el-GR"/>
              </w:rPr>
            </w:pPr>
            <w:r w:rsidRPr="003D06DC">
              <w:rPr>
                <w:sz w:val="22"/>
                <w:szCs w:val="22"/>
                <w:lang w:val="en-GB" w:eastAsia="el-GR"/>
              </w:rPr>
              <w:t>Hæmodialyse eller</w:t>
            </w:r>
          </w:p>
          <w:p w:rsidR="00A20F50" w:rsidRPr="003D06DC" w:rsidRDefault="00A20F50" w:rsidP="00B560F0">
            <w:pPr>
              <w:ind w:left="171"/>
              <w:rPr>
                <w:sz w:val="22"/>
                <w:szCs w:val="22"/>
                <w:u w:val="single"/>
                <w:lang w:val="en-US"/>
              </w:rPr>
            </w:pPr>
            <w:r w:rsidRPr="003D06DC">
              <w:rPr>
                <w:sz w:val="22"/>
                <w:szCs w:val="22"/>
                <w:lang w:val="en-GB" w:eastAsia="el-GR"/>
              </w:rPr>
              <w:t>CAPD**</w:t>
            </w:r>
          </w:p>
        </w:tc>
        <w:tc>
          <w:tcPr>
            <w:tcW w:w="1667" w:type="pct"/>
            <w:shd w:val="clear" w:color="auto" w:fill="auto"/>
            <w:vAlign w:val="center"/>
          </w:tcPr>
          <w:p w:rsidR="00A20F50" w:rsidRPr="003D06DC" w:rsidRDefault="00A20F50" w:rsidP="00B560F0">
            <w:pPr>
              <w:tabs>
                <w:tab w:val="left" w:pos="53"/>
              </w:tabs>
              <w:ind w:left="53"/>
              <w:rPr>
                <w:sz w:val="22"/>
                <w:szCs w:val="22"/>
                <w:lang w:eastAsia="el-GR"/>
              </w:rPr>
            </w:pPr>
            <w:r w:rsidRPr="003D06DC">
              <w:rPr>
                <w:sz w:val="22"/>
                <w:szCs w:val="22"/>
                <w:lang w:eastAsia="el-GR"/>
              </w:rPr>
              <w:t>0,05 mg en gang daglig *</w:t>
            </w:r>
          </w:p>
          <w:p w:rsidR="00A20F50" w:rsidRPr="003D06DC" w:rsidRDefault="00A20F50" w:rsidP="00B560F0">
            <w:pPr>
              <w:tabs>
                <w:tab w:val="left" w:pos="53"/>
              </w:tabs>
              <w:ind w:left="53"/>
              <w:rPr>
                <w:sz w:val="22"/>
                <w:szCs w:val="22"/>
                <w:lang w:eastAsia="el-GR"/>
              </w:rPr>
            </w:pPr>
            <w:r w:rsidRPr="003D06DC">
              <w:rPr>
                <w:sz w:val="22"/>
                <w:szCs w:val="22"/>
                <w:lang w:eastAsia="el-GR"/>
              </w:rPr>
              <w:t>ELLER</w:t>
            </w:r>
          </w:p>
          <w:p w:rsidR="00A20F50" w:rsidRPr="003D06DC" w:rsidRDefault="00A20F50" w:rsidP="00B560F0">
            <w:pPr>
              <w:tabs>
                <w:tab w:val="left" w:pos="53"/>
              </w:tabs>
              <w:ind w:left="53"/>
              <w:rPr>
                <w:sz w:val="22"/>
                <w:szCs w:val="22"/>
                <w:u w:val="single"/>
              </w:rPr>
            </w:pPr>
            <w:r w:rsidRPr="003D06DC">
              <w:rPr>
                <w:sz w:val="22"/>
                <w:szCs w:val="22"/>
                <w:lang w:eastAsia="el-GR"/>
              </w:rPr>
              <w:t>0,5 mg hver 5.-7. dag</w:t>
            </w:r>
          </w:p>
        </w:tc>
        <w:tc>
          <w:tcPr>
            <w:tcW w:w="1667" w:type="pct"/>
            <w:shd w:val="clear" w:color="auto" w:fill="auto"/>
            <w:vAlign w:val="center"/>
          </w:tcPr>
          <w:p w:rsidR="00A20F50" w:rsidRPr="003D06DC" w:rsidRDefault="00A20F50" w:rsidP="00B560F0">
            <w:pPr>
              <w:tabs>
                <w:tab w:val="left" w:pos="53"/>
              </w:tabs>
              <w:autoSpaceDE w:val="0"/>
              <w:autoSpaceDN w:val="0"/>
              <w:adjustRightInd w:val="0"/>
              <w:ind w:left="53"/>
              <w:rPr>
                <w:sz w:val="22"/>
                <w:szCs w:val="22"/>
                <w:lang w:eastAsia="el-GR"/>
              </w:rPr>
            </w:pPr>
            <w:r w:rsidRPr="003D06DC">
              <w:rPr>
                <w:sz w:val="22"/>
                <w:szCs w:val="22"/>
                <w:lang w:eastAsia="el-GR"/>
              </w:rPr>
              <w:t>0,1 mg en gang daglig*</w:t>
            </w:r>
          </w:p>
          <w:p w:rsidR="00A20F50" w:rsidRPr="003D06DC" w:rsidRDefault="00A20F50" w:rsidP="00B560F0">
            <w:pPr>
              <w:tabs>
                <w:tab w:val="left" w:pos="53"/>
              </w:tabs>
              <w:autoSpaceDE w:val="0"/>
              <w:autoSpaceDN w:val="0"/>
              <w:adjustRightInd w:val="0"/>
              <w:ind w:left="53"/>
              <w:rPr>
                <w:sz w:val="22"/>
                <w:szCs w:val="22"/>
                <w:lang w:eastAsia="el-GR"/>
              </w:rPr>
            </w:pPr>
            <w:r w:rsidRPr="003D06DC">
              <w:rPr>
                <w:sz w:val="22"/>
                <w:szCs w:val="22"/>
                <w:lang w:eastAsia="el-GR"/>
              </w:rPr>
              <w:t>ELLER</w:t>
            </w:r>
          </w:p>
          <w:p w:rsidR="00A20F50" w:rsidRPr="003D06DC" w:rsidRDefault="00A20F50" w:rsidP="00B560F0">
            <w:pPr>
              <w:tabs>
                <w:tab w:val="left" w:pos="53"/>
              </w:tabs>
              <w:autoSpaceDE w:val="0"/>
              <w:autoSpaceDN w:val="0"/>
              <w:adjustRightInd w:val="0"/>
              <w:ind w:left="53"/>
              <w:rPr>
                <w:sz w:val="22"/>
                <w:szCs w:val="22"/>
                <w:u w:val="single"/>
              </w:rPr>
            </w:pPr>
            <w:r w:rsidRPr="003D06DC">
              <w:rPr>
                <w:sz w:val="22"/>
                <w:szCs w:val="22"/>
                <w:lang w:eastAsia="el-GR"/>
              </w:rPr>
              <w:t>0,5 mg hver 72. time</w:t>
            </w:r>
          </w:p>
        </w:tc>
      </w:tr>
    </w:tbl>
    <w:p w:rsidR="00A20F50" w:rsidRPr="00D06229" w:rsidRDefault="00A20F50" w:rsidP="003D06DC">
      <w:pPr>
        <w:rPr>
          <w:sz w:val="24"/>
          <w:szCs w:val="24"/>
        </w:rPr>
      </w:pPr>
      <w:r w:rsidRPr="00D06229">
        <w:rPr>
          <w:sz w:val="24"/>
          <w:szCs w:val="24"/>
        </w:rPr>
        <w:t>* ved doser &lt; 0,5 mg entecavir, entecavir anbefales oral opløsning.</w:t>
      </w:r>
    </w:p>
    <w:p w:rsidR="00A20F50" w:rsidRPr="00D06229" w:rsidRDefault="00A20F50" w:rsidP="003D06DC">
      <w:pPr>
        <w:rPr>
          <w:sz w:val="24"/>
          <w:szCs w:val="24"/>
        </w:rPr>
      </w:pPr>
      <w:r w:rsidRPr="00D06229">
        <w:rPr>
          <w:sz w:val="24"/>
          <w:szCs w:val="24"/>
        </w:rPr>
        <w:t>** på hæmodialysedage administreres entecavir efter hæmodialysen.</w:t>
      </w:r>
    </w:p>
    <w:p w:rsidR="00A20F50" w:rsidRPr="00D06229" w:rsidRDefault="00A20F50" w:rsidP="00A20F50">
      <w:pPr>
        <w:ind w:left="851"/>
        <w:rPr>
          <w:sz w:val="24"/>
          <w:szCs w:val="24"/>
        </w:rPr>
      </w:pPr>
    </w:p>
    <w:p w:rsidR="00A20F50" w:rsidRPr="00D06229" w:rsidRDefault="00A20F50" w:rsidP="00A20F50">
      <w:pPr>
        <w:ind w:left="851"/>
        <w:rPr>
          <w:b/>
          <w:sz w:val="24"/>
          <w:szCs w:val="24"/>
        </w:rPr>
      </w:pPr>
      <w:r w:rsidRPr="00D06229">
        <w:rPr>
          <w:b/>
          <w:sz w:val="24"/>
          <w:szCs w:val="24"/>
        </w:rPr>
        <w:t>Leverinsufficiens</w:t>
      </w:r>
    </w:p>
    <w:p w:rsidR="00A20F50" w:rsidRPr="00D06229" w:rsidRDefault="00A20F50" w:rsidP="00A20F50">
      <w:pPr>
        <w:ind w:left="851"/>
        <w:rPr>
          <w:sz w:val="24"/>
          <w:szCs w:val="24"/>
        </w:rPr>
      </w:pPr>
      <w:r w:rsidRPr="00D06229">
        <w:rPr>
          <w:sz w:val="24"/>
          <w:szCs w:val="24"/>
        </w:rPr>
        <w:t>Dosisjustering er ikke nødvendig hos patienter med leverinsufficiens.</w:t>
      </w:r>
    </w:p>
    <w:p w:rsidR="00A20F50" w:rsidRPr="00D06229" w:rsidRDefault="00A20F50" w:rsidP="00A20F50">
      <w:pPr>
        <w:ind w:left="851"/>
        <w:rPr>
          <w:sz w:val="24"/>
          <w:szCs w:val="24"/>
        </w:rPr>
      </w:pPr>
    </w:p>
    <w:p w:rsidR="00A20F50" w:rsidRPr="00D06229" w:rsidRDefault="00A20F50" w:rsidP="00A20F50">
      <w:pPr>
        <w:ind w:left="851"/>
        <w:rPr>
          <w:b/>
          <w:sz w:val="24"/>
          <w:szCs w:val="24"/>
          <w:u w:val="single"/>
        </w:rPr>
      </w:pPr>
      <w:r w:rsidRPr="00D06229">
        <w:rPr>
          <w:b/>
          <w:sz w:val="24"/>
          <w:szCs w:val="24"/>
          <w:u w:val="single"/>
        </w:rPr>
        <w:t>Administration</w:t>
      </w:r>
    </w:p>
    <w:p w:rsidR="00A20F50" w:rsidRPr="00D06229" w:rsidRDefault="00A20F50" w:rsidP="00A20F50">
      <w:pPr>
        <w:ind w:left="851"/>
        <w:rPr>
          <w:sz w:val="24"/>
          <w:szCs w:val="24"/>
        </w:rPr>
      </w:pPr>
      <w:r w:rsidRPr="00D06229">
        <w:rPr>
          <w:sz w:val="24"/>
          <w:szCs w:val="24"/>
        </w:rPr>
        <w:t>Oral anvendelse.</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4.3</w:t>
      </w:r>
      <w:r w:rsidRPr="00D06229">
        <w:rPr>
          <w:b/>
          <w:sz w:val="24"/>
          <w:szCs w:val="24"/>
        </w:rPr>
        <w:tab/>
        <w:t>Kontraindikationer</w:t>
      </w:r>
    </w:p>
    <w:p w:rsidR="00A20F50" w:rsidRPr="00D06229" w:rsidRDefault="00A20F50" w:rsidP="00A20F50">
      <w:pPr>
        <w:ind w:left="851"/>
        <w:rPr>
          <w:sz w:val="24"/>
          <w:szCs w:val="24"/>
        </w:rPr>
      </w:pPr>
      <w:r w:rsidRPr="00D06229">
        <w:rPr>
          <w:sz w:val="24"/>
          <w:szCs w:val="24"/>
        </w:rPr>
        <w:t>Overfølsomhed over for det aktive stof eller over for et eller flere af hjælpestofferne anført i pkt. 6.1.</w:t>
      </w:r>
    </w:p>
    <w:p w:rsidR="003D06DC" w:rsidRDefault="003D06DC">
      <w:pPr>
        <w:rPr>
          <w:sz w:val="24"/>
          <w:szCs w:val="24"/>
        </w:rPr>
      </w:pPr>
      <w:r>
        <w:rPr>
          <w:sz w:val="24"/>
          <w:szCs w:val="24"/>
        </w:rPr>
        <w:br w:type="page"/>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4.4</w:t>
      </w:r>
      <w:r w:rsidRPr="00D06229">
        <w:rPr>
          <w:b/>
          <w:sz w:val="24"/>
          <w:szCs w:val="24"/>
        </w:rPr>
        <w:tab/>
        <w:t>Særlige advarsler og forsigtighedsregler vedrørende brugen</w:t>
      </w:r>
    </w:p>
    <w:p w:rsidR="00A20F50" w:rsidRPr="00D06229" w:rsidRDefault="00A20F50" w:rsidP="00A20F50">
      <w:pPr>
        <w:ind w:left="851"/>
        <w:rPr>
          <w:i/>
          <w:sz w:val="24"/>
          <w:szCs w:val="24"/>
        </w:rPr>
      </w:pPr>
    </w:p>
    <w:p w:rsidR="00A20F50" w:rsidRPr="00D06229" w:rsidRDefault="00A20F50" w:rsidP="00A20F50">
      <w:pPr>
        <w:ind w:left="851"/>
        <w:rPr>
          <w:sz w:val="24"/>
          <w:szCs w:val="24"/>
          <w:u w:val="single"/>
        </w:rPr>
      </w:pPr>
      <w:r w:rsidRPr="00D06229">
        <w:rPr>
          <w:sz w:val="24"/>
          <w:szCs w:val="24"/>
          <w:u w:val="single"/>
        </w:rPr>
        <w:t>Nyreinsufficiens</w:t>
      </w:r>
    </w:p>
    <w:p w:rsidR="00A20F50" w:rsidRPr="00D06229" w:rsidRDefault="00A20F50" w:rsidP="00A20F50">
      <w:pPr>
        <w:ind w:left="851"/>
        <w:rPr>
          <w:sz w:val="24"/>
          <w:szCs w:val="24"/>
        </w:rPr>
      </w:pPr>
      <w:r w:rsidRPr="00D06229">
        <w:rPr>
          <w:sz w:val="24"/>
          <w:szCs w:val="24"/>
        </w:rPr>
        <w:t>Justering af dosis anbefales til patienter med nyreinsufficiens (se pkt. 4.2). De</w:t>
      </w:r>
    </w:p>
    <w:p w:rsidR="00A20F50" w:rsidRPr="00D06229" w:rsidRDefault="00A20F50" w:rsidP="00A20F50">
      <w:pPr>
        <w:ind w:left="851"/>
        <w:rPr>
          <w:sz w:val="24"/>
          <w:szCs w:val="24"/>
        </w:rPr>
      </w:pPr>
      <w:r w:rsidRPr="00D06229">
        <w:rPr>
          <w:sz w:val="24"/>
          <w:szCs w:val="24"/>
        </w:rPr>
        <w:t>foreslåede dosisændringer er baserede på en ekstrapolering af begrænsede data, og sikkerhed og effekt af disse er ikke klinisk evalueret. Virologisk respons bør derfor monitoreres omhyggeligt.</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Hepatitis-eksacerbationer</w:t>
      </w:r>
    </w:p>
    <w:p w:rsidR="00A20F50" w:rsidRPr="00D06229" w:rsidRDefault="00A20F50" w:rsidP="00A20F50">
      <w:pPr>
        <w:ind w:left="851"/>
        <w:rPr>
          <w:sz w:val="24"/>
          <w:szCs w:val="24"/>
        </w:rPr>
      </w:pPr>
      <w:r w:rsidRPr="00D06229">
        <w:rPr>
          <w:sz w:val="24"/>
          <w:szCs w:val="24"/>
        </w:rPr>
        <w:t>Spontane eksacerbationer ved kronisk hepatitis B er relativt hyppige og</w:t>
      </w:r>
      <w:r w:rsidR="00D06229">
        <w:rPr>
          <w:sz w:val="24"/>
          <w:szCs w:val="24"/>
        </w:rPr>
        <w:t xml:space="preserve"> </w:t>
      </w:r>
      <w:r w:rsidRPr="00D06229">
        <w:rPr>
          <w:sz w:val="24"/>
          <w:szCs w:val="24"/>
        </w:rPr>
        <w:t>karakteriseres ved forbigående stigninger i serum-ALAT. Efter påbegyndelse af antiviral behandling, kan serum-ALAT stige hos nogle patienter i takt med, at serum-HBV-DNA falder (se pkt. 4.8). Blandt entecavir-behandlede patienter gik der i gennemsnit 4 - 5 uger inden eksacerbationerne indtrådte. Hos patienter med kompenseret leversygdom ledsages disse stigninger i serum-ALAT generelt ikke af stigninger i serum-bilirubin eller hepatisk inkompensation. Patienter med fremskreden leversygdom eller cirrose kan have højere risiko for hepatisk inkompensation efter hepatitis-eksacerbation og bør derfor monitoreres tæt under behandling.</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Akut hepatitis-eksacerbation er ligeledes indberettet hos patienter, som har seponeret hepatitis B</w:t>
      </w:r>
      <w:r w:rsidR="00524DFB">
        <w:rPr>
          <w:sz w:val="24"/>
          <w:szCs w:val="24"/>
        </w:rPr>
        <w:t>-</w:t>
      </w:r>
      <w:r w:rsidRPr="00D06229">
        <w:rPr>
          <w:sz w:val="24"/>
          <w:szCs w:val="24"/>
        </w:rPr>
        <w:t>behandling (se pkt. 4.2). Eksacerbationer efter behandling er sædvanligvis forbundet med stigning i HBV-DNA, og størstedelen synes at være selvbegrænsende. Der er dog indberettet svære eksacerbationer, inklusive død.</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Blandt entecavir-behandlede patienter, der ikke tidligere har været behandlet med nukleosid, var den gennemsnitlige tid til eksacerbation efter behandling 23 - 24 uger, og de fleste tilfælde blev indberettet blandt HBeAg-negative patienter (se pkt. 4.8). Leverfunktionen skal løbende monitoreres med faste intervaller med såvel klinisk som laboratoriemæssig opfølgning igennem mindst 6 måneder efter seponering af hepatitis B-behandling. Hvis det er relevant, kan genoptagelse af hepatitis B-behandling være berettiget.</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Patienter med inkompenseret leversygdom</w:t>
      </w:r>
    </w:p>
    <w:p w:rsidR="00A20F50" w:rsidRPr="00D06229" w:rsidRDefault="00A20F50" w:rsidP="00A20F50">
      <w:pPr>
        <w:ind w:left="851"/>
        <w:rPr>
          <w:sz w:val="24"/>
          <w:szCs w:val="24"/>
        </w:rPr>
      </w:pPr>
      <w:r w:rsidRPr="00D06229">
        <w:rPr>
          <w:sz w:val="24"/>
          <w:szCs w:val="24"/>
        </w:rPr>
        <w:t>Der er set en højere forekomst af alvorlige leverbivirkninger (uanset kausalitet) hos patienter med inkompenseret leversygdom, især hos patienter med Child-Turcotte-Pugh (CTP) klasse C sygdom, sammenlignet med patienter med kompenseret leverfunktion. Derudover kan patienter med inkompenseret leversygdom have større risiko for laktacidose og for specifikke renale bivirkninger, såsom hepatorenalt syndrom. Derfor bør kliniske parametre og laboratorieparametre monitoreres tæt hos denne patientpopulation (se også pkt. 4.8 og 5.1).</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Laktacidose og svær hepatomegali med steatose</w:t>
      </w:r>
    </w:p>
    <w:p w:rsidR="00A20F50" w:rsidRPr="00D06229" w:rsidRDefault="00A20F50" w:rsidP="00A20F50">
      <w:pPr>
        <w:ind w:left="851"/>
        <w:rPr>
          <w:sz w:val="24"/>
          <w:szCs w:val="24"/>
        </w:rPr>
      </w:pPr>
      <w:r w:rsidRPr="00D06229">
        <w:rPr>
          <w:sz w:val="24"/>
          <w:szCs w:val="24"/>
        </w:rPr>
        <w:t>Der er indberettet tilfælde af laktacidose (uden hypoksæmi), i nogle tilfælde letal, sædvanligvis forbundet med svær hepatomegali og leversteatose, ved brug af nukleosidanaloger. Da entecavir er et nukleosidanalog, kan denne risiko ikke udelukkes.</w:t>
      </w:r>
    </w:p>
    <w:p w:rsidR="00A20F50" w:rsidRPr="00D06229" w:rsidRDefault="00A20F50" w:rsidP="00A20F50">
      <w:pPr>
        <w:ind w:left="851"/>
        <w:rPr>
          <w:sz w:val="24"/>
          <w:szCs w:val="24"/>
        </w:rPr>
      </w:pPr>
      <w:r w:rsidRPr="00D06229">
        <w:rPr>
          <w:sz w:val="24"/>
          <w:szCs w:val="24"/>
        </w:rPr>
        <w:t xml:space="preserve">Behandling med nukleosidanaloger skal seponeres i tilfælde af hurtigt stigende aminotransferaseniveauer, progressiv hepatomegali eller metabolisk acidose/laktacidose af ukendt ætiologi. Benigne fordøjelsessymptomer, </w:t>
      </w:r>
      <w:r w:rsidR="00F17607">
        <w:rPr>
          <w:sz w:val="24"/>
          <w:szCs w:val="24"/>
        </w:rPr>
        <w:t>f.eks.</w:t>
      </w:r>
      <w:r w:rsidRPr="00D06229">
        <w:rPr>
          <w:sz w:val="24"/>
          <w:szCs w:val="24"/>
        </w:rPr>
        <w:t xml:space="preserve"> kvalme, opkastning og mavesmerter, kan være tegn på udvikling af laktacidose. Svære tilfælde, i visse tilfælde med dødelig udgang, har været forbundet med pankreatitis, leversvigt/leversteatosis, </w:t>
      </w:r>
      <w:r w:rsidRPr="00D06229">
        <w:rPr>
          <w:sz w:val="24"/>
          <w:szCs w:val="24"/>
        </w:rPr>
        <w:lastRenderedPageBreak/>
        <w:t>nyresvigt og forhøjede niveauer af serum-lactat. Der bør udvises forsigtighed, når nukleosidanaloger ordineres til patienter (særligt overvægtige kvinder) med hepatomegali, hepatitis eller andre kendte risikofaktorer for leversygdom. Disse patienter skal monitoreres tæt.</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For at differentiere mellem stigninger i aminotransferaser på grund af respons på behandling og stigninger, der kan være forbundet med laktacidose, bør lægen sikre sig, at stigningerne i ALAT er forbundet med forbedringer i andre laboratoriemarkører for kronisk hepatitis B.</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Resistens og specifikke forsigtighedsregler for lamivudin-refraktære patienter</w:t>
      </w:r>
    </w:p>
    <w:p w:rsidR="00A20F50" w:rsidRPr="00D06229" w:rsidRDefault="00A20F50" w:rsidP="00A20F50">
      <w:pPr>
        <w:ind w:left="851"/>
        <w:rPr>
          <w:sz w:val="24"/>
          <w:szCs w:val="24"/>
        </w:rPr>
      </w:pPr>
      <w:r w:rsidRPr="00D06229">
        <w:rPr>
          <w:sz w:val="24"/>
          <w:szCs w:val="24"/>
        </w:rPr>
        <w:t>Mutationer i den HBVpolymerase, der koder for lamivudin-resistens-substitutioner, kan forårsage sekundære substitutioner, inklusive entecavir-associerede resistens-substitutioner (ETVr). Der er set ETVr-substitutioner hos en lille procentdel af de lamivudin-refraktære patienter. ETVrsubstitutioner er set ved segment rtT184, rtS202 eller rtM250 ved baseline. Patienter med lamivudin-resistent HBV har højere risiko for efterfølgende at udvikle entecavir-resistens end patienter, der ikke er lamivudin-refraktære. I studier med lamivudin-refraktære patienter var den kumulative sandsynlighed for udvikling af genotypisk entecavir-resistens efter 1, 2, 3, 4 og 5 års behandling henholdsvis 6 %, 15 %, 36 %, 47 % og 51 %. Virologisk respons skal monitoreres hyppigt i den lamivudin-refraktære population, og der skal udføres relevant resistenstest. Hos patienter med suboptimal virologisk repons efter 24 ugers behandling med entecavir bør justering af behandlingen overvejes (se pkt. 4.5 og 5.1). Ved opstart af behandling hos patienter med dokumenteret lamivudin-resistent HBV i anamnesen bør kombinationsbehandling med entecavir og et andet antiviralt stof (som ikke har krydsresistens over for hverken lamivudin eller entecavir) overvejes frem for monoterapi med entecavir.</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Præ-eksisterende lamivudin-resistent HBV er associeret med en øget risiko for efterfølgende entecavir-resistens uanset graden af leversygdom; hos patienter med inkompenseret leversygdom kan virologisk svigt være associeret med alvorlige kliniske komplikationer af den underliggende leversygdom. Hos patienter med både inkompenseret leversygdom og lamivudin-resistent HBV bør kombinationsbehandling med entecavir og et andet antiviralt stof (som ikke har krydsresistens over for enten lamivudin eller entecavir) overvejes frem for monoterapi med entecavir.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Pædiatrisk population</w:t>
      </w:r>
    </w:p>
    <w:p w:rsidR="00A20F50" w:rsidRPr="00D06229" w:rsidRDefault="00A20F50" w:rsidP="00A20F50">
      <w:pPr>
        <w:ind w:left="851"/>
        <w:rPr>
          <w:sz w:val="24"/>
          <w:szCs w:val="24"/>
        </w:rPr>
      </w:pPr>
      <w:r w:rsidRPr="00D06229">
        <w:rPr>
          <w:sz w:val="24"/>
          <w:szCs w:val="24"/>
        </w:rPr>
        <w:t>Der blev observeret en lavere virologisk responsrate (HBV-DNA &lt; 50 IE/ml) hos pædiatriske patienter med HBV-DNA ≥ 8,0 log</w:t>
      </w:r>
      <w:r w:rsidRPr="00D06229">
        <w:rPr>
          <w:sz w:val="24"/>
          <w:szCs w:val="24"/>
          <w:vertAlign w:val="subscript"/>
        </w:rPr>
        <w:t xml:space="preserve">10 </w:t>
      </w:r>
      <w:r w:rsidRPr="00D06229">
        <w:rPr>
          <w:sz w:val="24"/>
          <w:szCs w:val="24"/>
        </w:rPr>
        <w:t>IE/ml ved baseline (se pkt. 5.1). Entecavir bør kun anvendes hos disse patienter, hvis den potentielle fordel retfærdiggør den potentielle risiko for barnet (f.eks. resistens). Eftersom nogle pædiatriske patienter kan have behov for længevarende eller endog livsvarig behandling af kronisk aktiv hepatitis-B, bør entecavirs påvirkning af fremtidige behandlingsmuligheder tages i betragtning.</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Levertransplanterede patienter</w:t>
      </w:r>
    </w:p>
    <w:p w:rsidR="00A20F50" w:rsidRPr="00D06229" w:rsidRDefault="00A20F50" w:rsidP="00A20F50">
      <w:pPr>
        <w:ind w:left="851"/>
        <w:rPr>
          <w:sz w:val="24"/>
          <w:szCs w:val="24"/>
        </w:rPr>
      </w:pPr>
      <w:r w:rsidRPr="00D06229">
        <w:rPr>
          <w:sz w:val="24"/>
          <w:szCs w:val="24"/>
        </w:rPr>
        <w:t>Nyrefunktionen skal vurderes omhyggelig inden og under behandling med entecavir til levertransplanterede patienter, der får ciclosporin eller tacrolimus (se pkt. 5.2).</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Samtidig infektion med hepatitis C eller D</w:t>
      </w:r>
    </w:p>
    <w:p w:rsidR="00A20F50" w:rsidRPr="00D06229" w:rsidRDefault="00A20F50" w:rsidP="00A20F50">
      <w:pPr>
        <w:ind w:left="851"/>
        <w:rPr>
          <w:sz w:val="24"/>
          <w:szCs w:val="24"/>
        </w:rPr>
      </w:pPr>
      <w:r w:rsidRPr="00D06229">
        <w:rPr>
          <w:sz w:val="24"/>
          <w:szCs w:val="24"/>
        </w:rPr>
        <w:t>Der er ingen data vedrørende effekt af entecavir hos patienter, der samtidigt er inficerede med hepatitis C- eller D-virus.</w:t>
      </w:r>
    </w:p>
    <w:p w:rsidR="00A20F50" w:rsidRPr="00D06229" w:rsidRDefault="00A20F50" w:rsidP="00A20F50">
      <w:pPr>
        <w:rPr>
          <w:sz w:val="24"/>
          <w:szCs w:val="24"/>
        </w:rPr>
      </w:pPr>
      <w:r w:rsidRPr="00D06229">
        <w:rPr>
          <w:sz w:val="24"/>
          <w:szCs w:val="24"/>
        </w:rPr>
        <w:br w:type="page"/>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Humant immundefektvirus (hiv)/HBV-inficererede patienter, som ikke samtidig får antiretroviral behandling</w:t>
      </w:r>
    </w:p>
    <w:p w:rsidR="00A20F50" w:rsidRPr="00D06229" w:rsidRDefault="00A20F50" w:rsidP="00A20F50">
      <w:pPr>
        <w:ind w:left="851"/>
        <w:rPr>
          <w:sz w:val="24"/>
          <w:szCs w:val="24"/>
        </w:rPr>
      </w:pPr>
      <w:r w:rsidRPr="00D06229">
        <w:rPr>
          <w:sz w:val="24"/>
          <w:szCs w:val="24"/>
        </w:rPr>
        <w:t>Entecavir er ikke blevet evalueret hos hiv/HBV-inficerede patienter, som ikke samtidig</w:t>
      </w:r>
    </w:p>
    <w:p w:rsidR="00A20F50" w:rsidRPr="00D06229" w:rsidRDefault="00A20F50" w:rsidP="00A20F50">
      <w:pPr>
        <w:ind w:left="851"/>
        <w:rPr>
          <w:sz w:val="24"/>
          <w:szCs w:val="24"/>
        </w:rPr>
      </w:pPr>
      <w:r w:rsidRPr="00D06229">
        <w:rPr>
          <w:sz w:val="24"/>
          <w:szCs w:val="24"/>
        </w:rPr>
        <w:t>får effektiv hiv-behandling. Fremkomsten af hiv-resistens er set, når entecavir blev anvendt til behandling af kronisk hepatitis B-infektion hos patienter med hiv-infektion, som ikke fik antiretroviral kombinationsbehandling (highly active antiretroviral therapy - HAART) (se pkt. 5.1). Behandling med entecavir bør derfor ikke anvendes til hiv/HBV-inficerede patienter, som ikke får HAART. Entecavir er ikke blevet undersøgt til behandling af hiv-infektion og frarådes til dette brug.</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hiv/HBV-inficerede patienter, som samtidig får antiretroviral behandling</w:t>
      </w:r>
    </w:p>
    <w:p w:rsidR="00A20F50" w:rsidRPr="00D06229" w:rsidRDefault="00A20F50" w:rsidP="00A20F50">
      <w:pPr>
        <w:ind w:left="851"/>
        <w:rPr>
          <w:sz w:val="24"/>
          <w:szCs w:val="24"/>
        </w:rPr>
      </w:pPr>
      <w:r w:rsidRPr="00D06229">
        <w:rPr>
          <w:sz w:val="24"/>
          <w:szCs w:val="24"/>
        </w:rPr>
        <w:t>Entecavir er blevet undersøgt hos 68 voksne med hiv/HBV-infektion, der modtog HAART-regimen, der indeholdt lamivudin (se pkt. 5.1). Der foreligger ingen data vedrørende effekten af entecavir hos HbeAgnegative patienter med samtidig hiv-infektion. Der er begrænsede data vedrørende patienter med samtidig hiv-infektion, som har lave CD4-tal (&lt; 200 celler/mm</w:t>
      </w:r>
      <w:r w:rsidRPr="00D06229">
        <w:rPr>
          <w:sz w:val="24"/>
          <w:szCs w:val="24"/>
          <w:vertAlign w:val="superscript"/>
        </w:rPr>
        <w:t>3</w:t>
      </w:r>
      <w:r w:rsidRPr="00D06229">
        <w:rPr>
          <w:sz w:val="24"/>
          <w:szCs w:val="24"/>
        </w:rPr>
        <w:t>).</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Generelt</w:t>
      </w:r>
    </w:p>
    <w:p w:rsidR="00A20F50" w:rsidRPr="00D06229" w:rsidRDefault="00A20F50" w:rsidP="00A20F50">
      <w:pPr>
        <w:ind w:left="851"/>
        <w:rPr>
          <w:sz w:val="24"/>
          <w:szCs w:val="24"/>
        </w:rPr>
      </w:pPr>
      <w:r w:rsidRPr="00D06229">
        <w:rPr>
          <w:sz w:val="24"/>
          <w:szCs w:val="24"/>
        </w:rPr>
        <w:t>Patienterne skal informeres om, at det ikke er påvist, at behandling med entecavir mindsker risikoen for overførsel af HBV, og at der derfor fortsat skal tages relevante forholdsregler.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Lactose</w:t>
      </w:r>
    </w:p>
    <w:p w:rsidR="00A20F50" w:rsidRPr="00D06229" w:rsidRDefault="00A20F50" w:rsidP="00A20F50">
      <w:pPr>
        <w:ind w:left="851"/>
        <w:rPr>
          <w:sz w:val="24"/>
          <w:szCs w:val="24"/>
        </w:rPr>
      </w:pPr>
      <w:r w:rsidRPr="00D06229">
        <w:rPr>
          <w:sz w:val="24"/>
          <w:szCs w:val="24"/>
        </w:rPr>
        <w:t>Dette lægemiddel indeholder ca. 122 mg lactosemonohydrat ved en daglig dosis på 0,5 mg og 242 mg lactosemonohydrat ved en daglig dosis på 1 mg.</w:t>
      </w:r>
    </w:p>
    <w:p w:rsidR="00A20F50" w:rsidRPr="00D06229" w:rsidRDefault="00A20F50" w:rsidP="00A20F50">
      <w:pPr>
        <w:ind w:left="851"/>
        <w:rPr>
          <w:sz w:val="24"/>
          <w:szCs w:val="24"/>
        </w:rPr>
      </w:pPr>
    </w:p>
    <w:p w:rsidR="00A2475E" w:rsidRPr="00D06229" w:rsidRDefault="00A2475E" w:rsidP="00524DFB">
      <w:pPr>
        <w:ind w:left="851"/>
        <w:rPr>
          <w:sz w:val="24"/>
          <w:szCs w:val="24"/>
        </w:rPr>
      </w:pPr>
      <w:bookmarkStart w:id="1" w:name="_Hlk45779611"/>
      <w:r w:rsidRPr="00D06229">
        <w:rPr>
          <w:sz w:val="24"/>
          <w:szCs w:val="24"/>
        </w:rPr>
        <w:t>Bør ikke anvendes til patienter med hereditær galactoseintolerans, total lactasemangel eller glucose/galactosemalabsorption</w:t>
      </w:r>
      <w:bookmarkEnd w:id="1"/>
      <w:r w:rsidRPr="00D06229">
        <w:rPr>
          <w:sz w:val="24"/>
          <w:szCs w:val="24"/>
        </w:rPr>
        <w:t>.</w:t>
      </w:r>
    </w:p>
    <w:p w:rsidR="00A2475E" w:rsidRPr="00D06229" w:rsidRDefault="00A2475E" w:rsidP="00524DFB">
      <w:pPr>
        <w:ind w:left="851"/>
        <w:rPr>
          <w:sz w:val="24"/>
          <w:szCs w:val="24"/>
        </w:rPr>
      </w:pPr>
      <w:r w:rsidRPr="00D06229">
        <w:rPr>
          <w:sz w:val="24"/>
          <w:szCs w:val="24"/>
        </w:rPr>
        <w:t xml:space="preserve">Der findes en lactosefri Entecavir </w:t>
      </w:r>
      <w:r w:rsidR="00524DFB">
        <w:rPr>
          <w:sz w:val="24"/>
          <w:szCs w:val="24"/>
        </w:rPr>
        <w:t>"</w:t>
      </w:r>
      <w:r w:rsidRPr="00D06229">
        <w:rPr>
          <w:sz w:val="24"/>
          <w:szCs w:val="24"/>
        </w:rPr>
        <w:t>Pharmathen</w:t>
      </w:r>
      <w:r w:rsidR="00524DFB">
        <w:rPr>
          <w:sz w:val="24"/>
          <w:szCs w:val="24"/>
        </w:rPr>
        <w:t>"</w:t>
      </w:r>
      <w:r w:rsidRPr="00D06229">
        <w:rPr>
          <w:sz w:val="24"/>
          <w:szCs w:val="24"/>
        </w:rPr>
        <w:t xml:space="preserve"> oral opløsning til disse patienter.</w:t>
      </w:r>
    </w:p>
    <w:p w:rsidR="00A2475E" w:rsidRPr="00D06229" w:rsidRDefault="00A2475E" w:rsidP="00524DFB">
      <w:pPr>
        <w:ind w:left="851"/>
        <w:rPr>
          <w:sz w:val="24"/>
          <w:szCs w:val="24"/>
        </w:rPr>
      </w:pPr>
    </w:p>
    <w:p w:rsidR="00A2475E" w:rsidRPr="00D06229" w:rsidRDefault="00A2475E" w:rsidP="00524DFB">
      <w:pPr>
        <w:ind w:left="851"/>
        <w:rPr>
          <w:i/>
          <w:iCs/>
          <w:sz w:val="24"/>
          <w:szCs w:val="24"/>
        </w:rPr>
      </w:pPr>
      <w:r w:rsidRPr="00D06229">
        <w:rPr>
          <w:i/>
          <w:iCs/>
          <w:sz w:val="24"/>
          <w:szCs w:val="24"/>
        </w:rPr>
        <w:t>Maltodextrin:</w:t>
      </w:r>
    </w:p>
    <w:p w:rsidR="00A2475E" w:rsidRPr="00D06229" w:rsidRDefault="00A2475E" w:rsidP="00524DFB">
      <w:pPr>
        <w:ind w:left="851"/>
        <w:rPr>
          <w:sz w:val="24"/>
          <w:szCs w:val="24"/>
        </w:rPr>
      </w:pPr>
      <w:r w:rsidRPr="00D06229">
        <w:rPr>
          <w:sz w:val="24"/>
          <w:szCs w:val="24"/>
        </w:rPr>
        <w:t>Dette lægemiddel indeholder 0,6 mg maltodextrin ved en daglig dosis på 1 mg. Patienter med glucose/galactosemalabsorption bør ikke tage dette lægemiddel.</w:t>
      </w:r>
    </w:p>
    <w:p w:rsidR="00A20F50" w:rsidRPr="000A0C32"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4.5</w:t>
      </w:r>
      <w:r w:rsidRPr="00D06229">
        <w:rPr>
          <w:b/>
          <w:sz w:val="24"/>
          <w:szCs w:val="24"/>
        </w:rPr>
        <w:tab/>
        <w:t>Interaktion med andre lægemidler og andre former for interaktion</w:t>
      </w:r>
    </w:p>
    <w:p w:rsidR="00A20F50" w:rsidRPr="00D06229" w:rsidRDefault="00A20F50" w:rsidP="00A20F50">
      <w:pPr>
        <w:ind w:left="851"/>
        <w:rPr>
          <w:sz w:val="24"/>
          <w:szCs w:val="24"/>
        </w:rPr>
      </w:pPr>
      <w:r w:rsidRPr="00D06229">
        <w:rPr>
          <w:sz w:val="24"/>
          <w:szCs w:val="24"/>
        </w:rPr>
        <w:t>Da entecavir fortrinsvis elimineres via nyrerne (se pkt. 5.2), kan samtidig administration med præparater, der reducerer nyrefunktionen eller konkurrerer med hensyn til aktiv tubulær udskillelse, forøge serumkoncentrationen af de respektive præparater. Bortset fra lamivudin, adefovirdipivoxil- og tenofovirdisoproxilfumarat er effekten ved samtidig administration af entecavir og præparater, der udskilles gennem nyrerne eller påvirker nyrefunktionen, ikke evalueret. Hvis entecavir administreres samtidig med sådanne præparater, bør patienten monitoreres tæt for bivirkninger.</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Der er ikke observeret farmakokinetiske interaktioner mellem entecavir og lamivudin, adefovir eller tenofovir.</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Entecavir er ikke et substrat af og virker ikke inducerende eller hæmmende på cytokrom P450-enzymer (CYP450) (se pkt. 5.2). CYP450-medierede lægemiddelinteraktioner med entecavir er derfor ikke sandsynlige.</w:t>
      </w:r>
    </w:p>
    <w:p w:rsidR="00C87981" w:rsidRDefault="00C87981">
      <w:pPr>
        <w:rPr>
          <w:sz w:val="24"/>
          <w:szCs w:val="24"/>
        </w:rPr>
      </w:pPr>
      <w:r>
        <w:rPr>
          <w:sz w:val="24"/>
          <w:szCs w:val="24"/>
        </w:rPr>
        <w:br w:type="page"/>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Pædiatrisk population</w:t>
      </w:r>
    </w:p>
    <w:p w:rsidR="00A20F50" w:rsidRPr="00D06229" w:rsidRDefault="00A20F50" w:rsidP="00A20F50">
      <w:pPr>
        <w:ind w:left="851"/>
        <w:rPr>
          <w:sz w:val="24"/>
          <w:szCs w:val="24"/>
        </w:rPr>
      </w:pPr>
      <w:r w:rsidRPr="00D06229">
        <w:rPr>
          <w:sz w:val="24"/>
          <w:szCs w:val="24"/>
        </w:rPr>
        <w:t>Interaktionsstudier er kun udført hos voksne.</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4.6</w:t>
      </w:r>
      <w:r w:rsidRPr="00D06229">
        <w:rPr>
          <w:b/>
          <w:sz w:val="24"/>
          <w:szCs w:val="24"/>
        </w:rPr>
        <w:tab/>
        <w:t>Graviditet og amning</w:t>
      </w:r>
    </w:p>
    <w:p w:rsidR="00A20F50" w:rsidRPr="00D06229" w:rsidRDefault="00A20F50" w:rsidP="00A20F50">
      <w:pPr>
        <w:ind w:left="851"/>
        <w:rPr>
          <w:i/>
          <w:sz w:val="24"/>
          <w:szCs w:val="24"/>
        </w:rPr>
      </w:pPr>
    </w:p>
    <w:p w:rsidR="00A20F50" w:rsidRPr="00D06229" w:rsidRDefault="00A20F50" w:rsidP="00A20F50">
      <w:pPr>
        <w:ind w:left="851"/>
        <w:rPr>
          <w:sz w:val="24"/>
          <w:szCs w:val="24"/>
          <w:u w:val="single"/>
        </w:rPr>
      </w:pPr>
      <w:r w:rsidRPr="00D06229">
        <w:rPr>
          <w:sz w:val="24"/>
          <w:szCs w:val="24"/>
          <w:u w:val="single"/>
        </w:rPr>
        <w:t>Kvinder i den</w:t>
      </w:r>
      <w:r w:rsidR="00C87981">
        <w:rPr>
          <w:sz w:val="24"/>
          <w:szCs w:val="24"/>
          <w:u w:val="single"/>
        </w:rPr>
        <w:t xml:space="preserve"> </w:t>
      </w:r>
      <w:r w:rsidRPr="00D06229">
        <w:rPr>
          <w:sz w:val="24"/>
          <w:szCs w:val="24"/>
          <w:u w:val="single"/>
        </w:rPr>
        <w:t>fertile alder</w:t>
      </w:r>
    </w:p>
    <w:p w:rsidR="00A20F50" w:rsidRPr="00D06229" w:rsidRDefault="00A20F50" w:rsidP="00A20F50">
      <w:pPr>
        <w:ind w:left="851"/>
        <w:rPr>
          <w:sz w:val="24"/>
          <w:szCs w:val="24"/>
        </w:rPr>
      </w:pPr>
      <w:r w:rsidRPr="00D06229">
        <w:rPr>
          <w:sz w:val="24"/>
          <w:szCs w:val="24"/>
        </w:rPr>
        <w:t>Da de potentielle risici for fostret ikke kendes, bør kvinder i den fertile alder</w:t>
      </w:r>
      <w:r w:rsidR="00524DFB">
        <w:rPr>
          <w:sz w:val="24"/>
          <w:szCs w:val="24"/>
        </w:rPr>
        <w:t xml:space="preserve"> </w:t>
      </w:r>
      <w:r w:rsidRPr="00D06229">
        <w:rPr>
          <w:sz w:val="24"/>
          <w:szCs w:val="24"/>
        </w:rPr>
        <w:t>bruge effektiv kontraception.</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Graviditet</w:t>
      </w:r>
    </w:p>
    <w:p w:rsidR="00A20F50" w:rsidRPr="00D06229" w:rsidRDefault="00A20F50" w:rsidP="00A20F50">
      <w:pPr>
        <w:ind w:left="851"/>
        <w:rPr>
          <w:sz w:val="24"/>
          <w:szCs w:val="24"/>
        </w:rPr>
      </w:pPr>
      <w:r w:rsidRPr="00D06229">
        <w:rPr>
          <w:sz w:val="24"/>
          <w:szCs w:val="24"/>
        </w:rPr>
        <w:t>Der foreligger ikke tilstrækkelige data om brugen af entecavir hos gravide kvinder.</w:t>
      </w:r>
    </w:p>
    <w:p w:rsidR="00A20F50" w:rsidRPr="00D06229" w:rsidRDefault="00A20F50" w:rsidP="00A20F50">
      <w:pPr>
        <w:ind w:left="851"/>
        <w:rPr>
          <w:sz w:val="24"/>
          <w:szCs w:val="24"/>
        </w:rPr>
      </w:pPr>
      <w:r w:rsidRPr="00D06229">
        <w:rPr>
          <w:sz w:val="24"/>
          <w:szCs w:val="24"/>
        </w:rPr>
        <w:t>Dyreforsøg har påvist reproduktionstoksicitet ved høje doser (se pkt. 5.3). Den potentielle risiko for mennesker er ukendt. Entecavir "Pharmathen" bør ikke anvendes under graviditet, medmindre det er absolut nødvendigt. Der er ingen data vedrørende effekt af entecavir på overførsel af HBV fra mor til nyfødt. Der bør derfor interveneres på relevant vis for at forhindre neonatal erhvervelse af HBV.</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Amning</w:t>
      </w:r>
    </w:p>
    <w:p w:rsidR="00A20F50" w:rsidRPr="00D06229" w:rsidRDefault="00A20F50" w:rsidP="00A20F50">
      <w:pPr>
        <w:ind w:left="851"/>
        <w:rPr>
          <w:sz w:val="24"/>
          <w:szCs w:val="24"/>
        </w:rPr>
      </w:pPr>
      <w:r w:rsidRPr="00D06229">
        <w:rPr>
          <w:sz w:val="24"/>
          <w:szCs w:val="24"/>
        </w:rPr>
        <w:t>Det vides ikke, om entecavir udskilles i modermælk. De tilgængelige toksikologiske data fra dyr har vist, at entecavir udskilles i mælk (se pkt. 5.3 for nærmere oplysninger). Det kan ikke udelukkes, at der er en risiko for spædbørn. Amning bør afbrydes under behandling med Entecavir "Pharmathen".</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Fertilitet</w:t>
      </w:r>
    </w:p>
    <w:p w:rsidR="00A20F50" w:rsidRPr="00D06229" w:rsidRDefault="00A20F50" w:rsidP="00A20F50">
      <w:pPr>
        <w:ind w:left="851"/>
        <w:rPr>
          <w:sz w:val="24"/>
          <w:szCs w:val="24"/>
        </w:rPr>
      </w:pPr>
      <w:r w:rsidRPr="00D06229">
        <w:rPr>
          <w:sz w:val="24"/>
          <w:szCs w:val="24"/>
        </w:rPr>
        <w:t>Toksikologiske studier af dyr, der fik entecavir, har ikke vist nedsat fertilitet (se pkt. 5.3).</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4.7</w:t>
      </w:r>
      <w:r w:rsidRPr="00D06229">
        <w:rPr>
          <w:b/>
          <w:sz w:val="24"/>
          <w:szCs w:val="24"/>
        </w:rPr>
        <w:tab/>
        <w:t>Virkninger på evnen til at føre motorkøretøj eller betjene maskiner</w:t>
      </w:r>
    </w:p>
    <w:p w:rsidR="00A20F50" w:rsidRPr="00D06229" w:rsidRDefault="00A20F50" w:rsidP="00A20F50">
      <w:pPr>
        <w:ind w:left="851"/>
        <w:rPr>
          <w:sz w:val="24"/>
          <w:szCs w:val="24"/>
        </w:rPr>
      </w:pPr>
      <w:r w:rsidRPr="00D06229">
        <w:rPr>
          <w:sz w:val="24"/>
          <w:szCs w:val="24"/>
        </w:rPr>
        <w:t>Ikke mærkning.</w:t>
      </w:r>
    </w:p>
    <w:p w:rsidR="00A20F50" w:rsidRPr="00D06229" w:rsidRDefault="00A20F50" w:rsidP="00A20F50">
      <w:pPr>
        <w:ind w:left="851"/>
        <w:rPr>
          <w:sz w:val="24"/>
          <w:szCs w:val="24"/>
        </w:rPr>
      </w:pPr>
      <w:r w:rsidRPr="00D06229">
        <w:rPr>
          <w:sz w:val="24"/>
          <w:szCs w:val="24"/>
        </w:rPr>
        <w:t>Der er ikke foretaget undersøgelser af virkningen på evnen til at føre motorkøretøj eller betjene maskiner. Svimmelhed, træthed og søvnighed er hyppige bivirkninger, som kan påvirke evnen til at føre motorkøretøj og betjene maskiner.</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4.8</w:t>
      </w:r>
      <w:r w:rsidRPr="00D06229">
        <w:rPr>
          <w:b/>
          <w:sz w:val="24"/>
          <w:szCs w:val="24"/>
        </w:rPr>
        <w:tab/>
        <w:t>Bivirkninger</w:t>
      </w:r>
    </w:p>
    <w:p w:rsidR="00A20F50" w:rsidRPr="00D06229" w:rsidRDefault="00A20F50" w:rsidP="00A20F50">
      <w:pPr>
        <w:tabs>
          <w:tab w:val="left" w:pos="851"/>
        </w:tabs>
        <w:ind w:left="851"/>
        <w:rPr>
          <w:i/>
          <w:sz w:val="24"/>
          <w:szCs w:val="24"/>
        </w:rPr>
      </w:pPr>
    </w:p>
    <w:p w:rsidR="00A20F50" w:rsidRPr="00D06229" w:rsidRDefault="00A20F50" w:rsidP="00A20F50">
      <w:pPr>
        <w:tabs>
          <w:tab w:val="left" w:pos="851"/>
        </w:tabs>
        <w:ind w:left="851"/>
        <w:rPr>
          <w:sz w:val="24"/>
          <w:szCs w:val="24"/>
          <w:u w:val="single"/>
        </w:rPr>
      </w:pPr>
      <w:r w:rsidRPr="00D06229">
        <w:rPr>
          <w:sz w:val="24"/>
          <w:szCs w:val="24"/>
          <w:u w:val="single"/>
        </w:rPr>
        <w:t>a. Oversigt over sikkerhedsprofilen</w:t>
      </w:r>
    </w:p>
    <w:p w:rsidR="00A20F50" w:rsidRPr="00D06229" w:rsidRDefault="00A20F50" w:rsidP="00A20F50">
      <w:pPr>
        <w:tabs>
          <w:tab w:val="left" w:pos="851"/>
        </w:tabs>
        <w:ind w:left="851"/>
        <w:rPr>
          <w:sz w:val="24"/>
          <w:szCs w:val="24"/>
        </w:rPr>
      </w:pPr>
      <w:r w:rsidRPr="00D06229">
        <w:rPr>
          <w:sz w:val="24"/>
          <w:szCs w:val="24"/>
        </w:rPr>
        <w:t>I kliniske studier med patienter med kompenseret leversygdom var de almindeligste bivirkninger af alle sværhedsgrader, og hvor en forbindelse med entecavir var mulig, hovedpine (9 %), træthed (6 %), svimmelhed (4 %) og kvalme (3 %). Der er også rapporteret om forværring af hepatitis under og efter seponering af behandling med entecavir (se pkt. 4.4 og c. Beskrivelse af udvalgte bivirkninger).</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u w:val="single"/>
        </w:rPr>
      </w:pPr>
      <w:r w:rsidRPr="00D06229">
        <w:rPr>
          <w:sz w:val="24"/>
          <w:szCs w:val="24"/>
          <w:u w:val="single"/>
        </w:rPr>
        <w:t>b. Liste i tabelform over bivirkninger</w:t>
      </w:r>
    </w:p>
    <w:p w:rsidR="00A20F50" w:rsidRPr="00D06229" w:rsidRDefault="00A20F50" w:rsidP="00A20F50">
      <w:pPr>
        <w:tabs>
          <w:tab w:val="left" w:pos="851"/>
        </w:tabs>
        <w:ind w:left="851"/>
        <w:rPr>
          <w:sz w:val="24"/>
          <w:szCs w:val="24"/>
        </w:rPr>
      </w:pPr>
      <w:r w:rsidRPr="00D06229">
        <w:rPr>
          <w:sz w:val="24"/>
          <w:szCs w:val="24"/>
        </w:rPr>
        <w:t>Bedømmelsen af bivirkninger er baseret på erfaringer fra postmarketing-overvågning og fire kliniske studier, hvor 1.720 patienter med kronisk hepatitis B-infektion og kompenseret leversygdom fik dobbeltblind-behandling med entecavir (n = 862) eller lamivudin (n = 858) i op til 107 uger (se pkt. 5.1). I disse studier var sikkerhedsprofilerne, herunder afvigelser i laboratorieprøver, sammenlignelige for entecavir 0,5 mg daglig (679 nukleosid-naive HBeAg-positive eller -negative patienter behandlet i gennemsnitligt 53 uger), entecavir 1 mg daglig (183 lamivudin-refraktære patienter behandlet i gennemsnitligt 69 uger) og lamivudin.</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lang w:val="en-US"/>
        </w:rPr>
      </w:pPr>
      <w:r w:rsidRPr="00D06229">
        <w:rPr>
          <w:sz w:val="24"/>
          <w:szCs w:val="24"/>
        </w:rPr>
        <w:t xml:space="preserve">Bivirkninger, der som minimum vurderedes som muligvis at være forbundet med entecavir, angives efter organklasse nedenfor. Hyppighed defineres som meget almindelig (≥ 1/10); almindelig (≥ 1/100 til &lt; 1/10); ikke almindelig (≥ 1/1.000 til &lt;1/100); sjælden (≥ 1/10.000 til &lt;1/1.000). Inden for hver enkelt frekvensgruppe er bivirkningerne opstillet efter, hvor alvorlige de er. </w:t>
      </w:r>
      <w:r w:rsidRPr="00C87981">
        <w:rPr>
          <w:sz w:val="24"/>
          <w:szCs w:val="24"/>
        </w:rPr>
        <w:t>De alvorligste bivirkninger er anført først.</w:t>
      </w:r>
    </w:p>
    <w:p w:rsidR="00A20F50" w:rsidRPr="00D06229" w:rsidRDefault="00A20F50" w:rsidP="00A20F50">
      <w:pPr>
        <w:tabs>
          <w:tab w:val="left" w:pos="851"/>
        </w:tabs>
        <w:ind w:left="851"/>
        <w:rPr>
          <w:sz w:val="24"/>
          <w:szCs w:val="24"/>
          <w:lang w:val="en-US"/>
        </w:rPr>
      </w:pPr>
    </w:p>
    <w:tbl>
      <w:tblPr>
        <w:tblStyle w:val="Tabel-Gitter"/>
        <w:tblW w:w="8789" w:type="dxa"/>
        <w:tblInd w:w="846" w:type="dxa"/>
        <w:tblLook w:val="04A0" w:firstRow="1" w:lastRow="0" w:firstColumn="1" w:lastColumn="0" w:noHBand="0" w:noVBand="1"/>
      </w:tblPr>
      <w:tblGrid>
        <w:gridCol w:w="3686"/>
        <w:gridCol w:w="5103"/>
      </w:tblGrid>
      <w:tr w:rsidR="00A20F50" w:rsidRPr="00710742" w:rsidTr="00710742">
        <w:tc>
          <w:tcPr>
            <w:tcW w:w="3686" w:type="dxa"/>
          </w:tcPr>
          <w:p w:rsidR="00A20F50" w:rsidRPr="00710742" w:rsidRDefault="00A20F50" w:rsidP="00B560F0">
            <w:pPr>
              <w:ind w:left="34"/>
              <w:rPr>
                <w:sz w:val="24"/>
                <w:szCs w:val="24"/>
              </w:rPr>
            </w:pPr>
            <w:r w:rsidRPr="00710742">
              <w:rPr>
                <w:sz w:val="24"/>
                <w:szCs w:val="24"/>
              </w:rPr>
              <w:t xml:space="preserve">Immunsystemet: </w:t>
            </w:r>
          </w:p>
        </w:tc>
        <w:tc>
          <w:tcPr>
            <w:tcW w:w="5103" w:type="dxa"/>
          </w:tcPr>
          <w:p w:rsidR="00A20F50" w:rsidRPr="00710742" w:rsidRDefault="00A20F50" w:rsidP="00B560F0">
            <w:pPr>
              <w:ind w:left="69"/>
              <w:rPr>
                <w:sz w:val="24"/>
                <w:szCs w:val="24"/>
              </w:rPr>
            </w:pPr>
            <w:r w:rsidRPr="00710742">
              <w:rPr>
                <w:sz w:val="24"/>
                <w:szCs w:val="24"/>
              </w:rPr>
              <w:t>Sjælden: Anafylaktoid reaktion</w:t>
            </w:r>
          </w:p>
        </w:tc>
      </w:tr>
      <w:tr w:rsidR="00A20F50" w:rsidRPr="00710742" w:rsidTr="00710742">
        <w:tc>
          <w:tcPr>
            <w:tcW w:w="3686" w:type="dxa"/>
          </w:tcPr>
          <w:p w:rsidR="00A20F50" w:rsidRPr="00710742" w:rsidRDefault="00A20F50" w:rsidP="00B560F0">
            <w:pPr>
              <w:ind w:left="34"/>
              <w:rPr>
                <w:sz w:val="24"/>
                <w:szCs w:val="24"/>
              </w:rPr>
            </w:pPr>
            <w:r w:rsidRPr="00710742">
              <w:rPr>
                <w:sz w:val="24"/>
                <w:szCs w:val="24"/>
              </w:rPr>
              <w:t xml:space="preserve">Psykiske forstyrrelser: </w:t>
            </w:r>
          </w:p>
        </w:tc>
        <w:tc>
          <w:tcPr>
            <w:tcW w:w="5103" w:type="dxa"/>
          </w:tcPr>
          <w:p w:rsidR="00A20F50" w:rsidRPr="00710742" w:rsidRDefault="00A20F50" w:rsidP="00B560F0">
            <w:pPr>
              <w:ind w:left="69"/>
              <w:rPr>
                <w:sz w:val="24"/>
                <w:szCs w:val="24"/>
              </w:rPr>
            </w:pPr>
            <w:r w:rsidRPr="00710742">
              <w:rPr>
                <w:sz w:val="24"/>
                <w:szCs w:val="24"/>
              </w:rPr>
              <w:t>Almindelig: Søvnløshed</w:t>
            </w:r>
          </w:p>
        </w:tc>
      </w:tr>
      <w:tr w:rsidR="00A20F50" w:rsidRPr="00710742" w:rsidTr="00710742">
        <w:tc>
          <w:tcPr>
            <w:tcW w:w="3686" w:type="dxa"/>
          </w:tcPr>
          <w:p w:rsidR="00A20F50" w:rsidRPr="00710742" w:rsidRDefault="00A20F50" w:rsidP="00B560F0">
            <w:pPr>
              <w:ind w:left="34"/>
              <w:rPr>
                <w:sz w:val="24"/>
                <w:szCs w:val="24"/>
              </w:rPr>
            </w:pPr>
            <w:r w:rsidRPr="00710742">
              <w:rPr>
                <w:sz w:val="24"/>
                <w:szCs w:val="24"/>
              </w:rPr>
              <w:t xml:space="preserve">Nervesystemet: </w:t>
            </w:r>
          </w:p>
        </w:tc>
        <w:tc>
          <w:tcPr>
            <w:tcW w:w="5103" w:type="dxa"/>
          </w:tcPr>
          <w:p w:rsidR="00A20F50" w:rsidRPr="00710742" w:rsidRDefault="00A20F50" w:rsidP="00B560F0">
            <w:pPr>
              <w:ind w:left="69"/>
              <w:rPr>
                <w:sz w:val="24"/>
                <w:szCs w:val="24"/>
              </w:rPr>
            </w:pPr>
            <w:r w:rsidRPr="00710742">
              <w:rPr>
                <w:sz w:val="24"/>
                <w:szCs w:val="24"/>
              </w:rPr>
              <w:t>Almindelig: Hovedpine, svimmelhed, søvnighed</w:t>
            </w:r>
          </w:p>
        </w:tc>
      </w:tr>
      <w:tr w:rsidR="00A20F50" w:rsidRPr="00710742" w:rsidTr="00710742">
        <w:tc>
          <w:tcPr>
            <w:tcW w:w="3686" w:type="dxa"/>
          </w:tcPr>
          <w:p w:rsidR="00A20F50" w:rsidRPr="00710742" w:rsidRDefault="00A20F50" w:rsidP="00B560F0">
            <w:pPr>
              <w:ind w:left="34"/>
              <w:rPr>
                <w:sz w:val="24"/>
                <w:szCs w:val="24"/>
              </w:rPr>
            </w:pPr>
            <w:r w:rsidRPr="00710742">
              <w:rPr>
                <w:sz w:val="24"/>
                <w:szCs w:val="24"/>
              </w:rPr>
              <w:t xml:space="preserve">Mave-tarm-kanalen: </w:t>
            </w:r>
          </w:p>
        </w:tc>
        <w:tc>
          <w:tcPr>
            <w:tcW w:w="5103" w:type="dxa"/>
          </w:tcPr>
          <w:p w:rsidR="00A20F50" w:rsidRPr="00710742" w:rsidRDefault="00A20F50" w:rsidP="00B560F0">
            <w:pPr>
              <w:ind w:left="69"/>
              <w:rPr>
                <w:sz w:val="24"/>
                <w:szCs w:val="24"/>
              </w:rPr>
            </w:pPr>
            <w:r w:rsidRPr="00710742">
              <w:rPr>
                <w:sz w:val="24"/>
                <w:szCs w:val="24"/>
              </w:rPr>
              <w:t>Almindelig: Opkastning, diarré, kvalme, dyspepsi</w:t>
            </w:r>
          </w:p>
        </w:tc>
      </w:tr>
      <w:tr w:rsidR="00A20F50" w:rsidRPr="00710742" w:rsidTr="00710742">
        <w:tc>
          <w:tcPr>
            <w:tcW w:w="3686" w:type="dxa"/>
          </w:tcPr>
          <w:p w:rsidR="00A20F50" w:rsidRPr="00710742" w:rsidRDefault="00A20F50" w:rsidP="00B560F0">
            <w:pPr>
              <w:ind w:left="34"/>
              <w:rPr>
                <w:sz w:val="24"/>
                <w:szCs w:val="24"/>
              </w:rPr>
            </w:pPr>
            <w:r w:rsidRPr="00710742">
              <w:rPr>
                <w:sz w:val="24"/>
                <w:szCs w:val="24"/>
              </w:rPr>
              <w:t xml:space="preserve">Lever og galdeveje: </w:t>
            </w:r>
          </w:p>
        </w:tc>
        <w:tc>
          <w:tcPr>
            <w:tcW w:w="5103" w:type="dxa"/>
          </w:tcPr>
          <w:p w:rsidR="00A20F50" w:rsidRPr="00710742" w:rsidRDefault="00A20F50" w:rsidP="00B560F0">
            <w:pPr>
              <w:ind w:left="69"/>
              <w:rPr>
                <w:sz w:val="24"/>
                <w:szCs w:val="24"/>
              </w:rPr>
            </w:pPr>
            <w:r w:rsidRPr="00710742">
              <w:rPr>
                <w:sz w:val="24"/>
                <w:szCs w:val="24"/>
              </w:rPr>
              <w:t>Almindelig: Forhøjede aminotransferaser</w:t>
            </w:r>
          </w:p>
        </w:tc>
      </w:tr>
      <w:tr w:rsidR="00A20F50" w:rsidRPr="00710742" w:rsidTr="00710742">
        <w:tc>
          <w:tcPr>
            <w:tcW w:w="3686" w:type="dxa"/>
          </w:tcPr>
          <w:p w:rsidR="00A20F50" w:rsidRPr="00710742" w:rsidRDefault="00A20F50" w:rsidP="00B560F0">
            <w:pPr>
              <w:ind w:left="34"/>
              <w:rPr>
                <w:sz w:val="24"/>
                <w:szCs w:val="24"/>
              </w:rPr>
            </w:pPr>
            <w:r w:rsidRPr="00710742">
              <w:rPr>
                <w:sz w:val="24"/>
                <w:szCs w:val="24"/>
              </w:rPr>
              <w:t xml:space="preserve">Hud og subkutane væv: </w:t>
            </w:r>
          </w:p>
        </w:tc>
        <w:tc>
          <w:tcPr>
            <w:tcW w:w="5103" w:type="dxa"/>
          </w:tcPr>
          <w:p w:rsidR="00A20F50" w:rsidRPr="00710742" w:rsidRDefault="00A20F50" w:rsidP="00B560F0">
            <w:pPr>
              <w:ind w:left="69"/>
              <w:rPr>
                <w:sz w:val="24"/>
                <w:szCs w:val="24"/>
              </w:rPr>
            </w:pPr>
            <w:r w:rsidRPr="00710742">
              <w:rPr>
                <w:sz w:val="24"/>
                <w:szCs w:val="24"/>
              </w:rPr>
              <w:t>Ikke almindelig: Udslæt, alopeci</w:t>
            </w:r>
          </w:p>
        </w:tc>
      </w:tr>
      <w:tr w:rsidR="00A20F50" w:rsidRPr="00710742" w:rsidTr="00710742">
        <w:tc>
          <w:tcPr>
            <w:tcW w:w="3686" w:type="dxa"/>
          </w:tcPr>
          <w:p w:rsidR="00A20F50" w:rsidRPr="00710742" w:rsidRDefault="00A20F50" w:rsidP="00B560F0">
            <w:pPr>
              <w:ind w:left="34"/>
              <w:rPr>
                <w:sz w:val="24"/>
                <w:szCs w:val="24"/>
              </w:rPr>
            </w:pPr>
            <w:r w:rsidRPr="00710742">
              <w:rPr>
                <w:sz w:val="24"/>
                <w:szCs w:val="24"/>
              </w:rPr>
              <w:t>Almene symptomer og reaktioner på administrationsstedet:</w:t>
            </w:r>
          </w:p>
        </w:tc>
        <w:tc>
          <w:tcPr>
            <w:tcW w:w="5103" w:type="dxa"/>
          </w:tcPr>
          <w:p w:rsidR="00A20F50" w:rsidRPr="00710742" w:rsidRDefault="00A20F50" w:rsidP="00B560F0">
            <w:pPr>
              <w:ind w:left="69"/>
              <w:rPr>
                <w:sz w:val="24"/>
                <w:szCs w:val="24"/>
              </w:rPr>
            </w:pPr>
            <w:r w:rsidRPr="00710742">
              <w:rPr>
                <w:sz w:val="24"/>
                <w:szCs w:val="24"/>
              </w:rPr>
              <w:t>Almindelig: Træthed</w:t>
            </w:r>
          </w:p>
        </w:tc>
      </w:tr>
    </w:tbl>
    <w:p w:rsidR="00A20F50" w:rsidRPr="00D06229" w:rsidRDefault="00A20F50" w:rsidP="00A20F50">
      <w:pPr>
        <w:tabs>
          <w:tab w:val="left" w:pos="851"/>
        </w:tabs>
        <w:ind w:left="851"/>
        <w:rPr>
          <w:sz w:val="24"/>
          <w:szCs w:val="24"/>
          <w:lang w:val="en-US"/>
        </w:rPr>
      </w:pPr>
    </w:p>
    <w:p w:rsidR="00A20F50" w:rsidRPr="00D06229" w:rsidRDefault="00A20F50" w:rsidP="00A20F50">
      <w:pPr>
        <w:tabs>
          <w:tab w:val="left" w:pos="851"/>
        </w:tabs>
        <w:ind w:left="851"/>
        <w:rPr>
          <w:sz w:val="24"/>
          <w:szCs w:val="24"/>
        </w:rPr>
      </w:pPr>
      <w:r w:rsidRPr="00D06229">
        <w:rPr>
          <w:sz w:val="24"/>
          <w:szCs w:val="24"/>
        </w:rPr>
        <w:t>Der er rapporteret om tilfælde af laktacidose, ofte associeret med hepatisk inkompensation, andre alvorlige medicinske tilstande eller lægemiddeleksponering (se pkt. 4.4).</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rPr>
      </w:pPr>
      <w:r w:rsidRPr="00D06229">
        <w:rPr>
          <w:sz w:val="24"/>
          <w:szCs w:val="24"/>
        </w:rPr>
        <w:t>Behandling ud over 48 uger: Fortsat behandling med entecavir, med en gennemsnitlig varighed på 96 uger, har ikke rejst nye sikkerhedsspørgsmål.</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u w:val="single"/>
        </w:rPr>
      </w:pPr>
      <w:r w:rsidRPr="00D06229">
        <w:rPr>
          <w:sz w:val="24"/>
          <w:szCs w:val="24"/>
          <w:u w:val="single"/>
        </w:rPr>
        <w:t>c. Beskrivelse af udvalgte bivirkninger</w:t>
      </w:r>
    </w:p>
    <w:p w:rsidR="00A20F50" w:rsidRPr="00D06229" w:rsidRDefault="00A20F50" w:rsidP="00A20F50">
      <w:pPr>
        <w:tabs>
          <w:tab w:val="left" w:pos="851"/>
        </w:tabs>
        <w:ind w:left="851"/>
        <w:rPr>
          <w:sz w:val="24"/>
          <w:szCs w:val="24"/>
          <w:u w:val="single"/>
        </w:rPr>
      </w:pPr>
    </w:p>
    <w:p w:rsidR="00A20F50" w:rsidRPr="00D06229" w:rsidRDefault="00A20F50" w:rsidP="00A20F50">
      <w:pPr>
        <w:tabs>
          <w:tab w:val="left" w:pos="851"/>
        </w:tabs>
        <w:ind w:left="851"/>
        <w:rPr>
          <w:i/>
          <w:sz w:val="24"/>
          <w:szCs w:val="24"/>
        </w:rPr>
      </w:pPr>
      <w:r w:rsidRPr="00D06229">
        <w:rPr>
          <w:i/>
          <w:sz w:val="24"/>
          <w:szCs w:val="24"/>
        </w:rPr>
        <w:t>Unormale laboratorieprøver</w:t>
      </w:r>
    </w:p>
    <w:p w:rsidR="00A20F50" w:rsidRPr="00D06229" w:rsidRDefault="00A20F50" w:rsidP="00A20F50">
      <w:pPr>
        <w:tabs>
          <w:tab w:val="left" w:pos="851"/>
        </w:tabs>
        <w:ind w:left="851"/>
        <w:rPr>
          <w:sz w:val="24"/>
          <w:szCs w:val="24"/>
        </w:rPr>
      </w:pPr>
      <w:r w:rsidRPr="00D06229">
        <w:rPr>
          <w:sz w:val="24"/>
          <w:szCs w:val="24"/>
        </w:rPr>
        <w:t>I kliniske studier med nukleosid-naive patienter havde 5 % ALATstigninger &gt; 3 gange baseline, og &lt; 1 % havde forhøjet ALAT &gt; 2 gange baseline samt total-bilirubin &gt; 2 gange den øvre normalgrænse (ULN) og &gt; 2 gange baseline. Albuminniveauer &lt; 2,5 g/dl (25 g/l) forekom hos &lt; 1 % af patienterne, amylaseniveauer &gt; 3 gange baseline hos 2 %, lipaseniveauer &gt; 3 gange baseline hos 11 % samt trombocytter &lt; 50.000/mm</w:t>
      </w:r>
      <w:r w:rsidRPr="00C87981">
        <w:rPr>
          <w:sz w:val="24"/>
          <w:szCs w:val="24"/>
          <w:vertAlign w:val="superscript"/>
        </w:rPr>
        <w:t>3</w:t>
      </w:r>
      <w:r w:rsidRPr="00D06229">
        <w:rPr>
          <w:sz w:val="24"/>
          <w:szCs w:val="24"/>
        </w:rPr>
        <w:t xml:space="preserve"> hos &lt; 1 %.</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rPr>
      </w:pPr>
      <w:r w:rsidRPr="00D06229">
        <w:rPr>
          <w:sz w:val="24"/>
          <w:szCs w:val="24"/>
        </w:rPr>
        <w:t>I kliniske forsøg med lamivudin-refraktære patienter havde 4 % af patienterne ALATstigninger &gt; 3 gange baseline; &lt; 1 % havde ALAT-stigninger &gt; 2 gange baseline sammen med totalbilirubin &gt; 2 gange ULN og &gt; 2 gange baseline. Der sås amylaseniveauer &gt; 3 gange baseline hos 2 % af patienterne, lipaseniveauer &gt; 3 gange baseline hos 18 % og trombocytter &lt; 50.000/mm</w:t>
      </w:r>
      <w:r w:rsidRPr="00C87981">
        <w:rPr>
          <w:sz w:val="24"/>
          <w:szCs w:val="24"/>
          <w:vertAlign w:val="superscript"/>
        </w:rPr>
        <w:t>3</w:t>
      </w:r>
      <w:r w:rsidRPr="00D06229">
        <w:rPr>
          <w:sz w:val="24"/>
          <w:szCs w:val="24"/>
        </w:rPr>
        <w:t xml:space="preserve"> hos &lt; 1 %.</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i/>
          <w:sz w:val="24"/>
          <w:szCs w:val="24"/>
        </w:rPr>
      </w:pPr>
      <w:r w:rsidRPr="00D06229">
        <w:rPr>
          <w:i/>
          <w:sz w:val="24"/>
          <w:szCs w:val="24"/>
        </w:rPr>
        <w:t>Eksacerbationer under behandling</w:t>
      </w:r>
    </w:p>
    <w:p w:rsidR="00A20F50" w:rsidRPr="00D06229" w:rsidRDefault="00A20F50" w:rsidP="00A20F50">
      <w:pPr>
        <w:tabs>
          <w:tab w:val="left" w:pos="851"/>
        </w:tabs>
        <w:ind w:left="851"/>
        <w:rPr>
          <w:sz w:val="24"/>
          <w:szCs w:val="24"/>
        </w:rPr>
      </w:pPr>
      <w:r w:rsidRPr="00D06229">
        <w:rPr>
          <w:sz w:val="24"/>
          <w:szCs w:val="24"/>
        </w:rPr>
        <w:t>I studier med patienter, der ikke tidligere har været behandlet med nukleosid, sås under behandling ALAT-stigninger &gt; 10 gange ULN og &gt; 2 gange baseline hos 2 % af de entecavir-behandlede patienter vs. 4 % af de lamivudin-behandlede patienter. I studier med</w:t>
      </w:r>
      <w:r w:rsidR="00710742">
        <w:rPr>
          <w:sz w:val="24"/>
          <w:szCs w:val="24"/>
        </w:rPr>
        <w:t xml:space="preserve"> </w:t>
      </w:r>
      <w:r w:rsidRPr="00D06229">
        <w:rPr>
          <w:sz w:val="24"/>
          <w:szCs w:val="24"/>
        </w:rPr>
        <w:t>lamivudin-refraktære patienter sås under behandling ALAT-stigninger &gt; 10 gange ULN og &gt; 2 gange baseline hos 2 % af entecavir-behandlede patienter vs. 11 % af lamivudin-behandlede patienter. Blandt entecavir-behandlede patienter var den gennemsnitlige tid til ALAT-stigninger under behandling 4-5 uger. Stigningerne svandt generelt ved fortsat behandling og de var, i de fleste tilfælde, forbundet med en ≥ 2 log</w:t>
      </w:r>
      <w:r w:rsidRPr="00D06229">
        <w:rPr>
          <w:sz w:val="24"/>
          <w:szCs w:val="24"/>
          <w:vertAlign w:val="subscript"/>
        </w:rPr>
        <w:t>10</w:t>
      </w:r>
      <w:r w:rsidRPr="00D06229">
        <w:rPr>
          <w:sz w:val="24"/>
          <w:szCs w:val="24"/>
        </w:rPr>
        <w:t>/ml reduktion i viral load, der gik forud for eller faldt sammen med ALAT-stigningen. Periodisk monitorering af leverfunktion anbefales under behandling.</w:t>
      </w:r>
    </w:p>
    <w:p w:rsidR="00C87981" w:rsidRDefault="00C87981">
      <w:pPr>
        <w:rPr>
          <w:sz w:val="24"/>
          <w:szCs w:val="24"/>
          <w:u w:val="single"/>
        </w:rPr>
      </w:pPr>
      <w:r>
        <w:rPr>
          <w:sz w:val="24"/>
          <w:szCs w:val="24"/>
          <w:u w:val="single"/>
        </w:rPr>
        <w:br w:type="page"/>
      </w:r>
    </w:p>
    <w:p w:rsidR="00A20F50" w:rsidRPr="00D06229" w:rsidRDefault="00A20F50" w:rsidP="00A20F50">
      <w:pPr>
        <w:tabs>
          <w:tab w:val="left" w:pos="851"/>
        </w:tabs>
        <w:ind w:left="851"/>
        <w:rPr>
          <w:sz w:val="24"/>
          <w:szCs w:val="24"/>
          <w:u w:val="single"/>
        </w:rPr>
      </w:pPr>
    </w:p>
    <w:p w:rsidR="00A20F50" w:rsidRPr="00D06229" w:rsidRDefault="00A20F50" w:rsidP="00A20F50">
      <w:pPr>
        <w:tabs>
          <w:tab w:val="left" w:pos="851"/>
        </w:tabs>
        <w:ind w:left="851"/>
        <w:rPr>
          <w:i/>
          <w:sz w:val="24"/>
          <w:szCs w:val="24"/>
        </w:rPr>
      </w:pPr>
      <w:r w:rsidRPr="00D06229">
        <w:rPr>
          <w:i/>
          <w:sz w:val="24"/>
          <w:szCs w:val="24"/>
        </w:rPr>
        <w:t>Eksacerbationer efter seponering af behandling</w:t>
      </w:r>
    </w:p>
    <w:p w:rsidR="00A20F50" w:rsidRPr="00D06229" w:rsidRDefault="00A20F50" w:rsidP="00A20F50">
      <w:pPr>
        <w:tabs>
          <w:tab w:val="left" w:pos="851"/>
        </w:tabs>
        <w:ind w:left="851"/>
        <w:rPr>
          <w:sz w:val="24"/>
          <w:szCs w:val="24"/>
        </w:rPr>
      </w:pPr>
      <w:r w:rsidRPr="00D06229">
        <w:rPr>
          <w:sz w:val="24"/>
          <w:szCs w:val="24"/>
        </w:rPr>
        <w:t>Der er indberettet akutte eksacerbationer af hepatitis hos patienter, som har seponeret behandling af hepatitis B, inklusive behandling med entecavir (se pkt. 4.4). I studier med nukleosid-naive patienter oplevede 6 % af de entecavir-behandlede patienter og 10 % af de lamivudin-behandlede patienter ALAT-stigninger (&gt; 10 gange ULN og &gt; 2 gange referenceværdien [mindst af baseline eller sidste måling ved afslutning af behandling]) ved opfølgning efter behandling. Blandt entecavir-behandlede nukleosid-naive patienter var den gennemsnitlige tid til ALAT-stigning 23-24 uger, og 86 % (24/28) af ALAT-stigningerne opstod hos HBeAg-negative patienter. I studier med lamivudin-refraktære patienter, hvor kun et begrænset antal patienter blev fulgt op, udviklede 11 % af de entecavir-behandlede patienter og ingen af de lamivudin-behandlede patienter ALAT-stigninger under opfølgning efter behandling.</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rPr>
      </w:pPr>
      <w:r w:rsidRPr="00D06229">
        <w:rPr>
          <w:sz w:val="24"/>
          <w:szCs w:val="24"/>
        </w:rPr>
        <w:t>I de kliniske forsøg blev behandling med entecavir seponeret, hvis patienterne oplevede et</w:t>
      </w:r>
    </w:p>
    <w:p w:rsidR="00A20F50" w:rsidRPr="00D06229" w:rsidRDefault="00A20F50" w:rsidP="00A20F50">
      <w:pPr>
        <w:tabs>
          <w:tab w:val="left" w:pos="851"/>
        </w:tabs>
        <w:ind w:left="851"/>
        <w:rPr>
          <w:sz w:val="24"/>
          <w:szCs w:val="24"/>
        </w:rPr>
      </w:pPr>
      <w:r w:rsidRPr="00D06229">
        <w:rPr>
          <w:sz w:val="24"/>
          <w:szCs w:val="24"/>
        </w:rPr>
        <w:t>præspecificeret respons. Hvis behandling seponeres uafhængigt af behandlingsrespons, kan forekomst af ALAT-stigninger efter seponering være højere.</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u w:val="single"/>
        </w:rPr>
      </w:pPr>
      <w:r w:rsidRPr="00D06229">
        <w:rPr>
          <w:sz w:val="24"/>
          <w:szCs w:val="24"/>
          <w:u w:val="single"/>
        </w:rPr>
        <w:t>d. Pædiatrisk population</w:t>
      </w:r>
    </w:p>
    <w:p w:rsidR="00DB2B4C" w:rsidRPr="00D06229" w:rsidRDefault="00A20F50" w:rsidP="00710742">
      <w:pPr>
        <w:ind w:left="851"/>
        <w:rPr>
          <w:sz w:val="24"/>
          <w:szCs w:val="24"/>
        </w:rPr>
      </w:pPr>
      <w:r w:rsidRPr="00D06229">
        <w:rPr>
          <w:sz w:val="24"/>
          <w:szCs w:val="24"/>
        </w:rPr>
        <w:t>Entecavirs sikkerhed hos pædiatriske patienter fra 2 til &lt; 18 år er baseret på to</w:t>
      </w:r>
      <w:r w:rsidR="00624E0E">
        <w:rPr>
          <w:sz w:val="24"/>
          <w:szCs w:val="24"/>
        </w:rPr>
        <w:t xml:space="preserve"> i</w:t>
      </w:r>
      <w:r w:rsidRPr="00D06229">
        <w:rPr>
          <w:sz w:val="24"/>
          <w:szCs w:val="24"/>
        </w:rPr>
        <w:t>gangværende kliniske forsøg med forsøgspersoner med kronisk HBV-infektion; et farmakokinetisk fase 2-forsøg (studie 028) og et fase 3-forsøg (studie 189). Disse forsøg tilvejebringer erfaring fra 195 nukleosid-naive, HBeAgpositive forsøgspersoner, som behandles med entecavir i gennemsnitlig 99 uger. De bivirkninger, der blev observeret hos pædiatriske forsøgspersoner, som fik behandling med entecavir, var de same som de bivirkninger, der blev observeret hos voksne i kliniske forsøg med entecavir (se a. Oversigt over sikkerhedsprofilen og pkt. 5.1).</w:t>
      </w:r>
      <w:r w:rsidR="00DB2B4C" w:rsidRPr="00D06229">
        <w:rPr>
          <w:sz w:val="24"/>
          <w:szCs w:val="24"/>
        </w:rPr>
        <w:t xml:space="preserve"> med følgende undtagelser hos pædiatriske patienter:</w:t>
      </w:r>
    </w:p>
    <w:p w:rsidR="00DB2B4C" w:rsidRPr="00D06229" w:rsidRDefault="00DB2B4C" w:rsidP="00710742">
      <w:pPr>
        <w:pStyle w:val="Listeafsnit"/>
        <w:numPr>
          <w:ilvl w:val="0"/>
          <w:numId w:val="11"/>
        </w:numPr>
        <w:spacing w:after="0" w:line="240" w:lineRule="auto"/>
        <w:ind w:left="851" w:firstLine="0"/>
        <w:rPr>
          <w:rFonts w:ascii="Times New Roman" w:hAnsi="Times New Roman" w:cs="Times New Roman"/>
          <w:sz w:val="24"/>
          <w:szCs w:val="24"/>
          <w:lang w:val="da-DK"/>
        </w:rPr>
      </w:pPr>
      <w:r w:rsidRPr="00D06229">
        <w:rPr>
          <w:rFonts w:ascii="Times New Roman" w:hAnsi="Times New Roman" w:cs="Times New Roman"/>
          <w:sz w:val="24"/>
          <w:szCs w:val="24"/>
          <w:lang w:val="da-DK"/>
        </w:rPr>
        <w:t>meget almindelig bivirkning: neutropeni.</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u w:val="single"/>
        </w:rPr>
      </w:pPr>
      <w:r w:rsidRPr="00D06229">
        <w:rPr>
          <w:sz w:val="24"/>
          <w:szCs w:val="24"/>
          <w:u w:val="single"/>
        </w:rPr>
        <w:t>e. Andre særlige populationer</w:t>
      </w:r>
    </w:p>
    <w:p w:rsidR="00A20F50" w:rsidRPr="00D06229" w:rsidRDefault="00A20F50" w:rsidP="00A20F50">
      <w:pPr>
        <w:tabs>
          <w:tab w:val="left" w:pos="851"/>
        </w:tabs>
        <w:ind w:left="851"/>
        <w:rPr>
          <w:i/>
          <w:sz w:val="24"/>
          <w:szCs w:val="24"/>
        </w:rPr>
      </w:pPr>
    </w:p>
    <w:p w:rsidR="00A20F50" w:rsidRPr="00D06229" w:rsidRDefault="00A20F50" w:rsidP="00A20F50">
      <w:pPr>
        <w:tabs>
          <w:tab w:val="left" w:pos="851"/>
        </w:tabs>
        <w:ind w:left="851"/>
        <w:rPr>
          <w:i/>
          <w:sz w:val="24"/>
          <w:szCs w:val="24"/>
        </w:rPr>
      </w:pPr>
      <w:r w:rsidRPr="00D06229">
        <w:rPr>
          <w:i/>
          <w:sz w:val="24"/>
          <w:szCs w:val="24"/>
        </w:rPr>
        <w:t>Erfaring med patienter med inkompenseret leversygdom</w:t>
      </w:r>
    </w:p>
    <w:p w:rsidR="00A20F50" w:rsidRPr="00D06229" w:rsidRDefault="00A20F50" w:rsidP="00A20F50">
      <w:pPr>
        <w:tabs>
          <w:tab w:val="left" w:pos="851"/>
        </w:tabs>
        <w:ind w:left="851"/>
        <w:rPr>
          <w:sz w:val="24"/>
          <w:szCs w:val="24"/>
        </w:rPr>
      </w:pPr>
      <w:r w:rsidRPr="00D06229">
        <w:rPr>
          <w:sz w:val="24"/>
          <w:szCs w:val="24"/>
        </w:rPr>
        <w:t xml:space="preserve">Entecavirs sikkerhedsprofil hos patienter med inkompenseret leversygdom er blevet undersøgt i et randomiseret, åbent, sammenlignende studie, hvor patienter blev behandlet med entecavir 1 mg/dag (n=102) eller adefovirdipivoxil 10 mg/dag (n=89) (studie 048). I forhold til de bivirkninger, der er anført i punkt </w:t>
      </w:r>
      <w:r w:rsidRPr="00D06229">
        <w:rPr>
          <w:i/>
          <w:sz w:val="24"/>
          <w:szCs w:val="24"/>
        </w:rPr>
        <w:t>b. Liste i tabelform over bivirkninger</w:t>
      </w:r>
      <w:r w:rsidRPr="00D06229">
        <w:rPr>
          <w:sz w:val="24"/>
          <w:szCs w:val="24"/>
        </w:rPr>
        <w:t>, blev der observeret en yderligere bivirkning [fald i blodhydrogencarbonat (2 %)] hos entecavir-behandlede patienter i uge 48. Den kumulative dødelighed i løbet af studiet var 23 % (23/102), og dødsårsagerne var generelt lever-relaterede som forventet i denne population. Den kumulative forekomst af carcinoma hepatocellulare (HCC) i løbet af studiet var 12 % (12/102). Alvorlige bivirkninger var generelt lever-relaterede med en kumulativ forekomst i studiet på 69 %. Patienter med højt CTP-tal ved baseline havde større risiko for at få alvorlige bivirkninger (se pkt</w:t>
      </w:r>
      <w:r w:rsidR="00624E0E">
        <w:rPr>
          <w:sz w:val="24"/>
          <w:szCs w:val="24"/>
        </w:rPr>
        <w:t>.</w:t>
      </w:r>
      <w:r w:rsidRPr="00D06229">
        <w:rPr>
          <w:sz w:val="24"/>
          <w:szCs w:val="24"/>
        </w:rPr>
        <w:t xml:space="preserve"> 4.4).</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rPr>
      </w:pPr>
      <w:r w:rsidRPr="00D06229">
        <w:rPr>
          <w:sz w:val="24"/>
          <w:szCs w:val="24"/>
        </w:rPr>
        <w:t>Unormale laboratorieprøver: I uge 48 havde ingen af de entecavir-behandlede patienter med inkompenseret leversygdom ALAT-forhøjelse &gt; 10 gange ULN og &gt; 2 gange baseline og 1 % af patienterne havde ALAT-forhøjelser &gt; 2 gange baseline og samtidig total-bilirubin &gt; 2 gange ULN og &gt; 2 gange baseline. Albumin-niveauer &lt; 2,5 g/dl forekom hos 30 % af patienterne, lipase-niveauer &gt; 3 gange baseline hos 10 % af patienterne og blodplader &lt; 50.000/mm3 hos 20 % af patienterne.</w:t>
      </w:r>
    </w:p>
    <w:p w:rsidR="00A20F50" w:rsidRPr="00D06229" w:rsidRDefault="00A20F50" w:rsidP="00A20F50">
      <w:pPr>
        <w:tabs>
          <w:tab w:val="left" w:pos="851"/>
        </w:tabs>
        <w:ind w:left="851"/>
        <w:rPr>
          <w:sz w:val="24"/>
          <w:szCs w:val="24"/>
          <w:u w:val="single"/>
        </w:rPr>
      </w:pPr>
    </w:p>
    <w:p w:rsidR="00A20F50" w:rsidRPr="00D06229" w:rsidRDefault="00A20F50" w:rsidP="00A20F50">
      <w:pPr>
        <w:tabs>
          <w:tab w:val="left" w:pos="851"/>
        </w:tabs>
        <w:ind w:left="851"/>
        <w:rPr>
          <w:i/>
          <w:sz w:val="24"/>
          <w:szCs w:val="24"/>
        </w:rPr>
      </w:pPr>
      <w:r w:rsidRPr="00D06229">
        <w:rPr>
          <w:i/>
          <w:sz w:val="24"/>
          <w:szCs w:val="24"/>
        </w:rPr>
        <w:lastRenderedPageBreak/>
        <w:t>Erfaring med patienter med samtidig hiv-infektion</w:t>
      </w:r>
    </w:p>
    <w:p w:rsidR="00A20F50" w:rsidRPr="00D06229" w:rsidRDefault="00A20F50" w:rsidP="00A20F50">
      <w:pPr>
        <w:tabs>
          <w:tab w:val="left" w:pos="851"/>
        </w:tabs>
        <w:ind w:left="851"/>
        <w:rPr>
          <w:sz w:val="24"/>
          <w:szCs w:val="24"/>
        </w:rPr>
      </w:pPr>
      <w:r w:rsidRPr="00D06229">
        <w:rPr>
          <w:sz w:val="24"/>
          <w:szCs w:val="24"/>
        </w:rPr>
        <w:t>I en mindre gruppe patienter med hiv/HBVinfektion i HAART-regimer (highly active antiretroviral therapy) der omfattede lamivudin, svarede entecavirs sikkerhedsprofil til den hos monoinficerede HBV-patienter (se pkt. 4.4).</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i/>
          <w:sz w:val="24"/>
          <w:szCs w:val="24"/>
        </w:rPr>
      </w:pPr>
      <w:r w:rsidRPr="00D06229">
        <w:rPr>
          <w:i/>
          <w:sz w:val="24"/>
          <w:szCs w:val="24"/>
        </w:rPr>
        <w:t>Køn/alder</w:t>
      </w:r>
    </w:p>
    <w:p w:rsidR="00A20F50" w:rsidRPr="00D06229" w:rsidRDefault="00A20F50" w:rsidP="00A20F50">
      <w:pPr>
        <w:tabs>
          <w:tab w:val="left" w:pos="851"/>
        </w:tabs>
        <w:ind w:left="851"/>
        <w:rPr>
          <w:sz w:val="24"/>
          <w:szCs w:val="24"/>
        </w:rPr>
      </w:pPr>
      <w:r w:rsidRPr="00D06229">
        <w:rPr>
          <w:sz w:val="24"/>
          <w:szCs w:val="24"/>
        </w:rPr>
        <w:t>Der sås ingen åbenlyse forskelle i sikkerhedsprofil for entecavir med hensyn til køn (≈ 25 % kvinder i kliniske forsøg) eller alder (≈ 5 % &gt; 65 år).</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u w:val="single"/>
        </w:rPr>
      </w:pPr>
      <w:r w:rsidRPr="00D06229">
        <w:rPr>
          <w:sz w:val="24"/>
          <w:szCs w:val="24"/>
          <w:u w:val="single"/>
        </w:rPr>
        <w:t>Indberetning af formodede bivirkninger</w:t>
      </w:r>
    </w:p>
    <w:p w:rsidR="00A20F50" w:rsidRPr="00D06229" w:rsidRDefault="00A20F50" w:rsidP="00A20F50">
      <w:pPr>
        <w:tabs>
          <w:tab w:val="left" w:pos="851"/>
        </w:tabs>
        <w:ind w:left="851"/>
        <w:rPr>
          <w:sz w:val="24"/>
          <w:szCs w:val="24"/>
        </w:rPr>
      </w:pPr>
      <w:r w:rsidRPr="00D06229">
        <w:rPr>
          <w:sz w:val="24"/>
          <w:szCs w:val="24"/>
        </w:rPr>
        <w:t xml:space="preserve">Når lægemidlet er godkendt, er indberetning af formodede bivirkninger vigtig. Det muliggør løbende overvågning af benefit/risk-forholdet for lægemidlet. </w:t>
      </w:r>
      <w:r w:rsidR="00DB2B4C" w:rsidRPr="00D06229">
        <w:rPr>
          <w:sz w:val="24"/>
          <w:szCs w:val="24"/>
        </w:rPr>
        <w:t>S</w:t>
      </w:r>
      <w:r w:rsidRPr="00D06229">
        <w:rPr>
          <w:sz w:val="24"/>
          <w:szCs w:val="24"/>
        </w:rPr>
        <w:t>undhedsperson</w:t>
      </w:r>
      <w:r w:rsidR="00DB2B4C" w:rsidRPr="00D06229">
        <w:rPr>
          <w:sz w:val="24"/>
          <w:szCs w:val="24"/>
        </w:rPr>
        <w:t>er</w:t>
      </w:r>
      <w:r w:rsidRPr="00D06229">
        <w:rPr>
          <w:sz w:val="24"/>
          <w:szCs w:val="24"/>
        </w:rPr>
        <w:t xml:space="preserve"> anmodes om at indberette alle formodede bivirkninger via:</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rPr>
      </w:pPr>
      <w:r w:rsidRPr="00D06229">
        <w:rPr>
          <w:sz w:val="24"/>
          <w:szCs w:val="24"/>
        </w:rPr>
        <w:t>Lægemiddelstyrelsen</w:t>
      </w:r>
    </w:p>
    <w:p w:rsidR="00A20F50" w:rsidRPr="00D06229" w:rsidRDefault="00A20F50" w:rsidP="00A20F50">
      <w:pPr>
        <w:tabs>
          <w:tab w:val="left" w:pos="851"/>
        </w:tabs>
        <w:ind w:left="851"/>
        <w:rPr>
          <w:sz w:val="24"/>
          <w:szCs w:val="24"/>
        </w:rPr>
      </w:pPr>
      <w:r w:rsidRPr="00D06229">
        <w:rPr>
          <w:sz w:val="24"/>
          <w:szCs w:val="24"/>
        </w:rPr>
        <w:t>Axel Heides Gade 1</w:t>
      </w:r>
    </w:p>
    <w:p w:rsidR="00A20F50" w:rsidRPr="00D06229" w:rsidRDefault="00A20F50" w:rsidP="00A20F50">
      <w:pPr>
        <w:tabs>
          <w:tab w:val="left" w:pos="851"/>
        </w:tabs>
        <w:ind w:left="851"/>
        <w:rPr>
          <w:sz w:val="24"/>
          <w:szCs w:val="24"/>
        </w:rPr>
      </w:pPr>
      <w:r w:rsidRPr="00D06229">
        <w:rPr>
          <w:sz w:val="24"/>
          <w:szCs w:val="24"/>
        </w:rPr>
        <w:t>DK-2300 København S</w:t>
      </w:r>
    </w:p>
    <w:p w:rsidR="00A20F50" w:rsidRPr="000A0C32" w:rsidRDefault="00A20F50" w:rsidP="00A20F50">
      <w:pPr>
        <w:tabs>
          <w:tab w:val="left" w:pos="851"/>
        </w:tabs>
        <w:ind w:left="851"/>
        <w:rPr>
          <w:sz w:val="24"/>
          <w:szCs w:val="24"/>
        </w:rPr>
      </w:pPr>
      <w:r w:rsidRPr="000A0C32">
        <w:rPr>
          <w:sz w:val="24"/>
          <w:szCs w:val="24"/>
        </w:rPr>
        <w:t xml:space="preserve">Websted: </w:t>
      </w:r>
      <w:hyperlink r:id="rId8" w:history="1">
        <w:r w:rsidRPr="000A0C32">
          <w:rPr>
            <w:rStyle w:val="Hyperlink"/>
            <w:sz w:val="24"/>
            <w:szCs w:val="24"/>
          </w:rPr>
          <w:t>www.meldenbivirkning.dk</w:t>
        </w:r>
      </w:hyperlink>
    </w:p>
    <w:p w:rsidR="00A20F50" w:rsidRPr="000A0C32" w:rsidRDefault="00A20F50" w:rsidP="00A20F50">
      <w:pPr>
        <w:pStyle w:val="Sidehoved"/>
        <w:tabs>
          <w:tab w:val="left" w:pos="851"/>
        </w:tabs>
        <w:ind w:left="851"/>
        <w:rPr>
          <w:szCs w:val="24"/>
        </w:rPr>
      </w:pPr>
    </w:p>
    <w:p w:rsidR="00A20F50" w:rsidRPr="00D06229" w:rsidRDefault="00A20F50" w:rsidP="00A20F50">
      <w:pPr>
        <w:tabs>
          <w:tab w:val="left" w:pos="851"/>
        </w:tabs>
        <w:ind w:left="851" w:hanging="851"/>
        <w:rPr>
          <w:b/>
          <w:sz w:val="24"/>
          <w:szCs w:val="24"/>
        </w:rPr>
      </w:pPr>
      <w:r w:rsidRPr="00D06229">
        <w:rPr>
          <w:b/>
          <w:sz w:val="24"/>
          <w:szCs w:val="24"/>
        </w:rPr>
        <w:t>4.9</w:t>
      </w:r>
      <w:r w:rsidRPr="00D06229">
        <w:rPr>
          <w:b/>
          <w:sz w:val="24"/>
          <w:szCs w:val="24"/>
        </w:rPr>
        <w:tab/>
        <w:t>Overdosering</w:t>
      </w:r>
    </w:p>
    <w:p w:rsidR="00A20F50" w:rsidRPr="00D06229" w:rsidRDefault="00A20F50" w:rsidP="00A20F50">
      <w:pPr>
        <w:ind w:left="851"/>
        <w:rPr>
          <w:sz w:val="24"/>
          <w:szCs w:val="24"/>
        </w:rPr>
      </w:pPr>
      <w:r w:rsidRPr="00D06229">
        <w:rPr>
          <w:sz w:val="24"/>
          <w:szCs w:val="24"/>
        </w:rPr>
        <w:t>Der er begrænset erfaring med tilfælde af overdosering af entecavir hos patienter. Raske frivillige, som har fået op til 20 mg/dag i op til 14 dage og enkeltdoser på op til 40 mg, har ikke oplevet uventede bivirkninger. I tilfælde af overdosis skal patienten monitoreres for tegn på toksicitet og gives understøttende standardbehandling efter behov.</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4.10</w:t>
      </w:r>
      <w:r w:rsidRPr="00D06229">
        <w:rPr>
          <w:b/>
          <w:sz w:val="24"/>
          <w:szCs w:val="24"/>
        </w:rPr>
        <w:tab/>
        <w:t>Udlevering</w:t>
      </w:r>
    </w:p>
    <w:p w:rsidR="00A20F50" w:rsidRPr="00D06229" w:rsidRDefault="00A20F50" w:rsidP="00A20F50">
      <w:pPr>
        <w:tabs>
          <w:tab w:val="left" w:pos="851"/>
        </w:tabs>
        <w:ind w:left="851"/>
        <w:rPr>
          <w:sz w:val="24"/>
          <w:szCs w:val="24"/>
        </w:rPr>
      </w:pPr>
      <w:r w:rsidRPr="00D06229">
        <w:rPr>
          <w:sz w:val="24"/>
          <w:szCs w:val="24"/>
        </w:rPr>
        <w:t>BEGR (kun til sygehuse)</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5.</w:t>
      </w:r>
      <w:r w:rsidRPr="00D06229">
        <w:rPr>
          <w:b/>
          <w:sz w:val="24"/>
          <w:szCs w:val="24"/>
        </w:rPr>
        <w:tab/>
        <w:t>FARMAKOLOGISKE EGENSKABER</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5.0</w:t>
      </w:r>
      <w:r w:rsidRPr="00D06229">
        <w:rPr>
          <w:b/>
          <w:sz w:val="24"/>
          <w:szCs w:val="24"/>
        </w:rPr>
        <w:tab/>
        <w:t>Terapeutisk klassifikation</w:t>
      </w:r>
    </w:p>
    <w:p w:rsidR="00A20F50" w:rsidRPr="00D06229" w:rsidRDefault="00A20F50" w:rsidP="00A20F50">
      <w:pPr>
        <w:ind w:left="851"/>
        <w:rPr>
          <w:sz w:val="24"/>
          <w:szCs w:val="24"/>
        </w:rPr>
      </w:pPr>
      <w:r w:rsidRPr="00D06229">
        <w:rPr>
          <w:sz w:val="24"/>
          <w:szCs w:val="24"/>
        </w:rPr>
        <w:t>ATC-kode: J 05 AF 10. Antivirale midler til systemisk brug, nukleosid og nukleotid revers</w:t>
      </w:r>
    </w:p>
    <w:p w:rsidR="00A20F50" w:rsidRPr="00D06229" w:rsidRDefault="00A20F50" w:rsidP="00A20F50">
      <w:pPr>
        <w:ind w:left="851"/>
        <w:rPr>
          <w:sz w:val="24"/>
          <w:szCs w:val="24"/>
        </w:rPr>
      </w:pPr>
      <w:r w:rsidRPr="00D06229">
        <w:rPr>
          <w:sz w:val="24"/>
          <w:szCs w:val="24"/>
        </w:rPr>
        <w:t>transkriptase-hæmmere.</w:t>
      </w:r>
    </w:p>
    <w:p w:rsidR="00A20F50" w:rsidRPr="00D06229" w:rsidRDefault="00A20F50" w:rsidP="00A20F50">
      <w:pPr>
        <w:tabs>
          <w:tab w:val="left" w:pos="851"/>
        </w:tabs>
        <w:ind w:left="851"/>
        <w:rPr>
          <w:sz w:val="24"/>
          <w:szCs w:val="24"/>
        </w:rPr>
      </w:pPr>
    </w:p>
    <w:p w:rsidR="00A20F50" w:rsidRPr="00D06229" w:rsidRDefault="00A20F50" w:rsidP="00A20F50">
      <w:pPr>
        <w:tabs>
          <w:tab w:val="num" w:pos="851"/>
        </w:tabs>
        <w:ind w:left="851" w:hanging="851"/>
        <w:rPr>
          <w:b/>
          <w:sz w:val="24"/>
          <w:szCs w:val="24"/>
        </w:rPr>
      </w:pPr>
      <w:r w:rsidRPr="00D06229">
        <w:rPr>
          <w:b/>
          <w:sz w:val="24"/>
          <w:szCs w:val="24"/>
        </w:rPr>
        <w:t>5.1</w:t>
      </w:r>
      <w:r w:rsidRPr="00D06229">
        <w:rPr>
          <w:b/>
          <w:sz w:val="24"/>
          <w:szCs w:val="24"/>
        </w:rPr>
        <w:tab/>
        <w:t>Farmakodynamiske egenskaber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Virkningsmekanisme</w:t>
      </w:r>
    </w:p>
    <w:p w:rsidR="00A20F50" w:rsidRPr="00D06229" w:rsidRDefault="00A20F50" w:rsidP="00A20F50">
      <w:pPr>
        <w:ind w:left="851"/>
        <w:rPr>
          <w:sz w:val="24"/>
          <w:szCs w:val="24"/>
        </w:rPr>
      </w:pPr>
      <w:r w:rsidRPr="00D06229">
        <w:rPr>
          <w:sz w:val="24"/>
          <w:szCs w:val="24"/>
        </w:rPr>
        <w:t>Entecavir, en guanosinnukleosidanalog med aktivitet mod HBV-polymerase,</w:t>
      </w:r>
      <w:r w:rsidR="00710742">
        <w:rPr>
          <w:sz w:val="24"/>
          <w:szCs w:val="24"/>
        </w:rPr>
        <w:t xml:space="preserve"> </w:t>
      </w:r>
      <w:r w:rsidRPr="00D06229">
        <w:rPr>
          <w:sz w:val="24"/>
          <w:szCs w:val="24"/>
        </w:rPr>
        <w:t>fosforyleres effektivt til den aktive trifosfat-form (TP), som har en intracellulær halveringstid på 15 timer. Ved at konkurrere med det naturlige substrat deoxyguanosin-TP, hæmmer entecavir-TP funktionelt de 3 aktiviteter af den virale polymerase: (1) priming af HBV-polymerase, (2) reverstranskription af den negative streng DNA fra det prægenome messenger-RNA og (3) syntese af den positive streng HBV-DNA. Entecavir-TP Ki for HBV-DNA polymerase er 0,0012 μM. Entecavir-TP er en svag hæmmer af cellulær DNA-polymerase α, β og δ med Ki værdier på 18-40 µM. Dertil kommer, at høj eksponering af entecavir ikke havde relevante bivirkninger på γ-polymerase eller mitochondriel DNA-syntese i HepG2-celler (Ki &gt; 160 µM).</w:t>
      </w:r>
    </w:p>
    <w:p w:rsidR="00624E0E" w:rsidRDefault="00624E0E">
      <w:pPr>
        <w:rPr>
          <w:sz w:val="24"/>
          <w:szCs w:val="24"/>
        </w:rPr>
      </w:pPr>
      <w:r>
        <w:rPr>
          <w:sz w:val="24"/>
          <w:szCs w:val="24"/>
        </w:rPr>
        <w:br w:type="page"/>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Antiviral aktivitet</w:t>
      </w:r>
    </w:p>
    <w:p w:rsidR="00A20F50" w:rsidRPr="00D06229" w:rsidRDefault="00A20F50" w:rsidP="00A20F50">
      <w:pPr>
        <w:ind w:left="851"/>
        <w:rPr>
          <w:sz w:val="24"/>
          <w:szCs w:val="24"/>
        </w:rPr>
      </w:pPr>
      <w:r w:rsidRPr="00D06229">
        <w:rPr>
          <w:sz w:val="24"/>
          <w:szCs w:val="24"/>
        </w:rPr>
        <w:t>Entecavir hæmmer HBV-DNA-syntese (50 % reduktion, EC</w:t>
      </w:r>
      <w:r w:rsidRPr="00D06229">
        <w:rPr>
          <w:sz w:val="24"/>
          <w:szCs w:val="24"/>
          <w:vertAlign w:val="subscript"/>
        </w:rPr>
        <w:t>50</w:t>
      </w:r>
      <w:r w:rsidRPr="00D06229">
        <w:rPr>
          <w:sz w:val="24"/>
          <w:szCs w:val="24"/>
        </w:rPr>
        <w:t>) ved en koncentration på 0,004 µM i humane HepG2-celler transficeret med vild-type HBV. Gennemsnitlig</w:t>
      </w:r>
      <w:r w:rsidR="00710742">
        <w:rPr>
          <w:sz w:val="24"/>
          <w:szCs w:val="24"/>
        </w:rPr>
        <w:t xml:space="preserve"> </w:t>
      </w:r>
      <w:r w:rsidRPr="00D06229">
        <w:rPr>
          <w:sz w:val="24"/>
          <w:szCs w:val="24"/>
        </w:rPr>
        <w:t>EC</w:t>
      </w:r>
      <w:r w:rsidRPr="00D06229">
        <w:rPr>
          <w:sz w:val="24"/>
          <w:szCs w:val="24"/>
          <w:vertAlign w:val="subscript"/>
        </w:rPr>
        <w:t>50</w:t>
      </w:r>
      <w:r w:rsidRPr="00D06229">
        <w:rPr>
          <w:sz w:val="24"/>
          <w:szCs w:val="24"/>
        </w:rPr>
        <w:t>-værdi for entecavir mod LVDr HBV (rtL180M og rtM204V) er 0,026 µM (0,010 - 0,059 µM).</w:t>
      </w:r>
    </w:p>
    <w:p w:rsidR="00A20F50" w:rsidRPr="00D06229" w:rsidRDefault="00A20F50" w:rsidP="00A20F50">
      <w:pPr>
        <w:ind w:left="851"/>
        <w:rPr>
          <w:sz w:val="24"/>
          <w:szCs w:val="24"/>
        </w:rPr>
      </w:pPr>
      <w:r w:rsidRPr="00D06229">
        <w:rPr>
          <w:sz w:val="24"/>
          <w:szCs w:val="24"/>
        </w:rPr>
        <w:t>Rekombinante vira, kodende for adefovir-resistente substitutioner ved rtN236T eller rtA181V, forblev fuldt følsomme over for entecavir.</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En analyse af den inhibitoriske aktivitet af entecavir mod adskillige laboratoriemæssige og kliniske hiv-1-isolater, der anvender forskellige celler og analysebetingelser, resulterede i EC</w:t>
      </w:r>
      <w:r w:rsidRPr="00D06229">
        <w:rPr>
          <w:sz w:val="24"/>
          <w:szCs w:val="24"/>
          <w:vertAlign w:val="subscript"/>
        </w:rPr>
        <w:t>50</w:t>
      </w:r>
      <w:r w:rsidRPr="00D06229">
        <w:rPr>
          <w:sz w:val="24"/>
          <w:szCs w:val="24"/>
        </w:rPr>
        <w:t>-værdier fra 0,026 til &gt; 10 µM. De laveste EC</w:t>
      </w:r>
      <w:r w:rsidRPr="00D06229">
        <w:rPr>
          <w:sz w:val="24"/>
          <w:szCs w:val="24"/>
          <w:vertAlign w:val="subscript"/>
        </w:rPr>
        <w:t>50</w:t>
      </w:r>
      <w:r w:rsidRPr="00D06229">
        <w:rPr>
          <w:sz w:val="24"/>
          <w:szCs w:val="24"/>
        </w:rPr>
        <w:t>-værdier blev observeret, når reducerede niveauer af virus blev anvendt i analysen. I cellekulturer valgte entecavir en M184I-substitution i mikromolære koncentrationer, hvilket beviste inhibitorisk aktivitet ved høje entecavir-koncentrationer. hiv-varianter, der indeholder M184I-substitutionen, viste tab af følsomhed mod entecavir (se pkt. 4.4).</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I HBV-kombinationsassays i cellekulturer var abacavir, didanosin, lamivudin, stavudin, tenofovir og zidovudin ikke antagonistiske over for entecavirs anti-HBV-aktivitet inden for et større koncentrationsspænd. I antivirale hiv-assays var entecavir i mikromolære koncentrationer ikke antagonistisk over for anti-hiv-aktivitet i cellekulturer af disse 6 NRTI'er eller emtricitabin.</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Resistens i cellekulturer</w:t>
      </w:r>
    </w:p>
    <w:p w:rsidR="00A20F50" w:rsidRPr="00D06229" w:rsidRDefault="00A20F50" w:rsidP="00A20F50">
      <w:pPr>
        <w:ind w:left="851"/>
        <w:rPr>
          <w:sz w:val="24"/>
          <w:szCs w:val="24"/>
        </w:rPr>
      </w:pPr>
      <w:r w:rsidRPr="00D06229">
        <w:rPr>
          <w:sz w:val="24"/>
          <w:szCs w:val="24"/>
        </w:rPr>
        <w:t xml:space="preserve">I forhold til vild-type HBV, viste LVDr vira indeholdende rtM204V- og rtL180M-substitutioner inden for den reverse transkriptase 8 gange mindre følsomhed over for entecavir. Indlemmelse af yderligere ETVr-aminosyreforandringer rtT184, rtS202 ellerrtM250 medfører fald i entecavirfølsomhed i cellekulturer. Substitutioner observeret i kliniske isolater (rtT184A, C, F, G, I, L, M eller S; rtS202 C, G eller I; og/eller rtM250I, L eller V) reducerede yderligere entecavirfølsomheden 16 til 741 gange i forhold til vild-type virus. </w:t>
      </w:r>
      <w:r w:rsidR="005828C5" w:rsidRPr="00D06229">
        <w:rPr>
          <w:sz w:val="24"/>
          <w:szCs w:val="24"/>
        </w:rPr>
        <w:t xml:space="preserve">Lamivudin-resistente stammer indeholdende rtL180M plus rtM204V i kombination med aminosyresubstitution rtA181C førte til 16 til 122 gange reduktion i entecavir fænotypisk følsomhed. </w:t>
      </w:r>
      <w:r w:rsidRPr="00D06229">
        <w:rPr>
          <w:sz w:val="24"/>
          <w:szCs w:val="24"/>
        </w:rPr>
        <w:t>ETVr-substitutioner ved aminosyrerest rtT184, rtS202 og rtM250 alene har kun beskeden effekt på entecavirfølsomheden og er i mere end 1000 sekventerede patientprøver ikke observeret ved fravær af LVDr-substitutioner. Resistens medieres ved nedsat hæmmerbinding til den ændrede HBV-reverstranskriptase, og resistent HBV udviser nedsat replikationskapacitet i cellekulturer.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Klinisk erfaring</w:t>
      </w:r>
    </w:p>
    <w:p w:rsidR="00A20F50" w:rsidRPr="00D06229" w:rsidRDefault="00A20F50" w:rsidP="00A20F50">
      <w:pPr>
        <w:ind w:left="851"/>
        <w:rPr>
          <w:sz w:val="24"/>
          <w:szCs w:val="24"/>
        </w:rPr>
      </w:pPr>
      <w:r w:rsidRPr="00D06229">
        <w:rPr>
          <w:sz w:val="24"/>
          <w:szCs w:val="24"/>
        </w:rPr>
        <w:t>Påvisning af benefit er baseret på histologisk, virologisk, biokemisk og serologisk</w:t>
      </w:r>
      <w:r w:rsidR="00710742">
        <w:rPr>
          <w:sz w:val="24"/>
          <w:szCs w:val="24"/>
        </w:rPr>
        <w:t xml:space="preserve"> </w:t>
      </w:r>
      <w:r w:rsidRPr="00D06229">
        <w:rPr>
          <w:sz w:val="24"/>
          <w:szCs w:val="24"/>
        </w:rPr>
        <w:t>respons efter 48 ugers behandling i aktivt kontrollerede kliniske forsøg med 1.633 voksne med kronisk hepatitis B-infektion, dokumenteret virusreplikation og kompenseret leversygdom. Sikkerhed og virkning af entecavir blev også undersøgt i et aktivt kontrolleret klinisk forsøg med 191 HBV</w:t>
      </w:r>
      <w:r w:rsidR="0027462E">
        <w:rPr>
          <w:sz w:val="24"/>
          <w:szCs w:val="24"/>
        </w:rPr>
        <w:t>-</w:t>
      </w:r>
      <w:r w:rsidRPr="00D06229">
        <w:rPr>
          <w:sz w:val="24"/>
          <w:szCs w:val="24"/>
        </w:rPr>
        <w:t>inficerede patienter med inkompenseret leversygdom og i et klinisk forsøg med 68 patienter, der var co-inficerede med HBV og hiv.</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 xml:space="preserve">I forsøg med patienter med kompenseret leversygdom defineredes histologisk forbedring som et ≥ 2-point fald i Knodell nekro-inflammatorisk score fra baseline uden forværring i Knodell fibrosescoren. Respons hos patienter med en Knodell fibrose-score på 4 (cirrose) ved </w:t>
      </w:r>
      <w:r w:rsidRPr="00D06229">
        <w:rPr>
          <w:i/>
          <w:sz w:val="24"/>
          <w:szCs w:val="24"/>
        </w:rPr>
        <w:t>baseline</w:t>
      </w:r>
      <w:r w:rsidRPr="00D06229">
        <w:rPr>
          <w:sz w:val="24"/>
          <w:szCs w:val="24"/>
        </w:rPr>
        <w:t xml:space="preserve"> var sammenlignelig med det overordnede respons på alle effektmæssige resultatmål (alle patienter havde kompenseret leversygdom). Høje baseline Knodell </w:t>
      </w:r>
      <w:r w:rsidRPr="00D06229">
        <w:rPr>
          <w:sz w:val="24"/>
          <w:szCs w:val="24"/>
        </w:rPr>
        <w:lastRenderedPageBreak/>
        <w:t>nekroinflammatoriske scorer (&gt; 10) var forbundet med større histologisk forbedring hos patienter, der ikke tidligere havde været i nukleosidbehandling.</w:t>
      </w:r>
    </w:p>
    <w:p w:rsidR="00A20F50" w:rsidRPr="00D06229" w:rsidRDefault="00A20F50" w:rsidP="00A20F50">
      <w:pPr>
        <w:ind w:left="851"/>
        <w:rPr>
          <w:sz w:val="24"/>
          <w:szCs w:val="24"/>
        </w:rPr>
      </w:pPr>
      <w:r w:rsidRPr="00D06229">
        <w:rPr>
          <w:sz w:val="24"/>
          <w:szCs w:val="24"/>
        </w:rPr>
        <w:t>Såvel baseline ALAT-niveauer ≥ 2 gange ULN som baseline HBV-DNA ≤ 9,0 log</w:t>
      </w:r>
      <w:r w:rsidRPr="00D06229">
        <w:rPr>
          <w:sz w:val="24"/>
          <w:szCs w:val="24"/>
          <w:vertAlign w:val="subscript"/>
        </w:rPr>
        <w:t>10</w:t>
      </w:r>
      <w:r w:rsidRPr="00D06229">
        <w:rPr>
          <w:sz w:val="24"/>
          <w:szCs w:val="24"/>
        </w:rPr>
        <w:t xml:space="preserve"> kopier/ml var forbundet med højere forekomst af virologisk respons (Uge 48 HBV-DNA &lt; 400 kopier/ml) hos nukleosid-naive, HBeAg-positive patienter. Uafhængigt af baseline-karakteristika viste de fleste patienter histologisk og virologisk respons på behandling.</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Erfaring hos patienter med kompenseret leversygdom, der ikke tidligere har været i</w:t>
      </w:r>
      <w:r w:rsidR="006530A3">
        <w:rPr>
          <w:i/>
          <w:sz w:val="24"/>
          <w:szCs w:val="24"/>
        </w:rPr>
        <w:t xml:space="preserve"> </w:t>
      </w:r>
      <w:r w:rsidRPr="00D06229">
        <w:rPr>
          <w:i/>
          <w:sz w:val="24"/>
          <w:szCs w:val="24"/>
        </w:rPr>
        <w:t>nukleosidbehandling</w:t>
      </w:r>
    </w:p>
    <w:p w:rsidR="00A20F50" w:rsidRPr="00D06229" w:rsidRDefault="00A20F50" w:rsidP="00A20F50">
      <w:pPr>
        <w:ind w:left="851"/>
        <w:rPr>
          <w:sz w:val="24"/>
          <w:szCs w:val="24"/>
        </w:rPr>
      </w:pPr>
      <w:r w:rsidRPr="00D06229">
        <w:rPr>
          <w:sz w:val="24"/>
          <w:szCs w:val="24"/>
        </w:rPr>
        <w:t>Tabellen viser resultater efter 48 uger fra randomiserede, dobbeltblinde forsøg, der sammenligner entecavir (ETV) med lamivudin (LVD) hos HBeAg-positive (022) og HBeAg-negative (027) patienter.</w:t>
      </w:r>
    </w:p>
    <w:p w:rsidR="00A20F50" w:rsidRPr="00D06229" w:rsidRDefault="00A20F50" w:rsidP="00A20F50">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459"/>
        <w:gridCol w:w="1462"/>
        <w:gridCol w:w="1462"/>
        <w:gridCol w:w="1462"/>
      </w:tblGrid>
      <w:tr w:rsidR="00A20F50" w:rsidRPr="006530A3" w:rsidTr="006530A3">
        <w:tc>
          <w:tcPr>
            <w:tcW w:w="1965" w:type="pct"/>
            <w:vMerge w:val="restart"/>
            <w:shd w:val="clear" w:color="auto" w:fill="auto"/>
          </w:tcPr>
          <w:p w:rsidR="00A20F50" w:rsidRPr="006530A3" w:rsidRDefault="00A20F50" w:rsidP="00B560F0">
            <w:pPr>
              <w:tabs>
                <w:tab w:val="left" w:pos="567"/>
              </w:tabs>
              <w:autoSpaceDE w:val="0"/>
              <w:autoSpaceDN w:val="0"/>
              <w:adjustRightInd w:val="0"/>
              <w:rPr>
                <w:sz w:val="22"/>
                <w:szCs w:val="22"/>
              </w:rPr>
            </w:pPr>
          </w:p>
        </w:tc>
        <w:tc>
          <w:tcPr>
            <w:tcW w:w="3035" w:type="pct"/>
            <w:gridSpan w:val="4"/>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eastAsia="el-GR"/>
              </w:rPr>
              <w:t>Ingen tidligere nukleosid-behandling</w:t>
            </w:r>
          </w:p>
        </w:tc>
      </w:tr>
      <w:tr w:rsidR="00A20F50" w:rsidRPr="006530A3" w:rsidTr="006530A3">
        <w:tc>
          <w:tcPr>
            <w:tcW w:w="1965" w:type="pct"/>
            <w:vMerge/>
            <w:shd w:val="clear" w:color="auto" w:fill="auto"/>
          </w:tcPr>
          <w:p w:rsidR="00A20F50" w:rsidRPr="006530A3" w:rsidRDefault="00A20F50" w:rsidP="00B560F0">
            <w:pPr>
              <w:tabs>
                <w:tab w:val="left" w:pos="567"/>
              </w:tabs>
              <w:autoSpaceDE w:val="0"/>
              <w:autoSpaceDN w:val="0"/>
              <w:adjustRightInd w:val="0"/>
              <w:rPr>
                <w:sz w:val="22"/>
                <w:szCs w:val="22"/>
                <w:lang w:val="en-US"/>
              </w:rPr>
            </w:pPr>
          </w:p>
        </w:tc>
        <w:tc>
          <w:tcPr>
            <w:tcW w:w="1517" w:type="pct"/>
            <w:gridSpan w:val="2"/>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GB" w:eastAsia="el-GR"/>
              </w:rPr>
            </w:pPr>
            <w:r w:rsidRPr="006530A3">
              <w:rPr>
                <w:sz w:val="22"/>
                <w:szCs w:val="22"/>
                <w:lang w:val="en-GB" w:eastAsia="el-GR"/>
              </w:rPr>
              <w:t>HBeAg-positiv</w:t>
            </w:r>
          </w:p>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(studie 022)</w:t>
            </w:r>
          </w:p>
        </w:tc>
        <w:tc>
          <w:tcPr>
            <w:tcW w:w="1518" w:type="pct"/>
            <w:gridSpan w:val="2"/>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GB" w:eastAsia="el-GR"/>
              </w:rPr>
            </w:pPr>
            <w:r w:rsidRPr="006530A3">
              <w:rPr>
                <w:sz w:val="22"/>
                <w:szCs w:val="22"/>
                <w:lang w:val="en-GB" w:eastAsia="el-GR"/>
              </w:rPr>
              <w:t>HBeAg-negativ</w:t>
            </w:r>
          </w:p>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(studie 027)</w:t>
            </w:r>
          </w:p>
        </w:tc>
      </w:tr>
      <w:tr w:rsidR="00A20F50" w:rsidRPr="006530A3" w:rsidTr="006530A3">
        <w:tc>
          <w:tcPr>
            <w:tcW w:w="1965" w:type="pct"/>
            <w:vMerge/>
            <w:shd w:val="clear" w:color="auto" w:fill="auto"/>
          </w:tcPr>
          <w:p w:rsidR="00A20F50" w:rsidRPr="006530A3" w:rsidRDefault="00A20F50" w:rsidP="00B560F0">
            <w:pPr>
              <w:tabs>
                <w:tab w:val="left" w:pos="567"/>
              </w:tabs>
              <w:autoSpaceDE w:val="0"/>
              <w:autoSpaceDN w:val="0"/>
              <w:adjustRightInd w:val="0"/>
              <w:rPr>
                <w:sz w:val="22"/>
                <w:szCs w:val="22"/>
                <w:lang w:val="en-US"/>
              </w:rPr>
            </w:pPr>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ETV</w:t>
            </w:r>
          </w:p>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0,5 mg</w:t>
            </w:r>
          </w:p>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en gang</w:t>
            </w:r>
          </w:p>
          <w:p w:rsidR="00A20F50" w:rsidRPr="006530A3" w:rsidRDefault="00A20F50" w:rsidP="00B560F0">
            <w:pPr>
              <w:tabs>
                <w:tab w:val="left" w:pos="567"/>
              </w:tabs>
              <w:autoSpaceDE w:val="0"/>
              <w:autoSpaceDN w:val="0"/>
              <w:adjustRightInd w:val="0"/>
              <w:ind w:left="30"/>
              <w:jc w:val="center"/>
              <w:rPr>
                <w:sz w:val="22"/>
                <w:szCs w:val="22"/>
                <w:u w:val="single"/>
              </w:rPr>
            </w:pPr>
            <w:r w:rsidRPr="006530A3">
              <w:rPr>
                <w:sz w:val="22"/>
                <w:szCs w:val="22"/>
                <w:lang w:eastAsia="el-GR"/>
              </w:rPr>
              <w:t>daglig</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LVD</w:t>
            </w:r>
          </w:p>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100 mg</w:t>
            </w:r>
          </w:p>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en gang</w:t>
            </w:r>
          </w:p>
          <w:p w:rsidR="00A20F50" w:rsidRPr="006530A3" w:rsidRDefault="00A20F50" w:rsidP="00B560F0">
            <w:pPr>
              <w:tabs>
                <w:tab w:val="left" w:pos="567"/>
              </w:tabs>
              <w:autoSpaceDE w:val="0"/>
              <w:autoSpaceDN w:val="0"/>
              <w:adjustRightInd w:val="0"/>
              <w:ind w:left="30"/>
              <w:jc w:val="center"/>
              <w:rPr>
                <w:sz w:val="22"/>
                <w:szCs w:val="22"/>
                <w:u w:val="single"/>
              </w:rPr>
            </w:pPr>
            <w:r w:rsidRPr="006530A3">
              <w:rPr>
                <w:sz w:val="22"/>
                <w:szCs w:val="22"/>
                <w:lang w:eastAsia="el-GR"/>
              </w:rPr>
              <w:t>daglig</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ETV</w:t>
            </w:r>
          </w:p>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0,5 mg</w:t>
            </w:r>
          </w:p>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en gang</w:t>
            </w:r>
          </w:p>
          <w:p w:rsidR="00A20F50" w:rsidRPr="006530A3" w:rsidRDefault="00A20F50" w:rsidP="00B560F0">
            <w:pPr>
              <w:tabs>
                <w:tab w:val="left" w:pos="567"/>
              </w:tabs>
              <w:autoSpaceDE w:val="0"/>
              <w:autoSpaceDN w:val="0"/>
              <w:adjustRightInd w:val="0"/>
              <w:ind w:left="30"/>
              <w:jc w:val="center"/>
              <w:rPr>
                <w:sz w:val="22"/>
                <w:szCs w:val="22"/>
                <w:u w:val="single"/>
              </w:rPr>
            </w:pPr>
            <w:r w:rsidRPr="006530A3">
              <w:rPr>
                <w:sz w:val="22"/>
                <w:szCs w:val="22"/>
                <w:lang w:eastAsia="el-GR"/>
              </w:rPr>
              <w:t>daglig</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LVD</w:t>
            </w:r>
          </w:p>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100 mg</w:t>
            </w:r>
          </w:p>
          <w:p w:rsidR="00A20F50" w:rsidRPr="006530A3" w:rsidRDefault="00A20F50" w:rsidP="00B560F0">
            <w:pPr>
              <w:tabs>
                <w:tab w:val="left" w:pos="567"/>
              </w:tabs>
              <w:autoSpaceDE w:val="0"/>
              <w:autoSpaceDN w:val="0"/>
              <w:adjustRightInd w:val="0"/>
              <w:ind w:left="30"/>
              <w:jc w:val="center"/>
              <w:rPr>
                <w:sz w:val="22"/>
                <w:szCs w:val="22"/>
                <w:lang w:eastAsia="el-GR"/>
              </w:rPr>
            </w:pPr>
            <w:r w:rsidRPr="006530A3">
              <w:rPr>
                <w:sz w:val="22"/>
                <w:szCs w:val="22"/>
                <w:lang w:eastAsia="el-GR"/>
              </w:rPr>
              <w:t>en gang</w:t>
            </w:r>
          </w:p>
          <w:p w:rsidR="00A20F50" w:rsidRPr="006530A3" w:rsidRDefault="00A20F50" w:rsidP="00B560F0">
            <w:pPr>
              <w:tabs>
                <w:tab w:val="left" w:pos="567"/>
              </w:tabs>
              <w:autoSpaceDE w:val="0"/>
              <w:autoSpaceDN w:val="0"/>
              <w:adjustRightInd w:val="0"/>
              <w:ind w:left="30"/>
              <w:jc w:val="center"/>
              <w:rPr>
                <w:sz w:val="22"/>
                <w:szCs w:val="22"/>
                <w:u w:val="single"/>
              </w:rPr>
            </w:pPr>
            <w:r w:rsidRPr="006530A3">
              <w:rPr>
                <w:sz w:val="22"/>
                <w:szCs w:val="22"/>
                <w:lang w:eastAsia="el-GR"/>
              </w:rPr>
              <w:t>daglig</w:t>
            </w:r>
          </w:p>
        </w:tc>
      </w:tr>
      <w:tr w:rsidR="00A20F50" w:rsidRPr="006530A3" w:rsidTr="006530A3">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val="en-US"/>
              </w:rPr>
            </w:pPr>
            <w:r w:rsidRPr="006530A3">
              <w:rPr>
                <w:sz w:val="22"/>
                <w:szCs w:val="22"/>
                <w:lang w:val="en-US"/>
              </w:rPr>
              <w:t>n</w:t>
            </w:r>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314</w:t>
            </w:r>
            <w:r w:rsidRPr="006530A3">
              <w:rPr>
                <w:sz w:val="22"/>
                <w:szCs w:val="22"/>
                <w:vertAlign w:val="superscript"/>
                <w:lang w:val="en-GB" w:eastAsia="el-GR"/>
              </w:rPr>
              <w:t>a</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314</w:t>
            </w:r>
            <w:r w:rsidRPr="006530A3">
              <w:rPr>
                <w:sz w:val="22"/>
                <w:szCs w:val="22"/>
                <w:vertAlign w:val="superscript"/>
                <w:lang w:val="en-GB" w:eastAsia="el-GR"/>
              </w:rPr>
              <w:t>a</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296</w:t>
            </w:r>
            <w:r w:rsidRPr="006530A3">
              <w:rPr>
                <w:sz w:val="22"/>
                <w:szCs w:val="22"/>
                <w:vertAlign w:val="superscript"/>
                <w:lang w:val="en-GB" w:eastAsia="el-GR"/>
              </w:rPr>
              <w:t>a</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287</w:t>
            </w:r>
            <w:r w:rsidRPr="006530A3">
              <w:rPr>
                <w:sz w:val="22"/>
                <w:szCs w:val="22"/>
                <w:vertAlign w:val="superscript"/>
                <w:lang w:val="en-GB" w:eastAsia="el-GR"/>
              </w:rPr>
              <w:t>a</w:t>
            </w:r>
          </w:p>
        </w:tc>
      </w:tr>
      <w:tr w:rsidR="00A20F50" w:rsidRPr="006530A3" w:rsidTr="006530A3">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val="en-US"/>
              </w:rPr>
            </w:pPr>
            <w:r w:rsidRPr="006530A3">
              <w:rPr>
                <w:sz w:val="22"/>
                <w:szCs w:val="22"/>
                <w:lang w:val="en-GB" w:eastAsia="el-GR"/>
              </w:rPr>
              <w:t>Histologisk forbedring</w:t>
            </w:r>
            <w:r w:rsidRPr="006530A3">
              <w:rPr>
                <w:sz w:val="22"/>
                <w:szCs w:val="22"/>
                <w:vertAlign w:val="superscript"/>
                <w:lang w:val="en-GB" w:eastAsia="el-GR"/>
              </w:rPr>
              <w:t>b</w:t>
            </w:r>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72 %*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62 %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70 %*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61 %</w:t>
            </w:r>
          </w:p>
        </w:tc>
      </w:tr>
      <w:tr w:rsidR="00A20F50" w:rsidRPr="006530A3" w:rsidTr="006530A3">
        <w:trPr>
          <w:trHeight w:val="20"/>
        </w:trPr>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eastAsia="el-GR"/>
              </w:rPr>
            </w:pPr>
            <w:r w:rsidRPr="006530A3">
              <w:rPr>
                <w:sz w:val="22"/>
                <w:szCs w:val="22"/>
                <w:lang w:eastAsia="el-GR"/>
              </w:rPr>
              <w:t>Forbedring i Ishak fibrose-score</w:t>
            </w:r>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39 %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GB" w:eastAsia="el-GR"/>
              </w:rPr>
            </w:pPr>
            <w:r w:rsidRPr="006530A3">
              <w:rPr>
                <w:sz w:val="22"/>
                <w:szCs w:val="22"/>
                <w:lang w:val="en-GB" w:eastAsia="el-GR"/>
              </w:rPr>
              <w:t>35 %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36 %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38 %</w:t>
            </w:r>
          </w:p>
        </w:tc>
      </w:tr>
      <w:tr w:rsidR="00A20F50" w:rsidRPr="006530A3" w:rsidTr="006530A3">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val="en-US"/>
              </w:rPr>
            </w:pPr>
            <w:r w:rsidRPr="006530A3">
              <w:rPr>
                <w:sz w:val="22"/>
                <w:szCs w:val="22"/>
                <w:lang w:val="en-GB" w:eastAsia="el-GR"/>
              </w:rPr>
              <w:t>Forværring i Ishak fibrose-score</w:t>
            </w:r>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8 %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10 %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12 %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GB" w:eastAsia="el-GR"/>
              </w:rPr>
              <w:t>15 %</w:t>
            </w:r>
          </w:p>
        </w:tc>
      </w:tr>
      <w:tr w:rsidR="00A20F50" w:rsidRPr="006530A3" w:rsidTr="006530A3">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val="en-GB" w:eastAsia="el-GR"/>
              </w:rPr>
            </w:pPr>
            <w:r w:rsidRPr="006530A3">
              <w:rPr>
                <w:sz w:val="22"/>
                <w:szCs w:val="22"/>
                <w:lang w:val="en-GB" w:eastAsia="el-GR"/>
              </w:rPr>
              <w:t>n</w:t>
            </w:r>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GB" w:eastAsia="el-GR"/>
              </w:rPr>
            </w:pPr>
            <w:r w:rsidRPr="006530A3">
              <w:rPr>
                <w:sz w:val="22"/>
                <w:szCs w:val="22"/>
                <w:lang w:val="en-GB" w:eastAsia="el-GR"/>
              </w:rPr>
              <w:t>354</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GB" w:eastAsia="el-GR"/>
              </w:rPr>
            </w:pPr>
            <w:r w:rsidRPr="006530A3">
              <w:rPr>
                <w:sz w:val="22"/>
                <w:szCs w:val="22"/>
                <w:lang w:val="en-GB" w:eastAsia="el-GR"/>
              </w:rPr>
              <w:t>355</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GB" w:eastAsia="el-GR"/>
              </w:rPr>
            </w:pPr>
            <w:r w:rsidRPr="006530A3">
              <w:rPr>
                <w:sz w:val="22"/>
                <w:szCs w:val="22"/>
                <w:lang w:val="en-GB" w:eastAsia="el-GR"/>
              </w:rPr>
              <w:t>325</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GB" w:eastAsia="el-GR"/>
              </w:rPr>
            </w:pPr>
            <w:r w:rsidRPr="006530A3">
              <w:rPr>
                <w:sz w:val="22"/>
                <w:szCs w:val="22"/>
                <w:lang w:val="en-GB" w:eastAsia="el-GR"/>
              </w:rPr>
              <w:t>313</w:t>
            </w:r>
          </w:p>
        </w:tc>
      </w:tr>
      <w:tr w:rsidR="00A20F50" w:rsidRPr="006530A3" w:rsidTr="006530A3">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eastAsia="el-GR"/>
              </w:rPr>
            </w:pPr>
            <w:r w:rsidRPr="006530A3">
              <w:rPr>
                <w:sz w:val="22"/>
                <w:szCs w:val="22"/>
                <w:lang w:eastAsia="el-GR"/>
              </w:rPr>
              <w:t>Fald i viral load (log</w:t>
            </w:r>
            <w:r w:rsidRPr="006530A3">
              <w:rPr>
                <w:sz w:val="22"/>
                <w:szCs w:val="22"/>
                <w:vertAlign w:val="subscript"/>
                <w:lang w:eastAsia="el-GR"/>
              </w:rPr>
              <w:t>10</w:t>
            </w:r>
            <w:r w:rsidRPr="006530A3">
              <w:rPr>
                <w:sz w:val="22"/>
                <w:szCs w:val="22"/>
                <w:lang w:eastAsia="el-GR"/>
              </w:rPr>
              <w:t xml:space="preserve"> kopier/</w:t>
            </w:r>
            <w:proofErr w:type="gramStart"/>
            <w:r w:rsidRPr="006530A3">
              <w:rPr>
                <w:sz w:val="22"/>
                <w:szCs w:val="22"/>
                <w:lang w:eastAsia="el-GR"/>
              </w:rPr>
              <w:t>ml)</w:t>
            </w:r>
            <w:r w:rsidRPr="006530A3">
              <w:rPr>
                <w:sz w:val="22"/>
                <w:szCs w:val="22"/>
                <w:vertAlign w:val="superscript"/>
                <w:lang w:eastAsia="el-GR"/>
              </w:rPr>
              <w:t>c</w:t>
            </w:r>
            <w:proofErr w:type="gramEnd"/>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US" w:eastAsia="el-GR"/>
              </w:rPr>
              <w:t>- 6.86*</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US" w:eastAsia="el-GR"/>
              </w:rPr>
              <w:t>-5.39</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US" w:eastAsia="el-GR"/>
              </w:rPr>
              <w:t>-5.04*</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US" w:eastAsia="el-GR"/>
              </w:rPr>
              <w:t>-4.53</w:t>
            </w:r>
          </w:p>
        </w:tc>
      </w:tr>
      <w:tr w:rsidR="00A20F50" w:rsidRPr="006530A3" w:rsidTr="006530A3">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eastAsia="el-GR"/>
              </w:rPr>
            </w:pPr>
            <w:r w:rsidRPr="006530A3">
              <w:rPr>
                <w:sz w:val="22"/>
                <w:szCs w:val="22"/>
                <w:lang w:eastAsia="el-GR"/>
              </w:rPr>
              <w:t>HBV-DNA kan ikke påvises</w:t>
            </w:r>
          </w:p>
          <w:p w:rsidR="00A20F50" w:rsidRPr="006530A3" w:rsidRDefault="00A20F50" w:rsidP="00B560F0">
            <w:pPr>
              <w:tabs>
                <w:tab w:val="left" w:pos="567"/>
              </w:tabs>
              <w:autoSpaceDE w:val="0"/>
              <w:autoSpaceDN w:val="0"/>
              <w:adjustRightInd w:val="0"/>
              <w:rPr>
                <w:sz w:val="22"/>
                <w:szCs w:val="22"/>
              </w:rPr>
            </w:pPr>
            <w:r w:rsidRPr="006530A3">
              <w:rPr>
                <w:sz w:val="22"/>
                <w:szCs w:val="22"/>
                <w:lang w:eastAsia="el-GR"/>
              </w:rPr>
              <w:t xml:space="preserve">(&lt; 300 kopier/ml ved </w:t>
            </w:r>
            <w:proofErr w:type="gramStart"/>
            <w:r w:rsidRPr="006530A3">
              <w:rPr>
                <w:sz w:val="22"/>
                <w:szCs w:val="22"/>
                <w:lang w:eastAsia="el-GR"/>
              </w:rPr>
              <w:t>PCR)</w:t>
            </w:r>
            <w:r w:rsidRPr="006530A3">
              <w:rPr>
                <w:sz w:val="22"/>
                <w:szCs w:val="22"/>
                <w:vertAlign w:val="superscript"/>
                <w:lang w:eastAsia="el-GR"/>
              </w:rPr>
              <w:t>c</w:t>
            </w:r>
            <w:proofErr w:type="gramEnd"/>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r w:rsidRPr="006530A3">
              <w:rPr>
                <w:sz w:val="22"/>
                <w:szCs w:val="22"/>
                <w:lang w:val="en-US" w:eastAsia="el-GR"/>
              </w:rPr>
              <w:t>67 %*</w:t>
            </w:r>
          </w:p>
          <w:p w:rsidR="00A20F50" w:rsidRPr="006530A3" w:rsidRDefault="00A20F50" w:rsidP="00B560F0">
            <w:pPr>
              <w:tabs>
                <w:tab w:val="left" w:pos="567"/>
              </w:tabs>
              <w:autoSpaceDE w:val="0"/>
              <w:autoSpaceDN w:val="0"/>
              <w:adjustRightInd w:val="0"/>
              <w:ind w:left="30"/>
              <w:jc w:val="center"/>
              <w:rPr>
                <w:sz w:val="22"/>
                <w:szCs w:val="22"/>
                <w:lang w:val="en-US" w:eastAsia="el-GR"/>
              </w:rPr>
            </w:pP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US" w:eastAsia="el-GR"/>
              </w:rPr>
              <w:t>36 %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US" w:eastAsia="el-GR"/>
              </w:rPr>
              <w:t>90 %*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u w:val="single"/>
                <w:lang w:val="en-US"/>
              </w:rPr>
            </w:pPr>
            <w:r w:rsidRPr="006530A3">
              <w:rPr>
                <w:sz w:val="22"/>
                <w:szCs w:val="22"/>
                <w:lang w:val="en-US" w:eastAsia="el-GR"/>
              </w:rPr>
              <w:t>72 %</w:t>
            </w:r>
          </w:p>
        </w:tc>
      </w:tr>
      <w:tr w:rsidR="00A20F50" w:rsidRPr="006530A3" w:rsidTr="006530A3">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val="en-US" w:eastAsia="el-GR"/>
              </w:rPr>
            </w:pPr>
            <w:r w:rsidRPr="006530A3">
              <w:rPr>
                <w:sz w:val="22"/>
                <w:szCs w:val="22"/>
                <w:lang w:val="en-US" w:eastAsia="el-GR"/>
              </w:rPr>
              <w:t xml:space="preserve">ALAT-normalisering (≤ 1 gang ULN) </w:t>
            </w:r>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r w:rsidRPr="006530A3">
              <w:rPr>
                <w:sz w:val="22"/>
                <w:szCs w:val="22"/>
                <w:lang w:val="en-US" w:eastAsia="el-GR"/>
              </w:rPr>
              <w:t>68 %*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r w:rsidRPr="006530A3">
              <w:rPr>
                <w:sz w:val="22"/>
                <w:szCs w:val="22"/>
                <w:lang w:val="en-US" w:eastAsia="el-GR"/>
              </w:rPr>
              <w:t>60 %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r w:rsidRPr="006530A3">
              <w:rPr>
                <w:sz w:val="22"/>
                <w:szCs w:val="22"/>
                <w:lang w:val="en-US" w:eastAsia="el-GR"/>
              </w:rPr>
              <w:t>78 %*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r w:rsidRPr="006530A3">
              <w:rPr>
                <w:sz w:val="22"/>
                <w:szCs w:val="22"/>
                <w:lang w:val="en-US" w:eastAsia="el-GR"/>
              </w:rPr>
              <w:t>71 %</w:t>
            </w:r>
          </w:p>
        </w:tc>
      </w:tr>
      <w:tr w:rsidR="00A20F50" w:rsidRPr="006530A3" w:rsidTr="006530A3">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val="en-US" w:eastAsia="el-GR"/>
              </w:rPr>
            </w:pPr>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p>
        </w:tc>
      </w:tr>
      <w:tr w:rsidR="00A20F50" w:rsidRPr="006530A3" w:rsidTr="006530A3">
        <w:tc>
          <w:tcPr>
            <w:tcW w:w="1965" w:type="pct"/>
            <w:shd w:val="clear" w:color="auto" w:fill="auto"/>
          </w:tcPr>
          <w:p w:rsidR="00A20F50" w:rsidRPr="006530A3" w:rsidRDefault="00A20F50" w:rsidP="00B560F0">
            <w:pPr>
              <w:tabs>
                <w:tab w:val="left" w:pos="567"/>
              </w:tabs>
              <w:autoSpaceDE w:val="0"/>
              <w:autoSpaceDN w:val="0"/>
              <w:adjustRightInd w:val="0"/>
              <w:rPr>
                <w:sz w:val="22"/>
                <w:szCs w:val="22"/>
                <w:lang w:val="en-US" w:eastAsia="el-GR"/>
              </w:rPr>
            </w:pPr>
            <w:r w:rsidRPr="006530A3">
              <w:rPr>
                <w:sz w:val="22"/>
                <w:szCs w:val="22"/>
                <w:lang w:val="en-US" w:eastAsia="el-GR"/>
              </w:rPr>
              <w:t>HBeAg-serokonvertering</w:t>
            </w:r>
          </w:p>
        </w:tc>
        <w:tc>
          <w:tcPr>
            <w:tcW w:w="758"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r w:rsidRPr="006530A3">
              <w:rPr>
                <w:sz w:val="22"/>
                <w:szCs w:val="22"/>
                <w:lang w:val="en-US" w:eastAsia="el-GR"/>
              </w:rPr>
              <w:t>21 %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r w:rsidRPr="006530A3">
              <w:rPr>
                <w:sz w:val="22"/>
                <w:szCs w:val="22"/>
                <w:lang w:val="en-US" w:eastAsia="el-GR"/>
              </w:rPr>
              <w:t>18 %</w:t>
            </w: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p>
        </w:tc>
        <w:tc>
          <w:tcPr>
            <w:tcW w:w="759" w:type="pct"/>
            <w:shd w:val="clear" w:color="auto" w:fill="auto"/>
          </w:tcPr>
          <w:p w:rsidR="00A20F50" w:rsidRPr="006530A3" w:rsidRDefault="00A20F50" w:rsidP="00B560F0">
            <w:pPr>
              <w:tabs>
                <w:tab w:val="left" w:pos="567"/>
              </w:tabs>
              <w:autoSpaceDE w:val="0"/>
              <w:autoSpaceDN w:val="0"/>
              <w:adjustRightInd w:val="0"/>
              <w:ind w:left="30"/>
              <w:jc w:val="center"/>
              <w:rPr>
                <w:sz w:val="22"/>
                <w:szCs w:val="22"/>
                <w:lang w:val="en-US" w:eastAsia="el-GR"/>
              </w:rPr>
            </w:pPr>
          </w:p>
        </w:tc>
      </w:tr>
    </w:tbl>
    <w:p w:rsidR="00A20F50" w:rsidRPr="00D06229" w:rsidRDefault="00A20F50" w:rsidP="00A20F50">
      <w:pPr>
        <w:ind w:left="993" w:hanging="142"/>
        <w:rPr>
          <w:sz w:val="24"/>
          <w:szCs w:val="24"/>
          <w:lang w:val="en-US"/>
        </w:rPr>
      </w:pPr>
      <w:r w:rsidRPr="00D06229">
        <w:rPr>
          <w:sz w:val="24"/>
          <w:szCs w:val="24"/>
          <w:lang w:val="en-US"/>
        </w:rPr>
        <w:t xml:space="preserve">*p-værdi vs. lamivudin &lt; 0,05 </w:t>
      </w:r>
    </w:p>
    <w:p w:rsidR="00A20F50" w:rsidRPr="00D06229" w:rsidRDefault="00A20F50" w:rsidP="00A20F50">
      <w:pPr>
        <w:ind w:left="993" w:hanging="142"/>
        <w:rPr>
          <w:sz w:val="24"/>
          <w:szCs w:val="24"/>
        </w:rPr>
      </w:pPr>
      <w:r w:rsidRPr="00D06229">
        <w:rPr>
          <w:sz w:val="24"/>
          <w:szCs w:val="24"/>
          <w:vertAlign w:val="superscript"/>
        </w:rPr>
        <w:t>a</w:t>
      </w:r>
      <w:r w:rsidRPr="00D06229">
        <w:rPr>
          <w:sz w:val="24"/>
          <w:szCs w:val="24"/>
        </w:rPr>
        <w:t xml:space="preserve"> patienter med evaluérbar histologi ved baseline (baseline Knodell-nekroinflammatorisk score ≥ 2) </w:t>
      </w:r>
    </w:p>
    <w:p w:rsidR="00A20F50" w:rsidRPr="00D06229" w:rsidRDefault="00A20F50" w:rsidP="00A20F50">
      <w:pPr>
        <w:ind w:left="993" w:hanging="142"/>
        <w:rPr>
          <w:sz w:val="24"/>
          <w:szCs w:val="24"/>
        </w:rPr>
      </w:pPr>
      <w:r w:rsidRPr="00D06229">
        <w:rPr>
          <w:sz w:val="24"/>
          <w:szCs w:val="24"/>
          <w:vertAlign w:val="superscript"/>
        </w:rPr>
        <w:t>b</w:t>
      </w:r>
      <w:r w:rsidRPr="00D06229">
        <w:rPr>
          <w:sz w:val="24"/>
          <w:szCs w:val="24"/>
        </w:rPr>
        <w:t xml:space="preserve"> et primært endepunkt</w:t>
      </w:r>
    </w:p>
    <w:p w:rsidR="00A20F50" w:rsidRPr="00D06229" w:rsidRDefault="00A20F50" w:rsidP="00A20F50">
      <w:pPr>
        <w:ind w:left="993" w:hanging="142"/>
        <w:rPr>
          <w:sz w:val="24"/>
          <w:szCs w:val="24"/>
        </w:rPr>
      </w:pPr>
      <w:r w:rsidRPr="00D06229">
        <w:rPr>
          <w:sz w:val="24"/>
          <w:szCs w:val="24"/>
          <w:vertAlign w:val="superscript"/>
        </w:rPr>
        <w:t xml:space="preserve">c </w:t>
      </w:r>
      <w:r w:rsidRPr="00D06229">
        <w:rPr>
          <w:sz w:val="24"/>
          <w:szCs w:val="24"/>
        </w:rPr>
        <w:t>Roche Cobas Amplicor PCR-assay (LLOQ = 300 kopier/ml)</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Erfaring hos lamivudin-refraktære patienter med kompenseret leversygdom</w:t>
      </w:r>
    </w:p>
    <w:p w:rsidR="00A20F50" w:rsidRPr="00D06229" w:rsidRDefault="00A20F50" w:rsidP="00A20F50">
      <w:pPr>
        <w:ind w:left="851"/>
        <w:rPr>
          <w:sz w:val="24"/>
          <w:szCs w:val="24"/>
        </w:rPr>
      </w:pPr>
      <w:r w:rsidRPr="00D06229">
        <w:rPr>
          <w:sz w:val="24"/>
          <w:szCs w:val="24"/>
        </w:rPr>
        <w:t>I et randomiseret, dobbeltblindt forsøg med HBeAg-positive, lamivudin-refraktære patienter (026), hvor 85 % af patienterne havde LVDr- mutationer ved baseline, skiftede patienter, der fik lamivudin ved inklusion, til entecavir 1 mg en gang daglig uden udvaskning eller overlap (n = 141), eller patienterne fortsatte med lamivudin 100 mg, en gang daglig (n = 145). Tabellen viser resultater efter 48 uger.</w:t>
      </w:r>
    </w:p>
    <w:p w:rsidR="00A20F50" w:rsidRPr="00D06229" w:rsidRDefault="00A20F50" w:rsidP="00A20F50">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6"/>
        <w:gridCol w:w="2700"/>
        <w:gridCol w:w="2702"/>
      </w:tblGrid>
      <w:tr w:rsidR="00A20F50" w:rsidRPr="006530A3" w:rsidTr="006530A3">
        <w:trPr>
          <w:jc w:val="center"/>
        </w:trPr>
        <w:tc>
          <w:tcPr>
            <w:tcW w:w="2195" w:type="pct"/>
            <w:vMerge w:val="restart"/>
            <w:shd w:val="clear" w:color="auto" w:fill="auto"/>
          </w:tcPr>
          <w:p w:rsidR="00A20F50" w:rsidRPr="006530A3" w:rsidRDefault="00A20F50" w:rsidP="00B560F0">
            <w:pPr>
              <w:tabs>
                <w:tab w:val="left" w:pos="567"/>
              </w:tabs>
              <w:autoSpaceDE w:val="0"/>
              <w:autoSpaceDN w:val="0"/>
              <w:adjustRightInd w:val="0"/>
              <w:ind w:left="29"/>
              <w:rPr>
                <w:sz w:val="22"/>
                <w:szCs w:val="22"/>
              </w:rPr>
            </w:pPr>
          </w:p>
        </w:tc>
        <w:tc>
          <w:tcPr>
            <w:tcW w:w="2805" w:type="pct"/>
            <w:gridSpan w:val="2"/>
            <w:shd w:val="clear" w:color="auto" w:fill="auto"/>
          </w:tcPr>
          <w:p w:rsidR="00A20F50" w:rsidRPr="006530A3" w:rsidRDefault="00A20F50" w:rsidP="00B560F0">
            <w:pPr>
              <w:jc w:val="center"/>
              <w:rPr>
                <w:sz w:val="22"/>
                <w:szCs w:val="22"/>
                <w:lang w:val="en-US"/>
              </w:rPr>
            </w:pPr>
            <w:r w:rsidRPr="006530A3">
              <w:rPr>
                <w:sz w:val="22"/>
                <w:szCs w:val="22"/>
                <w:lang w:val="en-US"/>
              </w:rPr>
              <w:t>Lamivudin-refraktær</w:t>
            </w:r>
          </w:p>
        </w:tc>
      </w:tr>
      <w:tr w:rsidR="00A20F50" w:rsidRPr="006530A3" w:rsidTr="006530A3">
        <w:trPr>
          <w:jc w:val="center"/>
        </w:trPr>
        <w:tc>
          <w:tcPr>
            <w:tcW w:w="2195" w:type="pct"/>
            <w:vMerge/>
            <w:shd w:val="clear" w:color="auto" w:fill="auto"/>
          </w:tcPr>
          <w:p w:rsidR="00A20F50" w:rsidRPr="006530A3" w:rsidRDefault="00A20F50" w:rsidP="00B560F0">
            <w:pPr>
              <w:tabs>
                <w:tab w:val="left" w:pos="567"/>
              </w:tabs>
              <w:autoSpaceDE w:val="0"/>
              <w:autoSpaceDN w:val="0"/>
              <w:adjustRightInd w:val="0"/>
              <w:ind w:left="29"/>
              <w:rPr>
                <w:sz w:val="22"/>
                <w:szCs w:val="22"/>
                <w:lang w:val="en-US"/>
              </w:rPr>
            </w:pPr>
          </w:p>
        </w:tc>
        <w:tc>
          <w:tcPr>
            <w:tcW w:w="2805" w:type="pct"/>
            <w:gridSpan w:val="2"/>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HBeAg-positiv (studie 026)</w:t>
            </w:r>
          </w:p>
        </w:tc>
      </w:tr>
      <w:tr w:rsidR="00A20F50" w:rsidRPr="006530A3" w:rsidTr="006530A3">
        <w:trPr>
          <w:jc w:val="center"/>
        </w:trPr>
        <w:tc>
          <w:tcPr>
            <w:tcW w:w="2195" w:type="pct"/>
            <w:vMerge/>
            <w:shd w:val="clear" w:color="auto" w:fill="auto"/>
          </w:tcPr>
          <w:p w:rsidR="00A20F50" w:rsidRPr="006530A3" w:rsidRDefault="00A20F50" w:rsidP="00B560F0">
            <w:pPr>
              <w:tabs>
                <w:tab w:val="left" w:pos="567"/>
              </w:tabs>
              <w:autoSpaceDE w:val="0"/>
              <w:autoSpaceDN w:val="0"/>
              <w:adjustRightInd w:val="0"/>
              <w:ind w:left="29"/>
              <w:rPr>
                <w:sz w:val="22"/>
                <w:szCs w:val="22"/>
                <w:lang w:val="en-US"/>
              </w:rPr>
            </w:pP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u w:val="single"/>
              </w:rPr>
            </w:pPr>
            <w:r w:rsidRPr="006530A3">
              <w:rPr>
                <w:sz w:val="22"/>
                <w:szCs w:val="22"/>
              </w:rPr>
              <w:t>ETV 1,0 mg en gang daglig</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rPr>
            </w:pPr>
            <w:r w:rsidRPr="006530A3">
              <w:rPr>
                <w:sz w:val="22"/>
                <w:szCs w:val="22"/>
              </w:rPr>
              <w:t>LVD 100 mg en gang</w:t>
            </w:r>
          </w:p>
          <w:p w:rsidR="00A20F50" w:rsidRPr="006530A3" w:rsidRDefault="00A20F50" w:rsidP="00B560F0">
            <w:pPr>
              <w:tabs>
                <w:tab w:val="left" w:pos="567"/>
              </w:tabs>
              <w:autoSpaceDE w:val="0"/>
              <w:autoSpaceDN w:val="0"/>
              <w:adjustRightInd w:val="0"/>
              <w:jc w:val="center"/>
              <w:rPr>
                <w:sz w:val="22"/>
                <w:szCs w:val="22"/>
                <w:u w:val="single"/>
              </w:rPr>
            </w:pPr>
            <w:r w:rsidRPr="006530A3">
              <w:rPr>
                <w:sz w:val="22"/>
                <w:szCs w:val="22"/>
              </w:rPr>
              <w:t>daglig</w:t>
            </w: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lang w:val="en-US"/>
              </w:rPr>
            </w:pPr>
            <w:r w:rsidRPr="006530A3">
              <w:rPr>
                <w:sz w:val="22"/>
                <w:szCs w:val="22"/>
                <w:lang w:val="en-US"/>
              </w:rPr>
              <w:t>n</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124</w:t>
            </w:r>
            <w:r w:rsidRPr="006530A3">
              <w:rPr>
                <w:sz w:val="22"/>
                <w:szCs w:val="22"/>
                <w:vertAlign w:val="superscript"/>
                <w:lang w:val="en-GB"/>
              </w:rPr>
              <w:t>a</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116</w:t>
            </w:r>
            <w:r w:rsidRPr="006530A3">
              <w:rPr>
                <w:sz w:val="22"/>
                <w:szCs w:val="22"/>
                <w:vertAlign w:val="superscript"/>
                <w:lang w:val="en-GB"/>
              </w:rPr>
              <w:t>a</w:t>
            </w: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lang w:val="en-US"/>
              </w:rPr>
            </w:pPr>
            <w:r w:rsidRPr="006530A3">
              <w:rPr>
                <w:sz w:val="22"/>
                <w:szCs w:val="22"/>
                <w:lang w:val="en-GB"/>
              </w:rPr>
              <w:t>Histologisk forbedring</w:t>
            </w:r>
            <w:r w:rsidRPr="006530A3">
              <w:rPr>
                <w:sz w:val="22"/>
                <w:szCs w:val="22"/>
                <w:vertAlign w:val="superscript"/>
                <w:lang w:val="en-GB"/>
              </w:rPr>
              <w:t>b</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55 %*</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28 %</w:t>
            </w: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rPr>
            </w:pPr>
            <w:r w:rsidRPr="006530A3">
              <w:rPr>
                <w:sz w:val="22"/>
                <w:szCs w:val="22"/>
              </w:rPr>
              <w:t>Forbedring i Ishak fibrose-score</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34 %*</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16 %</w:t>
            </w: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lang w:val="en-US"/>
              </w:rPr>
            </w:pPr>
            <w:r w:rsidRPr="006530A3">
              <w:rPr>
                <w:sz w:val="22"/>
                <w:szCs w:val="22"/>
                <w:lang w:val="en-GB"/>
              </w:rPr>
              <w:t>Forværring i Ishak fibrose-score</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11 %</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26 %</w:t>
            </w: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lang w:val="en-US"/>
              </w:rPr>
            </w:pPr>
            <w:r w:rsidRPr="006530A3">
              <w:rPr>
                <w:sz w:val="22"/>
                <w:szCs w:val="22"/>
                <w:lang w:val="en-US"/>
              </w:rPr>
              <w:t>n</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u w:val="single"/>
                <w:lang w:val="en-US"/>
              </w:rPr>
            </w:pPr>
            <w:r w:rsidRPr="006530A3">
              <w:rPr>
                <w:sz w:val="22"/>
                <w:szCs w:val="22"/>
                <w:lang w:val="en-GB"/>
              </w:rPr>
              <w:t>141</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u w:val="single"/>
                <w:lang w:val="en-US"/>
              </w:rPr>
            </w:pPr>
            <w:r w:rsidRPr="006530A3">
              <w:rPr>
                <w:sz w:val="22"/>
                <w:szCs w:val="22"/>
                <w:lang w:val="en-GB"/>
              </w:rPr>
              <w:t>145</w:t>
            </w: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rPr>
            </w:pPr>
            <w:r w:rsidRPr="006530A3">
              <w:rPr>
                <w:sz w:val="22"/>
                <w:szCs w:val="22"/>
              </w:rPr>
              <w:lastRenderedPageBreak/>
              <w:t>Fald i viral load (log</w:t>
            </w:r>
            <w:r w:rsidRPr="006530A3">
              <w:rPr>
                <w:sz w:val="22"/>
                <w:szCs w:val="22"/>
                <w:vertAlign w:val="subscript"/>
              </w:rPr>
              <w:t>10</w:t>
            </w:r>
            <w:r w:rsidRPr="006530A3">
              <w:rPr>
                <w:sz w:val="22"/>
                <w:szCs w:val="22"/>
              </w:rPr>
              <w:t xml:space="preserve"> kopier/</w:t>
            </w:r>
            <w:proofErr w:type="gramStart"/>
            <w:r w:rsidRPr="006530A3">
              <w:rPr>
                <w:sz w:val="22"/>
                <w:szCs w:val="22"/>
              </w:rPr>
              <w:t>ml)</w:t>
            </w:r>
            <w:r w:rsidRPr="006530A3">
              <w:rPr>
                <w:sz w:val="22"/>
                <w:szCs w:val="22"/>
                <w:vertAlign w:val="superscript"/>
              </w:rPr>
              <w:t>c</w:t>
            </w:r>
            <w:proofErr w:type="gramEnd"/>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u w:val="single"/>
                <w:lang w:val="en-US"/>
              </w:rPr>
            </w:pPr>
            <w:r w:rsidRPr="006530A3">
              <w:rPr>
                <w:sz w:val="22"/>
                <w:szCs w:val="22"/>
                <w:lang w:val="en-GB"/>
              </w:rPr>
              <w:t>-5,11*</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u w:val="single"/>
                <w:lang w:val="en-US"/>
              </w:rPr>
            </w:pPr>
            <w:r w:rsidRPr="006530A3">
              <w:rPr>
                <w:sz w:val="22"/>
                <w:szCs w:val="22"/>
                <w:lang w:val="en-GB"/>
              </w:rPr>
              <w:t>-0,48</w:t>
            </w: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rPr>
            </w:pPr>
            <w:r w:rsidRPr="006530A3">
              <w:rPr>
                <w:sz w:val="22"/>
                <w:szCs w:val="22"/>
              </w:rPr>
              <w:t>HBV-DNA kan ikke påvises</w:t>
            </w:r>
          </w:p>
          <w:p w:rsidR="00A20F50" w:rsidRPr="006530A3" w:rsidRDefault="00A20F50" w:rsidP="00B560F0">
            <w:pPr>
              <w:tabs>
                <w:tab w:val="left" w:pos="567"/>
              </w:tabs>
              <w:autoSpaceDE w:val="0"/>
              <w:autoSpaceDN w:val="0"/>
              <w:adjustRightInd w:val="0"/>
              <w:ind w:left="29"/>
              <w:rPr>
                <w:sz w:val="22"/>
                <w:szCs w:val="22"/>
              </w:rPr>
            </w:pPr>
            <w:r w:rsidRPr="006530A3">
              <w:rPr>
                <w:sz w:val="22"/>
                <w:szCs w:val="22"/>
              </w:rPr>
              <w:t xml:space="preserve">(&lt; 300 kopier/ml ved </w:t>
            </w:r>
            <w:proofErr w:type="gramStart"/>
            <w:r w:rsidRPr="006530A3">
              <w:rPr>
                <w:sz w:val="22"/>
                <w:szCs w:val="22"/>
              </w:rPr>
              <w:t>PCR)</w:t>
            </w:r>
            <w:r w:rsidRPr="006530A3">
              <w:rPr>
                <w:sz w:val="22"/>
                <w:szCs w:val="22"/>
                <w:vertAlign w:val="superscript"/>
              </w:rPr>
              <w:t>c</w:t>
            </w:r>
            <w:proofErr w:type="gramEnd"/>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u w:val="single"/>
                <w:lang w:val="en-US"/>
              </w:rPr>
            </w:pPr>
            <w:r w:rsidRPr="006530A3">
              <w:rPr>
                <w:sz w:val="22"/>
                <w:szCs w:val="22"/>
                <w:lang w:val="en-GB"/>
              </w:rPr>
              <w:t>19 %*</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u w:val="single"/>
                <w:lang w:val="en-US"/>
              </w:rPr>
            </w:pPr>
            <w:r w:rsidRPr="006530A3">
              <w:rPr>
                <w:sz w:val="22"/>
                <w:szCs w:val="22"/>
                <w:lang w:val="en-GB"/>
              </w:rPr>
              <w:t>1 %</w:t>
            </w: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lang w:val="en-GB"/>
              </w:rPr>
            </w:pPr>
            <w:r w:rsidRPr="006530A3">
              <w:rPr>
                <w:sz w:val="22"/>
                <w:szCs w:val="22"/>
                <w:lang w:val="en-GB"/>
              </w:rPr>
              <w:t>ALAT-normalisering (≤ 1 gang ULN)</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u w:val="single"/>
                <w:lang w:val="en-US"/>
              </w:rPr>
            </w:pPr>
            <w:r w:rsidRPr="006530A3">
              <w:rPr>
                <w:sz w:val="22"/>
                <w:szCs w:val="22"/>
                <w:lang w:val="en-GB"/>
              </w:rPr>
              <w:t>61 %*</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u w:val="single"/>
                <w:lang w:val="en-US"/>
              </w:rPr>
            </w:pPr>
            <w:r w:rsidRPr="006530A3">
              <w:rPr>
                <w:sz w:val="22"/>
                <w:szCs w:val="22"/>
                <w:lang w:val="en-GB"/>
              </w:rPr>
              <w:t>15 %</w:t>
            </w: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lang w:val="en-GB"/>
              </w:rPr>
            </w:pP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p>
        </w:tc>
      </w:tr>
      <w:tr w:rsidR="00A20F50" w:rsidRPr="006530A3" w:rsidTr="006530A3">
        <w:trPr>
          <w:jc w:val="center"/>
        </w:trPr>
        <w:tc>
          <w:tcPr>
            <w:tcW w:w="2195" w:type="pct"/>
            <w:shd w:val="clear" w:color="auto" w:fill="auto"/>
          </w:tcPr>
          <w:p w:rsidR="00A20F50" w:rsidRPr="006530A3" w:rsidRDefault="00A20F50" w:rsidP="00B560F0">
            <w:pPr>
              <w:tabs>
                <w:tab w:val="left" w:pos="567"/>
              </w:tabs>
              <w:autoSpaceDE w:val="0"/>
              <w:autoSpaceDN w:val="0"/>
              <w:adjustRightInd w:val="0"/>
              <w:ind w:left="29"/>
              <w:rPr>
                <w:sz w:val="22"/>
                <w:szCs w:val="22"/>
                <w:lang w:val="en-GB"/>
              </w:rPr>
            </w:pPr>
            <w:r w:rsidRPr="006530A3">
              <w:rPr>
                <w:sz w:val="22"/>
                <w:szCs w:val="22"/>
                <w:lang w:val="en-GB"/>
              </w:rPr>
              <w:t>HBeAg-serokonvertering</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8 %</w:t>
            </w:r>
          </w:p>
        </w:tc>
        <w:tc>
          <w:tcPr>
            <w:tcW w:w="1402" w:type="pct"/>
            <w:shd w:val="clear" w:color="auto" w:fill="auto"/>
          </w:tcPr>
          <w:p w:rsidR="00A20F50" w:rsidRPr="006530A3" w:rsidRDefault="00A20F50" w:rsidP="00B560F0">
            <w:pPr>
              <w:tabs>
                <w:tab w:val="left" w:pos="567"/>
              </w:tabs>
              <w:autoSpaceDE w:val="0"/>
              <w:autoSpaceDN w:val="0"/>
              <w:adjustRightInd w:val="0"/>
              <w:jc w:val="center"/>
              <w:rPr>
                <w:sz w:val="22"/>
                <w:szCs w:val="22"/>
                <w:lang w:val="en-GB"/>
              </w:rPr>
            </w:pPr>
            <w:r w:rsidRPr="006530A3">
              <w:rPr>
                <w:sz w:val="22"/>
                <w:szCs w:val="22"/>
                <w:lang w:val="en-GB"/>
              </w:rPr>
              <w:t>3 %</w:t>
            </w:r>
          </w:p>
        </w:tc>
      </w:tr>
    </w:tbl>
    <w:p w:rsidR="00A20F50" w:rsidRPr="00D06229" w:rsidRDefault="00A20F50" w:rsidP="00A20F50">
      <w:pPr>
        <w:ind w:left="993" w:hanging="142"/>
        <w:rPr>
          <w:sz w:val="24"/>
          <w:szCs w:val="24"/>
          <w:lang w:val="en-US"/>
        </w:rPr>
      </w:pPr>
      <w:r w:rsidRPr="00D06229">
        <w:rPr>
          <w:sz w:val="24"/>
          <w:szCs w:val="24"/>
          <w:lang w:val="en-US"/>
        </w:rPr>
        <w:t xml:space="preserve">*p-værdi vs. lamivudin &lt; 0,05 </w:t>
      </w:r>
    </w:p>
    <w:p w:rsidR="00A20F50" w:rsidRPr="00D06229" w:rsidRDefault="00A20F50" w:rsidP="00A20F50">
      <w:pPr>
        <w:ind w:left="993" w:hanging="142"/>
        <w:rPr>
          <w:sz w:val="24"/>
          <w:szCs w:val="24"/>
        </w:rPr>
      </w:pPr>
      <w:r w:rsidRPr="00D06229">
        <w:rPr>
          <w:sz w:val="24"/>
          <w:szCs w:val="24"/>
          <w:vertAlign w:val="superscript"/>
        </w:rPr>
        <w:t>a</w:t>
      </w:r>
      <w:r w:rsidRPr="00D06229">
        <w:rPr>
          <w:sz w:val="24"/>
          <w:szCs w:val="24"/>
        </w:rPr>
        <w:t xml:space="preserve"> patienter med evaluérbar histologi ved baseline (baseline Knodell-nekroinflammatorisk score ≥ 2) </w:t>
      </w:r>
    </w:p>
    <w:p w:rsidR="00A20F50" w:rsidRPr="00D06229" w:rsidRDefault="00A20F50" w:rsidP="00A20F50">
      <w:pPr>
        <w:ind w:left="993" w:hanging="142"/>
        <w:rPr>
          <w:sz w:val="24"/>
          <w:szCs w:val="24"/>
        </w:rPr>
      </w:pPr>
      <w:r w:rsidRPr="00D06229">
        <w:rPr>
          <w:sz w:val="24"/>
          <w:szCs w:val="24"/>
          <w:vertAlign w:val="superscript"/>
        </w:rPr>
        <w:t>b</w:t>
      </w:r>
      <w:r w:rsidRPr="00D06229">
        <w:rPr>
          <w:sz w:val="24"/>
          <w:szCs w:val="24"/>
        </w:rPr>
        <w:t xml:space="preserve"> et primært endepunkt</w:t>
      </w:r>
    </w:p>
    <w:p w:rsidR="00A20F50" w:rsidRPr="00D06229" w:rsidRDefault="00A20F50" w:rsidP="00A20F50">
      <w:pPr>
        <w:ind w:left="993" w:hanging="142"/>
        <w:rPr>
          <w:sz w:val="24"/>
          <w:szCs w:val="24"/>
        </w:rPr>
      </w:pPr>
      <w:r w:rsidRPr="00D06229">
        <w:rPr>
          <w:sz w:val="24"/>
          <w:szCs w:val="24"/>
          <w:vertAlign w:val="superscript"/>
        </w:rPr>
        <w:t>c</w:t>
      </w:r>
      <w:r w:rsidRPr="00D06229">
        <w:rPr>
          <w:sz w:val="24"/>
          <w:szCs w:val="24"/>
        </w:rPr>
        <w:t xml:space="preserve"> Roche Cobas Amplicor PCR-assay (LLOQ = 300 kopier/ml)</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Resultater efter 48 ugers behandling</w:t>
      </w:r>
    </w:p>
    <w:p w:rsidR="00A20F50" w:rsidRPr="00D06229" w:rsidRDefault="00A20F50" w:rsidP="00A20F50">
      <w:pPr>
        <w:ind w:left="851"/>
        <w:rPr>
          <w:sz w:val="24"/>
          <w:szCs w:val="24"/>
        </w:rPr>
      </w:pPr>
      <w:r w:rsidRPr="00D06229">
        <w:rPr>
          <w:sz w:val="24"/>
          <w:szCs w:val="24"/>
        </w:rPr>
        <w:t>Behandling blev seponeret, når de præspecificerede responskriterier var opfyldt. Det vil sige, enten efter 48 uger eller i løbet af det andet år med behandling. Responskriterier var HBV-virologisk suppression (HBV-DNA &lt; 0,7 MEq/ml ved bDNA) og tab af HBeAg (hos HBeAg-positive patienter) eller ALAT &lt; 1,25 gange ULN (hos HBeAg-negative patienter). Patienter der responderede blev fulgt i yderligere 24 uger efter seponering af behandling. Patienter, som opfyldte virologiske, men ikke serologiske eller biokemiske responskriterier, fortsatte blindet behandling. Patienter, som ikke havde virologisk respons, blev tilbudt anden behandling.</w:t>
      </w:r>
    </w:p>
    <w:p w:rsidR="00A20F50" w:rsidRPr="00D06229" w:rsidRDefault="00A20F50" w:rsidP="00A20F50">
      <w:pPr>
        <w:ind w:left="851"/>
        <w:rPr>
          <w:i/>
          <w:sz w:val="24"/>
          <w:szCs w:val="24"/>
        </w:rPr>
      </w:pPr>
    </w:p>
    <w:p w:rsidR="00A20F50" w:rsidRPr="00D06229" w:rsidRDefault="00A20F50" w:rsidP="00A20F50">
      <w:pPr>
        <w:ind w:left="851"/>
        <w:rPr>
          <w:i/>
          <w:sz w:val="24"/>
          <w:szCs w:val="24"/>
        </w:rPr>
      </w:pPr>
      <w:r w:rsidRPr="00D06229">
        <w:rPr>
          <w:i/>
          <w:sz w:val="24"/>
          <w:szCs w:val="24"/>
        </w:rPr>
        <w:t>Patienter der ikke tidligere har været i nukleosidbehandling</w:t>
      </w:r>
    </w:p>
    <w:p w:rsidR="00A20F50" w:rsidRPr="00D06229" w:rsidRDefault="00A20F50" w:rsidP="00A20F50">
      <w:pPr>
        <w:ind w:left="851"/>
        <w:rPr>
          <w:sz w:val="24"/>
          <w:szCs w:val="24"/>
        </w:rPr>
      </w:pPr>
      <w:r w:rsidRPr="00D06229">
        <w:rPr>
          <w:sz w:val="24"/>
          <w:szCs w:val="24"/>
        </w:rPr>
        <w:t>HBeAg-positive (studie 022): Behandling med entecavir i op til 96 uger (n = 354) gav kumulative responsrater på 80 % for HBV-DNA &lt; 300 kopier/ml ved PCR, 87 % for ALAT-normalisering, 31 % for HBeAg-serokonvertering og 2 % for HBsAg-serokonvertering (5 % for tab af HBsAg). For lamivudin (n = 355) var de kumulative responsrater 39 % for HBV-DNA &lt; 300 kopier/ml ved PCR, 79 % for ALAT-normalisering, 26 % for HBeAg-serokonvertering og 2 % for HBsAg-serokonvertering (3</w:t>
      </w:r>
      <w:r w:rsidR="006530A3">
        <w:rPr>
          <w:sz w:val="24"/>
          <w:szCs w:val="24"/>
        </w:rPr>
        <w:t> </w:t>
      </w:r>
      <w:r w:rsidRPr="00D06229">
        <w:rPr>
          <w:sz w:val="24"/>
          <w:szCs w:val="24"/>
        </w:rPr>
        <w:t>% for tab af HBsAg).</w:t>
      </w:r>
    </w:p>
    <w:p w:rsidR="00A20F50" w:rsidRPr="00D06229" w:rsidRDefault="00A20F50" w:rsidP="00A20F50">
      <w:pPr>
        <w:ind w:left="851"/>
        <w:rPr>
          <w:sz w:val="24"/>
          <w:szCs w:val="24"/>
        </w:rPr>
      </w:pPr>
      <w:r w:rsidRPr="00D06229">
        <w:rPr>
          <w:sz w:val="24"/>
          <w:szCs w:val="24"/>
        </w:rPr>
        <w:t>Blandt patienter, som fortsatte behandling ud over 52 uger (i gennemsnit 96 uger), havde 81 % af de 243 entecavir-behandlede og 39 % af de 164 lamivudin-behandlede patienter HBV-DNA &lt; 300 kopier/ml ved PCR ved behandlingens afslutning. Imens sås der ALAT-normalisering (≤ 1 gang ULN) hos 79 % af de entecavir-behandlede og 68 % af de lamivudin-behandlede patienter.</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HBeAg-negative (studie 027): Behandling med entecavir i op til 96 uger (n = 325) gav kumulative responsrater på 94 % for HBV-DNA &lt; 300 kopier/ml ved PCR og 89 % for ALAT-normalisering versus 77 % for HBV-DNA &lt; 300 kopier/ml ved PCR og 84 % for ALAT-normalisering for lamivudinbehandlede patienter (n = 313).</w:t>
      </w:r>
    </w:p>
    <w:p w:rsidR="00A20F50" w:rsidRPr="00D06229" w:rsidRDefault="00A20F50" w:rsidP="00A20F50">
      <w:pPr>
        <w:ind w:left="851"/>
        <w:rPr>
          <w:sz w:val="24"/>
          <w:szCs w:val="24"/>
        </w:rPr>
      </w:pPr>
      <w:r w:rsidRPr="00D06229">
        <w:rPr>
          <w:sz w:val="24"/>
          <w:szCs w:val="24"/>
        </w:rPr>
        <w:t xml:space="preserve">For 26 entecavir-behandlede og 28 lamivudin-behandlede patienter som fortsatte </w:t>
      </w:r>
      <w:r w:rsidR="006530A3">
        <w:rPr>
          <w:sz w:val="24"/>
          <w:szCs w:val="24"/>
        </w:rPr>
        <w:t>b</w:t>
      </w:r>
      <w:r w:rsidRPr="00D06229">
        <w:rPr>
          <w:sz w:val="24"/>
          <w:szCs w:val="24"/>
        </w:rPr>
        <w:t>ehandling ud over de 52 uger (i gennemsnit 96 uger), havde 96 % af de entecavir-behandlede og 64 % af de lamivudinbehandlede patienter HBV-DNA &lt; 300 kopier/ml ved PCR ved behandlingens afslutning. Der sås ALAT-normalisering (≤ 1 gange ULN) hos 27</w:t>
      </w:r>
      <w:r w:rsidR="006530A3">
        <w:rPr>
          <w:sz w:val="24"/>
          <w:szCs w:val="24"/>
        </w:rPr>
        <w:t> </w:t>
      </w:r>
      <w:r w:rsidRPr="00D06229">
        <w:rPr>
          <w:sz w:val="24"/>
          <w:szCs w:val="24"/>
        </w:rPr>
        <w:t>% af de entecavir-behandlede og 21 % af de lamivudinbehandlede patienter ved behandlingens afslutning.</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For patienter, som opfyldte de protokoldefinerede responskriterier, opretholdtes respons gennem den 24-ugers opfølgning efter behandlingsafslutning. Responset opretholdtes hos 75 % (83/111) af entecavir-respondere vs. 73 % (68/93) af lamivudin-respondere i studie 022 og hos 46 % (131/286) af entecavir-respondere vs. 31 % (79/253) af lamivudin-</w:t>
      </w:r>
      <w:r w:rsidRPr="00D06229">
        <w:rPr>
          <w:sz w:val="24"/>
          <w:szCs w:val="24"/>
        </w:rPr>
        <w:lastRenderedPageBreak/>
        <w:t>respondere i studie 027. Ved 48 ugers opfølgning efter behandling tabte et betragteligt antal HBeAg-negative patienter respons.</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Resultater fra leverbiopsi: 57 patienter fra pivotale nukleosid-naive studier 022 (HBeAg-positive) og 027 (HBeAg-negative), som deltog i et længerevarende rollover-forsøg, blev undersøgt for længerevarende påvirkning af leverhistologi. Dosis af entecavir var 0,5 mg daglig i de pivotale forsøg (gennemsnitlig eksponering 85 uger) og 1 mg daglig i rollover-forsøget (gennemsnitlig eksponering 177 uger), og 51 patienter i rollover-forsøget fik initialt også lamivudin (gennemsnitlig varighed 29 uger). Af disse patienter opnåede 55/57 (96 %) histologisk forbedring som tidligere defineret (se ovenstående), og 50/57 (88 %) opnåede ≥ 1 point fald i Ishak fibrose-score. Blandt patienter med baseline Ishak fibrose-score ≥ 2, havde 25/43 (58 %) ≥ 2 point fald. Alle (10/10) patienter med fremskreden fibrose eller cirrose ved baseline (Ishak fibrose-score på 4, 5 eller 6) havde ≥ 1 point fald</w:t>
      </w:r>
    </w:p>
    <w:p w:rsidR="00A20F50" w:rsidRPr="00D06229" w:rsidRDefault="00A20F50" w:rsidP="00A20F50">
      <w:pPr>
        <w:ind w:left="851"/>
        <w:rPr>
          <w:sz w:val="24"/>
          <w:szCs w:val="24"/>
        </w:rPr>
      </w:pPr>
      <w:r w:rsidRPr="00D06229">
        <w:rPr>
          <w:sz w:val="24"/>
          <w:szCs w:val="24"/>
        </w:rPr>
        <w:t>(gennemsnitligt fald fra baseline var 1,5 point). På tidspunktet for langtidsbiopsien havde alle patienter HBV-DNA &lt; 300 kopier/ml, og 49/57 (86 %) havde serum ALAT ≤ 1 gange ULN. Alle 57 patienter forblev positive for HBsAg.</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Lamivudin-refraktære patienter</w:t>
      </w:r>
    </w:p>
    <w:p w:rsidR="00A20F50" w:rsidRPr="00D06229" w:rsidRDefault="00A20F50" w:rsidP="00A20F50">
      <w:pPr>
        <w:ind w:left="851"/>
        <w:rPr>
          <w:sz w:val="24"/>
          <w:szCs w:val="24"/>
        </w:rPr>
      </w:pPr>
      <w:r w:rsidRPr="00D06229">
        <w:rPr>
          <w:sz w:val="24"/>
          <w:szCs w:val="24"/>
        </w:rPr>
        <w:t>HBeAg-positive (studie 026): Behandling med entecavir i op til 96 uger (n = 141) gav kumulative responsrater på 30 % for HBV-DNA &lt; 300 kopier/ml ved PCR og 85 % for ALAT-normalisering og 17 % for HBeAg-serokonvertering.</w:t>
      </w:r>
    </w:p>
    <w:p w:rsidR="00A20F50" w:rsidRPr="00D06229" w:rsidRDefault="00A20F50" w:rsidP="00A20F50">
      <w:pPr>
        <w:ind w:left="851"/>
        <w:rPr>
          <w:sz w:val="24"/>
          <w:szCs w:val="24"/>
        </w:rPr>
      </w:pPr>
      <w:r w:rsidRPr="00D06229">
        <w:rPr>
          <w:sz w:val="24"/>
          <w:szCs w:val="24"/>
        </w:rPr>
        <w:t>For de 77 patienter, som fortsatte entecavirbehandling ud over de 52 uger (i gennemsnit 96 uger), havde 40 % af patienterne HBV-DNA &lt; 300 kopier/ml ved PCR, og 81 % af patienterne havde ALATnormalisering (≤ 1 gange ULN) ved behandlingens afslutning.</w:t>
      </w:r>
    </w:p>
    <w:p w:rsidR="004F0D5F" w:rsidRPr="00D06229" w:rsidRDefault="004F0D5F" w:rsidP="00A20F50">
      <w:pPr>
        <w:ind w:left="851"/>
        <w:rPr>
          <w:sz w:val="24"/>
          <w:szCs w:val="24"/>
        </w:rPr>
      </w:pPr>
    </w:p>
    <w:p w:rsidR="004F0D5F" w:rsidRPr="00D06229" w:rsidRDefault="004F0D5F" w:rsidP="006530A3">
      <w:pPr>
        <w:ind w:left="851"/>
        <w:rPr>
          <w:i/>
          <w:iCs/>
          <w:sz w:val="24"/>
          <w:szCs w:val="24"/>
        </w:rPr>
      </w:pPr>
      <w:r w:rsidRPr="00D06229">
        <w:rPr>
          <w:i/>
          <w:iCs/>
          <w:sz w:val="24"/>
          <w:szCs w:val="24"/>
        </w:rPr>
        <w:t>Længerevarende opfølgningsforsøg</w:t>
      </w:r>
    </w:p>
    <w:p w:rsidR="004F0D5F" w:rsidRPr="00D06229" w:rsidRDefault="004F0D5F" w:rsidP="006530A3">
      <w:pPr>
        <w:ind w:left="851"/>
        <w:rPr>
          <w:sz w:val="24"/>
          <w:szCs w:val="24"/>
        </w:rPr>
      </w:pPr>
      <w:r w:rsidRPr="00D06229">
        <w:rPr>
          <w:sz w:val="24"/>
          <w:szCs w:val="24"/>
        </w:rPr>
        <w:t xml:space="preserve">Studie 080 var et randomiseret, åbent fase 4-observationsstudie til vurdering af de langsigtede risici ved behandling med entecavir (ETV, n=6.216) eller anden nukleosid-standardbehandling (syre) af HBV (non-ETV) (n=6.162) i op til 10 år hos forsøgspersoner med kronisk HBV (CHB)-infektion. De væsentligste kliniske resultater, der blev vurderet i studiet, var de samlede maligne neoplasmer (sammensat hændelse af HCC og non-HCC maligne neoplasmer), leverrelateret HBV-sygdomsprogression, non-HCC maligne neoplasmer, HCC og dødsfald, herunder leverrelaterede dødsfald. I dette studie blev ETV ikke associeret med en øget risiko for maligne neoplasmer sammenlignet med anvendelsen af non-ETV, vurderet ud fra enten det sammensatte endepunkt, som var samlede maligne neoplasmer (ETV n=331, non-ETV n=337; HR=0,93 [0,8-1,1]), eller det individuelle endepunkt, som var non-HCC </w:t>
      </w:r>
      <w:proofErr w:type="gramStart"/>
      <w:r w:rsidRPr="00D06229">
        <w:rPr>
          <w:sz w:val="24"/>
          <w:szCs w:val="24"/>
        </w:rPr>
        <w:t>malign neoplasma</w:t>
      </w:r>
      <w:proofErr w:type="gramEnd"/>
      <w:r w:rsidRPr="00D06229">
        <w:rPr>
          <w:sz w:val="24"/>
          <w:szCs w:val="24"/>
        </w:rPr>
        <w:t xml:space="preserve"> (ETV n=95, non-ETV n=81; HR=1,1 [0,82-1,5]). De rapporterede hændelser for leverrelateret HBV-sygdomsprogression og HCC var sammenlignelige i både ETV- og non-ETV-grupperne. Den hyppigst rapporterede malignitet i både ETV- og non-ETV-grupperne var HCC efterfulgt af gastrointestinale maligniteter.</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Alder/køn</w:t>
      </w:r>
    </w:p>
    <w:p w:rsidR="00A20F50" w:rsidRPr="00D06229" w:rsidRDefault="00A20F50" w:rsidP="00A20F50">
      <w:pPr>
        <w:ind w:left="851"/>
        <w:rPr>
          <w:sz w:val="24"/>
          <w:szCs w:val="24"/>
        </w:rPr>
      </w:pPr>
      <w:r w:rsidRPr="00D06229">
        <w:rPr>
          <w:sz w:val="24"/>
          <w:szCs w:val="24"/>
        </w:rPr>
        <w:t>Der sås ingen åbenlyse forskelle i effekt af entecavir baseret på køn (≈ 25 % kvinder i de kliniske forsøg) eller alder (≈ 5 % af patienter var &gt; 65 år).</w:t>
      </w:r>
    </w:p>
    <w:p w:rsidR="0027462E" w:rsidRDefault="0027462E">
      <w:pPr>
        <w:rPr>
          <w:sz w:val="24"/>
          <w:szCs w:val="24"/>
        </w:rPr>
      </w:pPr>
      <w:r>
        <w:rPr>
          <w:sz w:val="24"/>
          <w:szCs w:val="24"/>
        </w:rPr>
        <w:br w:type="page"/>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Særlige populationer</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Patienter med inkompenseret leversygdom</w:t>
      </w:r>
    </w:p>
    <w:p w:rsidR="00A20F50" w:rsidRPr="00D06229" w:rsidRDefault="00A20F50" w:rsidP="00A20F50">
      <w:pPr>
        <w:ind w:left="851"/>
        <w:rPr>
          <w:sz w:val="24"/>
          <w:szCs w:val="24"/>
        </w:rPr>
      </w:pPr>
      <w:r w:rsidRPr="00D06229">
        <w:rPr>
          <w:sz w:val="24"/>
          <w:szCs w:val="24"/>
        </w:rPr>
        <w:t>I studie 048 fik 191 patienter med HBeAg-positiv eller HBeAg-negativ kronisk HBV-infektion og tegn på hepatisk inkompensation, defineret som et CTP-tal på 7 eller højere, 1 mg entecavir en gang daglig eller 10 mg adefovirdipivoxil en gang daglig.</w:t>
      </w:r>
    </w:p>
    <w:p w:rsidR="00A20F50" w:rsidRPr="00D06229" w:rsidRDefault="00A20F50" w:rsidP="00A20F50">
      <w:pPr>
        <w:ind w:left="851"/>
        <w:rPr>
          <w:sz w:val="24"/>
          <w:szCs w:val="24"/>
        </w:rPr>
      </w:pPr>
      <w:r w:rsidRPr="00D06229">
        <w:rPr>
          <w:sz w:val="24"/>
          <w:szCs w:val="24"/>
        </w:rPr>
        <w:t>Patienterne var enten ikke blevet behandlet for HBV tidligere, eller også var de tidligere behandlet (eksklusive tidligere behandling med entecavir, adefovirdipivoxil eller tenofovirdisoproxilfumarat).</w:t>
      </w:r>
    </w:p>
    <w:p w:rsidR="00A20F50" w:rsidRPr="00D06229" w:rsidRDefault="00A20F50" w:rsidP="00A20F50">
      <w:pPr>
        <w:ind w:left="851"/>
        <w:rPr>
          <w:sz w:val="24"/>
          <w:szCs w:val="24"/>
        </w:rPr>
      </w:pPr>
      <w:r w:rsidRPr="00D06229">
        <w:rPr>
          <w:sz w:val="24"/>
          <w:szCs w:val="24"/>
        </w:rPr>
        <w:t>Patienterne havde et gennemsnitligt CTP-tal på 8,59 ved baseline, og 26 % af patienterne var i CTP</w:t>
      </w:r>
      <w:r w:rsidR="00292653">
        <w:rPr>
          <w:sz w:val="24"/>
          <w:szCs w:val="24"/>
        </w:rPr>
        <w:t>-</w:t>
      </w:r>
      <w:r w:rsidRPr="00D06229">
        <w:rPr>
          <w:sz w:val="24"/>
          <w:szCs w:val="24"/>
        </w:rPr>
        <w:t>klasse C. De</w:t>
      </w:r>
      <w:r w:rsidR="0027462E">
        <w:rPr>
          <w:sz w:val="24"/>
          <w:szCs w:val="24"/>
        </w:rPr>
        <w:t>n</w:t>
      </w:r>
      <w:r w:rsidRPr="00D06229">
        <w:rPr>
          <w:sz w:val="24"/>
          <w:szCs w:val="24"/>
        </w:rPr>
        <w:t xml:space="preserve"> gennemsnitlige score for Model for End Stage Liver Disease (MELD) ved baseline var 16,23. Gennemsnitlig serum-HBV-DNA ved PCR var 7,83 log</w:t>
      </w:r>
      <w:r w:rsidRPr="00D06229">
        <w:rPr>
          <w:sz w:val="24"/>
          <w:szCs w:val="24"/>
          <w:vertAlign w:val="subscript"/>
        </w:rPr>
        <w:t>10</w:t>
      </w:r>
      <w:r w:rsidRPr="00D06229">
        <w:rPr>
          <w:sz w:val="24"/>
          <w:szCs w:val="24"/>
        </w:rPr>
        <w:t xml:space="preserve"> kopier/ml, og gennemsnitlig serum</w:t>
      </w:r>
      <w:r w:rsidR="0027462E">
        <w:rPr>
          <w:sz w:val="24"/>
          <w:szCs w:val="24"/>
        </w:rPr>
        <w:t>-</w:t>
      </w:r>
      <w:r w:rsidRPr="00D06229">
        <w:rPr>
          <w:sz w:val="24"/>
          <w:szCs w:val="24"/>
        </w:rPr>
        <w:t>ALAT var 100 E/l. 54 % af patienterne var HBeAg-positive, og 35 % af patienterne havde LVDr</w:t>
      </w:r>
      <w:r w:rsidR="0027462E">
        <w:rPr>
          <w:sz w:val="24"/>
          <w:szCs w:val="24"/>
        </w:rPr>
        <w:t>-</w:t>
      </w:r>
      <w:r w:rsidRPr="00D06229">
        <w:rPr>
          <w:sz w:val="24"/>
          <w:szCs w:val="24"/>
        </w:rPr>
        <w:t>substitutioner ved baseline. Entecavir var superior til adefovirdipivoxil mht. det primære endepunkt - gennemsnitlig ændring fra baseline i serum-HBV-DNA ved PCR i uge 24. Resultaterne for udvalgte endepunkter fra studiets uge 24 og 48 er vist i tabellen.</w:t>
      </w:r>
    </w:p>
    <w:p w:rsidR="00A20F50" w:rsidRPr="00D06229" w:rsidRDefault="00A20F50" w:rsidP="00A20F50">
      <w:pPr>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4"/>
        <w:gridCol w:w="1714"/>
        <w:gridCol w:w="1718"/>
        <w:gridCol w:w="1716"/>
        <w:gridCol w:w="1716"/>
      </w:tblGrid>
      <w:tr w:rsidR="00A20F50" w:rsidRPr="008B5DDE" w:rsidTr="008B5DDE">
        <w:trPr>
          <w:trHeight w:val="232"/>
          <w:jc w:val="center"/>
        </w:trPr>
        <w:tc>
          <w:tcPr>
            <w:tcW w:w="1436" w:type="pct"/>
            <w:shd w:val="clear" w:color="auto" w:fill="auto"/>
          </w:tcPr>
          <w:p w:rsidR="00A20F50" w:rsidRPr="008B5DDE" w:rsidRDefault="00A20F50" w:rsidP="00B560F0">
            <w:pPr>
              <w:tabs>
                <w:tab w:val="left" w:pos="567"/>
              </w:tabs>
              <w:ind w:left="29"/>
              <w:outlineLvl w:val="0"/>
              <w:rPr>
                <w:sz w:val="22"/>
                <w:szCs w:val="22"/>
                <w:lang w:eastAsia="el-GR"/>
              </w:rPr>
            </w:pPr>
          </w:p>
        </w:tc>
        <w:tc>
          <w:tcPr>
            <w:tcW w:w="1782" w:type="pct"/>
            <w:gridSpan w:val="2"/>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GB" w:eastAsia="el-GR"/>
              </w:rPr>
              <w:t>Uge 24</w:t>
            </w:r>
          </w:p>
        </w:tc>
        <w:tc>
          <w:tcPr>
            <w:tcW w:w="1782" w:type="pct"/>
            <w:gridSpan w:val="2"/>
            <w:shd w:val="clear" w:color="auto" w:fill="auto"/>
          </w:tcPr>
          <w:p w:rsidR="00A20F50" w:rsidRPr="008B5DDE" w:rsidRDefault="00A20F50" w:rsidP="00B560F0">
            <w:pPr>
              <w:tabs>
                <w:tab w:val="left" w:pos="567"/>
              </w:tabs>
              <w:ind w:left="851"/>
              <w:jc w:val="center"/>
              <w:outlineLvl w:val="0"/>
              <w:rPr>
                <w:sz w:val="22"/>
                <w:szCs w:val="22"/>
                <w:lang w:val="en-US" w:eastAsia="el-GR"/>
              </w:rPr>
            </w:pPr>
            <w:r w:rsidRPr="008B5DDE">
              <w:rPr>
                <w:sz w:val="22"/>
                <w:szCs w:val="22"/>
                <w:lang w:val="en-GB" w:eastAsia="el-GR"/>
              </w:rPr>
              <w:t>Uge 48</w:t>
            </w:r>
          </w:p>
        </w:tc>
      </w:tr>
      <w:tr w:rsidR="00A20F50" w:rsidRPr="008B5DDE" w:rsidTr="008B5DDE">
        <w:trPr>
          <w:trHeight w:val="1375"/>
          <w:jc w:val="center"/>
        </w:trPr>
        <w:tc>
          <w:tcPr>
            <w:tcW w:w="1436" w:type="pct"/>
            <w:shd w:val="clear" w:color="auto" w:fill="auto"/>
          </w:tcPr>
          <w:p w:rsidR="00A20F50" w:rsidRPr="008B5DDE" w:rsidRDefault="00A20F50" w:rsidP="00B560F0">
            <w:pPr>
              <w:tabs>
                <w:tab w:val="left" w:pos="567"/>
              </w:tabs>
              <w:ind w:left="29"/>
              <w:outlineLvl w:val="0"/>
              <w:rPr>
                <w:sz w:val="22"/>
                <w:szCs w:val="22"/>
                <w:lang w:val="en-US" w:eastAsia="el-GR"/>
              </w:rPr>
            </w:pPr>
          </w:p>
        </w:tc>
        <w:tc>
          <w:tcPr>
            <w:tcW w:w="890" w:type="pct"/>
            <w:shd w:val="clear" w:color="auto" w:fill="auto"/>
          </w:tcPr>
          <w:p w:rsidR="00A20F50" w:rsidRPr="008B5DDE" w:rsidRDefault="00A20F50" w:rsidP="00B560F0">
            <w:pPr>
              <w:tabs>
                <w:tab w:val="left" w:pos="567"/>
              </w:tabs>
              <w:autoSpaceDE w:val="0"/>
              <w:autoSpaceDN w:val="0"/>
              <w:adjustRightInd w:val="0"/>
              <w:jc w:val="center"/>
              <w:rPr>
                <w:sz w:val="22"/>
                <w:szCs w:val="22"/>
                <w:lang w:eastAsia="el-GR"/>
              </w:rPr>
            </w:pPr>
            <w:r w:rsidRPr="008B5DDE">
              <w:rPr>
                <w:sz w:val="22"/>
                <w:szCs w:val="22"/>
                <w:lang w:eastAsia="el-GR"/>
              </w:rPr>
              <w:t>ETV</w:t>
            </w:r>
          </w:p>
          <w:p w:rsidR="00A20F50" w:rsidRPr="008B5DDE" w:rsidRDefault="00A20F50" w:rsidP="00B560F0">
            <w:pPr>
              <w:tabs>
                <w:tab w:val="left" w:pos="567"/>
              </w:tabs>
              <w:autoSpaceDE w:val="0"/>
              <w:autoSpaceDN w:val="0"/>
              <w:adjustRightInd w:val="0"/>
              <w:jc w:val="center"/>
              <w:rPr>
                <w:sz w:val="22"/>
                <w:szCs w:val="22"/>
                <w:lang w:eastAsia="el-GR"/>
              </w:rPr>
            </w:pPr>
            <w:r w:rsidRPr="008B5DDE">
              <w:rPr>
                <w:sz w:val="22"/>
                <w:szCs w:val="22"/>
                <w:lang w:eastAsia="el-GR"/>
              </w:rPr>
              <w:t>1 mg</w:t>
            </w:r>
          </w:p>
          <w:p w:rsidR="00A20F50" w:rsidRPr="008B5DDE" w:rsidRDefault="00A20F50" w:rsidP="00B560F0">
            <w:pPr>
              <w:tabs>
                <w:tab w:val="left" w:pos="567"/>
              </w:tabs>
              <w:jc w:val="center"/>
              <w:outlineLvl w:val="0"/>
              <w:rPr>
                <w:sz w:val="22"/>
                <w:szCs w:val="22"/>
                <w:lang w:eastAsia="el-GR"/>
              </w:rPr>
            </w:pPr>
            <w:r w:rsidRPr="008B5DDE">
              <w:rPr>
                <w:sz w:val="22"/>
                <w:szCs w:val="22"/>
                <w:lang w:eastAsia="el-GR"/>
              </w:rPr>
              <w:t>en gang daglig</w:t>
            </w:r>
          </w:p>
        </w:tc>
        <w:tc>
          <w:tcPr>
            <w:tcW w:w="891" w:type="pct"/>
            <w:shd w:val="clear" w:color="auto" w:fill="auto"/>
          </w:tcPr>
          <w:p w:rsidR="00A20F50" w:rsidRPr="008B5DDE" w:rsidRDefault="00A20F50" w:rsidP="00B560F0">
            <w:pPr>
              <w:tabs>
                <w:tab w:val="left" w:pos="567"/>
              </w:tabs>
              <w:autoSpaceDE w:val="0"/>
              <w:autoSpaceDN w:val="0"/>
              <w:adjustRightInd w:val="0"/>
              <w:ind w:left="-39"/>
              <w:jc w:val="center"/>
              <w:rPr>
                <w:sz w:val="22"/>
                <w:szCs w:val="22"/>
                <w:lang w:eastAsia="el-GR"/>
              </w:rPr>
            </w:pPr>
            <w:r w:rsidRPr="008B5DDE">
              <w:rPr>
                <w:sz w:val="22"/>
                <w:szCs w:val="22"/>
                <w:lang w:eastAsia="el-GR"/>
              </w:rPr>
              <w:t>Adefovir-dipivoxil</w:t>
            </w:r>
          </w:p>
          <w:p w:rsidR="00A20F50" w:rsidRPr="008B5DDE" w:rsidRDefault="00A20F50" w:rsidP="00B560F0">
            <w:pPr>
              <w:tabs>
                <w:tab w:val="left" w:pos="567"/>
              </w:tabs>
              <w:autoSpaceDE w:val="0"/>
              <w:autoSpaceDN w:val="0"/>
              <w:adjustRightInd w:val="0"/>
              <w:ind w:left="-39"/>
              <w:jc w:val="center"/>
              <w:rPr>
                <w:sz w:val="22"/>
                <w:szCs w:val="22"/>
                <w:lang w:eastAsia="el-GR"/>
              </w:rPr>
            </w:pPr>
            <w:r w:rsidRPr="008B5DDE">
              <w:rPr>
                <w:sz w:val="22"/>
                <w:szCs w:val="22"/>
                <w:lang w:eastAsia="el-GR"/>
              </w:rPr>
              <w:t>10 mg</w:t>
            </w:r>
          </w:p>
          <w:p w:rsidR="00A20F50" w:rsidRPr="008B5DDE" w:rsidRDefault="00A20F50" w:rsidP="00B560F0">
            <w:pPr>
              <w:tabs>
                <w:tab w:val="left" w:pos="567"/>
              </w:tabs>
              <w:ind w:left="-39"/>
              <w:jc w:val="center"/>
              <w:outlineLvl w:val="0"/>
              <w:rPr>
                <w:sz w:val="22"/>
                <w:szCs w:val="22"/>
                <w:lang w:eastAsia="el-GR"/>
              </w:rPr>
            </w:pPr>
            <w:r w:rsidRPr="008B5DDE">
              <w:rPr>
                <w:sz w:val="22"/>
                <w:szCs w:val="22"/>
                <w:lang w:eastAsia="el-GR"/>
              </w:rPr>
              <w:t>en gang daglig</w:t>
            </w:r>
          </w:p>
        </w:tc>
        <w:tc>
          <w:tcPr>
            <w:tcW w:w="891" w:type="pct"/>
            <w:shd w:val="clear" w:color="auto" w:fill="auto"/>
          </w:tcPr>
          <w:p w:rsidR="00A20F50" w:rsidRPr="008B5DDE" w:rsidRDefault="00A20F50" w:rsidP="00B560F0">
            <w:pPr>
              <w:tabs>
                <w:tab w:val="left" w:pos="567"/>
              </w:tabs>
              <w:autoSpaceDE w:val="0"/>
              <w:autoSpaceDN w:val="0"/>
              <w:adjustRightInd w:val="0"/>
              <w:jc w:val="center"/>
              <w:rPr>
                <w:sz w:val="22"/>
                <w:szCs w:val="22"/>
                <w:lang w:eastAsia="el-GR"/>
              </w:rPr>
            </w:pPr>
            <w:r w:rsidRPr="008B5DDE">
              <w:rPr>
                <w:sz w:val="22"/>
                <w:szCs w:val="22"/>
                <w:lang w:eastAsia="el-GR"/>
              </w:rPr>
              <w:t>ETV</w:t>
            </w:r>
          </w:p>
          <w:p w:rsidR="00A20F50" w:rsidRPr="008B5DDE" w:rsidRDefault="00A20F50" w:rsidP="00B560F0">
            <w:pPr>
              <w:tabs>
                <w:tab w:val="left" w:pos="567"/>
              </w:tabs>
              <w:autoSpaceDE w:val="0"/>
              <w:autoSpaceDN w:val="0"/>
              <w:adjustRightInd w:val="0"/>
              <w:jc w:val="center"/>
              <w:rPr>
                <w:sz w:val="22"/>
                <w:szCs w:val="22"/>
                <w:lang w:eastAsia="el-GR"/>
              </w:rPr>
            </w:pPr>
            <w:r w:rsidRPr="008B5DDE">
              <w:rPr>
                <w:sz w:val="22"/>
                <w:szCs w:val="22"/>
                <w:lang w:eastAsia="el-GR"/>
              </w:rPr>
              <w:t>1 mg</w:t>
            </w:r>
          </w:p>
          <w:p w:rsidR="00A20F50" w:rsidRPr="008B5DDE" w:rsidRDefault="00A20F50" w:rsidP="00B560F0">
            <w:pPr>
              <w:tabs>
                <w:tab w:val="left" w:pos="567"/>
              </w:tabs>
              <w:jc w:val="center"/>
              <w:outlineLvl w:val="0"/>
              <w:rPr>
                <w:sz w:val="22"/>
                <w:szCs w:val="22"/>
                <w:lang w:eastAsia="el-GR"/>
              </w:rPr>
            </w:pPr>
            <w:r w:rsidRPr="008B5DDE">
              <w:rPr>
                <w:sz w:val="22"/>
                <w:szCs w:val="22"/>
                <w:lang w:eastAsia="el-GR"/>
              </w:rPr>
              <w:t>en gang daglig</w:t>
            </w:r>
          </w:p>
        </w:tc>
        <w:tc>
          <w:tcPr>
            <w:tcW w:w="891" w:type="pct"/>
            <w:shd w:val="clear" w:color="auto" w:fill="auto"/>
          </w:tcPr>
          <w:p w:rsidR="00A20F50" w:rsidRPr="008B5DDE" w:rsidRDefault="00A20F50" w:rsidP="00B560F0">
            <w:pPr>
              <w:tabs>
                <w:tab w:val="left" w:pos="567"/>
              </w:tabs>
              <w:autoSpaceDE w:val="0"/>
              <w:autoSpaceDN w:val="0"/>
              <w:adjustRightInd w:val="0"/>
              <w:ind w:left="200"/>
              <w:jc w:val="center"/>
              <w:rPr>
                <w:sz w:val="22"/>
                <w:szCs w:val="22"/>
                <w:lang w:eastAsia="el-GR"/>
              </w:rPr>
            </w:pPr>
            <w:r w:rsidRPr="008B5DDE">
              <w:rPr>
                <w:sz w:val="22"/>
                <w:szCs w:val="22"/>
                <w:lang w:eastAsia="el-GR"/>
              </w:rPr>
              <w:t>Adefovir-dipivoxil</w:t>
            </w:r>
          </w:p>
          <w:p w:rsidR="00A20F50" w:rsidRPr="008B5DDE" w:rsidRDefault="00A20F50" w:rsidP="00B560F0">
            <w:pPr>
              <w:tabs>
                <w:tab w:val="left" w:pos="567"/>
              </w:tabs>
              <w:autoSpaceDE w:val="0"/>
              <w:autoSpaceDN w:val="0"/>
              <w:adjustRightInd w:val="0"/>
              <w:ind w:left="200"/>
              <w:jc w:val="center"/>
              <w:rPr>
                <w:sz w:val="22"/>
                <w:szCs w:val="22"/>
                <w:lang w:eastAsia="el-GR"/>
              </w:rPr>
            </w:pPr>
            <w:r w:rsidRPr="008B5DDE">
              <w:rPr>
                <w:sz w:val="22"/>
                <w:szCs w:val="22"/>
                <w:lang w:eastAsia="el-GR"/>
              </w:rPr>
              <w:t>10 mg</w:t>
            </w:r>
          </w:p>
          <w:p w:rsidR="00A20F50" w:rsidRPr="008B5DDE" w:rsidRDefault="00A20F50" w:rsidP="00B560F0">
            <w:pPr>
              <w:tabs>
                <w:tab w:val="left" w:pos="567"/>
              </w:tabs>
              <w:ind w:left="200"/>
              <w:jc w:val="center"/>
              <w:outlineLvl w:val="0"/>
              <w:rPr>
                <w:sz w:val="22"/>
                <w:szCs w:val="22"/>
                <w:lang w:eastAsia="el-GR"/>
              </w:rPr>
            </w:pPr>
            <w:r w:rsidRPr="008B5DDE">
              <w:rPr>
                <w:sz w:val="22"/>
                <w:szCs w:val="22"/>
                <w:lang w:eastAsia="el-GR"/>
              </w:rPr>
              <w:t>en gang daglig</w:t>
            </w:r>
          </w:p>
        </w:tc>
      </w:tr>
      <w:tr w:rsidR="00A20F50" w:rsidRPr="008B5DDE" w:rsidTr="008B5DDE">
        <w:trPr>
          <w:trHeight w:val="232"/>
          <w:jc w:val="center"/>
        </w:trPr>
        <w:tc>
          <w:tcPr>
            <w:tcW w:w="1436" w:type="pct"/>
            <w:shd w:val="clear" w:color="auto" w:fill="auto"/>
          </w:tcPr>
          <w:p w:rsidR="00A20F50" w:rsidRPr="008B5DDE" w:rsidRDefault="00A20F50" w:rsidP="00B560F0">
            <w:pPr>
              <w:tabs>
                <w:tab w:val="left" w:pos="567"/>
              </w:tabs>
              <w:ind w:left="29"/>
              <w:outlineLvl w:val="0"/>
              <w:rPr>
                <w:sz w:val="22"/>
                <w:szCs w:val="22"/>
                <w:lang w:val="en-US" w:eastAsia="el-GR"/>
              </w:rPr>
            </w:pPr>
            <w:r w:rsidRPr="008B5DDE">
              <w:rPr>
                <w:sz w:val="22"/>
                <w:szCs w:val="22"/>
                <w:lang w:val="en-US" w:eastAsia="el-GR"/>
              </w:rPr>
              <w:t>n</w:t>
            </w:r>
          </w:p>
        </w:tc>
        <w:tc>
          <w:tcPr>
            <w:tcW w:w="890"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100</w:t>
            </w:r>
          </w:p>
        </w:tc>
        <w:tc>
          <w:tcPr>
            <w:tcW w:w="891"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91</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100</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91</w:t>
            </w:r>
          </w:p>
        </w:tc>
      </w:tr>
      <w:tr w:rsidR="00A20F50" w:rsidRPr="008B5DDE" w:rsidTr="008B5DDE">
        <w:trPr>
          <w:trHeight w:val="449"/>
          <w:jc w:val="center"/>
        </w:trPr>
        <w:tc>
          <w:tcPr>
            <w:tcW w:w="5000" w:type="pct"/>
            <w:gridSpan w:val="5"/>
            <w:shd w:val="clear" w:color="auto" w:fill="auto"/>
          </w:tcPr>
          <w:p w:rsidR="00A20F50" w:rsidRPr="008B5DDE" w:rsidRDefault="00A20F50" w:rsidP="00B560F0">
            <w:pPr>
              <w:tabs>
                <w:tab w:val="left" w:pos="567"/>
              </w:tabs>
              <w:autoSpaceDE w:val="0"/>
              <w:autoSpaceDN w:val="0"/>
              <w:adjustRightInd w:val="0"/>
              <w:ind w:left="101"/>
              <w:rPr>
                <w:sz w:val="22"/>
                <w:szCs w:val="22"/>
                <w:lang w:val="en-US" w:eastAsia="el-GR"/>
              </w:rPr>
            </w:pPr>
            <w:r w:rsidRPr="008B5DDE">
              <w:rPr>
                <w:sz w:val="22"/>
                <w:szCs w:val="22"/>
                <w:lang w:val="en-US" w:eastAsia="el-GR"/>
              </w:rPr>
              <w:t>HBV DNA</w:t>
            </w:r>
            <w:r w:rsidRPr="008B5DDE">
              <w:rPr>
                <w:sz w:val="22"/>
                <w:szCs w:val="22"/>
                <w:vertAlign w:val="superscript"/>
                <w:lang w:val="en-US" w:eastAsia="el-GR"/>
              </w:rPr>
              <w:t>a</w:t>
            </w:r>
          </w:p>
          <w:p w:rsidR="00A20F50" w:rsidRPr="008B5DDE" w:rsidRDefault="00A20F50" w:rsidP="00B560F0">
            <w:pPr>
              <w:tabs>
                <w:tab w:val="left" w:pos="567"/>
              </w:tabs>
              <w:ind w:left="101"/>
              <w:outlineLvl w:val="0"/>
              <w:rPr>
                <w:sz w:val="22"/>
                <w:szCs w:val="22"/>
                <w:lang w:val="en-US" w:eastAsia="el-GR"/>
              </w:rPr>
            </w:pPr>
          </w:p>
        </w:tc>
      </w:tr>
      <w:tr w:rsidR="00A20F50" w:rsidRPr="008B5DDE" w:rsidTr="008B5DDE">
        <w:trPr>
          <w:trHeight w:val="232"/>
          <w:jc w:val="center"/>
        </w:trPr>
        <w:tc>
          <w:tcPr>
            <w:tcW w:w="1436" w:type="pct"/>
            <w:shd w:val="clear" w:color="auto" w:fill="auto"/>
          </w:tcPr>
          <w:p w:rsidR="00A20F50" w:rsidRPr="008B5DDE" w:rsidRDefault="00A20F50" w:rsidP="00B560F0">
            <w:pPr>
              <w:tabs>
                <w:tab w:val="left" w:pos="567"/>
              </w:tabs>
              <w:ind w:left="29"/>
              <w:outlineLvl w:val="0"/>
              <w:rPr>
                <w:sz w:val="22"/>
                <w:szCs w:val="22"/>
                <w:lang w:eastAsia="el-GR"/>
              </w:rPr>
            </w:pPr>
            <w:r w:rsidRPr="008B5DDE">
              <w:rPr>
                <w:sz w:val="22"/>
                <w:szCs w:val="22"/>
                <w:lang w:eastAsia="el-GR"/>
              </w:rPr>
              <w:t>Ikke-detekterbart niveau (&lt;300 kopier/</w:t>
            </w:r>
            <w:proofErr w:type="gramStart"/>
            <w:r w:rsidRPr="008B5DDE">
              <w:rPr>
                <w:sz w:val="22"/>
                <w:szCs w:val="22"/>
                <w:lang w:eastAsia="el-GR"/>
              </w:rPr>
              <w:t>ml)</w:t>
            </w:r>
            <w:r w:rsidRPr="008B5DDE">
              <w:rPr>
                <w:sz w:val="22"/>
                <w:szCs w:val="22"/>
                <w:vertAlign w:val="superscript"/>
                <w:lang w:eastAsia="el-GR"/>
              </w:rPr>
              <w:t>b</w:t>
            </w:r>
            <w:proofErr w:type="gramEnd"/>
          </w:p>
        </w:tc>
        <w:tc>
          <w:tcPr>
            <w:tcW w:w="890" w:type="pct"/>
            <w:shd w:val="clear" w:color="auto" w:fill="auto"/>
          </w:tcPr>
          <w:p w:rsidR="00A20F50" w:rsidRPr="008B5DDE" w:rsidRDefault="00A20F50" w:rsidP="00B560F0">
            <w:pPr>
              <w:tabs>
                <w:tab w:val="left" w:pos="567"/>
              </w:tabs>
              <w:autoSpaceDE w:val="0"/>
              <w:autoSpaceDN w:val="0"/>
              <w:adjustRightInd w:val="0"/>
              <w:ind w:left="-301"/>
              <w:jc w:val="center"/>
              <w:rPr>
                <w:sz w:val="22"/>
                <w:szCs w:val="22"/>
                <w:lang w:val="en-US" w:eastAsia="el-GR"/>
              </w:rPr>
            </w:pPr>
            <w:r w:rsidRPr="008B5DDE">
              <w:rPr>
                <w:sz w:val="22"/>
                <w:szCs w:val="22"/>
                <w:lang w:val="en-GB" w:eastAsia="el-GR"/>
              </w:rPr>
              <w:t>49 %*</w:t>
            </w:r>
          </w:p>
        </w:tc>
        <w:tc>
          <w:tcPr>
            <w:tcW w:w="891"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16 %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57 %*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20 %</w:t>
            </w:r>
          </w:p>
        </w:tc>
      </w:tr>
      <w:tr w:rsidR="00A20F50" w:rsidRPr="008B5DDE" w:rsidTr="008B5DDE">
        <w:trPr>
          <w:trHeight w:val="463"/>
          <w:jc w:val="center"/>
        </w:trPr>
        <w:tc>
          <w:tcPr>
            <w:tcW w:w="1436" w:type="pct"/>
            <w:shd w:val="clear" w:color="auto" w:fill="auto"/>
          </w:tcPr>
          <w:p w:rsidR="00A20F50" w:rsidRPr="008B5DDE" w:rsidRDefault="00A20F50" w:rsidP="00B560F0">
            <w:pPr>
              <w:tabs>
                <w:tab w:val="left" w:pos="567"/>
              </w:tabs>
              <w:autoSpaceDE w:val="0"/>
              <w:autoSpaceDN w:val="0"/>
              <w:adjustRightInd w:val="0"/>
              <w:ind w:left="29"/>
              <w:rPr>
                <w:sz w:val="22"/>
                <w:szCs w:val="22"/>
                <w:lang w:eastAsia="el-GR"/>
              </w:rPr>
            </w:pPr>
            <w:r w:rsidRPr="008B5DDE">
              <w:rPr>
                <w:sz w:val="22"/>
                <w:szCs w:val="22"/>
                <w:lang w:eastAsia="el-GR"/>
              </w:rPr>
              <w:t>Gennemsnitlig ændring fra baseline (log</w:t>
            </w:r>
            <w:r w:rsidRPr="008B5DDE">
              <w:rPr>
                <w:sz w:val="22"/>
                <w:szCs w:val="22"/>
                <w:vertAlign w:val="subscript"/>
                <w:lang w:eastAsia="el-GR"/>
              </w:rPr>
              <w:t>10</w:t>
            </w:r>
            <w:r w:rsidRPr="008B5DDE">
              <w:rPr>
                <w:sz w:val="22"/>
                <w:szCs w:val="22"/>
                <w:lang w:eastAsia="el-GR"/>
              </w:rPr>
              <w:t xml:space="preserve"> kopier/</w:t>
            </w:r>
            <w:proofErr w:type="gramStart"/>
            <w:r w:rsidRPr="008B5DDE">
              <w:rPr>
                <w:sz w:val="22"/>
                <w:szCs w:val="22"/>
                <w:lang w:eastAsia="el-GR"/>
              </w:rPr>
              <w:t>ml)</w:t>
            </w:r>
            <w:r w:rsidRPr="008B5DDE">
              <w:rPr>
                <w:sz w:val="22"/>
                <w:szCs w:val="22"/>
                <w:vertAlign w:val="superscript"/>
                <w:lang w:eastAsia="el-GR"/>
              </w:rPr>
              <w:t>c</w:t>
            </w:r>
            <w:proofErr w:type="gramEnd"/>
          </w:p>
        </w:tc>
        <w:tc>
          <w:tcPr>
            <w:tcW w:w="890"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GB" w:eastAsia="el-GR"/>
              </w:rPr>
              <w:t>-4,48*</w:t>
            </w:r>
          </w:p>
        </w:tc>
        <w:tc>
          <w:tcPr>
            <w:tcW w:w="891" w:type="pct"/>
            <w:shd w:val="clear" w:color="auto" w:fill="auto"/>
          </w:tcPr>
          <w:p w:rsidR="00A20F50" w:rsidRPr="008B5DDE" w:rsidRDefault="00A20F50" w:rsidP="00B560F0">
            <w:pPr>
              <w:tabs>
                <w:tab w:val="left" w:pos="567"/>
              </w:tabs>
              <w:autoSpaceDE w:val="0"/>
              <w:autoSpaceDN w:val="0"/>
              <w:adjustRightInd w:val="0"/>
              <w:ind w:left="-301"/>
              <w:jc w:val="center"/>
              <w:rPr>
                <w:sz w:val="22"/>
                <w:szCs w:val="22"/>
                <w:lang w:val="en-US" w:eastAsia="el-GR"/>
              </w:rPr>
            </w:pPr>
            <w:r w:rsidRPr="008B5DDE">
              <w:rPr>
                <w:sz w:val="22"/>
                <w:szCs w:val="22"/>
                <w:lang w:val="en-US" w:eastAsia="el-GR"/>
              </w:rPr>
              <w:t>-3,40</w:t>
            </w:r>
          </w:p>
          <w:p w:rsidR="00A20F50" w:rsidRPr="008B5DDE" w:rsidRDefault="00A20F50" w:rsidP="00B560F0">
            <w:pPr>
              <w:tabs>
                <w:tab w:val="left" w:pos="567"/>
              </w:tabs>
              <w:ind w:left="-301"/>
              <w:jc w:val="center"/>
              <w:outlineLvl w:val="0"/>
              <w:rPr>
                <w:sz w:val="22"/>
                <w:szCs w:val="22"/>
                <w:lang w:val="en-US" w:eastAsia="el-GR"/>
              </w:rPr>
            </w:pP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-4,66</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-3,90</w:t>
            </w:r>
          </w:p>
        </w:tc>
      </w:tr>
      <w:tr w:rsidR="00A20F50" w:rsidRPr="008B5DDE" w:rsidTr="008B5DDE">
        <w:trPr>
          <w:trHeight w:val="449"/>
          <w:jc w:val="center"/>
        </w:trPr>
        <w:tc>
          <w:tcPr>
            <w:tcW w:w="1436" w:type="pct"/>
            <w:shd w:val="clear" w:color="auto" w:fill="auto"/>
          </w:tcPr>
          <w:p w:rsidR="00A20F50" w:rsidRPr="008B5DDE" w:rsidRDefault="00A20F50" w:rsidP="00B560F0">
            <w:pPr>
              <w:tabs>
                <w:tab w:val="left" w:pos="567"/>
              </w:tabs>
              <w:ind w:left="29"/>
              <w:outlineLvl w:val="0"/>
              <w:rPr>
                <w:sz w:val="22"/>
                <w:szCs w:val="22"/>
                <w:lang w:eastAsia="el-GR"/>
              </w:rPr>
            </w:pPr>
            <w:r w:rsidRPr="008B5DDE">
              <w:rPr>
                <w:sz w:val="22"/>
                <w:szCs w:val="22"/>
                <w:lang w:eastAsia="el-GR"/>
              </w:rPr>
              <w:t>Stabilt eller forbedret CTP-</w:t>
            </w:r>
            <w:proofErr w:type="gramStart"/>
            <w:r w:rsidRPr="008B5DDE">
              <w:rPr>
                <w:sz w:val="22"/>
                <w:szCs w:val="22"/>
                <w:lang w:eastAsia="el-GR"/>
              </w:rPr>
              <w:t>tal</w:t>
            </w:r>
            <w:r w:rsidRPr="008B5DDE">
              <w:rPr>
                <w:sz w:val="22"/>
                <w:szCs w:val="22"/>
                <w:vertAlign w:val="superscript"/>
                <w:lang w:eastAsia="el-GR"/>
              </w:rPr>
              <w:t>b,d</w:t>
            </w:r>
            <w:proofErr w:type="gramEnd"/>
          </w:p>
        </w:tc>
        <w:tc>
          <w:tcPr>
            <w:tcW w:w="890" w:type="pct"/>
            <w:shd w:val="clear" w:color="auto" w:fill="auto"/>
          </w:tcPr>
          <w:p w:rsidR="00A20F50" w:rsidRPr="008B5DDE" w:rsidRDefault="00A20F50" w:rsidP="00B560F0">
            <w:pPr>
              <w:tabs>
                <w:tab w:val="left" w:pos="567"/>
              </w:tabs>
              <w:autoSpaceDE w:val="0"/>
              <w:autoSpaceDN w:val="0"/>
              <w:adjustRightInd w:val="0"/>
              <w:ind w:left="-301"/>
              <w:jc w:val="center"/>
              <w:rPr>
                <w:sz w:val="22"/>
                <w:szCs w:val="22"/>
                <w:lang w:val="en-US" w:eastAsia="el-GR"/>
              </w:rPr>
            </w:pPr>
            <w:r w:rsidRPr="008B5DDE">
              <w:rPr>
                <w:sz w:val="22"/>
                <w:szCs w:val="22"/>
                <w:lang w:val="en-US" w:eastAsia="el-GR"/>
              </w:rPr>
              <w:t>66 %</w:t>
            </w:r>
          </w:p>
          <w:p w:rsidR="00A20F50" w:rsidRPr="008B5DDE" w:rsidRDefault="00A20F50" w:rsidP="00B560F0">
            <w:pPr>
              <w:tabs>
                <w:tab w:val="left" w:pos="567"/>
              </w:tabs>
              <w:ind w:left="-301"/>
              <w:jc w:val="center"/>
              <w:outlineLvl w:val="0"/>
              <w:rPr>
                <w:sz w:val="22"/>
                <w:szCs w:val="22"/>
                <w:lang w:val="en-US" w:eastAsia="el-GR"/>
              </w:rPr>
            </w:pPr>
          </w:p>
        </w:tc>
        <w:tc>
          <w:tcPr>
            <w:tcW w:w="891"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71 %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61 %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67 %</w:t>
            </w:r>
          </w:p>
        </w:tc>
      </w:tr>
      <w:tr w:rsidR="00A20F50" w:rsidRPr="008B5DDE" w:rsidTr="008B5DDE">
        <w:trPr>
          <w:trHeight w:val="906"/>
          <w:jc w:val="center"/>
        </w:trPr>
        <w:tc>
          <w:tcPr>
            <w:tcW w:w="1436" w:type="pct"/>
            <w:shd w:val="clear" w:color="auto" w:fill="auto"/>
          </w:tcPr>
          <w:p w:rsidR="00A20F50" w:rsidRPr="008B5DDE" w:rsidRDefault="00A20F50" w:rsidP="00B560F0">
            <w:pPr>
              <w:tabs>
                <w:tab w:val="left" w:pos="567"/>
              </w:tabs>
              <w:autoSpaceDE w:val="0"/>
              <w:autoSpaceDN w:val="0"/>
              <w:adjustRightInd w:val="0"/>
              <w:ind w:left="29"/>
              <w:rPr>
                <w:sz w:val="22"/>
                <w:szCs w:val="22"/>
                <w:lang w:eastAsia="el-GR"/>
              </w:rPr>
            </w:pPr>
            <w:r w:rsidRPr="008B5DDE">
              <w:rPr>
                <w:sz w:val="22"/>
                <w:szCs w:val="22"/>
                <w:lang w:eastAsia="el-GR"/>
              </w:rPr>
              <w:t>MELD score</w:t>
            </w:r>
          </w:p>
          <w:p w:rsidR="00A20F50" w:rsidRPr="008B5DDE" w:rsidRDefault="00A20F50" w:rsidP="00B560F0">
            <w:pPr>
              <w:tabs>
                <w:tab w:val="left" w:pos="567"/>
              </w:tabs>
              <w:autoSpaceDE w:val="0"/>
              <w:autoSpaceDN w:val="0"/>
              <w:adjustRightInd w:val="0"/>
              <w:ind w:left="29"/>
              <w:rPr>
                <w:sz w:val="22"/>
                <w:szCs w:val="22"/>
                <w:vertAlign w:val="superscript"/>
                <w:lang w:eastAsia="el-GR"/>
              </w:rPr>
            </w:pPr>
            <w:r w:rsidRPr="008B5DDE">
              <w:rPr>
                <w:sz w:val="22"/>
                <w:szCs w:val="22"/>
                <w:lang w:eastAsia="el-GR"/>
              </w:rPr>
              <w:t xml:space="preserve">Gennemsnitlig ændring fra </w:t>
            </w:r>
            <w:proofErr w:type="gramStart"/>
            <w:r w:rsidRPr="008B5DDE">
              <w:rPr>
                <w:sz w:val="22"/>
                <w:szCs w:val="22"/>
                <w:lang w:eastAsia="el-GR"/>
              </w:rPr>
              <w:t>baseline</w:t>
            </w:r>
            <w:r w:rsidRPr="008B5DDE">
              <w:rPr>
                <w:sz w:val="22"/>
                <w:szCs w:val="22"/>
                <w:vertAlign w:val="superscript"/>
                <w:lang w:eastAsia="el-GR"/>
              </w:rPr>
              <w:t>c,e</w:t>
            </w:r>
            <w:proofErr w:type="gramEnd"/>
          </w:p>
        </w:tc>
        <w:tc>
          <w:tcPr>
            <w:tcW w:w="890" w:type="pct"/>
            <w:shd w:val="clear" w:color="auto" w:fill="auto"/>
          </w:tcPr>
          <w:p w:rsidR="00A20F50" w:rsidRPr="008B5DDE" w:rsidRDefault="00A20F50" w:rsidP="00B560F0">
            <w:pPr>
              <w:tabs>
                <w:tab w:val="left" w:pos="567"/>
              </w:tabs>
              <w:autoSpaceDE w:val="0"/>
              <w:autoSpaceDN w:val="0"/>
              <w:adjustRightInd w:val="0"/>
              <w:ind w:left="-301"/>
              <w:jc w:val="center"/>
              <w:rPr>
                <w:sz w:val="22"/>
                <w:szCs w:val="22"/>
                <w:lang w:val="en-US" w:eastAsia="el-GR"/>
              </w:rPr>
            </w:pPr>
            <w:r w:rsidRPr="008B5DDE">
              <w:rPr>
                <w:sz w:val="22"/>
                <w:szCs w:val="22"/>
                <w:lang w:val="en-US" w:eastAsia="el-GR"/>
              </w:rPr>
              <w:t>-2,0</w:t>
            </w:r>
          </w:p>
          <w:p w:rsidR="00A20F50" w:rsidRPr="008B5DDE" w:rsidRDefault="00A20F50" w:rsidP="00B560F0">
            <w:pPr>
              <w:tabs>
                <w:tab w:val="left" w:pos="567"/>
              </w:tabs>
              <w:autoSpaceDE w:val="0"/>
              <w:autoSpaceDN w:val="0"/>
              <w:adjustRightInd w:val="0"/>
              <w:ind w:left="-301"/>
              <w:jc w:val="center"/>
              <w:rPr>
                <w:sz w:val="22"/>
                <w:szCs w:val="22"/>
                <w:lang w:val="en-US" w:eastAsia="el-GR"/>
              </w:rPr>
            </w:pPr>
          </w:p>
        </w:tc>
        <w:tc>
          <w:tcPr>
            <w:tcW w:w="891" w:type="pct"/>
            <w:shd w:val="clear" w:color="auto" w:fill="auto"/>
          </w:tcPr>
          <w:p w:rsidR="00A20F50" w:rsidRPr="008B5DDE" w:rsidRDefault="00A20F50" w:rsidP="00B560F0">
            <w:pPr>
              <w:tabs>
                <w:tab w:val="left" w:pos="567"/>
              </w:tabs>
              <w:autoSpaceDE w:val="0"/>
              <w:autoSpaceDN w:val="0"/>
              <w:adjustRightInd w:val="0"/>
              <w:ind w:left="-301"/>
              <w:jc w:val="center"/>
              <w:rPr>
                <w:sz w:val="22"/>
                <w:szCs w:val="22"/>
                <w:lang w:val="en-US" w:eastAsia="el-GR"/>
              </w:rPr>
            </w:pPr>
            <w:r w:rsidRPr="008B5DDE">
              <w:rPr>
                <w:sz w:val="22"/>
                <w:szCs w:val="22"/>
                <w:lang w:val="en-US" w:eastAsia="el-GR"/>
              </w:rPr>
              <w:t>-0,9</w:t>
            </w:r>
          </w:p>
          <w:p w:rsidR="00A20F50" w:rsidRPr="008B5DDE" w:rsidRDefault="00A20F50" w:rsidP="00B560F0">
            <w:pPr>
              <w:tabs>
                <w:tab w:val="left" w:pos="567"/>
              </w:tabs>
              <w:ind w:left="-301"/>
              <w:jc w:val="center"/>
              <w:outlineLvl w:val="0"/>
              <w:rPr>
                <w:sz w:val="22"/>
                <w:szCs w:val="22"/>
                <w:lang w:val="en-US" w:eastAsia="el-GR"/>
              </w:rPr>
            </w:pPr>
          </w:p>
        </w:tc>
        <w:tc>
          <w:tcPr>
            <w:tcW w:w="891" w:type="pct"/>
            <w:shd w:val="clear" w:color="auto" w:fill="auto"/>
          </w:tcPr>
          <w:p w:rsidR="00A20F50" w:rsidRPr="008B5DDE" w:rsidRDefault="00A20F50" w:rsidP="00B560F0">
            <w:pPr>
              <w:tabs>
                <w:tab w:val="left" w:pos="567"/>
              </w:tabs>
              <w:autoSpaceDE w:val="0"/>
              <w:autoSpaceDN w:val="0"/>
              <w:adjustRightInd w:val="0"/>
              <w:ind w:left="101"/>
              <w:jc w:val="center"/>
              <w:rPr>
                <w:sz w:val="22"/>
                <w:szCs w:val="22"/>
                <w:lang w:val="en-US" w:eastAsia="el-GR"/>
              </w:rPr>
            </w:pPr>
            <w:r w:rsidRPr="008B5DDE">
              <w:rPr>
                <w:sz w:val="22"/>
                <w:szCs w:val="22"/>
                <w:lang w:val="en-US" w:eastAsia="el-GR"/>
              </w:rPr>
              <w:t>-2,6</w:t>
            </w:r>
          </w:p>
          <w:p w:rsidR="00A20F50" w:rsidRPr="008B5DDE" w:rsidRDefault="00A20F50" w:rsidP="00B560F0">
            <w:pPr>
              <w:tabs>
                <w:tab w:val="left" w:pos="567"/>
              </w:tabs>
              <w:ind w:left="101"/>
              <w:jc w:val="center"/>
              <w:outlineLvl w:val="0"/>
              <w:rPr>
                <w:sz w:val="22"/>
                <w:szCs w:val="22"/>
                <w:lang w:val="en-US" w:eastAsia="el-GR"/>
              </w:rPr>
            </w:pPr>
          </w:p>
        </w:tc>
        <w:tc>
          <w:tcPr>
            <w:tcW w:w="891" w:type="pct"/>
            <w:shd w:val="clear" w:color="auto" w:fill="auto"/>
          </w:tcPr>
          <w:p w:rsidR="00A20F50" w:rsidRPr="008B5DDE" w:rsidRDefault="00A20F50" w:rsidP="00B560F0">
            <w:pPr>
              <w:tabs>
                <w:tab w:val="left" w:pos="567"/>
              </w:tabs>
              <w:autoSpaceDE w:val="0"/>
              <w:autoSpaceDN w:val="0"/>
              <w:adjustRightInd w:val="0"/>
              <w:ind w:left="101"/>
              <w:jc w:val="center"/>
              <w:rPr>
                <w:sz w:val="22"/>
                <w:szCs w:val="22"/>
                <w:lang w:val="en-US" w:eastAsia="el-GR"/>
              </w:rPr>
            </w:pPr>
            <w:r w:rsidRPr="008B5DDE">
              <w:rPr>
                <w:sz w:val="22"/>
                <w:szCs w:val="22"/>
                <w:lang w:val="en-US" w:eastAsia="el-GR"/>
              </w:rPr>
              <w:t>-1,7</w:t>
            </w:r>
          </w:p>
          <w:p w:rsidR="00A20F50" w:rsidRPr="008B5DDE" w:rsidRDefault="00A20F50" w:rsidP="00B560F0">
            <w:pPr>
              <w:tabs>
                <w:tab w:val="left" w:pos="567"/>
              </w:tabs>
              <w:ind w:left="101"/>
              <w:jc w:val="center"/>
              <w:outlineLvl w:val="0"/>
              <w:rPr>
                <w:sz w:val="22"/>
                <w:szCs w:val="22"/>
                <w:lang w:val="en-US" w:eastAsia="el-GR"/>
              </w:rPr>
            </w:pPr>
          </w:p>
        </w:tc>
      </w:tr>
      <w:tr w:rsidR="00A20F50" w:rsidRPr="008B5DDE" w:rsidTr="008B5DDE">
        <w:trPr>
          <w:trHeight w:val="217"/>
          <w:jc w:val="center"/>
        </w:trPr>
        <w:tc>
          <w:tcPr>
            <w:tcW w:w="1436" w:type="pct"/>
            <w:shd w:val="clear" w:color="auto" w:fill="auto"/>
          </w:tcPr>
          <w:p w:rsidR="00A20F50" w:rsidRPr="008B5DDE" w:rsidRDefault="00A20F50" w:rsidP="00B560F0">
            <w:pPr>
              <w:tabs>
                <w:tab w:val="left" w:pos="567"/>
              </w:tabs>
              <w:autoSpaceDE w:val="0"/>
              <w:autoSpaceDN w:val="0"/>
              <w:adjustRightInd w:val="0"/>
              <w:ind w:left="29"/>
              <w:rPr>
                <w:sz w:val="22"/>
                <w:szCs w:val="22"/>
                <w:lang w:val="en-US" w:eastAsia="el-GR"/>
              </w:rPr>
            </w:pPr>
            <w:r w:rsidRPr="008B5DDE">
              <w:rPr>
                <w:sz w:val="22"/>
                <w:szCs w:val="22"/>
                <w:lang w:val="en-US" w:eastAsia="el-GR"/>
              </w:rPr>
              <w:t xml:space="preserve">Tab af HBsAg </w:t>
            </w:r>
            <w:r w:rsidRPr="008B5DDE">
              <w:rPr>
                <w:sz w:val="22"/>
                <w:szCs w:val="22"/>
                <w:vertAlign w:val="superscript"/>
                <w:lang w:val="en-US" w:eastAsia="el-GR"/>
              </w:rPr>
              <w:t>b</w:t>
            </w:r>
          </w:p>
        </w:tc>
        <w:tc>
          <w:tcPr>
            <w:tcW w:w="890" w:type="pct"/>
            <w:shd w:val="clear" w:color="auto" w:fill="auto"/>
          </w:tcPr>
          <w:p w:rsidR="00A20F50" w:rsidRPr="008B5DDE" w:rsidRDefault="00A20F50" w:rsidP="00B560F0">
            <w:pPr>
              <w:tabs>
                <w:tab w:val="left" w:pos="567"/>
              </w:tabs>
              <w:autoSpaceDE w:val="0"/>
              <w:autoSpaceDN w:val="0"/>
              <w:adjustRightInd w:val="0"/>
              <w:ind w:left="-301"/>
              <w:jc w:val="center"/>
              <w:rPr>
                <w:sz w:val="22"/>
                <w:szCs w:val="22"/>
                <w:lang w:val="en-US" w:eastAsia="el-GR"/>
              </w:rPr>
            </w:pPr>
            <w:r w:rsidRPr="008B5DDE">
              <w:rPr>
                <w:sz w:val="22"/>
                <w:szCs w:val="22"/>
                <w:lang w:val="en-US" w:eastAsia="el-GR"/>
              </w:rPr>
              <w:t>1 %</w:t>
            </w:r>
          </w:p>
        </w:tc>
        <w:tc>
          <w:tcPr>
            <w:tcW w:w="891"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0</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5 %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0</w:t>
            </w:r>
          </w:p>
        </w:tc>
      </w:tr>
      <w:tr w:rsidR="00A20F50" w:rsidRPr="008B5DDE" w:rsidTr="008B5DDE">
        <w:trPr>
          <w:trHeight w:val="232"/>
          <w:jc w:val="center"/>
        </w:trPr>
        <w:tc>
          <w:tcPr>
            <w:tcW w:w="5000" w:type="pct"/>
            <w:gridSpan w:val="5"/>
            <w:shd w:val="clear" w:color="auto" w:fill="auto"/>
          </w:tcPr>
          <w:p w:rsidR="00A20F50" w:rsidRPr="008B5DDE" w:rsidRDefault="00A20F50" w:rsidP="00B560F0">
            <w:pPr>
              <w:tabs>
                <w:tab w:val="left" w:pos="567"/>
              </w:tabs>
              <w:autoSpaceDE w:val="0"/>
              <w:autoSpaceDN w:val="0"/>
              <w:adjustRightInd w:val="0"/>
              <w:ind w:left="101"/>
              <w:rPr>
                <w:sz w:val="22"/>
                <w:szCs w:val="22"/>
                <w:lang w:val="en-US" w:eastAsia="el-GR"/>
              </w:rPr>
            </w:pPr>
            <w:r w:rsidRPr="008B5DDE">
              <w:rPr>
                <w:sz w:val="22"/>
                <w:szCs w:val="22"/>
                <w:lang w:val="en-US" w:eastAsia="el-GR"/>
              </w:rPr>
              <w:t xml:space="preserve">Normalisering </w:t>
            </w:r>
            <w:proofErr w:type="gramStart"/>
            <w:r w:rsidRPr="008B5DDE">
              <w:rPr>
                <w:sz w:val="22"/>
                <w:szCs w:val="22"/>
                <w:lang w:val="en-US" w:eastAsia="el-GR"/>
              </w:rPr>
              <w:t>af:</w:t>
            </w:r>
            <w:r w:rsidRPr="008B5DDE">
              <w:rPr>
                <w:sz w:val="22"/>
                <w:szCs w:val="22"/>
                <w:vertAlign w:val="superscript"/>
                <w:lang w:val="en-US" w:eastAsia="el-GR"/>
              </w:rPr>
              <w:t>f</w:t>
            </w:r>
            <w:proofErr w:type="gramEnd"/>
          </w:p>
        </w:tc>
      </w:tr>
      <w:tr w:rsidR="00A20F50" w:rsidRPr="008B5DDE" w:rsidTr="008B5DDE">
        <w:trPr>
          <w:trHeight w:val="232"/>
          <w:jc w:val="center"/>
        </w:trPr>
        <w:tc>
          <w:tcPr>
            <w:tcW w:w="1436" w:type="pct"/>
            <w:shd w:val="clear" w:color="auto" w:fill="auto"/>
          </w:tcPr>
          <w:p w:rsidR="00A20F50" w:rsidRPr="008B5DDE" w:rsidRDefault="00A20F50" w:rsidP="00B560F0">
            <w:pPr>
              <w:tabs>
                <w:tab w:val="left" w:pos="567"/>
              </w:tabs>
              <w:autoSpaceDE w:val="0"/>
              <w:autoSpaceDN w:val="0"/>
              <w:adjustRightInd w:val="0"/>
              <w:ind w:left="29"/>
              <w:rPr>
                <w:sz w:val="22"/>
                <w:szCs w:val="22"/>
                <w:lang w:val="en-US" w:eastAsia="el-GR"/>
              </w:rPr>
            </w:pPr>
            <w:r w:rsidRPr="008B5DDE">
              <w:rPr>
                <w:sz w:val="22"/>
                <w:szCs w:val="22"/>
                <w:lang w:val="en-US" w:eastAsia="el-GR"/>
              </w:rPr>
              <w:t xml:space="preserve">ALAT (≤1 X </w:t>
            </w:r>
            <w:proofErr w:type="gramStart"/>
            <w:r w:rsidRPr="008B5DDE">
              <w:rPr>
                <w:sz w:val="22"/>
                <w:szCs w:val="22"/>
                <w:lang w:val="en-US" w:eastAsia="el-GR"/>
              </w:rPr>
              <w:t>ULN)</w:t>
            </w:r>
            <w:r w:rsidRPr="008B5DDE">
              <w:rPr>
                <w:sz w:val="22"/>
                <w:szCs w:val="22"/>
                <w:vertAlign w:val="superscript"/>
                <w:lang w:val="en-US" w:eastAsia="el-GR"/>
              </w:rPr>
              <w:t>b</w:t>
            </w:r>
            <w:proofErr w:type="gramEnd"/>
          </w:p>
        </w:tc>
        <w:tc>
          <w:tcPr>
            <w:tcW w:w="890" w:type="pct"/>
            <w:shd w:val="clear" w:color="auto" w:fill="auto"/>
          </w:tcPr>
          <w:p w:rsidR="00A20F50" w:rsidRPr="008B5DDE" w:rsidRDefault="00A20F50" w:rsidP="00B560F0">
            <w:pPr>
              <w:tabs>
                <w:tab w:val="left" w:pos="567"/>
              </w:tabs>
              <w:autoSpaceDE w:val="0"/>
              <w:autoSpaceDN w:val="0"/>
              <w:adjustRightInd w:val="0"/>
              <w:ind w:left="-301"/>
              <w:jc w:val="center"/>
              <w:rPr>
                <w:sz w:val="22"/>
                <w:szCs w:val="22"/>
                <w:lang w:val="en-US" w:eastAsia="el-GR"/>
              </w:rPr>
            </w:pPr>
            <w:r w:rsidRPr="008B5DDE">
              <w:rPr>
                <w:sz w:val="22"/>
                <w:szCs w:val="22"/>
                <w:lang w:val="en-US" w:eastAsia="el-GR"/>
              </w:rPr>
              <w:t xml:space="preserve">46/78 (59 </w:t>
            </w:r>
            <w:proofErr w:type="gramStart"/>
            <w:r w:rsidRPr="008B5DDE">
              <w:rPr>
                <w:sz w:val="22"/>
                <w:szCs w:val="22"/>
                <w:lang w:val="en-US" w:eastAsia="el-GR"/>
              </w:rPr>
              <w:t>%)*</w:t>
            </w:r>
            <w:proofErr w:type="gramEnd"/>
          </w:p>
        </w:tc>
        <w:tc>
          <w:tcPr>
            <w:tcW w:w="891"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28/71 (39 %)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 xml:space="preserve">49/78 (63 </w:t>
            </w:r>
            <w:proofErr w:type="gramStart"/>
            <w:r w:rsidRPr="008B5DDE">
              <w:rPr>
                <w:sz w:val="22"/>
                <w:szCs w:val="22"/>
                <w:lang w:val="en-US" w:eastAsia="el-GR"/>
              </w:rPr>
              <w:t>%)*</w:t>
            </w:r>
            <w:proofErr w:type="gramEnd"/>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33/71 (46 %)</w:t>
            </w:r>
          </w:p>
        </w:tc>
      </w:tr>
      <w:tr w:rsidR="00A20F50" w:rsidRPr="008B5DDE" w:rsidTr="008B5DDE">
        <w:trPr>
          <w:trHeight w:val="217"/>
          <w:jc w:val="center"/>
        </w:trPr>
        <w:tc>
          <w:tcPr>
            <w:tcW w:w="1436" w:type="pct"/>
            <w:shd w:val="clear" w:color="auto" w:fill="auto"/>
          </w:tcPr>
          <w:p w:rsidR="00A20F50" w:rsidRPr="008B5DDE" w:rsidRDefault="00A20F50" w:rsidP="00B560F0">
            <w:pPr>
              <w:tabs>
                <w:tab w:val="left" w:pos="567"/>
              </w:tabs>
              <w:autoSpaceDE w:val="0"/>
              <w:autoSpaceDN w:val="0"/>
              <w:adjustRightInd w:val="0"/>
              <w:ind w:left="29"/>
              <w:rPr>
                <w:sz w:val="22"/>
                <w:szCs w:val="22"/>
                <w:lang w:val="en-US" w:eastAsia="el-GR"/>
              </w:rPr>
            </w:pPr>
            <w:r w:rsidRPr="008B5DDE">
              <w:rPr>
                <w:sz w:val="22"/>
                <w:szCs w:val="22"/>
                <w:lang w:val="en-US" w:eastAsia="el-GR"/>
              </w:rPr>
              <w:t xml:space="preserve">Albumin (≥1 X </w:t>
            </w:r>
            <w:proofErr w:type="gramStart"/>
            <w:r w:rsidRPr="008B5DDE">
              <w:rPr>
                <w:sz w:val="22"/>
                <w:szCs w:val="22"/>
                <w:lang w:val="en-US" w:eastAsia="el-GR"/>
              </w:rPr>
              <w:t>LLN)</w:t>
            </w:r>
            <w:r w:rsidRPr="008B5DDE">
              <w:rPr>
                <w:sz w:val="22"/>
                <w:szCs w:val="22"/>
                <w:vertAlign w:val="superscript"/>
                <w:lang w:val="en-US" w:eastAsia="el-GR"/>
              </w:rPr>
              <w:t>b</w:t>
            </w:r>
            <w:proofErr w:type="gramEnd"/>
          </w:p>
        </w:tc>
        <w:tc>
          <w:tcPr>
            <w:tcW w:w="890" w:type="pct"/>
            <w:shd w:val="clear" w:color="auto" w:fill="auto"/>
          </w:tcPr>
          <w:p w:rsidR="00A20F50" w:rsidRPr="008B5DDE" w:rsidRDefault="00A20F50" w:rsidP="00B560F0">
            <w:pPr>
              <w:tabs>
                <w:tab w:val="left" w:pos="567"/>
              </w:tabs>
              <w:autoSpaceDE w:val="0"/>
              <w:autoSpaceDN w:val="0"/>
              <w:adjustRightInd w:val="0"/>
              <w:ind w:left="-301"/>
              <w:jc w:val="center"/>
              <w:rPr>
                <w:sz w:val="22"/>
                <w:szCs w:val="22"/>
                <w:lang w:val="en-US" w:eastAsia="el-GR"/>
              </w:rPr>
            </w:pPr>
            <w:r w:rsidRPr="008B5DDE">
              <w:rPr>
                <w:sz w:val="22"/>
                <w:szCs w:val="22"/>
                <w:lang w:val="en-US" w:eastAsia="el-GR"/>
              </w:rPr>
              <w:t>20/82 (24 %)</w:t>
            </w:r>
          </w:p>
        </w:tc>
        <w:tc>
          <w:tcPr>
            <w:tcW w:w="891"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14/69 (20 %)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32/82 (39 %)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20/69 (29 %)</w:t>
            </w:r>
          </w:p>
        </w:tc>
      </w:tr>
      <w:tr w:rsidR="00A20F50" w:rsidRPr="008B5DDE" w:rsidTr="008B5DDE">
        <w:trPr>
          <w:trHeight w:val="232"/>
          <w:jc w:val="center"/>
        </w:trPr>
        <w:tc>
          <w:tcPr>
            <w:tcW w:w="1436" w:type="pct"/>
            <w:shd w:val="clear" w:color="auto" w:fill="auto"/>
          </w:tcPr>
          <w:p w:rsidR="00A20F50" w:rsidRPr="008B5DDE" w:rsidRDefault="00A20F50" w:rsidP="00B560F0">
            <w:pPr>
              <w:tabs>
                <w:tab w:val="left" w:pos="567"/>
              </w:tabs>
              <w:autoSpaceDE w:val="0"/>
              <w:autoSpaceDN w:val="0"/>
              <w:adjustRightInd w:val="0"/>
              <w:ind w:left="29"/>
              <w:rPr>
                <w:sz w:val="22"/>
                <w:szCs w:val="22"/>
                <w:lang w:val="en-US" w:eastAsia="el-GR"/>
              </w:rPr>
            </w:pPr>
            <w:r w:rsidRPr="008B5DDE">
              <w:rPr>
                <w:sz w:val="22"/>
                <w:szCs w:val="22"/>
                <w:lang w:val="en-US" w:eastAsia="el-GR"/>
              </w:rPr>
              <w:t xml:space="preserve">Bilirubin (≤1 X </w:t>
            </w:r>
            <w:proofErr w:type="gramStart"/>
            <w:r w:rsidRPr="008B5DDE">
              <w:rPr>
                <w:sz w:val="22"/>
                <w:szCs w:val="22"/>
                <w:lang w:val="en-US" w:eastAsia="el-GR"/>
              </w:rPr>
              <w:t>ULN)</w:t>
            </w:r>
            <w:r w:rsidRPr="008B5DDE">
              <w:rPr>
                <w:sz w:val="22"/>
                <w:szCs w:val="22"/>
                <w:vertAlign w:val="superscript"/>
                <w:lang w:val="en-US" w:eastAsia="el-GR"/>
              </w:rPr>
              <w:t>b</w:t>
            </w:r>
            <w:proofErr w:type="gramEnd"/>
          </w:p>
        </w:tc>
        <w:tc>
          <w:tcPr>
            <w:tcW w:w="890" w:type="pct"/>
            <w:shd w:val="clear" w:color="auto" w:fill="auto"/>
          </w:tcPr>
          <w:p w:rsidR="00A20F50" w:rsidRPr="008B5DDE" w:rsidRDefault="00A20F50" w:rsidP="00B560F0">
            <w:pPr>
              <w:tabs>
                <w:tab w:val="left" w:pos="567"/>
              </w:tabs>
              <w:autoSpaceDE w:val="0"/>
              <w:autoSpaceDN w:val="0"/>
              <w:adjustRightInd w:val="0"/>
              <w:ind w:left="-301"/>
              <w:jc w:val="center"/>
              <w:rPr>
                <w:sz w:val="22"/>
                <w:szCs w:val="22"/>
                <w:lang w:val="en-US" w:eastAsia="el-GR"/>
              </w:rPr>
            </w:pPr>
            <w:r w:rsidRPr="008B5DDE">
              <w:rPr>
                <w:sz w:val="22"/>
                <w:szCs w:val="22"/>
                <w:lang w:val="en-US" w:eastAsia="el-GR"/>
              </w:rPr>
              <w:t>12/75 (16 %)</w:t>
            </w:r>
          </w:p>
        </w:tc>
        <w:tc>
          <w:tcPr>
            <w:tcW w:w="891"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10/65 (15 %)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15/75 (20 %)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18/65 (28 %)</w:t>
            </w:r>
          </w:p>
        </w:tc>
      </w:tr>
      <w:tr w:rsidR="00A20F50" w:rsidRPr="008B5DDE" w:rsidTr="008B5DDE">
        <w:trPr>
          <w:trHeight w:val="246"/>
          <w:jc w:val="center"/>
        </w:trPr>
        <w:tc>
          <w:tcPr>
            <w:tcW w:w="1436" w:type="pct"/>
            <w:shd w:val="clear" w:color="auto" w:fill="auto"/>
          </w:tcPr>
          <w:p w:rsidR="00A20F50" w:rsidRPr="008B5DDE" w:rsidRDefault="00A20F50" w:rsidP="00B560F0">
            <w:pPr>
              <w:tabs>
                <w:tab w:val="left" w:pos="567"/>
              </w:tabs>
              <w:autoSpaceDE w:val="0"/>
              <w:autoSpaceDN w:val="0"/>
              <w:adjustRightInd w:val="0"/>
              <w:ind w:left="29"/>
              <w:rPr>
                <w:sz w:val="22"/>
                <w:szCs w:val="22"/>
                <w:lang w:val="en-US" w:eastAsia="el-GR"/>
              </w:rPr>
            </w:pPr>
            <w:r w:rsidRPr="008B5DDE">
              <w:rPr>
                <w:sz w:val="22"/>
                <w:szCs w:val="22"/>
                <w:lang w:val="en-US" w:eastAsia="el-GR"/>
              </w:rPr>
              <w:t xml:space="preserve">Protrombintid (≤1 X </w:t>
            </w:r>
            <w:proofErr w:type="gramStart"/>
            <w:r w:rsidRPr="008B5DDE">
              <w:rPr>
                <w:sz w:val="22"/>
                <w:szCs w:val="22"/>
                <w:lang w:val="en-US" w:eastAsia="el-GR"/>
              </w:rPr>
              <w:t>ULN)</w:t>
            </w:r>
            <w:r w:rsidRPr="008B5DDE">
              <w:rPr>
                <w:sz w:val="22"/>
                <w:szCs w:val="22"/>
                <w:vertAlign w:val="superscript"/>
                <w:lang w:val="en-US" w:eastAsia="el-GR"/>
              </w:rPr>
              <w:t>b</w:t>
            </w:r>
            <w:proofErr w:type="gramEnd"/>
          </w:p>
        </w:tc>
        <w:tc>
          <w:tcPr>
            <w:tcW w:w="890"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9/95 (9 %)</w:t>
            </w:r>
          </w:p>
        </w:tc>
        <w:tc>
          <w:tcPr>
            <w:tcW w:w="891" w:type="pct"/>
            <w:shd w:val="clear" w:color="auto" w:fill="auto"/>
          </w:tcPr>
          <w:p w:rsidR="00A20F50" w:rsidRPr="008B5DDE" w:rsidRDefault="00A20F50" w:rsidP="00B560F0">
            <w:pPr>
              <w:tabs>
                <w:tab w:val="left" w:pos="567"/>
              </w:tabs>
              <w:ind w:left="-301"/>
              <w:jc w:val="center"/>
              <w:outlineLvl w:val="0"/>
              <w:rPr>
                <w:sz w:val="22"/>
                <w:szCs w:val="22"/>
                <w:lang w:val="en-US" w:eastAsia="el-GR"/>
              </w:rPr>
            </w:pPr>
            <w:r w:rsidRPr="008B5DDE">
              <w:rPr>
                <w:sz w:val="22"/>
                <w:szCs w:val="22"/>
                <w:lang w:val="en-US" w:eastAsia="el-GR"/>
              </w:rPr>
              <w:t>6/82 (7 %)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8/95 (8 %)</w:t>
            </w:r>
          </w:p>
        </w:tc>
        <w:tc>
          <w:tcPr>
            <w:tcW w:w="891" w:type="pct"/>
            <w:shd w:val="clear" w:color="auto" w:fill="auto"/>
          </w:tcPr>
          <w:p w:rsidR="00A20F50" w:rsidRPr="008B5DDE" w:rsidRDefault="00A20F50" w:rsidP="00B560F0">
            <w:pPr>
              <w:tabs>
                <w:tab w:val="left" w:pos="567"/>
              </w:tabs>
              <w:ind w:left="101"/>
              <w:jc w:val="center"/>
              <w:outlineLvl w:val="0"/>
              <w:rPr>
                <w:sz w:val="22"/>
                <w:szCs w:val="22"/>
                <w:lang w:val="en-US" w:eastAsia="el-GR"/>
              </w:rPr>
            </w:pPr>
            <w:r w:rsidRPr="008B5DDE">
              <w:rPr>
                <w:sz w:val="22"/>
                <w:szCs w:val="22"/>
                <w:lang w:val="en-US" w:eastAsia="el-GR"/>
              </w:rPr>
              <w:t>7/82 (9 %)</w:t>
            </w:r>
          </w:p>
        </w:tc>
      </w:tr>
    </w:tbl>
    <w:p w:rsidR="00A20F50" w:rsidRPr="00D06229" w:rsidRDefault="00A20F50" w:rsidP="00A20F50">
      <w:pPr>
        <w:ind w:left="993" w:hanging="142"/>
        <w:rPr>
          <w:sz w:val="24"/>
          <w:szCs w:val="24"/>
          <w:lang w:val="en-US"/>
        </w:rPr>
      </w:pPr>
      <w:r w:rsidRPr="00D06229">
        <w:rPr>
          <w:sz w:val="24"/>
          <w:szCs w:val="24"/>
          <w:vertAlign w:val="superscript"/>
          <w:lang w:val="en-US"/>
        </w:rPr>
        <w:t>a</w:t>
      </w:r>
      <w:r w:rsidRPr="00D06229">
        <w:rPr>
          <w:sz w:val="24"/>
          <w:szCs w:val="24"/>
          <w:lang w:val="en-US"/>
        </w:rPr>
        <w:t xml:space="preserve"> Roche COBAS Amplicor PCR-assay (LLOQ = 300 kopier/ml).</w:t>
      </w:r>
    </w:p>
    <w:p w:rsidR="00A20F50" w:rsidRPr="00D06229" w:rsidRDefault="00A20F50" w:rsidP="00A20F50">
      <w:pPr>
        <w:ind w:left="993" w:hanging="142"/>
        <w:rPr>
          <w:sz w:val="24"/>
          <w:szCs w:val="24"/>
        </w:rPr>
      </w:pPr>
      <w:r w:rsidRPr="00D06229">
        <w:rPr>
          <w:sz w:val="24"/>
          <w:szCs w:val="24"/>
          <w:vertAlign w:val="superscript"/>
        </w:rPr>
        <w:t>b</w:t>
      </w:r>
      <w:r w:rsidRPr="00D06229">
        <w:rPr>
          <w:sz w:val="24"/>
          <w:szCs w:val="24"/>
        </w:rPr>
        <w:t xml:space="preserve"> NC=F (noncompleter=svigt, dvs. behandlingsafbrydelse før analyseugen. Blandt andet medregnes årsager som død, manglende virkning, bivirkning, noncompliance/manglende opfølgning som svigt (f.eks. HBV-DNA ≥ 300 kopier/ml)</w:t>
      </w:r>
    </w:p>
    <w:p w:rsidR="00A20F50" w:rsidRPr="00D06229" w:rsidRDefault="00A20F50" w:rsidP="00A20F50">
      <w:pPr>
        <w:ind w:left="993" w:hanging="142"/>
        <w:rPr>
          <w:sz w:val="24"/>
          <w:szCs w:val="24"/>
          <w:lang w:val="en-US"/>
        </w:rPr>
      </w:pPr>
      <w:r w:rsidRPr="00D06229">
        <w:rPr>
          <w:sz w:val="24"/>
          <w:szCs w:val="24"/>
          <w:vertAlign w:val="superscript"/>
          <w:lang w:val="en-US"/>
        </w:rPr>
        <w:t xml:space="preserve">c </w:t>
      </w:r>
      <w:r w:rsidRPr="00D06229">
        <w:rPr>
          <w:sz w:val="24"/>
          <w:szCs w:val="24"/>
          <w:lang w:val="en-US"/>
        </w:rPr>
        <w:t>NC=M (noncompleters=svigt)</w:t>
      </w:r>
    </w:p>
    <w:p w:rsidR="00A20F50" w:rsidRPr="00D06229" w:rsidRDefault="00A20F50" w:rsidP="00A20F50">
      <w:pPr>
        <w:ind w:left="993" w:hanging="142"/>
        <w:rPr>
          <w:sz w:val="24"/>
          <w:szCs w:val="24"/>
        </w:rPr>
      </w:pPr>
      <w:r w:rsidRPr="00D06229">
        <w:rPr>
          <w:sz w:val="24"/>
          <w:szCs w:val="24"/>
          <w:vertAlign w:val="superscript"/>
        </w:rPr>
        <w:t xml:space="preserve">d </w:t>
      </w:r>
      <w:r w:rsidRPr="00D06229">
        <w:rPr>
          <w:sz w:val="24"/>
          <w:szCs w:val="24"/>
        </w:rPr>
        <w:t>Defineres som nedgang eller ingen ændring fra baseline i CTP-tal.</w:t>
      </w:r>
    </w:p>
    <w:p w:rsidR="00A20F50" w:rsidRPr="00D06229" w:rsidRDefault="00A20F50" w:rsidP="00A20F50">
      <w:pPr>
        <w:ind w:left="993" w:hanging="142"/>
        <w:rPr>
          <w:sz w:val="24"/>
          <w:szCs w:val="24"/>
        </w:rPr>
      </w:pPr>
      <w:r w:rsidRPr="00D06229">
        <w:rPr>
          <w:sz w:val="24"/>
          <w:szCs w:val="24"/>
          <w:vertAlign w:val="superscript"/>
        </w:rPr>
        <w:t>e</w:t>
      </w:r>
      <w:r w:rsidRPr="00D06229">
        <w:rPr>
          <w:sz w:val="24"/>
          <w:szCs w:val="24"/>
        </w:rPr>
        <w:t xml:space="preserve"> Gennemsnitlig MELD-score ved baseline var 17,1 for ETV og 15,3 for adefovirdipivoxil.</w:t>
      </w:r>
    </w:p>
    <w:p w:rsidR="00A20F50" w:rsidRPr="00D06229" w:rsidRDefault="00A20F50" w:rsidP="00A20F50">
      <w:pPr>
        <w:ind w:left="993" w:hanging="142"/>
        <w:rPr>
          <w:sz w:val="24"/>
          <w:szCs w:val="24"/>
        </w:rPr>
      </w:pPr>
      <w:r w:rsidRPr="00D06229">
        <w:rPr>
          <w:sz w:val="24"/>
          <w:szCs w:val="24"/>
          <w:vertAlign w:val="superscript"/>
        </w:rPr>
        <w:t>f</w:t>
      </w:r>
      <w:r w:rsidRPr="00D06229">
        <w:rPr>
          <w:sz w:val="24"/>
          <w:szCs w:val="24"/>
        </w:rPr>
        <w:t xml:space="preserve"> Nævner for patienter med abnorme værdier ved baseline.</w:t>
      </w:r>
    </w:p>
    <w:p w:rsidR="00A20F50" w:rsidRPr="00D06229" w:rsidRDefault="00A20F50" w:rsidP="00A20F50">
      <w:pPr>
        <w:ind w:left="993" w:hanging="142"/>
        <w:rPr>
          <w:sz w:val="24"/>
          <w:szCs w:val="24"/>
        </w:rPr>
      </w:pPr>
      <w:r w:rsidRPr="00D06229">
        <w:rPr>
          <w:sz w:val="24"/>
          <w:szCs w:val="24"/>
        </w:rPr>
        <w:t>* p&lt;0,05</w:t>
      </w:r>
    </w:p>
    <w:p w:rsidR="00A20F50" w:rsidRPr="00D06229" w:rsidRDefault="00A20F50" w:rsidP="00A20F50">
      <w:pPr>
        <w:ind w:left="993" w:hanging="142"/>
        <w:rPr>
          <w:sz w:val="24"/>
          <w:szCs w:val="24"/>
        </w:rPr>
      </w:pPr>
      <w:r w:rsidRPr="00D06229">
        <w:rPr>
          <w:sz w:val="24"/>
          <w:szCs w:val="24"/>
        </w:rPr>
        <w:lastRenderedPageBreak/>
        <w:t>ULN=øvre normalgrænse, LLN=nedre normalgrænse.</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Tiden til indtræden af HCC eller død (afhængig af hvad der indtraf først) var sammenlignelig i de to behandlingsgrupper. Den kumulative dødelighed i studiet var 23 % (23/102) og 33 % (29/89) for patienter, der blev behandlet med henholdsvis entecavir og adefovirdipivoxil, og den kumulative forekomst af HCC var 12 % (12/102) og 20 % (18/89) for henholdsvis entecavir og adefovirdipivoxil. For patienter med LVDr-substitutioner ved baseline var andelen af patienter med HBV-DNA &lt;300 kopier/ml 44 % for entecavir og 20 % for adefovir i uge 24 og 50 % for entecavir og 17 % for adefovir i</w:t>
      </w:r>
    </w:p>
    <w:p w:rsidR="00A20F50" w:rsidRPr="00D06229" w:rsidRDefault="00A20F50" w:rsidP="00A20F50">
      <w:pPr>
        <w:ind w:left="851"/>
        <w:rPr>
          <w:sz w:val="24"/>
          <w:szCs w:val="24"/>
        </w:rPr>
      </w:pPr>
      <w:r w:rsidRPr="00D06229">
        <w:rPr>
          <w:sz w:val="24"/>
          <w:szCs w:val="24"/>
        </w:rPr>
        <w:t>uge 48.</w:t>
      </w:r>
    </w:p>
    <w:p w:rsidR="00A20F50" w:rsidRPr="00D06229" w:rsidRDefault="00A20F50" w:rsidP="00A20F50">
      <w:pPr>
        <w:ind w:left="851"/>
        <w:rPr>
          <w:i/>
          <w:sz w:val="24"/>
          <w:szCs w:val="24"/>
        </w:rPr>
      </w:pPr>
    </w:p>
    <w:p w:rsidR="00A20F50" w:rsidRPr="00D06229" w:rsidRDefault="00A20F50" w:rsidP="00A20F50">
      <w:pPr>
        <w:ind w:left="851"/>
        <w:rPr>
          <w:i/>
          <w:sz w:val="24"/>
          <w:szCs w:val="24"/>
        </w:rPr>
      </w:pPr>
      <w:r w:rsidRPr="00D06229">
        <w:rPr>
          <w:i/>
          <w:sz w:val="24"/>
          <w:szCs w:val="24"/>
        </w:rPr>
        <w:t>hiv/HBV-inficerede patienter, som samtidig får HAART-behandling</w:t>
      </w:r>
    </w:p>
    <w:p w:rsidR="00A20F50" w:rsidRPr="00D06229" w:rsidRDefault="00A20F50" w:rsidP="00A20F50">
      <w:pPr>
        <w:ind w:left="851"/>
        <w:rPr>
          <w:sz w:val="24"/>
          <w:szCs w:val="24"/>
        </w:rPr>
      </w:pPr>
      <w:r w:rsidRPr="00D06229">
        <w:rPr>
          <w:sz w:val="24"/>
          <w:szCs w:val="24"/>
        </w:rPr>
        <w:t>Studie 038 inkluderede 67 HBeAg-positive patienter og 1 HBeAg-negativ patient med samtidig hiv-infektion. Patienterne havde stabil, kontrolleret hiv (hiv RNA &lt; 400 kopier/ml) med recidiv af HBV-viræmi i et lamivudinindeholdende HAART-regime. HAART-regimet indeholdt ikke emtricitabin eller tenofovirdisoproxilfumerat. De entecavir-behandlede patienter havde ved baseline tidligere været behandlet med lamivudin i gennemsnitligt 4,8 år og havde et gennemsnitligt CD4-tal på 494 celler/mm3 (kun 5 patienter havde CD4-tal &lt; 200 celler/mm</w:t>
      </w:r>
      <w:r w:rsidRPr="00D06229">
        <w:rPr>
          <w:sz w:val="24"/>
          <w:szCs w:val="24"/>
          <w:vertAlign w:val="superscript"/>
        </w:rPr>
        <w:t>3</w:t>
      </w:r>
      <w:r w:rsidRPr="00D06229">
        <w:rPr>
          <w:sz w:val="24"/>
          <w:szCs w:val="24"/>
        </w:rPr>
        <w:t>). Patienterne fortsatte deres lamivudin-regime og blev allokeret til tillæg af entecavir 1 mg en gang daglig (n = 51) eller placebo</w:t>
      </w:r>
      <w:r w:rsidR="008B5DDE">
        <w:rPr>
          <w:sz w:val="24"/>
          <w:szCs w:val="24"/>
        </w:rPr>
        <w:t xml:space="preserve"> </w:t>
      </w:r>
      <w:r w:rsidRPr="00D06229">
        <w:rPr>
          <w:sz w:val="24"/>
          <w:szCs w:val="24"/>
        </w:rPr>
        <w:t>(n = 17) i 24 uger efterfulgt af yderligere 24 uger, hvor alle fik entecavir. Ved 24 uger var fald i HBV viral load signifikant større med entecavir (-3,65 vs. en stigning på 0,11 log</w:t>
      </w:r>
      <w:r w:rsidRPr="00D06229">
        <w:rPr>
          <w:sz w:val="24"/>
          <w:szCs w:val="24"/>
          <w:vertAlign w:val="subscript"/>
        </w:rPr>
        <w:t>10</w:t>
      </w:r>
      <w:r w:rsidRPr="00D06229">
        <w:rPr>
          <w:sz w:val="24"/>
          <w:szCs w:val="24"/>
        </w:rPr>
        <w:t xml:space="preserve"> kopier/ml). For patienter, der oprindelig blev allokeret til entecavir, var fald i HBV-DNA ved 48 uger -4,20 log</w:t>
      </w:r>
      <w:r w:rsidRPr="00D06229">
        <w:rPr>
          <w:sz w:val="24"/>
          <w:szCs w:val="24"/>
          <w:vertAlign w:val="subscript"/>
        </w:rPr>
        <w:t>10</w:t>
      </w:r>
      <w:r w:rsidRPr="00D06229">
        <w:rPr>
          <w:sz w:val="24"/>
          <w:szCs w:val="24"/>
        </w:rPr>
        <w:t xml:space="preserve"> kopier/ml. Der sås ALAT-normalisering hos 37 % af patienterne med abnorm ALAT ved baseline, og ingen opnåede HBeAg-serokonvertering.</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hiv/HBV-inficerede patienter, som ikke samtidig får HAART-behandling</w:t>
      </w:r>
    </w:p>
    <w:p w:rsidR="00A20F50" w:rsidRPr="00D06229" w:rsidRDefault="00A20F50" w:rsidP="00A20F50">
      <w:pPr>
        <w:ind w:left="851"/>
        <w:rPr>
          <w:sz w:val="24"/>
          <w:szCs w:val="24"/>
        </w:rPr>
      </w:pPr>
      <w:r w:rsidRPr="00D06229">
        <w:rPr>
          <w:sz w:val="24"/>
          <w:szCs w:val="24"/>
        </w:rPr>
        <w:t>Entecavir er ikke blevet evalueret hos hiv/HBV-inficerede patienter, der ikke samtidig fik effektiv hiv-behandling. Reduktioner i hiv-RNA er blevet rapporteret hos hiv/HBV-inficerede patienter, der modtog entecavir-monoterapi uden HAART. I nogle tilfælde er selektion af hiv-varianten M184V blevet observeret, som har implikation på valget af HAART-regimet, som patienten kan få i fremtiden. På grund af den potentielle risiko for udvikling af hiv-resistens bør entecavir derfor ikke bruges i disse tilfælde (se pkt. 4.4).</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Levertransplanterede patienter</w:t>
      </w:r>
    </w:p>
    <w:p w:rsidR="00A20F50" w:rsidRPr="00D06229" w:rsidRDefault="00A20F50" w:rsidP="00A20F50">
      <w:pPr>
        <w:ind w:left="851"/>
        <w:rPr>
          <w:sz w:val="24"/>
          <w:szCs w:val="24"/>
        </w:rPr>
      </w:pPr>
      <w:r w:rsidRPr="00D06229">
        <w:rPr>
          <w:sz w:val="24"/>
          <w:szCs w:val="24"/>
        </w:rPr>
        <w:t>Sikkerheden og virkningen af entecavir 1 mg en gang daglig blev vurderet i et enkelt-arm-studie med 65 patienter, som gennemgik en levertransplantation på grund af komplikationer ved kronisk HBV-infektion, og som havde HBV-DNA &lt; 172 IE/ml (ca. 1.000 kopier/ml) på tidspunktet for transplantationen. Studiepopulationen bestod af 82 % mænd, 39 % var kaukasere og 37 % asiatere, og gennemsnitsalderen var 49 år; 89 % af patienterne havde HBeAg</w:t>
      </w:r>
      <w:r w:rsidR="00292653">
        <w:rPr>
          <w:sz w:val="24"/>
          <w:szCs w:val="24"/>
        </w:rPr>
        <w:t>-</w:t>
      </w:r>
      <w:r w:rsidRPr="00D06229">
        <w:rPr>
          <w:sz w:val="24"/>
          <w:szCs w:val="24"/>
        </w:rPr>
        <w:t xml:space="preserve">negativ sygdom på transplantationstidspunktet. Af de 61 patienter, som var evaluerbare for virkning (fik entecavir i mindst 1 måned), fik de 60 også hepatitis B-immunglobulin (HBIg) som en del af den forebyggende behandling efter transplantationen. Af disse 60 patienter fik de 49 HBIg-behandling I mere end 6 måneder. Ved uge 72 efter transplantationen havde ingen af de 55 observerede individer virologisk tilbagefald af HBV [defineret som HBV-DNA ≥50 IE/ml (ca. 300 kopier/ml)], og der var ingen rapporterede virologiske tilbagefald hos de resterende 6 patienter på undersøgelsestidspunktet. Alle 61 patienter var HBsAg-negative efter transplantationen, og 2 af patienterne blev senere HBsAg-positive på trods af ikke-detekterbart HBV-DNA (&lt;6 IE/ml). Hyppigheden og typen af bivirkninger i dette studie var sammenlignelige med de </w:t>
      </w:r>
      <w:r w:rsidRPr="00D06229">
        <w:rPr>
          <w:sz w:val="24"/>
          <w:szCs w:val="24"/>
        </w:rPr>
        <w:lastRenderedPageBreak/>
        <w:t>bivirkninger, der forventes hos patienter, som har gennemgået en levertransplantation, og i overensstemmelse med entecavirs kendte sikkerhedsprofil.</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i/>
          <w:sz w:val="24"/>
          <w:szCs w:val="24"/>
        </w:rPr>
        <w:t>Pædiatrisk population</w:t>
      </w:r>
    </w:p>
    <w:p w:rsidR="00A20F50" w:rsidRPr="00D06229" w:rsidRDefault="00A20F50" w:rsidP="00A20F50">
      <w:pPr>
        <w:ind w:left="851"/>
        <w:rPr>
          <w:sz w:val="24"/>
          <w:szCs w:val="24"/>
        </w:rPr>
      </w:pPr>
      <w:r w:rsidRPr="00D06229">
        <w:rPr>
          <w:sz w:val="24"/>
          <w:szCs w:val="24"/>
        </w:rPr>
        <w:t>Studie 189 er et studie vedrørende entecavirs virkning og sikkerhed hos 180 nukleosid-naive børn og unge i alderen 2 til &lt; 18 år med HBeAg-positiv kronisk hepatitis B-infektion, kompenseret leversygdom og forhøjet ALAT. Patienterne blev randomiseret</w:t>
      </w:r>
    </w:p>
    <w:p w:rsidR="00A20F50" w:rsidRPr="00D06229" w:rsidRDefault="00A20F50" w:rsidP="00A20F50">
      <w:pPr>
        <w:ind w:left="851"/>
        <w:rPr>
          <w:sz w:val="24"/>
          <w:szCs w:val="24"/>
        </w:rPr>
      </w:pPr>
      <w:r w:rsidRPr="00D06229">
        <w:rPr>
          <w:sz w:val="24"/>
          <w:szCs w:val="24"/>
        </w:rPr>
        <w:t>(2:1) til blindet behandling med entecavir 0,015 mg/kg op til 0,5 mg/dag (N = 120) eller placebo (N = 60). Randomiseringen blev stratificeret efter aldersgruppe (2 til 6 år; &gt; 6 til 12 år og &gt; 12 til &lt; 18 år). Demografien ved baseline og HBV-sygdomskarakteristika var sammenlignelige mellem de 2 behandlingsarme og på tværs af aldersgrupper. Ved studiets start var gennemsnitlig HBV-DNA 8,1 log</w:t>
      </w:r>
      <w:r w:rsidRPr="00D06229">
        <w:rPr>
          <w:sz w:val="24"/>
          <w:szCs w:val="24"/>
          <w:vertAlign w:val="subscript"/>
        </w:rPr>
        <w:t>10</w:t>
      </w:r>
      <w:r w:rsidRPr="00D06229">
        <w:rPr>
          <w:sz w:val="24"/>
          <w:szCs w:val="24"/>
        </w:rPr>
        <w:t xml:space="preserve"> IE/ml og gennemsnitlig ALAT var 103 E/l på tværs af studiepopulationen. Resultaterne for de vigtigste endepunkter ved uge 48 og uge 96 er vist i nedenstående tabel.</w:t>
      </w:r>
    </w:p>
    <w:p w:rsidR="00A20F50" w:rsidRPr="00D06229" w:rsidRDefault="00A20F50" w:rsidP="00A20F50">
      <w:pPr>
        <w:ind w:left="851"/>
        <w:rPr>
          <w:sz w:val="24"/>
          <w:szCs w:val="24"/>
        </w:rPr>
      </w:pPr>
    </w:p>
    <w:tbl>
      <w:tblPr>
        <w:tblW w:w="906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972"/>
        <w:gridCol w:w="1747"/>
        <w:gridCol w:w="1973"/>
      </w:tblGrid>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sz w:val="22"/>
                <w:szCs w:val="22"/>
              </w:rPr>
            </w:pPr>
          </w:p>
        </w:tc>
        <w:tc>
          <w:tcPr>
            <w:tcW w:w="3719" w:type="dxa"/>
            <w:gridSpan w:val="2"/>
            <w:shd w:val="clear" w:color="auto" w:fill="auto"/>
          </w:tcPr>
          <w:p w:rsidR="00A20F50" w:rsidRPr="008B5DDE" w:rsidRDefault="00A20F50" w:rsidP="00B560F0">
            <w:pPr>
              <w:tabs>
                <w:tab w:val="left" w:pos="567"/>
              </w:tabs>
              <w:jc w:val="center"/>
              <w:rPr>
                <w:b/>
                <w:sz w:val="22"/>
                <w:szCs w:val="22"/>
                <w:lang w:val="en-US"/>
              </w:rPr>
            </w:pPr>
            <w:r w:rsidRPr="008B5DDE">
              <w:rPr>
                <w:b/>
                <w:sz w:val="22"/>
                <w:szCs w:val="22"/>
                <w:lang w:val="en-US"/>
              </w:rPr>
              <w:t>Entecavir</w:t>
            </w:r>
          </w:p>
        </w:tc>
        <w:tc>
          <w:tcPr>
            <w:tcW w:w="1973" w:type="dxa"/>
            <w:shd w:val="clear" w:color="auto" w:fill="auto"/>
          </w:tcPr>
          <w:p w:rsidR="00A20F50" w:rsidRPr="008B5DDE" w:rsidRDefault="00A20F50" w:rsidP="00B560F0">
            <w:pPr>
              <w:tabs>
                <w:tab w:val="left" w:pos="567"/>
              </w:tabs>
              <w:ind w:left="33" w:right="-307"/>
              <w:jc w:val="center"/>
              <w:rPr>
                <w:sz w:val="22"/>
                <w:szCs w:val="22"/>
                <w:lang w:val="en-US"/>
              </w:rPr>
            </w:pPr>
            <w:r w:rsidRPr="008B5DDE">
              <w:rPr>
                <w:b/>
                <w:sz w:val="22"/>
                <w:szCs w:val="22"/>
                <w:lang w:val="en-US"/>
              </w:rPr>
              <w:t>Placebo*</w:t>
            </w:r>
          </w:p>
        </w:tc>
      </w:tr>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sz w:val="22"/>
                <w:szCs w:val="22"/>
                <w:lang w:val="en-US"/>
              </w:rPr>
            </w:pPr>
          </w:p>
        </w:tc>
        <w:tc>
          <w:tcPr>
            <w:tcW w:w="1972" w:type="dxa"/>
            <w:shd w:val="clear" w:color="auto" w:fill="auto"/>
            <w:vAlign w:val="center"/>
          </w:tcPr>
          <w:p w:rsidR="00A20F50" w:rsidRPr="008B5DDE" w:rsidRDefault="00A20F50" w:rsidP="00B560F0">
            <w:pPr>
              <w:tabs>
                <w:tab w:val="left" w:pos="567"/>
              </w:tabs>
              <w:jc w:val="center"/>
              <w:rPr>
                <w:b/>
                <w:sz w:val="22"/>
                <w:szCs w:val="22"/>
                <w:lang w:val="en-US"/>
              </w:rPr>
            </w:pPr>
            <w:r w:rsidRPr="008B5DDE">
              <w:rPr>
                <w:sz w:val="22"/>
                <w:szCs w:val="22"/>
                <w:lang w:val="en-US"/>
              </w:rPr>
              <w:t>Uge 48</w:t>
            </w:r>
          </w:p>
        </w:tc>
        <w:tc>
          <w:tcPr>
            <w:tcW w:w="1747" w:type="dxa"/>
            <w:shd w:val="clear" w:color="auto" w:fill="auto"/>
            <w:vAlign w:val="center"/>
          </w:tcPr>
          <w:p w:rsidR="00A20F50" w:rsidRPr="008B5DDE" w:rsidRDefault="00A20F50" w:rsidP="00B560F0">
            <w:pPr>
              <w:tabs>
                <w:tab w:val="left" w:pos="567"/>
              </w:tabs>
              <w:jc w:val="center"/>
              <w:rPr>
                <w:sz w:val="22"/>
                <w:szCs w:val="22"/>
                <w:lang w:val="en-US"/>
              </w:rPr>
            </w:pPr>
            <w:r w:rsidRPr="008B5DDE">
              <w:rPr>
                <w:sz w:val="22"/>
                <w:szCs w:val="22"/>
                <w:lang w:val="en-US"/>
              </w:rPr>
              <w:t>Uge 96</w:t>
            </w:r>
          </w:p>
        </w:tc>
        <w:tc>
          <w:tcPr>
            <w:tcW w:w="1973" w:type="dxa"/>
            <w:shd w:val="clear" w:color="auto" w:fill="auto"/>
            <w:vAlign w:val="center"/>
          </w:tcPr>
          <w:p w:rsidR="00A20F50" w:rsidRPr="008B5DDE" w:rsidRDefault="00A20F50" w:rsidP="00B560F0">
            <w:pPr>
              <w:tabs>
                <w:tab w:val="left" w:pos="567"/>
              </w:tabs>
              <w:ind w:left="33" w:right="-307"/>
              <w:jc w:val="center"/>
              <w:rPr>
                <w:sz w:val="22"/>
                <w:szCs w:val="22"/>
                <w:lang w:val="en-US"/>
              </w:rPr>
            </w:pPr>
            <w:r w:rsidRPr="008B5DDE">
              <w:rPr>
                <w:sz w:val="22"/>
                <w:szCs w:val="22"/>
                <w:lang w:val="en-US"/>
              </w:rPr>
              <w:t>Uge 48</w:t>
            </w:r>
          </w:p>
        </w:tc>
      </w:tr>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b/>
                <w:sz w:val="22"/>
                <w:szCs w:val="22"/>
                <w:lang w:val="en-US"/>
              </w:rPr>
            </w:pPr>
            <w:r w:rsidRPr="008B5DDE">
              <w:rPr>
                <w:b/>
                <w:sz w:val="22"/>
                <w:szCs w:val="22"/>
                <w:lang w:val="en-US"/>
              </w:rPr>
              <w:t>n</w:t>
            </w:r>
          </w:p>
        </w:tc>
        <w:tc>
          <w:tcPr>
            <w:tcW w:w="1972"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US"/>
              </w:rPr>
            </w:pPr>
            <w:r w:rsidRPr="008B5DDE">
              <w:rPr>
                <w:sz w:val="22"/>
                <w:szCs w:val="22"/>
                <w:lang w:val="en-US"/>
              </w:rPr>
              <w:t>120</w:t>
            </w:r>
          </w:p>
        </w:tc>
        <w:tc>
          <w:tcPr>
            <w:tcW w:w="1747"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US"/>
              </w:rPr>
            </w:pPr>
            <w:r w:rsidRPr="008B5DDE">
              <w:rPr>
                <w:sz w:val="22"/>
                <w:szCs w:val="22"/>
                <w:lang w:val="en-US"/>
              </w:rPr>
              <w:t>120</w:t>
            </w:r>
          </w:p>
        </w:tc>
        <w:tc>
          <w:tcPr>
            <w:tcW w:w="1973" w:type="dxa"/>
            <w:shd w:val="clear" w:color="auto" w:fill="auto"/>
            <w:vAlign w:val="center"/>
          </w:tcPr>
          <w:p w:rsidR="00A20F50" w:rsidRPr="008B5DDE" w:rsidRDefault="00A20F50" w:rsidP="00B560F0">
            <w:pPr>
              <w:tabs>
                <w:tab w:val="left" w:pos="567"/>
              </w:tabs>
              <w:autoSpaceDE w:val="0"/>
              <w:autoSpaceDN w:val="0"/>
              <w:adjustRightInd w:val="0"/>
              <w:ind w:left="33" w:right="-307"/>
              <w:jc w:val="center"/>
              <w:rPr>
                <w:sz w:val="22"/>
                <w:szCs w:val="22"/>
                <w:lang w:val="en-US"/>
              </w:rPr>
            </w:pPr>
            <w:r w:rsidRPr="008B5DDE">
              <w:rPr>
                <w:sz w:val="22"/>
                <w:szCs w:val="22"/>
                <w:lang w:val="en-US"/>
              </w:rPr>
              <w:t>60</w:t>
            </w:r>
          </w:p>
        </w:tc>
      </w:tr>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sz w:val="22"/>
                <w:szCs w:val="22"/>
              </w:rPr>
            </w:pPr>
            <w:r w:rsidRPr="008B5DDE">
              <w:rPr>
                <w:sz w:val="22"/>
                <w:szCs w:val="22"/>
              </w:rPr>
              <w:t>HBV-DNA &lt; 50 IE/ml og</w:t>
            </w:r>
          </w:p>
          <w:p w:rsidR="00A20F50" w:rsidRPr="008B5DDE" w:rsidRDefault="00A20F50" w:rsidP="00B560F0">
            <w:pPr>
              <w:tabs>
                <w:tab w:val="left" w:pos="567"/>
              </w:tabs>
              <w:autoSpaceDE w:val="0"/>
              <w:autoSpaceDN w:val="0"/>
              <w:adjustRightInd w:val="0"/>
              <w:ind w:left="171"/>
              <w:rPr>
                <w:sz w:val="22"/>
                <w:szCs w:val="22"/>
              </w:rPr>
            </w:pPr>
            <w:r w:rsidRPr="008B5DDE">
              <w:rPr>
                <w:sz w:val="22"/>
                <w:szCs w:val="22"/>
              </w:rPr>
              <w:t>HBeAg-serokonvertering</w:t>
            </w:r>
            <w:r w:rsidRPr="008B5DDE">
              <w:rPr>
                <w:sz w:val="22"/>
                <w:szCs w:val="22"/>
                <w:vertAlign w:val="superscript"/>
              </w:rPr>
              <w:t>a</w:t>
            </w:r>
          </w:p>
        </w:tc>
        <w:tc>
          <w:tcPr>
            <w:tcW w:w="1972"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24,2 %</w:t>
            </w:r>
          </w:p>
        </w:tc>
        <w:tc>
          <w:tcPr>
            <w:tcW w:w="1747"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35,8 %</w:t>
            </w:r>
          </w:p>
        </w:tc>
        <w:tc>
          <w:tcPr>
            <w:tcW w:w="1973" w:type="dxa"/>
            <w:shd w:val="clear" w:color="auto" w:fill="auto"/>
            <w:vAlign w:val="center"/>
          </w:tcPr>
          <w:p w:rsidR="00A20F50" w:rsidRPr="008B5DDE" w:rsidRDefault="00A20F50" w:rsidP="00B560F0">
            <w:pPr>
              <w:tabs>
                <w:tab w:val="left" w:pos="567"/>
              </w:tabs>
              <w:autoSpaceDE w:val="0"/>
              <w:autoSpaceDN w:val="0"/>
              <w:adjustRightInd w:val="0"/>
              <w:ind w:left="33" w:right="-307"/>
              <w:jc w:val="center"/>
              <w:rPr>
                <w:sz w:val="22"/>
                <w:szCs w:val="22"/>
                <w:lang w:val="en-GB"/>
              </w:rPr>
            </w:pPr>
            <w:r w:rsidRPr="008B5DDE">
              <w:rPr>
                <w:sz w:val="22"/>
                <w:szCs w:val="22"/>
                <w:lang w:val="en-GB"/>
              </w:rPr>
              <w:t>3,3 %</w:t>
            </w:r>
          </w:p>
        </w:tc>
      </w:tr>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sz w:val="22"/>
                <w:szCs w:val="22"/>
                <w:lang w:val="en-US"/>
              </w:rPr>
            </w:pPr>
            <w:r w:rsidRPr="008B5DDE">
              <w:rPr>
                <w:sz w:val="22"/>
                <w:szCs w:val="22"/>
                <w:lang w:val="en-US"/>
              </w:rPr>
              <w:t>HBV DNA &lt; 50 IE/ml</w:t>
            </w:r>
            <w:r w:rsidRPr="008B5DDE">
              <w:rPr>
                <w:sz w:val="22"/>
                <w:szCs w:val="22"/>
                <w:vertAlign w:val="superscript"/>
                <w:lang w:val="en-US"/>
              </w:rPr>
              <w:t>a</w:t>
            </w:r>
          </w:p>
        </w:tc>
        <w:tc>
          <w:tcPr>
            <w:tcW w:w="1972"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49,2 %</w:t>
            </w:r>
          </w:p>
        </w:tc>
        <w:tc>
          <w:tcPr>
            <w:tcW w:w="1747"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64,2 %</w:t>
            </w:r>
          </w:p>
        </w:tc>
        <w:tc>
          <w:tcPr>
            <w:tcW w:w="1973" w:type="dxa"/>
            <w:shd w:val="clear" w:color="auto" w:fill="auto"/>
            <w:vAlign w:val="center"/>
          </w:tcPr>
          <w:p w:rsidR="00A20F50" w:rsidRPr="008B5DDE" w:rsidRDefault="00A20F50" w:rsidP="00B560F0">
            <w:pPr>
              <w:tabs>
                <w:tab w:val="left" w:pos="567"/>
              </w:tabs>
              <w:autoSpaceDE w:val="0"/>
              <w:autoSpaceDN w:val="0"/>
              <w:adjustRightInd w:val="0"/>
              <w:ind w:left="33" w:right="-307"/>
              <w:jc w:val="center"/>
              <w:rPr>
                <w:sz w:val="22"/>
                <w:szCs w:val="22"/>
                <w:lang w:val="en-GB"/>
              </w:rPr>
            </w:pPr>
            <w:r w:rsidRPr="008B5DDE">
              <w:rPr>
                <w:sz w:val="22"/>
                <w:szCs w:val="22"/>
                <w:lang w:val="en-GB"/>
              </w:rPr>
              <w:t>3,3, %</w:t>
            </w:r>
          </w:p>
        </w:tc>
      </w:tr>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sz w:val="22"/>
                <w:szCs w:val="22"/>
                <w:lang w:val="en-US"/>
              </w:rPr>
            </w:pPr>
            <w:r w:rsidRPr="008B5DDE">
              <w:rPr>
                <w:sz w:val="22"/>
                <w:szCs w:val="22"/>
                <w:lang w:val="en-GB"/>
              </w:rPr>
              <w:t>HBeAg-serokonvertering</w:t>
            </w:r>
            <w:r w:rsidRPr="008B5DDE">
              <w:rPr>
                <w:sz w:val="22"/>
                <w:szCs w:val="22"/>
                <w:vertAlign w:val="superscript"/>
                <w:lang w:val="en-GB"/>
              </w:rPr>
              <w:t>a</w:t>
            </w:r>
          </w:p>
        </w:tc>
        <w:tc>
          <w:tcPr>
            <w:tcW w:w="1972"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24,2 %</w:t>
            </w:r>
          </w:p>
        </w:tc>
        <w:tc>
          <w:tcPr>
            <w:tcW w:w="1747"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36,7 %</w:t>
            </w:r>
          </w:p>
        </w:tc>
        <w:tc>
          <w:tcPr>
            <w:tcW w:w="1973" w:type="dxa"/>
            <w:shd w:val="clear" w:color="auto" w:fill="auto"/>
            <w:vAlign w:val="center"/>
          </w:tcPr>
          <w:p w:rsidR="00A20F50" w:rsidRPr="008B5DDE" w:rsidRDefault="00A20F50" w:rsidP="00B560F0">
            <w:pPr>
              <w:tabs>
                <w:tab w:val="left" w:pos="567"/>
              </w:tabs>
              <w:autoSpaceDE w:val="0"/>
              <w:autoSpaceDN w:val="0"/>
              <w:adjustRightInd w:val="0"/>
              <w:ind w:left="33" w:right="-307"/>
              <w:jc w:val="center"/>
              <w:rPr>
                <w:sz w:val="22"/>
                <w:szCs w:val="22"/>
                <w:lang w:val="en-GB"/>
              </w:rPr>
            </w:pPr>
            <w:r w:rsidRPr="008B5DDE">
              <w:rPr>
                <w:sz w:val="22"/>
                <w:szCs w:val="22"/>
                <w:lang w:val="en-GB"/>
              </w:rPr>
              <w:t>10,0 %</w:t>
            </w:r>
          </w:p>
        </w:tc>
      </w:tr>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sz w:val="22"/>
                <w:szCs w:val="22"/>
                <w:lang w:val="en-GB"/>
              </w:rPr>
            </w:pPr>
            <w:r w:rsidRPr="008B5DDE">
              <w:rPr>
                <w:sz w:val="22"/>
                <w:szCs w:val="22"/>
                <w:lang w:val="en-GB"/>
              </w:rPr>
              <w:t>ALAT-normalisering</w:t>
            </w:r>
            <w:r w:rsidRPr="008B5DDE">
              <w:rPr>
                <w:sz w:val="22"/>
                <w:szCs w:val="22"/>
                <w:vertAlign w:val="superscript"/>
                <w:lang w:val="en-GB"/>
              </w:rPr>
              <w:t>a</w:t>
            </w:r>
          </w:p>
        </w:tc>
        <w:tc>
          <w:tcPr>
            <w:tcW w:w="1972"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67,5 %</w:t>
            </w:r>
          </w:p>
        </w:tc>
        <w:tc>
          <w:tcPr>
            <w:tcW w:w="1747"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81,7 %</w:t>
            </w:r>
          </w:p>
        </w:tc>
        <w:tc>
          <w:tcPr>
            <w:tcW w:w="1973" w:type="dxa"/>
            <w:shd w:val="clear" w:color="auto" w:fill="auto"/>
            <w:vAlign w:val="center"/>
          </w:tcPr>
          <w:p w:rsidR="00A20F50" w:rsidRPr="008B5DDE" w:rsidRDefault="00A20F50" w:rsidP="00B560F0">
            <w:pPr>
              <w:tabs>
                <w:tab w:val="left" w:pos="567"/>
              </w:tabs>
              <w:autoSpaceDE w:val="0"/>
              <w:autoSpaceDN w:val="0"/>
              <w:adjustRightInd w:val="0"/>
              <w:ind w:left="33" w:right="-307"/>
              <w:jc w:val="center"/>
              <w:rPr>
                <w:sz w:val="22"/>
                <w:szCs w:val="22"/>
                <w:lang w:val="en-GB"/>
              </w:rPr>
            </w:pPr>
            <w:r w:rsidRPr="008B5DDE">
              <w:rPr>
                <w:sz w:val="22"/>
                <w:szCs w:val="22"/>
                <w:lang w:val="en-GB"/>
              </w:rPr>
              <w:t>23,3 %</w:t>
            </w:r>
          </w:p>
        </w:tc>
      </w:tr>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sz w:val="22"/>
                <w:szCs w:val="22"/>
                <w:lang w:val="en-GB"/>
              </w:rPr>
            </w:pPr>
            <w:r w:rsidRPr="008B5DDE">
              <w:rPr>
                <w:sz w:val="22"/>
                <w:szCs w:val="22"/>
                <w:lang w:val="en-GB"/>
              </w:rPr>
              <w:t>HBV-DNA &lt; 50 IE/ml</w:t>
            </w:r>
            <w:r w:rsidRPr="008B5DDE">
              <w:rPr>
                <w:sz w:val="22"/>
                <w:szCs w:val="22"/>
                <w:vertAlign w:val="superscript"/>
                <w:lang w:val="en-GB"/>
              </w:rPr>
              <w:t>a</w:t>
            </w:r>
          </w:p>
        </w:tc>
        <w:tc>
          <w:tcPr>
            <w:tcW w:w="1972"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US"/>
              </w:rPr>
            </w:pPr>
          </w:p>
        </w:tc>
        <w:tc>
          <w:tcPr>
            <w:tcW w:w="1747"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US"/>
              </w:rPr>
            </w:pPr>
          </w:p>
        </w:tc>
        <w:tc>
          <w:tcPr>
            <w:tcW w:w="1973" w:type="dxa"/>
            <w:shd w:val="clear" w:color="auto" w:fill="auto"/>
            <w:vAlign w:val="center"/>
          </w:tcPr>
          <w:p w:rsidR="00A20F50" w:rsidRPr="008B5DDE" w:rsidRDefault="00A20F50" w:rsidP="00B560F0">
            <w:pPr>
              <w:tabs>
                <w:tab w:val="left" w:pos="567"/>
              </w:tabs>
              <w:autoSpaceDE w:val="0"/>
              <w:autoSpaceDN w:val="0"/>
              <w:adjustRightInd w:val="0"/>
              <w:ind w:left="33" w:right="-307"/>
              <w:jc w:val="center"/>
              <w:rPr>
                <w:sz w:val="22"/>
                <w:szCs w:val="22"/>
                <w:lang w:val="en-US"/>
              </w:rPr>
            </w:pPr>
          </w:p>
        </w:tc>
      </w:tr>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sz w:val="22"/>
                <w:szCs w:val="22"/>
              </w:rPr>
            </w:pPr>
            <w:r w:rsidRPr="008B5DDE">
              <w:rPr>
                <w:sz w:val="22"/>
                <w:szCs w:val="22"/>
              </w:rPr>
              <w:t xml:space="preserve">Baseline HBV- DNA </w:t>
            </w:r>
          </w:p>
          <w:p w:rsidR="00A20F50" w:rsidRPr="008B5DDE" w:rsidRDefault="00A20F50" w:rsidP="00B560F0">
            <w:pPr>
              <w:tabs>
                <w:tab w:val="left" w:pos="567"/>
              </w:tabs>
              <w:autoSpaceDE w:val="0"/>
              <w:autoSpaceDN w:val="0"/>
              <w:adjustRightInd w:val="0"/>
              <w:ind w:left="171"/>
              <w:rPr>
                <w:sz w:val="22"/>
                <w:szCs w:val="22"/>
              </w:rPr>
            </w:pPr>
            <w:r w:rsidRPr="008B5DDE">
              <w:rPr>
                <w:sz w:val="22"/>
                <w:szCs w:val="22"/>
              </w:rPr>
              <w:t>&lt; 8 log</w:t>
            </w:r>
            <w:r w:rsidRPr="008B5DDE">
              <w:rPr>
                <w:sz w:val="22"/>
                <w:szCs w:val="22"/>
                <w:vertAlign w:val="subscript"/>
              </w:rPr>
              <w:t>10</w:t>
            </w:r>
            <w:r w:rsidRPr="008B5DDE">
              <w:rPr>
                <w:sz w:val="22"/>
                <w:szCs w:val="22"/>
              </w:rPr>
              <w:t xml:space="preserve"> IE/ml</w:t>
            </w:r>
          </w:p>
        </w:tc>
        <w:tc>
          <w:tcPr>
            <w:tcW w:w="1972"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82,6 % (38/46)</w:t>
            </w:r>
          </w:p>
        </w:tc>
        <w:tc>
          <w:tcPr>
            <w:tcW w:w="1747"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82,6 % (38/46)</w:t>
            </w:r>
          </w:p>
        </w:tc>
        <w:tc>
          <w:tcPr>
            <w:tcW w:w="1973" w:type="dxa"/>
            <w:shd w:val="clear" w:color="auto" w:fill="auto"/>
            <w:vAlign w:val="center"/>
          </w:tcPr>
          <w:p w:rsidR="00A20F50" w:rsidRPr="008B5DDE" w:rsidRDefault="00A20F50" w:rsidP="00B560F0">
            <w:pPr>
              <w:tabs>
                <w:tab w:val="left" w:pos="567"/>
              </w:tabs>
              <w:autoSpaceDE w:val="0"/>
              <w:autoSpaceDN w:val="0"/>
              <w:adjustRightInd w:val="0"/>
              <w:ind w:left="33" w:right="-307"/>
              <w:jc w:val="center"/>
              <w:rPr>
                <w:sz w:val="22"/>
                <w:szCs w:val="22"/>
                <w:lang w:val="en-GB"/>
              </w:rPr>
            </w:pPr>
            <w:r w:rsidRPr="008B5DDE">
              <w:rPr>
                <w:sz w:val="22"/>
                <w:szCs w:val="22"/>
                <w:lang w:val="en-GB"/>
              </w:rPr>
              <w:t>6,5 % (2/31)</w:t>
            </w:r>
          </w:p>
        </w:tc>
      </w:tr>
      <w:tr w:rsidR="00A20F50" w:rsidRPr="008B5DDE" w:rsidTr="008B5DDE">
        <w:tc>
          <w:tcPr>
            <w:tcW w:w="3369" w:type="dxa"/>
            <w:shd w:val="clear" w:color="auto" w:fill="auto"/>
          </w:tcPr>
          <w:p w:rsidR="00A20F50" w:rsidRPr="008B5DDE" w:rsidRDefault="00A20F50" w:rsidP="00B560F0">
            <w:pPr>
              <w:tabs>
                <w:tab w:val="left" w:pos="567"/>
              </w:tabs>
              <w:autoSpaceDE w:val="0"/>
              <w:autoSpaceDN w:val="0"/>
              <w:adjustRightInd w:val="0"/>
              <w:ind w:left="171"/>
              <w:rPr>
                <w:sz w:val="22"/>
                <w:szCs w:val="22"/>
              </w:rPr>
            </w:pPr>
            <w:r w:rsidRPr="008B5DDE">
              <w:rPr>
                <w:sz w:val="22"/>
                <w:szCs w:val="22"/>
              </w:rPr>
              <w:t>Baseline HBV-DNA</w:t>
            </w:r>
          </w:p>
          <w:p w:rsidR="00A20F50" w:rsidRPr="008B5DDE" w:rsidRDefault="00A20F50" w:rsidP="00B560F0">
            <w:pPr>
              <w:tabs>
                <w:tab w:val="left" w:pos="567"/>
              </w:tabs>
              <w:autoSpaceDE w:val="0"/>
              <w:autoSpaceDN w:val="0"/>
              <w:adjustRightInd w:val="0"/>
              <w:ind w:left="171"/>
              <w:rPr>
                <w:sz w:val="22"/>
                <w:szCs w:val="22"/>
              </w:rPr>
            </w:pPr>
            <w:r w:rsidRPr="008B5DDE">
              <w:rPr>
                <w:sz w:val="22"/>
                <w:szCs w:val="22"/>
              </w:rPr>
              <w:t>≥ 8 log</w:t>
            </w:r>
            <w:r w:rsidRPr="008B5DDE">
              <w:rPr>
                <w:sz w:val="22"/>
                <w:szCs w:val="22"/>
                <w:vertAlign w:val="subscript"/>
              </w:rPr>
              <w:t>10</w:t>
            </w:r>
            <w:r w:rsidRPr="008B5DDE">
              <w:rPr>
                <w:sz w:val="22"/>
                <w:szCs w:val="22"/>
              </w:rPr>
              <w:t xml:space="preserve"> IE/ml</w:t>
            </w:r>
          </w:p>
        </w:tc>
        <w:tc>
          <w:tcPr>
            <w:tcW w:w="1972"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28,4 % (21/74)</w:t>
            </w:r>
          </w:p>
        </w:tc>
        <w:tc>
          <w:tcPr>
            <w:tcW w:w="1747" w:type="dxa"/>
            <w:shd w:val="clear" w:color="auto" w:fill="auto"/>
            <w:vAlign w:val="center"/>
          </w:tcPr>
          <w:p w:rsidR="00A20F50" w:rsidRPr="008B5DDE" w:rsidRDefault="00A20F50" w:rsidP="00B560F0">
            <w:pPr>
              <w:tabs>
                <w:tab w:val="left" w:pos="567"/>
              </w:tabs>
              <w:autoSpaceDE w:val="0"/>
              <w:autoSpaceDN w:val="0"/>
              <w:adjustRightInd w:val="0"/>
              <w:jc w:val="center"/>
              <w:rPr>
                <w:sz w:val="22"/>
                <w:szCs w:val="22"/>
                <w:lang w:val="en-GB"/>
              </w:rPr>
            </w:pPr>
            <w:r w:rsidRPr="008B5DDE">
              <w:rPr>
                <w:sz w:val="22"/>
                <w:szCs w:val="22"/>
                <w:lang w:val="en-GB"/>
              </w:rPr>
              <w:t>52,7 % (39/74)</w:t>
            </w:r>
          </w:p>
        </w:tc>
        <w:tc>
          <w:tcPr>
            <w:tcW w:w="1973" w:type="dxa"/>
            <w:shd w:val="clear" w:color="auto" w:fill="auto"/>
            <w:vAlign w:val="center"/>
          </w:tcPr>
          <w:p w:rsidR="00A20F50" w:rsidRPr="008B5DDE" w:rsidRDefault="00A20F50" w:rsidP="00B560F0">
            <w:pPr>
              <w:tabs>
                <w:tab w:val="left" w:pos="567"/>
              </w:tabs>
              <w:autoSpaceDE w:val="0"/>
              <w:autoSpaceDN w:val="0"/>
              <w:adjustRightInd w:val="0"/>
              <w:ind w:left="33" w:right="-307"/>
              <w:jc w:val="center"/>
              <w:rPr>
                <w:sz w:val="22"/>
                <w:szCs w:val="22"/>
                <w:lang w:val="en-GB"/>
              </w:rPr>
            </w:pPr>
            <w:r w:rsidRPr="008B5DDE">
              <w:rPr>
                <w:sz w:val="22"/>
                <w:szCs w:val="22"/>
                <w:lang w:val="en-GB"/>
              </w:rPr>
              <w:t>0 % (0/29)</w:t>
            </w:r>
          </w:p>
        </w:tc>
      </w:tr>
    </w:tbl>
    <w:p w:rsidR="00A20F50" w:rsidRPr="00D06229" w:rsidRDefault="00A20F50" w:rsidP="00A20F50">
      <w:pPr>
        <w:ind w:left="1134" w:hanging="283"/>
        <w:rPr>
          <w:sz w:val="24"/>
          <w:szCs w:val="24"/>
          <w:lang w:val="en-US"/>
        </w:rPr>
      </w:pPr>
      <w:r w:rsidRPr="00D06229">
        <w:rPr>
          <w:sz w:val="24"/>
          <w:szCs w:val="24"/>
          <w:vertAlign w:val="superscript"/>
          <w:lang w:val="en-US"/>
        </w:rPr>
        <w:t>a</w:t>
      </w:r>
      <w:r w:rsidRPr="00D06229">
        <w:rPr>
          <w:sz w:val="24"/>
          <w:szCs w:val="24"/>
          <w:vertAlign w:val="superscript"/>
          <w:lang w:val="en-US"/>
        </w:rPr>
        <w:tab/>
      </w:r>
      <w:r w:rsidRPr="00D06229">
        <w:rPr>
          <w:sz w:val="24"/>
          <w:szCs w:val="24"/>
          <w:lang w:val="en-US"/>
        </w:rPr>
        <w:t>NC=F (noncompleter=svigt)</w:t>
      </w:r>
    </w:p>
    <w:p w:rsidR="00A20F50" w:rsidRPr="00D06229" w:rsidRDefault="00A20F50" w:rsidP="00A20F50">
      <w:pPr>
        <w:ind w:left="1134" w:hanging="283"/>
        <w:rPr>
          <w:sz w:val="24"/>
          <w:szCs w:val="24"/>
        </w:rPr>
      </w:pPr>
      <w:r w:rsidRPr="00D06229">
        <w:rPr>
          <w:sz w:val="24"/>
          <w:szCs w:val="24"/>
        </w:rPr>
        <w:t>*</w:t>
      </w:r>
      <w:r w:rsidRPr="00D06229">
        <w:rPr>
          <w:sz w:val="24"/>
          <w:szCs w:val="24"/>
        </w:rPr>
        <w:tab/>
        <w:t>Patienter randomiseret til placebo, som ikke opnåede HBe-serokonvertering ved uge 48, skiftede til åben entecavir I studiets andet år; derfor foreligger der kun randomiserede sammenligningsdata indtil uge 48.</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Vurdering af resistens hos børn og unge er baseret på data fra nukleosid-naive pædiatriske patienter med HBeAg-positiv kronisk HBV-infektion i to kliniske forsøg (028 og 189). De to forsøg tilvejebringer resistensdata hos 183 patienter, der behandles og monitoreres i år 1, og 180 patienter, der behandles og monitoreres i år 2. Genotypevurdering blev udført hos alle patienter med tilgængelige prøver, som havde virologisk svigt til og med uge 96 eller HBV-DNA ≥ 50 IE/ml ved uge 48 eller uge 96. I år 2 blev genotyperesistens over for ETV detekteret hos 2 patienter (1,1 % kumulativ sandsynlighed for resistens i år 2).</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Klinisk resistens hos voksne</w:t>
      </w:r>
    </w:p>
    <w:p w:rsidR="00A20F50" w:rsidRPr="00D06229" w:rsidRDefault="00A20F50" w:rsidP="00A20F50">
      <w:pPr>
        <w:ind w:left="851"/>
        <w:rPr>
          <w:sz w:val="24"/>
          <w:szCs w:val="24"/>
        </w:rPr>
      </w:pPr>
      <w:r w:rsidRPr="00D06229">
        <w:rPr>
          <w:sz w:val="24"/>
          <w:szCs w:val="24"/>
        </w:rPr>
        <w:t>Patienter i kliniske forsøg, der initialt blev behandlet med entecavir 0,5 mg (ikke tidligere behandlet med nukleosid) eller 1,0 mg (lamivudin-refraktære), og hvor PCR HBV-DNA er målt under behandling ved eller efter Uge 24, er monitorerede for resistens. Til og med Uge 240 blev der i forsøg med patienter, der ikke tidligere havde været behandlet med nukleosid, identificeret genotypeevidens for ETVr-substitutioner ved rtT184, rtS202 eller rtM250 hos 3 af patienterne, der blev behandlet med entecavir. Heraf oplevede 2 af patienterne virologisk svigt (se tabel). Disse substitutioner sås kun ved tilstedeværelsen af LVDr-substitutioner (rtM204V og rtL180M).</w:t>
      </w:r>
    </w:p>
    <w:p w:rsidR="00292653" w:rsidRDefault="00292653">
      <w:pPr>
        <w:rPr>
          <w:sz w:val="24"/>
          <w:szCs w:val="24"/>
        </w:rPr>
      </w:pPr>
      <w:r>
        <w:rPr>
          <w:sz w:val="24"/>
          <w:szCs w:val="24"/>
        </w:rPr>
        <w:br w:type="page"/>
      </w:r>
    </w:p>
    <w:p w:rsidR="00A20F50" w:rsidRPr="00D06229" w:rsidRDefault="00A20F50" w:rsidP="00A20F50">
      <w:pPr>
        <w:ind w:left="851"/>
        <w:rPr>
          <w:sz w:val="24"/>
          <w:szCs w:val="24"/>
        </w:rPr>
      </w:pPr>
    </w:p>
    <w:tbl>
      <w:tblPr>
        <w:tblStyle w:val="Tabel-Gitter"/>
        <w:tblW w:w="5000" w:type="pct"/>
        <w:tblLook w:val="04A0" w:firstRow="1" w:lastRow="0" w:firstColumn="1" w:lastColumn="0" w:noHBand="0" w:noVBand="1"/>
      </w:tblPr>
      <w:tblGrid>
        <w:gridCol w:w="4081"/>
        <w:gridCol w:w="1109"/>
        <w:gridCol w:w="1109"/>
        <w:gridCol w:w="1109"/>
        <w:gridCol w:w="1109"/>
        <w:gridCol w:w="1111"/>
      </w:tblGrid>
      <w:tr w:rsidR="00A20F50" w:rsidRPr="00402494" w:rsidTr="00402494">
        <w:tc>
          <w:tcPr>
            <w:tcW w:w="5000" w:type="pct"/>
            <w:gridSpan w:val="6"/>
          </w:tcPr>
          <w:p w:rsidR="00A20F50" w:rsidRPr="00402494" w:rsidRDefault="00A20F50" w:rsidP="00B560F0">
            <w:pPr>
              <w:tabs>
                <w:tab w:val="left" w:pos="567"/>
              </w:tabs>
              <w:ind w:left="33"/>
              <w:rPr>
                <w:sz w:val="22"/>
                <w:szCs w:val="22"/>
              </w:rPr>
            </w:pPr>
            <w:r w:rsidRPr="00402494">
              <w:rPr>
                <w:sz w:val="22"/>
                <w:szCs w:val="22"/>
              </w:rPr>
              <w:t>Opståen af entecavir genotype-resistens til og med År 5 i forsøg med nukleosid-naive</w:t>
            </w:r>
          </w:p>
          <w:p w:rsidR="00A20F50" w:rsidRPr="00402494" w:rsidRDefault="00A20F50" w:rsidP="00B560F0">
            <w:pPr>
              <w:tabs>
                <w:tab w:val="left" w:pos="567"/>
              </w:tabs>
              <w:ind w:left="33"/>
              <w:rPr>
                <w:b/>
                <w:sz w:val="22"/>
                <w:szCs w:val="22"/>
                <w:lang w:val="en-US"/>
              </w:rPr>
            </w:pPr>
            <w:r w:rsidRPr="00402494">
              <w:rPr>
                <w:sz w:val="22"/>
                <w:szCs w:val="22"/>
                <w:lang w:val="en-US"/>
              </w:rPr>
              <w:t>patienter</w:t>
            </w:r>
          </w:p>
        </w:tc>
      </w:tr>
      <w:tr w:rsidR="00A20F50" w:rsidRPr="00402494" w:rsidTr="00402494">
        <w:tc>
          <w:tcPr>
            <w:tcW w:w="2119" w:type="pct"/>
          </w:tcPr>
          <w:p w:rsidR="00A20F50" w:rsidRPr="00402494" w:rsidRDefault="00A20F50" w:rsidP="00B560F0">
            <w:pPr>
              <w:tabs>
                <w:tab w:val="left" w:pos="567"/>
              </w:tabs>
              <w:ind w:left="33"/>
              <w:jc w:val="center"/>
              <w:rPr>
                <w:sz w:val="22"/>
                <w:szCs w:val="22"/>
                <w:lang w:val="en-US"/>
              </w:rPr>
            </w:pP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År 1</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År 2</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År 3</w:t>
            </w:r>
            <w:r w:rsidRPr="00402494">
              <w:rPr>
                <w:sz w:val="22"/>
                <w:szCs w:val="22"/>
                <w:vertAlign w:val="superscript"/>
                <w:lang w:val="en-US"/>
              </w:rPr>
              <w:t>a</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År</w:t>
            </w:r>
            <w:r w:rsidRPr="00402494">
              <w:rPr>
                <w:sz w:val="22"/>
                <w:szCs w:val="22"/>
                <w:lang w:val="en-GB"/>
              </w:rPr>
              <w:t xml:space="preserve"> 4</w:t>
            </w:r>
            <w:r w:rsidRPr="00402494">
              <w:rPr>
                <w:sz w:val="22"/>
                <w:szCs w:val="22"/>
                <w:vertAlign w:val="superscript"/>
                <w:lang w:val="en-GB"/>
              </w:rPr>
              <w:t>a</w:t>
            </w:r>
          </w:p>
        </w:tc>
        <w:tc>
          <w:tcPr>
            <w:tcW w:w="577"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År</w:t>
            </w:r>
            <w:r w:rsidRPr="00402494">
              <w:rPr>
                <w:sz w:val="22"/>
                <w:szCs w:val="22"/>
                <w:lang w:val="en-GB"/>
              </w:rPr>
              <w:t xml:space="preserve"> 5</w:t>
            </w:r>
            <w:r w:rsidRPr="00402494">
              <w:rPr>
                <w:sz w:val="22"/>
                <w:szCs w:val="22"/>
                <w:vertAlign w:val="superscript"/>
                <w:lang w:val="en-GB"/>
              </w:rPr>
              <w:t>a</w:t>
            </w:r>
          </w:p>
        </w:tc>
      </w:tr>
      <w:tr w:rsidR="00A20F50" w:rsidRPr="00402494" w:rsidTr="00402494">
        <w:tc>
          <w:tcPr>
            <w:tcW w:w="2119" w:type="pct"/>
          </w:tcPr>
          <w:p w:rsidR="00A20F50" w:rsidRPr="00402494" w:rsidRDefault="00A20F50" w:rsidP="00B560F0">
            <w:pPr>
              <w:tabs>
                <w:tab w:val="left" w:pos="567"/>
              </w:tabs>
              <w:autoSpaceDE w:val="0"/>
              <w:autoSpaceDN w:val="0"/>
              <w:adjustRightInd w:val="0"/>
              <w:ind w:left="33"/>
              <w:rPr>
                <w:sz w:val="22"/>
                <w:szCs w:val="22"/>
              </w:rPr>
            </w:pPr>
            <w:r w:rsidRPr="00402494">
              <w:rPr>
                <w:sz w:val="22"/>
                <w:szCs w:val="22"/>
              </w:rPr>
              <w:t>Patienter behandlet og monitoreret for</w:t>
            </w:r>
          </w:p>
          <w:p w:rsidR="00A20F50" w:rsidRPr="00402494" w:rsidRDefault="00A20F50" w:rsidP="00B560F0">
            <w:pPr>
              <w:tabs>
                <w:tab w:val="left" w:pos="567"/>
              </w:tabs>
              <w:autoSpaceDE w:val="0"/>
              <w:autoSpaceDN w:val="0"/>
              <w:adjustRightInd w:val="0"/>
              <w:ind w:left="33"/>
              <w:rPr>
                <w:sz w:val="22"/>
                <w:szCs w:val="22"/>
              </w:rPr>
            </w:pPr>
            <w:r w:rsidRPr="00402494">
              <w:rPr>
                <w:sz w:val="22"/>
                <w:szCs w:val="22"/>
              </w:rPr>
              <w:t>resistens</w:t>
            </w:r>
            <w:r w:rsidRPr="00402494">
              <w:rPr>
                <w:sz w:val="22"/>
                <w:szCs w:val="22"/>
                <w:vertAlign w:val="superscript"/>
              </w:rPr>
              <w:t>b</w:t>
            </w:r>
          </w:p>
        </w:tc>
        <w:tc>
          <w:tcPr>
            <w:tcW w:w="576" w:type="pct"/>
          </w:tcPr>
          <w:p w:rsidR="00A20F50" w:rsidRPr="00402494" w:rsidRDefault="00A20F50" w:rsidP="00B560F0">
            <w:pPr>
              <w:tabs>
                <w:tab w:val="left" w:pos="567"/>
              </w:tabs>
              <w:autoSpaceDE w:val="0"/>
              <w:autoSpaceDN w:val="0"/>
              <w:adjustRightInd w:val="0"/>
              <w:ind w:left="33"/>
              <w:jc w:val="center"/>
              <w:rPr>
                <w:sz w:val="22"/>
                <w:szCs w:val="22"/>
                <w:lang w:val="en-GB"/>
              </w:rPr>
            </w:pPr>
            <w:r w:rsidRPr="00402494">
              <w:rPr>
                <w:sz w:val="22"/>
                <w:szCs w:val="22"/>
                <w:lang w:val="en-GB"/>
              </w:rPr>
              <w:t>663</w:t>
            </w:r>
          </w:p>
          <w:p w:rsidR="00A20F50" w:rsidRPr="00402494" w:rsidRDefault="00A20F50" w:rsidP="00B560F0">
            <w:pPr>
              <w:tabs>
                <w:tab w:val="left" w:pos="567"/>
              </w:tabs>
              <w:ind w:left="33"/>
              <w:jc w:val="center"/>
              <w:rPr>
                <w:sz w:val="22"/>
                <w:szCs w:val="22"/>
                <w:lang w:val="en-US"/>
              </w:rPr>
            </w:pP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GB"/>
              </w:rPr>
              <w:t>278</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GB"/>
              </w:rPr>
              <w:t>149</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GB"/>
              </w:rPr>
              <w:t>121</w:t>
            </w:r>
          </w:p>
        </w:tc>
        <w:tc>
          <w:tcPr>
            <w:tcW w:w="577" w:type="pct"/>
          </w:tcPr>
          <w:p w:rsidR="00A20F50" w:rsidRPr="00402494" w:rsidRDefault="00A20F50" w:rsidP="00B560F0">
            <w:pPr>
              <w:tabs>
                <w:tab w:val="left" w:pos="567"/>
              </w:tabs>
              <w:ind w:left="33"/>
              <w:jc w:val="center"/>
              <w:rPr>
                <w:sz w:val="22"/>
                <w:szCs w:val="22"/>
                <w:lang w:val="en-US"/>
              </w:rPr>
            </w:pPr>
            <w:r w:rsidRPr="00402494">
              <w:rPr>
                <w:sz w:val="22"/>
                <w:szCs w:val="22"/>
                <w:lang w:val="en-GB"/>
              </w:rPr>
              <w:t>108</w:t>
            </w:r>
          </w:p>
        </w:tc>
      </w:tr>
      <w:tr w:rsidR="00A20F50" w:rsidRPr="00402494" w:rsidTr="00402494">
        <w:tc>
          <w:tcPr>
            <w:tcW w:w="2119" w:type="pct"/>
          </w:tcPr>
          <w:p w:rsidR="00A20F50" w:rsidRPr="00402494" w:rsidRDefault="00A20F50" w:rsidP="00B560F0">
            <w:pPr>
              <w:tabs>
                <w:tab w:val="left" w:pos="567"/>
              </w:tabs>
              <w:autoSpaceDE w:val="0"/>
              <w:autoSpaceDN w:val="0"/>
              <w:adjustRightInd w:val="0"/>
              <w:ind w:left="33"/>
              <w:rPr>
                <w:b/>
                <w:sz w:val="22"/>
                <w:szCs w:val="22"/>
              </w:rPr>
            </w:pPr>
            <w:r w:rsidRPr="00402494">
              <w:rPr>
                <w:b/>
                <w:sz w:val="22"/>
                <w:szCs w:val="22"/>
              </w:rPr>
              <w:t>Patienter i specifikt år med:</w:t>
            </w:r>
          </w:p>
        </w:tc>
        <w:tc>
          <w:tcPr>
            <w:tcW w:w="576" w:type="pct"/>
          </w:tcPr>
          <w:p w:rsidR="00A20F50" w:rsidRPr="00402494" w:rsidRDefault="00A20F50" w:rsidP="00B560F0">
            <w:pPr>
              <w:tabs>
                <w:tab w:val="left" w:pos="567"/>
              </w:tabs>
              <w:ind w:left="33"/>
              <w:jc w:val="center"/>
              <w:rPr>
                <w:sz w:val="22"/>
                <w:szCs w:val="22"/>
              </w:rPr>
            </w:pPr>
          </w:p>
        </w:tc>
        <w:tc>
          <w:tcPr>
            <w:tcW w:w="576" w:type="pct"/>
          </w:tcPr>
          <w:p w:rsidR="00A20F50" w:rsidRPr="00402494" w:rsidRDefault="00A20F50" w:rsidP="00B560F0">
            <w:pPr>
              <w:tabs>
                <w:tab w:val="left" w:pos="567"/>
              </w:tabs>
              <w:ind w:left="33"/>
              <w:jc w:val="center"/>
              <w:rPr>
                <w:sz w:val="22"/>
                <w:szCs w:val="22"/>
              </w:rPr>
            </w:pPr>
          </w:p>
        </w:tc>
        <w:tc>
          <w:tcPr>
            <w:tcW w:w="576" w:type="pct"/>
          </w:tcPr>
          <w:p w:rsidR="00A20F50" w:rsidRPr="00402494" w:rsidRDefault="00A20F50" w:rsidP="00B560F0">
            <w:pPr>
              <w:tabs>
                <w:tab w:val="left" w:pos="567"/>
              </w:tabs>
              <w:ind w:left="33"/>
              <w:jc w:val="center"/>
              <w:rPr>
                <w:sz w:val="22"/>
                <w:szCs w:val="22"/>
              </w:rPr>
            </w:pPr>
          </w:p>
        </w:tc>
        <w:tc>
          <w:tcPr>
            <w:tcW w:w="576" w:type="pct"/>
          </w:tcPr>
          <w:p w:rsidR="00A20F50" w:rsidRPr="00402494" w:rsidRDefault="00A20F50" w:rsidP="00B560F0">
            <w:pPr>
              <w:tabs>
                <w:tab w:val="left" w:pos="567"/>
              </w:tabs>
              <w:ind w:left="33"/>
              <w:jc w:val="center"/>
              <w:rPr>
                <w:sz w:val="22"/>
                <w:szCs w:val="22"/>
              </w:rPr>
            </w:pPr>
          </w:p>
        </w:tc>
        <w:tc>
          <w:tcPr>
            <w:tcW w:w="577" w:type="pct"/>
          </w:tcPr>
          <w:p w:rsidR="00A20F50" w:rsidRPr="00402494" w:rsidRDefault="00A20F50" w:rsidP="00B560F0">
            <w:pPr>
              <w:tabs>
                <w:tab w:val="left" w:pos="567"/>
              </w:tabs>
              <w:ind w:left="33"/>
              <w:jc w:val="center"/>
              <w:rPr>
                <w:sz w:val="22"/>
                <w:szCs w:val="22"/>
              </w:rPr>
            </w:pPr>
          </w:p>
        </w:tc>
      </w:tr>
      <w:tr w:rsidR="00A20F50" w:rsidRPr="00402494" w:rsidTr="00402494">
        <w:tc>
          <w:tcPr>
            <w:tcW w:w="2119" w:type="pct"/>
          </w:tcPr>
          <w:p w:rsidR="00A20F50" w:rsidRPr="00402494" w:rsidRDefault="00A20F50" w:rsidP="00B560F0">
            <w:pPr>
              <w:tabs>
                <w:tab w:val="left" w:pos="567"/>
              </w:tabs>
              <w:autoSpaceDE w:val="0"/>
              <w:autoSpaceDN w:val="0"/>
              <w:adjustRightInd w:val="0"/>
              <w:ind w:left="33"/>
              <w:rPr>
                <w:sz w:val="22"/>
                <w:szCs w:val="22"/>
                <w:lang w:val="en-US"/>
              </w:rPr>
            </w:pPr>
            <w:r w:rsidRPr="00402494">
              <w:rPr>
                <w:sz w:val="22"/>
                <w:szCs w:val="22"/>
                <w:lang w:val="en-US"/>
              </w:rPr>
              <w:t>- opståen af genotype-ETVr</w:t>
            </w:r>
            <w:r w:rsidRPr="00402494">
              <w:rPr>
                <w:sz w:val="22"/>
                <w:szCs w:val="22"/>
                <w:vertAlign w:val="superscript"/>
                <w:lang w:val="en-US"/>
              </w:rPr>
              <w:t>c</w:t>
            </w:r>
            <w:r w:rsidRPr="00402494">
              <w:rPr>
                <w:sz w:val="22"/>
                <w:szCs w:val="22"/>
                <w:lang w:val="en-US"/>
              </w:rPr>
              <w:t xml:space="preserve"> </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1</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1</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1</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w:t>
            </w:r>
          </w:p>
        </w:tc>
        <w:tc>
          <w:tcPr>
            <w:tcW w:w="577"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w:t>
            </w:r>
          </w:p>
        </w:tc>
      </w:tr>
      <w:tr w:rsidR="00A20F50" w:rsidRPr="00402494" w:rsidTr="00402494">
        <w:tc>
          <w:tcPr>
            <w:tcW w:w="2119" w:type="pct"/>
          </w:tcPr>
          <w:p w:rsidR="00A20F50" w:rsidRPr="00402494" w:rsidRDefault="00A20F50" w:rsidP="00B560F0">
            <w:pPr>
              <w:tabs>
                <w:tab w:val="left" w:pos="567"/>
              </w:tabs>
              <w:autoSpaceDE w:val="0"/>
              <w:autoSpaceDN w:val="0"/>
              <w:adjustRightInd w:val="0"/>
              <w:ind w:left="33"/>
              <w:rPr>
                <w:sz w:val="22"/>
                <w:szCs w:val="22"/>
              </w:rPr>
            </w:pPr>
            <w:r w:rsidRPr="00402494">
              <w:rPr>
                <w:sz w:val="22"/>
                <w:szCs w:val="22"/>
              </w:rPr>
              <w:t>- genotype-ETVr</w:t>
            </w:r>
            <w:r w:rsidRPr="00402494">
              <w:rPr>
                <w:sz w:val="22"/>
                <w:szCs w:val="22"/>
                <w:vertAlign w:val="superscript"/>
              </w:rPr>
              <w:t>c</w:t>
            </w:r>
            <w:r w:rsidRPr="00402494">
              <w:rPr>
                <w:sz w:val="22"/>
                <w:szCs w:val="22"/>
              </w:rPr>
              <w:t xml:space="preserve"> med virologisk svigt </w:t>
            </w:r>
            <w:r w:rsidRPr="00402494">
              <w:rPr>
                <w:sz w:val="22"/>
                <w:szCs w:val="22"/>
                <w:vertAlign w:val="superscript"/>
              </w:rPr>
              <w:t>d</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1</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1</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w:t>
            </w:r>
          </w:p>
        </w:tc>
        <w:tc>
          <w:tcPr>
            <w:tcW w:w="577"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w:t>
            </w:r>
          </w:p>
        </w:tc>
      </w:tr>
      <w:tr w:rsidR="00A20F50" w:rsidRPr="00402494" w:rsidTr="00402494">
        <w:tc>
          <w:tcPr>
            <w:tcW w:w="2119" w:type="pct"/>
          </w:tcPr>
          <w:p w:rsidR="00A20F50" w:rsidRPr="00402494" w:rsidRDefault="00A20F50" w:rsidP="00B560F0">
            <w:pPr>
              <w:tabs>
                <w:tab w:val="left" w:pos="567"/>
              </w:tabs>
              <w:autoSpaceDE w:val="0"/>
              <w:autoSpaceDN w:val="0"/>
              <w:adjustRightInd w:val="0"/>
              <w:ind w:left="33"/>
              <w:rPr>
                <w:b/>
                <w:sz w:val="22"/>
                <w:szCs w:val="22"/>
                <w:lang w:val="en-US"/>
              </w:rPr>
            </w:pPr>
            <w:r w:rsidRPr="00402494">
              <w:rPr>
                <w:b/>
                <w:sz w:val="22"/>
                <w:szCs w:val="22"/>
                <w:lang w:val="en-US"/>
              </w:rPr>
              <w:t>Kumulativ sandsynlighed for:</w:t>
            </w:r>
          </w:p>
        </w:tc>
        <w:tc>
          <w:tcPr>
            <w:tcW w:w="576" w:type="pct"/>
          </w:tcPr>
          <w:p w:rsidR="00A20F50" w:rsidRPr="00402494" w:rsidRDefault="00A20F50" w:rsidP="00B560F0">
            <w:pPr>
              <w:tabs>
                <w:tab w:val="left" w:pos="567"/>
              </w:tabs>
              <w:ind w:left="33"/>
              <w:jc w:val="center"/>
              <w:rPr>
                <w:sz w:val="22"/>
                <w:szCs w:val="22"/>
                <w:lang w:val="en-US"/>
              </w:rPr>
            </w:pPr>
          </w:p>
        </w:tc>
        <w:tc>
          <w:tcPr>
            <w:tcW w:w="576" w:type="pct"/>
          </w:tcPr>
          <w:p w:rsidR="00A20F50" w:rsidRPr="00402494" w:rsidRDefault="00A20F50" w:rsidP="00B560F0">
            <w:pPr>
              <w:tabs>
                <w:tab w:val="left" w:pos="567"/>
              </w:tabs>
              <w:ind w:left="33"/>
              <w:jc w:val="center"/>
              <w:rPr>
                <w:sz w:val="22"/>
                <w:szCs w:val="22"/>
                <w:lang w:val="en-US"/>
              </w:rPr>
            </w:pPr>
          </w:p>
        </w:tc>
        <w:tc>
          <w:tcPr>
            <w:tcW w:w="576" w:type="pct"/>
          </w:tcPr>
          <w:p w:rsidR="00A20F50" w:rsidRPr="00402494" w:rsidRDefault="00A20F50" w:rsidP="00B560F0">
            <w:pPr>
              <w:tabs>
                <w:tab w:val="left" w:pos="567"/>
              </w:tabs>
              <w:ind w:left="33"/>
              <w:jc w:val="center"/>
              <w:rPr>
                <w:sz w:val="22"/>
                <w:szCs w:val="22"/>
                <w:lang w:val="en-US"/>
              </w:rPr>
            </w:pPr>
          </w:p>
        </w:tc>
        <w:tc>
          <w:tcPr>
            <w:tcW w:w="576" w:type="pct"/>
          </w:tcPr>
          <w:p w:rsidR="00A20F50" w:rsidRPr="00402494" w:rsidRDefault="00A20F50" w:rsidP="00B560F0">
            <w:pPr>
              <w:tabs>
                <w:tab w:val="left" w:pos="567"/>
              </w:tabs>
              <w:ind w:left="33"/>
              <w:jc w:val="center"/>
              <w:rPr>
                <w:sz w:val="22"/>
                <w:szCs w:val="22"/>
                <w:lang w:val="en-US"/>
              </w:rPr>
            </w:pPr>
          </w:p>
        </w:tc>
        <w:tc>
          <w:tcPr>
            <w:tcW w:w="577" w:type="pct"/>
          </w:tcPr>
          <w:p w:rsidR="00A20F50" w:rsidRPr="00402494" w:rsidRDefault="00A20F50" w:rsidP="00B560F0">
            <w:pPr>
              <w:tabs>
                <w:tab w:val="left" w:pos="567"/>
              </w:tabs>
              <w:ind w:left="33"/>
              <w:jc w:val="center"/>
              <w:rPr>
                <w:sz w:val="22"/>
                <w:szCs w:val="22"/>
                <w:lang w:val="en-US"/>
              </w:rPr>
            </w:pPr>
          </w:p>
        </w:tc>
      </w:tr>
      <w:tr w:rsidR="00A20F50" w:rsidRPr="00402494" w:rsidTr="00402494">
        <w:tc>
          <w:tcPr>
            <w:tcW w:w="2119" w:type="pct"/>
          </w:tcPr>
          <w:p w:rsidR="00A20F50" w:rsidRPr="00402494" w:rsidRDefault="00A20F50" w:rsidP="00B560F0">
            <w:pPr>
              <w:tabs>
                <w:tab w:val="left" w:pos="567"/>
              </w:tabs>
              <w:autoSpaceDE w:val="0"/>
              <w:autoSpaceDN w:val="0"/>
              <w:adjustRightInd w:val="0"/>
              <w:ind w:left="33"/>
              <w:rPr>
                <w:sz w:val="22"/>
                <w:szCs w:val="22"/>
                <w:lang w:val="en-US"/>
              </w:rPr>
            </w:pPr>
            <w:r w:rsidRPr="00402494">
              <w:rPr>
                <w:sz w:val="22"/>
                <w:szCs w:val="22"/>
                <w:lang w:val="en-US"/>
              </w:rPr>
              <w:t>-  opståen af genotype-ETVr</w:t>
            </w:r>
            <w:r w:rsidRPr="00402494">
              <w:rPr>
                <w:sz w:val="22"/>
                <w:szCs w:val="22"/>
                <w:vertAlign w:val="superscript"/>
                <w:lang w:val="en-US"/>
              </w:rPr>
              <w:t>c</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0,2 %</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0,5 %</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1,2 %</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1,2 %</w:t>
            </w:r>
          </w:p>
        </w:tc>
        <w:tc>
          <w:tcPr>
            <w:tcW w:w="577"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1,2 %</w:t>
            </w:r>
          </w:p>
        </w:tc>
      </w:tr>
      <w:tr w:rsidR="00A20F50" w:rsidRPr="00402494" w:rsidTr="00402494">
        <w:tc>
          <w:tcPr>
            <w:tcW w:w="2119" w:type="pct"/>
          </w:tcPr>
          <w:p w:rsidR="00A20F50" w:rsidRPr="00402494" w:rsidRDefault="00A20F50" w:rsidP="00B560F0">
            <w:pPr>
              <w:tabs>
                <w:tab w:val="left" w:pos="567"/>
              </w:tabs>
              <w:autoSpaceDE w:val="0"/>
              <w:autoSpaceDN w:val="0"/>
              <w:adjustRightInd w:val="0"/>
              <w:ind w:left="33"/>
              <w:rPr>
                <w:sz w:val="22"/>
                <w:szCs w:val="22"/>
              </w:rPr>
            </w:pPr>
            <w:r w:rsidRPr="00402494">
              <w:rPr>
                <w:sz w:val="22"/>
                <w:szCs w:val="22"/>
              </w:rPr>
              <w:t>- genotype-ETVr</w:t>
            </w:r>
            <w:r w:rsidRPr="00402494">
              <w:rPr>
                <w:sz w:val="22"/>
                <w:szCs w:val="22"/>
                <w:vertAlign w:val="superscript"/>
              </w:rPr>
              <w:t>c</w:t>
            </w:r>
            <w:r w:rsidRPr="00402494">
              <w:rPr>
                <w:sz w:val="22"/>
                <w:szCs w:val="22"/>
              </w:rPr>
              <w:t xml:space="preserve"> med virologisk svigt </w:t>
            </w:r>
            <w:r w:rsidRPr="00402494">
              <w:rPr>
                <w:sz w:val="22"/>
                <w:szCs w:val="22"/>
                <w:vertAlign w:val="superscript"/>
              </w:rPr>
              <w:t>d</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0,2 %</w:t>
            </w:r>
          </w:p>
          <w:p w:rsidR="00A20F50" w:rsidRPr="00402494" w:rsidRDefault="00A20F50" w:rsidP="00B560F0">
            <w:pPr>
              <w:tabs>
                <w:tab w:val="left" w:pos="567"/>
              </w:tabs>
              <w:ind w:left="33"/>
              <w:jc w:val="center"/>
              <w:rPr>
                <w:sz w:val="22"/>
                <w:szCs w:val="22"/>
                <w:lang w:val="en-US"/>
              </w:rPr>
            </w:pP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0,2 %</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0,8 %</w:t>
            </w:r>
          </w:p>
        </w:tc>
        <w:tc>
          <w:tcPr>
            <w:tcW w:w="576"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0,8 %</w:t>
            </w:r>
          </w:p>
        </w:tc>
        <w:tc>
          <w:tcPr>
            <w:tcW w:w="577" w:type="pct"/>
          </w:tcPr>
          <w:p w:rsidR="00A20F50" w:rsidRPr="00402494" w:rsidRDefault="00A20F50" w:rsidP="00B560F0">
            <w:pPr>
              <w:tabs>
                <w:tab w:val="left" w:pos="567"/>
              </w:tabs>
              <w:ind w:left="33"/>
              <w:jc w:val="center"/>
              <w:rPr>
                <w:sz w:val="22"/>
                <w:szCs w:val="22"/>
                <w:lang w:val="en-US"/>
              </w:rPr>
            </w:pPr>
            <w:r w:rsidRPr="00402494">
              <w:rPr>
                <w:sz w:val="22"/>
                <w:szCs w:val="22"/>
                <w:lang w:val="en-US"/>
              </w:rPr>
              <w:t>0,8 %</w:t>
            </w:r>
          </w:p>
        </w:tc>
      </w:tr>
    </w:tbl>
    <w:p w:rsidR="00A20F50" w:rsidRPr="00D06229" w:rsidRDefault="00A20F50" w:rsidP="00402494">
      <w:pPr>
        <w:ind w:left="284" w:hanging="284"/>
        <w:rPr>
          <w:sz w:val="24"/>
          <w:szCs w:val="24"/>
        </w:rPr>
      </w:pPr>
      <w:r w:rsidRPr="00D06229">
        <w:rPr>
          <w:sz w:val="24"/>
          <w:szCs w:val="24"/>
          <w:vertAlign w:val="superscript"/>
        </w:rPr>
        <w:t>a</w:t>
      </w:r>
      <w:r w:rsidRPr="00D06229">
        <w:rPr>
          <w:sz w:val="24"/>
          <w:szCs w:val="24"/>
        </w:rPr>
        <w:t xml:space="preserve"> </w:t>
      </w:r>
      <w:r w:rsidR="00402494">
        <w:rPr>
          <w:sz w:val="24"/>
          <w:szCs w:val="24"/>
        </w:rPr>
        <w:tab/>
      </w:r>
      <w:r w:rsidRPr="00D06229">
        <w:rPr>
          <w:sz w:val="24"/>
          <w:szCs w:val="24"/>
        </w:rPr>
        <w:t xml:space="preserve">Resultater afspejler brug af 1-mg dosis af entecavir hos 147 ud af 149 patienter i År 3 og hos alle patienter I År 4 og 5 og i kombinationsbehandling med entecavir-lamivudin (efterfulgt af længerevarende entecavirbehandling) i gennemsnitlig 20 uger hos 130 ud af 149 patienter i År 3 og i 1 uge for 1 ud af 121 patienter i År 4 i et rollover-forsøg. </w:t>
      </w:r>
    </w:p>
    <w:p w:rsidR="00A20F50" w:rsidRPr="00D06229" w:rsidRDefault="00A20F50" w:rsidP="00402494">
      <w:pPr>
        <w:ind w:left="284" w:hanging="284"/>
        <w:rPr>
          <w:sz w:val="24"/>
          <w:szCs w:val="24"/>
        </w:rPr>
      </w:pPr>
      <w:r w:rsidRPr="00D06229">
        <w:rPr>
          <w:sz w:val="24"/>
          <w:szCs w:val="24"/>
          <w:vertAlign w:val="superscript"/>
        </w:rPr>
        <w:t>b</w:t>
      </w:r>
      <w:r w:rsidRPr="00D06229">
        <w:rPr>
          <w:sz w:val="24"/>
          <w:szCs w:val="24"/>
        </w:rPr>
        <w:t xml:space="preserve"> </w:t>
      </w:r>
      <w:r w:rsidR="00402494">
        <w:rPr>
          <w:sz w:val="24"/>
          <w:szCs w:val="24"/>
        </w:rPr>
        <w:tab/>
      </w:r>
      <w:r w:rsidRPr="00D06229">
        <w:rPr>
          <w:sz w:val="24"/>
          <w:szCs w:val="24"/>
        </w:rPr>
        <w:t>Inkluderer patienter med mindst en HBV-DNA-måling under behandling ved PCR ved eller efter uge 24 til og med uge 58 (År 1), efter uge 58 til og med uge 102 (År 2) eller efter uge 102 til og med uge 156 (År 3), efter uge 156 til og med uge 204 (År 4) eller efter uge 204 til og med uge 252 (År 5).</w:t>
      </w:r>
    </w:p>
    <w:p w:rsidR="00A20F50" w:rsidRPr="00D06229" w:rsidRDefault="00A20F50" w:rsidP="00402494">
      <w:pPr>
        <w:ind w:left="284" w:hanging="284"/>
        <w:rPr>
          <w:sz w:val="24"/>
          <w:szCs w:val="24"/>
        </w:rPr>
      </w:pPr>
      <w:r w:rsidRPr="00D06229">
        <w:rPr>
          <w:sz w:val="24"/>
          <w:szCs w:val="24"/>
          <w:vertAlign w:val="superscript"/>
        </w:rPr>
        <w:t>c</w:t>
      </w:r>
      <w:r w:rsidRPr="00D06229">
        <w:rPr>
          <w:sz w:val="24"/>
          <w:szCs w:val="24"/>
        </w:rPr>
        <w:t xml:space="preserve"> </w:t>
      </w:r>
      <w:r w:rsidR="00402494">
        <w:rPr>
          <w:sz w:val="24"/>
          <w:szCs w:val="24"/>
        </w:rPr>
        <w:tab/>
      </w:r>
      <w:r w:rsidRPr="00D06229">
        <w:rPr>
          <w:sz w:val="24"/>
          <w:szCs w:val="24"/>
        </w:rPr>
        <w:t xml:space="preserve">Patienterne skal også have LVDr-substitutioner. </w:t>
      </w:r>
    </w:p>
    <w:p w:rsidR="00A20F50" w:rsidRPr="00D06229" w:rsidRDefault="00A20F50" w:rsidP="00402494">
      <w:pPr>
        <w:ind w:left="284" w:hanging="284"/>
        <w:rPr>
          <w:sz w:val="24"/>
          <w:szCs w:val="24"/>
        </w:rPr>
      </w:pPr>
      <w:r w:rsidRPr="00D06229">
        <w:rPr>
          <w:sz w:val="24"/>
          <w:szCs w:val="24"/>
          <w:vertAlign w:val="superscript"/>
        </w:rPr>
        <w:t>d</w:t>
      </w:r>
      <w:r w:rsidRPr="00D06229">
        <w:rPr>
          <w:sz w:val="24"/>
          <w:szCs w:val="24"/>
        </w:rPr>
        <w:t xml:space="preserve"> </w:t>
      </w:r>
      <w:r w:rsidR="00402494">
        <w:rPr>
          <w:sz w:val="24"/>
          <w:szCs w:val="24"/>
        </w:rPr>
        <w:tab/>
      </w:r>
      <w:r w:rsidRPr="00D06229">
        <w:rPr>
          <w:sz w:val="24"/>
          <w:szCs w:val="24"/>
        </w:rPr>
        <w:t>≥ 1 log</w:t>
      </w:r>
      <w:r w:rsidRPr="00D06229">
        <w:rPr>
          <w:sz w:val="24"/>
          <w:szCs w:val="24"/>
          <w:vertAlign w:val="subscript"/>
        </w:rPr>
        <w:t xml:space="preserve">10 </w:t>
      </w:r>
      <w:r w:rsidRPr="00D06229">
        <w:rPr>
          <w:sz w:val="24"/>
          <w:szCs w:val="24"/>
        </w:rPr>
        <w:t>stigning over nadir i HBV-DNA ved PCR, bekræftet ved på hinanden følgende målinger eller ved afslutningen af tidsvinduet.</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Der sås ETVr-substitutioner (foruden LVDr-substitutioner rtM204V/I ± rtL180M) ved baseline i isolater fra 10/187 (5 %) lamivudinrefraktære patienter, der blev behandlet med entecavir og monitoreret for resistens. Dette indikerer at tidligere lamivudinbehandling kan elektere disse resistenssubstitutioner, og at de kan eksistere i mindre grad inden entecavirbehandling. Til og med uge 240 oplevede 3 ud af de 10 patienter virologisk svigt (≥ 1 log</w:t>
      </w:r>
      <w:r w:rsidRPr="00D06229">
        <w:rPr>
          <w:sz w:val="24"/>
          <w:szCs w:val="24"/>
          <w:vertAlign w:val="subscript"/>
        </w:rPr>
        <w:t>10</w:t>
      </w:r>
      <w:r w:rsidRPr="00D06229">
        <w:rPr>
          <w:sz w:val="24"/>
          <w:szCs w:val="24"/>
        </w:rPr>
        <w:t xml:space="preserve"> stigning over nadir). Opståen af entecavirresistens i lamivudinrefraktære studier til og med uge 240 opsummeres i tabellen.</w:t>
      </w:r>
    </w:p>
    <w:p w:rsidR="00A20F50" w:rsidRPr="00D06229" w:rsidRDefault="00A20F50" w:rsidP="00A20F50">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1054"/>
        <w:gridCol w:w="1207"/>
        <w:gridCol w:w="1053"/>
        <w:gridCol w:w="1180"/>
        <w:gridCol w:w="1257"/>
      </w:tblGrid>
      <w:tr w:rsidR="00A20F50" w:rsidRPr="00402494" w:rsidTr="00402494">
        <w:tc>
          <w:tcPr>
            <w:tcW w:w="5000" w:type="pct"/>
            <w:gridSpan w:val="6"/>
            <w:shd w:val="clear" w:color="auto" w:fill="auto"/>
          </w:tcPr>
          <w:p w:rsidR="00A20F50" w:rsidRPr="00402494" w:rsidRDefault="00A20F50" w:rsidP="00B560F0">
            <w:pPr>
              <w:tabs>
                <w:tab w:val="left" w:pos="567"/>
              </w:tabs>
              <w:ind w:left="171"/>
              <w:rPr>
                <w:b/>
                <w:sz w:val="22"/>
                <w:szCs w:val="22"/>
              </w:rPr>
            </w:pPr>
            <w:r w:rsidRPr="00402494">
              <w:rPr>
                <w:sz w:val="22"/>
                <w:szCs w:val="22"/>
              </w:rPr>
              <w:t>Opståen af entecavir genotype-resistens til og med År 5, lamivudin-refraktære forsøg</w:t>
            </w:r>
          </w:p>
        </w:tc>
      </w:tr>
      <w:tr w:rsidR="00A20F50" w:rsidRPr="00402494" w:rsidTr="00402494">
        <w:tc>
          <w:tcPr>
            <w:tcW w:w="2013" w:type="pct"/>
            <w:shd w:val="clear" w:color="auto" w:fill="auto"/>
          </w:tcPr>
          <w:p w:rsidR="00A20F50" w:rsidRPr="00402494" w:rsidRDefault="00A20F50" w:rsidP="00B560F0">
            <w:pPr>
              <w:tabs>
                <w:tab w:val="left" w:pos="567"/>
              </w:tabs>
              <w:ind w:left="171"/>
              <w:jc w:val="center"/>
              <w:rPr>
                <w:sz w:val="22"/>
                <w:szCs w:val="22"/>
              </w:rPr>
            </w:pPr>
          </w:p>
        </w:tc>
        <w:tc>
          <w:tcPr>
            <w:tcW w:w="54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 xml:space="preserve">År </w:t>
            </w:r>
            <w:r w:rsidRPr="00402494">
              <w:rPr>
                <w:sz w:val="22"/>
                <w:szCs w:val="22"/>
                <w:lang w:val="en-US"/>
              </w:rPr>
              <w:t>1</w:t>
            </w:r>
          </w:p>
          <w:p w:rsidR="00A20F50" w:rsidRPr="00402494" w:rsidRDefault="00A20F50" w:rsidP="00B560F0">
            <w:pPr>
              <w:tabs>
                <w:tab w:val="left" w:pos="567"/>
              </w:tabs>
              <w:ind w:left="171"/>
              <w:jc w:val="center"/>
              <w:rPr>
                <w:sz w:val="22"/>
                <w:szCs w:val="22"/>
                <w:lang w:val="en-US"/>
              </w:rPr>
            </w:pPr>
          </w:p>
        </w:tc>
        <w:tc>
          <w:tcPr>
            <w:tcW w:w="62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 xml:space="preserve">År </w:t>
            </w:r>
            <w:r w:rsidRPr="00402494">
              <w:rPr>
                <w:sz w:val="22"/>
                <w:szCs w:val="22"/>
                <w:lang w:val="en-US"/>
              </w:rPr>
              <w:t>2</w:t>
            </w:r>
          </w:p>
        </w:tc>
        <w:tc>
          <w:tcPr>
            <w:tcW w:w="54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 xml:space="preserve">År </w:t>
            </w:r>
            <w:r w:rsidRPr="00402494">
              <w:rPr>
                <w:sz w:val="22"/>
                <w:szCs w:val="22"/>
                <w:lang w:val="en-US"/>
              </w:rPr>
              <w:t>3</w:t>
            </w:r>
            <w:r w:rsidRPr="00402494">
              <w:rPr>
                <w:sz w:val="22"/>
                <w:szCs w:val="22"/>
                <w:vertAlign w:val="superscript"/>
                <w:lang w:val="en-US"/>
              </w:rPr>
              <w:t>a</w:t>
            </w:r>
          </w:p>
        </w:tc>
        <w:tc>
          <w:tcPr>
            <w:tcW w:w="61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År 4</w:t>
            </w:r>
            <w:r w:rsidRPr="00402494">
              <w:rPr>
                <w:sz w:val="22"/>
                <w:szCs w:val="22"/>
                <w:vertAlign w:val="superscript"/>
                <w:lang w:val="en-GB"/>
              </w:rPr>
              <w:t>a</w:t>
            </w:r>
          </w:p>
        </w:tc>
        <w:tc>
          <w:tcPr>
            <w:tcW w:w="65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År 5</w:t>
            </w:r>
            <w:r w:rsidRPr="00402494">
              <w:rPr>
                <w:sz w:val="22"/>
                <w:szCs w:val="22"/>
                <w:vertAlign w:val="superscript"/>
                <w:lang w:val="en-GB"/>
              </w:rPr>
              <w:t>a</w:t>
            </w:r>
          </w:p>
        </w:tc>
      </w:tr>
      <w:tr w:rsidR="00A20F50" w:rsidRPr="00402494" w:rsidTr="00402494">
        <w:tc>
          <w:tcPr>
            <w:tcW w:w="2013" w:type="pct"/>
            <w:shd w:val="clear" w:color="auto" w:fill="auto"/>
          </w:tcPr>
          <w:p w:rsidR="00A20F50" w:rsidRPr="00402494" w:rsidRDefault="00A20F50" w:rsidP="00B560F0">
            <w:pPr>
              <w:tabs>
                <w:tab w:val="left" w:pos="567"/>
              </w:tabs>
              <w:autoSpaceDE w:val="0"/>
              <w:autoSpaceDN w:val="0"/>
              <w:adjustRightInd w:val="0"/>
              <w:ind w:left="171"/>
              <w:rPr>
                <w:sz w:val="22"/>
                <w:szCs w:val="22"/>
              </w:rPr>
            </w:pPr>
            <w:r w:rsidRPr="00402494">
              <w:rPr>
                <w:sz w:val="22"/>
                <w:szCs w:val="22"/>
              </w:rPr>
              <w:t>Patienter behandlet og monitoreret</w:t>
            </w:r>
          </w:p>
          <w:p w:rsidR="00A20F50" w:rsidRPr="00402494" w:rsidRDefault="00A20F50" w:rsidP="00B560F0">
            <w:pPr>
              <w:tabs>
                <w:tab w:val="left" w:pos="567"/>
              </w:tabs>
              <w:autoSpaceDE w:val="0"/>
              <w:autoSpaceDN w:val="0"/>
              <w:adjustRightInd w:val="0"/>
              <w:ind w:left="171"/>
              <w:rPr>
                <w:sz w:val="22"/>
                <w:szCs w:val="22"/>
              </w:rPr>
            </w:pPr>
            <w:r w:rsidRPr="00402494">
              <w:rPr>
                <w:sz w:val="22"/>
                <w:szCs w:val="22"/>
              </w:rPr>
              <w:t>for resistens</w:t>
            </w:r>
            <w:r w:rsidRPr="00402494">
              <w:rPr>
                <w:sz w:val="22"/>
                <w:szCs w:val="22"/>
                <w:vertAlign w:val="superscript"/>
              </w:rPr>
              <w:t>b</w:t>
            </w:r>
          </w:p>
        </w:tc>
        <w:tc>
          <w:tcPr>
            <w:tcW w:w="547" w:type="pct"/>
            <w:shd w:val="clear" w:color="auto" w:fill="auto"/>
          </w:tcPr>
          <w:p w:rsidR="00A20F50" w:rsidRPr="00402494" w:rsidRDefault="00A20F50" w:rsidP="00B560F0">
            <w:pPr>
              <w:tabs>
                <w:tab w:val="left" w:pos="567"/>
              </w:tabs>
              <w:autoSpaceDE w:val="0"/>
              <w:autoSpaceDN w:val="0"/>
              <w:adjustRightInd w:val="0"/>
              <w:ind w:left="171"/>
              <w:jc w:val="center"/>
              <w:rPr>
                <w:sz w:val="22"/>
                <w:szCs w:val="22"/>
                <w:lang w:val="en-US"/>
              </w:rPr>
            </w:pPr>
            <w:r w:rsidRPr="00402494">
              <w:rPr>
                <w:sz w:val="22"/>
                <w:szCs w:val="22"/>
                <w:lang w:val="en-GB"/>
              </w:rPr>
              <w:t xml:space="preserve">187 </w:t>
            </w:r>
          </w:p>
          <w:p w:rsidR="00A20F50" w:rsidRPr="00402494" w:rsidRDefault="00A20F50" w:rsidP="00B560F0">
            <w:pPr>
              <w:tabs>
                <w:tab w:val="left" w:pos="567"/>
              </w:tabs>
              <w:ind w:left="171"/>
              <w:jc w:val="center"/>
              <w:rPr>
                <w:sz w:val="22"/>
                <w:szCs w:val="22"/>
                <w:lang w:val="en-US"/>
              </w:rPr>
            </w:pPr>
          </w:p>
        </w:tc>
        <w:tc>
          <w:tcPr>
            <w:tcW w:w="62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 xml:space="preserve">146 </w:t>
            </w:r>
          </w:p>
        </w:tc>
        <w:tc>
          <w:tcPr>
            <w:tcW w:w="54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 xml:space="preserve">80 </w:t>
            </w:r>
          </w:p>
        </w:tc>
        <w:tc>
          <w:tcPr>
            <w:tcW w:w="61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52</w:t>
            </w:r>
          </w:p>
        </w:tc>
        <w:tc>
          <w:tcPr>
            <w:tcW w:w="65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33</w:t>
            </w:r>
          </w:p>
        </w:tc>
      </w:tr>
      <w:tr w:rsidR="00A20F50" w:rsidRPr="00402494" w:rsidTr="00402494">
        <w:tc>
          <w:tcPr>
            <w:tcW w:w="2013" w:type="pct"/>
            <w:shd w:val="clear" w:color="auto" w:fill="auto"/>
          </w:tcPr>
          <w:p w:rsidR="00A20F50" w:rsidRPr="00402494" w:rsidRDefault="00A20F50" w:rsidP="00B560F0">
            <w:pPr>
              <w:tabs>
                <w:tab w:val="left" w:pos="567"/>
              </w:tabs>
              <w:autoSpaceDE w:val="0"/>
              <w:autoSpaceDN w:val="0"/>
              <w:adjustRightInd w:val="0"/>
              <w:ind w:left="171"/>
              <w:rPr>
                <w:b/>
                <w:sz w:val="22"/>
                <w:szCs w:val="22"/>
              </w:rPr>
            </w:pPr>
            <w:r w:rsidRPr="00402494">
              <w:rPr>
                <w:b/>
                <w:sz w:val="22"/>
                <w:szCs w:val="22"/>
              </w:rPr>
              <w:t>Patienter i specifikt år med:</w:t>
            </w:r>
          </w:p>
        </w:tc>
        <w:tc>
          <w:tcPr>
            <w:tcW w:w="547" w:type="pct"/>
            <w:shd w:val="clear" w:color="auto" w:fill="auto"/>
          </w:tcPr>
          <w:p w:rsidR="00A20F50" w:rsidRPr="00402494" w:rsidRDefault="00A20F50" w:rsidP="00B560F0">
            <w:pPr>
              <w:tabs>
                <w:tab w:val="left" w:pos="567"/>
              </w:tabs>
              <w:ind w:left="171"/>
              <w:jc w:val="center"/>
              <w:rPr>
                <w:sz w:val="22"/>
                <w:szCs w:val="22"/>
              </w:rPr>
            </w:pPr>
          </w:p>
        </w:tc>
        <w:tc>
          <w:tcPr>
            <w:tcW w:w="627" w:type="pct"/>
            <w:shd w:val="clear" w:color="auto" w:fill="auto"/>
          </w:tcPr>
          <w:p w:rsidR="00A20F50" w:rsidRPr="00402494" w:rsidRDefault="00A20F50" w:rsidP="00B560F0">
            <w:pPr>
              <w:tabs>
                <w:tab w:val="left" w:pos="567"/>
              </w:tabs>
              <w:ind w:left="171"/>
              <w:jc w:val="center"/>
              <w:rPr>
                <w:sz w:val="22"/>
                <w:szCs w:val="22"/>
              </w:rPr>
            </w:pPr>
          </w:p>
        </w:tc>
        <w:tc>
          <w:tcPr>
            <w:tcW w:w="547" w:type="pct"/>
            <w:shd w:val="clear" w:color="auto" w:fill="auto"/>
          </w:tcPr>
          <w:p w:rsidR="00A20F50" w:rsidRPr="00402494" w:rsidRDefault="00A20F50" w:rsidP="00B560F0">
            <w:pPr>
              <w:tabs>
                <w:tab w:val="left" w:pos="567"/>
              </w:tabs>
              <w:ind w:left="171"/>
              <w:jc w:val="center"/>
              <w:rPr>
                <w:sz w:val="22"/>
                <w:szCs w:val="22"/>
              </w:rPr>
            </w:pPr>
          </w:p>
        </w:tc>
        <w:tc>
          <w:tcPr>
            <w:tcW w:w="613" w:type="pct"/>
            <w:shd w:val="clear" w:color="auto" w:fill="auto"/>
          </w:tcPr>
          <w:p w:rsidR="00A20F50" w:rsidRPr="00402494" w:rsidRDefault="00A20F50" w:rsidP="00B560F0">
            <w:pPr>
              <w:tabs>
                <w:tab w:val="left" w:pos="567"/>
              </w:tabs>
              <w:ind w:left="171"/>
              <w:jc w:val="center"/>
              <w:rPr>
                <w:sz w:val="22"/>
                <w:szCs w:val="22"/>
              </w:rPr>
            </w:pPr>
          </w:p>
        </w:tc>
        <w:tc>
          <w:tcPr>
            <w:tcW w:w="653" w:type="pct"/>
            <w:shd w:val="clear" w:color="auto" w:fill="auto"/>
          </w:tcPr>
          <w:p w:rsidR="00A20F50" w:rsidRPr="00402494" w:rsidRDefault="00A20F50" w:rsidP="00B560F0">
            <w:pPr>
              <w:tabs>
                <w:tab w:val="left" w:pos="567"/>
              </w:tabs>
              <w:ind w:left="171"/>
              <w:jc w:val="center"/>
              <w:rPr>
                <w:sz w:val="22"/>
                <w:szCs w:val="22"/>
              </w:rPr>
            </w:pPr>
          </w:p>
        </w:tc>
      </w:tr>
      <w:tr w:rsidR="00A20F50" w:rsidRPr="00402494" w:rsidTr="00402494">
        <w:tc>
          <w:tcPr>
            <w:tcW w:w="2013" w:type="pct"/>
            <w:shd w:val="clear" w:color="auto" w:fill="auto"/>
          </w:tcPr>
          <w:p w:rsidR="00A20F50" w:rsidRPr="00402494" w:rsidRDefault="00A20F50" w:rsidP="00B560F0">
            <w:pPr>
              <w:tabs>
                <w:tab w:val="left" w:pos="567"/>
              </w:tabs>
              <w:autoSpaceDE w:val="0"/>
              <w:autoSpaceDN w:val="0"/>
              <w:adjustRightInd w:val="0"/>
              <w:ind w:left="171"/>
              <w:rPr>
                <w:sz w:val="22"/>
                <w:szCs w:val="22"/>
                <w:lang w:val="en-US"/>
              </w:rPr>
            </w:pPr>
            <w:r w:rsidRPr="00402494">
              <w:rPr>
                <w:sz w:val="22"/>
                <w:szCs w:val="22"/>
                <w:lang w:val="en-US"/>
              </w:rPr>
              <w:t>- opståen af genotype-ETVr</w:t>
            </w:r>
            <w:r w:rsidRPr="00402494">
              <w:rPr>
                <w:sz w:val="22"/>
                <w:szCs w:val="22"/>
                <w:vertAlign w:val="superscript"/>
                <w:lang w:val="en-US"/>
              </w:rPr>
              <w:t>c</w:t>
            </w:r>
            <w:r w:rsidRPr="00402494">
              <w:rPr>
                <w:sz w:val="22"/>
                <w:szCs w:val="22"/>
                <w:lang w:val="en-US"/>
              </w:rPr>
              <w:t xml:space="preserve"> </w:t>
            </w:r>
          </w:p>
        </w:tc>
        <w:tc>
          <w:tcPr>
            <w:tcW w:w="54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US"/>
              </w:rPr>
              <w:t>11</w:t>
            </w:r>
          </w:p>
        </w:tc>
        <w:tc>
          <w:tcPr>
            <w:tcW w:w="62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US"/>
              </w:rPr>
              <w:t>12</w:t>
            </w:r>
          </w:p>
        </w:tc>
        <w:tc>
          <w:tcPr>
            <w:tcW w:w="54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US"/>
              </w:rPr>
              <w:t>16</w:t>
            </w:r>
          </w:p>
        </w:tc>
        <w:tc>
          <w:tcPr>
            <w:tcW w:w="61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US"/>
              </w:rPr>
              <w:t>6</w:t>
            </w:r>
          </w:p>
        </w:tc>
        <w:tc>
          <w:tcPr>
            <w:tcW w:w="65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US"/>
              </w:rPr>
              <w:t>2</w:t>
            </w:r>
          </w:p>
        </w:tc>
      </w:tr>
      <w:tr w:rsidR="00A20F50" w:rsidRPr="00402494" w:rsidTr="00402494">
        <w:tc>
          <w:tcPr>
            <w:tcW w:w="2013" w:type="pct"/>
            <w:shd w:val="clear" w:color="auto" w:fill="auto"/>
          </w:tcPr>
          <w:p w:rsidR="00A20F50" w:rsidRPr="00402494" w:rsidRDefault="00A20F50" w:rsidP="00B560F0">
            <w:pPr>
              <w:tabs>
                <w:tab w:val="left" w:pos="567"/>
              </w:tabs>
              <w:autoSpaceDE w:val="0"/>
              <w:autoSpaceDN w:val="0"/>
              <w:adjustRightInd w:val="0"/>
              <w:ind w:left="171"/>
              <w:rPr>
                <w:sz w:val="22"/>
                <w:szCs w:val="22"/>
              </w:rPr>
            </w:pPr>
            <w:r w:rsidRPr="00402494">
              <w:rPr>
                <w:sz w:val="22"/>
                <w:szCs w:val="22"/>
              </w:rPr>
              <w:t>- genotype-ETVr</w:t>
            </w:r>
            <w:r w:rsidRPr="00402494">
              <w:rPr>
                <w:sz w:val="22"/>
                <w:szCs w:val="22"/>
                <w:vertAlign w:val="superscript"/>
              </w:rPr>
              <w:t>c</w:t>
            </w:r>
            <w:r w:rsidRPr="00402494">
              <w:rPr>
                <w:sz w:val="22"/>
                <w:szCs w:val="22"/>
              </w:rPr>
              <w:t xml:space="preserve"> med virologisk</w:t>
            </w:r>
          </w:p>
          <w:p w:rsidR="00A20F50" w:rsidRPr="00402494" w:rsidRDefault="00A20F50" w:rsidP="00B560F0">
            <w:pPr>
              <w:tabs>
                <w:tab w:val="left" w:pos="567"/>
              </w:tabs>
              <w:autoSpaceDE w:val="0"/>
              <w:autoSpaceDN w:val="0"/>
              <w:adjustRightInd w:val="0"/>
              <w:ind w:left="171"/>
              <w:rPr>
                <w:sz w:val="22"/>
                <w:szCs w:val="22"/>
              </w:rPr>
            </w:pPr>
            <w:r w:rsidRPr="00402494">
              <w:rPr>
                <w:sz w:val="22"/>
                <w:szCs w:val="22"/>
              </w:rPr>
              <w:t>svigt</w:t>
            </w:r>
            <w:r w:rsidRPr="00402494">
              <w:rPr>
                <w:sz w:val="22"/>
                <w:szCs w:val="22"/>
                <w:vertAlign w:val="superscript"/>
              </w:rPr>
              <w:t>d</w:t>
            </w:r>
          </w:p>
        </w:tc>
        <w:tc>
          <w:tcPr>
            <w:tcW w:w="54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2</w:t>
            </w:r>
            <w:r w:rsidRPr="00402494">
              <w:rPr>
                <w:sz w:val="22"/>
                <w:szCs w:val="22"/>
                <w:vertAlign w:val="superscript"/>
                <w:lang w:val="en-GB"/>
              </w:rPr>
              <w:t xml:space="preserve">e </w:t>
            </w:r>
          </w:p>
        </w:tc>
        <w:tc>
          <w:tcPr>
            <w:tcW w:w="62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14</w:t>
            </w:r>
            <w:r w:rsidRPr="00402494">
              <w:rPr>
                <w:sz w:val="22"/>
                <w:szCs w:val="22"/>
                <w:vertAlign w:val="superscript"/>
                <w:lang w:val="en-GB"/>
              </w:rPr>
              <w:t>e</w:t>
            </w:r>
          </w:p>
        </w:tc>
        <w:tc>
          <w:tcPr>
            <w:tcW w:w="54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13</w:t>
            </w:r>
            <w:r w:rsidRPr="00402494">
              <w:rPr>
                <w:sz w:val="22"/>
                <w:szCs w:val="22"/>
                <w:vertAlign w:val="superscript"/>
                <w:lang w:val="en-GB"/>
              </w:rPr>
              <w:t>e</w:t>
            </w:r>
          </w:p>
        </w:tc>
        <w:tc>
          <w:tcPr>
            <w:tcW w:w="61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9</w:t>
            </w:r>
            <w:r w:rsidRPr="00402494">
              <w:rPr>
                <w:sz w:val="22"/>
                <w:szCs w:val="22"/>
                <w:vertAlign w:val="superscript"/>
                <w:lang w:val="en-GB"/>
              </w:rPr>
              <w:t>e</w:t>
            </w:r>
          </w:p>
        </w:tc>
        <w:tc>
          <w:tcPr>
            <w:tcW w:w="65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1</w:t>
            </w:r>
            <w:r w:rsidRPr="00402494">
              <w:rPr>
                <w:sz w:val="22"/>
                <w:szCs w:val="22"/>
                <w:vertAlign w:val="superscript"/>
                <w:lang w:val="en-GB"/>
              </w:rPr>
              <w:t>e</w:t>
            </w:r>
          </w:p>
        </w:tc>
      </w:tr>
      <w:tr w:rsidR="00A20F50" w:rsidRPr="00402494" w:rsidTr="00402494">
        <w:tc>
          <w:tcPr>
            <w:tcW w:w="2013" w:type="pct"/>
            <w:shd w:val="clear" w:color="auto" w:fill="auto"/>
          </w:tcPr>
          <w:p w:rsidR="00A20F50" w:rsidRPr="00402494" w:rsidRDefault="00A20F50" w:rsidP="00B560F0">
            <w:pPr>
              <w:tabs>
                <w:tab w:val="left" w:pos="567"/>
              </w:tabs>
              <w:autoSpaceDE w:val="0"/>
              <w:autoSpaceDN w:val="0"/>
              <w:adjustRightInd w:val="0"/>
              <w:ind w:left="171"/>
              <w:rPr>
                <w:sz w:val="22"/>
                <w:szCs w:val="22"/>
                <w:lang w:val="en-US"/>
              </w:rPr>
            </w:pPr>
            <w:r w:rsidRPr="00402494">
              <w:rPr>
                <w:b/>
                <w:sz w:val="22"/>
                <w:szCs w:val="22"/>
                <w:lang w:val="en-US"/>
              </w:rPr>
              <w:t>Kumulativ sandsynlighed for:</w:t>
            </w:r>
          </w:p>
        </w:tc>
        <w:tc>
          <w:tcPr>
            <w:tcW w:w="547" w:type="pct"/>
            <w:shd w:val="clear" w:color="auto" w:fill="auto"/>
          </w:tcPr>
          <w:p w:rsidR="00A20F50" w:rsidRPr="00402494" w:rsidRDefault="00A20F50" w:rsidP="00B560F0">
            <w:pPr>
              <w:tabs>
                <w:tab w:val="left" w:pos="567"/>
              </w:tabs>
              <w:ind w:left="171"/>
              <w:jc w:val="center"/>
              <w:rPr>
                <w:sz w:val="22"/>
                <w:szCs w:val="22"/>
                <w:lang w:val="en-US"/>
              </w:rPr>
            </w:pPr>
          </w:p>
        </w:tc>
        <w:tc>
          <w:tcPr>
            <w:tcW w:w="627" w:type="pct"/>
            <w:shd w:val="clear" w:color="auto" w:fill="auto"/>
          </w:tcPr>
          <w:p w:rsidR="00A20F50" w:rsidRPr="00402494" w:rsidRDefault="00A20F50" w:rsidP="00B560F0">
            <w:pPr>
              <w:tabs>
                <w:tab w:val="left" w:pos="567"/>
              </w:tabs>
              <w:ind w:left="171"/>
              <w:jc w:val="center"/>
              <w:rPr>
                <w:sz w:val="22"/>
                <w:szCs w:val="22"/>
                <w:lang w:val="en-US"/>
              </w:rPr>
            </w:pPr>
          </w:p>
        </w:tc>
        <w:tc>
          <w:tcPr>
            <w:tcW w:w="547" w:type="pct"/>
            <w:shd w:val="clear" w:color="auto" w:fill="auto"/>
          </w:tcPr>
          <w:p w:rsidR="00A20F50" w:rsidRPr="00402494" w:rsidRDefault="00A20F50" w:rsidP="00B560F0">
            <w:pPr>
              <w:tabs>
                <w:tab w:val="left" w:pos="567"/>
              </w:tabs>
              <w:ind w:left="171"/>
              <w:jc w:val="center"/>
              <w:rPr>
                <w:sz w:val="22"/>
                <w:szCs w:val="22"/>
                <w:lang w:val="en-US"/>
              </w:rPr>
            </w:pPr>
          </w:p>
        </w:tc>
        <w:tc>
          <w:tcPr>
            <w:tcW w:w="613" w:type="pct"/>
            <w:shd w:val="clear" w:color="auto" w:fill="auto"/>
          </w:tcPr>
          <w:p w:rsidR="00A20F50" w:rsidRPr="00402494" w:rsidRDefault="00A20F50" w:rsidP="00B560F0">
            <w:pPr>
              <w:tabs>
                <w:tab w:val="left" w:pos="567"/>
              </w:tabs>
              <w:ind w:left="171"/>
              <w:jc w:val="center"/>
              <w:rPr>
                <w:sz w:val="22"/>
                <w:szCs w:val="22"/>
                <w:lang w:val="en-US"/>
              </w:rPr>
            </w:pPr>
          </w:p>
        </w:tc>
        <w:tc>
          <w:tcPr>
            <w:tcW w:w="653" w:type="pct"/>
            <w:shd w:val="clear" w:color="auto" w:fill="auto"/>
          </w:tcPr>
          <w:p w:rsidR="00A20F50" w:rsidRPr="00402494" w:rsidRDefault="00A20F50" w:rsidP="00B560F0">
            <w:pPr>
              <w:tabs>
                <w:tab w:val="left" w:pos="567"/>
              </w:tabs>
              <w:ind w:left="171"/>
              <w:jc w:val="center"/>
              <w:rPr>
                <w:sz w:val="22"/>
                <w:szCs w:val="22"/>
                <w:lang w:val="en-US"/>
              </w:rPr>
            </w:pPr>
          </w:p>
        </w:tc>
      </w:tr>
      <w:tr w:rsidR="00A20F50" w:rsidRPr="00402494" w:rsidTr="00402494">
        <w:tc>
          <w:tcPr>
            <w:tcW w:w="2013" w:type="pct"/>
            <w:shd w:val="clear" w:color="auto" w:fill="auto"/>
          </w:tcPr>
          <w:p w:rsidR="00A20F50" w:rsidRPr="00402494" w:rsidRDefault="00A20F50" w:rsidP="00B560F0">
            <w:pPr>
              <w:tabs>
                <w:tab w:val="left" w:pos="567"/>
              </w:tabs>
              <w:autoSpaceDE w:val="0"/>
              <w:autoSpaceDN w:val="0"/>
              <w:adjustRightInd w:val="0"/>
              <w:ind w:left="171"/>
              <w:rPr>
                <w:sz w:val="22"/>
                <w:szCs w:val="22"/>
                <w:lang w:val="en-US"/>
              </w:rPr>
            </w:pPr>
            <w:r w:rsidRPr="00402494">
              <w:rPr>
                <w:sz w:val="22"/>
                <w:szCs w:val="22"/>
                <w:lang w:val="en-US"/>
              </w:rPr>
              <w:t>- opståen af genotype-ETVr</w:t>
            </w:r>
            <w:r w:rsidRPr="00402494">
              <w:rPr>
                <w:sz w:val="22"/>
                <w:szCs w:val="22"/>
                <w:vertAlign w:val="superscript"/>
                <w:lang w:val="en-US"/>
              </w:rPr>
              <w:t>c</w:t>
            </w:r>
          </w:p>
        </w:tc>
        <w:tc>
          <w:tcPr>
            <w:tcW w:w="547" w:type="pct"/>
            <w:shd w:val="clear" w:color="auto" w:fill="auto"/>
          </w:tcPr>
          <w:p w:rsidR="00A20F50" w:rsidRPr="00402494" w:rsidRDefault="00A20F50" w:rsidP="00B560F0">
            <w:pPr>
              <w:tabs>
                <w:tab w:val="left" w:pos="567"/>
              </w:tabs>
              <w:autoSpaceDE w:val="0"/>
              <w:autoSpaceDN w:val="0"/>
              <w:adjustRightInd w:val="0"/>
              <w:ind w:left="171"/>
              <w:rPr>
                <w:sz w:val="22"/>
                <w:szCs w:val="22"/>
                <w:lang w:val="en-US"/>
              </w:rPr>
            </w:pPr>
            <w:r w:rsidRPr="00402494">
              <w:rPr>
                <w:sz w:val="22"/>
                <w:szCs w:val="22"/>
                <w:lang w:val="en-GB"/>
              </w:rPr>
              <w:t>6,2 %</w:t>
            </w:r>
          </w:p>
        </w:tc>
        <w:tc>
          <w:tcPr>
            <w:tcW w:w="62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15 %</w:t>
            </w:r>
          </w:p>
        </w:tc>
        <w:tc>
          <w:tcPr>
            <w:tcW w:w="54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36,3 %</w:t>
            </w:r>
          </w:p>
        </w:tc>
        <w:tc>
          <w:tcPr>
            <w:tcW w:w="61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46,6 %</w:t>
            </w:r>
          </w:p>
        </w:tc>
        <w:tc>
          <w:tcPr>
            <w:tcW w:w="65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51,45 %</w:t>
            </w:r>
          </w:p>
        </w:tc>
      </w:tr>
      <w:tr w:rsidR="00A20F50" w:rsidRPr="00402494" w:rsidTr="00402494">
        <w:tc>
          <w:tcPr>
            <w:tcW w:w="2013" w:type="pct"/>
            <w:shd w:val="clear" w:color="auto" w:fill="auto"/>
          </w:tcPr>
          <w:p w:rsidR="00A20F50" w:rsidRPr="00402494" w:rsidRDefault="00A20F50" w:rsidP="00B560F0">
            <w:pPr>
              <w:tabs>
                <w:tab w:val="left" w:pos="567"/>
              </w:tabs>
              <w:autoSpaceDE w:val="0"/>
              <w:autoSpaceDN w:val="0"/>
              <w:adjustRightInd w:val="0"/>
              <w:ind w:left="171"/>
              <w:rPr>
                <w:sz w:val="22"/>
                <w:szCs w:val="22"/>
              </w:rPr>
            </w:pPr>
            <w:r w:rsidRPr="00402494">
              <w:rPr>
                <w:sz w:val="22"/>
                <w:szCs w:val="22"/>
              </w:rPr>
              <w:t>- genotype-ETVr</w:t>
            </w:r>
            <w:r w:rsidRPr="00402494">
              <w:rPr>
                <w:sz w:val="22"/>
                <w:szCs w:val="22"/>
                <w:vertAlign w:val="superscript"/>
              </w:rPr>
              <w:t>c</w:t>
            </w:r>
            <w:r w:rsidRPr="00402494">
              <w:rPr>
                <w:sz w:val="22"/>
                <w:szCs w:val="22"/>
              </w:rPr>
              <w:t xml:space="preserve"> med virologisk</w:t>
            </w:r>
          </w:p>
          <w:p w:rsidR="00A20F50" w:rsidRPr="00402494" w:rsidRDefault="00A20F50" w:rsidP="00B560F0">
            <w:pPr>
              <w:tabs>
                <w:tab w:val="left" w:pos="567"/>
              </w:tabs>
              <w:autoSpaceDE w:val="0"/>
              <w:autoSpaceDN w:val="0"/>
              <w:adjustRightInd w:val="0"/>
              <w:ind w:left="171"/>
              <w:rPr>
                <w:sz w:val="22"/>
                <w:szCs w:val="22"/>
              </w:rPr>
            </w:pPr>
            <w:r w:rsidRPr="00402494">
              <w:rPr>
                <w:sz w:val="22"/>
                <w:szCs w:val="22"/>
              </w:rPr>
              <w:t>svigt</w:t>
            </w:r>
            <w:r w:rsidRPr="00402494">
              <w:rPr>
                <w:sz w:val="22"/>
                <w:szCs w:val="22"/>
                <w:vertAlign w:val="superscript"/>
              </w:rPr>
              <w:t>d</w:t>
            </w:r>
          </w:p>
        </w:tc>
        <w:tc>
          <w:tcPr>
            <w:tcW w:w="547" w:type="pct"/>
            <w:shd w:val="clear" w:color="auto" w:fill="auto"/>
          </w:tcPr>
          <w:p w:rsidR="00A20F50" w:rsidRPr="00402494" w:rsidRDefault="00A20F50" w:rsidP="00402494">
            <w:pPr>
              <w:tabs>
                <w:tab w:val="left" w:pos="567"/>
              </w:tabs>
              <w:autoSpaceDE w:val="0"/>
              <w:autoSpaceDN w:val="0"/>
              <w:adjustRightInd w:val="0"/>
              <w:ind w:left="171"/>
              <w:rPr>
                <w:sz w:val="22"/>
                <w:szCs w:val="22"/>
                <w:lang w:val="en-US"/>
              </w:rPr>
            </w:pPr>
            <w:r w:rsidRPr="00402494">
              <w:rPr>
                <w:sz w:val="22"/>
                <w:szCs w:val="22"/>
                <w:lang w:val="en-GB"/>
              </w:rPr>
              <w:t>1,1 %</w:t>
            </w:r>
            <w:r w:rsidRPr="00402494">
              <w:rPr>
                <w:sz w:val="22"/>
                <w:szCs w:val="22"/>
                <w:vertAlign w:val="superscript"/>
                <w:lang w:val="en-GB"/>
              </w:rPr>
              <w:t>e</w:t>
            </w:r>
            <w:r w:rsidRPr="00402494">
              <w:rPr>
                <w:sz w:val="22"/>
                <w:szCs w:val="22"/>
                <w:lang w:val="en-GB"/>
              </w:rPr>
              <w:t xml:space="preserve"> </w:t>
            </w:r>
          </w:p>
        </w:tc>
        <w:tc>
          <w:tcPr>
            <w:tcW w:w="62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10,7 %</w:t>
            </w:r>
            <w:r w:rsidRPr="00402494">
              <w:rPr>
                <w:sz w:val="22"/>
                <w:szCs w:val="22"/>
                <w:vertAlign w:val="superscript"/>
                <w:lang w:val="en-GB"/>
              </w:rPr>
              <w:t>e</w:t>
            </w:r>
          </w:p>
        </w:tc>
        <w:tc>
          <w:tcPr>
            <w:tcW w:w="547"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27 %e</w:t>
            </w:r>
          </w:p>
        </w:tc>
        <w:tc>
          <w:tcPr>
            <w:tcW w:w="61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 xml:space="preserve">41,3 % </w:t>
            </w:r>
            <w:r w:rsidRPr="00402494">
              <w:rPr>
                <w:sz w:val="22"/>
                <w:szCs w:val="22"/>
                <w:vertAlign w:val="superscript"/>
                <w:lang w:val="en-GB"/>
              </w:rPr>
              <w:t>e</w:t>
            </w:r>
          </w:p>
        </w:tc>
        <w:tc>
          <w:tcPr>
            <w:tcW w:w="653" w:type="pct"/>
            <w:shd w:val="clear" w:color="auto" w:fill="auto"/>
          </w:tcPr>
          <w:p w:rsidR="00A20F50" w:rsidRPr="00402494" w:rsidRDefault="00A20F50" w:rsidP="00B560F0">
            <w:pPr>
              <w:tabs>
                <w:tab w:val="left" w:pos="567"/>
              </w:tabs>
              <w:ind w:left="171"/>
              <w:jc w:val="center"/>
              <w:rPr>
                <w:sz w:val="22"/>
                <w:szCs w:val="22"/>
                <w:lang w:val="en-US"/>
              </w:rPr>
            </w:pPr>
            <w:r w:rsidRPr="00402494">
              <w:rPr>
                <w:sz w:val="22"/>
                <w:szCs w:val="22"/>
                <w:lang w:val="en-GB"/>
              </w:rPr>
              <w:t xml:space="preserve">43,6 % </w:t>
            </w:r>
            <w:r w:rsidRPr="00402494">
              <w:rPr>
                <w:sz w:val="22"/>
                <w:szCs w:val="22"/>
                <w:vertAlign w:val="superscript"/>
                <w:lang w:val="en-GB"/>
              </w:rPr>
              <w:t>e</w:t>
            </w:r>
          </w:p>
        </w:tc>
      </w:tr>
    </w:tbl>
    <w:p w:rsidR="00A20F50" w:rsidRPr="00D06229" w:rsidRDefault="00A20F50" w:rsidP="00402494">
      <w:pPr>
        <w:ind w:left="284" w:hanging="284"/>
        <w:rPr>
          <w:sz w:val="24"/>
          <w:szCs w:val="24"/>
        </w:rPr>
      </w:pPr>
      <w:r w:rsidRPr="00D06229">
        <w:rPr>
          <w:sz w:val="24"/>
          <w:szCs w:val="24"/>
          <w:vertAlign w:val="superscript"/>
        </w:rPr>
        <w:t xml:space="preserve">a </w:t>
      </w:r>
      <w:r w:rsidR="00402494">
        <w:rPr>
          <w:sz w:val="24"/>
          <w:szCs w:val="24"/>
          <w:vertAlign w:val="superscript"/>
        </w:rPr>
        <w:tab/>
      </w:r>
      <w:r w:rsidRPr="00D06229">
        <w:rPr>
          <w:sz w:val="24"/>
          <w:szCs w:val="24"/>
        </w:rPr>
        <w:t xml:space="preserve">Resultater afspejler kombinationsbehandling med entecavir-lamivudin i gennemsnit i 13 uger (efterfulgt af længerevarende behandling med entecavir) hos 48 ud af 80 patienter i År 3, i gennemsnit 38 uger for 10 ud af 52 patienter i År 4 og i 16 uger for 1 ud af 33 patienter i År 5 i et rollover-forsøg. </w:t>
      </w:r>
      <w:r w:rsidRPr="00D06229">
        <w:rPr>
          <w:sz w:val="24"/>
          <w:szCs w:val="24"/>
          <w:vertAlign w:val="superscript"/>
        </w:rPr>
        <w:t>b</w:t>
      </w:r>
      <w:r w:rsidRPr="00D06229">
        <w:rPr>
          <w:sz w:val="24"/>
          <w:szCs w:val="24"/>
        </w:rPr>
        <w:t xml:space="preserve"> Inkluderer patienter med mindst en HBV-DNA-måling under behandling ved PCR ved eller efter uge 24 til og med Uge 58 (År 1), efter uge 58 til og med uge 102 (År 2) eller efter uge 102 til og med uge 156 (År 3), efter uge 156 til og med uge 204 (År 4) eller efter uge 204 til og med uge 252 (År 5). </w:t>
      </w:r>
    </w:p>
    <w:p w:rsidR="00A20F50" w:rsidRPr="00D06229" w:rsidRDefault="00A20F50" w:rsidP="00402494">
      <w:pPr>
        <w:ind w:left="284" w:hanging="284"/>
        <w:rPr>
          <w:sz w:val="24"/>
          <w:szCs w:val="24"/>
        </w:rPr>
      </w:pPr>
      <w:r w:rsidRPr="00D06229">
        <w:rPr>
          <w:sz w:val="24"/>
          <w:szCs w:val="24"/>
          <w:vertAlign w:val="superscript"/>
        </w:rPr>
        <w:lastRenderedPageBreak/>
        <w:t>c</w:t>
      </w:r>
      <w:r w:rsidRPr="00D06229">
        <w:rPr>
          <w:sz w:val="24"/>
          <w:szCs w:val="24"/>
        </w:rPr>
        <w:t xml:space="preserve"> </w:t>
      </w:r>
      <w:r w:rsidR="00402494">
        <w:rPr>
          <w:sz w:val="24"/>
          <w:szCs w:val="24"/>
        </w:rPr>
        <w:tab/>
      </w:r>
      <w:r w:rsidRPr="00D06229">
        <w:rPr>
          <w:sz w:val="24"/>
          <w:szCs w:val="24"/>
        </w:rPr>
        <w:t xml:space="preserve">Patienterne skal også have LVDr-substitutioner. </w:t>
      </w:r>
    </w:p>
    <w:p w:rsidR="00A20F50" w:rsidRPr="00D06229" w:rsidRDefault="00A20F50" w:rsidP="00402494">
      <w:pPr>
        <w:ind w:left="284" w:hanging="284"/>
        <w:rPr>
          <w:sz w:val="24"/>
          <w:szCs w:val="24"/>
        </w:rPr>
      </w:pPr>
      <w:r w:rsidRPr="00D06229">
        <w:rPr>
          <w:sz w:val="24"/>
          <w:szCs w:val="24"/>
          <w:vertAlign w:val="superscript"/>
        </w:rPr>
        <w:t>d</w:t>
      </w:r>
      <w:r w:rsidRPr="00D06229">
        <w:rPr>
          <w:sz w:val="24"/>
          <w:szCs w:val="24"/>
        </w:rPr>
        <w:t xml:space="preserve"> </w:t>
      </w:r>
      <w:r w:rsidR="00402494">
        <w:rPr>
          <w:sz w:val="24"/>
          <w:szCs w:val="24"/>
        </w:rPr>
        <w:tab/>
      </w:r>
      <w:r w:rsidRPr="00D06229">
        <w:rPr>
          <w:sz w:val="24"/>
          <w:szCs w:val="24"/>
        </w:rPr>
        <w:t xml:space="preserve">≥ 1 </w:t>
      </w:r>
      <w:r w:rsidRPr="00D06229">
        <w:rPr>
          <w:sz w:val="24"/>
          <w:szCs w:val="24"/>
          <w:vertAlign w:val="subscript"/>
        </w:rPr>
        <w:t>log10</w:t>
      </w:r>
      <w:r w:rsidRPr="00D06229">
        <w:rPr>
          <w:sz w:val="24"/>
          <w:szCs w:val="24"/>
        </w:rPr>
        <w:t xml:space="preserve"> stigning over nadir i HBV-DNA ved PCR, bekræftet ved på hinanden følgende målinger eller ved afslutningen af tidsvinduet.</w:t>
      </w:r>
    </w:p>
    <w:p w:rsidR="00A20F50" w:rsidRPr="00D06229" w:rsidRDefault="00A20F50" w:rsidP="00402494">
      <w:pPr>
        <w:ind w:left="284" w:hanging="284"/>
        <w:rPr>
          <w:sz w:val="24"/>
          <w:szCs w:val="24"/>
        </w:rPr>
      </w:pPr>
      <w:r w:rsidRPr="00D06229">
        <w:rPr>
          <w:sz w:val="24"/>
          <w:szCs w:val="24"/>
          <w:vertAlign w:val="superscript"/>
        </w:rPr>
        <w:t>e</w:t>
      </w:r>
      <w:r w:rsidRPr="00D06229">
        <w:rPr>
          <w:sz w:val="24"/>
          <w:szCs w:val="24"/>
        </w:rPr>
        <w:t xml:space="preserve"> </w:t>
      </w:r>
      <w:r w:rsidR="00402494">
        <w:rPr>
          <w:sz w:val="24"/>
          <w:szCs w:val="24"/>
        </w:rPr>
        <w:tab/>
      </w:r>
      <w:r w:rsidRPr="00D06229">
        <w:rPr>
          <w:sz w:val="24"/>
          <w:szCs w:val="24"/>
        </w:rPr>
        <w:t>ETVr der forekommer i et givent år, virologisk svigt i det specificerede år.</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Blandt lamivudin-refraktære patienter med baseline HBV-DNA &lt; 10</w:t>
      </w:r>
      <w:r w:rsidRPr="00D06229">
        <w:rPr>
          <w:sz w:val="24"/>
          <w:szCs w:val="24"/>
          <w:vertAlign w:val="superscript"/>
        </w:rPr>
        <w:t>7</w:t>
      </w:r>
      <w:r w:rsidRPr="00D06229">
        <w:rPr>
          <w:sz w:val="24"/>
          <w:szCs w:val="24"/>
        </w:rPr>
        <w:t xml:space="preserve"> log</w:t>
      </w:r>
      <w:r w:rsidRPr="00D06229">
        <w:rPr>
          <w:sz w:val="24"/>
          <w:szCs w:val="24"/>
          <w:vertAlign w:val="subscript"/>
        </w:rPr>
        <w:t>10</w:t>
      </w:r>
      <w:r w:rsidRPr="00D06229">
        <w:rPr>
          <w:sz w:val="24"/>
          <w:szCs w:val="24"/>
        </w:rPr>
        <w:t xml:space="preserve"> kopier/ml opnåede 64 % (9/14) HBV-DNA &lt;300 kopier/ml i Uge 48. Disse 14 patienter havde en lavere forekomst af genotype entecavir-resistens (kumulativ sandsynlighed på 18,8 % i 5 års opfølgningsperiode) end den samlede forsøgspopulation (se tabel). Ligeledes havde lamivudin-refraktære patienter, som opnåede HBVDNA &lt; 10</w:t>
      </w:r>
      <w:r w:rsidRPr="00D06229">
        <w:rPr>
          <w:sz w:val="24"/>
          <w:szCs w:val="24"/>
          <w:vertAlign w:val="superscript"/>
        </w:rPr>
        <w:t>4</w:t>
      </w:r>
      <w:r w:rsidRPr="00D06229">
        <w:rPr>
          <w:sz w:val="24"/>
          <w:szCs w:val="24"/>
        </w:rPr>
        <w:t xml:space="preserve"> log</w:t>
      </w:r>
      <w:r w:rsidRPr="00D06229">
        <w:rPr>
          <w:sz w:val="24"/>
          <w:szCs w:val="24"/>
          <w:vertAlign w:val="subscript"/>
        </w:rPr>
        <w:t>10</w:t>
      </w:r>
      <w:r w:rsidRPr="00D06229">
        <w:rPr>
          <w:sz w:val="24"/>
          <w:szCs w:val="24"/>
        </w:rPr>
        <w:t xml:space="preserve"> kopier/ml ved PCR i uge 24, en lavere forekomst af resistens end de patienter, der ikke opnåede denne HBV-DNA (kumulativ sandsynlighed over 5 år på henholdsvis 17,6 % [n=50] versus 60,5 % [n=135]).</w:t>
      </w:r>
    </w:p>
    <w:p w:rsidR="00A20F50" w:rsidRPr="00D06229" w:rsidRDefault="00A20F50" w:rsidP="00A20F50">
      <w:pPr>
        <w:tabs>
          <w:tab w:val="left" w:pos="851"/>
        </w:tabs>
        <w:ind w:left="851"/>
        <w:rPr>
          <w:sz w:val="24"/>
          <w:szCs w:val="24"/>
        </w:rPr>
      </w:pPr>
    </w:p>
    <w:p w:rsidR="00B83488" w:rsidRPr="00D06229" w:rsidRDefault="00B83488" w:rsidP="00402494">
      <w:pPr>
        <w:ind w:left="851"/>
        <w:rPr>
          <w:sz w:val="24"/>
          <w:szCs w:val="24"/>
        </w:rPr>
      </w:pPr>
      <w:r w:rsidRPr="00D06229">
        <w:rPr>
          <w:i/>
          <w:iCs/>
          <w:sz w:val="24"/>
          <w:szCs w:val="24"/>
        </w:rPr>
        <w:t>Integreret analyse af fase 2 og 3 kliniske studier</w:t>
      </w:r>
      <w:r w:rsidRPr="00D06229">
        <w:rPr>
          <w:sz w:val="24"/>
          <w:szCs w:val="24"/>
        </w:rPr>
        <w:t>: I en integreret analyse efter markedsføring af entecavir-resistensdata fra 17 fase 2 og 3 kliniske studier blev der fundet en ny entecavirresistensassocieret substitution rtA181C i 5 ud af 1461 forsøgspersoner under behandlingen med entecavir. Denne substitution blev kun fundet ved tilstedeværelsen af lamivudin-resistensassocierede substitutioner rtL180M plus rtM204V.</w:t>
      </w:r>
    </w:p>
    <w:p w:rsidR="00B83488" w:rsidRPr="00D06229" w:rsidRDefault="00B83488"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5.2</w:t>
      </w:r>
      <w:r w:rsidRPr="00D06229">
        <w:rPr>
          <w:b/>
          <w:sz w:val="24"/>
          <w:szCs w:val="24"/>
        </w:rPr>
        <w:tab/>
        <w:t>Farmakokinetiske egenskaber</w:t>
      </w:r>
    </w:p>
    <w:p w:rsidR="00A20F50" w:rsidRPr="00D06229" w:rsidRDefault="00A20F50" w:rsidP="00A20F50">
      <w:pPr>
        <w:ind w:left="851"/>
        <w:rPr>
          <w:i/>
          <w:sz w:val="24"/>
          <w:szCs w:val="24"/>
        </w:rPr>
      </w:pPr>
    </w:p>
    <w:p w:rsidR="00A20F50" w:rsidRPr="00D06229" w:rsidRDefault="00A20F50" w:rsidP="00A20F50">
      <w:pPr>
        <w:ind w:left="851"/>
        <w:rPr>
          <w:sz w:val="24"/>
          <w:szCs w:val="24"/>
          <w:u w:val="single"/>
        </w:rPr>
      </w:pPr>
      <w:r w:rsidRPr="00D06229">
        <w:rPr>
          <w:sz w:val="24"/>
          <w:szCs w:val="24"/>
          <w:u w:val="single"/>
        </w:rPr>
        <w:t>Absorption</w:t>
      </w:r>
    </w:p>
    <w:p w:rsidR="00A20F50" w:rsidRPr="00D06229" w:rsidRDefault="00A20F50" w:rsidP="00A20F50">
      <w:pPr>
        <w:ind w:left="851"/>
        <w:rPr>
          <w:sz w:val="24"/>
          <w:szCs w:val="24"/>
        </w:rPr>
      </w:pPr>
      <w:r w:rsidRPr="00D06229">
        <w:rPr>
          <w:sz w:val="24"/>
          <w:szCs w:val="24"/>
        </w:rPr>
        <w:t>Den absolutte biotilgængelighed er ikke bestemt. Baseret på urinudskillelsen af uomdannet</w:t>
      </w:r>
      <w:r w:rsidR="00467533">
        <w:rPr>
          <w:sz w:val="24"/>
          <w:szCs w:val="24"/>
        </w:rPr>
        <w:t xml:space="preserve"> </w:t>
      </w:r>
      <w:r w:rsidRPr="00D06229">
        <w:rPr>
          <w:sz w:val="24"/>
          <w:szCs w:val="24"/>
        </w:rPr>
        <w:t>lægemiddel, vurderes biotilgængeligheden at være mindst 70 %. Der er en dosisproportional stigning i C</w:t>
      </w:r>
      <w:r w:rsidRPr="00D06229">
        <w:rPr>
          <w:sz w:val="24"/>
          <w:szCs w:val="24"/>
          <w:vertAlign w:val="subscript"/>
        </w:rPr>
        <w:t>max</w:t>
      </w:r>
      <w:r w:rsidRPr="00D06229">
        <w:rPr>
          <w:sz w:val="24"/>
          <w:szCs w:val="24"/>
        </w:rPr>
        <w:t xml:space="preserve"> og AUC-værdier efter gentagne doser på 0,1-1 mg. Steady-state opnås 6-10 dage efter en gang daglig dosering med ≈ 2 gange akkumulering. C</w:t>
      </w:r>
      <w:r w:rsidRPr="00D06229">
        <w:rPr>
          <w:sz w:val="24"/>
          <w:szCs w:val="24"/>
          <w:vertAlign w:val="subscript"/>
        </w:rPr>
        <w:t>max</w:t>
      </w:r>
      <w:r w:rsidRPr="00D06229">
        <w:rPr>
          <w:sz w:val="24"/>
          <w:szCs w:val="24"/>
        </w:rPr>
        <w:t xml:space="preserve"> og C</w:t>
      </w:r>
      <w:r w:rsidRPr="00D06229">
        <w:rPr>
          <w:sz w:val="24"/>
          <w:szCs w:val="24"/>
          <w:vertAlign w:val="subscript"/>
        </w:rPr>
        <w:t>min</w:t>
      </w:r>
      <w:r w:rsidRPr="00D06229">
        <w:rPr>
          <w:sz w:val="24"/>
          <w:szCs w:val="24"/>
        </w:rPr>
        <w:t xml:space="preserve"> ved steady-state er henholdsvis 4,2 og 0,3 ng/ml for en dosis på 0.5 mg, og henholdsvis 8,2 og 0,5 ng/ml for 1 mg. Tabletterne og den orale opløsning var bioækvivalente hos raske frivillige, og de to former kan derfor erstatte hinanden.</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Administration af 0.5 mg entecavir med et fedtrigt standardmåltid (945 kcal, 54,6 g fedt) eller et let måltid (379 kcal, 8,2 g fedt) forårsagede en minimal forsinkelse i absorption (1 - 1,5 time efter fødeindtagelse vs. 0,75 time fastende), et fald i C</w:t>
      </w:r>
      <w:r w:rsidRPr="00D06229">
        <w:rPr>
          <w:sz w:val="24"/>
          <w:szCs w:val="24"/>
          <w:vertAlign w:val="subscript"/>
        </w:rPr>
        <w:t>max</w:t>
      </w:r>
      <w:r w:rsidRPr="00D06229">
        <w:rPr>
          <w:sz w:val="24"/>
          <w:szCs w:val="24"/>
        </w:rPr>
        <w:t xml:space="preserve"> på 44-46 % samt et fald i AUC på 18-20 %. Det lavere C</w:t>
      </w:r>
      <w:r w:rsidRPr="00D06229">
        <w:rPr>
          <w:sz w:val="24"/>
          <w:szCs w:val="24"/>
          <w:vertAlign w:val="subscript"/>
        </w:rPr>
        <w:t>max</w:t>
      </w:r>
      <w:r w:rsidRPr="00D06229">
        <w:rPr>
          <w:sz w:val="24"/>
          <w:szCs w:val="24"/>
        </w:rPr>
        <w:t xml:space="preserve"> og AUC ved samtidig fødeindtagelse betragtes ikke som værende klinisk relevant hos patienter, der ikke tidligere har været behandlet med nukleosid, men kan påvirke effekten hos lamivudin-refraktære patienter (se pkt. 4.2).</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Distribution</w:t>
      </w:r>
    </w:p>
    <w:p w:rsidR="00A20F50" w:rsidRPr="00D06229" w:rsidRDefault="00A20F50" w:rsidP="00A20F50">
      <w:pPr>
        <w:ind w:left="851"/>
        <w:rPr>
          <w:sz w:val="24"/>
          <w:szCs w:val="24"/>
        </w:rPr>
      </w:pPr>
      <w:r w:rsidRPr="00D06229">
        <w:rPr>
          <w:sz w:val="24"/>
          <w:szCs w:val="24"/>
        </w:rPr>
        <w:t>Det estimerede fordelingsvolumen for entecavir er større end kroppens totale vandindhold. Proteinbinding til humant serumprotein in vitro er ≈ 13 %.</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Biotransformation</w:t>
      </w:r>
    </w:p>
    <w:p w:rsidR="00A20F50" w:rsidRPr="00D06229" w:rsidRDefault="00A20F50" w:rsidP="00A20F50">
      <w:pPr>
        <w:ind w:left="851"/>
        <w:rPr>
          <w:sz w:val="24"/>
          <w:szCs w:val="24"/>
        </w:rPr>
      </w:pPr>
      <w:r w:rsidRPr="00D06229">
        <w:rPr>
          <w:sz w:val="24"/>
          <w:szCs w:val="24"/>
        </w:rPr>
        <w:t>Entecavir er ikke et substrat af og virker ikke inducerende eller hæmmende på</w:t>
      </w:r>
      <w:r w:rsidR="00467533">
        <w:rPr>
          <w:sz w:val="24"/>
          <w:szCs w:val="24"/>
        </w:rPr>
        <w:t xml:space="preserve"> </w:t>
      </w:r>
      <w:r w:rsidRPr="00D06229">
        <w:rPr>
          <w:sz w:val="24"/>
          <w:szCs w:val="24"/>
        </w:rPr>
        <w:t>CYP450-enzymsystemet. Efter administration af 14C-entecavir sås ingen oxidative eller acetylerede metabolitter og der sås mindre mængder af fase II-metabolitterne, glucuronid- og sulfatkonjugater.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Eliminering</w:t>
      </w:r>
    </w:p>
    <w:p w:rsidR="00A20F50" w:rsidRPr="00D06229" w:rsidRDefault="00A20F50" w:rsidP="00A20F50">
      <w:pPr>
        <w:ind w:left="851"/>
        <w:rPr>
          <w:sz w:val="24"/>
          <w:szCs w:val="24"/>
        </w:rPr>
      </w:pPr>
      <w:r w:rsidRPr="00D06229">
        <w:rPr>
          <w:sz w:val="24"/>
          <w:szCs w:val="24"/>
        </w:rPr>
        <w:t>Entecavir elimineres primært via nyrerne, hvor omkring 75 % af dosis ved steady-state</w:t>
      </w:r>
      <w:r w:rsidR="00467533">
        <w:rPr>
          <w:sz w:val="24"/>
          <w:szCs w:val="24"/>
        </w:rPr>
        <w:t xml:space="preserve"> </w:t>
      </w:r>
      <w:r w:rsidRPr="00D06229">
        <w:rPr>
          <w:sz w:val="24"/>
          <w:szCs w:val="24"/>
        </w:rPr>
        <w:t xml:space="preserve">kan genfindes som uomdannet lægemiddel i urinen. Nyre-clearance er uafhængig af dosis </w:t>
      </w:r>
      <w:r w:rsidRPr="00D06229">
        <w:rPr>
          <w:sz w:val="24"/>
          <w:szCs w:val="24"/>
        </w:rPr>
        <w:lastRenderedPageBreak/>
        <w:t>inden for området 360-471 ml/min, hvilket tyder på, at entecavir gennemgår såvel glomerulær filtration som net tubulær udskillelse. Efter maksimalt niveau er nået, falder plasmakoncentrationen af entecavir bi-eksponentielt med en halveringstid på ≈ 128 - 149 timer. Det observerede lægemiddelakkumuleringsindeks er ≈ 2 timer ved dosering en gang daglig, hvilket tyder på en effektiv akkumuleringshalveringstid på ca. 24 timer.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Leverinsufficiens</w:t>
      </w:r>
    </w:p>
    <w:p w:rsidR="00A20F50" w:rsidRPr="00D06229" w:rsidRDefault="00A20F50" w:rsidP="00A20F50">
      <w:pPr>
        <w:ind w:left="851"/>
        <w:rPr>
          <w:sz w:val="24"/>
          <w:szCs w:val="24"/>
        </w:rPr>
      </w:pPr>
      <w:r w:rsidRPr="00D06229">
        <w:rPr>
          <w:sz w:val="24"/>
          <w:szCs w:val="24"/>
        </w:rPr>
        <w:t>Farmakokinetiske parametre hos patienter med moderat eller svær leverinsufficiens</w:t>
      </w:r>
    </w:p>
    <w:p w:rsidR="00A20F50" w:rsidRPr="00D06229" w:rsidRDefault="00A20F50" w:rsidP="00A20F50">
      <w:pPr>
        <w:ind w:left="851"/>
        <w:rPr>
          <w:sz w:val="24"/>
          <w:szCs w:val="24"/>
        </w:rPr>
      </w:pPr>
      <w:r w:rsidRPr="00D06229">
        <w:rPr>
          <w:sz w:val="24"/>
          <w:szCs w:val="24"/>
        </w:rPr>
        <w:t>svarede til dem hos patienter med normal leverfunktion.</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Nyreinsufficiens</w:t>
      </w:r>
    </w:p>
    <w:p w:rsidR="00A20F50" w:rsidRPr="00D06229" w:rsidRDefault="00A20F50" w:rsidP="00A20F50">
      <w:pPr>
        <w:ind w:left="851"/>
        <w:rPr>
          <w:sz w:val="24"/>
          <w:szCs w:val="24"/>
        </w:rPr>
      </w:pPr>
      <w:r w:rsidRPr="00D06229">
        <w:rPr>
          <w:sz w:val="24"/>
          <w:szCs w:val="24"/>
        </w:rPr>
        <w:t>Entecavir-clearance falder med faldende kreatinin-clearance. En 4 timers</w:t>
      </w:r>
    </w:p>
    <w:p w:rsidR="00A20F50" w:rsidRPr="00D06229" w:rsidRDefault="00A20F50" w:rsidP="00A20F50">
      <w:pPr>
        <w:ind w:left="851"/>
        <w:rPr>
          <w:sz w:val="24"/>
          <w:szCs w:val="24"/>
        </w:rPr>
      </w:pPr>
      <w:r w:rsidRPr="00D06229">
        <w:rPr>
          <w:sz w:val="24"/>
          <w:szCs w:val="24"/>
        </w:rPr>
        <w:t>hæmodialyseperiode fjernede ≈ 13 % af dosis, og 0,3 % blev fjernet ved CAPD. Tabellen viser entecavirs farmakokinetik efter enkelt 1 mg dosis (til patienter uden kronisk hepatitis B-infektion):</w:t>
      </w:r>
    </w:p>
    <w:p w:rsidR="00A20F50" w:rsidRPr="00D06229" w:rsidRDefault="00A20F50" w:rsidP="00A20F50">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208"/>
        <w:gridCol w:w="1207"/>
        <w:gridCol w:w="1207"/>
        <w:gridCol w:w="1209"/>
        <w:gridCol w:w="1517"/>
        <w:gridCol w:w="1213"/>
      </w:tblGrid>
      <w:tr w:rsidR="00A20F50" w:rsidRPr="00467533" w:rsidTr="00467533">
        <w:tc>
          <w:tcPr>
            <w:tcW w:w="1073" w:type="pct"/>
            <w:shd w:val="clear" w:color="auto" w:fill="auto"/>
          </w:tcPr>
          <w:p w:rsidR="00A20F50" w:rsidRPr="00467533" w:rsidRDefault="00A20F50" w:rsidP="00B560F0">
            <w:pPr>
              <w:tabs>
                <w:tab w:val="left" w:pos="567"/>
              </w:tabs>
              <w:autoSpaceDE w:val="0"/>
              <w:autoSpaceDN w:val="0"/>
              <w:adjustRightInd w:val="0"/>
              <w:ind w:left="29"/>
              <w:rPr>
                <w:sz w:val="22"/>
                <w:szCs w:val="22"/>
                <w:u w:val="single"/>
              </w:rPr>
            </w:pPr>
          </w:p>
        </w:tc>
        <w:tc>
          <w:tcPr>
            <w:tcW w:w="2509" w:type="pct"/>
            <w:gridSpan w:val="4"/>
            <w:shd w:val="clear" w:color="auto" w:fill="auto"/>
          </w:tcPr>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b/>
                <w:sz w:val="22"/>
                <w:szCs w:val="22"/>
                <w:lang w:val="en-US"/>
              </w:rPr>
              <w:t>Kreatinin-clearance ved baseline (ml/min)</w:t>
            </w:r>
          </w:p>
        </w:tc>
        <w:tc>
          <w:tcPr>
            <w:tcW w:w="788" w:type="pct"/>
            <w:shd w:val="clear" w:color="auto" w:fill="auto"/>
          </w:tcPr>
          <w:p w:rsidR="00A20F50" w:rsidRPr="00467533" w:rsidRDefault="00A20F50" w:rsidP="00B560F0">
            <w:pPr>
              <w:tabs>
                <w:tab w:val="left" w:pos="567"/>
              </w:tabs>
              <w:autoSpaceDE w:val="0"/>
              <w:autoSpaceDN w:val="0"/>
              <w:adjustRightInd w:val="0"/>
              <w:ind w:left="-79"/>
              <w:jc w:val="center"/>
              <w:rPr>
                <w:sz w:val="22"/>
                <w:szCs w:val="22"/>
                <w:u w:val="single"/>
                <w:lang w:val="en-US"/>
              </w:rPr>
            </w:pPr>
          </w:p>
        </w:tc>
        <w:tc>
          <w:tcPr>
            <w:tcW w:w="630" w:type="pct"/>
            <w:shd w:val="clear" w:color="auto" w:fill="auto"/>
          </w:tcPr>
          <w:p w:rsidR="00A20F50" w:rsidRPr="00467533" w:rsidRDefault="00A20F50" w:rsidP="00B560F0">
            <w:pPr>
              <w:tabs>
                <w:tab w:val="left" w:pos="567"/>
              </w:tabs>
              <w:autoSpaceDE w:val="0"/>
              <w:autoSpaceDN w:val="0"/>
              <w:adjustRightInd w:val="0"/>
              <w:ind w:left="851"/>
              <w:jc w:val="center"/>
              <w:rPr>
                <w:sz w:val="22"/>
                <w:szCs w:val="22"/>
                <w:u w:val="single"/>
                <w:lang w:val="en-US"/>
              </w:rPr>
            </w:pPr>
          </w:p>
        </w:tc>
      </w:tr>
      <w:tr w:rsidR="00A20F50" w:rsidRPr="00467533" w:rsidTr="00467533">
        <w:tc>
          <w:tcPr>
            <w:tcW w:w="1073" w:type="pct"/>
            <w:shd w:val="clear" w:color="auto" w:fill="auto"/>
          </w:tcPr>
          <w:p w:rsidR="00A20F50" w:rsidRPr="00467533" w:rsidRDefault="00A20F50" w:rsidP="00B560F0">
            <w:pPr>
              <w:tabs>
                <w:tab w:val="left" w:pos="567"/>
              </w:tabs>
              <w:autoSpaceDE w:val="0"/>
              <w:autoSpaceDN w:val="0"/>
              <w:adjustRightInd w:val="0"/>
              <w:ind w:left="29"/>
              <w:jc w:val="center"/>
              <w:rPr>
                <w:sz w:val="22"/>
                <w:szCs w:val="22"/>
                <w:u w:val="single"/>
                <w:lang w:val="en-US"/>
              </w:rPr>
            </w:pPr>
          </w:p>
        </w:tc>
        <w:tc>
          <w:tcPr>
            <w:tcW w:w="627" w:type="pct"/>
            <w:shd w:val="clear" w:color="auto" w:fill="auto"/>
          </w:tcPr>
          <w:p w:rsidR="00A20F50" w:rsidRPr="00467533" w:rsidRDefault="00A20F50" w:rsidP="00B560F0">
            <w:pPr>
              <w:tabs>
                <w:tab w:val="left" w:pos="567"/>
              </w:tabs>
              <w:autoSpaceDE w:val="0"/>
              <w:autoSpaceDN w:val="0"/>
              <w:adjustRightInd w:val="0"/>
              <w:jc w:val="center"/>
              <w:rPr>
                <w:b/>
                <w:sz w:val="22"/>
                <w:szCs w:val="22"/>
                <w:lang w:val="en-GB"/>
              </w:rPr>
            </w:pPr>
            <w:r w:rsidRPr="00467533">
              <w:rPr>
                <w:b/>
                <w:sz w:val="22"/>
                <w:szCs w:val="22"/>
                <w:lang w:val="en-GB"/>
              </w:rPr>
              <w:t>Normal</w:t>
            </w:r>
          </w:p>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&gt; 80</w:t>
            </w:r>
          </w:p>
          <w:p w:rsidR="00A20F50" w:rsidRPr="00467533" w:rsidRDefault="00A20F50" w:rsidP="00B560F0">
            <w:pPr>
              <w:tabs>
                <w:tab w:val="left" w:pos="567"/>
              </w:tabs>
              <w:autoSpaceDE w:val="0"/>
              <w:autoSpaceDN w:val="0"/>
              <w:adjustRightInd w:val="0"/>
              <w:jc w:val="center"/>
              <w:rPr>
                <w:sz w:val="22"/>
                <w:szCs w:val="22"/>
                <w:lang w:val="en-US"/>
              </w:rPr>
            </w:pP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(n = 6)</w:t>
            </w:r>
          </w:p>
        </w:tc>
        <w:tc>
          <w:tcPr>
            <w:tcW w:w="627" w:type="pct"/>
            <w:shd w:val="clear" w:color="auto" w:fill="auto"/>
          </w:tcPr>
          <w:p w:rsidR="00A20F50" w:rsidRPr="00467533" w:rsidRDefault="00A20F50" w:rsidP="00B560F0">
            <w:pPr>
              <w:tabs>
                <w:tab w:val="left" w:pos="567"/>
              </w:tabs>
              <w:autoSpaceDE w:val="0"/>
              <w:autoSpaceDN w:val="0"/>
              <w:adjustRightInd w:val="0"/>
              <w:jc w:val="center"/>
              <w:rPr>
                <w:b/>
                <w:sz w:val="22"/>
                <w:szCs w:val="22"/>
                <w:lang w:val="en-GB"/>
              </w:rPr>
            </w:pPr>
            <w:r w:rsidRPr="00467533">
              <w:rPr>
                <w:b/>
                <w:sz w:val="22"/>
                <w:szCs w:val="22"/>
                <w:lang w:val="en-GB"/>
              </w:rPr>
              <w:t>Mild</w:t>
            </w:r>
          </w:p>
          <w:p w:rsidR="00A20F50" w:rsidRPr="00467533" w:rsidRDefault="00A20F50" w:rsidP="00B560F0">
            <w:pPr>
              <w:tabs>
                <w:tab w:val="left" w:pos="567"/>
              </w:tabs>
              <w:autoSpaceDE w:val="0"/>
              <w:autoSpaceDN w:val="0"/>
              <w:adjustRightInd w:val="0"/>
              <w:jc w:val="center"/>
              <w:rPr>
                <w:sz w:val="22"/>
                <w:szCs w:val="22"/>
                <w:lang w:val="en-GB"/>
              </w:rPr>
            </w:pPr>
            <w:r w:rsidRPr="00467533">
              <w:rPr>
                <w:sz w:val="22"/>
                <w:szCs w:val="22"/>
                <w:lang w:val="en-GB"/>
              </w:rPr>
              <w:t>&gt; 50; ≤ 80</w:t>
            </w:r>
          </w:p>
          <w:p w:rsidR="00A20F50" w:rsidRPr="00467533" w:rsidRDefault="00A20F50" w:rsidP="00B560F0">
            <w:pPr>
              <w:tabs>
                <w:tab w:val="left" w:pos="567"/>
              </w:tabs>
              <w:autoSpaceDE w:val="0"/>
              <w:autoSpaceDN w:val="0"/>
              <w:adjustRightInd w:val="0"/>
              <w:jc w:val="center"/>
              <w:rPr>
                <w:sz w:val="22"/>
                <w:szCs w:val="22"/>
                <w:lang w:val="en-US"/>
              </w:rPr>
            </w:pP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(n = 6)</w:t>
            </w:r>
          </w:p>
        </w:tc>
        <w:tc>
          <w:tcPr>
            <w:tcW w:w="627" w:type="pct"/>
            <w:shd w:val="clear" w:color="auto" w:fill="auto"/>
          </w:tcPr>
          <w:p w:rsidR="00A20F50" w:rsidRPr="00467533" w:rsidRDefault="00A20F50" w:rsidP="00B560F0">
            <w:pPr>
              <w:tabs>
                <w:tab w:val="left" w:pos="567"/>
              </w:tabs>
              <w:autoSpaceDE w:val="0"/>
              <w:autoSpaceDN w:val="0"/>
              <w:adjustRightInd w:val="0"/>
              <w:jc w:val="center"/>
              <w:rPr>
                <w:b/>
                <w:sz w:val="22"/>
                <w:szCs w:val="22"/>
                <w:lang w:val="en-GB"/>
              </w:rPr>
            </w:pPr>
            <w:r w:rsidRPr="00467533">
              <w:rPr>
                <w:b/>
                <w:sz w:val="22"/>
                <w:szCs w:val="22"/>
                <w:lang w:val="en-GB"/>
              </w:rPr>
              <w:t>Moderat</w:t>
            </w:r>
          </w:p>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30-50</w:t>
            </w:r>
          </w:p>
          <w:p w:rsidR="00A20F50" w:rsidRPr="00467533" w:rsidRDefault="00A20F50" w:rsidP="00B560F0">
            <w:pPr>
              <w:tabs>
                <w:tab w:val="left" w:pos="567"/>
              </w:tabs>
              <w:autoSpaceDE w:val="0"/>
              <w:autoSpaceDN w:val="0"/>
              <w:adjustRightInd w:val="0"/>
              <w:jc w:val="center"/>
              <w:rPr>
                <w:sz w:val="22"/>
                <w:szCs w:val="22"/>
                <w:lang w:val="en-US"/>
              </w:rPr>
            </w:pP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(n = 6)</w:t>
            </w:r>
          </w:p>
        </w:tc>
        <w:tc>
          <w:tcPr>
            <w:tcW w:w="628" w:type="pct"/>
            <w:shd w:val="clear" w:color="auto" w:fill="auto"/>
          </w:tcPr>
          <w:p w:rsidR="00A20F50" w:rsidRPr="00467533" w:rsidRDefault="00A20F50" w:rsidP="00B560F0">
            <w:pPr>
              <w:tabs>
                <w:tab w:val="left" w:pos="567"/>
              </w:tabs>
              <w:autoSpaceDE w:val="0"/>
              <w:autoSpaceDN w:val="0"/>
              <w:adjustRightInd w:val="0"/>
              <w:jc w:val="center"/>
              <w:rPr>
                <w:b/>
                <w:sz w:val="22"/>
                <w:szCs w:val="22"/>
                <w:lang w:val="en-GB"/>
              </w:rPr>
            </w:pPr>
            <w:r w:rsidRPr="00467533">
              <w:rPr>
                <w:b/>
                <w:sz w:val="22"/>
                <w:szCs w:val="22"/>
                <w:lang w:val="en-GB"/>
              </w:rPr>
              <w:t>Svær</w:t>
            </w:r>
          </w:p>
          <w:p w:rsidR="00A20F50" w:rsidRPr="00467533" w:rsidRDefault="00A20F50" w:rsidP="00B560F0">
            <w:pPr>
              <w:tabs>
                <w:tab w:val="left" w:pos="567"/>
              </w:tabs>
              <w:autoSpaceDE w:val="0"/>
              <w:autoSpaceDN w:val="0"/>
              <w:adjustRightInd w:val="0"/>
              <w:jc w:val="center"/>
              <w:rPr>
                <w:b/>
                <w:sz w:val="22"/>
                <w:szCs w:val="22"/>
                <w:lang w:val="en-GB"/>
              </w:rPr>
            </w:pPr>
            <w:r w:rsidRPr="00467533">
              <w:rPr>
                <w:sz w:val="22"/>
                <w:szCs w:val="22"/>
                <w:lang w:val="en-GB"/>
              </w:rPr>
              <w:t>20-&lt; 30</w:t>
            </w:r>
          </w:p>
          <w:p w:rsidR="00A20F50" w:rsidRPr="00467533" w:rsidRDefault="00A20F50" w:rsidP="00B560F0">
            <w:pPr>
              <w:tabs>
                <w:tab w:val="left" w:pos="567"/>
              </w:tabs>
              <w:autoSpaceDE w:val="0"/>
              <w:autoSpaceDN w:val="0"/>
              <w:adjustRightInd w:val="0"/>
              <w:jc w:val="center"/>
              <w:rPr>
                <w:sz w:val="22"/>
                <w:szCs w:val="22"/>
                <w:lang w:val="en-US"/>
              </w:rPr>
            </w:pP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(n = 6)</w:t>
            </w:r>
          </w:p>
        </w:tc>
        <w:tc>
          <w:tcPr>
            <w:tcW w:w="788" w:type="pct"/>
            <w:shd w:val="clear" w:color="auto" w:fill="auto"/>
          </w:tcPr>
          <w:p w:rsidR="00A20F50" w:rsidRPr="00467533" w:rsidRDefault="00A20F50" w:rsidP="00B560F0">
            <w:pPr>
              <w:tabs>
                <w:tab w:val="left" w:pos="567"/>
              </w:tabs>
              <w:autoSpaceDE w:val="0"/>
              <w:autoSpaceDN w:val="0"/>
              <w:adjustRightInd w:val="0"/>
              <w:jc w:val="center"/>
              <w:rPr>
                <w:b/>
                <w:sz w:val="22"/>
                <w:szCs w:val="22"/>
              </w:rPr>
            </w:pPr>
            <w:r w:rsidRPr="00467533">
              <w:rPr>
                <w:b/>
                <w:sz w:val="22"/>
                <w:szCs w:val="22"/>
              </w:rPr>
              <w:t>Svær</w:t>
            </w:r>
          </w:p>
          <w:p w:rsidR="00A20F50" w:rsidRPr="00467533" w:rsidRDefault="00A20F50" w:rsidP="00B560F0">
            <w:pPr>
              <w:tabs>
                <w:tab w:val="left" w:pos="567"/>
              </w:tabs>
              <w:autoSpaceDE w:val="0"/>
              <w:autoSpaceDN w:val="0"/>
              <w:adjustRightInd w:val="0"/>
              <w:jc w:val="center"/>
              <w:rPr>
                <w:b/>
                <w:sz w:val="22"/>
                <w:szCs w:val="22"/>
              </w:rPr>
            </w:pPr>
            <w:r w:rsidRPr="00467533">
              <w:rPr>
                <w:b/>
                <w:sz w:val="22"/>
                <w:szCs w:val="22"/>
              </w:rPr>
              <w:t>behandlet med</w:t>
            </w:r>
          </w:p>
          <w:p w:rsidR="00A20F50" w:rsidRPr="00467533" w:rsidRDefault="00A20F50" w:rsidP="00B560F0">
            <w:pPr>
              <w:tabs>
                <w:tab w:val="left" w:pos="567"/>
              </w:tabs>
              <w:autoSpaceDE w:val="0"/>
              <w:autoSpaceDN w:val="0"/>
              <w:adjustRightInd w:val="0"/>
              <w:jc w:val="center"/>
              <w:rPr>
                <w:b/>
                <w:sz w:val="22"/>
                <w:szCs w:val="22"/>
              </w:rPr>
            </w:pPr>
            <w:r w:rsidRPr="00467533">
              <w:rPr>
                <w:b/>
                <w:sz w:val="22"/>
                <w:szCs w:val="22"/>
              </w:rPr>
              <w:t>hæmodialyse</w:t>
            </w:r>
          </w:p>
          <w:p w:rsidR="00A20F50" w:rsidRPr="00467533" w:rsidRDefault="00A20F50" w:rsidP="00B560F0">
            <w:pPr>
              <w:tabs>
                <w:tab w:val="left" w:pos="567"/>
              </w:tabs>
              <w:autoSpaceDE w:val="0"/>
              <w:autoSpaceDN w:val="0"/>
              <w:adjustRightInd w:val="0"/>
              <w:jc w:val="center"/>
              <w:rPr>
                <w:sz w:val="22"/>
                <w:szCs w:val="22"/>
                <w:u w:val="single"/>
              </w:rPr>
            </w:pPr>
            <w:r w:rsidRPr="00467533">
              <w:rPr>
                <w:sz w:val="22"/>
                <w:szCs w:val="22"/>
              </w:rPr>
              <w:t>(n = 6)</w:t>
            </w:r>
          </w:p>
        </w:tc>
        <w:tc>
          <w:tcPr>
            <w:tcW w:w="630" w:type="pct"/>
            <w:shd w:val="clear" w:color="auto" w:fill="auto"/>
          </w:tcPr>
          <w:p w:rsidR="00A20F50" w:rsidRPr="00467533" w:rsidRDefault="00A20F50" w:rsidP="00B560F0">
            <w:pPr>
              <w:tabs>
                <w:tab w:val="left" w:pos="567"/>
              </w:tabs>
              <w:autoSpaceDE w:val="0"/>
              <w:autoSpaceDN w:val="0"/>
              <w:adjustRightInd w:val="0"/>
              <w:jc w:val="center"/>
              <w:rPr>
                <w:b/>
                <w:sz w:val="22"/>
                <w:szCs w:val="22"/>
              </w:rPr>
            </w:pPr>
            <w:r w:rsidRPr="00467533">
              <w:rPr>
                <w:b/>
                <w:sz w:val="22"/>
                <w:szCs w:val="22"/>
              </w:rPr>
              <w:t>Svær</w:t>
            </w:r>
          </w:p>
          <w:p w:rsidR="00A20F50" w:rsidRPr="00467533" w:rsidRDefault="00A20F50" w:rsidP="00B560F0">
            <w:pPr>
              <w:tabs>
                <w:tab w:val="left" w:pos="567"/>
              </w:tabs>
              <w:autoSpaceDE w:val="0"/>
              <w:autoSpaceDN w:val="0"/>
              <w:adjustRightInd w:val="0"/>
              <w:jc w:val="center"/>
              <w:rPr>
                <w:b/>
                <w:sz w:val="22"/>
                <w:szCs w:val="22"/>
              </w:rPr>
            </w:pPr>
            <w:r w:rsidRPr="00467533">
              <w:rPr>
                <w:b/>
                <w:sz w:val="22"/>
                <w:szCs w:val="22"/>
              </w:rPr>
              <w:t>behandlet med</w:t>
            </w:r>
          </w:p>
          <w:p w:rsidR="00A20F50" w:rsidRPr="00467533" w:rsidRDefault="00A20F50" w:rsidP="00B560F0">
            <w:pPr>
              <w:tabs>
                <w:tab w:val="left" w:pos="567"/>
              </w:tabs>
              <w:autoSpaceDE w:val="0"/>
              <w:autoSpaceDN w:val="0"/>
              <w:adjustRightInd w:val="0"/>
              <w:jc w:val="center"/>
              <w:rPr>
                <w:sz w:val="22"/>
                <w:szCs w:val="22"/>
              </w:rPr>
            </w:pPr>
            <w:r w:rsidRPr="00467533">
              <w:rPr>
                <w:b/>
                <w:sz w:val="22"/>
                <w:szCs w:val="22"/>
              </w:rPr>
              <w:t>CAPD</w:t>
            </w:r>
          </w:p>
          <w:p w:rsidR="00A20F50" w:rsidRPr="00467533" w:rsidRDefault="00A20F50" w:rsidP="00B560F0">
            <w:pPr>
              <w:tabs>
                <w:tab w:val="left" w:pos="567"/>
              </w:tabs>
              <w:autoSpaceDE w:val="0"/>
              <w:autoSpaceDN w:val="0"/>
              <w:adjustRightInd w:val="0"/>
              <w:jc w:val="center"/>
              <w:rPr>
                <w:sz w:val="22"/>
                <w:szCs w:val="22"/>
                <w:u w:val="single"/>
              </w:rPr>
            </w:pPr>
            <w:r w:rsidRPr="00467533">
              <w:rPr>
                <w:sz w:val="22"/>
                <w:szCs w:val="22"/>
              </w:rPr>
              <w:t>(n = 4)</w:t>
            </w:r>
          </w:p>
        </w:tc>
      </w:tr>
      <w:tr w:rsidR="00A20F50" w:rsidRPr="00467533" w:rsidTr="00467533">
        <w:tc>
          <w:tcPr>
            <w:tcW w:w="1073" w:type="pct"/>
            <w:shd w:val="clear" w:color="auto" w:fill="auto"/>
          </w:tcPr>
          <w:p w:rsidR="00A20F50" w:rsidRPr="00467533" w:rsidRDefault="00A20F50" w:rsidP="00B560F0">
            <w:pPr>
              <w:tabs>
                <w:tab w:val="left" w:pos="567"/>
              </w:tabs>
              <w:autoSpaceDE w:val="0"/>
              <w:autoSpaceDN w:val="0"/>
              <w:adjustRightInd w:val="0"/>
              <w:ind w:left="29"/>
              <w:rPr>
                <w:sz w:val="22"/>
                <w:szCs w:val="22"/>
                <w:u w:val="single"/>
              </w:rPr>
            </w:pP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u w:val="single"/>
              </w:rPr>
            </w:pP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u w:val="single"/>
              </w:rPr>
            </w:pP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u w:val="single"/>
              </w:rPr>
            </w:pPr>
          </w:p>
        </w:tc>
        <w:tc>
          <w:tcPr>
            <w:tcW w:w="628" w:type="pct"/>
            <w:shd w:val="clear" w:color="auto" w:fill="auto"/>
          </w:tcPr>
          <w:p w:rsidR="00A20F50" w:rsidRPr="00467533" w:rsidRDefault="00A20F50" w:rsidP="00B560F0">
            <w:pPr>
              <w:tabs>
                <w:tab w:val="left" w:pos="567"/>
              </w:tabs>
              <w:autoSpaceDE w:val="0"/>
              <w:autoSpaceDN w:val="0"/>
              <w:adjustRightInd w:val="0"/>
              <w:jc w:val="center"/>
              <w:rPr>
                <w:sz w:val="22"/>
                <w:szCs w:val="22"/>
                <w:u w:val="single"/>
              </w:rPr>
            </w:pPr>
          </w:p>
        </w:tc>
        <w:tc>
          <w:tcPr>
            <w:tcW w:w="788" w:type="pct"/>
            <w:shd w:val="clear" w:color="auto" w:fill="auto"/>
          </w:tcPr>
          <w:p w:rsidR="00A20F50" w:rsidRPr="00467533" w:rsidRDefault="00A20F50" w:rsidP="00B560F0">
            <w:pPr>
              <w:tabs>
                <w:tab w:val="left" w:pos="567"/>
              </w:tabs>
              <w:autoSpaceDE w:val="0"/>
              <w:autoSpaceDN w:val="0"/>
              <w:adjustRightInd w:val="0"/>
              <w:ind w:left="851"/>
              <w:jc w:val="center"/>
              <w:rPr>
                <w:sz w:val="22"/>
                <w:szCs w:val="22"/>
                <w:u w:val="single"/>
              </w:rPr>
            </w:pPr>
          </w:p>
        </w:tc>
        <w:tc>
          <w:tcPr>
            <w:tcW w:w="630" w:type="pct"/>
            <w:shd w:val="clear" w:color="auto" w:fill="auto"/>
          </w:tcPr>
          <w:p w:rsidR="00A20F50" w:rsidRPr="00467533" w:rsidRDefault="00A20F50" w:rsidP="00B560F0">
            <w:pPr>
              <w:tabs>
                <w:tab w:val="left" w:pos="567"/>
              </w:tabs>
              <w:autoSpaceDE w:val="0"/>
              <w:autoSpaceDN w:val="0"/>
              <w:adjustRightInd w:val="0"/>
              <w:ind w:left="851"/>
              <w:jc w:val="center"/>
              <w:rPr>
                <w:sz w:val="22"/>
                <w:szCs w:val="22"/>
                <w:u w:val="single"/>
              </w:rPr>
            </w:pPr>
          </w:p>
        </w:tc>
      </w:tr>
      <w:tr w:rsidR="00A20F50" w:rsidRPr="00467533" w:rsidTr="00467533">
        <w:tc>
          <w:tcPr>
            <w:tcW w:w="1073" w:type="pct"/>
            <w:shd w:val="clear" w:color="auto" w:fill="auto"/>
          </w:tcPr>
          <w:p w:rsidR="00A20F50" w:rsidRPr="00467533" w:rsidRDefault="00A20F50" w:rsidP="00B560F0">
            <w:pPr>
              <w:tabs>
                <w:tab w:val="left" w:pos="567"/>
              </w:tabs>
              <w:autoSpaceDE w:val="0"/>
              <w:autoSpaceDN w:val="0"/>
              <w:adjustRightInd w:val="0"/>
              <w:ind w:left="29"/>
              <w:rPr>
                <w:sz w:val="22"/>
                <w:szCs w:val="22"/>
                <w:lang w:val="en-GB"/>
              </w:rPr>
            </w:pPr>
            <w:r w:rsidRPr="00467533">
              <w:rPr>
                <w:sz w:val="22"/>
                <w:szCs w:val="22"/>
                <w:lang w:val="en-GB"/>
              </w:rPr>
              <w:t>C</w:t>
            </w:r>
            <w:r w:rsidRPr="00467533">
              <w:rPr>
                <w:sz w:val="22"/>
                <w:szCs w:val="22"/>
                <w:vertAlign w:val="subscript"/>
                <w:lang w:val="en-GB"/>
              </w:rPr>
              <w:t>max</w:t>
            </w:r>
            <w:r w:rsidRPr="00467533">
              <w:rPr>
                <w:sz w:val="22"/>
                <w:szCs w:val="22"/>
                <w:lang w:val="en-GB"/>
              </w:rPr>
              <w:t xml:space="preserve"> (ng/ml)</w:t>
            </w:r>
          </w:p>
          <w:p w:rsidR="00A20F50" w:rsidRPr="00467533" w:rsidRDefault="00A20F50" w:rsidP="00B560F0">
            <w:pPr>
              <w:tabs>
                <w:tab w:val="left" w:pos="567"/>
              </w:tabs>
              <w:autoSpaceDE w:val="0"/>
              <w:autoSpaceDN w:val="0"/>
              <w:adjustRightInd w:val="0"/>
              <w:ind w:left="29"/>
              <w:rPr>
                <w:sz w:val="22"/>
                <w:szCs w:val="22"/>
                <w:u w:val="single"/>
                <w:lang w:val="en-US"/>
              </w:rPr>
            </w:pPr>
            <w:r w:rsidRPr="00467533">
              <w:rPr>
                <w:sz w:val="22"/>
                <w:szCs w:val="22"/>
                <w:lang w:val="en-GB"/>
              </w:rPr>
              <w:t>(CV %)</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GB"/>
              </w:rPr>
            </w:pPr>
            <w:r w:rsidRPr="00467533">
              <w:rPr>
                <w:sz w:val="22"/>
                <w:szCs w:val="22"/>
                <w:lang w:val="en-GB"/>
              </w:rPr>
              <w:t>8,1</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(30,7)</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GB"/>
              </w:rPr>
            </w:pPr>
            <w:r w:rsidRPr="00467533">
              <w:rPr>
                <w:sz w:val="22"/>
                <w:szCs w:val="22"/>
                <w:lang w:val="en-GB"/>
              </w:rPr>
              <w:t>10,4</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(37,2)</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GB"/>
              </w:rPr>
            </w:pPr>
            <w:r w:rsidRPr="00467533">
              <w:rPr>
                <w:sz w:val="22"/>
                <w:szCs w:val="22"/>
                <w:lang w:val="en-GB"/>
              </w:rPr>
              <w:t>10,5</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(22,7)</w:t>
            </w:r>
          </w:p>
        </w:tc>
        <w:tc>
          <w:tcPr>
            <w:tcW w:w="628" w:type="pct"/>
            <w:shd w:val="clear" w:color="auto" w:fill="auto"/>
          </w:tcPr>
          <w:p w:rsidR="00A20F50" w:rsidRPr="00467533" w:rsidRDefault="00A20F50" w:rsidP="00B560F0">
            <w:pPr>
              <w:tabs>
                <w:tab w:val="left" w:pos="567"/>
              </w:tabs>
              <w:autoSpaceDE w:val="0"/>
              <w:autoSpaceDN w:val="0"/>
              <w:adjustRightInd w:val="0"/>
              <w:jc w:val="center"/>
              <w:rPr>
                <w:sz w:val="22"/>
                <w:szCs w:val="22"/>
                <w:lang w:val="en-GB"/>
              </w:rPr>
            </w:pPr>
            <w:r w:rsidRPr="00467533">
              <w:rPr>
                <w:sz w:val="22"/>
                <w:szCs w:val="22"/>
                <w:lang w:val="en-GB"/>
              </w:rPr>
              <w:t>15,3</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(33,8)</w:t>
            </w:r>
          </w:p>
        </w:tc>
        <w:tc>
          <w:tcPr>
            <w:tcW w:w="788" w:type="pct"/>
            <w:shd w:val="clear" w:color="auto" w:fill="auto"/>
          </w:tcPr>
          <w:p w:rsidR="00A20F50" w:rsidRPr="00467533" w:rsidRDefault="00A20F50" w:rsidP="00B560F0">
            <w:pPr>
              <w:tabs>
                <w:tab w:val="left" w:pos="567"/>
              </w:tabs>
              <w:autoSpaceDE w:val="0"/>
              <w:autoSpaceDN w:val="0"/>
              <w:adjustRightInd w:val="0"/>
              <w:ind w:left="63"/>
              <w:jc w:val="center"/>
              <w:rPr>
                <w:sz w:val="22"/>
                <w:szCs w:val="22"/>
                <w:lang w:val="en-GB"/>
              </w:rPr>
            </w:pPr>
            <w:r w:rsidRPr="00467533">
              <w:rPr>
                <w:sz w:val="22"/>
                <w:szCs w:val="22"/>
                <w:lang w:val="en-GB"/>
              </w:rPr>
              <w:t>15,4</w:t>
            </w:r>
          </w:p>
          <w:p w:rsidR="00A20F50" w:rsidRPr="00467533" w:rsidRDefault="00A20F50" w:rsidP="00B560F0">
            <w:pPr>
              <w:tabs>
                <w:tab w:val="left" w:pos="567"/>
              </w:tabs>
              <w:autoSpaceDE w:val="0"/>
              <w:autoSpaceDN w:val="0"/>
              <w:adjustRightInd w:val="0"/>
              <w:ind w:left="63"/>
              <w:jc w:val="center"/>
              <w:rPr>
                <w:sz w:val="22"/>
                <w:szCs w:val="22"/>
                <w:u w:val="single"/>
                <w:lang w:val="en-US"/>
              </w:rPr>
            </w:pPr>
            <w:r w:rsidRPr="00467533">
              <w:rPr>
                <w:sz w:val="22"/>
                <w:szCs w:val="22"/>
                <w:lang w:val="en-GB"/>
              </w:rPr>
              <w:t>(56,4)</w:t>
            </w:r>
          </w:p>
        </w:tc>
        <w:tc>
          <w:tcPr>
            <w:tcW w:w="630" w:type="pct"/>
            <w:shd w:val="clear" w:color="auto" w:fill="auto"/>
          </w:tcPr>
          <w:p w:rsidR="00A20F50" w:rsidRPr="00467533" w:rsidRDefault="00A20F50" w:rsidP="00B560F0">
            <w:pPr>
              <w:tabs>
                <w:tab w:val="left" w:pos="567"/>
              </w:tabs>
              <w:autoSpaceDE w:val="0"/>
              <w:autoSpaceDN w:val="0"/>
              <w:adjustRightInd w:val="0"/>
              <w:ind w:left="63"/>
              <w:jc w:val="center"/>
              <w:rPr>
                <w:sz w:val="22"/>
                <w:szCs w:val="22"/>
                <w:lang w:val="en-GB"/>
              </w:rPr>
            </w:pPr>
            <w:r w:rsidRPr="00467533">
              <w:rPr>
                <w:sz w:val="22"/>
                <w:szCs w:val="22"/>
                <w:lang w:val="en-GB"/>
              </w:rPr>
              <w:t>16,6</w:t>
            </w:r>
          </w:p>
          <w:p w:rsidR="00A20F50" w:rsidRPr="00467533" w:rsidRDefault="00A20F50" w:rsidP="00B560F0">
            <w:pPr>
              <w:tabs>
                <w:tab w:val="left" w:pos="567"/>
              </w:tabs>
              <w:autoSpaceDE w:val="0"/>
              <w:autoSpaceDN w:val="0"/>
              <w:adjustRightInd w:val="0"/>
              <w:ind w:left="63"/>
              <w:jc w:val="center"/>
              <w:rPr>
                <w:sz w:val="22"/>
                <w:szCs w:val="22"/>
                <w:u w:val="single"/>
                <w:lang w:val="en-US"/>
              </w:rPr>
            </w:pPr>
            <w:r w:rsidRPr="00467533">
              <w:rPr>
                <w:sz w:val="22"/>
                <w:szCs w:val="22"/>
                <w:lang w:val="en-GB"/>
              </w:rPr>
              <w:t>(29,7)</w:t>
            </w:r>
          </w:p>
        </w:tc>
      </w:tr>
      <w:tr w:rsidR="00A20F50" w:rsidRPr="00467533" w:rsidTr="00467533">
        <w:tc>
          <w:tcPr>
            <w:tcW w:w="1073" w:type="pct"/>
            <w:shd w:val="clear" w:color="auto" w:fill="auto"/>
          </w:tcPr>
          <w:p w:rsidR="00A20F50" w:rsidRPr="00467533" w:rsidRDefault="00A20F50" w:rsidP="00B560F0">
            <w:pPr>
              <w:tabs>
                <w:tab w:val="left" w:pos="567"/>
              </w:tabs>
              <w:autoSpaceDE w:val="0"/>
              <w:autoSpaceDN w:val="0"/>
              <w:adjustRightInd w:val="0"/>
              <w:ind w:left="29"/>
              <w:rPr>
                <w:sz w:val="22"/>
                <w:szCs w:val="22"/>
                <w:lang w:val="en-US"/>
              </w:rPr>
            </w:pPr>
            <w:r w:rsidRPr="00467533">
              <w:rPr>
                <w:sz w:val="22"/>
                <w:szCs w:val="22"/>
                <w:lang w:val="en-US"/>
              </w:rPr>
              <w:t>AUC(0-T)</w:t>
            </w:r>
          </w:p>
          <w:p w:rsidR="00A20F50" w:rsidRPr="00467533" w:rsidRDefault="00A20F50" w:rsidP="00B560F0">
            <w:pPr>
              <w:tabs>
                <w:tab w:val="left" w:pos="567"/>
              </w:tabs>
              <w:autoSpaceDE w:val="0"/>
              <w:autoSpaceDN w:val="0"/>
              <w:adjustRightInd w:val="0"/>
              <w:ind w:left="29"/>
              <w:rPr>
                <w:sz w:val="22"/>
                <w:szCs w:val="22"/>
                <w:lang w:val="en-US"/>
              </w:rPr>
            </w:pPr>
            <w:r w:rsidRPr="00467533">
              <w:rPr>
                <w:sz w:val="22"/>
                <w:szCs w:val="22"/>
                <w:lang w:val="en-US"/>
              </w:rPr>
              <w:t>(ng·h /ml)</w:t>
            </w:r>
          </w:p>
          <w:p w:rsidR="00A20F50" w:rsidRPr="00467533" w:rsidRDefault="00A20F50" w:rsidP="00B560F0">
            <w:pPr>
              <w:tabs>
                <w:tab w:val="left" w:pos="567"/>
              </w:tabs>
              <w:autoSpaceDE w:val="0"/>
              <w:autoSpaceDN w:val="0"/>
              <w:adjustRightInd w:val="0"/>
              <w:ind w:left="29"/>
              <w:rPr>
                <w:sz w:val="22"/>
                <w:szCs w:val="22"/>
                <w:u w:val="single"/>
                <w:lang w:val="en-US"/>
              </w:rPr>
            </w:pPr>
            <w:r w:rsidRPr="00467533">
              <w:rPr>
                <w:sz w:val="22"/>
                <w:szCs w:val="22"/>
                <w:lang w:val="en-US"/>
              </w:rPr>
              <w:t>(CV)</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27,9</w:t>
            </w:r>
          </w:p>
          <w:p w:rsidR="00A20F50" w:rsidRPr="00467533" w:rsidRDefault="00A20F50" w:rsidP="00B560F0">
            <w:pPr>
              <w:tabs>
                <w:tab w:val="left" w:pos="567"/>
              </w:tabs>
              <w:autoSpaceDE w:val="0"/>
              <w:autoSpaceDN w:val="0"/>
              <w:adjustRightInd w:val="0"/>
              <w:jc w:val="center"/>
              <w:rPr>
                <w:sz w:val="22"/>
                <w:szCs w:val="22"/>
                <w:lang w:val="en-US"/>
              </w:rPr>
            </w:pP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(25,6)</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51,5</w:t>
            </w:r>
          </w:p>
          <w:p w:rsidR="00A20F50" w:rsidRPr="00467533" w:rsidRDefault="00A20F50" w:rsidP="00B560F0">
            <w:pPr>
              <w:tabs>
                <w:tab w:val="left" w:pos="567"/>
              </w:tabs>
              <w:autoSpaceDE w:val="0"/>
              <w:autoSpaceDN w:val="0"/>
              <w:adjustRightInd w:val="0"/>
              <w:jc w:val="center"/>
              <w:rPr>
                <w:sz w:val="22"/>
                <w:szCs w:val="22"/>
                <w:lang w:val="en-US"/>
              </w:rPr>
            </w:pP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(22,8)</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69,5</w:t>
            </w:r>
          </w:p>
          <w:p w:rsidR="00A20F50" w:rsidRPr="00467533" w:rsidRDefault="00A20F50" w:rsidP="00B560F0">
            <w:pPr>
              <w:tabs>
                <w:tab w:val="left" w:pos="567"/>
              </w:tabs>
              <w:autoSpaceDE w:val="0"/>
              <w:autoSpaceDN w:val="0"/>
              <w:adjustRightInd w:val="0"/>
              <w:jc w:val="center"/>
              <w:rPr>
                <w:sz w:val="22"/>
                <w:szCs w:val="22"/>
                <w:lang w:val="en-US"/>
              </w:rPr>
            </w:pP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(22,7)</w:t>
            </w:r>
          </w:p>
        </w:tc>
        <w:tc>
          <w:tcPr>
            <w:tcW w:w="628"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145,7</w:t>
            </w:r>
          </w:p>
          <w:p w:rsidR="00A20F50" w:rsidRPr="00467533" w:rsidRDefault="00A20F50" w:rsidP="00B560F0">
            <w:pPr>
              <w:tabs>
                <w:tab w:val="left" w:pos="567"/>
              </w:tabs>
              <w:autoSpaceDE w:val="0"/>
              <w:autoSpaceDN w:val="0"/>
              <w:adjustRightInd w:val="0"/>
              <w:jc w:val="center"/>
              <w:rPr>
                <w:sz w:val="22"/>
                <w:szCs w:val="22"/>
                <w:lang w:val="en-US"/>
              </w:rPr>
            </w:pP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(31,5)</w:t>
            </w:r>
          </w:p>
        </w:tc>
        <w:tc>
          <w:tcPr>
            <w:tcW w:w="788" w:type="pct"/>
            <w:shd w:val="clear" w:color="auto" w:fill="auto"/>
          </w:tcPr>
          <w:p w:rsidR="00A20F50" w:rsidRPr="00467533" w:rsidRDefault="00A20F50" w:rsidP="00B560F0">
            <w:pPr>
              <w:tabs>
                <w:tab w:val="left" w:pos="567"/>
              </w:tabs>
              <w:autoSpaceDE w:val="0"/>
              <w:autoSpaceDN w:val="0"/>
              <w:adjustRightInd w:val="0"/>
              <w:ind w:left="63"/>
              <w:jc w:val="center"/>
              <w:rPr>
                <w:sz w:val="22"/>
                <w:szCs w:val="22"/>
                <w:lang w:val="en-US"/>
              </w:rPr>
            </w:pPr>
            <w:r w:rsidRPr="00467533">
              <w:rPr>
                <w:sz w:val="22"/>
                <w:szCs w:val="22"/>
                <w:lang w:val="en-GB"/>
              </w:rPr>
              <w:t>233,9</w:t>
            </w:r>
          </w:p>
          <w:p w:rsidR="00A20F50" w:rsidRPr="00467533" w:rsidRDefault="00A20F50" w:rsidP="00B560F0">
            <w:pPr>
              <w:tabs>
                <w:tab w:val="left" w:pos="567"/>
              </w:tabs>
              <w:autoSpaceDE w:val="0"/>
              <w:autoSpaceDN w:val="0"/>
              <w:adjustRightInd w:val="0"/>
              <w:ind w:left="63"/>
              <w:jc w:val="center"/>
              <w:rPr>
                <w:sz w:val="22"/>
                <w:szCs w:val="22"/>
                <w:lang w:val="en-US"/>
              </w:rPr>
            </w:pPr>
          </w:p>
          <w:p w:rsidR="00A20F50" w:rsidRPr="00467533" w:rsidRDefault="00A20F50" w:rsidP="00B560F0">
            <w:pPr>
              <w:tabs>
                <w:tab w:val="left" w:pos="567"/>
              </w:tabs>
              <w:autoSpaceDE w:val="0"/>
              <w:autoSpaceDN w:val="0"/>
              <w:adjustRightInd w:val="0"/>
              <w:ind w:left="63"/>
              <w:jc w:val="center"/>
              <w:rPr>
                <w:sz w:val="22"/>
                <w:szCs w:val="22"/>
                <w:u w:val="single"/>
                <w:lang w:val="en-US"/>
              </w:rPr>
            </w:pPr>
            <w:r w:rsidRPr="00467533">
              <w:rPr>
                <w:sz w:val="22"/>
                <w:szCs w:val="22"/>
                <w:lang w:val="en-GB"/>
              </w:rPr>
              <w:t>(28,4)</w:t>
            </w:r>
          </w:p>
        </w:tc>
        <w:tc>
          <w:tcPr>
            <w:tcW w:w="630" w:type="pct"/>
            <w:shd w:val="clear" w:color="auto" w:fill="auto"/>
          </w:tcPr>
          <w:p w:rsidR="00A20F50" w:rsidRPr="00467533" w:rsidRDefault="00A20F50" w:rsidP="00B560F0">
            <w:pPr>
              <w:tabs>
                <w:tab w:val="left" w:pos="567"/>
              </w:tabs>
              <w:autoSpaceDE w:val="0"/>
              <w:autoSpaceDN w:val="0"/>
              <w:adjustRightInd w:val="0"/>
              <w:ind w:left="63"/>
              <w:jc w:val="center"/>
              <w:rPr>
                <w:sz w:val="22"/>
                <w:szCs w:val="22"/>
                <w:lang w:val="en-US"/>
              </w:rPr>
            </w:pPr>
            <w:r w:rsidRPr="00467533">
              <w:rPr>
                <w:sz w:val="22"/>
                <w:szCs w:val="22"/>
                <w:lang w:val="en-GB"/>
              </w:rPr>
              <w:t>221,8</w:t>
            </w:r>
          </w:p>
          <w:p w:rsidR="00A20F50" w:rsidRPr="00467533" w:rsidRDefault="00A20F50" w:rsidP="00B560F0">
            <w:pPr>
              <w:tabs>
                <w:tab w:val="left" w:pos="567"/>
              </w:tabs>
              <w:autoSpaceDE w:val="0"/>
              <w:autoSpaceDN w:val="0"/>
              <w:adjustRightInd w:val="0"/>
              <w:ind w:left="63"/>
              <w:jc w:val="center"/>
              <w:rPr>
                <w:sz w:val="22"/>
                <w:szCs w:val="22"/>
                <w:lang w:val="en-US"/>
              </w:rPr>
            </w:pPr>
          </w:p>
          <w:p w:rsidR="00A20F50" w:rsidRPr="00467533" w:rsidRDefault="00A20F50" w:rsidP="00B560F0">
            <w:pPr>
              <w:tabs>
                <w:tab w:val="left" w:pos="567"/>
              </w:tabs>
              <w:autoSpaceDE w:val="0"/>
              <w:autoSpaceDN w:val="0"/>
              <w:adjustRightInd w:val="0"/>
              <w:ind w:left="63"/>
              <w:jc w:val="center"/>
              <w:rPr>
                <w:sz w:val="22"/>
                <w:szCs w:val="22"/>
                <w:u w:val="single"/>
                <w:lang w:val="en-US"/>
              </w:rPr>
            </w:pPr>
            <w:r w:rsidRPr="00467533">
              <w:rPr>
                <w:sz w:val="22"/>
                <w:szCs w:val="22"/>
                <w:lang w:val="en-GB"/>
              </w:rPr>
              <w:t>(11,6)</w:t>
            </w:r>
          </w:p>
        </w:tc>
      </w:tr>
      <w:tr w:rsidR="00A20F50" w:rsidRPr="00467533" w:rsidTr="00467533">
        <w:tc>
          <w:tcPr>
            <w:tcW w:w="1073" w:type="pct"/>
            <w:shd w:val="clear" w:color="auto" w:fill="auto"/>
          </w:tcPr>
          <w:p w:rsidR="00A20F50" w:rsidRPr="00467533" w:rsidRDefault="00A20F50" w:rsidP="00B560F0">
            <w:pPr>
              <w:tabs>
                <w:tab w:val="left" w:pos="567"/>
              </w:tabs>
              <w:autoSpaceDE w:val="0"/>
              <w:autoSpaceDN w:val="0"/>
              <w:adjustRightInd w:val="0"/>
              <w:ind w:left="29"/>
              <w:rPr>
                <w:sz w:val="22"/>
                <w:szCs w:val="22"/>
                <w:lang w:val="en-GB"/>
              </w:rPr>
            </w:pPr>
            <w:r w:rsidRPr="00467533">
              <w:rPr>
                <w:sz w:val="22"/>
                <w:szCs w:val="22"/>
                <w:lang w:val="en-GB"/>
              </w:rPr>
              <w:t>CLR (ml/min)</w:t>
            </w:r>
          </w:p>
          <w:p w:rsidR="00A20F50" w:rsidRPr="00467533" w:rsidRDefault="00A20F50" w:rsidP="00B560F0">
            <w:pPr>
              <w:tabs>
                <w:tab w:val="left" w:pos="567"/>
              </w:tabs>
              <w:autoSpaceDE w:val="0"/>
              <w:autoSpaceDN w:val="0"/>
              <w:adjustRightInd w:val="0"/>
              <w:ind w:left="29"/>
              <w:rPr>
                <w:sz w:val="22"/>
                <w:szCs w:val="22"/>
                <w:u w:val="single"/>
                <w:lang w:val="en-US"/>
              </w:rPr>
            </w:pPr>
            <w:r w:rsidRPr="00467533">
              <w:rPr>
                <w:sz w:val="22"/>
                <w:szCs w:val="22"/>
                <w:lang w:val="en-GB"/>
              </w:rPr>
              <w:t>(SD)</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383,2</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(101,8)</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197,9</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(78,1)</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135,6</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(31,6)</w:t>
            </w:r>
          </w:p>
        </w:tc>
        <w:tc>
          <w:tcPr>
            <w:tcW w:w="628"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40,3</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(10,1)</w:t>
            </w:r>
          </w:p>
        </w:tc>
        <w:tc>
          <w:tcPr>
            <w:tcW w:w="788" w:type="pct"/>
            <w:shd w:val="clear" w:color="auto" w:fill="auto"/>
          </w:tcPr>
          <w:p w:rsidR="00A20F50" w:rsidRPr="00467533" w:rsidRDefault="00A20F50" w:rsidP="00B560F0">
            <w:pPr>
              <w:tabs>
                <w:tab w:val="left" w:pos="567"/>
              </w:tabs>
              <w:autoSpaceDE w:val="0"/>
              <w:autoSpaceDN w:val="0"/>
              <w:adjustRightInd w:val="0"/>
              <w:ind w:left="63"/>
              <w:jc w:val="center"/>
              <w:rPr>
                <w:sz w:val="22"/>
                <w:szCs w:val="22"/>
                <w:lang w:val="en-GB"/>
              </w:rPr>
            </w:pPr>
            <w:r w:rsidRPr="00467533">
              <w:rPr>
                <w:sz w:val="22"/>
                <w:szCs w:val="22"/>
                <w:lang w:val="en-GB"/>
              </w:rPr>
              <w:t>NA</w:t>
            </w:r>
          </w:p>
          <w:p w:rsidR="00A20F50" w:rsidRPr="00467533" w:rsidRDefault="00A20F50" w:rsidP="00B560F0">
            <w:pPr>
              <w:tabs>
                <w:tab w:val="left" w:pos="567"/>
              </w:tabs>
              <w:autoSpaceDE w:val="0"/>
              <w:autoSpaceDN w:val="0"/>
              <w:adjustRightInd w:val="0"/>
              <w:ind w:left="63"/>
              <w:jc w:val="center"/>
              <w:rPr>
                <w:sz w:val="22"/>
                <w:szCs w:val="22"/>
                <w:u w:val="single"/>
                <w:lang w:val="en-US"/>
              </w:rPr>
            </w:pPr>
          </w:p>
        </w:tc>
        <w:tc>
          <w:tcPr>
            <w:tcW w:w="630" w:type="pct"/>
            <w:shd w:val="clear" w:color="auto" w:fill="auto"/>
          </w:tcPr>
          <w:p w:rsidR="00A20F50" w:rsidRPr="00467533" w:rsidRDefault="00A20F50" w:rsidP="00B560F0">
            <w:pPr>
              <w:tabs>
                <w:tab w:val="left" w:pos="567"/>
              </w:tabs>
              <w:autoSpaceDE w:val="0"/>
              <w:autoSpaceDN w:val="0"/>
              <w:adjustRightInd w:val="0"/>
              <w:ind w:left="63"/>
              <w:jc w:val="center"/>
              <w:rPr>
                <w:sz w:val="22"/>
                <w:szCs w:val="22"/>
                <w:u w:val="single"/>
                <w:lang w:val="en-US"/>
              </w:rPr>
            </w:pPr>
            <w:r w:rsidRPr="00467533">
              <w:rPr>
                <w:sz w:val="22"/>
                <w:szCs w:val="22"/>
                <w:lang w:val="en-GB"/>
              </w:rPr>
              <w:t>NA</w:t>
            </w:r>
          </w:p>
        </w:tc>
      </w:tr>
      <w:tr w:rsidR="00A20F50" w:rsidRPr="00467533" w:rsidTr="00467533">
        <w:tc>
          <w:tcPr>
            <w:tcW w:w="1073" w:type="pct"/>
            <w:shd w:val="clear" w:color="auto" w:fill="auto"/>
          </w:tcPr>
          <w:p w:rsidR="00A20F50" w:rsidRPr="00467533" w:rsidRDefault="00A20F50" w:rsidP="00B560F0">
            <w:pPr>
              <w:tabs>
                <w:tab w:val="left" w:pos="567"/>
              </w:tabs>
              <w:autoSpaceDE w:val="0"/>
              <w:autoSpaceDN w:val="0"/>
              <w:adjustRightInd w:val="0"/>
              <w:ind w:left="29"/>
              <w:rPr>
                <w:sz w:val="22"/>
                <w:szCs w:val="22"/>
              </w:rPr>
            </w:pPr>
            <w:r w:rsidRPr="00467533">
              <w:rPr>
                <w:sz w:val="22"/>
                <w:szCs w:val="22"/>
              </w:rPr>
              <w:t>CLT/F (ml/min)</w:t>
            </w:r>
          </w:p>
          <w:p w:rsidR="00A20F50" w:rsidRPr="00467533" w:rsidRDefault="00A20F50" w:rsidP="00B560F0">
            <w:pPr>
              <w:tabs>
                <w:tab w:val="left" w:pos="567"/>
              </w:tabs>
              <w:autoSpaceDE w:val="0"/>
              <w:autoSpaceDN w:val="0"/>
              <w:adjustRightInd w:val="0"/>
              <w:ind w:left="29"/>
              <w:rPr>
                <w:sz w:val="22"/>
                <w:szCs w:val="22"/>
                <w:u w:val="single"/>
              </w:rPr>
            </w:pPr>
            <w:r w:rsidRPr="00467533">
              <w:rPr>
                <w:sz w:val="22"/>
                <w:szCs w:val="22"/>
              </w:rPr>
              <w:t>(SD)</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588,1</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(153,7)</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309,2</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(62,6)</w:t>
            </w:r>
          </w:p>
        </w:tc>
        <w:tc>
          <w:tcPr>
            <w:tcW w:w="627"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226,3</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(60,1)</w:t>
            </w:r>
          </w:p>
        </w:tc>
        <w:tc>
          <w:tcPr>
            <w:tcW w:w="628" w:type="pct"/>
            <w:shd w:val="clear" w:color="auto" w:fill="auto"/>
          </w:tcPr>
          <w:p w:rsidR="00A20F50" w:rsidRPr="00467533" w:rsidRDefault="00A20F50" w:rsidP="00B560F0">
            <w:pPr>
              <w:tabs>
                <w:tab w:val="left" w:pos="567"/>
              </w:tabs>
              <w:autoSpaceDE w:val="0"/>
              <w:autoSpaceDN w:val="0"/>
              <w:adjustRightInd w:val="0"/>
              <w:jc w:val="center"/>
              <w:rPr>
                <w:sz w:val="22"/>
                <w:szCs w:val="22"/>
                <w:lang w:val="en-US"/>
              </w:rPr>
            </w:pPr>
            <w:r w:rsidRPr="00467533">
              <w:rPr>
                <w:sz w:val="22"/>
                <w:szCs w:val="22"/>
                <w:lang w:val="en-GB"/>
              </w:rPr>
              <w:t>100,6</w:t>
            </w:r>
          </w:p>
          <w:p w:rsidR="00A20F50" w:rsidRPr="00467533" w:rsidRDefault="00A20F50" w:rsidP="00B560F0">
            <w:pPr>
              <w:tabs>
                <w:tab w:val="left" w:pos="567"/>
              </w:tabs>
              <w:autoSpaceDE w:val="0"/>
              <w:autoSpaceDN w:val="0"/>
              <w:adjustRightInd w:val="0"/>
              <w:jc w:val="center"/>
              <w:rPr>
                <w:sz w:val="22"/>
                <w:szCs w:val="22"/>
                <w:u w:val="single"/>
                <w:lang w:val="en-US"/>
              </w:rPr>
            </w:pPr>
            <w:r w:rsidRPr="00467533">
              <w:rPr>
                <w:sz w:val="22"/>
                <w:szCs w:val="22"/>
                <w:lang w:val="en-GB"/>
              </w:rPr>
              <w:t>(29,1)</w:t>
            </w:r>
          </w:p>
        </w:tc>
        <w:tc>
          <w:tcPr>
            <w:tcW w:w="788" w:type="pct"/>
            <w:shd w:val="clear" w:color="auto" w:fill="auto"/>
          </w:tcPr>
          <w:p w:rsidR="00A20F50" w:rsidRPr="00467533" w:rsidRDefault="00A20F50" w:rsidP="00B560F0">
            <w:pPr>
              <w:tabs>
                <w:tab w:val="left" w:pos="567"/>
              </w:tabs>
              <w:autoSpaceDE w:val="0"/>
              <w:autoSpaceDN w:val="0"/>
              <w:adjustRightInd w:val="0"/>
              <w:ind w:left="63"/>
              <w:jc w:val="center"/>
              <w:rPr>
                <w:sz w:val="22"/>
                <w:szCs w:val="22"/>
                <w:lang w:val="en-US"/>
              </w:rPr>
            </w:pPr>
            <w:r w:rsidRPr="00467533">
              <w:rPr>
                <w:sz w:val="22"/>
                <w:szCs w:val="22"/>
                <w:lang w:val="en-GB"/>
              </w:rPr>
              <w:t>50,6</w:t>
            </w:r>
          </w:p>
          <w:p w:rsidR="00A20F50" w:rsidRPr="00467533" w:rsidRDefault="00A20F50" w:rsidP="00B560F0">
            <w:pPr>
              <w:tabs>
                <w:tab w:val="left" w:pos="567"/>
              </w:tabs>
              <w:autoSpaceDE w:val="0"/>
              <w:autoSpaceDN w:val="0"/>
              <w:adjustRightInd w:val="0"/>
              <w:ind w:left="63"/>
              <w:jc w:val="center"/>
              <w:rPr>
                <w:sz w:val="22"/>
                <w:szCs w:val="22"/>
                <w:u w:val="single"/>
                <w:lang w:val="en-US"/>
              </w:rPr>
            </w:pPr>
            <w:r w:rsidRPr="00467533">
              <w:rPr>
                <w:sz w:val="22"/>
                <w:szCs w:val="22"/>
                <w:lang w:val="en-GB"/>
              </w:rPr>
              <w:t>(16,5)</w:t>
            </w:r>
          </w:p>
        </w:tc>
        <w:tc>
          <w:tcPr>
            <w:tcW w:w="630" w:type="pct"/>
            <w:shd w:val="clear" w:color="auto" w:fill="auto"/>
          </w:tcPr>
          <w:p w:rsidR="00A20F50" w:rsidRPr="00467533" w:rsidRDefault="00A20F50" w:rsidP="00B560F0">
            <w:pPr>
              <w:tabs>
                <w:tab w:val="left" w:pos="567"/>
              </w:tabs>
              <w:autoSpaceDE w:val="0"/>
              <w:autoSpaceDN w:val="0"/>
              <w:adjustRightInd w:val="0"/>
              <w:ind w:left="63"/>
              <w:jc w:val="center"/>
              <w:rPr>
                <w:sz w:val="22"/>
                <w:szCs w:val="22"/>
                <w:lang w:val="en-US"/>
              </w:rPr>
            </w:pPr>
            <w:r w:rsidRPr="00467533">
              <w:rPr>
                <w:sz w:val="22"/>
                <w:szCs w:val="22"/>
                <w:lang w:val="en-GB"/>
              </w:rPr>
              <w:t>35,7</w:t>
            </w:r>
          </w:p>
          <w:p w:rsidR="00A20F50" w:rsidRPr="00467533" w:rsidRDefault="00A20F50" w:rsidP="00B560F0">
            <w:pPr>
              <w:tabs>
                <w:tab w:val="left" w:pos="567"/>
              </w:tabs>
              <w:autoSpaceDE w:val="0"/>
              <w:autoSpaceDN w:val="0"/>
              <w:adjustRightInd w:val="0"/>
              <w:ind w:left="63"/>
              <w:jc w:val="center"/>
              <w:rPr>
                <w:sz w:val="22"/>
                <w:szCs w:val="22"/>
                <w:u w:val="single"/>
                <w:lang w:val="en-US"/>
              </w:rPr>
            </w:pPr>
            <w:r w:rsidRPr="00467533">
              <w:rPr>
                <w:sz w:val="22"/>
                <w:szCs w:val="22"/>
                <w:lang w:val="en-GB"/>
              </w:rPr>
              <w:t>(19,6)</w:t>
            </w:r>
          </w:p>
        </w:tc>
      </w:tr>
    </w:tbl>
    <w:p w:rsidR="00A20F50" w:rsidRPr="00D06229" w:rsidRDefault="00A20F50" w:rsidP="00A20F50">
      <w:pPr>
        <w:ind w:left="851"/>
        <w:rPr>
          <w:sz w:val="24"/>
          <w:szCs w:val="24"/>
          <w:lang w:val="en-US"/>
        </w:rPr>
      </w:pPr>
    </w:p>
    <w:p w:rsidR="00A20F50" w:rsidRPr="00D06229" w:rsidRDefault="00A20F50" w:rsidP="00A20F50">
      <w:pPr>
        <w:ind w:left="851"/>
        <w:rPr>
          <w:sz w:val="24"/>
          <w:szCs w:val="24"/>
          <w:u w:val="single"/>
        </w:rPr>
      </w:pPr>
      <w:r w:rsidRPr="00D06229">
        <w:rPr>
          <w:sz w:val="24"/>
          <w:szCs w:val="24"/>
          <w:u w:val="single"/>
        </w:rPr>
        <w:t>Efter levertransplantation</w:t>
      </w:r>
    </w:p>
    <w:p w:rsidR="00A20F50" w:rsidRPr="00D06229" w:rsidRDefault="00A20F50" w:rsidP="00A20F50">
      <w:pPr>
        <w:ind w:left="851"/>
        <w:rPr>
          <w:sz w:val="24"/>
          <w:szCs w:val="24"/>
        </w:rPr>
      </w:pPr>
      <w:r w:rsidRPr="00D06229">
        <w:rPr>
          <w:sz w:val="24"/>
          <w:szCs w:val="24"/>
        </w:rPr>
        <w:t>Entecavir eksponering hos HBV-inficerede levertransplanterede patienter i</w:t>
      </w:r>
      <w:r w:rsidR="00467533">
        <w:rPr>
          <w:sz w:val="24"/>
          <w:szCs w:val="24"/>
        </w:rPr>
        <w:t xml:space="preserve"> </w:t>
      </w:r>
      <w:r w:rsidRPr="00D06229">
        <w:rPr>
          <w:sz w:val="24"/>
          <w:szCs w:val="24"/>
        </w:rPr>
        <w:t>behandling med stabil dosis ciclosporin A eller tacrolimus (n = 9) var ≈ 2 gange eksponeringen hos raske frivillige med normal nyrefunktion. Ændret nyrefunktion bidrog til stigningen i eksponeringen af entecavir hos disse patienter (se pkt. 4.4).</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Køn</w:t>
      </w:r>
    </w:p>
    <w:p w:rsidR="00A20F50" w:rsidRPr="00D06229" w:rsidRDefault="00A20F50" w:rsidP="00A20F50">
      <w:pPr>
        <w:ind w:left="851"/>
        <w:rPr>
          <w:sz w:val="24"/>
          <w:szCs w:val="24"/>
        </w:rPr>
      </w:pPr>
      <w:r w:rsidRPr="00D06229">
        <w:rPr>
          <w:sz w:val="24"/>
          <w:szCs w:val="24"/>
        </w:rPr>
        <w:t>AUC var 14 % højere hos kvinder end hos mænd på grund af forskellen i nyrefunktion og vægt. Efter justering for forskelle i kreatinin-clearance og kropsvægt var der ingen forskel i optagelse hos kvindelige og mandlige patienter.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Ældre patienter</w:t>
      </w:r>
    </w:p>
    <w:p w:rsidR="00A20F50" w:rsidRPr="00D06229" w:rsidRDefault="00A20F50" w:rsidP="00A20F50">
      <w:pPr>
        <w:ind w:left="851"/>
        <w:rPr>
          <w:sz w:val="24"/>
          <w:szCs w:val="24"/>
        </w:rPr>
      </w:pPr>
      <w:r w:rsidRPr="00D06229">
        <w:rPr>
          <w:sz w:val="24"/>
          <w:szCs w:val="24"/>
        </w:rPr>
        <w:t>Effekt af alder på entecavirs farmakokinetik er vurderet ved at sammenligne ældre</w:t>
      </w:r>
    </w:p>
    <w:p w:rsidR="00A20F50" w:rsidRPr="00D06229" w:rsidRDefault="00A20F50" w:rsidP="00A20F50">
      <w:pPr>
        <w:ind w:left="851"/>
        <w:rPr>
          <w:sz w:val="24"/>
          <w:szCs w:val="24"/>
        </w:rPr>
      </w:pPr>
      <w:r w:rsidRPr="00D06229">
        <w:rPr>
          <w:sz w:val="24"/>
          <w:szCs w:val="24"/>
        </w:rPr>
        <w:t>patienter i aldersgruppen 65-83 år (gennemsnitsalder for kvinder 69 år, for mænd 74 år) med yngre patienter i aldersgruppen 20-40 år (gennemsnitsalder for kvinder 29 år, for mænd 25 år). AUC var 29 % højere hos ældre end hos yngre patienter, primært på grund af forskelle i nyrefunktion og vægt. Efter justering for forskelle i kreatinin-clearance og kropsvægt havde ældre patienter 12,5 % højere AUC end yngre patienter. Den populations-</w:t>
      </w:r>
      <w:r w:rsidRPr="00D06229">
        <w:rPr>
          <w:sz w:val="24"/>
          <w:szCs w:val="24"/>
        </w:rPr>
        <w:lastRenderedPageBreak/>
        <w:t>farmakokinetiske analyse, der dækker patienter aldersgruppen 16-75 år, kunne ikke påvise, at alder i signifikant grad påvirkede entecavirs farmakokinetik.</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Race</w:t>
      </w:r>
    </w:p>
    <w:p w:rsidR="00A20F50" w:rsidRPr="00D06229" w:rsidRDefault="00A20F50" w:rsidP="00A20F50">
      <w:pPr>
        <w:ind w:left="851"/>
        <w:rPr>
          <w:sz w:val="24"/>
          <w:szCs w:val="24"/>
        </w:rPr>
      </w:pPr>
      <w:r w:rsidRPr="00D06229">
        <w:rPr>
          <w:sz w:val="24"/>
          <w:szCs w:val="24"/>
        </w:rPr>
        <w:t>Den populations-farmakokinetiske analyse viste ikke, at race i signifikant grad påvirkede</w:t>
      </w:r>
      <w:r w:rsidR="00467533">
        <w:rPr>
          <w:sz w:val="24"/>
          <w:szCs w:val="24"/>
        </w:rPr>
        <w:t xml:space="preserve"> </w:t>
      </w:r>
      <w:r w:rsidRPr="00D06229">
        <w:rPr>
          <w:sz w:val="24"/>
          <w:szCs w:val="24"/>
        </w:rPr>
        <w:t>entecavirs farmakokinetik. Der kan dog kun drages konklusioner for gruppen af europæisk og gruppen af asiatisk etnicitet, da der var for få patienter i de andre kategorier.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Pædiatrisk population</w:t>
      </w:r>
    </w:p>
    <w:p w:rsidR="00B83488" w:rsidRPr="00D06229" w:rsidRDefault="00B83488" w:rsidP="00467533">
      <w:pPr>
        <w:ind w:left="851"/>
        <w:rPr>
          <w:sz w:val="24"/>
          <w:szCs w:val="24"/>
        </w:rPr>
      </w:pPr>
      <w:r w:rsidRPr="00D06229">
        <w:rPr>
          <w:sz w:val="24"/>
          <w:szCs w:val="24"/>
        </w:rPr>
        <w:t>Entecavirs farmakokinetik ved steady state blev undersøgt (studie 028) hos</w:t>
      </w:r>
      <w:r w:rsidR="00467533">
        <w:rPr>
          <w:sz w:val="24"/>
          <w:szCs w:val="24"/>
        </w:rPr>
        <w:t xml:space="preserve"> </w:t>
      </w:r>
      <w:r w:rsidRPr="00D06229">
        <w:rPr>
          <w:sz w:val="24"/>
          <w:szCs w:val="24"/>
        </w:rPr>
        <w:t>24 nukleosid-naive forsøgspersoner HBeAG-positive pædiatriske</w:t>
      </w:r>
      <w:r w:rsidR="00467533">
        <w:rPr>
          <w:sz w:val="24"/>
          <w:szCs w:val="24"/>
        </w:rPr>
        <w:t xml:space="preserve"> </w:t>
      </w:r>
      <w:r w:rsidRPr="00D06229">
        <w:rPr>
          <w:sz w:val="24"/>
          <w:szCs w:val="24"/>
        </w:rPr>
        <w:t>forsøgspersoner i alderen 2 til &lt; 18 år med kompenseret leversygdom. Entecavir-eksponeringen hos</w:t>
      </w:r>
      <w:r w:rsidR="00467533">
        <w:rPr>
          <w:sz w:val="24"/>
          <w:szCs w:val="24"/>
        </w:rPr>
        <w:t xml:space="preserve"> </w:t>
      </w:r>
      <w:r w:rsidRPr="00D06229">
        <w:rPr>
          <w:sz w:val="24"/>
          <w:szCs w:val="24"/>
        </w:rPr>
        <w:t>nukleosid-naive forsøgspersoner, som fik entecavirdoser på 0,015 mg/kg og op til en maksimal dosis</w:t>
      </w:r>
      <w:r w:rsidR="00467533">
        <w:rPr>
          <w:sz w:val="24"/>
          <w:szCs w:val="24"/>
        </w:rPr>
        <w:t xml:space="preserve"> </w:t>
      </w:r>
      <w:r w:rsidRPr="00D06229">
        <w:rPr>
          <w:sz w:val="24"/>
          <w:szCs w:val="24"/>
        </w:rPr>
        <w:t>på 0.5 mg en gang dagligt var sammenlignelig med eksponeringen hos voksne, der fik en dosis på</w:t>
      </w:r>
      <w:r w:rsidR="00467533">
        <w:rPr>
          <w:sz w:val="24"/>
          <w:szCs w:val="24"/>
        </w:rPr>
        <w:t xml:space="preserve"> </w:t>
      </w:r>
      <w:r w:rsidRPr="00D06229">
        <w:rPr>
          <w:sz w:val="24"/>
          <w:szCs w:val="24"/>
        </w:rPr>
        <w:t>0.5 mg en gang dagligt. C</w:t>
      </w:r>
      <w:r w:rsidRPr="00D06229">
        <w:rPr>
          <w:sz w:val="24"/>
          <w:szCs w:val="24"/>
          <w:vertAlign w:val="subscript"/>
        </w:rPr>
        <w:t>max</w:t>
      </w:r>
      <w:r w:rsidRPr="00D06229">
        <w:rPr>
          <w:sz w:val="24"/>
          <w:szCs w:val="24"/>
        </w:rPr>
        <w:t xml:space="preserve">, AUC </w:t>
      </w:r>
      <w:r w:rsidRPr="00D06229">
        <w:rPr>
          <w:sz w:val="24"/>
          <w:szCs w:val="24"/>
          <w:vertAlign w:val="subscript"/>
        </w:rPr>
        <w:t>(0-24)</w:t>
      </w:r>
      <w:r w:rsidRPr="00D06229">
        <w:rPr>
          <w:sz w:val="24"/>
          <w:szCs w:val="24"/>
        </w:rPr>
        <w:t xml:space="preserve"> og C</w:t>
      </w:r>
      <w:r w:rsidRPr="00D06229">
        <w:rPr>
          <w:sz w:val="24"/>
          <w:szCs w:val="24"/>
          <w:vertAlign w:val="subscript"/>
        </w:rPr>
        <w:t>min</w:t>
      </w:r>
      <w:r w:rsidRPr="00D06229">
        <w:rPr>
          <w:sz w:val="24"/>
          <w:szCs w:val="24"/>
        </w:rPr>
        <w:t xml:space="preserve"> for disse forsøgspersoner var henholdsvis</w:t>
      </w:r>
      <w:r w:rsidR="00467533">
        <w:rPr>
          <w:sz w:val="24"/>
          <w:szCs w:val="24"/>
        </w:rPr>
        <w:t xml:space="preserve"> </w:t>
      </w:r>
      <w:r w:rsidRPr="00D06229">
        <w:rPr>
          <w:sz w:val="24"/>
          <w:szCs w:val="24"/>
        </w:rPr>
        <w:t xml:space="preserve">6,32 ng/ml, 18,33 ng·h/ml og 0,28 ng/ml. </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5.3</w:t>
      </w:r>
      <w:r w:rsidRPr="00D06229">
        <w:rPr>
          <w:b/>
          <w:sz w:val="24"/>
          <w:szCs w:val="24"/>
        </w:rPr>
        <w:tab/>
        <w:t>Prækliniske sikkerhedsdata</w:t>
      </w:r>
    </w:p>
    <w:p w:rsidR="00A20F50" w:rsidRPr="00D06229" w:rsidRDefault="00A20F50" w:rsidP="00A20F50">
      <w:pPr>
        <w:ind w:left="851"/>
        <w:rPr>
          <w:sz w:val="24"/>
          <w:szCs w:val="24"/>
        </w:rPr>
      </w:pPr>
      <w:r w:rsidRPr="00D06229">
        <w:rPr>
          <w:sz w:val="24"/>
          <w:szCs w:val="24"/>
        </w:rPr>
        <w:t>I toksikologiske studier med gentagne doser til hunde, sås reversibel perivaskulær inflammation i det centrale nervesystem, hvor 0-effekt dosis svarede til 19 og 10 gange den hos mennesker (ved henholdsvis 0,5 og 1 mg). Dette fund blev ikke observeret i studier med gentagne doser til andre arter, inklusive aber, der fik entecavir daglig i 1 år i doser ≥ 100 gange den humane dosis.</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I reproduktions-toksikologiske studier, hvor dyr fik entecavir i op til 4 uger, sås ingen tegn på nedsat fertilitet hos han- eller hunrotter ved høje doser. Der er i toksikologiske studier med gentagne doser til gnavere og hunde med doser ≥ 26 gange humandosis set testikelforandringer (seminiferøs tubulær degeneration). Der sås ingen testikelforandringer i et 1-årigt studie med aber.</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Hos drægtige rotter og kaniner, der fik entecavir, svarede nul-effektniveauer for embryotoksicitet og toksicitet hos moderdyret til doser ≥ 21 gange humandosis. Der er hos rotter observeret tokcicitet hos moderdyret, embryo-føtal toksicitet (resorptioner), lavere føtal kropsvægt, hale- og vertebrale misdannelser, reduceret ossifikation (vertebra, sternebra og falanger) samt ekstra vertebrae lumbalis og ribben ved store doser. Der er hos kaniner observeret embryo-føtal toksicitet (resorptioner), reduceret ossifikation (hyoid) samt øget forekomst af 13. ribben ved store doser. I et peri-postnatalt studie med rotter sås ingen bivirkninger hos afkommet. I et separat studie, hvor entecavir blev administreret til drægtige, diegivende rotter med 10 mg/kg, påvistes både føtal optagelse af entecavir og udskillelse af entecavir i mælken. Hos unge rotter, der fik entecavir fra dag 4 til 80 postnatalt, blev der observeret et reduceret respons for akustisk forskrækkelse i restitutionsperioden (dag 110 til 114 postnatalt) men ikke i doseringsperioden, ved AUC-værdier ≥ 92 gange AUC hos mennesker ved en dosis på 0,5 mg eller den tilsvarende dosis til børn og unge. På grund af eksponeringmarginen anses det for usandsynligt, at disse fund har klinisk betydning.</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Der sås ingen tegn på genotoksicitet i Ames mikrobielle mutagenicitetsassay, en genmutations-assay med pattedyrsceller og en transformations-assay med embryoceller fra syrisk hamster. Et mikronukleus-studie og et DNA-reparationsstudie med rotter var ligeledes negative. Entecavir var clastogent over for humane lymfocytkulturer ved koncentrationer, der var betragteligt større end de kliniske.</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I 2-årige carcinogenicitetsstudier med hanmus sås stigninger i forekomst af lungetumorer ved doser ≥ 4 og ≥ 2 gange humandosis ved henholdsvis 0,5 mg og 1 mg. Tumorudviklingen blev forudgået af pneumocytproliferation i lungen, som ikke observeredes hos rotter, hunde eller aber, hvilket tyder på at nøglehændelsen i udviklingen af lungetumorer hos mus sandsynligvis er artsspecifik. Øget forekomst af andre tumorer, inklusiv</w:t>
      </w:r>
      <w:r w:rsidR="003017B3" w:rsidRPr="00D06229">
        <w:rPr>
          <w:sz w:val="24"/>
          <w:szCs w:val="24"/>
        </w:rPr>
        <w:t>e</w:t>
      </w:r>
      <w:r w:rsidRPr="00D06229">
        <w:rPr>
          <w:sz w:val="24"/>
          <w:szCs w:val="24"/>
        </w:rPr>
        <w:t xml:space="preserve"> hjernegliomer hos han- og hunrotter, levercarcinomer hos hanmus, benigne vaskulæretumorer hos hunmus samt leveradenomer og carcinomer hos hunrotter sås</w:t>
      </w:r>
    </w:p>
    <w:p w:rsidR="00A20F50" w:rsidRPr="00D06229" w:rsidRDefault="00A20F50" w:rsidP="00A20F50">
      <w:pPr>
        <w:ind w:left="851"/>
        <w:rPr>
          <w:sz w:val="24"/>
          <w:szCs w:val="24"/>
        </w:rPr>
      </w:pPr>
      <w:r w:rsidRPr="00D06229">
        <w:rPr>
          <w:sz w:val="24"/>
          <w:szCs w:val="24"/>
        </w:rPr>
        <w:t>udelukkende ved høje livstidsdoser. Det er dog ikke muligt at bestemme præcise nul-effektniveauer. Det vides ikke, om fundene er prædiktive for mennesker.</w:t>
      </w:r>
      <w:r w:rsidR="0017470E" w:rsidRPr="00D06229">
        <w:rPr>
          <w:sz w:val="24"/>
          <w:szCs w:val="24"/>
        </w:rPr>
        <w:t xml:space="preserve"> Se pkt. 5.1 for kliniske data.</w:t>
      </w:r>
    </w:p>
    <w:p w:rsidR="00A20F50" w:rsidRDefault="00A20F50" w:rsidP="00A20F50">
      <w:pPr>
        <w:tabs>
          <w:tab w:val="left" w:pos="851"/>
        </w:tabs>
        <w:ind w:left="851"/>
        <w:rPr>
          <w:sz w:val="24"/>
          <w:szCs w:val="24"/>
        </w:rPr>
      </w:pPr>
    </w:p>
    <w:p w:rsidR="00213817" w:rsidRPr="00D06229" w:rsidRDefault="00213817"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6.</w:t>
      </w:r>
      <w:r w:rsidRPr="00D06229">
        <w:rPr>
          <w:b/>
          <w:sz w:val="24"/>
          <w:szCs w:val="24"/>
        </w:rPr>
        <w:tab/>
        <w:t>FARMACEUTISKE OPLYSNINGER</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6.1</w:t>
      </w:r>
      <w:r w:rsidRPr="00D06229">
        <w:rPr>
          <w:b/>
          <w:sz w:val="24"/>
          <w:szCs w:val="24"/>
        </w:rPr>
        <w:tab/>
        <w:t>Hjælpestoffer</w:t>
      </w:r>
    </w:p>
    <w:p w:rsidR="00A20F50" w:rsidRPr="00D06229" w:rsidRDefault="00A20F50" w:rsidP="00A20F50">
      <w:pPr>
        <w:ind w:left="851"/>
        <w:rPr>
          <w:sz w:val="24"/>
          <w:szCs w:val="24"/>
          <w:u w:val="single"/>
        </w:rPr>
      </w:pPr>
    </w:p>
    <w:p w:rsidR="00A20F50" w:rsidRPr="00D06229" w:rsidRDefault="00A20F50" w:rsidP="00A20F50">
      <w:pPr>
        <w:ind w:left="851"/>
        <w:rPr>
          <w:sz w:val="24"/>
          <w:szCs w:val="24"/>
          <w:u w:val="single"/>
        </w:rPr>
      </w:pPr>
      <w:r w:rsidRPr="00D06229">
        <w:rPr>
          <w:sz w:val="24"/>
          <w:szCs w:val="24"/>
          <w:u w:val="single"/>
        </w:rPr>
        <w:t>Tabletkerne</w:t>
      </w:r>
    </w:p>
    <w:p w:rsidR="00A20F50" w:rsidRPr="00D06229" w:rsidRDefault="00A20F50" w:rsidP="00A20F50">
      <w:pPr>
        <w:ind w:left="851"/>
        <w:rPr>
          <w:sz w:val="24"/>
          <w:szCs w:val="24"/>
        </w:rPr>
      </w:pPr>
      <w:r w:rsidRPr="00D06229">
        <w:rPr>
          <w:sz w:val="24"/>
          <w:szCs w:val="24"/>
        </w:rPr>
        <w:t>Lactosemonohydrat</w:t>
      </w:r>
    </w:p>
    <w:p w:rsidR="00A20F50" w:rsidRPr="00D06229" w:rsidRDefault="00A20F50" w:rsidP="00A20F50">
      <w:pPr>
        <w:ind w:left="851"/>
        <w:rPr>
          <w:sz w:val="24"/>
          <w:szCs w:val="24"/>
        </w:rPr>
      </w:pPr>
      <w:r w:rsidRPr="00D06229">
        <w:rPr>
          <w:sz w:val="24"/>
          <w:szCs w:val="24"/>
        </w:rPr>
        <w:t>Cellulose, mikrokrystallinsk</w:t>
      </w:r>
    </w:p>
    <w:p w:rsidR="00A20F50" w:rsidRPr="000A0C32" w:rsidRDefault="00A20F50" w:rsidP="00A20F50">
      <w:pPr>
        <w:ind w:left="851"/>
        <w:rPr>
          <w:sz w:val="24"/>
          <w:szCs w:val="24"/>
          <w:lang w:val="en-US"/>
        </w:rPr>
      </w:pPr>
      <w:r w:rsidRPr="000A0C32">
        <w:rPr>
          <w:sz w:val="24"/>
          <w:szCs w:val="24"/>
          <w:lang w:val="en-US"/>
        </w:rPr>
        <w:t>Crospovidon (type A)</w:t>
      </w:r>
    </w:p>
    <w:p w:rsidR="00A20F50" w:rsidRPr="000A0C32" w:rsidRDefault="00A20F50" w:rsidP="00A20F50">
      <w:pPr>
        <w:ind w:left="851"/>
        <w:rPr>
          <w:sz w:val="24"/>
          <w:szCs w:val="24"/>
          <w:lang w:val="en-US"/>
        </w:rPr>
      </w:pPr>
      <w:r w:rsidRPr="000A0C32">
        <w:rPr>
          <w:sz w:val="24"/>
          <w:szCs w:val="24"/>
          <w:lang w:val="en-US"/>
        </w:rPr>
        <w:t>Hydroxypropylcellulose (type L)</w:t>
      </w:r>
    </w:p>
    <w:p w:rsidR="00A20F50" w:rsidRPr="00D06229" w:rsidRDefault="00A20F50" w:rsidP="00A20F50">
      <w:pPr>
        <w:ind w:left="851"/>
        <w:rPr>
          <w:sz w:val="24"/>
          <w:szCs w:val="24"/>
        </w:rPr>
      </w:pPr>
      <w:r w:rsidRPr="00D06229">
        <w:rPr>
          <w:sz w:val="24"/>
          <w:szCs w:val="24"/>
        </w:rPr>
        <w:t>Magnesiumstearat</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Tabletovertræk</w:t>
      </w:r>
    </w:p>
    <w:p w:rsidR="00A20F50" w:rsidRPr="00D06229" w:rsidRDefault="00A20F50" w:rsidP="00A20F50">
      <w:pPr>
        <w:ind w:left="851"/>
        <w:rPr>
          <w:sz w:val="24"/>
          <w:szCs w:val="24"/>
        </w:rPr>
      </w:pPr>
    </w:p>
    <w:p w:rsidR="00A20F50" w:rsidRPr="00D06229" w:rsidRDefault="00A20F50" w:rsidP="00A20F50">
      <w:pPr>
        <w:ind w:left="851"/>
        <w:rPr>
          <w:i/>
          <w:sz w:val="24"/>
          <w:szCs w:val="24"/>
        </w:rPr>
      </w:pPr>
      <w:r w:rsidRPr="00D06229">
        <w:rPr>
          <w:i/>
          <w:sz w:val="24"/>
          <w:szCs w:val="24"/>
        </w:rPr>
        <w:t>0,5 mg</w:t>
      </w:r>
    </w:p>
    <w:p w:rsidR="00A20F50" w:rsidRPr="00D06229" w:rsidRDefault="00A20F50" w:rsidP="00A20F50">
      <w:pPr>
        <w:ind w:left="851"/>
        <w:rPr>
          <w:sz w:val="24"/>
          <w:szCs w:val="24"/>
        </w:rPr>
      </w:pPr>
      <w:r w:rsidRPr="00D06229">
        <w:rPr>
          <w:sz w:val="24"/>
          <w:szCs w:val="24"/>
        </w:rPr>
        <w:t>Overtræk (hvidt)</w:t>
      </w:r>
    </w:p>
    <w:p w:rsidR="00A20F50" w:rsidRPr="000A0C32" w:rsidRDefault="00A20F50" w:rsidP="00A20F50">
      <w:pPr>
        <w:ind w:left="851"/>
        <w:rPr>
          <w:sz w:val="24"/>
          <w:szCs w:val="24"/>
          <w:lang w:val="en-US"/>
        </w:rPr>
      </w:pPr>
      <w:r w:rsidRPr="000A0C32">
        <w:rPr>
          <w:sz w:val="24"/>
          <w:szCs w:val="24"/>
          <w:lang w:val="en-US"/>
        </w:rPr>
        <w:t>Titandioxid (E171)</w:t>
      </w:r>
    </w:p>
    <w:p w:rsidR="00A20F50" w:rsidRPr="000A0C32" w:rsidRDefault="00A20F50" w:rsidP="00A20F50">
      <w:pPr>
        <w:ind w:left="851"/>
        <w:rPr>
          <w:sz w:val="24"/>
          <w:szCs w:val="24"/>
          <w:lang w:val="en-US"/>
        </w:rPr>
      </w:pPr>
      <w:r w:rsidRPr="000A0C32">
        <w:rPr>
          <w:sz w:val="24"/>
          <w:szCs w:val="24"/>
          <w:lang w:val="en-US"/>
        </w:rPr>
        <w:t>Lactosemonohydrat</w:t>
      </w:r>
    </w:p>
    <w:p w:rsidR="00A20F50" w:rsidRPr="000A0C32" w:rsidRDefault="00A20F50" w:rsidP="00A20F50">
      <w:pPr>
        <w:ind w:left="851"/>
        <w:rPr>
          <w:sz w:val="24"/>
          <w:szCs w:val="24"/>
          <w:lang w:val="en-US"/>
        </w:rPr>
      </w:pPr>
      <w:r w:rsidRPr="000A0C32">
        <w:rPr>
          <w:sz w:val="24"/>
          <w:szCs w:val="24"/>
          <w:lang w:val="en-US"/>
        </w:rPr>
        <w:t>Hypromellose</w:t>
      </w:r>
    </w:p>
    <w:p w:rsidR="00A20F50" w:rsidRPr="000A0C32" w:rsidRDefault="00A20F50" w:rsidP="00A20F50">
      <w:pPr>
        <w:ind w:left="851"/>
        <w:rPr>
          <w:sz w:val="24"/>
          <w:szCs w:val="24"/>
          <w:lang w:val="en-US"/>
        </w:rPr>
      </w:pPr>
      <w:r w:rsidRPr="000A0C32">
        <w:rPr>
          <w:sz w:val="24"/>
          <w:szCs w:val="24"/>
          <w:lang w:val="en-US"/>
        </w:rPr>
        <w:t>Macrogol 4000</w:t>
      </w:r>
    </w:p>
    <w:p w:rsidR="00A20F50" w:rsidRPr="000A0C32" w:rsidRDefault="00A20F50" w:rsidP="00A20F50">
      <w:pPr>
        <w:ind w:left="851"/>
        <w:rPr>
          <w:sz w:val="24"/>
          <w:szCs w:val="24"/>
          <w:lang w:val="en-US"/>
        </w:rPr>
      </w:pPr>
    </w:p>
    <w:p w:rsidR="00A20F50" w:rsidRPr="00D06229" w:rsidRDefault="00A20F50" w:rsidP="00A20F50">
      <w:pPr>
        <w:ind w:left="851"/>
        <w:rPr>
          <w:i/>
          <w:sz w:val="24"/>
          <w:szCs w:val="24"/>
        </w:rPr>
      </w:pPr>
      <w:r w:rsidRPr="00D06229">
        <w:rPr>
          <w:i/>
          <w:sz w:val="24"/>
          <w:szCs w:val="24"/>
        </w:rPr>
        <w:t>1 mg</w:t>
      </w:r>
    </w:p>
    <w:p w:rsidR="00A20F50" w:rsidRPr="00D06229" w:rsidRDefault="00A20F50" w:rsidP="00A20F50">
      <w:pPr>
        <w:ind w:left="851"/>
        <w:rPr>
          <w:sz w:val="24"/>
          <w:szCs w:val="24"/>
        </w:rPr>
      </w:pPr>
      <w:r w:rsidRPr="00D06229">
        <w:rPr>
          <w:sz w:val="24"/>
          <w:szCs w:val="24"/>
        </w:rPr>
        <w:t>Overtræk (pink)</w:t>
      </w:r>
    </w:p>
    <w:p w:rsidR="00A20F50" w:rsidRPr="00D06229" w:rsidRDefault="00A20F50" w:rsidP="00A20F50">
      <w:pPr>
        <w:ind w:left="851"/>
        <w:rPr>
          <w:sz w:val="24"/>
          <w:szCs w:val="24"/>
        </w:rPr>
      </w:pPr>
      <w:r w:rsidRPr="00D06229">
        <w:rPr>
          <w:sz w:val="24"/>
          <w:szCs w:val="24"/>
        </w:rPr>
        <w:t>Hypromellose</w:t>
      </w:r>
    </w:p>
    <w:p w:rsidR="00A20F50" w:rsidRPr="00D06229" w:rsidRDefault="00A20F50" w:rsidP="00A20F50">
      <w:pPr>
        <w:ind w:left="851"/>
        <w:rPr>
          <w:sz w:val="24"/>
          <w:szCs w:val="24"/>
        </w:rPr>
      </w:pPr>
      <w:r w:rsidRPr="00D06229">
        <w:rPr>
          <w:sz w:val="24"/>
          <w:szCs w:val="24"/>
        </w:rPr>
        <w:t>Titandioxid (E171)</w:t>
      </w:r>
    </w:p>
    <w:p w:rsidR="00A20F50" w:rsidRPr="00D06229" w:rsidRDefault="00A20F50" w:rsidP="00A20F50">
      <w:pPr>
        <w:ind w:left="851"/>
        <w:rPr>
          <w:sz w:val="24"/>
          <w:szCs w:val="24"/>
        </w:rPr>
      </w:pPr>
      <w:r w:rsidRPr="00D06229">
        <w:rPr>
          <w:sz w:val="24"/>
          <w:szCs w:val="24"/>
        </w:rPr>
        <w:t>Polydextrose</w:t>
      </w:r>
    </w:p>
    <w:p w:rsidR="00A20F50" w:rsidRPr="00D06229" w:rsidRDefault="00A20F50" w:rsidP="00A20F50">
      <w:pPr>
        <w:ind w:left="851"/>
        <w:rPr>
          <w:sz w:val="24"/>
          <w:szCs w:val="24"/>
        </w:rPr>
      </w:pPr>
      <w:r w:rsidRPr="00D06229">
        <w:rPr>
          <w:sz w:val="24"/>
          <w:szCs w:val="24"/>
        </w:rPr>
        <w:t>Talkum</w:t>
      </w:r>
    </w:p>
    <w:p w:rsidR="00A20F50" w:rsidRPr="00D06229" w:rsidRDefault="00A20F50" w:rsidP="00A20F50">
      <w:pPr>
        <w:ind w:left="851"/>
        <w:rPr>
          <w:sz w:val="24"/>
          <w:szCs w:val="24"/>
        </w:rPr>
      </w:pPr>
      <w:r w:rsidRPr="00D06229">
        <w:rPr>
          <w:sz w:val="24"/>
          <w:szCs w:val="24"/>
        </w:rPr>
        <w:t>Maltodextrin</w:t>
      </w:r>
    </w:p>
    <w:p w:rsidR="00A20F50" w:rsidRPr="00D06229" w:rsidRDefault="00A20F50" w:rsidP="00A20F50">
      <w:pPr>
        <w:ind w:left="851"/>
        <w:rPr>
          <w:sz w:val="24"/>
          <w:szCs w:val="24"/>
        </w:rPr>
      </w:pPr>
      <w:r w:rsidRPr="00D06229">
        <w:rPr>
          <w:sz w:val="24"/>
          <w:szCs w:val="24"/>
        </w:rPr>
        <w:t>Triglycerider, middelkædelængde</w:t>
      </w:r>
    </w:p>
    <w:p w:rsidR="00A20F50" w:rsidRPr="00D06229" w:rsidRDefault="00A20F50" w:rsidP="00A20F50">
      <w:pPr>
        <w:ind w:left="851"/>
        <w:rPr>
          <w:sz w:val="24"/>
          <w:szCs w:val="24"/>
        </w:rPr>
      </w:pPr>
      <w:r w:rsidRPr="00D06229">
        <w:rPr>
          <w:sz w:val="24"/>
          <w:szCs w:val="24"/>
        </w:rPr>
        <w:t>Jernoxid, rød (E172)</w:t>
      </w:r>
    </w:p>
    <w:p w:rsidR="00A20F50" w:rsidRPr="00D06229" w:rsidRDefault="00A20F50" w:rsidP="00A20F50">
      <w:pPr>
        <w:ind w:left="851"/>
        <w:rPr>
          <w:sz w:val="24"/>
          <w:szCs w:val="24"/>
        </w:rPr>
      </w:pPr>
      <w:r w:rsidRPr="00D06229">
        <w:rPr>
          <w:sz w:val="24"/>
          <w:szCs w:val="24"/>
        </w:rPr>
        <w:t>Jernoxid, gul (E172)</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6.2</w:t>
      </w:r>
      <w:r w:rsidRPr="00D06229">
        <w:rPr>
          <w:b/>
          <w:sz w:val="24"/>
          <w:szCs w:val="24"/>
        </w:rPr>
        <w:tab/>
        <w:t>Uforligeligheder</w:t>
      </w:r>
    </w:p>
    <w:p w:rsidR="00A20F50" w:rsidRPr="00D06229" w:rsidRDefault="00A20F50" w:rsidP="00A20F50">
      <w:pPr>
        <w:tabs>
          <w:tab w:val="left" w:pos="851"/>
        </w:tabs>
        <w:ind w:left="851"/>
        <w:rPr>
          <w:sz w:val="24"/>
          <w:szCs w:val="24"/>
        </w:rPr>
      </w:pPr>
      <w:r w:rsidRPr="00D06229">
        <w:rPr>
          <w:sz w:val="24"/>
          <w:szCs w:val="24"/>
        </w:rPr>
        <w:t>Ikke relevant.</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6.3</w:t>
      </w:r>
      <w:r w:rsidRPr="00D06229">
        <w:rPr>
          <w:b/>
          <w:sz w:val="24"/>
          <w:szCs w:val="24"/>
        </w:rPr>
        <w:tab/>
        <w:t>Opbevaringstid</w:t>
      </w:r>
    </w:p>
    <w:p w:rsidR="00A20F50" w:rsidRPr="00D06229" w:rsidRDefault="00A20F50" w:rsidP="00A20F50">
      <w:pPr>
        <w:ind w:left="851"/>
        <w:rPr>
          <w:sz w:val="24"/>
          <w:szCs w:val="24"/>
        </w:rPr>
      </w:pPr>
      <w:r w:rsidRPr="00D06229">
        <w:rPr>
          <w:sz w:val="24"/>
          <w:szCs w:val="24"/>
        </w:rPr>
        <w:t>2 år.</w:t>
      </w:r>
    </w:p>
    <w:p w:rsidR="00A20F50" w:rsidRPr="00D06229" w:rsidRDefault="00A20F50" w:rsidP="00A20F50">
      <w:pPr>
        <w:ind w:left="851"/>
        <w:rPr>
          <w:sz w:val="24"/>
          <w:szCs w:val="24"/>
        </w:rPr>
      </w:pPr>
      <w:r w:rsidRPr="00D06229">
        <w:rPr>
          <w:sz w:val="24"/>
          <w:szCs w:val="24"/>
        </w:rPr>
        <w:t xml:space="preserve">Efter første åbning af beholderen: 30 dage. </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lastRenderedPageBreak/>
        <w:t>6.4</w:t>
      </w:r>
      <w:r w:rsidRPr="00D06229">
        <w:rPr>
          <w:b/>
          <w:sz w:val="24"/>
          <w:szCs w:val="24"/>
        </w:rPr>
        <w:tab/>
        <w:t>Særlige opbevaringsforhold</w:t>
      </w:r>
    </w:p>
    <w:p w:rsidR="00A20F50" w:rsidRPr="00D06229" w:rsidRDefault="00A20F50" w:rsidP="00A20F50">
      <w:pPr>
        <w:ind w:left="851"/>
        <w:rPr>
          <w:sz w:val="24"/>
          <w:szCs w:val="24"/>
        </w:rPr>
      </w:pPr>
      <w:r w:rsidRPr="00D06229">
        <w:rPr>
          <w:sz w:val="24"/>
          <w:szCs w:val="24"/>
        </w:rPr>
        <w:t>Dette lægemiddel kræver ingen særlige forholdsregler vedrørende opbevaringen.</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6.5</w:t>
      </w:r>
      <w:r w:rsidRPr="00D06229">
        <w:rPr>
          <w:b/>
          <w:sz w:val="24"/>
          <w:szCs w:val="24"/>
        </w:rPr>
        <w:tab/>
        <w:t>Emballagetyper og pakningsstørrelser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OPA/ALU/PVC-aluminiumfolieblister, i æske</w:t>
      </w:r>
    </w:p>
    <w:p w:rsidR="00A20F50" w:rsidRPr="00D06229" w:rsidRDefault="00A20F50" w:rsidP="00A20F50">
      <w:pPr>
        <w:ind w:left="851"/>
        <w:rPr>
          <w:sz w:val="24"/>
          <w:szCs w:val="24"/>
        </w:rPr>
      </w:pPr>
      <w:r w:rsidRPr="00D06229">
        <w:rPr>
          <w:sz w:val="24"/>
          <w:szCs w:val="24"/>
        </w:rPr>
        <w:t xml:space="preserve">Pakningsstørrelser: </w:t>
      </w:r>
      <w:r w:rsidRPr="00D06229">
        <w:rPr>
          <w:sz w:val="24"/>
          <w:szCs w:val="24"/>
        </w:rPr>
        <w:br/>
        <w:t>30 tabletter (blister)</w:t>
      </w:r>
    </w:p>
    <w:p w:rsidR="00A20F50" w:rsidRPr="00D06229" w:rsidRDefault="00A20F50" w:rsidP="00A20F50">
      <w:pPr>
        <w:ind w:left="851"/>
        <w:rPr>
          <w:sz w:val="24"/>
          <w:szCs w:val="24"/>
        </w:rPr>
      </w:pPr>
      <w:r w:rsidRPr="00D06229">
        <w:rPr>
          <w:sz w:val="24"/>
          <w:szCs w:val="24"/>
        </w:rPr>
        <w:t>30</w:t>
      </w:r>
      <w:r w:rsidR="00213817">
        <w:rPr>
          <w:sz w:val="24"/>
          <w:szCs w:val="24"/>
        </w:rPr>
        <w:t>×</w:t>
      </w:r>
      <w:r w:rsidRPr="00D06229">
        <w:rPr>
          <w:sz w:val="24"/>
          <w:szCs w:val="24"/>
        </w:rPr>
        <w:t>1 tabletter (blister)</w:t>
      </w:r>
    </w:p>
    <w:p w:rsidR="00571A61" w:rsidRDefault="00571A61" w:rsidP="00A20F50">
      <w:pPr>
        <w:ind w:left="851"/>
        <w:rPr>
          <w:sz w:val="24"/>
          <w:szCs w:val="24"/>
        </w:rPr>
      </w:pPr>
      <w:r w:rsidRPr="00571A61">
        <w:rPr>
          <w:sz w:val="24"/>
          <w:szCs w:val="24"/>
        </w:rPr>
        <w:t>60 tabletter (blister) (kun for 0,5 mg)</w:t>
      </w:r>
    </w:p>
    <w:p w:rsidR="00A20F50" w:rsidRPr="00D06229" w:rsidRDefault="00A20F50" w:rsidP="00A20F50">
      <w:pPr>
        <w:ind w:left="851"/>
        <w:rPr>
          <w:sz w:val="24"/>
          <w:szCs w:val="24"/>
        </w:rPr>
      </w:pPr>
      <w:r w:rsidRPr="00D06229">
        <w:rPr>
          <w:sz w:val="24"/>
          <w:szCs w:val="24"/>
        </w:rPr>
        <w:t>90 tabletter (blister)</w:t>
      </w:r>
    </w:p>
    <w:p w:rsidR="00A20F50" w:rsidRPr="00D06229" w:rsidRDefault="00A20F50" w:rsidP="00A20F50">
      <w:pPr>
        <w:ind w:left="851"/>
        <w:rPr>
          <w:sz w:val="24"/>
          <w:szCs w:val="24"/>
        </w:rPr>
      </w:pPr>
      <w:r w:rsidRPr="00D06229">
        <w:rPr>
          <w:sz w:val="24"/>
          <w:szCs w:val="24"/>
        </w:rPr>
        <w:t>90</w:t>
      </w:r>
      <w:r w:rsidR="00213817">
        <w:rPr>
          <w:sz w:val="24"/>
          <w:szCs w:val="24"/>
        </w:rPr>
        <w:t>×</w:t>
      </w:r>
      <w:r w:rsidRPr="00D06229">
        <w:rPr>
          <w:sz w:val="24"/>
          <w:szCs w:val="24"/>
        </w:rPr>
        <w:t>1 tabletter (blister</w:t>
      </w:r>
    </w:p>
    <w:p w:rsidR="00A20F50" w:rsidRPr="00D06229" w:rsidRDefault="00A20F50" w:rsidP="00A20F50">
      <w:pPr>
        <w:ind w:left="851"/>
        <w:rPr>
          <w:sz w:val="24"/>
          <w:szCs w:val="24"/>
        </w:rPr>
      </w:pPr>
    </w:p>
    <w:p w:rsidR="00A20F50" w:rsidRPr="00D06229" w:rsidRDefault="00A20F50" w:rsidP="00A20F50">
      <w:pPr>
        <w:ind w:left="851"/>
        <w:rPr>
          <w:sz w:val="24"/>
          <w:szCs w:val="24"/>
          <w:u w:val="single"/>
        </w:rPr>
      </w:pPr>
      <w:r w:rsidRPr="00D06229">
        <w:rPr>
          <w:sz w:val="24"/>
          <w:szCs w:val="24"/>
          <w:u w:val="single"/>
        </w:rPr>
        <w:t>Hvid HDPE-beholder med PP børnesikret hætte og induktionsforsegling</w:t>
      </w:r>
    </w:p>
    <w:p w:rsidR="00A20F50" w:rsidRPr="00D06229" w:rsidRDefault="00A20F50" w:rsidP="00A20F50">
      <w:pPr>
        <w:ind w:left="851"/>
        <w:rPr>
          <w:sz w:val="24"/>
          <w:szCs w:val="24"/>
        </w:rPr>
      </w:pPr>
      <w:r w:rsidRPr="00D06229">
        <w:rPr>
          <w:sz w:val="24"/>
          <w:szCs w:val="24"/>
        </w:rPr>
        <w:t>Pakningsstørrelser: 30 stk.</w:t>
      </w:r>
    </w:p>
    <w:p w:rsidR="00A20F50" w:rsidRPr="00D06229" w:rsidRDefault="00A20F50" w:rsidP="00A20F50">
      <w:pPr>
        <w:ind w:left="851"/>
        <w:rPr>
          <w:sz w:val="24"/>
          <w:szCs w:val="24"/>
        </w:rPr>
      </w:pPr>
    </w:p>
    <w:p w:rsidR="00A20F50" w:rsidRPr="00D06229" w:rsidRDefault="00A20F50" w:rsidP="00A20F50">
      <w:pPr>
        <w:ind w:left="851"/>
        <w:rPr>
          <w:sz w:val="24"/>
          <w:szCs w:val="24"/>
        </w:rPr>
      </w:pPr>
      <w:r w:rsidRPr="00D06229">
        <w:rPr>
          <w:sz w:val="24"/>
          <w:szCs w:val="24"/>
        </w:rPr>
        <w:t>Ikke alle pakningsstørrelser er nødvendigvis markedsført.</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6.6</w:t>
      </w:r>
      <w:r w:rsidRPr="00D06229">
        <w:rPr>
          <w:b/>
          <w:sz w:val="24"/>
          <w:szCs w:val="24"/>
        </w:rPr>
        <w:tab/>
        <w:t>Regler for destruktion og anden håndtering</w:t>
      </w:r>
    </w:p>
    <w:p w:rsidR="00A20F50" w:rsidRPr="00D06229" w:rsidRDefault="00A20F50" w:rsidP="00A20F50">
      <w:pPr>
        <w:ind w:left="851"/>
        <w:rPr>
          <w:sz w:val="24"/>
          <w:szCs w:val="24"/>
        </w:rPr>
      </w:pPr>
      <w:r w:rsidRPr="00D06229">
        <w:rPr>
          <w:sz w:val="24"/>
          <w:szCs w:val="24"/>
        </w:rPr>
        <w:t>Ikke anvendt lægemiddel samt affald heraf bør destrueres i henhold til lokale retningslinjer.</w:t>
      </w:r>
    </w:p>
    <w:p w:rsidR="00A20F50" w:rsidRPr="00D06229" w:rsidRDefault="00A20F50" w:rsidP="00A20F50">
      <w:pPr>
        <w:tabs>
          <w:tab w:val="left" w:pos="851"/>
        </w:tabs>
        <w:ind w:left="851"/>
        <w:jc w:val="both"/>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7.</w:t>
      </w:r>
      <w:r w:rsidRPr="00D06229">
        <w:rPr>
          <w:b/>
          <w:sz w:val="24"/>
          <w:szCs w:val="24"/>
        </w:rPr>
        <w:tab/>
        <w:t>INDEHAVER AF MARKEDSFØRINGSTILLADELSEN</w:t>
      </w:r>
    </w:p>
    <w:p w:rsidR="00A20F50" w:rsidRPr="00D06229" w:rsidRDefault="00A20F50" w:rsidP="00A20F50">
      <w:pPr>
        <w:ind w:left="851"/>
        <w:rPr>
          <w:sz w:val="24"/>
          <w:szCs w:val="24"/>
        </w:rPr>
      </w:pPr>
      <w:r w:rsidRPr="00D06229">
        <w:rPr>
          <w:sz w:val="24"/>
          <w:szCs w:val="24"/>
        </w:rPr>
        <w:t>Pharmathen S.A.</w:t>
      </w:r>
    </w:p>
    <w:p w:rsidR="00A20F50" w:rsidRPr="00D06229" w:rsidRDefault="00A20F50" w:rsidP="00A20F50">
      <w:pPr>
        <w:ind w:left="851"/>
        <w:rPr>
          <w:sz w:val="24"/>
          <w:szCs w:val="24"/>
        </w:rPr>
      </w:pPr>
      <w:r w:rsidRPr="00D06229">
        <w:rPr>
          <w:sz w:val="24"/>
          <w:szCs w:val="24"/>
        </w:rPr>
        <w:t>6, Dervenakion str.</w:t>
      </w:r>
    </w:p>
    <w:p w:rsidR="00A20F50" w:rsidRPr="00D06229" w:rsidRDefault="00A20F50" w:rsidP="00A20F50">
      <w:pPr>
        <w:ind w:left="851"/>
        <w:rPr>
          <w:sz w:val="24"/>
          <w:szCs w:val="24"/>
        </w:rPr>
      </w:pPr>
      <w:r w:rsidRPr="00D06229">
        <w:rPr>
          <w:sz w:val="24"/>
          <w:szCs w:val="24"/>
        </w:rPr>
        <w:t>153 51 Pallini, Attiki</w:t>
      </w:r>
    </w:p>
    <w:p w:rsidR="00A20F50" w:rsidRPr="00D06229" w:rsidRDefault="00A20F50" w:rsidP="00A20F50">
      <w:pPr>
        <w:ind w:left="851"/>
        <w:rPr>
          <w:sz w:val="24"/>
          <w:szCs w:val="24"/>
        </w:rPr>
      </w:pPr>
      <w:r w:rsidRPr="00D06229">
        <w:rPr>
          <w:sz w:val="24"/>
          <w:szCs w:val="24"/>
        </w:rPr>
        <w:t>Grækenland</w:t>
      </w:r>
    </w:p>
    <w:p w:rsidR="00A20F50" w:rsidRPr="00D06229" w:rsidRDefault="00A20F50" w:rsidP="00A20F50">
      <w:pPr>
        <w:ind w:left="851"/>
        <w:rPr>
          <w:sz w:val="24"/>
          <w:szCs w:val="24"/>
        </w:rPr>
      </w:pPr>
    </w:p>
    <w:p w:rsidR="00A20F50" w:rsidRPr="00D06229" w:rsidRDefault="00A20F50" w:rsidP="00A20F50">
      <w:pPr>
        <w:ind w:left="851"/>
        <w:rPr>
          <w:b/>
          <w:sz w:val="24"/>
          <w:szCs w:val="24"/>
          <w:lang w:val="sv-SE"/>
        </w:rPr>
      </w:pPr>
      <w:r w:rsidRPr="00D06229">
        <w:rPr>
          <w:b/>
          <w:sz w:val="24"/>
          <w:szCs w:val="24"/>
          <w:lang w:val="sv-SE"/>
        </w:rPr>
        <w:t>Repræsentant</w:t>
      </w:r>
    </w:p>
    <w:p w:rsidR="00A20F50" w:rsidRPr="00D06229" w:rsidRDefault="00A20F50" w:rsidP="00A20F50">
      <w:pPr>
        <w:ind w:left="851"/>
        <w:rPr>
          <w:sz w:val="24"/>
          <w:szCs w:val="24"/>
          <w:lang w:val="sv-SE"/>
        </w:rPr>
      </w:pPr>
      <w:r w:rsidRPr="00D06229">
        <w:rPr>
          <w:sz w:val="24"/>
          <w:szCs w:val="24"/>
          <w:lang w:val="sv-SE"/>
        </w:rPr>
        <w:t>Pharmathen S.A.</w:t>
      </w:r>
    </w:p>
    <w:p w:rsidR="00A20F50" w:rsidRPr="00D06229" w:rsidRDefault="00A20F50" w:rsidP="00A20F50">
      <w:pPr>
        <w:ind w:left="851"/>
        <w:rPr>
          <w:sz w:val="24"/>
          <w:szCs w:val="24"/>
          <w:lang w:val="en-US"/>
        </w:rPr>
      </w:pPr>
      <w:r w:rsidRPr="00D06229">
        <w:rPr>
          <w:sz w:val="24"/>
          <w:szCs w:val="24"/>
          <w:lang w:val="en-US"/>
        </w:rPr>
        <w:t>44 Kifissias Avenue</w:t>
      </w:r>
    </w:p>
    <w:p w:rsidR="00A20F50" w:rsidRPr="00D06229" w:rsidRDefault="00A20F50" w:rsidP="00A20F50">
      <w:pPr>
        <w:ind w:left="851"/>
        <w:rPr>
          <w:sz w:val="24"/>
          <w:szCs w:val="24"/>
          <w:lang w:val="en-US"/>
        </w:rPr>
      </w:pPr>
      <w:r w:rsidRPr="00D06229">
        <w:rPr>
          <w:sz w:val="24"/>
          <w:szCs w:val="24"/>
          <w:lang w:val="en-US"/>
        </w:rPr>
        <w:t>151 25 Marousi, Attiki</w:t>
      </w:r>
    </w:p>
    <w:p w:rsidR="00A20F50" w:rsidRPr="00D06229" w:rsidRDefault="00A20F50" w:rsidP="00A20F50">
      <w:pPr>
        <w:ind w:left="851"/>
        <w:rPr>
          <w:sz w:val="24"/>
          <w:szCs w:val="24"/>
        </w:rPr>
      </w:pPr>
      <w:r w:rsidRPr="00D06229">
        <w:rPr>
          <w:sz w:val="24"/>
          <w:szCs w:val="24"/>
        </w:rPr>
        <w:t>Grækenland</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8.</w:t>
      </w:r>
      <w:r w:rsidRPr="00D06229">
        <w:rPr>
          <w:b/>
          <w:sz w:val="24"/>
          <w:szCs w:val="24"/>
        </w:rPr>
        <w:tab/>
        <w:t>MARKEDSFØRINGSTILLADELSESNUMMER (NUMRE)</w:t>
      </w:r>
    </w:p>
    <w:p w:rsidR="00A20F50" w:rsidRPr="00D06229" w:rsidRDefault="00A20F50" w:rsidP="00A20F50">
      <w:pPr>
        <w:tabs>
          <w:tab w:val="left" w:pos="851"/>
          <w:tab w:val="left" w:pos="1701"/>
        </w:tabs>
        <w:ind w:left="851"/>
        <w:rPr>
          <w:sz w:val="24"/>
          <w:szCs w:val="24"/>
        </w:rPr>
      </w:pPr>
      <w:r w:rsidRPr="00D06229">
        <w:rPr>
          <w:sz w:val="24"/>
          <w:szCs w:val="24"/>
        </w:rPr>
        <w:t>0,5 mg:</w:t>
      </w:r>
      <w:r w:rsidRPr="00D06229">
        <w:rPr>
          <w:sz w:val="24"/>
          <w:szCs w:val="24"/>
        </w:rPr>
        <w:tab/>
        <w:t>58098</w:t>
      </w:r>
    </w:p>
    <w:p w:rsidR="00A20F50" w:rsidRPr="00D06229" w:rsidRDefault="00A20F50" w:rsidP="00A20F50">
      <w:pPr>
        <w:tabs>
          <w:tab w:val="left" w:pos="851"/>
          <w:tab w:val="left" w:pos="1701"/>
        </w:tabs>
        <w:ind w:left="851"/>
        <w:rPr>
          <w:sz w:val="24"/>
          <w:szCs w:val="24"/>
        </w:rPr>
      </w:pPr>
      <w:r w:rsidRPr="00D06229">
        <w:rPr>
          <w:sz w:val="24"/>
          <w:szCs w:val="24"/>
        </w:rPr>
        <w:t>1 mg:</w:t>
      </w:r>
      <w:r w:rsidRPr="00D06229">
        <w:rPr>
          <w:sz w:val="24"/>
          <w:szCs w:val="24"/>
        </w:rPr>
        <w:tab/>
        <w:t>58099</w:t>
      </w:r>
    </w:p>
    <w:p w:rsidR="00A20F50" w:rsidRPr="00D06229" w:rsidRDefault="00A20F50" w:rsidP="00A20F50">
      <w:pPr>
        <w:tabs>
          <w:tab w:val="left" w:pos="851"/>
        </w:tabs>
        <w:ind w:left="851"/>
        <w:jc w:val="both"/>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9.</w:t>
      </w:r>
      <w:r w:rsidRPr="00D06229">
        <w:rPr>
          <w:b/>
          <w:sz w:val="24"/>
          <w:szCs w:val="24"/>
        </w:rPr>
        <w:tab/>
        <w:t>DATO FOR FØRSTE MARKEDSFØRINGSTILLADELSE</w:t>
      </w:r>
    </w:p>
    <w:p w:rsidR="00A20F50" w:rsidRPr="00D06229" w:rsidRDefault="00A20F50" w:rsidP="00A20F50">
      <w:pPr>
        <w:tabs>
          <w:tab w:val="left" w:pos="851"/>
        </w:tabs>
        <w:ind w:left="851"/>
        <w:rPr>
          <w:sz w:val="24"/>
          <w:szCs w:val="24"/>
        </w:rPr>
      </w:pPr>
      <w:r w:rsidRPr="00D06229">
        <w:rPr>
          <w:sz w:val="24"/>
          <w:szCs w:val="24"/>
        </w:rPr>
        <w:t>29. september 2017</w:t>
      </w:r>
    </w:p>
    <w:p w:rsidR="00A20F50" w:rsidRPr="00D06229" w:rsidRDefault="00A20F50" w:rsidP="00A20F50">
      <w:pPr>
        <w:tabs>
          <w:tab w:val="left" w:pos="851"/>
        </w:tabs>
        <w:ind w:left="851"/>
        <w:rPr>
          <w:sz w:val="24"/>
          <w:szCs w:val="24"/>
        </w:rPr>
      </w:pPr>
    </w:p>
    <w:p w:rsidR="00A20F50" w:rsidRPr="00D06229" w:rsidRDefault="00A20F50" w:rsidP="00A20F50">
      <w:pPr>
        <w:tabs>
          <w:tab w:val="left" w:pos="851"/>
        </w:tabs>
        <w:ind w:left="851" w:hanging="851"/>
        <w:rPr>
          <w:b/>
          <w:sz w:val="24"/>
          <w:szCs w:val="24"/>
        </w:rPr>
      </w:pPr>
      <w:r w:rsidRPr="00D06229">
        <w:rPr>
          <w:b/>
          <w:sz w:val="24"/>
          <w:szCs w:val="24"/>
        </w:rPr>
        <w:t>10.</w:t>
      </w:r>
      <w:r w:rsidRPr="00D06229">
        <w:rPr>
          <w:b/>
          <w:sz w:val="24"/>
          <w:szCs w:val="24"/>
        </w:rPr>
        <w:tab/>
        <w:t>DATO FOR ÆNDRING AF TEKSTEN</w:t>
      </w:r>
    </w:p>
    <w:p w:rsidR="009260DE" w:rsidRPr="00D06229" w:rsidRDefault="00571A61" w:rsidP="00213817">
      <w:pPr>
        <w:ind w:firstLine="851"/>
        <w:rPr>
          <w:sz w:val="24"/>
          <w:szCs w:val="24"/>
        </w:rPr>
      </w:pPr>
      <w:r>
        <w:rPr>
          <w:sz w:val="24"/>
          <w:szCs w:val="24"/>
        </w:rPr>
        <w:t>3. marts 2022</w:t>
      </w:r>
    </w:p>
    <w:sectPr w:rsidR="009260DE" w:rsidRPr="00D0622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0F0" w:rsidRDefault="00B560F0">
      <w:r>
        <w:separator/>
      </w:r>
    </w:p>
  </w:endnote>
  <w:endnote w:type="continuationSeparator" w:id="0">
    <w:p w:rsidR="00B560F0" w:rsidRDefault="00B5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60F0" w:rsidRDefault="00B560F0">
    <w:pPr>
      <w:pStyle w:val="Sidefod"/>
      <w:pBdr>
        <w:bottom w:val="single" w:sz="6" w:space="1" w:color="auto"/>
      </w:pBdr>
    </w:pPr>
  </w:p>
  <w:p w:rsidR="00B560F0" w:rsidRDefault="00B560F0" w:rsidP="00C42586">
    <w:pPr>
      <w:pStyle w:val="Sidefod"/>
      <w:tabs>
        <w:tab w:val="clear" w:pos="4819"/>
        <w:tab w:val="left" w:pos="8505"/>
      </w:tabs>
      <w:rPr>
        <w:i/>
        <w:sz w:val="18"/>
        <w:szCs w:val="18"/>
      </w:rPr>
    </w:pPr>
  </w:p>
  <w:p w:rsidR="00B560F0" w:rsidRPr="00B373D7" w:rsidRDefault="00B560F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E5D7B">
      <w:rPr>
        <w:i/>
        <w:noProof/>
        <w:sz w:val="18"/>
        <w:szCs w:val="18"/>
      </w:rPr>
      <w:t>Entecavir Pharmathen, filmovertrukne tabletter 0,5 mg og 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0F0" w:rsidRDefault="00B560F0">
      <w:r>
        <w:separator/>
      </w:r>
    </w:p>
  </w:footnote>
  <w:footnote w:type="continuationSeparator" w:id="0">
    <w:p w:rsidR="00B560F0" w:rsidRDefault="00B56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12D24FA"/>
    <w:multiLevelType w:val="hybridMultilevel"/>
    <w:tmpl w:val="85A20ABE"/>
    <w:lvl w:ilvl="0" w:tplc="FFFFFFFF">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07E3491"/>
    <w:multiLevelType w:val="hybridMultilevel"/>
    <w:tmpl w:val="C77C6A86"/>
    <w:lvl w:ilvl="0" w:tplc="0FD48FF2">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CA2443C"/>
    <w:multiLevelType w:val="hybridMultilevel"/>
    <w:tmpl w:val="A6B4DD44"/>
    <w:lvl w:ilvl="0" w:tplc="0FD48FF2">
      <w:start w:val="1"/>
      <w:numFmt w:val="bullet"/>
      <w:lvlText w:val=""/>
      <w:lvlJc w:val="left"/>
      <w:pPr>
        <w:ind w:left="360" w:hanging="360"/>
      </w:pPr>
      <w:rPr>
        <w:rFonts w:ascii="Symbol" w:hAnsi="Symbol" w:hint="default"/>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50"/>
    <w:rsid w:val="000259B9"/>
    <w:rsid w:val="00041491"/>
    <w:rsid w:val="00050D16"/>
    <w:rsid w:val="00074F2A"/>
    <w:rsid w:val="000A0C32"/>
    <w:rsid w:val="000A1CA8"/>
    <w:rsid w:val="000A466B"/>
    <w:rsid w:val="000B058C"/>
    <w:rsid w:val="000E4EE6"/>
    <w:rsid w:val="001454E2"/>
    <w:rsid w:val="0017470E"/>
    <w:rsid w:val="00206CE8"/>
    <w:rsid w:val="00213817"/>
    <w:rsid w:val="0021526C"/>
    <w:rsid w:val="00240291"/>
    <w:rsid w:val="0027462E"/>
    <w:rsid w:val="00283A2B"/>
    <w:rsid w:val="00292653"/>
    <w:rsid w:val="002B30AD"/>
    <w:rsid w:val="002C2C01"/>
    <w:rsid w:val="003017B3"/>
    <w:rsid w:val="003429CA"/>
    <w:rsid w:val="003A29AE"/>
    <w:rsid w:val="003A32D7"/>
    <w:rsid w:val="003B4074"/>
    <w:rsid w:val="003C769A"/>
    <w:rsid w:val="003D06DC"/>
    <w:rsid w:val="003F1838"/>
    <w:rsid w:val="00402494"/>
    <w:rsid w:val="0045746C"/>
    <w:rsid w:val="00467533"/>
    <w:rsid w:val="0049104B"/>
    <w:rsid w:val="004E3B12"/>
    <w:rsid w:val="004E4237"/>
    <w:rsid w:val="004F0D5F"/>
    <w:rsid w:val="00524DFB"/>
    <w:rsid w:val="00532310"/>
    <w:rsid w:val="00560ECC"/>
    <w:rsid w:val="00565F0F"/>
    <w:rsid w:val="00571A61"/>
    <w:rsid w:val="005828C5"/>
    <w:rsid w:val="00594A86"/>
    <w:rsid w:val="00596D86"/>
    <w:rsid w:val="00624E0E"/>
    <w:rsid w:val="00637F5A"/>
    <w:rsid w:val="006530A3"/>
    <w:rsid w:val="006560B1"/>
    <w:rsid w:val="006756DD"/>
    <w:rsid w:val="00710742"/>
    <w:rsid w:val="00737275"/>
    <w:rsid w:val="00740EEC"/>
    <w:rsid w:val="0078011A"/>
    <w:rsid w:val="00782AF4"/>
    <w:rsid w:val="00790EE7"/>
    <w:rsid w:val="007B6649"/>
    <w:rsid w:val="007D7DA1"/>
    <w:rsid w:val="0081546F"/>
    <w:rsid w:val="0082576E"/>
    <w:rsid w:val="008B5DDE"/>
    <w:rsid w:val="00907F75"/>
    <w:rsid w:val="009260DE"/>
    <w:rsid w:val="0093258A"/>
    <w:rsid w:val="009C7BA3"/>
    <w:rsid w:val="009D1F5A"/>
    <w:rsid w:val="00A20F50"/>
    <w:rsid w:val="00A2475E"/>
    <w:rsid w:val="00B003BF"/>
    <w:rsid w:val="00B373D7"/>
    <w:rsid w:val="00B560F0"/>
    <w:rsid w:val="00B83488"/>
    <w:rsid w:val="00C26538"/>
    <w:rsid w:val="00C36276"/>
    <w:rsid w:val="00C42586"/>
    <w:rsid w:val="00C60CCD"/>
    <w:rsid w:val="00C81A48"/>
    <w:rsid w:val="00C84483"/>
    <w:rsid w:val="00C87981"/>
    <w:rsid w:val="00C95551"/>
    <w:rsid w:val="00CB20D7"/>
    <w:rsid w:val="00D020B0"/>
    <w:rsid w:val="00D06229"/>
    <w:rsid w:val="00D11748"/>
    <w:rsid w:val="00D366CF"/>
    <w:rsid w:val="00DB2B4C"/>
    <w:rsid w:val="00E01290"/>
    <w:rsid w:val="00E108AA"/>
    <w:rsid w:val="00E31812"/>
    <w:rsid w:val="00E3749A"/>
    <w:rsid w:val="00E7437F"/>
    <w:rsid w:val="00E865B8"/>
    <w:rsid w:val="00EC0B9B"/>
    <w:rsid w:val="00ED5E9F"/>
    <w:rsid w:val="00EE4262"/>
    <w:rsid w:val="00EE5D7B"/>
    <w:rsid w:val="00F1760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5E151"/>
  <w15:chartTrackingRefBased/>
  <w15:docId w15:val="{26D62FC1-E518-40E0-846C-DC0B4EBA3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20F50"/>
    <w:rPr>
      <w:color w:val="808080"/>
    </w:rPr>
  </w:style>
  <w:style w:type="paragraph" w:styleId="Listeafsnit">
    <w:name w:val="List Paragraph"/>
    <w:basedOn w:val="Normal"/>
    <w:uiPriority w:val="34"/>
    <w:qFormat/>
    <w:rsid w:val="00A20F50"/>
    <w:pPr>
      <w:spacing w:after="200" w:line="276" w:lineRule="auto"/>
      <w:ind w:left="720"/>
      <w:contextualSpacing/>
    </w:pPr>
    <w:rPr>
      <w:rFonts w:asciiTheme="minorHAnsi" w:eastAsiaTheme="minorHAnsi" w:hAnsiTheme="minorHAnsi" w:cstheme="minorBidi"/>
      <w:sz w:val="22"/>
      <w:szCs w:val="22"/>
      <w:lang w:val="el-GR"/>
    </w:rPr>
  </w:style>
  <w:style w:type="table" w:styleId="Tabel-Gitter">
    <w:name w:val="Table Grid"/>
    <w:basedOn w:val="Tabel-Normal"/>
    <w:uiPriority w:val="59"/>
    <w:rsid w:val="00A20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20F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3413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3</TotalTime>
  <Pages>24</Pages>
  <Words>9209</Words>
  <Characters>55437</Characters>
  <Application>Microsoft Office Word</Application>
  <DocSecurity>0</DocSecurity>
  <Lines>461</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2022020365, var. 008: pkt. 6.5: tilføjelse af 60 tabletter</dc:description>
  <cp:lastModifiedBy>Helle Venn</cp:lastModifiedBy>
  <cp:revision>4</cp:revision>
  <cp:lastPrinted>2020-08-18T10:39:00Z</cp:lastPrinted>
  <dcterms:created xsi:type="dcterms:W3CDTF">2022-03-03T10:20:00Z</dcterms:created>
  <dcterms:modified xsi:type="dcterms:W3CDTF">2022-03-03T10:22:00Z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